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6BBA2A" w14:textId="77777777" w:rsidR="004C26B7" w:rsidRDefault="004C26B7" w:rsidP="000E419E">
      <w:pPr>
        <w:pStyle w:val="Title"/>
        <w:pBdr>
          <w:bottom w:val="single" w:sz="8" w:space="6" w:color="4F81BD" w:themeColor="accent1"/>
        </w:pBdr>
      </w:pPr>
    </w:p>
    <w:p w14:paraId="5327DA38" w14:textId="32D907BC" w:rsidR="004C26B7" w:rsidRDefault="000E419E" w:rsidP="000E419E">
      <w:pPr>
        <w:pStyle w:val="Title"/>
        <w:pBdr>
          <w:bottom w:val="single" w:sz="8" w:space="6" w:color="4F81BD" w:themeColor="accent1"/>
        </w:pBdr>
      </w:pPr>
      <w:r>
        <w:rPr>
          <w:noProof/>
        </w:rPr>
        <w:drawing>
          <wp:inline distT="0" distB="0" distL="0" distR="0" wp14:anchorId="4B0A8D04" wp14:editId="15F351D4">
            <wp:extent cx="1699260" cy="723900"/>
            <wp:effectExtent l="0" t="0" r="0" b="0"/>
            <wp:docPr id="738414026" name="drawing" title="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587949" name="Picture 1426587949"/>
                    <pic:cNvPicPr/>
                  </pic:nvPicPr>
                  <pic:blipFill>
                    <a:blip r:embed="rId11">
                      <a:extLst>
                        <a:ext uri="{28A0092B-C50C-407E-A947-70E740481C1C}">
                          <a14:useLocalDpi xmlns:a14="http://schemas.microsoft.com/office/drawing/2010/main"/>
                        </a:ext>
                      </a:extLst>
                    </a:blip>
                    <a:stretch>
                      <a:fillRect/>
                    </a:stretch>
                  </pic:blipFill>
                  <pic:spPr>
                    <a:xfrm>
                      <a:off x="0" y="0"/>
                      <a:ext cx="1699260" cy="723900"/>
                    </a:xfrm>
                    <a:prstGeom prst="rect">
                      <a:avLst/>
                    </a:prstGeom>
                  </pic:spPr>
                </pic:pic>
              </a:graphicData>
            </a:graphic>
          </wp:inline>
        </w:drawing>
      </w:r>
    </w:p>
    <w:p w14:paraId="6DB422E2" w14:textId="77777777" w:rsidR="009E31CC" w:rsidRDefault="009E31CC" w:rsidP="000E419E">
      <w:pPr>
        <w:pStyle w:val="Title"/>
        <w:pBdr>
          <w:bottom w:val="single" w:sz="8" w:space="6" w:color="4F81BD" w:themeColor="accent1"/>
        </w:pBdr>
      </w:pPr>
    </w:p>
    <w:p w14:paraId="6D42BE04" w14:textId="77777777" w:rsidR="009E31CC" w:rsidRDefault="009E31CC" w:rsidP="000E419E">
      <w:pPr>
        <w:pStyle w:val="Title"/>
        <w:pBdr>
          <w:bottom w:val="single" w:sz="8" w:space="6" w:color="4F81BD" w:themeColor="accent1"/>
        </w:pBdr>
      </w:pPr>
    </w:p>
    <w:p w14:paraId="67F63C6E" w14:textId="32AB35FB" w:rsidR="00C05DAF" w:rsidRDefault="000E419E" w:rsidP="000E419E">
      <w:pPr>
        <w:pStyle w:val="Title"/>
        <w:pBdr>
          <w:bottom w:val="single" w:sz="8" w:space="6" w:color="4F81BD" w:themeColor="accent1"/>
        </w:pBdr>
      </w:pPr>
      <w:r>
        <w:t>The Impact of the 2026 Strait of Hormuz Crisis on Shell plc: Challenges, Opportunities and Strategic Responses</w:t>
      </w:r>
    </w:p>
    <w:p w14:paraId="1CE2CE13" w14:textId="77777777" w:rsidR="000E419E" w:rsidRPr="000E419E" w:rsidRDefault="000E419E" w:rsidP="000E419E"/>
    <w:p w14:paraId="38F27654" w14:textId="77777777" w:rsidR="002A017E" w:rsidRDefault="002A017E" w:rsidP="002A017E">
      <w:pPr>
        <w:pStyle w:val="Subtitle"/>
      </w:pPr>
      <w:r>
        <w:t>LCBB4016 | Component 2</w:t>
      </w:r>
    </w:p>
    <w:p w14:paraId="4D3BBA83" w14:textId="3AAD27E0" w:rsidR="004C26B7" w:rsidRDefault="004C26B7" w:rsidP="004C26B7"/>
    <w:p w14:paraId="09BC9FBD" w14:textId="77777777" w:rsidR="00BF59B2" w:rsidRDefault="00BF59B2" w:rsidP="00BF59B2">
      <w:pPr>
        <w:pStyle w:val="NoSpacing"/>
        <w:rPr>
          <w:color w:val="000000" w:themeColor="text1"/>
          <w:sz w:val="28"/>
          <w:szCs w:val="28"/>
        </w:rPr>
      </w:pPr>
      <w:r w:rsidRPr="003F31E8">
        <w:rPr>
          <w:b/>
          <w:bCs/>
          <w:color w:val="000000" w:themeColor="text1"/>
          <w:sz w:val="28"/>
          <w:szCs w:val="28"/>
        </w:rPr>
        <w:t>Student Name:</w:t>
      </w:r>
      <w:r>
        <w:rPr>
          <w:color w:val="000000" w:themeColor="text1"/>
          <w:sz w:val="28"/>
          <w:szCs w:val="28"/>
        </w:rPr>
        <w:t xml:space="preserve"> Lupu Florentina-Elena</w:t>
      </w:r>
    </w:p>
    <w:p w14:paraId="2448CA09" w14:textId="77777777" w:rsidR="00BF59B2" w:rsidRDefault="00BF59B2" w:rsidP="00BF59B2">
      <w:pPr>
        <w:pStyle w:val="NoSpacing"/>
        <w:rPr>
          <w:color w:val="000000" w:themeColor="text1"/>
          <w:sz w:val="28"/>
          <w:szCs w:val="28"/>
        </w:rPr>
      </w:pPr>
      <w:r w:rsidRPr="003F31E8">
        <w:rPr>
          <w:b/>
          <w:bCs/>
          <w:color w:val="000000" w:themeColor="text1"/>
          <w:sz w:val="28"/>
          <w:szCs w:val="28"/>
        </w:rPr>
        <w:t>Student ID:</w:t>
      </w:r>
      <w:r>
        <w:rPr>
          <w:color w:val="000000" w:themeColor="text1"/>
          <w:sz w:val="28"/>
          <w:szCs w:val="28"/>
        </w:rPr>
        <w:t xml:space="preserve"> 2420426</w:t>
      </w:r>
    </w:p>
    <w:p w14:paraId="1FDFA1C1" w14:textId="177B93D6" w:rsidR="004C26B7" w:rsidRDefault="00BF59B2" w:rsidP="00BF59B2">
      <w:pPr>
        <w:spacing w:after="200"/>
      </w:pPr>
      <w:proofErr w:type="gramStart"/>
      <w:r w:rsidRPr="003F31E8">
        <w:rPr>
          <w:b/>
          <w:bCs/>
          <w:color w:val="000000" w:themeColor="text1"/>
          <w:sz w:val="28"/>
          <w:szCs w:val="28"/>
        </w:rPr>
        <w:t>Professor</w:t>
      </w:r>
      <w:proofErr w:type="gramEnd"/>
      <w:r w:rsidRPr="003F31E8">
        <w:rPr>
          <w:b/>
          <w:bCs/>
          <w:color w:val="000000" w:themeColor="text1"/>
          <w:sz w:val="28"/>
          <w:szCs w:val="28"/>
        </w:rPr>
        <w:t xml:space="preserve"> Name:</w:t>
      </w:r>
      <w:r w:rsidR="004C26B7">
        <w:br w:type="page"/>
      </w:r>
    </w:p>
    <w:sdt>
      <w:sdtPr>
        <w:rPr>
          <w:rFonts w:ascii="Aptos" w:eastAsiaTheme="minorEastAsia" w:hAnsi="Aptos" w:cstheme="minorBidi"/>
          <w:b w:val="0"/>
          <w:bCs w:val="0"/>
          <w:color w:val="auto"/>
          <w:sz w:val="32"/>
          <w:szCs w:val="22"/>
          <w:lang w:val="en-GB"/>
        </w:rPr>
        <w:id w:val="-1799449977"/>
        <w:docPartObj>
          <w:docPartGallery w:val="Table of Contents"/>
          <w:docPartUnique/>
        </w:docPartObj>
      </w:sdtPr>
      <w:sdtEndPr>
        <w:rPr>
          <w:lang w:val="en-US"/>
        </w:rPr>
      </w:sdtEndPr>
      <w:sdtContent>
        <w:p w14:paraId="6738DFA7" w14:textId="7DCA0644" w:rsidR="009E31CC" w:rsidRDefault="009E31CC">
          <w:pPr>
            <w:pStyle w:val="TOCHeading"/>
          </w:pPr>
          <w:r>
            <w:rPr>
              <w:lang w:val="en-GB"/>
            </w:rPr>
            <w:t>Contents</w:t>
          </w:r>
        </w:p>
        <w:p w14:paraId="288AF44E" w14:textId="6B247984" w:rsidR="009E31CC" w:rsidRDefault="009E31CC">
          <w:pPr>
            <w:pStyle w:val="TOC1"/>
            <w:tabs>
              <w:tab w:val="right" w:leader="dot" w:pos="8630"/>
            </w:tabs>
            <w:rPr>
              <w:noProof/>
            </w:rPr>
          </w:pPr>
          <w:r>
            <w:fldChar w:fldCharType="begin"/>
          </w:r>
          <w:r>
            <w:instrText xml:space="preserve"> TOC \o "1-3" \h \z \u </w:instrText>
          </w:r>
          <w:r>
            <w:fldChar w:fldCharType="separate"/>
          </w:r>
          <w:hyperlink w:anchor="_Toc240775957" w:history="1">
            <w:r w:rsidRPr="004C75BA">
              <w:rPr>
                <w:rStyle w:val="Hyperlink"/>
                <w:noProof/>
              </w:rPr>
              <w:t>1. Introduction</w:t>
            </w:r>
            <w:r>
              <w:rPr>
                <w:noProof/>
                <w:webHidden/>
              </w:rPr>
              <w:tab/>
            </w:r>
            <w:r>
              <w:rPr>
                <w:noProof/>
                <w:webHidden/>
              </w:rPr>
              <w:fldChar w:fldCharType="begin"/>
            </w:r>
            <w:r>
              <w:rPr>
                <w:noProof/>
                <w:webHidden/>
              </w:rPr>
              <w:instrText xml:space="preserve"> PAGEREF _Toc240775957 \h </w:instrText>
            </w:r>
            <w:r>
              <w:rPr>
                <w:noProof/>
                <w:webHidden/>
              </w:rPr>
            </w:r>
            <w:r>
              <w:rPr>
                <w:noProof/>
                <w:webHidden/>
              </w:rPr>
              <w:fldChar w:fldCharType="separate"/>
            </w:r>
            <w:r>
              <w:rPr>
                <w:noProof/>
                <w:webHidden/>
              </w:rPr>
              <w:t>3</w:t>
            </w:r>
            <w:r>
              <w:rPr>
                <w:noProof/>
                <w:webHidden/>
              </w:rPr>
              <w:fldChar w:fldCharType="end"/>
            </w:r>
          </w:hyperlink>
        </w:p>
        <w:p w14:paraId="75CB2089" w14:textId="27F6D574" w:rsidR="009E31CC" w:rsidRDefault="009E31CC">
          <w:pPr>
            <w:pStyle w:val="TOC1"/>
            <w:tabs>
              <w:tab w:val="right" w:leader="dot" w:pos="8630"/>
            </w:tabs>
            <w:rPr>
              <w:noProof/>
            </w:rPr>
          </w:pPr>
          <w:hyperlink w:anchor="_Toc240775958" w:history="1">
            <w:r w:rsidRPr="004C75BA">
              <w:rPr>
                <w:rStyle w:val="Hyperlink"/>
                <w:noProof/>
              </w:rPr>
              <w:t>2. Impact of the Strait of Hormuz Crisis</w:t>
            </w:r>
            <w:r>
              <w:rPr>
                <w:noProof/>
                <w:webHidden/>
              </w:rPr>
              <w:tab/>
            </w:r>
            <w:r>
              <w:rPr>
                <w:noProof/>
                <w:webHidden/>
              </w:rPr>
              <w:fldChar w:fldCharType="begin"/>
            </w:r>
            <w:r>
              <w:rPr>
                <w:noProof/>
                <w:webHidden/>
              </w:rPr>
              <w:instrText xml:space="preserve"> PAGEREF _Toc240775958 \h </w:instrText>
            </w:r>
            <w:r>
              <w:rPr>
                <w:noProof/>
                <w:webHidden/>
              </w:rPr>
            </w:r>
            <w:r>
              <w:rPr>
                <w:noProof/>
                <w:webHidden/>
              </w:rPr>
              <w:fldChar w:fldCharType="separate"/>
            </w:r>
            <w:r>
              <w:rPr>
                <w:noProof/>
                <w:webHidden/>
              </w:rPr>
              <w:t>4</w:t>
            </w:r>
            <w:r>
              <w:rPr>
                <w:noProof/>
                <w:webHidden/>
              </w:rPr>
              <w:fldChar w:fldCharType="end"/>
            </w:r>
          </w:hyperlink>
        </w:p>
        <w:p w14:paraId="0CAC1D8F" w14:textId="78462321" w:rsidR="009E31CC" w:rsidRDefault="009E31CC">
          <w:pPr>
            <w:pStyle w:val="TOC1"/>
            <w:tabs>
              <w:tab w:val="right" w:leader="dot" w:pos="8630"/>
            </w:tabs>
            <w:rPr>
              <w:noProof/>
            </w:rPr>
          </w:pPr>
          <w:hyperlink w:anchor="_Toc240775959" w:history="1">
            <w:r w:rsidRPr="004C75BA">
              <w:rPr>
                <w:rStyle w:val="Hyperlink"/>
                <w:noProof/>
              </w:rPr>
              <w:t>3. Opportunities and Challenges</w:t>
            </w:r>
            <w:r>
              <w:rPr>
                <w:noProof/>
                <w:webHidden/>
              </w:rPr>
              <w:tab/>
            </w:r>
            <w:r>
              <w:rPr>
                <w:noProof/>
                <w:webHidden/>
              </w:rPr>
              <w:fldChar w:fldCharType="begin"/>
            </w:r>
            <w:r>
              <w:rPr>
                <w:noProof/>
                <w:webHidden/>
              </w:rPr>
              <w:instrText xml:space="preserve"> PAGEREF _Toc240775959 \h </w:instrText>
            </w:r>
            <w:r>
              <w:rPr>
                <w:noProof/>
                <w:webHidden/>
              </w:rPr>
            </w:r>
            <w:r>
              <w:rPr>
                <w:noProof/>
                <w:webHidden/>
              </w:rPr>
              <w:fldChar w:fldCharType="separate"/>
            </w:r>
            <w:r>
              <w:rPr>
                <w:noProof/>
                <w:webHidden/>
              </w:rPr>
              <w:t>5</w:t>
            </w:r>
            <w:r>
              <w:rPr>
                <w:noProof/>
                <w:webHidden/>
              </w:rPr>
              <w:fldChar w:fldCharType="end"/>
            </w:r>
          </w:hyperlink>
        </w:p>
        <w:p w14:paraId="41F6BF1B" w14:textId="6DA45799" w:rsidR="009E31CC" w:rsidRDefault="009E31CC">
          <w:pPr>
            <w:pStyle w:val="TOC1"/>
            <w:tabs>
              <w:tab w:val="right" w:leader="dot" w:pos="8630"/>
            </w:tabs>
            <w:rPr>
              <w:noProof/>
            </w:rPr>
          </w:pPr>
          <w:hyperlink w:anchor="_Toc240775960" w:history="1">
            <w:r w:rsidRPr="004C75BA">
              <w:rPr>
                <w:rStyle w:val="Hyperlink"/>
                <w:noProof/>
              </w:rPr>
              <w:t>4. Impact on the Organisation</w:t>
            </w:r>
            <w:r>
              <w:rPr>
                <w:noProof/>
                <w:webHidden/>
              </w:rPr>
              <w:tab/>
            </w:r>
            <w:r>
              <w:rPr>
                <w:noProof/>
                <w:webHidden/>
              </w:rPr>
              <w:fldChar w:fldCharType="begin"/>
            </w:r>
            <w:r>
              <w:rPr>
                <w:noProof/>
                <w:webHidden/>
              </w:rPr>
              <w:instrText xml:space="preserve"> PAGEREF _Toc240775960 \h </w:instrText>
            </w:r>
            <w:r>
              <w:rPr>
                <w:noProof/>
                <w:webHidden/>
              </w:rPr>
            </w:r>
            <w:r>
              <w:rPr>
                <w:noProof/>
                <w:webHidden/>
              </w:rPr>
              <w:fldChar w:fldCharType="separate"/>
            </w:r>
            <w:r>
              <w:rPr>
                <w:noProof/>
                <w:webHidden/>
              </w:rPr>
              <w:t>6</w:t>
            </w:r>
            <w:r>
              <w:rPr>
                <w:noProof/>
                <w:webHidden/>
              </w:rPr>
              <w:fldChar w:fldCharType="end"/>
            </w:r>
          </w:hyperlink>
        </w:p>
        <w:p w14:paraId="320E4594" w14:textId="1DE04D42" w:rsidR="009E31CC" w:rsidRDefault="009E31CC">
          <w:pPr>
            <w:pStyle w:val="TOC1"/>
            <w:tabs>
              <w:tab w:val="right" w:leader="dot" w:pos="8630"/>
            </w:tabs>
            <w:rPr>
              <w:noProof/>
            </w:rPr>
          </w:pPr>
          <w:hyperlink w:anchor="_Toc240775961" w:history="1">
            <w:r w:rsidRPr="004C75BA">
              <w:rPr>
                <w:rStyle w:val="Hyperlink"/>
                <w:noProof/>
              </w:rPr>
              <w:t>5. Strategic Recommendations</w:t>
            </w:r>
            <w:r>
              <w:rPr>
                <w:noProof/>
                <w:webHidden/>
              </w:rPr>
              <w:tab/>
            </w:r>
            <w:r>
              <w:rPr>
                <w:noProof/>
                <w:webHidden/>
              </w:rPr>
              <w:fldChar w:fldCharType="begin"/>
            </w:r>
            <w:r>
              <w:rPr>
                <w:noProof/>
                <w:webHidden/>
              </w:rPr>
              <w:instrText xml:space="preserve"> PAGEREF _Toc240775961 \h </w:instrText>
            </w:r>
            <w:r>
              <w:rPr>
                <w:noProof/>
                <w:webHidden/>
              </w:rPr>
            </w:r>
            <w:r>
              <w:rPr>
                <w:noProof/>
                <w:webHidden/>
              </w:rPr>
              <w:fldChar w:fldCharType="separate"/>
            </w:r>
            <w:r>
              <w:rPr>
                <w:noProof/>
                <w:webHidden/>
              </w:rPr>
              <w:t>8</w:t>
            </w:r>
            <w:r>
              <w:rPr>
                <w:noProof/>
                <w:webHidden/>
              </w:rPr>
              <w:fldChar w:fldCharType="end"/>
            </w:r>
          </w:hyperlink>
        </w:p>
        <w:p w14:paraId="688FFF47" w14:textId="4E171F49" w:rsidR="009E31CC" w:rsidRDefault="009E31CC">
          <w:pPr>
            <w:pStyle w:val="TOC1"/>
            <w:tabs>
              <w:tab w:val="right" w:leader="dot" w:pos="8630"/>
            </w:tabs>
            <w:rPr>
              <w:noProof/>
            </w:rPr>
          </w:pPr>
          <w:hyperlink w:anchor="_Toc240775962" w:history="1">
            <w:r w:rsidRPr="004C75BA">
              <w:rPr>
                <w:rStyle w:val="Hyperlink"/>
                <w:noProof/>
              </w:rPr>
              <w:t>6. Conclusion</w:t>
            </w:r>
            <w:r>
              <w:rPr>
                <w:noProof/>
                <w:webHidden/>
              </w:rPr>
              <w:tab/>
            </w:r>
            <w:r>
              <w:rPr>
                <w:noProof/>
                <w:webHidden/>
              </w:rPr>
              <w:fldChar w:fldCharType="begin"/>
            </w:r>
            <w:r>
              <w:rPr>
                <w:noProof/>
                <w:webHidden/>
              </w:rPr>
              <w:instrText xml:space="preserve"> PAGEREF _Toc240775962 \h </w:instrText>
            </w:r>
            <w:r>
              <w:rPr>
                <w:noProof/>
                <w:webHidden/>
              </w:rPr>
            </w:r>
            <w:r>
              <w:rPr>
                <w:noProof/>
                <w:webHidden/>
              </w:rPr>
              <w:fldChar w:fldCharType="separate"/>
            </w:r>
            <w:r>
              <w:rPr>
                <w:noProof/>
                <w:webHidden/>
              </w:rPr>
              <w:t>9</w:t>
            </w:r>
            <w:r>
              <w:rPr>
                <w:noProof/>
                <w:webHidden/>
              </w:rPr>
              <w:fldChar w:fldCharType="end"/>
            </w:r>
          </w:hyperlink>
        </w:p>
        <w:p w14:paraId="77412FB1" w14:textId="7F15A4F6" w:rsidR="009E31CC" w:rsidRDefault="009E31CC">
          <w:pPr>
            <w:pStyle w:val="TOC1"/>
            <w:tabs>
              <w:tab w:val="right" w:leader="dot" w:pos="8630"/>
            </w:tabs>
            <w:rPr>
              <w:noProof/>
            </w:rPr>
          </w:pPr>
          <w:hyperlink w:anchor="_Toc240775963" w:history="1">
            <w:r w:rsidRPr="004C75BA">
              <w:rPr>
                <w:rStyle w:val="Hyperlink"/>
                <w:noProof/>
              </w:rPr>
              <w:t>References</w:t>
            </w:r>
            <w:r>
              <w:rPr>
                <w:noProof/>
                <w:webHidden/>
              </w:rPr>
              <w:tab/>
            </w:r>
            <w:r>
              <w:rPr>
                <w:noProof/>
                <w:webHidden/>
              </w:rPr>
              <w:fldChar w:fldCharType="begin"/>
            </w:r>
            <w:r>
              <w:rPr>
                <w:noProof/>
                <w:webHidden/>
              </w:rPr>
              <w:instrText xml:space="preserve"> PAGEREF _Toc240775963 \h </w:instrText>
            </w:r>
            <w:r>
              <w:rPr>
                <w:noProof/>
                <w:webHidden/>
              </w:rPr>
            </w:r>
            <w:r>
              <w:rPr>
                <w:noProof/>
                <w:webHidden/>
              </w:rPr>
              <w:fldChar w:fldCharType="separate"/>
            </w:r>
            <w:r>
              <w:rPr>
                <w:noProof/>
                <w:webHidden/>
              </w:rPr>
              <w:t>11</w:t>
            </w:r>
            <w:r>
              <w:rPr>
                <w:noProof/>
                <w:webHidden/>
              </w:rPr>
              <w:fldChar w:fldCharType="end"/>
            </w:r>
          </w:hyperlink>
        </w:p>
        <w:p w14:paraId="0BE90634" w14:textId="7C665B50" w:rsidR="009E31CC" w:rsidRDefault="009E31CC">
          <w:r>
            <w:rPr>
              <w:b/>
              <w:bCs/>
            </w:rPr>
            <w:fldChar w:fldCharType="end"/>
          </w:r>
        </w:p>
      </w:sdtContent>
    </w:sdt>
    <w:p w14:paraId="48C7F920" w14:textId="022361E8" w:rsidR="004C26B7" w:rsidRDefault="004C26B7" w:rsidP="004C26B7"/>
    <w:p w14:paraId="226FA16D" w14:textId="77777777" w:rsidR="004C26B7" w:rsidRDefault="004C26B7">
      <w:pPr>
        <w:spacing w:after="200"/>
      </w:pPr>
      <w:r>
        <w:br w:type="page"/>
      </w:r>
    </w:p>
    <w:p w14:paraId="6AACCC38" w14:textId="77777777" w:rsidR="004C26B7" w:rsidRPr="004C26B7" w:rsidRDefault="004C26B7" w:rsidP="004C26B7"/>
    <w:p w14:paraId="6F6610C2" w14:textId="77777777" w:rsidR="002A017E" w:rsidRPr="002A017E" w:rsidRDefault="002A017E" w:rsidP="002A017E"/>
    <w:p w14:paraId="6C793B20" w14:textId="77777777" w:rsidR="00C05DAF" w:rsidRDefault="000E419E">
      <w:pPr>
        <w:pStyle w:val="Heading1"/>
      </w:pPr>
      <w:bookmarkStart w:id="0" w:name="_Toc240775957"/>
      <w:r>
        <w:t>1. Introduction</w:t>
      </w:r>
      <w:bookmarkEnd w:id="0"/>
    </w:p>
    <w:p w14:paraId="01DE1B70" w14:textId="77777777" w:rsidR="00C05DAF" w:rsidRDefault="000E419E" w:rsidP="002A017E">
      <w:pPr>
        <w:spacing w:line="360" w:lineRule="auto"/>
        <w:jc w:val="both"/>
      </w:pPr>
      <w:r>
        <w:t xml:space="preserve">Globalisation links national economies through trade, investment and internationally distributed production. For multinational enterprises, integrated markets enable specialised sourcing and wider sales, but disruptions can spread across borders. Shipping carries over 80% of world merchandise trade by volume (UNCTAD, 2025). Consequently, maritime chokepoints influence both availability and </w:t>
      </w:r>
      <w:proofErr w:type="gramStart"/>
      <w:r>
        <w:t>delivered</w:t>
      </w:r>
      <w:proofErr w:type="gramEnd"/>
      <w:r>
        <w:t xml:space="preserve"> cost. Shell plc is a UK-based multinational producing and trading oil, gas and liquefied natural gas (LNG) internationally (Shell plc, 2026a). The 2026 disruption of the Strait of Hormuz offers a case for examining the trade-off between global efficiency and supply security. This essay evaluates the crisis’s economic effects, Shell’s operational and commercial exposure, its competitiveness and proportionate strategic responses. It distinguishes reported results from plausible, but unproven, longer-term outcomes.</w:t>
      </w:r>
    </w:p>
    <w:p w14:paraId="40CF3EE0" w14:textId="77777777" w:rsidR="00C05DAF" w:rsidRDefault="000E419E">
      <w:pPr>
        <w:pStyle w:val="Heading1"/>
      </w:pPr>
      <w:bookmarkStart w:id="1" w:name="_Toc240775958"/>
      <w:r>
        <w:t>2. Impact of the Strait of Hormuz Crisis</w:t>
      </w:r>
      <w:bookmarkEnd w:id="1"/>
    </w:p>
    <w:p w14:paraId="69ABF124" w14:textId="77777777" w:rsidR="00C05DAF" w:rsidRDefault="000E419E">
      <w:r>
        <w:t>The Strait links Gulf energy producers with international customers. Approximately 25–30% of globally traded oil and 20% of LNG normally pass through it (Adrian et al., 2026). The International Energy Agency reported that oil flows declined from around 20 million barrels per day before the conflict to an average of 2.7 million during March–May 2026 (IEA, 2026a). This is a period average, not evidence that all shipping permanently stopped. Alternative pipelines, stock releases and non-Gulf output partly compensated, but could not immediately replace the missing capacity (IEA, 2026a).</w:t>
      </w:r>
    </w:p>
    <w:p w14:paraId="044ED3CA" w14:textId="77777777" w:rsidR="00C05DAF" w:rsidRDefault="000E419E">
      <w:r>
        <w:t>The economic effects extend beyond energy producers. Scarcity raises fuel and industrial feedstock costs; longer routes and elevated shipping risk increase freight and insurance expenditure. Firms may pass these costs to customers, adding inflationary pressure and weakening demand, especially in energy-importing economies (Adrian et al., 2026). LNG loadings from Qatar and the United Arab Emirates fell by 35 billion cubic metres year-on-year between March and June. Non-Gulf supply rose by around 27 billion cubic metres, offsetting roughly three-quarters of the shortfall, but global LNG production still declined (IEA, 2026b). Thus, diversification mitigated rather than eliminated the shock.</w:t>
      </w:r>
    </w:p>
    <w:p w14:paraId="5F1F9A76" w14:textId="77777777" w:rsidR="00C05DAF" w:rsidRDefault="000E419E">
      <w:r>
        <w:t xml:space="preserve">The effects also varied over time: oil prices retreated as some exports recovered, showing that crisis-related price advantages are volatile (IEA, 2026c). For Shell, higher realised prices can support earnings, whereas production outages, shipping constraints and weaker customer demand can undermine sales volumes and contract fulfilment. These opposing channels make </w:t>
      </w:r>
      <w:proofErr w:type="gramStart"/>
      <w:r>
        <w:t>a simple ‘</w:t>
      </w:r>
      <w:proofErr w:type="gramEnd"/>
      <w:r>
        <w:t xml:space="preserve">higher prices equal higher profits’ interpretation inadequate. Moreover, the impact differs across Shell’s business segments: upstream production may receive higher prices for available </w:t>
      </w:r>
      <w:proofErr w:type="gramStart"/>
      <w:r>
        <w:t>output,</w:t>
      </w:r>
      <w:proofErr w:type="gramEnd"/>
      <w:r>
        <w:t xml:space="preserve"> while refining and chemical activities face higher input costs and demand uncertainty. A segment-level assessment is therefore more informative than treating the company as a single commodity seller.</w:t>
      </w:r>
    </w:p>
    <w:p w14:paraId="5A7595E7" w14:textId="77777777" w:rsidR="00C05DAF" w:rsidRDefault="000E419E">
      <w:pPr>
        <w:pStyle w:val="Heading1"/>
      </w:pPr>
      <w:bookmarkStart w:id="2" w:name="_Toc240775959"/>
      <w:r>
        <w:t>3. Opportunities and Challenges</w:t>
      </w:r>
      <w:bookmarkEnd w:id="2"/>
    </w:p>
    <w:p w14:paraId="6C04B47A" w14:textId="77777777" w:rsidR="00C05DAF" w:rsidRDefault="000E419E">
      <w:r>
        <w:t>Shell’s immediate operational exposure lay in Qatar. Following the March attack on Ras Laffan, production at its Pearl gas-to-liquids (GTL) facility ceased. Shell reported damage to one of two production trains and initially estimated around a year for full repair; QatarEnergy also shut LNG production and declared force majeure (Shell plc, 2026b). Even if shipping resumes, damaged infrastructure can continue to restrict exports. This demonstrates a concentration risk within an otherwise internationally diversified business.</w:t>
      </w:r>
    </w:p>
    <w:p w14:paraId="0B8CAC4D" w14:textId="77777777" w:rsidR="00C05DAF" w:rsidRDefault="000E419E">
      <w:r>
        <w:t xml:space="preserve">A further challenge is replacing committed cargoes when vessels, production capacity and contract terms are constrained. Buying replacement LNG may preserve some customer relationships but could erode trading margins or divert supply from other buyers. Christopher and Peck (2004) explain why </w:t>
      </w:r>
      <w:proofErr w:type="gramStart"/>
      <w:r>
        <w:t>interconnected,</w:t>
      </w:r>
      <w:proofErr w:type="gramEnd"/>
      <w:r>
        <w:t xml:space="preserve"> efficiency-focused supply chains can become vulnerable to disruption. Their framework suggests that redundancy has value, although maintaining unused capacity also carries costs.</w:t>
      </w:r>
    </w:p>
    <w:p w14:paraId="2EBAC2BE" w14:textId="77777777" w:rsidR="00C05DAF" w:rsidRDefault="000E419E">
      <w:r>
        <w:t>Conversely, Shell’s integrated production and trading operations offer flexibility to redirect cargoes towards markets facing shortages. Its second-quarter report identified stronger LNG and oil trading and higher realised prices among factors supporting earnings (Shell plc, 2026c). However, these gains do not establish that the crisis was beneficial overall: lost Qatari volumes, restoration costs and potentially weaker energy demand pull in the opposite direction. The IEA (2026b) recorded growing alternative LNG output in North America and Africa, creating possible sourcing options, but shipping availability and long-term contracts limit rapid substitution.</w:t>
      </w:r>
    </w:p>
    <w:p w14:paraId="4DCDB26A" w14:textId="77777777" w:rsidR="00C05DAF" w:rsidRDefault="000E419E">
      <w:r>
        <w:t>Wieland and Durach (2021) distinguish returning to previous operations from adapting a supply network to new conditions. Applied to Shell, this means that repairing Pearl is necessary but insufficient: the company must also develop alternative delivery arrangements. The opportunity is to improve flexibility without locking capital into expensive permanent spare capacity that may prove unnecessary after the disruption. This also raises a timing problem: emergency cargo purchases can address immediate shortages, whereas new production capacity generally takes years to develop. Shell should avoid presenting long-term capital projects as solutions to a short-term delivery gap.</w:t>
      </w:r>
    </w:p>
    <w:p w14:paraId="6742599B" w14:textId="77777777" w:rsidR="00C05DAF" w:rsidRDefault="000E419E">
      <w:pPr>
        <w:pStyle w:val="Heading1"/>
      </w:pPr>
      <w:bookmarkStart w:id="3" w:name="_Toc240775960"/>
      <w:r>
        <w:t>4. Impact on the Organisation</w:t>
      </w:r>
      <w:bookmarkEnd w:id="3"/>
    </w:p>
    <w:p w14:paraId="77748BFC" w14:textId="77777777" w:rsidR="00C05DAF" w:rsidRDefault="000E419E">
      <w:r>
        <w:t xml:space="preserve">Shell’s adjusted earnings increased from $6.915 billion in Q1 2026 to $9.836 billion in Q2 (Shell plc, </w:t>
      </w:r>
      <w:proofErr w:type="gramStart"/>
      <w:r>
        <w:t>2026c</w:t>
      </w:r>
      <w:proofErr w:type="gramEnd"/>
      <w:r>
        <w:t>). This is evidence of improved quarterly financial performance, not a measure of the crisis’s net benefit. Shell also identified factors such as tax movements and chemicals margins alongside higher realised prices and stronger trading. A causal claim attributing the entire increase to Hormuz would therefore be unsound.</w:t>
      </w:r>
    </w:p>
    <w:p w14:paraId="4D2B4C57" w14:textId="77777777" w:rsidR="00C05DAF" w:rsidRDefault="000E419E">
      <w:r>
        <w:t>Operationally, reduced Qatari production constrained volumes and potentially complicated international supply commitments (Shell plc, 2026b; Shell plc, 2026c). Shell’s global portfolio and trading network may enable it to source substitute cargoes, but these alternatives can involve higher procurement and freight costs. Financial resilience and physical delivery reliability must therefore be assessed separately.</w:t>
      </w:r>
    </w:p>
    <w:p w14:paraId="111C80F2" w14:textId="77777777" w:rsidR="00C05DAF" w:rsidRDefault="000E419E">
      <w:r>
        <w:t xml:space="preserve">Porter’s (1980) industry framework suggests that scarcity can strengthen supplier bargaining power while high energy prices may encourage customers to seek substitutes. For Shell, the same price shock can improve realised selling prices yet damage future demand or customer loyalty. Competitors with less Gulf exposure might face fewer direct production losses, but their comparable cost, output and </w:t>
      </w:r>
      <w:proofErr w:type="gramStart"/>
      <w:r>
        <w:t>market-share</w:t>
      </w:r>
      <w:proofErr w:type="gramEnd"/>
      <w:r>
        <w:t xml:space="preserve"> data would be needed to establish any relative advantage. Shell’s results alone do not prove a lasting gain in competitive position. A meaningful comparison would examine competitors’ regional production exposure, adjusted earnings, delivery performance and capital spending over the same quarters. Without those indicators, it is more defensible to describe Shell’s flexibility as a potential advantage than to claim it outperformed rivals.</w:t>
      </w:r>
    </w:p>
    <w:p w14:paraId="0D8B8781" w14:textId="77777777" w:rsidR="00C05DAF" w:rsidRDefault="000E419E">
      <w:r>
        <w:t>A focused PESTEL analysis highlights linked political risk (regional conflict), economic risk (price and inflation volatility), legal exposure (contracts and force majeure) and technological dependence (specialised GTL infrastructure). These forces affect decisions on sourcing, investment and customer commitments. As price conditions normalise, the durability of Shell’s market position will depend more on dependable supply and disciplined investment than on exceptional trading margins.</w:t>
      </w:r>
    </w:p>
    <w:p w14:paraId="3CDA0D32" w14:textId="77777777" w:rsidR="00C05DAF" w:rsidRDefault="000E419E">
      <w:pPr>
        <w:pStyle w:val="Heading1"/>
      </w:pPr>
      <w:bookmarkStart w:id="4" w:name="_Toc240775961"/>
      <w:r>
        <w:t>5. Strategic Recommendations</w:t>
      </w:r>
      <w:bookmarkEnd w:id="4"/>
    </w:p>
    <w:p w14:paraId="14390CE3" w14:textId="77777777" w:rsidR="00C05DAF" w:rsidRDefault="000E419E">
      <w:r>
        <w:t>First, Shell should stress-test prolonged Hormuz restrictions across its LNG and oil network, identifying alternative suppliers, cargo routes and minimum inventories for priority contracts. Ivanov and Dolgui (2022) argue that stress testing should consider interconnected supply networks rather than isolated facilities. Shell should assess the cost and deliverability of each alternative before signing long-term agreements: diversification is not automatically economical.</w:t>
      </w:r>
    </w:p>
    <w:p w14:paraId="6BB00C25" w14:textId="77777777" w:rsidR="00C05DAF" w:rsidRDefault="000E419E">
      <w:r>
        <w:t xml:space="preserve">Second, Shell should prioritise safe restoration of Pearl GTL with its partners while reviewing spare-parts access, emergency response and contingency export arrangements (Shell plc, 2026b). A recovery plan should distinguish reopening a shipping route from restoring damaged production capacity. Scenario exercises can identify where one failed </w:t>
      </w:r>
      <w:proofErr w:type="gramStart"/>
      <w:r>
        <w:t>asset</w:t>
      </w:r>
      <w:proofErr w:type="gramEnd"/>
      <w:r>
        <w:t xml:space="preserve"> or port would prevent contract fulfilment.</w:t>
      </w:r>
    </w:p>
    <w:p w14:paraId="5BCEE3AC" w14:textId="77777777" w:rsidR="00C05DAF" w:rsidRDefault="000E419E">
      <w:r>
        <w:t>Third, Shell should combine flexible cargo allocation, transparent customer communication and carefully governed price hedging. Hedging may reduce financial exposure but cannot replace unavailable physical supplies. Wieland and Durach (2021) support adaptation as well as recovery; Shell should therefore revise allocation and contracting practices where the disruption reveals persistent vulnerabilities.</w:t>
      </w:r>
    </w:p>
    <w:p w14:paraId="2B011D9E" w14:textId="77777777" w:rsidR="00C05DAF" w:rsidRDefault="000E419E">
      <w:r>
        <w:t xml:space="preserve">Finally, investment in additional flexible supply should be phased and tested against demand, emissions obligations and expected returns. Temporary chartering or option-based contracts may be preferable to permanent excess infrastructure when the duration of disruption is uncertain. These measures balance delivery reliability against the costs of resilience. Management should monitor measurable indicators, including the share of </w:t>
      </w:r>
      <w:proofErr w:type="gramStart"/>
      <w:r>
        <w:t>cargoes</w:t>
      </w:r>
      <w:proofErr w:type="gramEnd"/>
      <w:r>
        <w:t xml:space="preserve"> delivered on time, the cost of replacement supply and recovery time after an outage. Such indicators would reveal whether resilience spending protects customers and margins rather than simply increasing overheads.</w:t>
      </w:r>
    </w:p>
    <w:p w14:paraId="64DA11F5" w14:textId="77777777" w:rsidR="00C05DAF" w:rsidRDefault="000E419E">
      <w:pPr>
        <w:pStyle w:val="Heading1"/>
      </w:pPr>
      <w:bookmarkStart w:id="5" w:name="_Toc240775962"/>
      <w:r>
        <w:t>6. Conclusion</w:t>
      </w:r>
      <w:bookmarkEnd w:id="5"/>
    </w:p>
    <w:p w14:paraId="1CEFE2DC" w14:textId="77777777" w:rsidR="00C05DAF" w:rsidRDefault="000E419E">
      <w:r>
        <w:t xml:space="preserve">The 2026 Hormuz disruption exposed the vulnerability of globally integrated energy markets to a concentrated maritime route. Shell experienced Qatari production losses and shipping uncertainty alongside higher realised prices and stronger quarterly trading results. Its improved earnings cannot be attributed entirely to the crisis or treated as proof of lasting competitive advantage. The case illustrates why financial performance, physical supply continuity and customer reliability require separate </w:t>
      </w:r>
      <w:proofErr w:type="gramStart"/>
      <w:r>
        <w:t>assessment</w:t>
      </w:r>
      <w:proofErr w:type="gramEnd"/>
      <w:r>
        <w:t xml:space="preserve">. Shell should restore damaged facilities, stress-test its network, develop credible alternative cargo arrangements and manage price risk without </w:t>
      </w:r>
      <w:proofErr w:type="gramStart"/>
      <w:r>
        <w:t>assuming that</w:t>
      </w:r>
      <w:proofErr w:type="gramEnd"/>
      <w:r>
        <w:t xml:space="preserve"> hedging solves physical shortages. Because resilience carries costs, investments must be proportionate to plausible disruption scenarios and long-term demand. More broadly, international business competitiveness depends not simply on access to global markets but on sustaining commitments when the routes and assets supporting those markets are disrupted.</w:t>
      </w:r>
    </w:p>
    <w:p w14:paraId="39DED941" w14:textId="77777777" w:rsidR="00C05DAF" w:rsidRDefault="000E419E">
      <w:r>
        <w:br w:type="page"/>
      </w:r>
    </w:p>
    <w:p w14:paraId="35416975" w14:textId="77777777" w:rsidR="00C05DAF" w:rsidRDefault="000E419E">
      <w:pPr>
        <w:pStyle w:val="Heading1"/>
      </w:pPr>
      <w:bookmarkStart w:id="6" w:name="_Toc240775963"/>
      <w:r>
        <w:t>References</w:t>
      </w:r>
      <w:bookmarkEnd w:id="6"/>
    </w:p>
    <w:p w14:paraId="297774FD" w14:textId="095F07C8" w:rsidR="00C05DAF" w:rsidRDefault="000E419E">
      <w:pPr>
        <w:spacing w:after="100"/>
        <w:ind w:left="331" w:hanging="331"/>
      </w:pPr>
      <w:r>
        <w:t>Adrian, T., Azour, J., Chalk, N., Gourinchas, P.-O., Kammer, A., Selassie, A.A., Srinivasan, K. and Valdés, R. (</w:t>
      </w:r>
      <w:proofErr w:type="gramStart"/>
      <w:r>
        <w:t>2026) ‘</w:t>
      </w:r>
      <w:proofErr w:type="gramEnd"/>
      <w:r>
        <w:t xml:space="preserve">How the war in the Middle East is affecting energy, trade, and finance’, IMF Blog, 30 March. Available at: </w:t>
      </w:r>
      <w:hyperlink r:id="rId12" w:history="1">
        <w:r w:rsidRPr="00265DFC">
          <w:rPr>
            <w:rStyle w:val="Hyperlink"/>
          </w:rPr>
          <w:t>https://www.imf.org/en/blogs/articles/2026/03/30/how-the-war-in-the-middle-east-is-affecting-energy-trade-and-finance</w:t>
        </w:r>
      </w:hyperlink>
    </w:p>
    <w:p w14:paraId="66CFCC53" w14:textId="77777777" w:rsidR="00C05DAF" w:rsidRDefault="000E419E">
      <w:pPr>
        <w:spacing w:after="100"/>
        <w:ind w:left="331" w:hanging="331"/>
      </w:pPr>
      <w:r>
        <w:t>Christopher, M. and Peck, H. (2004) ‘Building the resilient supply chain’, The International Journal of Logistics Management, 15(2), pp. 1–14. https://doi.org/10.1108/09574090410700275.</w:t>
      </w:r>
    </w:p>
    <w:p w14:paraId="4CDE71C1" w14:textId="1DBA3F60" w:rsidR="00C05DAF" w:rsidRDefault="000E419E">
      <w:pPr>
        <w:spacing w:after="100"/>
        <w:ind w:left="331" w:hanging="331"/>
      </w:pPr>
      <w:r>
        <w:t>IEA (2026</w:t>
      </w:r>
      <w:proofErr w:type="gramStart"/>
      <w:r>
        <w:t>a) ‘</w:t>
      </w:r>
      <w:proofErr w:type="gramEnd"/>
      <w:r>
        <w:t>How global oil supplies have readjusted to help fill the huge gap left by the Strait of Hormuz shock’, 22 June. Available at</w:t>
      </w:r>
      <w:hyperlink r:id="rId13" w:history="1">
        <w:r w:rsidRPr="00967BC9">
          <w:rPr>
            <w:rStyle w:val="Hyperlink"/>
          </w:rPr>
          <w:t>: https://www.iea.org/commentaries/how-global-oil-supplies-have-readjusted-to-help-fill-the-huge-gap-left-by-the-strait-of-hormuz-shock</w:t>
        </w:r>
      </w:hyperlink>
      <w:r>
        <w:t xml:space="preserve"> </w:t>
      </w:r>
    </w:p>
    <w:p w14:paraId="0CBEDEA5" w14:textId="0D1E16CD" w:rsidR="00C05DAF" w:rsidRDefault="000E419E">
      <w:pPr>
        <w:spacing w:after="100"/>
        <w:ind w:left="331" w:hanging="331"/>
      </w:pPr>
      <w:r>
        <w:t xml:space="preserve">IEA (2026b) Gas Market Report, Q3-2026. Paris: International Energy Agency. Available at: </w:t>
      </w:r>
      <w:hyperlink r:id="rId14" w:history="1">
        <w:r w:rsidRPr="00FA7F79">
          <w:rPr>
            <w:rStyle w:val="Hyperlink"/>
          </w:rPr>
          <w:t>https://www.iea.org/reports/gas-market-report-q3-2026</w:t>
        </w:r>
      </w:hyperlink>
      <w:r>
        <w:t xml:space="preserve"> </w:t>
      </w:r>
    </w:p>
    <w:p w14:paraId="11701824" w14:textId="565D708B" w:rsidR="00C05DAF" w:rsidRDefault="000E419E">
      <w:pPr>
        <w:spacing w:after="100"/>
        <w:ind w:left="331" w:hanging="331"/>
      </w:pPr>
      <w:r>
        <w:t xml:space="preserve">IEA (2026c) Oil Market Report – June 2026. Paris: International Energy Agency. Available at: </w:t>
      </w:r>
      <w:hyperlink r:id="rId15" w:history="1">
        <w:r w:rsidRPr="00314CE7">
          <w:rPr>
            <w:rStyle w:val="Hyperlink"/>
          </w:rPr>
          <w:t>https://www.iea.org/reports/oil-market-report-june-2026</w:t>
        </w:r>
      </w:hyperlink>
      <w:r>
        <w:t xml:space="preserve"> </w:t>
      </w:r>
    </w:p>
    <w:p w14:paraId="145AD966" w14:textId="321C9864" w:rsidR="00C05DAF" w:rsidRPr="00A57235" w:rsidRDefault="000E419E">
      <w:pPr>
        <w:spacing w:after="100"/>
        <w:ind w:left="331" w:hanging="331"/>
        <w:rPr>
          <w:rStyle w:val="Hyperlink"/>
        </w:rPr>
      </w:pPr>
      <w:r>
        <w:t xml:space="preserve">Ivanov, D. and Dolgui, A. (2022) ‘Stress testing supply chains and creating viable ecosystems’, Operations Management Research, 15, pp. 475–486. </w:t>
      </w:r>
      <w:r w:rsidR="00A57235">
        <w:fldChar w:fldCharType="begin"/>
      </w:r>
      <w:r w:rsidR="00A57235">
        <w:instrText>HYPERLINK "https://doi.org/10.1007/s12063-021-00194-z."</w:instrText>
      </w:r>
      <w:r w:rsidR="00A57235">
        <w:fldChar w:fldCharType="separate"/>
      </w:r>
      <w:r w:rsidRPr="00A57235">
        <w:rPr>
          <w:rStyle w:val="Hyperlink"/>
        </w:rPr>
        <w:t>https://doi.org/10.1007/s12063-021-00194-z.</w:t>
      </w:r>
    </w:p>
    <w:p w14:paraId="7C52D9FE" w14:textId="182721E8" w:rsidR="00C05DAF" w:rsidRDefault="00A57235">
      <w:pPr>
        <w:spacing w:after="100"/>
        <w:ind w:left="331" w:hanging="331"/>
      </w:pPr>
      <w:r>
        <w:fldChar w:fldCharType="end"/>
      </w:r>
      <w:r w:rsidR="000E419E">
        <w:t>Porter, M.E. (1980) Competitive Strategy: Techniques for Analyzing Industries and Competitors. New York: Free Press.</w:t>
      </w:r>
    </w:p>
    <w:p w14:paraId="1181F178" w14:textId="59B35591" w:rsidR="00C05DAF" w:rsidRDefault="000E419E">
      <w:pPr>
        <w:spacing w:after="100"/>
        <w:ind w:left="331" w:hanging="331"/>
      </w:pPr>
      <w:r>
        <w:t xml:space="preserve">Shell plc (2026a) Annual Report and Accounts 2025. London: Shell plc. Available at: </w:t>
      </w:r>
      <w:hyperlink r:id="rId16" w:history="1">
        <w:r w:rsidRPr="00AF6562">
          <w:rPr>
            <w:rStyle w:val="Hyperlink"/>
          </w:rPr>
          <w:t>https://www.shell.com/investors/results-and-reporting/annual-report.html</w:t>
        </w:r>
      </w:hyperlink>
      <w:r>
        <w:t xml:space="preserve"> </w:t>
      </w:r>
    </w:p>
    <w:p w14:paraId="41193660" w14:textId="4FE68A0B" w:rsidR="00C05DAF" w:rsidRDefault="000E419E">
      <w:pPr>
        <w:spacing w:after="100"/>
        <w:ind w:left="331" w:hanging="331"/>
      </w:pPr>
      <w:r>
        <w:t xml:space="preserve">Shell plc (2026b) ‘Impact of Middle East conflict on Shell activities’, 19–20 March. Available at: </w:t>
      </w:r>
      <w:hyperlink r:id="rId17" w:history="1">
        <w:r w:rsidRPr="00457FEB">
          <w:rPr>
            <w:rStyle w:val="Hyperlink"/>
          </w:rPr>
          <w:t>https://www.shell.com/news-and-insights/newsroom/news-and-media-releases/2026/impact-of-middle-east-conflict-on-shell-activities.html</w:t>
        </w:r>
      </w:hyperlink>
      <w:r>
        <w:t xml:space="preserve"> </w:t>
      </w:r>
    </w:p>
    <w:p w14:paraId="7F47DA09" w14:textId="5A4AB730" w:rsidR="00C05DAF" w:rsidRDefault="000E419E">
      <w:pPr>
        <w:spacing w:after="100"/>
        <w:ind w:left="331" w:hanging="331"/>
      </w:pPr>
      <w:r>
        <w:t xml:space="preserve">Shell plc (2026c) Second Quarter 2026 and Half Year Unaudited Results, 30 July. Available at: </w:t>
      </w:r>
      <w:hyperlink r:id="rId18" w:history="1">
        <w:r w:rsidRPr="000E419E">
          <w:rPr>
            <w:rStyle w:val="Hyperlink"/>
          </w:rPr>
          <w:t>https://www.sec.gov/Archives/edgar/data/1306965/000162828026050763/shel-20260630.htm</w:t>
        </w:r>
      </w:hyperlink>
      <w:r>
        <w:t xml:space="preserve"> </w:t>
      </w:r>
    </w:p>
    <w:p w14:paraId="02849152" w14:textId="7F629B8D" w:rsidR="00C05DAF" w:rsidRDefault="000E419E">
      <w:pPr>
        <w:spacing w:after="100"/>
        <w:ind w:left="331" w:hanging="331"/>
      </w:pPr>
      <w:r>
        <w:t xml:space="preserve">UNCTAD (2025) Review of Maritime Transport 2025: Staying the course in turbulent waters. Geneva: United Nations Trade and Development. Available at: </w:t>
      </w:r>
      <w:hyperlink r:id="rId19" w:history="1">
        <w:r w:rsidRPr="000E419E">
          <w:rPr>
            <w:rStyle w:val="Hyperlink"/>
          </w:rPr>
          <w:t>https://unctad.org/publication/review-maritime-transport-2025</w:t>
        </w:r>
      </w:hyperlink>
      <w:r>
        <w:t xml:space="preserve"> </w:t>
      </w:r>
    </w:p>
    <w:p w14:paraId="32C7A89E" w14:textId="311871DD" w:rsidR="00C05DAF" w:rsidRDefault="000E419E">
      <w:pPr>
        <w:spacing w:after="100"/>
        <w:ind w:left="331" w:hanging="331"/>
      </w:pPr>
      <w:r>
        <w:t>Wieland, A. and Durach, C.F. (2021) ‘Two perspectives on supply chain resilience’, Journal of Business Logistics, 42(3), pp. 315–322</w:t>
      </w:r>
      <w:hyperlink r:id="rId20" w:history="1">
        <w:r w:rsidRPr="00846752">
          <w:rPr>
            <w:rStyle w:val="Hyperlink"/>
          </w:rPr>
          <w:t>. https://doi.org/10.1111/jbl.12271.</w:t>
        </w:r>
      </w:hyperlink>
    </w:p>
    <w:sectPr w:rsidR="00C05DAF" w:rsidSect="00034616">
      <w:footerReference w:type="default" r:id="rId21"/>
      <w:pgSz w:w="12240" w:h="15840"/>
      <w:pgMar w:top="1152" w:right="1800" w:bottom="108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1A8798" w14:textId="77777777" w:rsidR="00736394" w:rsidRDefault="00736394" w:rsidP="004C26B7">
      <w:pPr>
        <w:spacing w:after="0" w:line="240" w:lineRule="auto"/>
      </w:pPr>
      <w:r>
        <w:separator/>
      </w:r>
    </w:p>
  </w:endnote>
  <w:endnote w:type="continuationSeparator" w:id="0">
    <w:p w14:paraId="4E938B0D" w14:textId="77777777" w:rsidR="00736394" w:rsidRDefault="00736394" w:rsidP="004C26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3223681"/>
      <w:docPartObj>
        <w:docPartGallery w:val="Page Numbers (Bottom of Page)"/>
        <w:docPartUnique/>
      </w:docPartObj>
    </w:sdtPr>
    <w:sdtEndPr/>
    <w:sdtContent>
      <w:p w14:paraId="0462532E" w14:textId="6AD54DA2" w:rsidR="004C26B7" w:rsidRDefault="004C26B7">
        <w:pPr>
          <w:pStyle w:val="Footer"/>
        </w:pPr>
        <w:r>
          <w:fldChar w:fldCharType="begin"/>
        </w:r>
        <w:r>
          <w:instrText>PAGE   \* MERGEFORMAT</w:instrText>
        </w:r>
        <w:r>
          <w:fldChar w:fldCharType="separate"/>
        </w:r>
        <w:r>
          <w:rPr>
            <w:lang w:val="en-GB"/>
          </w:rPr>
          <w:t>2</w:t>
        </w:r>
        <w:r>
          <w:fldChar w:fldCharType="end"/>
        </w:r>
      </w:p>
    </w:sdtContent>
  </w:sdt>
  <w:p w14:paraId="487B8580" w14:textId="77777777" w:rsidR="004C26B7" w:rsidRDefault="004C26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DBB39C" w14:textId="77777777" w:rsidR="00736394" w:rsidRDefault="00736394" w:rsidP="004C26B7">
      <w:pPr>
        <w:spacing w:after="0" w:line="240" w:lineRule="auto"/>
      </w:pPr>
      <w:r>
        <w:separator/>
      </w:r>
    </w:p>
  </w:footnote>
  <w:footnote w:type="continuationSeparator" w:id="0">
    <w:p w14:paraId="3901117C" w14:textId="77777777" w:rsidR="00736394" w:rsidRDefault="00736394" w:rsidP="004C26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608655042">
    <w:abstractNumId w:val="8"/>
  </w:num>
  <w:num w:numId="2" w16cid:durableId="397897700">
    <w:abstractNumId w:val="6"/>
  </w:num>
  <w:num w:numId="3" w16cid:durableId="124473992">
    <w:abstractNumId w:val="5"/>
  </w:num>
  <w:num w:numId="4" w16cid:durableId="1582828946">
    <w:abstractNumId w:val="4"/>
  </w:num>
  <w:num w:numId="5" w16cid:durableId="1974629648">
    <w:abstractNumId w:val="7"/>
  </w:num>
  <w:num w:numId="6" w16cid:durableId="1886797725">
    <w:abstractNumId w:val="3"/>
  </w:num>
  <w:num w:numId="7" w16cid:durableId="1774593087">
    <w:abstractNumId w:val="2"/>
  </w:num>
  <w:num w:numId="8" w16cid:durableId="946497409">
    <w:abstractNumId w:val="1"/>
  </w:num>
  <w:num w:numId="9" w16cid:durableId="2668193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E419E"/>
    <w:rsid w:val="0015074B"/>
    <w:rsid w:val="00265DFC"/>
    <w:rsid w:val="0029639D"/>
    <w:rsid w:val="002A017E"/>
    <w:rsid w:val="00314CE7"/>
    <w:rsid w:val="00323C30"/>
    <w:rsid w:val="00326F90"/>
    <w:rsid w:val="00457FEB"/>
    <w:rsid w:val="004C26B7"/>
    <w:rsid w:val="00736394"/>
    <w:rsid w:val="00846752"/>
    <w:rsid w:val="008966F9"/>
    <w:rsid w:val="00904D94"/>
    <w:rsid w:val="00967BC9"/>
    <w:rsid w:val="009E31CC"/>
    <w:rsid w:val="00A02280"/>
    <w:rsid w:val="00A57235"/>
    <w:rsid w:val="00AA1D8D"/>
    <w:rsid w:val="00AF6562"/>
    <w:rsid w:val="00B22E12"/>
    <w:rsid w:val="00B47730"/>
    <w:rsid w:val="00BF59B2"/>
    <w:rsid w:val="00C05DAF"/>
    <w:rsid w:val="00C65178"/>
    <w:rsid w:val="00CB0664"/>
    <w:rsid w:val="00DD3080"/>
    <w:rsid w:val="00EE260D"/>
    <w:rsid w:val="00FA7F79"/>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1F6269A"/>
  <w14:defaultImageDpi w14:val="300"/>
  <w15:docId w15:val="{CABB3B3C-A0F5-417B-88D8-F32BA30A0B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017E"/>
    <w:pPr>
      <w:spacing w:after="120"/>
    </w:pPr>
    <w:rPr>
      <w:rFonts w:ascii="Aptos" w:hAnsi="Aptos"/>
      <w:sz w:val="32"/>
    </w:rPr>
  </w:style>
  <w:style w:type="paragraph" w:styleId="Heading1">
    <w:name w:val="heading 1"/>
    <w:basedOn w:val="Normal"/>
    <w:next w:val="Normal"/>
    <w:link w:val="Heading1Char"/>
    <w:uiPriority w:val="9"/>
    <w:qFormat/>
    <w:rsid w:val="002A017E"/>
    <w:pPr>
      <w:keepNext/>
      <w:keepLines/>
      <w:spacing w:before="480" w:after="0"/>
      <w:outlineLvl w:val="0"/>
    </w:pPr>
    <w:rPr>
      <w:rFonts w:asciiTheme="majorHAnsi" w:eastAsiaTheme="majorEastAsia" w:hAnsiTheme="majorHAnsi" w:cstheme="majorBidi"/>
      <w:b/>
      <w:bCs/>
      <w:color w:val="000000" w:themeColor="text1"/>
      <w:sz w:val="36"/>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2A017E"/>
    <w:rPr>
      <w:rFonts w:asciiTheme="majorHAnsi" w:eastAsiaTheme="majorEastAsia" w:hAnsiTheme="majorHAnsi" w:cstheme="majorBidi"/>
      <w:b/>
      <w:bCs/>
      <w:color w:val="000000" w:themeColor="text1"/>
      <w:sz w:val="36"/>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DD3080"/>
    <w:pPr>
      <w:pBdr>
        <w:bottom w:val="single" w:sz="8" w:space="4" w:color="4F81BD" w:themeColor="accent1"/>
      </w:pBdr>
      <w:spacing w:after="300" w:line="240" w:lineRule="auto"/>
      <w:contextualSpacing/>
      <w:jc w:val="center"/>
    </w:pPr>
    <w:rPr>
      <w:rFonts w:asciiTheme="majorHAnsi" w:eastAsiaTheme="majorEastAsia" w:hAnsiTheme="majorHAnsi" w:cstheme="majorBidi"/>
      <w:b/>
      <w:color w:val="000000" w:themeColor="text1"/>
      <w:spacing w:val="5"/>
      <w:kern w:val="28"/>
      <w:sz w:val="52"/>
      <w:szCs w:val="52"/>
    </w:rPr>
  </w:style>
  <w:style w:type="character" w:customStyle="1" w:styleId="TitleChar">
    <w:name w:val="Title Char"/>
    <w:basedOn w:val="DefaultParagraphFont"/>
    <w:link w:val="Title"/>
    <w:uiPriority w:val="10"/>
    <w:rsid w:val="00DD3080"/>
    <w:rPr>
      <w:rFonts w:asciiTheme="majorHAnsi" w:eastAsiaTheme="majorEastAsia" w:hAnsiTheme="majorHAnsi" w:cstheme="majorBidi"/>
      <w:b/>
      <w:color w:val="000000" w:themeColor="text1"/>
      <w:spacing w:val="5"/>
      <w:kern w:val="28"/>
      <w:sz w:val="52"/>
      <w:szCs w:val="52"/>
    </w:rPr>
  </w:style>
  <w:style w:type="paragraph" w:styleId="Subtitle">
    <w:name w:val="Subtitle"/>
    <w:basedOn w:val="Normal"/>
    <w:next w:val="Normal"/>
    <w:link w:val="SubtitleChar"/>
    <w:uiPriority w:val="11"/>
    <w:qFormat/>
    <w:rsid w:val="00DD3080"/>
    <w:pPr>
      <w:numPr>
        <w:ilvl w:val="1"/>
      </w:numPr>
    </w:pPr>
    <w:rPr>
      <w:rFonts w:asciiTheme="majorHAnsi" w:eastAsiaTheme="majorEastAsia" w:hAnsiTheme="majorHAnsi" w:cstheme="majorBidi"/>
      <w:b/>
      <w:i/>
      <w:iCs/>
      <w:color w:val="000000" w:themeColor="text1"/>
      <w:spacing w:val="15"/>
      <w:sz w:val="36"/>
      <w:szCs w:val="24"/>
    </w:rPr>
  </w:style>
  <w:style w:type="character" w:customStyle="1" w:styleId="SubtitleChar">
    <w:name w:val="Subtitle Char"/>
    <w:basedOn w:val="DefaultParagraphFont"/>
    <w:link w:val="Subtitle"/>
    <w:uiPriority w:val="11"/>
    <w:rsid w:val="00DD3080"/>
    <w:rPr>
      <w:rFonts w:asciiTheme="majorHAnsi" w:eastAsiaTheme="majorEastAsia" w:hAnsiTheme="majorHAnsi" w:cstheme="majorBidi"/>
      <w:b/>
      <w:i/>
      <w:iCs/>
      <w:color w:val="000000" w:themeColor="text1"/>
      <w:spacing w:val="15"/>
      <w:sz w:val="36"/>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9E31CC"/>
    <w:pPr>
      <w:spacing w:after="100"/>
    </w:pPr>
  </w:style>
  <w:style w:type="character" w:styleId="Hyperlink">
    <w:name w:val="Hyperlink"/>
    <w:basedOn w:val="DefaultParagraphFont"/>
    <w:uiPriority w:val="99"/>
    <w:unhideWhenUsed/>
    <w:rsid w:val="009E31CC"/>
    <w:rPr>
      <w:color w:val="0000FF" w:themeColor="hyperlink"/>
      <w:u w:val="single"/>
    </w:rPr>
  </w:style>
  <w:style w:type="character" w:styleId="UnresolvedMention">
    <w:name w:val="Unresolved Mention"/>
    <w:basedOn w:val="DefaultParagraphFont"/>
    <w:uiPriority w:val="99"/>
    <w:semiHidden/>
    <w:unhideWhenUsed/>
    <w:rsid w:val="000E419E"/>
    <w:rPr>
      <w:color w:val="605E5C"/>
      <w:shd w:val="clear" w:color="auto" w:fill="E1DFDD"/>
    </w:rPr>
  </w:style>
  <w:style w:type="character" w:customStyle="1" w:styleId="NoSpacingChar">
    <w:name w:val="No Spacing Char"/>
    <w:basedOn w:val="DefaultParagraphFont"/>
    <w:link w:val="NoSpacing"/>
    <w:uiPriority w:val="1"/>
    <w:rsid w:val="00BF59B2"/>
  </w:style>
  <w:style w:type="character" w:styleId="FollowedHyperlink">
    <w:name w:val="FollowedHyperlink"/>
    <w:basedOn w:val="DefaultParagraphFont"/>
    <w:uiPriority w:val="99"/>
    <w:semiHidden/>
    <w:unhideWhenUsed/>
    <w:rsid w:val="00457FEB"/>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20https:/www.iea.org/commentaries/how-global-oil-supplies-have-readjusted-to-help-fill-the-huge-gap-left-by-the-strait-of-hormuz-shock" TargetMode="External"/><Relationship Id="rId18" Type="http://schemas.openxmlformats.org/officeDocument/2006/relationships/hyperlink" Target="https://www.sec.gov/Archives/edgar/data/1306965/000162828026050763/shel-20260630.htm"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www.imf.org/en/blogs/articles/2026/03/30/how-the-war-in-the-middle-east-is-affecting-energy-trade-and-finance%20" TargetMode="External"/><Relationship Id="rId17" Type="http://schemas.openxmlformats.org/officeDocument/2006/relationships/hyperlink" Target="https://www.shell.com/news-and-insights/newsroom/news-and-media-releases/2026/impact-of-middle-east-conflict-on-shell-activities.html%20" TargetMode="External"/><Relationship Id="rId2" Type="http://schemas.openxmlformats.org/officeDocument/2006/relationships/customXml" Target="../customXml/item2.xml"/><Relationship Id="rId16" Type="http://schemas.openxmlformats.org/officeDocument/2006/relationships/hyperlink" Target="https://www.shell.com/investors/results-and-reporting/annual-report.html%20" TargetMode="External"/><Relationship Id="rId20" Type="http://schemas.openxmlformats.org/officeDocument/2006/relationships/hyperlink" Target=".%20https:/doi.org/10.1111/jbl.1227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iea.org/reports/oil-market-report-june-2026%2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unctad.org/publication/review-maritime-transport-2025%2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iea.org/reports/gas-market-report-q3-2026%20"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_activity xmlns="37a0acea-1511-41cc-bfdb-5619dd373231"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D38C5239C7AD241AEBCE7A5605A517A" ma:contentTypeVersion="6" ma:contentTypeDescription="Create a new document." ma:contentTypeScope="" ma:versionID="1dc0e8a8dc9bb55f303baa0eaac86d07">
  <xsd:schema xmlns:xsd="http://www.w3.org/2001/XMLSchema" xmlns:xs="http://www.w3.org/2001/XMLSchema" xmlns:p="http://schemas.microsoft.com/office/2006/metadata/properties" xmlns:ns3="37a0acea-1511-41cc-bfdb-5619dd373231" targetNamespace="http://schemas.microsoft.com/office/2006/metadata/properties" ma:root="true" ma:fieldsID="13050c655d3f563d9522639d87b8d40c" ns3:_="">
    <xsd:import namespace="37a0acea-1511-41cc-bfdb-5619dd37323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7a0acea-1511-41cc-bfdb-5619dd37323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77A92E36-76D9-4F98-904E-714D7035AFF2}">
  <ds:schemaRefs>
    <ds:schemaRef ds:uri="http://schemas.microsoft.com/office/2006/metadata/properties"/>
    <ds:schemaRef ds:uri="http://www.w3.org/2000/xmlns/"/>
    <ds:schemaRef ds:uri="37a0acea-1511-41cc-bfdb-5619dd373231"/>
    <ds:schemaRef ds:uri="http://www.w3.org/2001/XMLSchema-instance"/>
    <ds:schemaRef ds:uri="http://schemas.microsoft.com/office/infopath/2007/PartnerControls"/>
  </ds:schemaRefs>
</ds:datastoreItem>
</file>

<file path=customXml/itemProps3.xml><?xml version="1.0" encoding="utf-8"?>
<ds:datastoreItem xmlns:ds="http://schemas.openxmlformats.org/officeDocument/2006/customXml" ds:itemID="{6942B550-ABA9-45A1-8F4E-67B986782DB6}">
  <ds:schemaRefs>
    <ds:schemaRef ds:uri="http://schemas.microsoft.com/sharepoint/v3/contenttype/forms"/>
  </ds:schemaRefs>
</ds:datastoreItem>
</file>

<file path=customXml/itemProps4.xml><?xml version="1.0" encoding="utf-8"?>
<ds:datastoreItem xmlns:ds="http://schemas.openxmlformats.org/officeDocument/2006/customXml" ds:itemID="{01162056-D70E-43C6-8583-4E194ECB74B0}">
  <ds:schemaRefs>
    <ds:schemaRef ds:uri="http://schemas.microsoft.com/office/2006/metadata/contentType"/>
    <ds:schemaRef ds:uri="http://schemas.microsoft.com/office/2006/metadata/properties/metaAttributes"/>
    <ds:schemaRef ds:uri="http://www.w3.org/2000/xmlns/"/>
    <ds:schemaRef ds:uri="http://www.w3.org/2001/XMLSchema"/>
    <ds:schemaRef ds:uri="37a0acea-1511-41cc-bfdb-5619dd373231"/>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2221</Words>
  <Characters>12661</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14853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Nina Saibel</cp:lastModifiedBy>
  <cp:revision>3</cp:revision>
  <dcterms:created xsi:type="dcterms:W3CDTF">2026-10-12T04:35:00Z</dcterms:created>
  <dcterms:modified xsi:type="dcterms:W3CDTF">2026-10-15T20:21:00Z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0x0101002D38C5239C7AD241AEBCE7A5605A517A</vt:lpwstr>
  </property>
</Properties>
</file>