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C0721" w14:textId="77777777" w:rsidR="004924CE" w:rsidRDefault="004924CE">
      <w:r>
        <w:t>Charlotte Smith</w:t>
      </w:r>
    </w:p>
    <w:p w14:paraId="726F9749" w14:textId="77777777" w:rsidR="004924CE" w:rsidRDefault="004924CE">
      <w:r>
        <w:t>Student Number:1702307</w:t>
      </w:r>
    </w:p>
    <w:p w14:paraId="15B92E37" w14:textId="0DDA0482" w:rsidR="00642EAC" w:rsidRDefault="00642EAC">
      <w:r>
        <w:t xml:space="preserve">How important was the concept of economic reward in motivating people to go on </w:t>
      </w:r>
      <w:r w:rsidR="000E25F8">
        <w:t>crusade?</w:t>
      </w:r>
    </w:p>
    <w:p w14:paraId="4F370E8F" w14:textId="0E366D3A" w:rsidR="00EE6320" w:rsidRDefault="00EE6320" w:rsidP="00371165">
      <w:pPr>
        <w:pStyle w:val="NoSpacing"/>
      </w:pPr>
    </w:p>
    <w:p w14:paraId="5909056A" w14:textId="17FEEBB2" w:rsidR="00EE6320" w:rsidRDefault="00EE6320" w:rsidP="005A5529">
      <w:pPr>
        <w:pStyle w:val="NoSpacing"/>
        <w:spacing w:line="480" w:lineRule="auto"/>
      </w:pPr>
      <w:r>
        <w:t xml:space="preserve">This essay will focus on the first three crusades as they had the clearest motives and therefore will be able to know how important or how not important the concept of economic reward in motivating people to go on crusade. </w:t>
      </w:r>
      <w:r w:rsidR="001F7E24">
        <w:t>My argument is whilst the concept of economic reward was important</w:t>
      </w:r>
      <w:r w:rsidR="006068A9">
        <w:t xml:space="preserve"> as well as the concept of glory</w:t>
      </w:r>
      <w:r w:rsidR="001F7E24">
        <w:t xml:space="preserve">, religion seems to be </w:t>
      </w:r>
      <w:r w:rsidR="003845C0">
        <w:t>a</w:t>
      </w:r>
      <w:r w:rsidR="001F7E24">
        <w:t xml:space="preserve"> more important concept in motivating people </w:t>
      </w:r>
      <w:r w:rsidR="00537C6D">
        <w:t xml:space="preserve">to go on crusade. </w:t>
      </w:r>
    </w:p>
    <w:p w14:paraId="42A07C20" w14:textId="77777777" w:rsidR="005A5529" w:rsidRDefault="005A5529" w:rsidP="005A5529">
      <w:pPr>
        <w:spacing w:line="480" w:lineRule="auto"/>
      </w:pPr>
      <w:r>
        <w:t xml:space="preserve">               </w:t>
      </w:r>
      <w:r w:rsidR="00983A41">
        <w:t xml:space="preserve">To understand how important the concept of economic reward in motivating people was to go on crusade we must understand why the crusade was called in the first place. When pope urban planned the crusade, he was in part reacting to appeals for military help from the byzantine empire, which was on the defensive against Turkish forces. </w:t>
      </w:r>
      <w:r w:rsidR="00BC6707">
        <w:rPr>
          <w:rStyle w:val="FootnoteReference"/>
        </w:rPr>
        <w:footnoteReference w:id="1"/>
      </w:r>
      <w:r w:rsidR="00F23AB0">
        <w:t xml:space="preserve"> The eastern church had split from the western church in</w:t>
      </w:r>
      <w:r w:rsidR="00976F4C">
        <w:t xml:space="preserve"> the great schism of 105</w:t>
      </w:r>
      <w:r w:rsidR="009A0CD4">
        <w:t>4</w:t>
      </w:r>
      <w:r w:rsidR="00F23AB0">
        <w:t xml:space="preserve"> </w:t>
      </w:r>
      <w:r w:rsidR="00976F4C">
        <w:rPr>
          <w:rStyle w:val="FootnoteReference"/>
        </w:rPr>
        <w:footnoteReference w:id="2"/>
      </w:r>
      <w:r w:rsidR="009A0CD4">
        <w:t>and</w:t>
      </w:r>
      <w:r w:rsidR="00F23AB0">
        <w:t xml:space="preserve"> so when emperor </w:t>
      </w:r>
      <w:r w:rsidR="00AB4400">
        <w:t>Alexis’s</w:t>
      </w:r>
      <w:r w:rsidR="00F23AB0">
        <w:t xml:space="preserve"> had written and asked for help pope urban II had hoped that by helping the </w:t>
      </w:r>
      <w:r w:rsidR="00AB4400">
        <w:t>Latin</w:t>
      </w:r>
      <w:r w:rsidR="00F23AB0">
        <w:t xml:space="preserve"> church he could </w:t>
      </w:r>
      <w:r w:rsidR="00AB4400">
        <w:t>unite</w:t>
      </w:r>
      <w:r w:rsidR="00F23AB0">
        <w:t xml:space="preserve"> them under one faith. </w:t>
      </w:r>
      <w:r w:rsidR="00AB4400">
        <w:t>Therefore,</w:t>
      </w:r>
      <w:r w:rsidR="00F23AB0">
        <w:t xml:space="preserve"> suggesting a religious motive as well as a slightly </w:t>
      </w:r>
      <w:r w:rsidR="00AB4400">
        <w:t>political</w:t>
      </w:r>
      <w:r w:rsidR="00F23AB0">
        <w:t xml:space="preserve"> one. </w:t>
      </w:r>
      <w:r w:rsidR="00FF4501">
        <w:t>Another reason of why the first was called that suggests a more religious motivator rather than an economic one was the battle of Manzikurt in 10</w:t>
      </w:r>
      <w:r w:rsidR="00EC73A0">
        <w:t>71.</w:t>
      </w:r>
      <w:r w:rsidR="00034408">
        <w:t xml:space="preserve"> </w:t>
      </w:r>
      <w:r w:rsidR="00434410" w:rsidRPr="00034408">
        <w:t xml:space="preserve">The Seljuk victory at Manzikert showed </w:t>
      </w:r>
      <w:r w:rsidR="00C125E3" w:rsidRPr="00034408">
        <w:t>the</w:t>
      </w:r>
      <w:r w:rsidR="00434410" w:rsidRPr="00034408">
        <w:t xml:space="preserve"> decisive defeat of a Byzantine field army and capture of the Eastern Roman emperor sent </w:t>
      </w:r>
      <w:r w:rsidR="00434410" w:rsidRPr="00034408">
        <w:t>shockwaves across the Christian and Islamic worlds. The defeat of the byzantine army forced the Byzantine emperor Alexius I to ask for military assistance from Pope Urban II. Therefore, the battle of Manzikert is often portrayed as the beginning of a serie</w:t>
      </w:r>
      <w:r w:rsidR="00434410" w:rsidRPr="00034408">
        <w:t>s of events that eventually led to the origin of the First Crusade </w:t>
      </w:r>
      <w:r w:rsidR="00C125E3">
        <w:rPr>
          <w:rStyle w:val="FootnoteReference"/>
        </w:rPr>
        <w:footnoteReference w:id="3"/>
      </w:r>
      <w:r w:rsidR="00C13136">
        <w:t xml:space="preserve"> . Consequently, </w:t>
      </w:r>
      <w:r w:rsidR="00371165">
        <w:t xml:space="preserve">Economic reward in regards to the first crusade was not a great concept in motivating people as religious </w:t>
      </w:r>
      <w:r w:rsidR="00371165">
        <w:lastRenderedPageBreak/>
        <w:t xml:space="preserve">motivations were much more effective. Pope </w:t>
      </w:r>
      <w:r w:rsidR="005C3889">
        <w:t>urban’s</w:t>
      </w:r>
      <w:r w:rsidR="00371165">
        <w:t xml:space="preserve"> speech at Clermont was an indicator of how religion could be used to motivate a ‘holy war’</w:t>
      </w:r>
      <w:r w:rsidR="003133FD">
        <w:t xml:space="preserve">. The response of peter the hermit and the members of the people’s crusade </w:t>
      </w:r>
      <w:r w:rsidR="003A62AE">
        <w:t xml:space="preserve">showed how effective </w:t>
      </w:r>
      <w:r w:rsidR="0089349D">
        <w:t xml:space="preserve">religious </w:t>
      </w:r>
      <w:r w:rsidR="0089349D" w:rsidRPr="001878B0">
        <w:t>motivations</w:t>
      </w:r>
      <w:r w:rsidR="003A62AE" w:rsidRPr="001878B0">
        <w:t xml:space="preserve"> were in the 1</w:t>
      </w:r>
      <w:r w:rsidR="0089349D" w:rsidRPr="001878B0">
        <w:t>1</w:t>
      </w:r>
      <w:r w:rsidR="003A62AE" w:rsidRPr="001878B0">
        <w:rPr>
          <w:vertAlign w:val="superscript"/>
        </w:rPr>
        <w:t>th</w:t>
      </w:r>
      <w:r w:rsidR="003A62AE" w:rsidRPr="001878B0">
        <w:t xml:space="preserve"> century. </w:t>
      </w:r>
      <w:r w:rsidR="002C27E6" w:rsidRPr="001878B0">
        <w:t xml:space="preserve">As it was </w:t>
      </w:r>
      <w:r w:rsidR="0089349D" w:rsidRPr="001878B0">
        <w:t>mostly made up of peasants it enforces the idea of religion as a motivator as pilgrimages were very popular and gave the ordinary people a change to travel. Furthermore</w:t>
      </w:r>
      <w:r w:rsidR="0089349D">
        <w:t xml:space="preserve">, they wouldn’t </w:t>
      </w:r>
      <w:r w:rsidR="00103557">
        <w:t>have</w:t>
      </w:r>
      <w:r w:rsidR="0089349D">
        <w:t xml:space="preserve"> been interested in going to the holy land for land and wealth</w:t>
      </w:r>
      <w:r w:rsidR="0027197D">
        <w:t xml:space="preserve"> as they were</w:t>
      </w:r>
      <w:r w:rsidR="00C13136">
        <w:t xml:space="preserve"> made up of very pious people who didn’t really have the ambition to try and increase </w:t>
      </w:r>
      <w:r w:rsidR="001A1C6F">
        <w:t>their</w:t>
      </w:r>
      <w:r w:rsidR="00C13136">
        <w:t xml:space="preserve"> status.</w:t>
      </w:r>
      <w:r w:rsidR="001F2351">
        <w:t xml:space="preserve"> However, the idea that economic reward was very important in motivating people to go on crusade is disproved by religious piety being more important as they were ordered to wear an emblem in the shape of a cross. Under this sign they became soldiers of Christ.</w:t>
      </w:r>
      <w:r w:rsidR="001F2351">
        <w:rPr>
          <w:rStyle w:val="FootnoteReference"/>
        </w:rPr>
        <w:footnoteReference w:id="4"/>
      </w:r>
      <w:r w:rsidR="000201F9">
        <w:t xml:space="preserve"> </w:t>
      </w:r>
      <w:r w:rsidR="001F2351">
        <w:t>By taking the cross it showed the crusaders as motivated by religion and not of any economic gain. There</w:t>
      </w:r>
      <w:r w:rsidR="000201F9">
        <w:t xml:space="preserve"> were very few who would have been interested in economic reward in the first crusade and those would have been the </w:t>
      </w:r>
      <w:r w:rsidR="005A6912">
        <w:t xml:space="preserve">‘knights’ of </w:t>
      </w:r>
      <w:r w:rsidR="000201F9">
        <w:t>high society</w:t>
      </w:r>
      <w:r w:rsidR="00DD461C">
        <w:t xml:space="preserve">. For </w:t>
      </w:r>
      <w:r w:rsidR="000C6599">
        <w:t>example,</w:t>
      </w:r>
      <w:r w:rsidR="00DD461C">
        <w:t xml:space="preserve"> </w:t>
      </w:r>
      <w:r w:rsidR="00E96D2A">
        <w:t xml:space="preserve">Baldwin who set up the county of Edessa and later became the king of Jerusalem in 1100 following the death of his brother Godefrey of Bouillon. </w:t>
      </w:r>
      <w:r w:rsidR="00E96D2A">
        <w:rPr>
          <w:rStyle w:val="FootnoteReference"/>
        </w:rPr>
        <w:footnoteReference w:id="5"/>
      </w:r>
      <w:r w:rsidR="001F2351">
        <w:t xml:space="preserve"> </w:t>
      </w:r>
      <w:r w:rsidR="00BC58EC">
        <w:t>A</w:t>
      </w:r>
      <w:r w:rsidR="00F219BD">
        <w:t>s the youngest son of a count</w:t>
      </w:r>
      <w:r w:rsidR="00BC58EC">
        <w:t>,</w:t>
      </w:r>
      <w:r w:rsidR="00F219BD">
        <w:t xml:space="preserve"> </w:t>
      </w:r>
      <w:r w:rsidR="00F52747">
        <w:t xml:space="preserve">Baldwin would have been </w:t>
      </w:r>
      <w:r w:rsidR="00BC58EC">
        <w:t>interested</w:t>
      </w:r>
      <w:r w:rsidR="00F52747">
        <w:t xml:space="preserve"> in economic gain as he wouldn’t a received much in lower Lorraine</w:t>
      </w:r>
      <w:r w:rsidR="00BC58EC">
        <w:t xml:space="preserve"> where he lived. For Baldwin the first crusade was an opportunity for him to prosper but this wouldn’t </w:t>
      </w:r>
      <w:r w:rsidR="00FB4688">
        <w:t>have</w:t>
      </w:r>
      <w:r w:rsidR="00BC58EC">
        <w:t xml:space="preserve"> been the case for the ordinary people of the crusades and for them religion was a far more important motivator than economic gain for going on a crusade. </w:t>
      </w:r>
      <w:r w:rsidR="00F52747">
        <w:t xml:space="preserve"> </w:t>
      </w:r>
    </w:p>
    <w:p w14:paraId="346CED33" w14:textId="335A3895" w:rsidR="008F2A6C" w:rsidRDefault="005A5529" w:rsidP="005A5529">
      <w:pPr>
        <w:spacing w:line="480" w:lineRule="auto"/>
      </w:pPr>
      <w:r>
        <w:t xml:space="preserve">                       </w:t>
      </w:r>
      <w:r w:rsidR="006D05C1">
        <w:t xml:space="preserve">The second </w:t>
      </w:r>
      <w:r w:rsidR="00657759">
        <w:t>crusade</w:t>
      </w:r>
      <w:r>
        <w:t xml:space="preserve"> launched</w:t>
      </w:r>
      <w:r w:rsidR="006D05C1">
        <w:t xml:space="preserve"> in 11</w:t>
      </w:r>
      <w:r>
        <w:t>45</w:t>
      </w:r>
      <w:r w:rsidR="006D05C1">
        <w:t xml:space="preserve"> was </w:t>
      </w:r>
      <w:r w:rsidR="00657759">
        <w:t>called</w:t>
      </w:r>
      <w:r w:rsidR="006D05C1">
        <w:t xml:space="preserve"> in response to the fall of Edessa in 11</w:t>
      </w:r>
      <w:r w:rsidR="00E950DD">
        <w:t>44</w:t>
      </w:r>
      <w:r w:rsidR="006D05C1">
        <w:t xml:space="preserve">. </w:t>
      </w:r>
      <w:r w:rsidR="00657759">
        <w:t xml:space="preserve">Therefore, suggesting that </w:t>
      </w:r>
      <w:r w:rsidR="0018435B">
        <w:t xml:space="preserve">Religion, although the most important motivator in the first crusade was not so </w:t>
      </w:r>
      <w:r w:rsidR="00657759">
        <w:t xml:space="preserve">important in the second crusade as they were not intending to go for a religious reason but to rather take back what the crusaders saw as </w:t>
      </w:r>
      <w:r w:rsidR="00AA4E6E">
        <w:t>theirs</w:t>
      </w:r>
      <w:r w:rsidR="00657759">
        <w:t>.</w:t>
      </w:r>
      <w:r w:rsidR="003B392C">
        <w:t xml:space="preserve"> </w:t>
      </w:r>
      <w:r w:rsidR="00CD0A29" w:rsidRPr="00CD0A29">
        <w:t xml:space="preserve">Whilst </w:t>
      </w:r>
      <w:r w:rsidR="00815564" w:rsidRPr="00CD0A29">
        <w:t xml:space="preserve">religion </w:t>
      </w:r>
      <w:r w:rsidR="00CD0A29" w:rsidRPr="00CD0A29">
        <w:t>was still seen as an</w:t>
      </w:r>
      <w:r w:rsidR="00815564" w:rsidRPr="00CD0A29">
        <w:t xml:space="preserve"> important motivator as th</w:t>
      </w:r>
      <w:r w:rsidR="00815564">
        <w:t>e second crusade</w:t>
      </w:r>
      <w:r w:rsidR="00CD0A29">
        <w:t xml:space="preserve"> was issued</w:t>
      </w:r>
      <w:r w:rsidR="00815564">
        <w:t xml:space="preserve"> </w:t>
      </w:r>
      <w:r w:rsidR="006B0DD7">
        <w:t>t</w:t>
      </w:r>
      <w:r w:rsidR="00815564">
        <w:t xml:space="preserve">hrough </w:t>
      </w:r>
      <w:r w:rsidR="00CD0A29">
        <w:t>a</w:t>
      </w:r>
      <w:r w:rsidR="00E17A9E">
        <w:t xml:space="preserve"> speech</w:t>
      </w:r>
      <w:r w:rsidR="00CD0A29">
        <w:t xml:space="preserve"> called</w:t>
      </w:r>
      <w:r w:rsidR="0018435B">
        <w:t xml:space="preserve"> the quantum praedecessores, a p</w:t>
      </w:r>
      <w:r w:rsidR="00E17A9E">
        <w:t xml:space="preserve">apal bull issued by Pope </w:t>
      </w:r>
      <w:r w:rsidR="00CD0A29">
        <w:t>Eugenius</w:t>
      </w:r>
      <w:r w:rsidR="00E17A9E">
        <w:t xml:space="preserve">. </w:t>
      </w:r>
      <w:r w:rsidR="00CD0A29">
        <w:t>This</w:t>
      </w:r>
      <w:r w:rsidR="003275FB">
        <w:t xml:space="preserve"> included the phrase “</w:t>
      </w:r>
      <w:r w:rsidR="00434410" w:rsidRPr="003275FB">
        <w:t xml:space="preserve">we ask and </w:t>
      </w:r>
      <w:r w:rsidR="00434410" w:rsidRPr="003275FB">
        <w:lastRenderedPageBreak/>
        <w:t>command, and, for the remission of sins enjoin: that those who are of God, and, above all, the greater men and the nobles do manfully gird themselves; and that you st</w:t>
      </w:r>
      <w:r w:rsidR="00434410" w:rsidRPr="003275FB">
        <w:t>rive so to oppose the multitude of the infidels, who rejoice at the time in a victory gained over us, and s</w:t>
      </w:r>
      <w:r w:rsidR="003275FB">
        <w:t>o to defend the oriental church”. This phrase of the papal bull shows how the church intended to use religion as a concept to motivate people in going on a crusade by implying that if they didn’t fight to defend their faith they had no faith.</w:t>
      </w:r>
      <w:r w:rsidR="00D14FB0">
        <w:t xml:space="preserve"> </w:t>
      </w:r>
      <w:r w:rsidR="00E17A9E">
        <w:t xml:space="preserve">The reason why </w:t>
      </w:r>
      <w:r w:rsidR="00E17A9E">
        <w:t>religion is a less important motivator</w:t>
      </w:r>
      <w:r w:rsidR="00D14FB0">
        <w:t xml:space="preserve"> to some historians</w:t>
      </w:r>
      <w:r w:rsidR="00E17A9E">
        <w:t xml:space="preserve"> for the second crusade</w:t>
      </w:r>
      <w:r w:rsidR="00E17A9E">
        <w:t xml:space="preserve"> was that this papal bull </w:t>
      </w:r>
      <w:r w:rsidR="0018435B">
        <w:t>was not as effective as pope urbans’ speech at Clermont for the first crusade.</w:t>
      </w:r>
      <w:r w:rsidR="00D14FB0">
        <w:t xml:space="preserve"> In fact,</w:t>
      </w:r>
      <w:r w:rsidR="00E17A9E">
        <w:t xml:space="preserve"> </w:t>
      </w:r>
      <w:r w:rsidR="00D14FB0">
        <w:t>the</w:t>
      </w:r>
      <w:r w:rsidR="00A56FF6">
        <w:t xml:space="preserve"> papal bull was so </w:t>
      </w:r>
      <w:r w:rsidR="00B36361">
        <w:t xml:space="preserve">ineffective Bernard of Clairvaux was used to preach the crusade. </w:t>
      </w:r>
      <w:r w:rsidR="00E17A9E">
        <w:t xml:space="preserve">This is why religious motivation was more important than economic motivation as even though the first attempt to start a mass movement failed the second was still much successful then the </w:t>
      </w:r>
      <w:r w:rsidR="00954B44">
        <w:t>concept</w:t>
      </w:r>
      <w:r w:rsidR="00E17A9E">
        <w:t xml:space="preserve"> of </w:t>
      </w:r>
      <w:r w:rsidR="00954B44">
        <w:t xml:space="preserve">an economic reward in motivating people. </w:t>
      </w:r>
      <w:r w:rsidR="0018435B">
        <w:t>Furthermore, the lack of a religious motivator was shown by the reluctance of king Louis VII to lead the second crusade</w:t>
      </w:r>
      <w:r w:rsidR="0080074D">
        <w:t xml:space="preserve"> in response to hearing this papal bull</w:t>
      </w:r>
      <w:r w:rsidR="0018435B">
        <w:t xml:space="preserve">. </w:t>
      </w:r>
      <w:r w:rsidR="00520778">
        <w:t>However,</w:t>
      </w:r>
      <w:r w:rsidR="00133AC3">
        <w:t xml:space="preserve"> Bernard of </w:t>
      </w:r>
      <w:r w:rsidR="00520778">
        <w:t>Clairvaux</w:t>
      </w:r>
      <w:r w:rsidR="00133AC3">
        <w:t xml:space="preserve"> </w:t>
      </w:r>
      <w:r w:rsidR="00520778">
        <w:t>preaching’s</w:t>
      </w:r>
      <w:r w:rsidR="00133AC3">
        <w:t xml:space="preserve"> persuaded king </w:t>
      </w:r>
      <w:r w:rsidR="00520778">
        <w:t>louis</w:t>
      </w:r>
      <w:r w:rsidR="00133AC3">
        <w:t xml:space="preserve"> to go on crusade with the concept of </w:t>
      </w:r>
      <w:r w:rsidR="00520778">
        <w:t>remission</w:t>
      </w:r>
      <w:r w:rsidR="00133AC3">
        <w:t xml:space="preserve"> o</w:t>
      </w:r>
      <w:r w:rsidR="0080074D">
        <w:t>f</w:t>
      </w:r>
      <w:r w:rsidR="00133AC3">
        <w:t xml:space="preserve"> sins as </w:t>
      </w:r>
      <w:r w:rsidR="00520778">
        <w:t xml:space="preserve">a reward in going on a </w:t>
      </w:r>
      <w:r w:rsidR="0080074D">
        <w:t xml:space="preserve">crusade. This showed how influential that Bernard of Clairvaux was in using </w:t>
      </w:r>
      <w:r w:rsidR="0080074D" w:rsidRPr="00CD18D5">
        <w:t>remission of sins as a concept of religious reward in motivating people and leaders to go on crusade.</w:t>
      </w:r>
      <w:r w:rsidR="00F6771B" w:rsidRPr="00CD18D5">
        <w:t xml:space="preserve"> </w:t>
      </w:r>
      <w:r w:rsidR="0008693C" w:rsidRPr="00CD18D5">
        <w:t>The need for a remission on sins was especially important for</w:t>
      </w:r>
      <w:r w:rsidR="00133AC3" w:rsidRPr="00CD18D5">
        <w:t xml:space="preserve"> King louis </w:t>
      </w:r>
      <w:r w:rsidR="0008693C" w:rsidRPr="00CD18D5">
        <w:t xml:space="preserve">as he </w:t>
      </w:r>
      <w:r w:rsidR="00133AC3" w:rsidRPr="00CD18D5">
        <w:t xml:space="preserve">had </w:t>
      </w:r>
      <w:r w:rsidR="00520778" w:rsidRPr="00CD18D5">
        <w:t>massacred</w:t>
      </w:r>
      <w:r w:rsidR="0008693C" w:rsidRPr="00CD18D5">
        <w:t xml:space="preserve"> </w:t>
      </w:r>
      <w:r w:rsidR="00BB1906" w:rsidRPr="00CD18D5">
        <w:t xml:space="preserve">1,300 inhabitants by burning them alive in the church in a place called Vitry in champagne. </w:t>
      </w:r>
      <w:r w:rsidR="00BB1906" w:rsidRPr="00CD18D5">
        <w:rPr>
          <w:rStyle w:val="FootnoteReference"/>
        </w:rPr>
        <w:footnoteReference w:id="6"/>
      </w:r>
      <w:r w:rsidR="00BB1906" w:rsidRPr="00CD18D5">
        <w:t>A result the option to go on and lead a crusade was crucial by the motivation of a religious reward rather</w:t>
      </w:r>
      <w:r w:rsidR="00BB1906">
        <w:t xml:space="preserve"> than an economic one. T</w:t>
      </w:r>
      <w:r w:rsidR="00520778">
        <w:t>herefore,</w:t>
      </w:r>
      <w:r w:rsidR="00133AC3">
        <w:t xml:space="preserve"> the idea of penance as a reward for going on a </w:t>
      </w:r>
      <w:r w:rsidR="00520778">
        <w:t>crusade</w:t>
      </w:r>
      <w:r w:rsidR="00133AC3">
        <w:t xml:space="preserve"> was an important motivator and this idea also motivated many ordinary people, mostly</w:t>
      </w:r>
      <w:r w:rsidR="00CD18D5">
        <w:t xml:space="preserve"> knights in going on a crusade. </w:t>
      </w:r>
      <w:r w:rsidR="003748F7">
        <w:t>Furthermore,</w:t>
      </w:r>
      <w:r w:rsidR="006B4AC9">
        <w:t xml:space="preserve"> another concept that seemed to be an even more important motivator in going on a crusade was the idea of glory. The idea that the next wave of crusaders </w:t>
      </w:r>
      <w:r w:rsidR="003748F7">
        <w:t>was</w:t>
      </w:r>
      <w:r w:rsidR="006B4AC9">
        <w:t xml:space="preserve"> trying to recreate the success of the first crusade as stories of the heroic deeds of the crusaders would have been passed down and these crusaders </w:t>
      </w:r>
      <w:r w:rsidR="006B4AC9">
        <w:lastRenderedPageBreak/>
        <w:t xml:space="preserve">would have the chivalric ideology that knights would try to emulate. </w:t>
      </w:r>
      <w:r w:rsidR="003748F7">
        <w:t>To further support the idea of trying to recreate the success of the first crusade was that the go</w:t>
      </w:r>
      <w:r w:rsidR="003748F7" w:rsidRPr="00CD18D5">
        <w:t xml:space="preserve">al was to try and reclaim a holy city. Although Edessa was not as important as Jerusalem it still had religious significance as this was </w:t>
      </w:r>
      <w:r w:rsidR="00CD18D5" w:rsidRPr="00CD18D5">
        <w:t xml:space="preserve">a city where Christianity become </w:t>
      </w:r>
      <w:proofErr w:type="gramStart"/>
      <w:r w:rsidR="00CD18D5" w:rsidRPr="00CD18D5">
        <w:t>it’s</w:t>
      </w:r>
      <w:proofErr w:type="gramEnd"/>
      <w:r w:rsidR="00CD18D5" w:rsidRPr="00CD18D5">
        <w:t xml:space="preserve"> official religion and was part of the crusader states.</w:t>
      </w:r>
      <w:r w:rsidR="003748F7" w:rsidRPr="00CD18D5">
        <w:t xml:space="preserve"> In </w:t>
      </w:r>
      <w:r w:rsidR="00461B76" w:rsidRPr="00CD18D5">
        <w:t>fact</w:t>
      </w:r>
      <w:r w:rsidR="00461B76">
        <w:t>,</w:t>
      </w:r>
      <w:r w:rsidR="003748F7">
        <w:t xml:space="preserve"> the French king louis speech seems to be a military proposal, only with no reference to</w:t>
      </w:r>
      <w:r w:rsidR="00461B76">
        <w:t xml:space="preserve"> indulgences or privileges.</w:t>
      </w:r>
      <w:r w:rsidR="003748F7">
        <w:t xml:space="preserve">  </w:t>
      </w:r>
      <w:r w:rsidR="003748F7">
        <w:rPr>
          <w:rStyle w:val="FootnoteReference"/>
        </w:rPr>
        <w:footnoteReference w:id="7"/>
      </w:r>
      <w:r w:rsidR="00461B76">
        <w:t xml:space="preserve"> </w:t>
      </w:r>
      <w:r w:rsidR="004E0F8E">
        <w:t>Therefore,</w:t>
      </w:r>
      <w:r w:rsidR="000E25F8">
        <w:t xml:space="preserve"> </w:t>
      </w:r>
      <w:r w:rsidR="00CD18D5">
        <w:t>a religious</w:t>
      </w:r>
      <w:r w:rsidR="000E25F8">
        <w:t xml:space="preserve"> reward seemed a much important concept in motivating people to go on the second crusade </w:t>
      </w:r>
      <w:r w:rsidR="00CD18D5">
        <w:t>then the concept of an economic reward or the reward of glory.</w:t>
      </w:r>
    </w:p>
    <w:p w14:paraId="5C6CB043" w14:textId="5E2AF2F0" w:rsidR="00E950DD" w:rsidRDefault="00C24395" w:rsidP="005A5529">
      <w:pPr>
        <w:spacing w:line="480" w:lineRule="auto"/>
      </w:pPr>
      <w:r>
        <w:t xml:space="preserve">                    </w:t>
      </w:r>
      <w:r w:rsidR="008F2A6C">
        <w:t xml:space="preserve">For the third crusade religion </w:t>
      </w:r>
      <w:r w:rsidR="004353EE">
        <w:t>was still a more important motivator then the concept of economic reward in motivating people to go on crusade. Glory would be a close second but mostly for the leaders of the crusades and economic reward doesn’t seem to be a big motivator but rather an additional bonus if the crusaders managed to gain economic reward.</w:t>
      </w:r>
      <w:r w:rsidR="008454B7">
        <w:t xml:space="preserve"> </w:t>
      </w:r>
      <w:r w:rsidR="00E950DD">
        <w:t xml:space="preserve">The third crusade was called as a response to the fall of Jerusalem and the collapse of the crusader states. </w:t>
      </w:r>
      <w:r w:rsidR="00445D42">
        <w:t xml:space="preserve">Under </w:t>
      </w:r>
      <w:r w:rsidR="000E23C3">
        <w:t>Pope Gregory VIII</w:t>
      </w:r>
      <w:r w:rsidR="00C931B9">
        <w:t xml:space="preserve"> a letter named the Audita T</w:t>
      </w:r>
      <w:r w:rsidR="00445D42">
        <w:t>remendi was sent out and explained the disaster as a punishment</w:t>
      </w:r>
      <w:r w:rsidR="009465FA">
        <w:t xml:space="preserve"> for the sins not only of the Latin settlers but also of all Christians, whom it summoned to acts of </w:t>
      </w:r>
      <w:r w:rsidR="00C931B9">
        <w:t>penance</w:t>
      </w:r>
      <w:r w:rsidR="00EA3A98">
        <w:t>.</w:t>
      </w:r>
      <w:r w:rsidR="00EA3A98">
        <w:rPr>
          <w:rStyle w:val="FootnoteReference"/>
        </w:rPr>
        <w:footnoteReference w:id="8"/>
      </w:r>
      <w:r w:rsidR="009B1C21">
        <w:t xml:space="preserve"> This shows that the concept of economic reward was not that important in motivating people as this papal bull is calling for acts of penance and not traveling to the land of milk and honey.</w:t>
      </w:r>
      <w:r w:rsidR="00055CA0">
        <w:t xml:space="preserve"> Innocent III derives the motivation to act from the theology of redemption </w:t>
      </w:r>
      <w:r w:rsidR="0031458A">
        <w:t>in which Christ’s action of sacrificing himself to release man from the captivity of sins upon man the obligation to repay him in kind by freeing him from the infidel and restoring his inheritance.</w:t>
      </w:r>
      <w:r w:rsidR="00110A9A">
        <w:rPr>
          <w:rStyle w:val="FootnoteReference"/>
        </w:rPr>
        <w:footnoteReference w:id="9"/>
      </w:r>
      <w:r w:rsidR="0031458A">
        <w:t xml:space="preserve"> This is also taking about by going on crusade he will receive remission from sins and spiritual glory instead of materialistic wealth and land. </w:t>
      </w:r>
      <w:r w:rsidR="00FB4417">
        <w:t>Furthermore, religion being the most important motivator is shown not just for the ordinary members of the</w:t>
      </w:r>
      <w:r w:rsidR="006732B2">
        <w:t xml:space="preserve"> crusaders</w:t>
      </w:r>
      <w:r w:rsidR="00FB4417">
        <w:t xml:space="preserve"> but also the nobility </w:t>
      </w:r>
      <w:r w:rsidR="004924CE">
        <w:t>as on 27 M</w:t>
      </w:r>
      <w:r w:rsidR="00EF4579">
        <w:t xml:space="preserve">arch 1188, Fredrick </w:t>
      </w:r>
      <w:r w:rsidR="001878B0">
        <w:t>Barbarossa</w:t>
      </w:r>
      <w:r w:rsidR="00EF4579">
        <w:t xml:space="preserve"> summoned a special court</w:t>
      </w:r>
      <w:r w:rsidR="001878B0">
        <w:t>, a curia J</w:t>
      </w:r>
      <w:r w:rsidR="004F5F23">
        <w:t xml:space="preserve">esu Christi, at which he and many </w:t>
      </w:r>
      <w:r w:rsidR="001878B0">
        <w:t>German</w:t>
      </w:r>
      <w:r w:rsidR="004F5F23">
        <w:t xml:space="preserve"> </w:t>
      </w:r>
      <w:r w:rsidR="004F5F23">
        <w:lastRenderedPageBreak/>
        <w:t>nobles took the cross.</w:t>
      </w:r>
      <w:r w:rsidR="004F5F23">
        <w:rPr>
          <w:rStyle w:val="FootnoteReference"/>
        </w:rPr>
        <w:footnoteReference w:id="10"/>
      </w:r>
      <w:r w:rsidR="004F5F23">
        <w:t xml:space="preserve"> This proved that religion was still an Important motivator especially with those leading the crusade. Although f</w:t>
      </w:r>
      <w:r w:rsidR="00E950DD">
        <w:t>or the</w:t>
      </w:r>
      <w:r w:rsidR="004F5F23">
        <w:t xml:space="preserve"> other</w:t>
      </w:r>
      <w:r w:rsidR="00E950DD">
        <w:t xml:space="preserve"> leaders of the third crusade</w:t>
      </w:r>
      <w:r w:rsidR="004F5F23">
        <w:t>, king Richard and king Philip</w:t>
      </w:r>
      <w:r w:rsidR="00E950DD">
        <w:t xml:space="preserve"> the most important motivator seemed to be glory as they already had economic gain being kings of England and France respectively</w:t>
      </w:r>
      <w:r w:rsidR="004F5F23">
        <w:t xml:space="preserve"> but also religion also was important as king Richard also took the cross.</w:t>
      </w:r>
      <w:r w:rsidR="00E950DD">
        <w:t xml:space="preserve"> </w:t>
      </w:r>
    </w:p>
    <w:p w14:paraId="0479F793" w14:textId="614CB0FC" w:rsidR="009A4D03" w:rsidRDefault="00C24395" w:rsidP="005A5529">
      <w:pPr>
        <w:spacing w:line="480" w:lineRule="auto"/>
      </w:pPr>
      <w:r>
        <w:t xml:space="preserve">                     </w:t>
      </w:r>
      <w:bookmarkStart w:id="0" w:name="_GoBack"/>
      <w:bookmarkEnd w:id="0"/>
      <w:r w:rsidR="009A4D03">
        <w:t xml:space="preserve">In conclusion whilst economic gain was an important motivator religion </w:t>
      </w:r>
      <w:r w:rsidR="007D326D">
        <w:t>seemed to have</w:t>
      </w:r>
      <w:r w:rsidR="009A4D03">
        <w:t xml:space="preserve"> been </w:t>
      </w:r>
      <w:r w:rsidR="00461B76">
        <w:t>a</w:t>
      </w:r>
      <w:r w:rsidR="009A4D03">
        <w:t xml:space="preserve"> more important motivat</w:t>
      </w:r>
      <w:r w:rsidR="007D326D">
        <w:t>or for people to go on crusade. Economic gain was only really seen to be a motivator for the knightly class and not really a motivator for the ordinary person going on crusade.</w:t>
      </w:r>
      <w:r w:rsidR="00ED69E0">
        <w:t xml:space="preserve"> Glory an additional factor mostly seen in the second and third crusade was a secondary factor in motivating people and that a religious reward mostly remission of sins was the main motivator. </w:t>
      </w:r>
      <w:r w:rsidR="00321153">
        <w:t>Therefore,</w:t>
      </w:r>
      <w:r w:rsidR="00942878">
        <w:t xml:space="preserve"> for the first three crusades religion was the most important motivator for going on a crusade and that the concept of economic reward was a less important motivator for people to go on crusade. </w:t>
      </w:r>
    </w:p>
    <w:p w14:paraId="0E26B38F" w14:textId="77777777" w:rsidR="00C53625" w:rsidRDefault="00C53625"/>
    <w:p w14:paraId="4337AC2A" w14:textId="77777777" w:rsidR="00C53625" w:rsidRDefault="00C53625"/>
    <w:p w14:paraId="7F967255" w14:textId="77777777" w:rsidR="00C53625" w:rsidRDefault="00C53625"/>
    <w:p w14:paraId="13FD5427" w14:textId="77777777" w:rsidR="00C53625" w:rsidRDefault="00C53625"/>
    <w:p w14:paraId="18774735" w14:textId="77777777" w:rsidR="00C53625" w:rsidRDefault="00C53625"/>
    <w:p w14:paraId="43370665" w14:textId="77777777" w:rsidR="00C53625" w:rsidRDefault="00C53625"/>
    <w:p w14:paraId="7AD13B06" w14:textId="77777777" w:rsidR="00C53625" w:rsidRDefault="00C53625"/>
    <w:p w14:paraId="6ABAE700" w14:textId="77777777" w:rsidR="00C53625" w:rsidRDefault="00C53625"/>
    <w:p w14:paraId="7F4E991A" w14:textId="77777777" w:rsidR="00C53625" w:rsidRDefault="00C53625"/>
    <w:p w14:paraId="436AC189" w14:textId="55DC1557" w:rsidR="00ED69E0" w:rsidRDefault="00C53625" w:rsidP="00C53625">
      <w:pPr>
        <w:pStyle w:val="NoSpacing"/>
      </w:pPr>
      <w:r>
        <w:t xml:space="preserve">Bibliography </w:t>
      </w:r>
    </w:p>
    <w:p w14:paraId="772B7F59" w14:textId="77777777" w:rsidR="00C53625" w:rsidRDefault="00C53625" w:rsidP="00C53625">
      <w:pPr>
        <w:pStyle w:val="NoSpacing"/>
      </w:pPr>
    </w:p>
    <w:p w14:paraId="3AC0A9A2" w14:textId="5895D21F" w:rsidR="00C53625" w:rsidRDefault="00C53625" w:rsidP="00C53625">
      <w:pPr>
        <w:pStyle w:val="NoSpacing"/>
      </w:pPr>
      <w:r>
        <w:t>Bul</w:t>
      </w:r>
      <w:r>
        <w:t>l Marcus</w:t>
      </w:r>
      <w:r w:rsidRPr="000E392E">
        <w:rPr>
          <w:i/>
        </w:rPr>
        <w:t>, Knightly Piety and the Lay Response to the First Crusade</w:t>
      </w:r>
      <w:r>
        <w:t xml:space="preserve">, </w:t>
      </w:r>
      <w:r w:rsidR="003724E4">
        <w:t>(C</w:t>
      </w:r>
      <w:r w:rsidR="00BD3782">
        <w:t>larendon Press, Oxford, 1993)</w:t>
      </w:r>
      <w:r>
        <w:t xml:space="preserve"> P.17.</w:t>
      </w:r>
    </w:p>
    <w:p w14:paraId="3652ACCE" w14:textId="77777777" w:rsidR="00C53625" w:rsidRDefault="00C53625" w:rsidP="00C53625">
      <w:pPr>
        <w:pStyle w:val="NoSpacing"/>
      </w:pPr>
      <w:r>
        <w:t>Carey Brian Todd, Battle of Manzikurt, 26/07/2017, [</w:t>
      </w:r>
      <w:hyperlink r:id="rId8" w:history="1">
        <w:r w:rsidRPr="00615AE6">
          <w:rPr>
            <w:rStyle w:val="Hyperlink"/>
          </w:rPr>
          <w:t>http://www.oxfordbibliographies.com/view/document/obo-9780199791279/obo-9780199791279-0063.xml</w:t>
        </w:r>
      </w:hyperlink>
      <w:r>
        <w:t>] 09/03/2018.</w:t>
      </w:r>
    </w:p>
    <w:p w14:paraId="5F2DBA3E" w14:textId="2EBE014D" w:rsidR="00C53625" w:rsidRDefault="00C53625" w:rsidP="00C53625">
      <w:pPr>
        <w:pStyle w:val="NoSpacing"/>
      </w:pPr>
      <w:r>
        <w:lastRenderedPageBreak/>
        <w:t xml:space="preserve">Cole Penny J, </w:t>
      </w:r>
      <w:r w:rsidRPr="000E392E">
        <w:rPr>
          <w:i/>
        </w:rPr>
        <w:t>the Preaching of the Crusaders to the Holy Land, 1095-1270</w:t>
      </w:r>
      <w:r>
        <w:t xml:space="preserve">, </w:t>
      </w:r>
      <w:r w:rsidR="00BD3782">
        <w:t>(</w:t>
      </w:r>
      <w:r>
        <w:t xml:space="preserve">the </w:t>
      </w:r>
      <w:r w:rsidR="000E392E">
        <w:t>Medieval</w:t>
      </w:r>
      <w:r>
        <w:t xml:space="preserve"> Academy of Americ</w:t>
      </w:r>
      <w:r w:rsidR="00BD3782">
        <w:t>a Cambridge, Massachusetts 1991)</w:t>
      </w:r>
      <w:r>
        <w:t xml:space="preserve"> P.81.</w:t>
      </w:r>
    </w:p>
    <w:p w14:paraId="12187808" w14:textId="36A28351" w:rsidR="00C53625" w:rsidRDefault="00C53625" w:rsidP="00C53625">
      <w:pPr>
        <w:pStyle w:val="NoSpacing"/>
      </w:pPr>
      <w:r>
        <w:t xml:space="preserve">Foss Michael, </w:t>
      </w:r>
      <w:r w:rsidRPr="000E392E">
        <w:rPr>
          <w:i/>
        </w:rPr>
        <w:t>People of the First Crusade</w:t>
      </w:r>
      <w:r>
        <w:t>,</w:t>
      </w:r>
      <w:r w:rsidR="002B0C65" w:rsidRPr="002B0C65">
        <w:t xml:space="preserve"> </w:t>
      </w:r>
      <w:r w:rsidR="002B0C65">
        <w:t>(Michael 0’Mara Books Limited, London, 1997)</w:t>
      </w:r>
      <w:r>
        <w:t xml:space="preserve"> P.43.</w:t>
      </w:r>
    </w:p>
    <w:p w14:paraId="0C03A097" w14:textId="2304AD12" w:rsidR="00C53625" w:rsidRDefault="00C53625" w:rsidP="00C53625">
      <w:pPr>
        <w:pStyle w:val="NoSpacing"/>
      </w:pPr>
      <w:r>
        <w:t xml:space="preserve">Lock Peter, </w:t>
      </w:r>
      <w:r w:rsidRPr="000E392E">
        <w:rPr>
          <w:i/>
        </w:rPr>
        <w:t>the Routledge companion to the Crusades</w:t>
      </w:r>
      <w:r>
        <w:t>,</w:t>
      </w:r>
      <w:r w:rsidR="003724E4">
        <w:t xml:space="preserve"> </w:t>
      </w:r>
      <w:r w:rsidR="003724E4">
        <w:t xml:space="preserve">(Routledge, Oxon, 2006) </w:t>
      </w:r>
      <w:r>
        <w:t>P.229.</w:t>
      </w:r>
    </w:p>
    <w:p w14:paraId="6DAC83A3" w14:textId="59EF1B2A" w:rsidR="00C53625" w:rsidRDefault="00C53625" w:rsidP="00C53625">
      <w:pPr>
        <w:pStyle w:val="NoSpacing"/>
      </w:pPr>
      <w:r>
        <w:t xml:space="preserve">Riley-Smith Jonathan, </w:t>
      </w:r>
      <w:r w:rsidRPr="000E392E">
        <w:rPr>
          <w:i/>
        </w:rPr>
        <w:t>the Crusades a Short History</w:t>
      </w:r>
      <w:r>
        <w:t xml:space="preserve">, </w:t>
      </w:r>
      <w:r w:rsidR="000E392E">
        <w:t>(</w:t>
      </w:r>
      <w:r>
        <w:t>the Athlone press, London,</w:t>
      </w:r>
      <w:r w:rsidR="000E392E">
        <w:t xml:space="preserve"> 1990)</w:t>
      </w:r>
      <w:r>
        <w:t xml:space="preserve"> P.109</w:t>
      </w:r>
    </w:p>
    <w:p w14:paraId="1C48476E" w14:textId="38625DC6" w:rsidR="00C53625" w:rsidRDefault="003A383A" w:rsidP="00C53625">
      <w:pPr>
        <w:pStyle w:val="NoSpacing"/>
      </w:pPr>
      <w:r>
        <w:t>Ivan Sache, Vitry-le-F</w:t>
      </w:r>
      <w:r w:rsidR="00C53625">
        <w:t>rancois (</w:t>
      </w:r>
      <w:r>
        <w:t>Municipality, Marne, F</w:t>
      </w:r>
      <w:r w:rsidR="00C53625">
        <w:t>rance)13/11/2010, [</w:t>
      </w:r>
      <w:hyperlink r:id="rId9" w:history="1">
        <w:r w:rsidR="00C53625" w:rsidRPr="00615AE6">
          <w:rPr>
            <w:rStyle w:val="Hyperlink"/>
          </w:rPr>
          <w:t>https://www.crwflags.com/fotw/flags/fr-51-vf.html</w:t>
        </w:r>
      </w:hyperlink>
      <w:r w:rsidR="00C53625">
        <w:t>] 12/03/2018</w:t>
      </w:r>
    </w:p>
    <w:p w14:paraId="0C388D30" w14:textId="1BE907C7" w:rsidR="00C53625" w:rsidRDefault="00C53625" w:rsidP="00C53625">
      <w:pPr>
        <w:pStyle w:val="NoSpacing"/>
      </w:pPr>
      <w:r>
        <w:t>The Editors of Encyclopaedia Britannica, Schism of 1054 Christianity, 22/08/2017, [</w:t>
      </w:r>
      <w:hyperlink r:id="rId10" w:history="1">
        <w:r w:rsidRPr="001B4DDC">
          <w:rPr>
            <w:rStyle w:val="Hyperlink"/>
          </w:rPr>
          <w:t>https://www.britannica.com/event/Schism-of-1054</w:t>
        </w:r>
      </w:hyperlink>
      <w:r>
        <w:t>]08/03/2018.</w:t>
      </w:r>
    </w:p>
    <w:p w14:paraId="70798EE9" w14:textId="613C8366" w:rsidR="00C53625" w:rsidRDefault="00C53625" w:rsidP="00C53625">
      <w:pPr>
        <w:pStyle w:val="FootnoteText"/>
      </w:pPr>
    </w:p>
    <w:p w14:paraId="4698D5F3" w14:textId="77777777" w:rsidR="00C53625" w:rsidRDefault="00C53625"/>
    <w:sectPr w:rsidR="00C536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32ED8" w14:textId="77777777" w:rsidR="00434410" w:rsidRDefault="00434410" w:rsidP="00BC6707">
      <w:pPr>
        <w:spacing w:after="0" w:line="240" w:lineRule="auto"/>
      </w:pPr>
      <w:r>
        <w:separator/>
      </w:r>
    </w:p>
  </w:endnote>
  <w:endnote w:type="continuationSeparator" w:id="0">
    <w:p w14:paraId="2763AD6E" w14:textId="77777777" w:rsidR="00434410" w:rsidRDefault="00434410" w:rsidP="00BC6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7666C" w14:textId="77777777" w:rsidR="00434410" w:rsidRDefault="00434410" w:rsidP="00BC6707">
      <w:pPr>
        <w:spacing w:after="0" w:line="240" w:lineRule="auto"/>
      </w:pPr>
      <w:r>
        <w:separator/>
      </w:r>
    </w:p>
  </w:footnote>
  <w:footnote w:type="continuationSeparator" w:id="0">
    <w:p w14:paraId="770F5671" w14:textId="77777777" w:rsidR="00434410" w:rsidRDefault="00434410" w:rsidP="00BC6707">
      <w:pPr>
        <w:spacing w:after="0" w:line="240" w:lineRule="auto"/>
      </w:pPr>
      <w:r>
        <w:continuationSeparator/>
      </w:r>
    </w:p>
  </w:footnote>
  <w:footnote w:id="1">
    <w:p w14:paraId="62132112" w14:textId="27A84581" w:rsidR="00BC6707" w:rsidRDefault="00BC6707">
      <w:pPr>
        <w:pStyle w:val="FootnoteText"/>
      </w:pPr>
      <w:r>
        <w:rPr>
          <w:rStyle w:val="FootnoteReference"/>
        </w:rPr>
        <w:footnoteRef/>
      </w:r>
      <w:r>
        <w:t xml:space="preserve"> Marcus Bull, </w:t>
      </w:r>
      <w:r w:rsidRPr="00BD3782">
        <w:rPr>
          <w:i/>
        </w:rPr>
        <w:t>Knightly Piety and the Lay Response to the First Crusade</w:t>
      </w:r>
      <w:r>
        <w:t xml:space="preserve">, </w:t>
      </w:r>
      <w:r w:rsidR="003724E4">
        <w:t>(C</w:t>
      </w:r>
      <w:r w:rsidR="00BD3782">
        <w:t>larendon Press, Oxford, 1993)</w:t>
      </w:r>
      <w:r>
        <w:t xml:space="preserve"> P.17.</w:t>
      </w:r>
    </w:p>
  </w:footnote>
  <w:footnote w:id="2">
    <w:p w14:paraId="0DE046AE" w14:textId="471FBBD3" w:rsidR="00976F4C" w:rsidRDefault="00976F4C">
      <w:pPr>
        <w:pStyle w:val="FootnoteText"/>
      </w:pPr>
      <w:r>
        <w:rPr>
          <w:rStyle w:val="FootnoteReference"/>
        </w:rPr>
        <w:footnoteRef/>
      </w:r>
      <w:r>
        <w:t xml:space="preserve"> The Editors of Encyclopaedia Britannica, Schism of 1054 Christianity, 22/08/2017, [</w:t>
      </w:r>
      <w:hyperlink r:id="rId1" w:history="1">
        <w:r w:rsidRPr="001B4DDC">
          <w:rPr>
            <w:rStyle w:val="Hyperlink"/>
          </w:rPr>
          <w:t>https://www.britannica.com/event/Schism-of-1054</w:t>
        </w:r>
      </w:hyperlink>
      <w:r>
        <w:t>]08/03/2018.</w:t>
      </w:r>
    </w:p>
  </w:footnote>
  <w:footnote w:id="3">
    <w:p w14:paraId="69836338" w14:textId="6CEC4374" w:rsidR="00C125E3" w:rsidRDefault="00C125E3">
      <w:pPr>
        <w:pStyle w:val="FootnoteText"/>
      </w:pPr>
      <w:r>
        <w:rPr>
          <w:rStyle w:val="FootnoteReference"/>
        </w:rPr>
        <w:footnoteRef/>
      </w:r>
      <w:r>
        <w:t xml:space="preserve"> Brian Todd Carey, Battle of Manzikurt, 26/07/2017, [</w:t>
      </w:r>
      <w:hyperlink r:id="rId2" w:history="1">
        <w:r w:rsidRPr="00615AE6">
          <w:rPr>
            <w:rStyle w:val="Hyperlink"/>
          </w:rPr>
          <w:t>http://www.oxfordbibliographies.com/view/document/obo-9780199791279/obo-9780199791279-0063.xml</w:t>
        </w:r>
      </w:hyperlink>
      <w:r>
        <w:t>] 09/03/2018.</w:t>
      </w:r>
    </w:p>
  </w:footnote>
  <w:footnote w:id="4">
    <w:p w14:paraId="5763916A" w14:textId="1AB2E434" w:rsidR="001F2351" w:rsidRDefault="001F2351">
      <w:pPr>
        <w:pStyle w:val="FootnoteText"/>
      </w:pPr>
      <w:r>
        <w:rPr>
          <w:rStyle w:val="FootnoteReference"/>
        </w:rPr>
        <w:footnoteRef/>
      </w:r>
      <w:r>
        <w:t xml:space="preserve"> Michael Foss, </w:t>
      </w:r>
      <w:r w:rsidRPr="002B0C65">
        <w:rPr>
          <w:i/>
        </w:rPr>
        <w:t xml:space="preserve">People of the First </w:t>
      </w:r>
      <w:r w:rsidR="002B0C65" w:rsidRPr="002B0C65">
        <w:rPr>
          <w:i/>
        </w:rPr>
        <w:t>Crusade</w:t>
      </w:r>
      <w:r w:rsidR="002B0C65">
        <w:t>, (Michael 0’Mara Books Limited, London, 1997)</w:t>
      </w:r>
      <w:r>
        <w:t xml:space="preserve"> P.43.</w:t>
      </w:r>
    </w:p>
  </w:footnote>
  <w:footnote w:id="5">
    <w:p w14:paraId="65BEA161" w14:textId="723E929E" w:rsidR="00E96D2A" w:rsidRDefault="00E96D2A">
      <w:pPr>
        <w:pStyle w:val="FootnoteText"/>
      </w:pPr>
      <w:r>
        <w:rPr>
          <w:rStyle w:val="FootnoteReference"/>
        </w:rPr>
        <w:footnoteRef/>
      </w:r>
      <w:r w:rsidR="004A32D3">
        <w:t xml:space="preserve"> Peter Lock, </w:t>
      </w:r>
      <w:r w:rsidR="004A32D3" w:rsidRPr="001B1F4F">
        <w:rPr>
          <w:i/>
        </w:rPr>
        <w:t>the Routl</w:t>
      </w:r>
      <w:r w:rsidRPr="001B1F4F">
        <w:rPr>
          <w:i/>
        </w:rPr>
        <w:t xml:space="preserve">edge companion to the </w:t>
      </w:r>
      <w:r w:rsidR="00943C21" w:rsidRPr="001B1F4F">
        <w:rPr>
          <w:i/>
        </w:rPr>
        <w:t>Crusades</w:t>
      </w:r>
      <w:r w:rsidR="00943C21">
        <w:t>, (</w:t>
      </w:r>
      <w:r w:rsidR="001B1F4F">
        <w:t>Routledge, Oxon, 2006)</w:t>
      </w:r>
      <w:r>
        <w:t xml:space="preserve"> P.229.</w:t>
      </w:r>
    </w:p>
  </w:footnote>
  <w:footnote w:id="6">
    <w:p w14:paraId="690E2215" w14:textId="662E6990" w:rsidR="00BB1906" w:rsidRDefault="00BB1906">
      <w:pPr>
        <w:pStyle w:val="FootnoteText"/>
      </w:pPr>
      <w:r>
        <w:rPr>
          <w:rStyle w:val="FootnoteReference"/>
        </w:rPr>
        <w:footnoteRef/>
      </w:r>
      <w:r>
        <w:t xml:space="preserve"> Ivan Sache, Vitry-le-</w:t>
      </w:r>
      <w:r w:rsidR="007D164E">
        <w:t>François</w:t>
      </w:r>
      <w:r>
        <w:t xml:space="preserve"> (municipality, </w:t>
      </w:r>
      <w:r w:rsidR="007D164E">
        <w:t>Marne, France</w:t>
      </w:r>
      <w:r>
        <w:t>)13/11/2010, [</w:t>
      </w:r>
      <w:hyperlink r:id="rId3" w:history="1">
        <w:r w:rsidRPr="00615AE6">
          <w:rPr>
            <w:rStyle w:val="Hyperlink"/>
          </w:rPr>
          <w:t>https://www.crwflags.com/fotw/flags/fr-51-vf.html</w:t>
        </w:r>
      </w:hyperlink>
      <w:r>
        <w:t>] 12/03/2018</w:t>
      </w:r>
    </w:p>
  </w:footnote>
  <w:footnote w:id="7">
    <w:p w14:paraId="28E1A510" w14:textId="310294BF" w:rsidR="003748F7" w:rsidRDefault="003748F7">
      <w:pPr>
        <w:pStyle w:val="FootnoteText"/>
      </w:pPr>
      <w:r>
        <w:rPr>
          <w:rStyle w:val="FootnoteReference"/>
        </w:rPr>
        <w:footnoteRef/>
      </w:r>
      <w:r>
        <w:t xml:space="preserve"> Peter lock, </w:t>
      </w:r>
      <w:r w:rsidRPr="00943C21">
        <w:rPr>
          <w:i/>
        </w:rPr>
        <w:t xml:space="preserve">the Routledge companion to </w:t>
      </w:r>
      <w:r w:rsidRPr="00943C21">
        <w:rPr>
          <w:i/>
        </w:rPr>
        <w:t>the Crusades</w:t>
      </w:r>
      <w:r>
        <w:t>,</w:t>
      </w:r>
      <w:r w:rsidR="00943C21">
        <w:t xml:space="preserve"> (Routledge, Oxon, 2006</w:t>
      </w:r>
      <w:r w:rsidR="00943C21">
        <w:t>) P.</w:t>
      </w:r>
      <w:r>
        <w:t>148</w:t>
      </w:r>
      <w:r>
        <w:t>.</w:t>
      </w:r>
    </w:p>
  </w:footnote>
  <w:footnote w:id="8">
    <w:p w14:paraId="16BA5C53" w14:textId="39609300" w:rsidR="00EA3A98" w:rsidRDefault="00EA3A98">
      <w:pPr>
        <w:pStyle w:val="FootnoteText"/>
      </w:pPr>
      <w:r>
        <w:rPr>
          <w:rStyle w:val="FootnoteReference"/>
        </w:rPr>
        <w:footnoteRef/>
      </w:r>
      <w:r>
        <w:t xml:space="preserve"> Jonathan Riley-Smith, </w:t>
      </w:r>
      <w:r w:rsidRPr="00000F24">
        <w:rPr>
          <w:i/>
        </w:rPr>
        <w:t xml:space="preserve">the Crusades a Short History, </w:t>
      </w:r>
      <w:r w:rsidR="00000F24">
        <w:t>(</w:t>
      </w:r>
      <w:r>
        <w:t>the Athlone press, London,</w:t>
      </w:r>
      <w:r w:rsidR="00000F24">
        <w:t xml:space="preserve"> 1990)</w:t>
      </w:r>
      <w:r>
        <w:t xml:space="preserve"> P.109</w:t>
      </w:r>
    </w:p>
  </w:footnote>
  <w:footnote w:id="9">
    <w:p w14:paraId="47850AF7" w14:textId="57E41B53" w:rsidR="00110A9A" w:rsidRDefault="00110A9A">
      <w:pPr>
        <w:pStyle w:val="FootnoteText"/>
      </w:pPr>
      <w:r>
        <w:rPr>
          <w:rStyle w:val="FootnoteReference"/>
        </w:rPr>
        <w:footnoteRef/>
      </w:r>
      <w:r>
        <w:t xml:space="preserve"> Penny J.</w:t>
      </w:r>
      <w:r w:rsidR="005120DB">
        <w:t xml:space="preserve"> </w:t>
      </w:r>
      <w:r>
        <w:t xml:space="preserve">Cole, </w:t>
      </w:r>
      <w:r w:rsidRPr="005120DB">
        <w:rPr>
          <w:i/>
        </w:rPr>
        <w:t>the Preaching of the Crusaders to the Holy Land, 1095-1270</w:t>
      </w:r>
      <w:r>
        <w:t xml:space="preserve">, </w:t>
      </w:r>
      <w:r w:rsidR="005120DB">
        <w:t>(</w:t>
      </w:r>
      <w:r>
        <w:t xml:space="preserve">the </w:t>
      </w:r>
      <w:r w:rsidR="005120DB">
        <w:t>Medieval</w:t>
      </w:r>
      <w:r>
        <w:t xml:space="preserve"> Academy of Americ</w:t>
      </w:r>
      <w:r w:rsidR="005120DB">
        <w:t>a Cambridge, Massachusetts 1991)</w:t>
      </w:r>
      <w:r>
        <w:t xml:space="preserve"> P.81.</w:t>
      </w:r>
    </w:p>
  </w:footnote>
  <w:footnote w:id="10">
    <w:p w14:paraId="66D21384" w14:textId="26059F01" w:rsidR="004F5F23" w:rsidRDefault="004F5F23">
      <w:pPr>
        <w:pStyle w:val="FootnoteText"/>
      </w:pPr>
      <w:r>
        <w:rPr>
          <w:rStyle w:val="FootnoteReference"/>
        </w:rPr>
        <w:footnoteRef/>
      </w:r>
      <w:r>
        <w:t xml:space="preserve"> </w:t>
      </w:r>
      <w:r>
        <w:t xml:space="preserve">Peter lock, </w:t>
      </w:r>
      <w:r w:rsidRPr="00943C21">
        <w:rPr>
          <w:i/>
        </w:rPr>
        <w:t xml:space="preserve">the Routledge companion to </w:t>
      </w:r>
      <w:r w:rsidR="00943C21" w:rsidRPr="00943C21">
        <w:rPr>
          <w:i/>
        </w:rPr>
        <w:t>the Crusades,</w:t>
      </w:r>
      <w:r w:rsidR="00943C21">
        <w:rPr>
          <w:i/>
        </w:rPr>
        <w:t xml:space="preserve"> </w:t>
      </w:r>
      <w:r w:rsidR="00943C21" w:rsidRPr="00943C21">
        <w:rPr>
          <w:i/>
        </w:rPr>
        <w:t>(</w:t>
      </w:r>
      <w:r w:rsidR="00943C21">
        <w:t xml:space="preserve">Routledge, Oxon, 2006) </w:t>
      </w:r>
      <w:r>
        <w:t>P.152.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25273"/>
    <w:multiLevelType w:val="hybridMultilevel"/>
    <w:tmpl w:val="8586ED58"/>
    <w:lvl w:ilvl="0" w:tplc="ECE6C9A0">
      <w:start w:val="1"/>
      <w:numFmt w:val="bullet"/>
      <w:lvlText w:val="•"/>
      <w:lvlJc w:val="left"/>
      <w:pPr>
        <w:tabs>
          <w:tab w:val="num" w:pos="720"/>
        </w:tabs>
        <w:ind w:left="720" w:hanging="360"/>
      </w:pPr>
      <w:rPr>
        <w:rFonts w:ascii="Arial" w:hAnsi="Arial" w:hint="default"/>
      </w:rPr>
    </w:lvl>
    <w:lvl w:ilvl="1" w:tplc="AB2AE04E" w:tentative="1">
      <w:start w:val="1"/>
      <w:numFmt w:val="bullet"/>
      <w:lvlText w:val="•"/>
      <w:lvlJc w:val="left"/>
      <w:pPr>
        <w:tabs>
          <w:tab w:val="num" w:pos="1440"/>
        </w:tabs>
        <w:ind w:left="1440" w:hanging="360"/>
      </w:pPr>
      <w:rPr>
        <w:rFonts w:ascii="Arial" w:hAnsi="Arial" w:hint="default"/>
      </w:rPr>
    </w:lvl>
    <w:lvl w:ilvl="2" w:tplc="96EAF76A" w:tentative="1">
      <w:start w:val="1"/>
      <w:numFmt w:val="bullet"/>
      <w:lvlText w:val="•"/>
      <w:lvlJc w:val="left"/>
      <w:pPr>
        <w:tabs>
          <w:tab w:val="num" w:pos="2160"/>
        </w:tabs>
        <w:ind w:left="2160" w:hanging="360"/>
      </w:pPr>
      <w:rPr>
        <w:rFonts w:ascii="Arial" w:hAnsi="Arial" w:hint="default"/>
      </w:rPr>
    </w:lvl>
    <w:lvl w:ilvl="3" w:tplc="33CA2A06" w:tentative="1">
      <w:start w:val="1"/>
      <w:numFmt w:val="bullet"/>
      <w:lvlText w:val="•"/>
      <w:lvlJc w:val="left"/>
      <w:pPr>
        <w:tabs>
          <w:tab w:val="num" w:pos="2880"/>
        </w:tabs>
        <w:ind w:left="2880" w:hanging="360"/>
      </w:pPr>
      <w:rPr>
        <w:rFonts w:ascii="Arial" w:hAnsi="Arial" w:hint="default"/>
      </w:rPr>
    </w:lvl>
    <w:lvl w:ilvl="4" w:tplc="7AAA5ED6" w:tentative="1">
      <w:start w:val="1"/>
      <w:numFmt w:val="bullet"/>
      <w:lvlText w:val="•"/>
      <w:lvlJc w:val="left"/>
      <w:pPr>
        <w:tabs>
          <w:tab w:val="num" w:pos="3600"/>
        </w:tabs>
        <w:ind w:left="3600" w:hanging="360"/>
      </w:pPr>
      <w:rPr>
        <w:rFonts w:ascii="Arial" w:hAnsi="Arial" w:hint="default"/>
      </w:rPr>
    </w:lvl>
    <w:lvl w:ilvl="5" w:tplc="C2A23ADC" w:tentative="1">
      <w:start w:val="1"/>
      <w:numFmt w:val="bullet"/>
      <w:lvlText w:val="•"/>
      <w:lvlJc w:val="left"/>
      <w:pPr>
        <w:tabs>
          <w:tab w:val="num" w:pos="4320"/>
        </w:tabs>
        <w:ind w:left="4320" w:hanging="360"/>
      </w:pPr>
      <w:rPr>
        <w:rFonts w:ascii="Arial" w:hAnsi="Arial" w:hint="default"/>
      </w:rPr>
    </w:lvl>
    <w:lvl w:ilvl="6" w:tplc="7842FE84" w:tentative="1">
      <w:start w:val="1"/>
      <w:numFmt w:val="bullet"/>
      <w:lvlText w:val="•"/>
      <w:lvlJc w:val="left"/>
      <w:pPr>
        <w:tabs>
          <w:tab w:val="num" w:pos="5040"/>
        </w:tabs>
        <w:ind w:left="5040" w:hanging="360"/>
      </w:pPr>
      <w:rPr>
        <w:rFonts w:ascii="Arial" w:hAnsi="Arial" w:hint="default"/>
      </w:rPr>
    </w:lvl>
    <w:lvl w:ilvl="7" w:tplc="CE7276C8" w:tentative="1">
      <w:start w:val="1"/>
      <w:numFmt w:val="bullet"/>
      <w:lvlText w:val="•"/>
      <w:lvlJc w:val="left"/>
      <w:pPr>
        <w:tabs>
          <w:tab w:val="num" w:pos="5760"/>
        </w:tabs>
        <w:ind w:left="5760" w:hanging="360"/>
      </w:pPr>
      <w:rPr>
        <w:rFonts w:ascii="Arial" w:hAnsi="Arial" w:hint="default"/>
      </w:rPr>
    </w:lvl>
    <w:lvl w:ilvl="8" w:tplc="4942FE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D666A2C"/>
    <w:multiLevelType w:val="hybridMultilevel"/>
    <w:tmpl w:val="DF52CEDE"/>
    <w:lvl w:ilvl="0" w:tplc="B3C89BDA">
      <w:start w:val="1"/>
      <w:numFmt w:val="bullet"/>
      <w:lvlText w:val="•"/>
      <w:lvlJc w:val="left"/>
      <w:pPr>
        <w:tabs>
          <w:tab w:val="num" w:pos="720"/>
        </w:tabs>
        <w:ind w:left="720" w:hanging="360"/>
      </w:pPr>
      <w:rPr>
        <w:rFonts w:ascii="Arial" w:hAnsi="Arial" w:hint="default"/>
      </w:rPr>
    </w:lvl>
    <w:lvl w:ilvl="1" w:tplc="97D2F11E" w:tentative="1">
      <w:start w:val="1"/>
      <w:numFmt w:val="bullet"/>
      <w:lvlText w:val="•"/>
      <w:lvlJc w:val="left"/>
      <w:pPr>
        <w:tabs>
          <w:tab w:val="num" w:pos="1440"/>
        </w:tabs>
        <w:ind w:left="1440" w:hanging="360"/>
      </w:pPr>
      <w:rPr>
        <w:rFonts w:ascii="Arial" w:hAnsi="Arial" w:hint="default"/>
      </w:rPr>
    </w:lvl>
    <w:lvl w:ilvl="2" w:tplc="BDEECF62" w:tentative="1">
      <w:start w:val="1"/>
      <w:numFmt w:val="bullet"/>
      <w:lvlText w:val="•"/>
      <w:lvlJc w:val="left"/>
      <w:pPr>
        <w:tabs>
          <w:tab w:val="num" w:pos="2160"/>
        </w:tabs>
        <w:ind w:left="2160" w:hanging="360"/>
      </w:pPr>
      <w:rPr>
        <w:rFonts w:ascii="Arial" w:hAnsi="Arial" w:hint="default"/>
      </w:rPr>
    </w:lvl>
    <w:lvl w:ilvl="3" w:tplc="58482EEA" w:tentative="1">
      <w:start w:val="1"/>
      <w:numFmt w:val="bullet"/>
      <w:lvlText w:val="•"/>
      <w:lvlJc w:val="left"/>
      <w:pPr>
        <w:tabs>
          <w:tab w:val="num" w:pos="2880"/>
        </w:tabs>
        <w:ind w:left="2880" w:hanging="360"/>
      </w:pPr>
      <w:rPr>
        <w:rFonts w:ascii="Arial" w:hAnsi="Arial" w:hint="default"/>
      </w:rPr>
    </w:lvl>
    <w:lvl w:ilvl="4" w:tplc="2BC81A72" w:tentative="1">
      <w:start w:val="1"/>
      <w:numFmt w:val="bullet"/>
      <w:lvlText w:val="•"/>
      <w:lvlJc w:val="left"/>
      <w:pPr>
        <w:tabs>
          <w:tab w:val="num" w:pos="3600"/>
        </w:tabs>
        <w:ind w:left="3600" w:hanging="360"/>
      </w:pPr>
      <w:rPr>
        <w:rFonts w:ascii="Arial" w:hAnsi="Arial" w:hint="default"/>
      </w:rPr>
    </w:lvl>
    <w:lvl w:ilvl="5" w:tplc="03D6A4B8" w:tentative="1">
      <w:start w:val="1"/>
      <w:numFmt w:val="bullet"/>
      <w:lvlText w:val="•"/>
      <w:lvlJc w:val="left"/>
      <w:pPr>
        <w:tabs>
          <w:tab w:val="num" w:pos="4320"/>
        </w:tabs>
        <w:ind w:left="4320" w:hanging="360"/>
      </w:pPr>
      <w:rPr>
        <w:rFonts w:ascii="Arial" w:hAnsi="Arial" w:hint="default"/>
      </w:rPr>
    </w:lvl>
    <w:lvl w:ilvl="6" w:tplc="BB762ED8" w:tentative="1">
      <w:start w:val="1"/>
      <w:numFmt w:val="bullet"/>
      <w:lvlText w:val="•"/>
      <w:lvlJc w:val="left"/>
      <w:pPr>
        <w:tabs>
          <w:tab w:val="num" w:pos="5040"/>
        </w:tabs>
        <w:ind w:left="5040" w:hanging="360"/>
      </w:pPr>
      <w:rPr>
        <w:rFonts w:ascii="Arial" w:hAnsi="Arial" w:hint="default"/>
      </w:rPr>
    </w:lvl>
    <w:lvl w:ilvl="7" w:tplc="594E7EDA" w:tentative="1">
      <w:start w:val="1"/>
      <w:numFmt w:val="bullet"/>
      <w:lvlText w:val="•"/>
      <w:lvlJc w:val="left"/>
      <w:pPr>
        <w:tabs>
          <w:tab w:val="num" w:pos="5760"/>
        </w:tabs>
        <w:ind w:left="5760" w:hanging="360"/>
      </w:pPr>
      <w:rPr>
        <w:rFonts w:ascii="Arial" w:hAnsi="Arial" w:hint="default"/>
      </w:rPr>
    </w:lvl>
    <w:lvl w:ilvl="8" w:tplc="1054D70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EAC"/>
    <w:rsid w:val="00000F24"/>
    <w:rsid w:val="000201F9"/>
    <w:rsid w:val="00034408"/>
    <w:rsid w:val="00051E8D"/>
    <w:rsid w:val="00055CA0"/>
    <w:rsid w:val="0008693C"/>
    <w:rsid w:val="000A308B"/>
    <w:rsid w:val="000C6599"/>
    <w:rsid w:val="000E23C3"/>
    <w:rsid w:val="000E25F8"/>
    <w:rsid w:val="000E392E"/>
    <w:rsid w:val="00103557"/>
    <w:rsid w:val="00110A9A"/>
    <w:rsid w:val="00133AC3"/>
    <w:rsid w:val="0018435B"/>
    <w:rsid w:val="001878B0"/>
    <w:rsid w:val="001A1C6F"/>
    <w:rsid w:val="001B1F4F"/>
    <w:rsid w:val="001C5B56"/>
    <w:rsid w:val="001E1573"/>
    <w:rsid w:val="001F2351"/>
    <w:rsid w:val="001F7E24"/>
    <w:rsid w:val="0027197D"/>
    <w:rsid w:val="002B0C65"/>
    <w:rsid w:val="002C27E6"/>
    <w:rsid w:val="003133FD"/>
    <w:rsid w:val="0031458A"/>
    <w:rsid w:val="00321153"/>
    <w:rsid w:val="003275FB"/>
    <w:rsid w:val="00371165"/>
    <w:rsid w:val="003724E4"/>
    <w:rsid w:val="003748F7"/>
    <w:rsid w:val="003845C0"/>
    <w:rsid w:val="00393FAB"/>
    <w:rsid w:val="003A383A"/>
    <w:rsid w:val="003A62AE"/>
    <w:rsid w:val="003B392C"/>
    <w:rsid w:val="003B7A4A"/>
    <w:rsid w:val="00434410"/>
    <w:rsid w:val="004353EE"/>
    <w:rsid w:val="00445D42"/>
    <w:rsid w:val="00461B76"/>
    <w:rsid w:val="00484C9A"/>
    <w:rsid w:val="004924CE"/>
    <w:rsid w:val="004A32D3"/>
    <w:rsid w:val="004E0F8E"/>
    <w:rsid w:val="004F5F23"/>
    <w:rsid w:val="005120DB"/>
    <w:rsid w:val="00520778"/>
    <w:rsid w:val="00537C6D"/>
    <w:rsid w:val="0059458C"/>
    <w:rsid w:val="005A5529"/>
    <w:rsid w:val="005A6912"/>
    <w:rsid w:val="005C0AB1"/>
    <w:rsid w:val="005C3889"/>
    <w:rsid w:val="006068A9"/>
    <w:rsid w:val="00642EAC"/>
    <w:rsid w:val="00657759"/>
    <w:rsid w:val="006732B2"/>
    <w:rsid w:val="006B0DD7"/>
    <w:rsid w:val="006B4AC9"/>
    <w:rsid w:val="006C05D7"/>
    <w:rsid w:val="006D05C1"/>
    <w:rsid w:val="007744FE"/>
    <w:rsid w:val="007C1B77"/>
    <w:rsid w:val="007D164E"/>
    <w:rsid w:val="007D326D"/>
    <w:rsid w:val="0080074D"/>
    <w:rsid w:val="00812339"/>
    <w:rsid w:val="00815564"/>
    <w:rsid w:val="008338DE"/>
    <w:rsid w:val="008454B7"/>
    <w:rsid w:val="0084730B"/>
    <w:rsid w:val="00871848"/>
    <w:rsid w:val="0089349D"/>
    <w:rsid w:val="008E38E5"/>
    <w:rsid w:val="008F2A6C"/>
    <w:rsid w:val="00934294"/>
    <w:rsid w:val="00942878"/>
    <w:rsid w:val="00943C21"/>
    <w:rsid w:val="009465FA"/>
    <w:rsid w:val="00954B44"/>
    <w:rsid w:val="00976F4C"/>
    <w:rsid w:val="00983A41"/>
    <w:rsid w:val="009A0CD4"/>
    <w:rsid w:val="009A4D03"/>
    <w:rsid w:val="009B1C21"/>
    <w:rsid w:val="00A2118E"/>
    <w:rsid w:val="00A215B0"/>
    <w:rsid w:val="00A56FF6"/>
    <w:rsid w:val="00AA4E6E"/>
    <w:rsid w:val="00AB3ABC"/>
    <w:rsid w:val="00AB4400"/>
    <w:rsid w:val="00B33536"/>
    <w:rsid w:val="00B36361"/>
    <w:rsid w:val="00B73700"/>
    <w:rsid w:val="00B85A3B"/>
    <w:rsid w:val="00BB1906"/>
    <w:rsid w:val="00BC58EC"/>
    <w:rsid w:val="00BC6707"/>
    <w:rsid w:val="00BD3782"/>
    <w:rsid w:val="00C061AC"/>
    <w:rsid w:val="00C125E3"/>
    <w:rsid w:val="00C13136"/>
    <w:rsid w:val="00C24395"/>
    <w:rsid w:val="00C2572B"/>
    <w:rsid w:val="00C4061E"/>
    <w:rsid w:val="00C53625"/>
    <w:rsid w:val="00C931B9"/>
    <w:rsid w:val="00CD0A29"/>
    <w:rsid w:val="00CD18D5"/>
    <w:rsid w:val="00D14FB0"/>
    <w:rsid w:val="00DD461C"/>
    <w:rsid w:val="00E17A9E"/>
    <w:rsid w:val="00E7720E"/>
    <w:rsid w:val="00E92BBF"/>
    <w:rsid w:val="00E950DD"/>
    <w:rsid w:val="00E96D2A"/>
    <w:rsid w:val="00EA3A98"/>
    <w:rsid w:val="00EC73A0"/>
    <w:rsid w:val="00ED69E0"/>
    <w:rsid w:val="00EE6320"/>
    <w:rsid w:val="00EF4579"/>
    <w:rsid w:val="00F219BD"/>
    <w:rsid w:val="00F23AB0"/>
    <w:rsid w:val="00F52747"/>
    <w:rsid w:val="00F6771B"/>
    <w:rsid w:val="00F70BBA"/>
    <w:rsid w:val="00FB4417"/>
    <w:rsid w:val="00FB4688"/>
    <w:rsid w:val="00FF4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0F793"/>
  <w15:chartTrackingRefBased/>
  <w15:docId w15:val="{10DD7A40-84B5-4EB5-8019-6EBAA722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1165"/>
    <w:pPr>
      <w:spacing w:after="0" w:line="240" w:lineRule="auto"/>
    </w:pPr>
  </w:style>
  <w:style w:type="paragraph" w:styleId="FootnoteText">
    <w:name w:val="footnote text"/>
    <w:basedOn w:val="Normal"/>
    <w:link w:val="FootnoteTextChar"/>
    <w:uiPriority w:val="99"/>
    <w:semiHidden/>
    <w:unhideWhenUsed/>
    <w:rsid w:val="00BC67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6707"/>
    <w:rPr>
      <w:sz w:val="20"/>
      <w:szCs w:val="20"/>
    </w:rPr>
  </w:style>
  <w:style w:type="character" w:styleId="FootnoteReference">
    <w:name w:val="footnote reference"/>
    <w:basedOn w:val="DefaultParagraphFont"/>
    <w:uiPriority w:val="99"/>
    <w:semiHidden/>
    <w:unhideWhenUsed/>
    <w:rsid w:val="00BC6707"/>
    <w:rPr>
      <w:vertAlign w:val="superscript"/>
    </w:rPr>
  </w:style>
  <w:style w:type="character" w:styleId="Hyperlink">
    <w:name w:val="Hyperlink"/>
    <w:basedOn w:val="DefaultParagraphFont"/>
    <w:uiPriority w:val="99"/>
    <w:unhideWhenUsed/>
    <w:rsid w:val="00976F4C"/>
    <w:rPr>
      <w:color w:val="0563C1" w:themeColor="hyperlink"/>
      <w:u w:val="single"/>
    </w:rPr>
  </w:style>
  <w:style w:type="character" w:styleId="UnresolvedMention">
    <w:name w:val="Unresolved Mention"/>
    <w:basedOn w:val="DefaultParagraphFont"/>
    <w:uiPriority w:val="99"/>
    <w:semiHidden/>
    <w:unhideWhenUsed/>
    <w:rsid w:val="00976F4C"/>
    <w:rPr>
      <w:color w:val="808080"/>
      <w:shd w:val="clear" w:color="auto" w:fill="E6E6E6"/>
    </w:rPr>
  </w:style>
  <w:style w:type="paragraph" w:styleId="ListParagraph">
    <w:name w:val="List Paragraph"/>
    <w:basedOn w:val="Normal"/>
    <w:uiPriority w:val="34"/>
    <w:qFormat/>
    <w:rsid w:val="00034408"/>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603194">
      <w:bodyDiv w:val="1"/>
      <w:marLeft w:val="0"/>
      <w:marRight w:val="0"/>
      <w:marTop w:val="0"/>
      <w:marBottom w:val="0"/>
      <w:divBdr>
        <w:top w:val="none" w:sz="0" w:space="0" w:color="auto"/>
        <w:left w:val="none" w:sz="0" w:space="0" w:color="auto"/>
        <w:bottom w:val="none" w:sz="0" w:space="0" w:color="auto"/>
        <w:right w:val="none" w:sz="0" w:space="0" w:color="auto"/>
      </w:divBdr>
      <w:divsChild>
        <w:div w:id="1129670511">
          <w:marLeft w:val="360"/>
          <w:marRight w:val="0"/>
          <w:marTop w:val="200"/>
          <w:marBottom w:val="0"/>
          <w:divBdr>
            <w:top w:val="none" w:sz="0" w:space="0" w:color="auto"/>
            <w:left w:val="none" w:sz="0" w:space="0" w:color="auto"/>
            <w:bottom w:val="none" w:sz="0" w:space="0" w:color="auto"/>
            <w:right w:val="none" w:sz="0" w:space="0" w:color="auto"/>
          </w:divBdr>
        </w:div>
      </w:divsChild>
    </w:div>
    <w:div w:id="1616062836">
      <w:bodyDiv w:val="1"/>
      <w:marLeft w:val="0"/>
      <w:marRight w:val="0"/>
      <w:marTop w:val="0"/>
      <w:marBottom w:val="0"/>
      <w:divBdr>
        <w:top w:val="none" w:sz="0" w:space="0" w:color="auto"/>
        <w:left w:val="none" w:sz="0" w:space="0" w:color="auto"/>
        <w:bottom w:val="none" w:sz="0" w:space="0" w:color="auto"/>
        <w:right w:val="none" w:sz="0" w:space="0" w:color="auto"/>
      </w:divBdr>
      <w:divsChild>
        <w:div w:id="2369449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bibliographies.com/view/document/obo-9780199791279/obo-9780199791279-0063.x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ritannica.com/event/Schism-of-1054" TargetMode="External"/><Relationship Id="rId4" Type="http://schemas.openxmlformats.org/officeDocument/2006/relationships/settings" Target="settings.xml"/><Relationship Id="rId9" Type="http://schemas.openxmlformats.org/officeDocument/2006/relationships/hyperlink" Target="https://www.crwflags.com/fotw/flags/fr-51-vf.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rwflags.com/fotw/flags/fr-51-vf.html" TargetMode="External"/><Relationship Id="rId2" Type="http://schemas.openxmlformats.org/officeDocument/2006/relationships/hyperlink" Target="http://www.oxfordbibliographies.com/view/document/obo-9780199791279/obo-9780199791279-0063.xml" TargetMode="External"/><Relationship Id="rId1" Type="http://schemas.openxmlformats.org/officeDocument/2006/relationships/hyperlink" Target="https://www.britannica.com/event/Schism-of-10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30328-BCDC-41CE-9F5E-339C602D2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6</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112</cp:revision>
  <dcterms:created xsi:type="dcterms:W3CDTF">2018-01-29T09:35:00Z</dcterms:created>
  <dcterms:modified xsi:type="dcterms:W3CDTF">2018-03-18T20:37:00Z</dcterms:modified>
</cp:coreProperties>
</file>