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0174A" w14:textId="77777777" w:rsidR="00381C0E" w:rsidRPr="00381C0E" w:rsidRDefault="00381C0E" w:rsidP="00381C0E">
      <w:pPr>
        <w:pStyle w:val="NormalWeb"/>
        <w:spacing w:before="0" w:beforeAutospacing="0" w:after="0" w:afterAutospacing="0" w:line="360" w:lineRule="auto"/>
        <w:rPr>
          <w:sz w:val="32"/>
          <w:szCs w:val="32"/>
        </w:rPr>
      </w:pPr>
      <w:r w:rsidRPr="00381C0E">
        <w:rPr>
          <w:rFonts w:ascii="Arial" w:eastAsiaTheme="minorEastAsia" w:hAnsi="Arial" w:cs="Arial"/>
          <w:color w:val="000000" w:themeColor="text1"/>
          <w:kern w:val="24"/>
          <w:sz w:val="32"/>
          <w:szCs w:val="32"/>
        </w:rPr>
        <w:t xml:space="preserve">Student Name: Syeda Sadaf Jabeen </w:t>
      </w:r>
    </w:p>
    <w:p w14:paraId="2076EDD8" w14:textId="77777777" w:rsidR="00381C0E" w:rsidRPr="00381C0E" w:rsidRDefault="00381C0E" w:rsidP="00381C0E">
      <w:pPr>
        <w:pStyle w:val="NormalWeb"/>
        <w:spacing w:before="0" w:beforeAutospacing="0" w:after="0" w:afterAutospacing="0" w:line="360" w:lineRule="auto"/>
        <w:rPr>
          <w:sz w:val="32"/>
          <w:szCs w:val="32"/>
        </w:rPr>
      </w:pPr>
      <w:r w:rsidRPr="00381C0E">
        <w:rPr>
          <w:rFonts w:ascii="Arial" w:eastAsiaTheme="minorEastAsia" w:hAnsi="Arial" w:cs="Arial"/>
          <w:color w:val="000000" w:themeColor="text1"/>
          <w:kern w:val="24"/>
          <w:sz w:val="32"/>
          <w:szCs w:val="32"/>
        </w:rPr>
        <w:t xml:space="preserve">Student Number: 2310935  </w:t>
      </w:r>
    </w:p>
    <w:p w14:paraId="3514B631" w14:textId="6428D500" w:rsidR="00381C0E" w:rsidRPr="00381C0E" w:rsidRDefault="00381C0E" w:rsidP="00381C0E">
      <w:pPr>
        <w:pStyle w:val="NormalWeb"/>
        <w:spacing w:before="0" w:beforeAutospacing="0" w:after="0" w:afterAutospacing="0" w:line="360" w:lineRule="auto"/>
        <w:rPr>
          <w:sz w:val="32"/>
          <w:szCs w:val="32"/>
        </w:rPr>
      </w:pPr>
      <w:r>
        <w:rPr>
          <w:rFonts w:ascii="Arial" w:eastAsiaTheme="minorEastAsia" w:hAnsi="Arial" w:cs="Arial"/>
          <w:color w:val="000000" w:themeColor="text1"/>
          <w:kern w:val="24"/>
          <w:sz w:val="32"/>
          <w:szCs w:val="32"/>
        </w:rPr>
        <w:t xml:space="preserve">Module code: </w:t>
      </w:r>
      <w:r w:rsidRPr="00381C0E">
        <w:rPr>
          <w:rFonts w:ascii="Arial" w:eastAsiaTheme="minorEastAsia" w:hAnsi="Arial" w:cs="Arial"/>
          <w:color w:val="000000" w:themeColor="text1"/>
          <w:kern w:val="24"/>
          <w:sz w:val="32"/>
          <w:szCs w:val="32"/>
        </w:rPr>
        <w:t xml:space="preserve">BMHP6029 </w:t>
      </w:r>
    </w:p>
    <w:p w14:paraId="0E6956EE" w14:textId="395C2ADF" w:rsidR="00381C0E" w:rsidRDefault="00381C0E" w:rsidP="00381C0E">
      <w:pPr>
        <w:spacing w:line="360" w:lineRule="auto"/>
        <w:rPr>
          <w:rFonts w:ascii="Arial" w:hAnsi="Arial" w:cs="Arial"/>
          <w:sz w:val="32"/>
          <w:szCs w:val="32"/>
        </w:rPr>
      </w:pPr>
      <w:r w:rsidRPr="00381C0E">
        <w:rPr>
          <w:rFonts w:ascii="Arial" w:hAnsi="Arial" w:cs="Arial"/>
          <w:sz w:val="32"/>
          <w:szCs w:val="32"/>
        </w:rPr>
        <w:t>Assignment Title:</w:t>
      </w:r>
      <w:r>
        <w:rPr>
          <w:rFonts w:ascii="Arial" w:hAnsi="Arial" w:cs="Arial"/>
          <w:sz w:val="32"/>
          <w:szCs w:val="32"/>
        </w:rPr>
        <w:t xml:space="preserve"> </w:t>
      </w:r>
      <w:r w:rsidRPr="00381C0E">
        <w:rPr>
          <w:rFonts w:ascii="Arial" w:hAnsi="Arial" w:cs="Arial"/>
          <w:sz w:val="32"/>
          <w:szCs w:val="32"/>
        </w:rPr>
        <w:t>Component 2: Written Assignment (Report)</w:t>
      </w:r>
    </w:p>
    <w:p w14:paraId="64C21E7C" w14:textId="77777777" w:rsidR="00785D15" w:rsidRDefault="00C11139" w:rsidP="00785D15">
      <w:pPr>
        <w:spacing w:line="360" w:lineRule="auto"/>
        <w:rPr>
          <w:rFonts w:ascii="Arial" w:hAnsi="Arial" w:cs="Arial"/>
          <w:sz w:val="32"/>
          <w:szCs w:val="32"/>
        </w:rPr>
      </w:pPr>
      <w:r>
        <w:rPr>
          <w:rFonts w:ascii="Arial" w:hAnsi="Arial" w:cs="Arial"/>
          <w:sz w:val="32"/>
          <w:szCs w:val="32"/>
        </w:rPr>
        <w:t>Lecturer name: Ne</w:t>
      </w:r>
      <w:r w:rsidR="00D10106">
        <w:rPr>
          <w:rFonts w:ascii="Arial" w:hAnsi="Arial" w:cs="Arial"/>
          <w:sz w:val="32"/>
          <w:szCs w:val="32"/>
        </w:rPr>
        <w:t>al</w:t>
      </w:r>
      <w:r w:rsidR="000A784E">
        <w:rPr>
          <w:rFonts w:ascii="Arial" w:hAnsi="Arial" w:cs="Arial"/>
          <w:sz w:val="32"/>
          <w:szCs w:val="32"/>
        </w:rPr>
        <w:t>e</w:t>
      </w:r>
      <w:r w:rsidR="00D10106">
        <w:rPr>
          <w:rFonts w:ascii="Arial" w:hAnsi="Arial" w:cs="Arial"/>
          <w:sz w:val="32"/>
          <w:szCs w:val="32"/>
        </w:rPr>
        <w:t xml:space="preserve"> Haddon</w:t>
      </w:r>
    </w:p>
    <w:p w14:paraId="09D0708A" w14:textId="3DDB8146" w:rsidR="00381C0E" w:rsidRDefault="00785D15" w:rsidP="00785D15">
      <w:pPr>
        <w:spacing w:line="360" w:lineRule="auto"/>
        <w:rPr>
          <w:rFonts w:ascii="Arial" w:hAnsi="Arial" w:cs="Arial"/>
          <w:sz w:val="32"/>
          <w:szCs w:val="32"/>
        </w:rPr>
      </w:pPr>
      <w:r>
        <w:rPr>
          <w:rFonts w:ascii="Arial" w:hAnsi="Arial" w:cs="Arial"/>
          <w:sz w:val="32"/>
          <w:szCs w:val="32"/>
        </w:rPr>
        <w:t xml:space="preserve">Title: </w:t>
      </w:r>
      <w:r w:rsidRPr="00785D15">
        <w:rPr>
          <w:rFonts w:ascii="Arial" w:hAnsi="Arial" w:cs="Arial"/>
          <w:sz w:val="32"/>
          <w:szCs w:val="32"/>
        </w:rPr>
        <w:t>A Critical Look at Schizophrenia in ICD-11: Diagnosis, Treatment, and Modern Debates</w:t>
      </w:r>
      <w:r w:rsidR="00381C0E">
        <w:rPr>
          <w:rFonts w:ascii="Arial" w:hAnsi="Arial" w:cs="Arial"/>
          <w:sz w:val="32"/>
          <w:szCs w:val="32"/>
        </w:rPr>
        <w:br w:type="page"/>
      </w:r>
    </w:p>
    <w:sdt>
      <w:sdtPr>
        <w:rPr>
          <w:rFonts w:asciiTheme="minorHAnsi" w:eastAsiaTheme="minorHAnsi" w:hAnsiTheme="minorHAnsi" w:cstheme="minorBidi"/>
          <w:color w:val="auto"/>
          <w:kern w:val="2"/>
          <w:sz w:val="24"/>
          <w:szCs w:val="24"/>
          <w:lang w:val="en-GB"/>
          <w14:ligatures w14:val="standardContextual"/>
        </w:rPr>
        <w:id w:val="-1438137417"/>
        <w:docPartObj>
          <w:docPartGallery w:val="Table of Contents"/>
          <w:docPartUnique/>
        </w:docPartObj>
      </w:sdtPr>
      <w:sdtEndPr>
        <w:rPr>
          <w:b/>
          <w:bCs/>
          <w:noProof/>
        </w:rPr>
      </w:sdtEndPr>
      <w:sdtContent>
        <w:p w14:paraId="7C1221F8" w14:textId="3BEB8397" w:rsidR="000361D0" w:rsidRDefault="000361D0">
          <w:pPr>
            <w:pStyle w:val="TOCHeading"/>
          </w:pPr>
          <w:r>
            <w:t>Contents</w:t>
          </w:r>
        </w:p>
        <w:p w14:paraId="5482A5D1" w14:textId="63BF63CC" w:rsidR="000361D0" w:rsidRDefault="000361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963228" w:history="1">
            <w:r w:rsidRPr="003B461D">
              <w:rPr>
                <w:rStyle w:val="Hyperlink"/>
                <w:rFonts w:ascii="Arial" w:eastAsia="Times New Roman" w:hAnsi="Arial" w:cs="Arial"/>
                <w:noProof/>
                <w:lang w:eastAsia="en-GB"/>
              </w:rPr>
              <w:t>1. Introduction</w:t>
            </w:r>
            <w:r>
              <w:rPr>
                <w:noProof/>
                <w:webHidden/>
              </w:rPr>
              <w:tab/>
            </w:r>
            <w:r>
              <w:rPr>
                <w:noProof/>
                <w:webHidden/>
              </w:rPr>
              <w:fldChar w:fldCharType="begin"/>
            </w:r>
            <w:r>
              <w:rPr>
                <w:noProof/>
                <w:webHidden/>
              </w:rPr>
              <w:instrText xml:space="preserve"> PAGEREF _Toc213963228 \h </w:instrText>
            </w:r>
            <w:r>
              <w:rPr>
                <w:noProof/>
                <w:webHidden/>
              </w:rPr>
            </w:r>
            <w:r>
              <w:rPr>
                <w:noProof/>
                <w:webHidden/>
              </w:rPr>
              <w:fldChar w:fldCharType="separate"/>
            </w:r>
            <w:r>
              <w:rPr>
                <w:noProof/>
                <w:webHidden/>
              </w:rPr>
              <w:t>3</w:t>
            </w:r>
            <w:r>
              <w:rPr>
                <w:noProof/>
                <w:webHidden/>
              </w:rPr>
              <w:fldChar w:fldCharType="end"/>
            </w:r>
          </w:hyperlink>
        </w:p>
        <w:p w14:paraId="33201559" w14:textId="3161CD60" w:rsidR="000361D0" w:rsidRDefault="00973370">
          <w:pPr>
            <w:pStyle w:val="TOC1"/>
            <w:tabs>
              <w:tab w:val="right" w:leader="dot" w:pos="9016"/>
            </w:tabs>
            <w:rPr>
              <w:rFonts w:eastAsiaTheme="minorEastAsia"/>
              <w:noProof/>
              <w:lang w:eastAsia="en-GB"/>
            </w:rPr>
          </w:pPr>
          <w:hyperlink w:anchor="_Toc213963229" w:history="1">
            <w:r w:rsidR="000361D0" w:rsidRPr="003B461D">
              <w:rPr>
                <w:rStyle w:val="Hyperlink"/>
                <w:rFonts w:ascii="Arial" w:eastAsia="Times New Roman" w:hAnsi="Arial" w:cs="Arial"/>
                <w:noProof/>
                <w:lang w:eastAsia="en-GB"/>
              </w:rPr>
              <w:t>2. Classification and Diagnosis in ICD-11</w:t>
            </w:r>
            <w:r w:rsidR="000361D0">
              <w:rPr>
                <w:noProof/>
                <w:webHidden/>
              </w:rPr>
              <w:tab/>
            </w:r>
            <w:r w:rsidR="000361D0">
              <w:rPr>
                <w:noProof/>
                <w:webHidden/>
              </w:rPr>
              <w:fldChar w:fldCharType="begin"/>
            </w:r>
            <w:r w:rsidR="000361D0">
              <w:rPr>
                <w:noProof/>
                <w:webHidden/>
              </w:rPr>
              <w:instrText xml:space="preserve"> PAGEREF _Toc213963229 \h </w:instrText>
            </w:r>
            <w:r w:rsidR="000361D0">
              <w:rPr>
                <w:noProof/>
                <w:webHidden/>
              </w:rPr>
            </w:r>
            <w:r w:rsidR="000361D0">
              <w:rPr>
                <w:noProof/>
                <w:webHidden/>
              </w:rPr>
              <w:fldChar w:fldCharType="separate"/>
            </w:r>
            <w:r w:rsidR="000361D0">
              <w:rPr>
                <w:noProof/>
                <w:webHidden/>
              </w:rPr>
              <w:t>3</w:t>
            </w:r>
            <w:r w:rsidR="000361D0">
              <w:rPr>
                <w:noProof/>
                <w:webHidden/>
              </w:rPr>
              <w:fldChar w:fldCharType="end"/>
            </w:r>
          </w:hyperlink>
        </w:p>
        <w:p w14:paraId="70DFC9AD" w14:textId="31143B05" w:rsidR="000361D0" w:rsidRDefault="00973370">
          <w:pPr>
            <w:pStyle w:val="TOC1"/>
            <w:tabs>
              <w:tab w:val="right" w:leader="dot" w:pos="9016"/>
            </w:tabs>
            <w:rPr>
              <w:rFonts w:eastAsiaTheme="minorEastAsia"/>
              <w:noProof/>
              <w:lang w:eastAsia="en-GB"/>
            </w:rPr>
          </w:pPr>
          <w:hyperlink w:anchor="_Toc213963230" w:history="1">
            <w:r w:rsidR="000361D0" w:rsidRPr="003B461D">
              <w:rPr>
                <w:rStyle w:val="Hyperlink"/>
                <w:rFonts w:ascii="Arial" w:eastAsia="Times New Roman" w:hAnsi="Arial" w:cs="Arial"/>
                <w:noProof/>
                <w:lang w:eastAsia="en-GB"/>
              </w:rPr>
              <w:t>3. Treatment and Rehabilitation</w:t>
            </w:r>
            <w:r w:rsidR="000361D0">
              <w:rPr>
                <w:noProof/>
                <w:webHidden/>
              </w:rPr>
              <w:tab/>
            </w:r>
            <w:r w:rsidR="000361D0">
              <w:rPr>
                <w:noProof/>
                <w:webHidden/>
              </w:rPr>
              <w:fldChar w:fldCharType="begin"/>
            </w:r>
            <w:r w:rsidR="000361D0">
              <w:rPr>
                <w:noProof/>
                <w:webHidden/>
              </w:rPr>
              <w:instrText xml:space="preserve"> PAGEREF _Toc213963230 \h </w:instrText>
            </w:r>
            <w:r w:rsidR="000361D0">
              <w:rPr>
                <w:noProof/>
                <w:webHidden/>
              </w:rPr>
            </w:r>
            <w:r w:rsidR="000361D0">
              <w:rPr>
                <w:noProof/>
                <w:webHidden/>
              </w:rPr>
              <w:fldChar w:fldCharType="separate"/>
            </w:r>
            <w:r w:rsidR="000361D0">
              <w:rPr>
                <w:noProof/>
                <w:webHidden/>
              </w:rPr>
              <w:t>5</w:t>
            </w:r>
            <w:r w:rsidR="000361D0">
              <w:rPr>
                <w:noProof/>
                <w:webHidden/>
              </w:rPr>
              <w:fldChar w:fldCharType="end"/>
            </w:r>
          </w:hyperlink>
        </w:p>
        <w:p w14:paraId="5448E397" w14:textId="0AFD5424" w:rsidR="000361D0" w:rsidRDefault="00973370">
          <w:pPr>
            <w:pStyle w:val="TOC1"/>
            <w:tabs>
              <w:tab w:val="right" w:leader="dot" w:pos="9016"/>
            </w:tabs>
            <w:rPr>
              <w:rFonts w:eastAsiaTheme="minorEastAsia"/>
              <w:noProof/>
              <w:lang w:eastAsia="en-GB"/>
            </w:rPr>
          </w:pPr>
          <w:hyperlink w:anchor="_Toc213963231" w:history="1">
            <w:r w:rsidR="000361D0" w:rsidRPr="003B461D">
              <w:rPr>
                <w:rStyle w:val="Hyperlink"/>
                <w:rFonts w:eastAsia="Times New Roman"/>
                <w:noProof/>
                <w:lang w:eastAsia="en-GB"/>
              </w:rPr>
              <w:t>4. Current Debates and Emerging Issues</w:t>
            </w:r>
            <w:r w:rsidR="000361D0">
              <w:rPr>
                <w:noProof/>
                <w:webHidden/>
              </w:rPr>
              <w:tab/>
            </w:r>
            <w:r w:rsidR="000361D0">
              <w:rPr>
                <w:noProof/>
                <w:webHidden/>
              </w:rPr>
              <w:fldChar w:fldCharType="begin"/>
            </w:r>
            <w:r w:rsidR="000361D0">
              <w:rPr>
                <w:noProof/>
                <w:webHidden/>
              </w:rPr>
              <w:instrText xml:space="preserve"> PAGEREF _Toc213963231 \h </w:instrText>
            </w:r>
            <w:r w:rsidR="000361D0">
              <w:rPr>
                <w:noProof/>
                <w:webHidden/>
              </w:rPr>
            </w:r>
            <w:r w:rsidR="000361D0">
              <w:rPr>
                <w:noProof/>
                <w:webHidden/>
              </w:rPr>
              <w:fldChar w:fldCharType="separate"/>
            </w:r>
            <w:r w:rsidR="000361D0">
              <w:rPr>
                <w:noProof/>
                <w:webHidden/>
              </w:rPr>
              <w:t>7</w:t>
            </w:r>
            <w:r w:rsidR="000361D0">
              <w:rPr>
                <w:noProof/>
                <w:webHidden/>
              </w:rPr>
              <w:fldChar w:fldCharType="end"/>
            </w:r>
          </w:hyperlink>
        </w:p>
        <w:p w14:paraId="0B4FE782" w14:textId="613FF388" w:rsidR="000361D0" w:rsidRDefault="00973370">
          <w:pPr>
            <w:pStyle w:val="TOC1"/>
            <w:tabs>
              <w:tab w:val="right" w:leader="dot" w:pos="9016"/>
            </w:tabs>
            <w:rPr>
              <w:rFonts w:eastAsiaTheme="minorEastAsia"/>
              <w:noProof/>
              <w:lang w:eastAsia="en-GB"/>
            </w:rPr>
          </w:pPr>
          <w:hyperlink w:anchor="_Toc213963232" w:history="1">
            <w:r w:rsidR="000361D0" w:rsidRPr="003B461D">
              <w:rPr>
                <w:rStyle w:val="Hyperlink"/>
                <w:rFonts w:ascii="Arial" w:eastAsia="Times New Roman" w:hAnsi="Arial" w:cs="Arial"/>
                <w:noProof/>
                <w:lang w:eastAsia="en-GB"/>
              </w:rPr>
              <w:t>5. Recommendations</w:t>
            </w:r>
            <w:r w:rsidR="000361D0">
              <w:rPr>
                <w:noProof/>
                <w:webHidden/>
              </w:rPr>
              <w:tab/>
            </w:r>
            <w:r w:rsidR="000361D0">
              <w:rPr>
                <w:noProof/>
                <w:webHidden/>
              </w:rPr>
              <w:fldChar w:fldCharType="begin"/>
            </w:r>
            <w:r w:rsidR="000361D0">
              <w:rPr>
                <w:noProof/>
                <w:webHidden/>
              </w:rPr>
              <w:instrText xml:space="preserve"> PAGEREF _Toc213963232 \h </w:instrText>
            </w:r>
            <w:r w:rsidR="000361D0">
              <w:rPr>
                <w:noProof/>
                <w:webHidden/>
              </w:rPr>
            </w:r>
            <w:r w:rsidR="000361D0">
              <w:rPr>
                <w:noProof/>
                <w:webHidden/>
              </w:rPr>
              <w:fldChar w:fldCharType="separate"/>
            </w:r>
            <w:r w:rsidR="000361D0">
              <w:rPr>
                <w:noProof/>
                <w:webHidden/>
              </w:rPr>
              <w:t>9</w:t>
            </w:r>
            <w:r w:rsidR="000361D0">
              <w:rPr>
                <w:noProof/>
                <w:webHidden/>
              </w:rPr>
              <w:fldChar w:fldCharType="end"/>
            </w:r>
          </w:hyperlink>
        </w:p>
        <w:p w14:paraId="13711CED" w14:textId="2F924A20" w:rsidR="000361D0" w:rsidRDefault="00973370">
          <w:pPr>
            <w:pStyle w:val="TOC1"/>
            <w:tabs>
              <w:tab w:val="right" w:leader="dot" w:pos="9016"/>
            </w:tabs>
            <w:rPr>
              <w:rFonts w:eastAsiaTheme="minorEastAsia"/>
              <w:noProof/>
              <w:lang w:eastAsia="en-GB"/>
            </w:rPr>
          </w:pPr>
          <w:hyperlink w:anchor="_Toc213963233" w:history="1">
            <w:r w:rsidR="000361D0" w:rsidRPr="003B461D">
              <w:rPr>
                <w:rStyle w:val="Hyperlink"/>
                <w:rFonts w:ascii="Arial" w:hAnsi="Arial" w:cs="Arial"/>
                <w:noProof/>
                <w:lang w:eastAsia="en-GB"/>
              </w:rPr>
              <w:t>6. Conclusion</w:t>
            </w:r>
            <w:r w:rsidR="000361D0">
              <w:rPr>
                <w:noProof/>
                <w:webHidden/>
              </w:rPr>
              <w:tab/>
            </w:r>
            <w:r w:rsidR="000361D0">
              <w:rPr>
                <w:noProof/>
                <w:webHidden/>
              </w:rPr>
              <w:fldChar w:fldCharType="begin"/>
            </w:r>
            <w:r w:rsidR="000361D0">
              <w:rPr>
                <w:noProof/>
                <w:webHidden/>
              </w:rPr>
              <w:instrText xml:space="preserve"> PAGEREF _Toc213963233 \h </w:instrText>
            </w:r>
            <w:r w:rsidR="000361D0">
              <w:rPr>
                <w:noProof/>
                <w:webHidden/>
              </w:rPr>
            </w:r>
            <w:r w:rsidR="000361D0">
              <w:rPr>
                <w:noProof/>
                <w:webHidden/>
              </w:rPr>
              <w:fldChar w:fldCharType="separate"/>
            </w:r>
            <w:r w:rsidR="000361D0">
              <w:rPr>
                <w:noProof/>
                <w:webHidden/>
              </w:rPr>
              <w:t>10</w:t>
            </w:r>
            <w:r w:rsidR="000361D0">
              <w:rPr>
                <w:noProof/>
                <w:webHidden/>
              </w:rPr>
              <w:fldChar w:fldCharType="end"/>
            </w:r>
          </w:hyperlink>
        </w:p>
        <w:p w14:paraId="756F7A80" w14:textId="7D681006" w:rsidR="000361D0" w:rsidRDefault="00973370">
          <w:pPr>
            <w:pStyle w:val="TOC1"/>
            <w:tabs>
              <w:tab w:val="left" w:pos="480"/>
              <w:tab w:val="right" w:leader="dot" w:pos="9016"/>
            </w:tabs>
            <w:rPr>
              <w:rFonts w:eastAsiaTheme="minorEastAsia"/>
              <w:noProof/>
              <w:lang w:eastAsia="en-GB"/>
            </w:rPr>
          </w:pPr>
          <w:hyperlink w:anchor="_Toc213963234" w:history="1">
            <w:r w:rsidR="000361D0" w:rsidRPr="003B461D">
              <w:rPr>
                <w:rStyle w:val="Hyperlink"/>
                <w:rFonts w:ascii="Arial" w:eastAsia="Times New Roman" w:hAnsi="Arial" w:cs="Arial"/>
                <w:noProof/>
                <w:lang w:eastAsia="en-GB"/>
              </w:rPr>
              <w:t>7.</w:t>
            </w:r>
            <w:r w:rsidR="000361D0">
              <w:rPr>
                <w:rFonts w:eastAsiaTheme="minorEastAsia"/>
                <w:noProof/>
                <w:lang w:eastAsia="en-GB"/>
              </w:rPr>
              <w:tab/>
            </w:r>
            <w:r w:rsidR="000361D0" w:rsidRPr="003B461D">
              <w:rPr>
                <w:rStyle w:val="Hyperlink"/>
                <w:rFonts w:ascii="Arial" w:eastAsia="Times New Roman" w:hAnsi="Arial" w:cs="Arial"/>
                <w:noProof/>
                <w:lang w:eastAsia="en-GB"/>
              </w:rPr>
              <w:t>References</w:t>
            </w:r>
            <w:r w:rsidR="000361D0">
              <w:rPr>
                <w:noProof/>
                <w:webHidden/>
              </w:rPr>
              <w:tab/>
            </w:r>
            <w:r w:rsidR="000361D0">
              <w:rPr>
                <w:noProof/>
                <w:webHidden/>
              </w:rPr>
              <w:fldChar w:fldCharType="begin"/>
            </w:r>
            <w:r w:rsidR="000361D0">
              <w:rPr>
                <w:noProof/>
                <w:webHidden/>
              </w:rPr>
              <w:instrText xml:space="preserve"> PAGEREF _Toc213963234 \h </w:instrText>
            </w:r>
            <w:r w:rsidR="000361D0">
              <w:rPr>
                <w:noProof/>
                <w:webHidden/>
              </w:rPr>
            </w:r>
            <w:r w:rsidR="000361D0">
              <w:rPr>
                <w:noProof/>
                <w:webHidden/>
              </w:rPr>
              <w:fldChar w:fldCharType="separate"/>
            </w:r>
            <w:r w:rsidR="000361D0">
              <w:rPr>
                <w:noProof/>
                <w:webHidden/>
              </w:rPr>
              <w:t>12</w:t>
            </w:r>
            <w:r w:rsidR="000361D0">
              <w:rPr>
                <w:noProof/>
                <w:webHidden/>
              </w:rPr>
              <w:fldChar w:fldCharType="end"/>
            </w:r>
          </w:hyperlink>
        </w:p>
        <w:p w14:paraId="5EAE22E0" w14:textId="50BB6880" w:rsidR="000361D0" w:rsidRDefault="000361D0">
          <w:r>
            <w:rPr>
              <w:b/>
              <w:bCs/>
              <w:noProof/>
            </w:rPr>
            <w:fldChar w:fldCharType="end"/>
          </w:r>
        </w:p>
      </w:sdtContent>
    </w:sdt>
    <w:p w14:paraId="53348074" w14:textId="77777777" w:rsidR="00381C0E" w:rsidRDefault="00381C0E" w:rsidP="00381C0E">
      <w:pPr>
        <w:spacing w:line="360" w:lineRule="auto"/>
        <w:rPr>
          <w:rFonts w:ascii="Arial" w:hAnsi="Arial" w:cs="Arial"/>
          <w:sz w:val="32"/>
          <w:szCs w:val="32"/>
        </w:rPr>
      </w:pPr>
    </w:p>
    <w:p w14:paraId="15453BBE" w14:textId="77777777" w:rsidR="00381C0E" w:rsidRDefault="00381C0E">
      <w:pPr>
        <w:rPr>
          <w:rFonts w:ascii="Arial" w:hAnsi="Arial" w:cs="Arial"/>
          <w:sz w:val="32"/>
          <w:szCs w:val="32"/>
        </w:rPr>
      </w:pPr>
      <w:r>
        <w:rPr>
          <w:rFonts w:ascii="Arial" w:hAnsi="Arial" w:cs="Arial"/>
          <w:sz w:val="32"/>
          <w:szCs w:val="32"/>
        </w:rPr>
        <w:br w:type="page"/>
      </w:r>
    </w:p>
    <w:p w14:paraId="2EC2AC3E" w14:textId="7D56932C" w:rsidR="00C40894" w:rsidRPr="00C40894" w:rsidRDefault="00C40894" w:rsidP="00C40894">
      <w:pPr>
        <w:pStyle w:val="Heading1"/>
        <w:rPr>
          <w:rFonts w:ascii="Arial" w:eastAsia="Times New Roman" w:hAnsi="Arial" w:cs="Arial"/>
          <w:lang w:eastAsia="en-GB"/>
        </w:rPr>
      </w:pPr>
      <w:bookmarkStart w:id="0" w:name="_Toc213963228"/>
      <w:r>
        <w:rPr>
          <w:rFonts w:ascii="Arial" w:eastAsia="Times New Roman" w:hAnsi="Arial" w:cs="Arial"/>
          <w:lang w:eastAsia="en-GB"/>
        </w:rPr>
        <w:lastRenderedPageBreak/>
        <w:t xml:space="preserve">1. </w:t>
      </w:r>
      <w:r w:rsidR="00381C0E" w:rsidRPr="00381C0E">
        <w:rPr>
          <w:rFonts w:ascii="Arial" w:eastAsia="Times New Roman" w:hAnsi="Arial" w:cs="Arial"/>
          <w:lang w:eastAsia="en-GB"/>
        </w:rPr>
        <w:t>Introduction</w:t>
      </w:r>
      <w:bookmarkEnd w:id="0"/>
    </w:p>
    <w:p w14:paraId="68273E6C" w14:textId="55563723"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Schizophrenia is one of the most complex and disabling mental health conditions. It can profoundly affect a person’s thoughts, emotions, and behaviour, often disrupting relationships, education, and work, and limiting social participation. Over time, there has been sustained debate about how schizophrenia should be defined, diagnosed, and treated, with shifting emphases on biological, psychological, and social explanations (McCutcheon</w:t>
      </w:r>
      <w:r w:rsidR="00E51FCE">
        <w:rPr>
          <w:rFonts w:ascii="Arial" w:eastAsia="Times New Roman" w:hAnsi="Arial" w:cs="Arial"/>
          <w:color w:val="0F1115"/>
          <w:kern w:val="0"/>
          <w:sz w:val="22"/>
          <w:szCs w:val="22"/>
          <w:lang w:eastAsia="en-GB"/>
          <w14:ligatures w14:val="none"/>
        </w:rPr>
        <w:t xml:space="preserve"> </w:t>
      </w:r>
      <w:r w:rsidR="00E51FCE" w:rsidRPr="00FB6AF7">
        <w:rPr>
          <w:rFonts w:ascii="Arial" w:eastAsia="Times New Roman" w:hAnsi="Arial" w:cs="Arial"/>
          <w:i/>
          <w:iCs/>
          <w:color w:val="0F1115"/>
          <w:kern w:val="0"/>
          <w:sz w:val="22"/>
          <w:szCs w:val="22"/>
          <w:lang w:eastAsia="en-GB"/>
          <w14:ligatures w14:val="none"/>
        </w:rPr>
        <w:t>et al</w:t>
      </w:r>
      <w:r w:rsidR="00E51FCE">
        <w:rPr>
          <w:rFonts w:ascii="Arial" w:eastAsia="Times New Roman" w:hAnsi="Arial" w:cs="Arial"/>
          <w:color w:val="0F1115"/>
          <w:kern w:val="0"/>
          <w:sz w:val="22"/>
          <w:szCs w:val="22"/>
          <w:lang w:eastAsia="en-GB"/>
          <w14:ligatures w14:val="none"/>
        </w:rPr>
        <w:t>,</w:t>
      </w:r>
      <w:r w:rsidRPr="00381C0E">
        <w:rPr>
          <w:rFonts w:ascii="Arial" w:eastAsia="Times New Roman" w:hAnsi="Arial" w:cs="Arial"/>
          <w:color w:val="0F1115"/>
          <w:kern w:val="0"/>
          <w:sz w:val="22"/>
          <w:szCs w:val="22"/>
          <w:lang w:eastAsia="en-GB"/>
          <w14:ligatures w14:val="none"/>
        </w:rPr>
        <w:t xml:space="preserve"> 2020). The World Health Organization’s (WHO) most recent revision of its classificatory system, the International Classification of Diseases, 11th Revision (ICD-11), introduces significant changes in the way schizophrenia is conceptualised and categorised (World Health Organization, 2019).</w:t>
      </w:r>
    </w:p>
    <w:p w14:paraId="0AD271F6" w14:textId="477EA6F1" w:rsid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This report critically examines schizophrenia with the ICD-11 as the primary framework. It first outlines the updated approach to classification and diagnosis, considering both the specific criteria and the language used. It then evaluates standard treatment and rehabilitation approaches, highlighting areas of effectiveness and key limitations, including the persistent challenge of medication adherence. The report goes on to explore contemporary debates, including the neurodiversity perspective and trauma-informed critiques, and examines how these ideas are reshaping practice and policy. Finally, it offers recommendations to enhance support for people given a diagnosis of schizophrenia, focusing on integrated care, trauma-informed assessment, and workforce development.</w:t>
      </w:r>
    </w:p>
    <w:p w14:paraId="465CFECA" w14:textId="4742CB68" w:rsidR="00381C0E" w:rsidRPr="00381C0E" w:rsidRDefault="00C40894" w:rsidP="00381C0E">
      <w:pPr>
        <w:pStyle w:val="Heading1"/>
        <w:rPr>
          <w:rFonts w:ascii="Arial" w:eastAsia="Times New Roman" w:hAnsi="Arial" w:cs="Arial"/>
          <w:lang w:eastAsia="en-GB"/>
        </w:rPr>
      </w:pPr>
      <w:bookmarkStart w:id="1" w:name="_Toc213963229"/>
      <w:r>
        <w:rPr>
          <w:rFonts w:ascii="Arial" w:eastAsia="Times New Roman" w:hAnsi="Arial" w:cs="Arial"/>
          <w:lang w:eastAsia="en-GB"/>
        </w:rPr>
        <w:t xml:space="preserve">2. </w:t>
      </w:r>
      <w:r w:rsidR="00381C0E" w:rsidRPr="00381C0E">
        <w:rPr>
          <w:rFonts w:ascii="Arial" w:eastAsia="Times New Roman" w:hAnsi="Arial" w:cs="Arial"/>
          <w:lang w:eastAsia="en-GB"/>
        </w:rPr>
        <w:t>Classification and Diagnosis in ICD-11</w:t>
      </w:r>
      <w:bookmarkEnd w:id="1"/>
    </w:p>
    <w:p w14:paraId="78A75D34" w14:textId="77777777"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hAnsi="Arial" w:cs="Arial"/>
          <w:b/>
          <w:bCs/>
          <w:lang w:eastAsia="en-GB"/>
        </w:rPr>
        <w:t>2.1. Classification and Key Changes</w:t>
      </w:r>
      <w:r w:rsidRPr="00381C0E">
        <w:rPr>
          <w:rFonts w:ascii="Arial" w:eastAsia="Times New Roman" w:hAnsi="Arial" w:cs="Arial"/>
          <w:color w:val="0F1115"/>
          <w:kern w:val="0"/>
          <w:sz w:val="22"/>
          <w:szCs w:val="22"/>
          <w:lang w:eastAsia="en-GB"/>
          <w14:ligatures w14:val="none"/>
        </w:rPr>
        <w:br/>
        <w:t xml:space="preserve">In ICD-11, schizophrenia is located within the category “Schizophrenia or Other Primary Psychotic Disorders” (code 6A20). A major change from ICD-10 is the removal of subtypes such as ‘paranoid’, ‘hebephrenic’, or ‘catatonic’ schizophrenia. These subtypes were found to have limited reliability and little value in predicting outcome or treatment response, leading to their removal in favour of a more dimensional, clinically useful approach (World Health Organization, 2019; </w:t>
      </w:r>
      <w:proofErr w:type="spellStart"/>
      <w:r w:rsidRPr="00381C0E">
        <w:rPr>
          <w:rFonts w:ascii="Arial" w:eastAsia="Times New Roman" w:hAnsi="Arial" w:cs="Arial"/>
          <w:color w:val="0F1115"/>
          <w:kern w:val="0"/>
          <w:sz w:val="22"/>
          <w:szCs w:val="22"/>
          <w:lang w:eastAsia="en-GB"/>
          <w14:ligatures w14:val="none"/>
        </w:rPr>
        <w:t>Misiak</w:t>
      </w:r>
      <w:proofErr w:type="spellEnd"/>
      <w:r w:rsidRPr="00381C0E">
        <w:rPr>
          <w:rFonts w:ascii="Arial" w:eastAsia="Times New Roman" w:hAnsi="Arial" w:cs="Arial"/>
          <w:color w:val="0F1115"/>
          <w:kern w:val="0"/>
          <w:sz w:val="22"/>
          <w:szCs w:val="22"/>
          <w:lang w:eastAsia="en-GB"/>
          <w14:ligatures w14:val="none"/>
        </w:rPr>
        <w:t xml:space="preserve"> </w:t>
      </w:r>
      <w:r w:rsidRPr="00381C0E">
        <w:rPr>
          <w:rFonts w:ascii="Arial" w:eastAsia="Times New Roman" w:hAnsi="Arial" w:cs="Arial"/>
          <w:i/>
          <w:iCs/>
          <w:color w:val="0F1115"/>
          <w:kern w:val="0"/>
          <w:sz w:val="22"/>
          <w:szCs w:val="22"/>
          <w:lang w:eastAsia="en-GB"/>
          <w14:ligatures w14:val="none"/>
        </w:rPr>
        <w:t>et al</w:t>
      </w:r>
      <w:r w:rsidRPr="00381C0E">
        <w:rPr>
          <w:rFonts w:ascii="Arial" w:eastAsia="Times New Roman" w:hAnsi="Arial" w:cs="Arial"/>
          <w:color w:val="0F1115"/>
          <w:kern w:val="0"/>
          <w:sz w:val="22"/>
          <w:szCs w:val="22"/>
          <w:lang w:eastAsia="en-GB"/>
          <w14:ligatures w14:val="none"/>
        </w:rPr>
        <w:t>., 2023). This shift can be seen as a move towards a more pragmatic and evidence-informed classification system.</w:t>
      </w:r>
    </w:p>
    <w:p w14:paraId="47AF7B37" w14:textId="0C695543"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 xml:space="preserve">ICD-11 describes schizophrenia as a disorder characterised by disturbances across multiple domains of functioning, including thought (e.g. disorganised thinking or delusions), perception (e.g. hallucinations), sense of self, and volition (World Health Organization, 2019). The terminology consistently frames schizophrenia as a “disorder” within a medical </w:t>
      </w:r>
      <w:r w:rsidRPr="00381C0E">
        <w:rPr>
          <w:rFonts w:ascii="Arial" w:eastAsia="Times New Roman" w:hAnsi="Arial" w:cs="Arial"/>
          <w:color w:val="0F1115"/>
          <w:kern w:val="0"/>
          <w:sz w:val="22"/>
          <w:szCs w:val="22"/>
          <w:lang w:eastAsia="en-GB"/>
          <w14:ligatures w14:val="none"/>
        </w:rPr>
        <w:lastRenderedPageBreak/>
        <w:t>model. For a formal diagnosis, characteristic symptoms should be present for a significant portion of at least one month, and the overall duration of disturbance is typically expected to exceed six months, with core psychotic symptoms present for at least one of those months. These duration criteria are intended to distinguish schizophrenia from brief or substance-induced psychotic episodes and acute stress reactions (World Health Organization, 2019; McCutcheon</w:t>
      </w:r>
      <w:r w:rsidR="00FB6AF7">
        <w:rPr>
          <w:rFonts w:ascii="Arial" w:eastAsia="Times New Roman" w:hAnsi="Arial" w:cs="Arial"/>
          <w:color w:val="0F1115"/>
          <w:kern w:val="0"/>
          <w:sz w:val="22"/>
          <w:szCs w:val="22"/>
          <w:lang w:eastAsia="en-GB"/>
          <w14:ligatures w14:val="none"/>
        </w:rPr>
        <w:t xml:space="preserve"> </w:t>
      </w:r>
      <w:r w:rsidR="00FB6AF7" w:rsidRPr="00FB6AF7">
        <w:rPr>
          <w:rFonts w:ascii="Arial" w:eastAsia="Times New Roman" w:hAnsi="Arial" w:cs="Arial"/>
          <w:i/>
          <w:iCs/>
          <w:color w:val="0F1115"/>
          <w:kern w:val="0"/>
          <w:sz w:val="22"/>
          <w:szCs w:val="22"/>
          <w:lang w:eastAsia="en-GB"/>
          <w14:ligatures w14:val="none"/>
        </w:rPr>
        <w:t>et al</w:t>
      </w:r>
      <w:r w:rsidR="00FB6AF7">
        <w:rPr>
          <w:rFonts w:ascii="Arial" w:eastAsia="Times New Roman" w:hAnsi="Arial" w:cs="Arial"/>
          <w:color w:val="0F1115"/>
          <w:kern w:val="0"/>
          <w:sz w:val="22"/>
          <w:szCs w:val="22"/>
          <w:lang w:eastAsia="en-GB"/>
          <w14:ligatures w14:val="none"/>
        </w:rPr>
        <w:t>.</w:t>
      </w:r>
      <w:r w:rsidRPr="00381C0E">
        <w:rPr>
          <w:rFonts w:ascii="Arial" w:eastAsia="Times New Roman" w:hAnsi="Arial" w:cs="Arial"/>
          <w:color w:val="0F1115"/>
          <w:kern w:val="0"/>
          <w:sz w:val="22"/>
          <w:szCs w:val="22"/>
          <w:lang w:eastAsia="en-GB"/>
          <w14:ligatures w14:val="none"/>
        </w:rPr>
        <w:t>, 2020).</w:t>
      </w:r>
    </w:p>
    <w:p w14:paraId="3216D967" w14:textId="77777777"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b/>
          <w:bCs/>
          <w:color w:val="0F1115"/>
          <w:kern w:val="0"/>
          <w:lang w:eastAsia="en-GB"/>
          <w14:ligatures w14:val="none"/>
        </w:rPr>
        <w:t>2.2. Diagnostic Criteria and Process</w:t>
      </w:r>
      <w:r w:rsidRPr="00381C0E">
        <w:rPr>
          <w:rFonts w:ascii="Arial" w:eastAsia="Times New Roman" w:hAnsi="Arial" w:cs="Arial"/>
          <w:color w:val="0F1115"/>
          <w:kern w:val="0"/>
          <w:sz w:val="22"/>
          <w:szCs w:val="22"/>
          <w:lang w:eastAsia="en-GB"/>
          <w14:ligatures w14:val="none"/>
        </w:rPr>
        <w:br/>
        <w:t>Under ICD-11, diagnosis requires that an individual exhibits at least one of the following core symptoms for a substantial part of a one-month period:</w:t>
      </w:r>
    </w:p>
    <w:p w14:paraId="319F17E4" w14:textId="77777777" w:rsidR="00381C0E" w:rsidRPr="00381C0E" w:rsidRDefault="00381C0E" w:rsidP="00381C0E">
      <w:pPr>
        <w:numPr>
          <w:ilvl w:val="0"/>
          <w:numId w:val="3"/>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Persistent delusions (fixed false beliefs that persist despite clear contrary evidence).</w:t>
      </w:r>
    </w:p>
    <w:p w14:paraId="3F6446A4" w14:textId="77777777" w:rsidR="00381C0E" w:rsidRPr="00381C0E" w:rsidRDefault="00381C0E" w:rsidP="00381C0E">
      <w:pPr>
        <w:numPr>
          <w:ilvl w:val="0"/>
          <w:numId w:val="3"/>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Persistent hallucinations (most commonly auditory, such as hearing voices, but may occur in any sensory modality).</w:t>
      </w:r>
    </w:p>
    <w:p w14:paraId="04F6DFFE" w14:textId="77777777" w:rsidR="00381C0E" w:rsidRPr="00381C0E" w:rsidRDefault="00381C0E" w:rsidP="00381C0E">
      <w:pPr>
        <w:numPr>
          <w:ilvl w:val="0"/>
          <w:numId w:val="3"/>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Disorganised thinking, typically inferred from markedly incoherent or tangential speech.</w:t>
      </w:r>
    </w:p>
    <w:p w14:paraId="0DFBC1A8" w14:textId="77777777" w:rsidR="00381C0E" w:rsidRPr="00381C0E" w:rsidRDefault="00381C0E" w:rsidP="00381C0E">
      <w:pPr>
        <w:numPr>
          <w:ilvl w:val="0"/>
          <w:numId w:val="3"/>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Experiences of passivity or control (the sense that thoughts, impulses, or actions are under external control).</w:t>
      </w:r>
    </w:p>
    <w:p w14:paraId="0E410E38" w14:textId="77777777"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A key change is that schizophrenia can no longer be diagnosed solely on the basis of negative symptoms (such as avolition, reduced speech, and blunted affect) or disorganised behaviour. These are now considered associated features rather than sufficient criteria in their own right (</w:t>
      </w:r>
      <w:proofErr w:type="spellStart"/>
      <w:r w:rsidRPr="00381C0E">
        <w:rPr>
          <w:rFonts w:ascii="Arial" w:eastAsia="Times New Roman" w:hAnsi="Arial" w:cs="Arial"/>
          <w:color w:val="0F1115"/>
          <w:kern w:val="0"/>
          <w:sz w:val="22"/>
          <w:szCs w:val="22"/>
          <w:lang w:eastAsia="en-GB"/>
          <w14:ligatures w14:val="none"/>
        </w:rPr>
        <w:t>Misiak</w:t>
      </w:r>
      <w:proofErr w:type="spellEnd"/>
      <w:r w:rsidRPr="00381C0E">
        <w:rPr>
          <w:rFonts w:ascii="Arial" w:eastAsia="Times New Roman" w:hAnsi="Arial" w:cs="Arial"/>
          <w:color w:val="0F1115"/>
          <w:kern w:val="0"/>
          <w:sz w:val="22"/>
          <w:szCs w:val="22"/>
          <w:lang w:eastAsia="en-GB"/>
          <w14:ligatures w14:val="none"/>
        </w:rPr>
        <w:t xml:space="preserve"> </w:t>
      </w:r>
      <w:r w:rsidRPr="00381C0E">
        <w:rPr>
          <w:rFonts w:ascii="Arial" w:eastAsia="Times New Roman" w:hAnsi="Arial" w:cs="Arial"/>
          <w:i/>
          <w:iCs/>
          <w:color w:val="0F1115"/>
          <w:kern w:val="0"/>
          <w:sz w:val="22"/>
          <w:szCs w:val="22"/>
          <w:lang w:eastAsia="en-GB"/>
          <w14:ligatures w14:val="none"/>
        </w:rPr>
        <w:t>et al</w:t>
      </w:r>
      <w:r w:rsidRPr="00381C0E">
        <w:rPr>
          <w:rFonts w:ascii="Arial" w:eastAsia="Times New Roman" w:hAnsi="Arial" w:cs="Arial"/>
          <w:color w:val="0F1115"/>
          <w:kern w:val="0"/>
          <w:sz w:val="22"/>
          <w:szCs w:val="22"/>
          <w:lang w:eastAsia="en-GB"/>
          <w14:ligatures w14:val="none"/>
        </w:rPr>
        <w:t>., 2023). This aims to reduce misdiagnosis in cases where negative symptoms may be better explained by depression, medication side effects, or other conditions.</w:t>
      </w:r>
    </w:p>
    <w:p w14:paraId="70CB390E" w14:textId="77777777"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381C0E">
        <w:rPr>
          <w:rFonts w:ascii="Arial" w:eastAsia="Times New Roman" w:hAnsi="Arial" w:cs="Arial"/>
          <w:color w:val="0F1115"/>
          <w:kern w:val="0"/>
          <w:sz w:val="22"/>
          <w:szCs w:val="22"/>
          <w:lang w:eastAsia="en-GB"/>
          <w14:ligatures w14:val="none"/>
        </w:rPr>
        <w:t>ICD-11 also promotes a more nuanced description of each person’s presentation. Clinicians are encouraged to specify the course of illness (e.g. first episode, multiple episodes, continuous) and to indicate prominent symptom dimensions (e.g. with negative symptoms, with depressive symptoms, with manic symptoms). This dimensional approach provides a richer and more clinically relevant formulation for long-term planning than the rigid subtypes in ICD-10, and aligns with contemporary practice guidelines that emphasise longitudinal, person-centred formulations (American Psychiatric Association, 2020; World Health Organization, 2019).</w:t>
      </w:r>
    </w:p>
    <w:p w14:paraId="077930B6" w14:textId="276F0852" w:rsidR="00381C0E" w:rsidRPr="00381C0E" w:rsidRDefault="00C40894" w:rsidP="00381C0E">
      <w:pPr>
        <w:pStyle w:val="Heading1"/>
        <w:rPr>
          <w:rFonts w:ascii="Arial" w:eastAsia="Times New Roman" w:hAnsi="Arial" w:cs="Arial"/>
          <w:lang w:eastAsia="en-GB"/>
        </w:rPr>
      </w:pPr>
      <w:bookmarkStart w:id="2" w:name="_Toc213963230"/>
      <w:r>
        <w:rPr>
          <w:rFonts w:ascii="Arial" w:eastAsia="Times New Roman" w:hAnsi="Arial" w:cs="Arial"/>
          <w:lang w:eastAsia="en-GB"/>
        </w:rPr>
        <w:lastRenderedPageBreak/>
        <w:t xml:space="preserve">3. </w:t>
      </w:r>
      <w:r w:rsidR="00381C0E" w:rsidRPr="00381C0E">
        <w:rPr>
          <w:rFonts w:ascii="Arial" w:eastAsia="Times New Roman" w:hAnsi="Arial" w:cs="Arial"/>
          <w:lang w:eastAsia="en-GB"/>
        </w:rPr>
        <w:t>Treatment and Rehabilitation</w:t>
      </w:r>
      <w:bookmarkEnd w:id="2"/>
    </w:p>
    <w:p w14:paraId="7A50A67E" w14:textId="77777777" w:rsidR="008F07F2" w:rsidRPr="008F07F2" w:rsidRDefault="008F07F2" w:rsidP="008F07F2">
      <w:pPr>
        <w:shd w:val="clear" w:color="auto" w:fill="FFFFFF"/>
        <w:spacing w:before="240" w:after="240" w:line="360" w:lineRule="auto"/>
        <w:rPr>
          <w:rFonts w:ascii="Arial" w:eastAsia="Times New Roman" w:hAnsi="Arial" w:cs="Arial"/>
          <w:b/>
          <w:bCs/>
          <w:color w:val="0F1115"/>
          <w:kern w:val="0"/>
          <w:sz w:val="22"/>
          <w:szCs w:val="22"/>
          <w:lang w:eastAsia="en-GB"/>
          <w14:ligatures w14:val="none"/>
        </w:rPr>
      </w:pPr>
      <w:r w:rsidRPr="008F07F2">
        <w:rPr>
          <w:rFonts w:ascii="Arial" w:eastAsia="Times New Roman" w:hAnsi="Arial" w:cs="Arial"/>
          <w:b/>
          <w:bCs/>
          <w:color w:val="0F1115"/>
          <w:kern w:val="0"/>
          <w:sz w:val="22"/>
          <w:szCs w:val="22"/>
          <w:lang w:eastAsia="en-GB"/>
          <w14:ligatures w14:val="none"/>
        </w:rPr>
        <w:t>3.1. Standard Treatment Approaches and Their Evaluation</w:t>
      </w:r>
    </w:p>
    <w:p w14:paraId="03101A07"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Standard schizophrenia treatment is multimodal, combining pharmacological, psychological, and social interventions.</w:t>
      </w:r>
    </w:p>
    <w:p w14:paraId="1BC32189"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Antipsychotic medication remains the cornerstone of treatment. Second-generation antipsychotics are typically preferred for their lower risk of extrapyramidal side effects. Their primary mechanism is dopamine D2 receptor blockade, which reduces positive symptoms like delusions and hallucinations (</w:t>
      </w:r>
      <w:proofErr w:type="spellStart"/>
      <w:r w:rsidRPr="008F07F2">
        <w:rPr>
          <w:rFonts w:ascii="Arial" w:eastAsia="Times New Roman" w:hAnsi="Arial" w:cs="Arial"/>
          <w:color w:val="0F1115"/>
          <w:kern w:val="0"/>
          <w:sz w:val="22"/>
          <w:szCs w:val="22"/>
          <w:lang w:eastAsia="en-GB"/>
          <w14:ligatures w14:val="none"/>
        </w:rPr>
        <w:t>Huhn</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2019). Evidence confirms their effectiveness for acute symptom reduction and relapse prevention (</w:t>
      </w:r>
      <w:proofErr w:type="spellStart"/>
      <w:r w:rsidRPr="008F07F2">
        <w:rPr>
          <w:rFonts w:ascii="Arial" w:eastAsia="Times New Roman" w:hAnsi="Arial" w:cs="Arial"/>
          <w:color w:val="0F1115"/>
          <w:kern w:val="0"/>
          <w:sz w:val="22"/>
          <w:szCs w:val="22"/>
          <w:lang w:eastAsia="en-GB"/>
          <w14:ligatures w14:val="none"/>
        </w:rPr>
        <w:t>Huhn</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xml:space="preserve">., 2019; </w:t>
      </w:r>
      <w:proofErr w:type="spellStart"/>
      <w:r w:rsidRPr="008F07F2">
        <w:rPr>
          <w:rFonts w:ascii="Arial" w:eastAsia="Times New Roman" w:hAnsi="Arial" w:cs="Arial"/>
          <w:color w:val="0F1115"/>
          <w:kern w:val="0"/>
          <w:sz w:val="22"/>
          <w:szCs w:val="22"/>
          <w:lang w:eastAsia="en-GB"/>
          <w14:ligatures w14:val="none"/>
        </w:rPr>
        <w:t>Sampogna</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2023).</w:t>
      </w:r>
    </w:p>
    <w:p w14:paraId="27EA57F2"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However, limitations persist. A substantial subgroup develops ‘treatment-resistant schizophrenia’ (TRS), where symptoms continue despite adequate trials of antipsychotics (</w:t>
      </w:r>
      <w:proofErr w:type="spellStart"/>
      <w:r w:rsidRPr="008F07F2">
        <w:rPr>
          <w:rFonts w:ascii="Arial" w:eastAsia="Times New Roman" w:hAnsi="Arial" w:cs="Arial"/>
          <w:color w:val="0F1115"/>
          <w:kern w:val="0"/>
          <w:sz w:val="22"/>
          <w:szCs w:val="22"/>
          <w:lang w:eastAsia="en-GB"/>
          <w14:ligatures w14:val="none"/>
        </w:rPr>
        <w:t>Siskind</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2021). Adverse effects, including metabolic abnormalities and extrapyramidal symptoms, are a major cause of treatment discontinuation and relapse (</w:t>
      </w:r>
      <w:proofErr w:type="spellStart"/>
      <w:r w:rsidRPr="008F07F2">
        <w:rPr>
          <w:rFonts w:ascii="Arial" w:eastAsia="Times New Roman" w:hAnsi="Arial" w:cs="Arial"/>
          <w:color w:val="0F1115"/>
          <w:kern w:val="0"/>
          <w:sz w:val="22"/>
          <w:szCs w:val="22"/>
          <w:lang w:eastAsia="en-GB"/>
          <w14:ligatures w14:val="none"/>
        </w:rPr>
        <w:t>Huhn</w:t>
      </w:r>
      <w:proofErr w:type="spellEnd"/>
      <w:r w:rsidRPr="008F07F2">
        <w:rPr>
          <w:rFonts w:ascii="Arial" w:eastAsia="Times New Roman" w:hAnsi="Arial" w:cs="Arial"/>
          <w:color w:val="0F1115"/>
          <w:kern w:val="0"/>
          <w:sz w:val="22"/>
          <w:szCs w:val="22"/>
          <w:lang w:eastAsia="en-GB"/>
          <w14:ligatures w14:val="none"/>
        </w:rPr>
        <w:t xml:space="preserve"> et al., 2019; </w:t>
      </w:r>
      <w:proofErr w:type="spellStart"/>
      <w:r w:rsidRPr="008F07F2">
        <w:rPr>
          <w:rFonts w:ascii="Arial" w:eastAsia="Times New Roman" w:hAnsi="Arial" w:cs="Arial"/>
          <w:color w:val="0F1115"/>
          <w:kern w:val="0"/>
          <w:sz w:val="22"/>
          <w:szCs w:val="22"/>
          <w:lang w:eastAsia="en-GB"/>
          <w14:ligatures w14:val="none"/>
        </w:rPr>
        <w:t>Sampogna</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2023). Furthermore, antipsychotics are less effective for negative and cognitive symptoms, which often contribute most to long-term disability (McCutcheon et al., 2020).</w:t>
      </w:r>
    </w:p>
    <w:p w14:paraId="643C9ADB"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 xml:space="preserve">Psychosocial interventions are central to recovery and endorsed in modern frameworks (American Psychiatric Association, 2020; </w:t>
      </w:r>
      <w:proofErr w:type="spellStart"/>
      <w:r w:rsidRPr="008F07F2">
        <w:rPr>
          <w:rFonts w:ascii="Arial" w:eastAsia="Times New Roman" w:hAnsi="Arial" w:cs="Arial"/>
          <w:color w:val="0F1115"/>
          <w:kern w:val="0"/>
          <w:sz w:val="22"/>
          <w:szCs w:val="22"/>
          <w:lang w:eastAsia="en-GB"/>
          <w14:ligatures w14:val="none"/>
        </w:rPr>
        <w:t>Leamy</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2011).</w:t>
      </w:r>
    </w:p>
    <w:p w14:paraId="040DA964"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 Cognitive Behavioural Therapy for psychosis (</w:t>
      </w:r>
      <w:proofErr w:type="spellStart"/>
      <w:r w:rsidRPr="008F07F2">
        <w:rPr>
          <w:rFonts w:ascii="Arial" w:eastAsia="Times New Roman" w:hAnsi="Arial" w:cs="Arial"/>
          <w:color w:val="0F1115"/>
          <w:kern w:val="0"/>
          <w:sz w:val="22"/>
          <w:szCs w:val="22"/>
          <w:lang w:eastAsia="en-GB"/>
          <w14:ligatures w14:val="none"/>
        </w:rPr>
        <w:t>CBTp</w:t>
      </w:r>
      <w:proofErr w:type="spellEnd"/>
      <w:r w:rsidRPr="008F07F2">
        <w:rPr>
          <w:rFonts w:ascii="Arial" w:eastAsia="Times New Roman" w:hAnsi="Arial" w:cs="Arial"/>
          <w:color w:val="0F1115"/>
          <w:kern w:val="0"/>
          <w:sz w:val="22"/>
          <w:szCs w:val="22"/>
          <w:lang w:eastAsia="en-GB"/>
          <w14:ligatures w14:val="none"/>
        </w:rPr>
        <w:t>) helps develop coping strategies and re-evaluate distressing beliefs, and is recommended alongside medication (American Psychiatric Association, 2020).</w:t>
      </w:r>
    </w:p>
    <w:p w14:paraId="1B280F09"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 Family interventions provide psychoeducation and support to reduce ‘expressed emotion’, a factor in relapse risk, and are a key component of care (American Psychiatric Association, 2020).</w:t>
      </w:r>
    </w:p>
    <w:p w14:paraId="6AD59E77" w14:textId="77777777" w:rsidR="008F07F2"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 xml:space="preserve">• Supported employment (IPS) focuses on securing competitive employment and is highly effective at improving vocational outcomes (Metcalfe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2018).</w:t>
      </w:r>
    </w:p>
    <w:p w14:paraId="45CA1186" w14:textId="202D1F0A" w:rsidR="00381C0E" w:rsidRPr="008F07F2" w:rsidRDefault="008F07F2" w:rsidP="008F07F2">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8F07F2">
        <w:rPr>
          <w:rFonts w:ascii="Arial" w:eastAsia="Times New Roman" w:hAnsi="Arial" w:cs="Arial"/>
          <w:color w:val="0F1115"/>
          <w:kern w:val="0"/>
          <w:sz w:val="22"/>
          <w:szCs w:val="22"/>
          <w:lang w:eastAsia="en-GB"/>
          <w14:ligatures w14:val="none"/>
        </w:rPr>
        <w:t>These interventions are crucial for rebuilding social roles and moving beyond symptom reduction (</w:t>
      </w:r>
      <w:proofErr w:type="spellStart"/>
      <w:r w:rsidRPr="008F07F2">
        <w:rPr>
          <w:rFonts w:ascii="Arial" w:eastAsia="Times New Roman" w:hAnsi="Arial" w:cs="Arial"/>
          <w:color w:val="0F1115"/>
          <w:kern w:val="0"/>
          <w:sz w:val="22"/>
          <w:szCs w:val="22"/>
          <w:lang w:eastAsia="en-GB"/>
          <w14:ligatures w14:val="none"/>
        </w:rPr>
        <w:t>Leamy</w:t>
      </w:r>
      <w:proofErr w:type="spellEnd"/>
      <w:r w:rsidRPr="008F07F2">
        <w:rPr>
          <w:rFonts w:ascii="Arial" w:eastAsia="Times New Roman" w:hAnsi="Arial" w:cs="Arial"/>
          <w:color w:val="0F1115"/>
          <w:kern w:val="0"/>
          <w:sz w:val="22"/>
          <w:szCs w:val="22"/>
          <w:lang w:eastAsia="en-GB"/>
          <w14:ligatures w14:val="none"/>
        </w:rPr>
        <w:t xml:space="preserve"> </w:t>
      </w:r>
      <w:r w:rsidRPr="008F07F2">
        <w:rPr>
          <w:rFonts w:ascii="Arial" w:eastAsia="Times New Roman" w:hAnsi="Arial" w:cs="Arial"/>
          <w:i/>
          <w:iCs/>
          <w:color w:val="0F1115"/>
          <w:kern w:val="0"/>
          <w:sz w:val="22"/>
          <w:szCs w:val="22"/>
          <w:lang w:eastAsia="en-GB"/>
          <w14:ligatures w14:val="none"/>
        </w:rPr>
        <w:t>et al</w:t>
      </w:r>
      <w:r w:rsidRPr="008F07F2">
        <w:rPr>
          <w:rFonts w:ascii="Arial" w:eastAsia="Times New Roman" w:hAnsi="Arial" w:cs="Arial"/>
          <w:color w:val="0F1115"/>
          <w:kern w:val="0"/>
          <w:sz w:val="22"/>
          <w:szCs w:val="22"/>
          <w:lang w:eastAsia="en-GB"/>
          <w14:ligatures w14:val="none"/>
        </w:rPr>
        <w:t>., 2011; American Psychiatric Association, 2020). Nonetheless, access is inconsistent, creating a ‘postcode lottery’ for psychological and vocational support.</w:t>
      </w:r>
    </w:p>
    <w:p w14:paraId="24854413"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lastRenderedPageBreak/>
        <w:t>3.2. Rehabilitation Measures in ICD-11 and Practice</w:t>
      </w:r>
      <w:r w:rsidRPr="00C40894">
        <w:rPr>
          <w:rFonts w:ascii="Arial" w:eastAsia="Times New Roman" w:hAnsi="Arial" w:cs="Arial"/>
          <w:color w:val="0F1115"/>
          <w:kern w:val="0"/>
          <w:sz w:val="22"/>
          <w:szCs w:val="22"/>
          <w:lang w:eastAsia="en-GB"/>
          <w14:ligatures w14:val="none"/>
        </w:rPr>
        <w:br/>
        <w:t>ICD-11 does not prescribe specific rehabilitation programmes but allows the use of “extension codes” to record psychosocial factors such as difficulties with occupational functioning or lack of social support (World Health Organization, 2019). Incorporating such codes into the diagnostic record formally recognises that treatment must extend beyond symptom management to address broader social and functional needs (World Health Organization, 2019).</w:t>
      </w:r>
    </w:p>
    <w:p w14:paraId="2CD0238D" w14:textId="77777777" w:rsid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27914853" w14:textId="2F3C0673"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In practice, psychosocial rehabilitation focuses on maximising a person’s independence, social inclusion, and quality of life. Common components include:</w:t>
      </w:r>
    </w:p>
    <w:p w14:paraId="0B904D35" w14:textId="77777777" w:rsidR="00C40894" w:rsidRPr="00C40894" w:rsidRDefault="00C40894" w:rsidP="00C40894">
      <w:pPr>
        <w:numPr>
          <w:ilvl w:val="0"/>
          <w:numId w:val="6"/>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Social Skills Training.</w:t>
      </w:r>
      <w:r w:rsidRPr="00C40894">
        <w:rPr>
          <w:rFonts w:ascii="Arial" w:eastAsia="Times New Roman" w:hAnsi="Arial" w:cs="Arial"/>
          <w:color w:val="0F1115"/>
          <w:kern w:val="0"/>
          <w:sz w:val="22"/>
          <w:szCs w:val="22"/>
          <w:lang w:eastAsia="en-GB"/>
          <w14:ligatures w14:val="none"/>
        </w:rPr>
        <w:t xml:space="preserve"> Structured group or individual programmes designed to enhance communication, problem-solving, and daily living skills.</w:t>
      </w:r>
    </w:p>
    <w:p w14:paraId="39EE8E72" w14:textId="77777777" w:rsidR="00C40894" w:rsidRPr="00C40894" w:rsidRDefault="00C40894" w:rsidP="00C40894">
      <w:pPr>
        <w:numPr>
          <w:ilvl w:val="0"/>
          <w:numId w:val="6"/>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Cognitive Remediation Therapy.</w:t>
      </w:r>
      <w:r w:rsidRPr="00C40894">
        <w:rPr>
          <w:rFonts w:ascii="Arial" w:eastAsia="Times New Roman" w:hAnsi="Arial" w:cs="Arial"/>
          <w:color w:val="0F1115"/>
          <w:kern w:val="0"/>
          <w:sz w:val="22"/>
          <w:szCs w:val="22"/>
          <w:lang w:eastAsia="en-GB"/>
          <w14:ligatures w14:val="none"/>
        </w:rPr>
        <w:t xml:space="preserve"> Uses computer-based or paper-and-pencil exercises to target cognitive domains such as attention, memory, and executive functioning. Meta-analytic evidence suggests that cognitive remediation can improve cognitive performance and, when integrated with rehabilitation services, support better functional outcomes (</w:t>
      </w:r>
      <w:proofErr w:type="spellStart"/>
      <w:r w:rsidRPr="00C40894">
        <w:rPr>
          <w:rFonts w:ascii="Arial" w:eastAsia="Times New Roman" w:hAnsi="Arial" w:cs="Arial"/>
          <w:color w:val="0F1115"/>
          <w:kern w:val="0"/>
          <w:sz w:val="22"/>
          <w:szCs w:val="22"/>
          <w:lang w:eastAsia="en-GB"/>
          <w14:ligatures w14:val="none"/>
        </w:rPr>
        <w:t>Cella</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2017).</w:t>
      </w:r>
    </w:p>
    <w:p w14:paraId="0FDB7AFE" w14:textId="77777777" w:rsidR="00C40894" w:rsidRPr="00C40894" w:rsidRDefault="00C40894" w:rsidP="00C40894">
      <w:pPr>
        <w:numPr>
          <w:ilvl w:val="0"/>
          <w:numId w:val="6"/>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Assertive Community Treatment (ACT).</w:t>
      </w:r>
      <w:r w:rsidRPr="00C40894">
        <w:rPr>
          <w:rFonts w:ascii="Arial" w:eastAsia="Times New Roman" w:hAnsi="Arial" w:cs="Arial"/>
          <w:color w:val="0F1115"/>
          <w:kern w:val="0"/>
          <w:sz w:val="22"/>
          <w:szCs w:val="22"/>
          <w:lang w:eastAsia="en-GB"/>
          <w14:ligatures w14:val="none"/>
        </w:rPr>
        <w:t xml:space="preserve"> ACT involves multidisciplinary teams providing intensive, flexible, community-based support for people with complex needs, aiming to reduce hospitalisation and improve engagement by taking services to the individual rather than relying on clinic attendance (American Psychiatric Association, 2020).</w:t>
      </w:r>
    </w:p>
    <w:p w14:paraId="720A1200" w14:textId="77777777" w:rsidR="00C40894" w:rsidRPr="00C40894" w:rsidRDefault="00C40894" w:rsidP="00C40894">
      <w:pPr>
        <w:numPr>
          <w:ilvl w:val="0"/>
          <w:numId w:val="6"/>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Peer Support.</w:t>
      </w:r>
      <w:r w:rsidRPr="00C40894">
        <w:rPr>
          <w:rFonts w:ascii="Arial" w:eastAsia="Times New Roman" w:hAnsi="Arial" w:cs="Arial"/>
          <w:color w:val="0F1115"/>
          <w:kern w:val="0"/>
          <w:sz w:val="22"/>
          <w:szCs w:val="22"/>
          <w:lang w:eastAsia="en-GB"/>
          <w14:ligatures w14:val="none"/>
        </w:rPr>
        <w:t xml:space="preserve"> Peer-led interventions involve support from people with lived experience of mental ill-health, which can enhance hope, empowerment, and engagement, and reduce feelings of isolation (Smit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2022).</w:t>
      </w:r>
    </w:p>
    <w:p w14:paraId="07617EE4" w14:textId="0ABE492F" w:rsid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Overall, rehabilitation interventions such as cognitive remediation and supported employment have strong empirical support (</w:t>
      </w:r>
      <w:proofErr w:type="spellStart"/>
      <w:r w:rsidRPr="00C40894">
        <w:rPr>
          <w:rFonts w:ascii="Arial" w:eastAsia="Times New Roman" w:hAnsi="Arial" w:cs="Arial"/>
          <w:color w:val="0F1115"/>
          <w:kern w:val="0"/>
          <w:sz w:val="22"/>
          <w:szCs w:val="22"/>
          <w:lang w:eastAsia="en-GB"/>
          <w14:ligatures w14:val="none"/>
        </w:rPr>
        <w:t>Cella</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2017; Metcalfe</w:t>
      </w:r>
      <w:r w:rsidR="00DE1F77">
        <w:rPr>
          <w:rFonts w:ascii="Arial" w:eastAsia="Times New Roman" w:hAnsi="Arial" w:cs="Arial"/>
          <w:color w:val="0F1115"/>
          <w:kern w:val="0"/>
          <w:sz w:val="22"/>
          <w:szCs w:val="22"/>
          <w:lang w:eastAsia="en-GB"/>
          <w14:ligatures w14:val="none"/>
        </w:rPr>
        <w:t xml:space="preserve"> </w:t>
      </w:r>
      <w:r w:rsidR="00DE1F77" w:rsidRPr="00DE1F77">
        <w:rPr>
          <w:rFonts w:ascii="Arial" w:eastAsia="Times New Roman" w:hAnsi="Arial" w:cs="Arial"/>
          <w:i/>
          <w:iCs/>
          <w:color w:val="0F1115"/>
          <w:kern w:val="0"/>
          <w:sz w:val="22"/>
          <w:szCs w:val="22"/>
          <w:lang w:eastAsia="en-GB"/>
          <w14:ligatures w14:val="none"/>
        </w:rPr>
        <w:t>et al</w:t>
      </w:r>
      <w:r w:rsidR="00DE1F77">
        <w:rPr>
          <w:rFonts w:ascii="Arial" w:eastAsia="Times New Roman" w:hAnsi="Arial" w:cs="Arial"/>
          <w:color w:val="0F1115"/>
          <w:kern w:val="0"/>
          <w:sz w:val="22"/>
          <w:szCs w:val="22"/>
          <w:lang w:eastAsia="en-GB"/>
          <w14:ligatures w14:val="none"/>
        </w:rPr>
        <w:t>.,</w:t>
      </w:r>
      <w:r w:rsidRPr="00C40894">
        <w:rPr>
          <w:rFonts w:ascii="Arial" w:eastAsia="Times New Roman" w:hAnsi="Arial" w:cs="Arial"/>
          <w:color w:val="0F1115"/>
          <w:kern w:val="0"/>
          <w:sz w:val="22"/>
          <w:szCs w:val="22"/>
          <w:lang w:eastAsia="en-GB"/>
          <w14:ligatures w14:val="none"/>
        </w:rPr>
        <w:t xml:space="preserve"> 2018). However, systemic barriers</w:t>
      </w:r>
      <w:r>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color w:val="0F1115"/>
          <w:kern w:val="0"/>
          <w:sz w:val="22"/>
          <w:szCs w:val="22"/>
          <w:lang w:eastAsia="en-GB"/>
          <w14:ligatures w14:val="none"/>
        </w:rPr>
        <w:t>including under-funding, workforce shortages, and fragmented service provision</w:t>
      </w:r>
      <w:r>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color w:val="0F1115"/>
          <w:kern w:val="0"/>
          <w:sz w:val="22"/>
          <w:szCs w:val="22"/>
          <w:lang w:eastAsia="en-GB"/>
          <w14:ligatures w14:val="none"/>
        </w:rPr>
        <w:t>limit their consistent implementation. Outcomes are also strongly influenced by the availability of broader community resources such as supportive housing, anti-stigma initiatives, and employment opportunities, which vary widely across regions in the UK.</w:t>
      </w:r>
    </w:p>
    <w:p w14:paraId="53C0B517" w14:textId="3C90663A" w:rsidR="00C40894" w:rsidRPr="00C40894" w:rsidRDefault="00C40894" w:rsidP="00C40894">
      <w:pPr>
        <w:pStyle w:val="Heading1"/>
        <w:rPr>
          <w:rFonts w:eastAsia="Times New Roman"/>
          <w:lang w:eastAsia="en-GB"/>
        </w:rPr>
      </w:pPr>
      <w:bookmarkStart w:id="3" w:name="_Toc213963231"/>
      <w:r>
        <w:rPr>
          <w:rFonts w:eastAsia="Times New Roman"/>
          <w:lang w:eastAsia="en-GB"/>
        </w:rPr>
        <w:lastRenderedPageBreak/>
        <w:t xml:space="preserve">4. </w:t>
      </w:r>
      <w:r w:rsidRPr="00C40894">
        <w:rPr>
          <w:rFonts w:eastAsia="Times New Roman"/>
          <w:lang w:eastAsia="en-GB"/>
        </w:rPr>
        <w:t>Current Debates and Emerging Issues</w:t>
      </w:r>
      <w:bookmarkEnd w:id="3"/>
    </w:p>
    <w:p w14:paraId="22F00EFF"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4.1. The Neurodiversity Critique and Reclassification</w:t>
      </w:r>
      <w:r w:rsidRPr="00C40894">
        <w:rPr>
          <w:rFonts w:ascii="Arial" w:eastAsia="Times New Roman" w:hAnsi="Arial" w:cs="Arial"/>
          <w:color w:val="0F1115"/>
          <w:kern w:val="0"/>
          <w:sz w:val="22"/>
          <w:szCs w:val="22"/>
          <w:lang w:eastAsia="en-GB"/>
          <w14:ligatures w14:val="none"/>
        </w:rPr>
        <w:br/>
        <w:t>A major contemporary debate challenges the very framing of schizophrenia as a discrete, pathological disorder. The neurodiversity movement, originating in the context of autism, argues that some forms of cognitive and perceptual difference should be viewed as natural variations rather than deficits to be normalised or cured (Chapman, 2021). Applied to psychosis, this perspective prompts a reconsideration of experiences such as hearing voices or holding unusual beliefs, which may be understood as meaningful responses to adversity or alternative modes of sense-making rather than simply symptoms of brain disease (Johnstone &amp; Boyle, 2018).</w:t>
      </w:r>
    </w:p>
    <w:p w14:paraId="6E7C05BB"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 xml:space="preserve">From this standpoint, the traditional medical goal of symptom elimination can appear invalidating and coercive, especially where it neglects the person’s own narrative. The Hearing Voices Movement exemplifies this critique, promoting an approach in which voices are explored as meaningful experiences that can be related to, negotiated with, and integrated, rather than simply suppressed (Longden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xml:space="preserve">., 2022; </w:t>
      </w:r>
      <w:proofErr w:type="spellStart"/>
      <w:r w:rsidRPr="00C40894">
        <w:rPr>
          <w:rFonts w:ascii="Arial" w:eastAsia="Times New Roman" w:hAnsi="Arial" w:cs="Arial"/>
          <w:color w:val="0F1115"/>
          <w:kern w:val="0"/>
          <w:sz w:val="22"/>
          <w:szCs w:val="22"/>
          <w:lang w:eastAsia="en-GB"/>
          <w14:ligatures w14:val="none"/>
        </w:rPr>
        <w:t>Corstens</w:t>
      </w:r>
      <w:proofErr w:type="spellEnd"/>
      <w:r w:rsidRPr="00C40894">
        <w:rPr>
          <w:rFonts w:ascii="Arial" w:eastAsia="Times New Roman" w:hAnsi="Arial" w:cs="Arial"/>
          <w:color w:val="0F1115"/>
          <w:kern w:val="0"/>
          <w:sz w:val="22"/>
          <w:szCs w:val="22"/>
          <w:lang w:eastAsia="en-GB"/>
          <w14:ligatures w14:val="none"/>
        </w:rPr>
        <w:t>, Longden &amp; May, 2020).</w:t>
      </w:r>
    </w:p>
    <w:p w14:paraId="168A1285"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 xml:space="preserve">Consequently, some authors suggest that, for certain individuals, a diagnosis of complex post-traumatic stress disorder (C-PTSD) or trauma-related dissociation may be more appropriate than a primary psychotic disorder, with major implications for treatment priorities, which would shift towards processing and integrating traumatic experiences rather than primarily suppressing symptoms (Read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2014; Johnstone &amp; Boyle, 2018). This raises fundamental questions about whether schizophrenia is best conceptualised as a discrete disease entity or as one manifestation within a broader continuum of human responses to adversity.</w:t>
      </w:r>
    </w:p>
    <w:p w14:paraId="49F5433F"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4.2. Impact on Practice and Policy</w:t>
      </w:r>
      <w:r w:rsidRPr="00C40894">
        <w:rPr>
          <w:rFonts w:ascii="Arial" w:eastAsia="Times New Roman" w:hAnsi="Arial" w:cs="Arial"/>
          <w:color w:val="0F1115"/>
          <w:kern w:val="0"/>
          <w:sz w:val="22"/>
          <w:szCs w:val="22"/>
          <w:lang w:eastAsia="en-GB"/>
          <w14:ligatures w14:val="none"/>
        </w:rPr>
        <w:br/>
        <w:t>These conceptual debates are gradually influencing mental health practice and policy. The recovery model, which emphasises personal agency, strengths, and the possibility of living a meaningful life with or without ongoing symptoms, has gained prominence and is underpinned by a substantial evidence base (</w:t>
      </w:r>
      <w:proofErr w:type="spellStart"/>
      <w:r w:rsidRPr="00C40894">
        <w:rPr>
          <w:rFonts w:ascii="Arial" w:eastAsia="Times New Roman" w:hAnsi="Arial" w:cs="Arial"/>
          <w:color w:val="0F1115"/>
          <w:kern w:val="0"/>
          <w:sz w:val="22"/>
          <w:szCs w:val="22"/>
          <w:lang w:eastAsia="en-GB"/>
          <w14:ligatures w14:val="none"/>
        </w:rPr>
        <w:t>Leamy</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2011). Recovery-oriented services prioritise the individual’s goals and definitions of recovery, rather than focusing solely on symptom reduction.</w:t>
      </w:r>
    </w:p>
    <w:p w14:paraId="5540C042" w14:textId="2A0D6D8B" w:rsidR="008225EF" w:rsidRPr="007975E5" w:rsidRDefault="00C40894" w:rsidP="007975E5">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 xml:space="preserve">Policy frameworks in the UK, including NHS guidance, increasingly advocate shared decision-making and trauma-informed care, where clinicians work collaboratively with </w:t>
      </w:r>
      <w:r w:rsidRPr="00C40894">
        <w:rPr>
          <w:rFonts w:ascii="Arial" w:eastAsia="Times New Roman" w:hAnsi="Arial" w:cs="Arial"/>
          <w:color w:val="0F1115"/>
          <w:kern w:val="0"/>
          <w:sz w:val="22"/>
          <w:szCs w:val="22"/>
          <w:lang w:eastAsia="en-GB"/>
          <w14:ligatures w14:val="none"/>
        </w:rPr>
        <w:lastRenderedPageBreak/>
        <w:t>service users and explicitly consider the impact of trauma and social adversity. Nonetheless, a tension persists between these rights-based approaches and the more traditional biomedical model embedded in diagnostic systems, clinical guidelines, and mental health legislation (World Health Organization, 2019; American Psychiatric Association, 2020). ICD-11’s classification, while clinically useful, reinforces a top-down diagnostic process that can sit uneasily alongside principles of neurodiversity, service-user leadership, and personal recovery, creating a complex landscape for practitioners to navigate (</w:t>
      </w:r>
      <w:proofErr w:type="spellStart"/>
      <w:r w:rsidRPr="00C40894">
        <w:rPr>
          <w:rFonts w:ascii="Arial" w:eastAsia="Times New Roman" w:hAnsi="Arial" w:cs="Arial"/>
          <w:color w:val="0F1115"/>
          <w:kern w:val="0"/>
          <w:sz w:val="22"/>
          <w:szCs w:val="22"/>
          <w:lang w:eastAsia="en-GB"/>
          <w14:ligatures w14:val="none"/>
        </w:rPr>
        <w:t>Leamy</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2011; World Health Organization, 2019; American Psychiatric Association, 2020).</w:t>
      </w:r>
      <w:bookmarkStart w:id="4" w:name="_Toc213963232"/>
    </w:p>
    <w:p w14:paraId="08AC7D97" w14:textId="0E2C5DA3" w:rsidR="00C40894" w:rsidRPr="00C40894" w:rsidRDefault="000361D0" w:rsidP="00C40894">
      <w:pPr>
        <w:pStyle w:val="Heading1"/>
        <w:rPr>
          <w:rFonts w:ascii="Arial" w:eastAsia="Times New Roman" w:hAnsi="Arial" w:cs="Arial"/>
          <w:lang w:eastAsia="en-GB"/>
        </w:rPr>
      </w:pPr>
      <w:r>
        <w:rPr>
          <w:rFonts w:ascii="Arial" w:eastAsia="Times New Roman" w:hAnsi="Arial" w:cs="Arial"/>
          <w:lang w:eastAsia="en-GB"/>
        </w:rPr>
        <w:t xml:space="preserve">5. </w:t>
      </w:r>
      <w:r w:rsidR="00C40894" w:rsidRPr="00C40894">
        <w:rPr>
          <w:rFonts w:ascii="Arial" w:eastAsia="Times New Roman" w:hAnsi="Arial" w:cs="Arial"/>
          <w:lang w:eastAsia="en-GB"/>
        </w:rPr>
        <w:t>Recommendations</w:t>
      </w:r>
      <w:bookmarkEnd w:id="4"/>
    </w:p>
    <w:p w14:paraId="20F2EDFC" w14:textId="69B34208"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To enhance support for people given a diagnosis of schizophrenia, the following actions are recommended:</w:t>
      </w:r>
    </w:p>
    <w:p w14:paraId="22A09186" w14:textId="010397C9" w:rsidR="00C40894" w:rsidRPr="00C40894" w:rsidRDefault="00C40894" w:rsidP="00C40894">
      <w:pPr>
        <w:pStyle w:val="ListParagraph"/>
        <w:numPr>
          <w:ilvl w:val="0"/>
          <w:numId w:val="9"/>
        </w:num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Make diagnosis more personal and trauma-informed</w:t>
      </w:r>
      <w:r w:rsidRPr="00C40894">
        <w:rPr>
          <w:rFonts w:ascii="Arial" w:eastAsia="Times New Roman" w:hAnsi="Arial" w:cs="Arial"/>
          <w:color w:val="0F1115"/>
          <w:kern w:val="0"/>
          <w:sz w:val="22"/>
          <w:szCs w:val="22"/>
          <w:lang w:eastAsia="en-GB"/>
          <w14:ligatures w14:val="none"/>
        </w:rPr>
        <w:t>.</w:t>
      </w:r>
    </w:p>
    <w:p w14:paraId="40345566" w14:textId="1CF91AC1"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 xml:space="preserve">The removal of rigid subtypes in ICD-11 is a positive development, but clinicians should be supported to use the dimensional specifiers fully and to integrate psychosocial context. Routine, standardised screening for trauma and adversity should be incorporated into assessment, alongside collaborative formulation that links life events, meaning, and current experiences. This would move practice beyond a narrow symptom checklist towards a more holistic, person-centred understanding of distress (World Health Organization, 2019; Read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2014; Johnstone &amp; Boyle, 2018).</w:t>
      </w:r>
    </w:p>
    <w:p w14:paraId="32BCFFC6" w14:textId="0143FE29" w:rsidR="00C40894" w:rsidRPr="00C40894" w:rsidRDefault="00C40894" w:rsidP="00C40894">
      <w:pPr>
        <w:pStyle w:val="ListParagraph"/>
        <w:numPr>
          <w:ilvl w:val="0"/>
          <w:numId w:val="9"/>
        </w:numPr>
        <w:shd w:val="clear" w:color="auto" w:fill="FFFFFF"/>
        <w:spacing w:before="240" w:after="240" w:line="360" w:lineRule="auto"/>
        <w:rPr>
          <w:rFonts w:ascii="Arial" w:eastAsia="Times New Roman" w:hAnsi="Arial" w:cs="Arial"/>
          <w:b/>
          <w:bCs/>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t>Integrate evidence-based psychosocial interventions as core, not optional, care.</w:t>
      </w:r>
    </w:p>
    <w:p w14:paraId="36474CA6" w14:textId="2F225E9B" w:rsid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 xml:space="preserve">Policymakers and commissioners should ensure that interventions such as </w:t>
      </w:r>
      <w:proofErr w:type="spellStart"/>
      <w:r w:rsidRPr="00C40894">
        <w:rPr>
          <w:rFonts w:ascii="Arial" w:eastAsia="Times New Roman" w:hAnsi="Arial" w:cs="Arial"/>
          <w:color w:val="0F1115"/>
          <w:kern w:val="0"/>
          <w:sz w:val="22"/>
          <w:szCs w:val="22"/>
          <w:lang w:eastAsia="en-GB"/>
          <w14:ligatures w14:val="none"/>
        </w:rPr>
        <w:t>CBTp</w:t>
      </w:r>
      <w:proofErr w:type="spellEnd"/>
      <w:r w:rsidRPr="00C40894">
        <w:rPr>
          <w:rFonts w:ascii="Arial" w:eastAsia="Times New Roman" w:hAnsi="Arial" w:cs="Arial"/>
          <w:color w:val="0F1115"/>
          <w:kern w:val="0"/>
          <w:sz w:val="22"/>
          <w:szCs w:val="22"/>
          <w:lang w:eastAsia="en-GB"/>
          <w14:ligatures w14:val="none"/>
        </w:rPr>
        <w:t>, family work, cognitive remediation, and IPS supported employment are available as standard components of care, offered from the outset alongside medication rather than as late-stage add-ons. These interventions have strong empirical support and are central to functional recovery and social inclusion (American Psychiatric Association, 2020; Metcalfe</w:t>
      </w:r>
      <w:r w:rsidR="00DE1F77">
        <w:rPr>
          <w:rFonts w:ascii="Arial" w:eastAsia="Times New Roman" w:hAnsi="Arial" w:cs="Arial"/>
          <w:color w:val="0F1115"/>
          <w:kern w:val="0"/>
          <w:sz w:val="22"/>
          <w:szCs w:val="22"/>
          <w:lang w:eastAsia="en-GB"/>
          <w14:ligatures w14:val="none"/>
        </w:rPr>
        <w:t xml:space="preserve"> </w:t>
      </w:r>
      <w:r w:rsidR="00DE1F77" w:rsidRPr="00506A81">
        <w:rPr>
          <w:rFonts w:ascii="Arial" w:eastAsia="Times New Roman" w:hAnsi="Arial" w:cs="Arial"/>
          <w:i/>
          <w:iCs/>
          <w:color w:val="0F1115"/>
          <w:kern w:val="0"/>
          <w:sz w:val="22"/>
          <w:szCs w:val="22"/>
          <w:lang w:eastAsia="en-GB"/>
          <w14:ligatures w14:val="none"/>
        </w:rPr>
        <w:t>et al</w:t>
      </w:r>
      <w:r w:rsidR="00506A81">
        <w:rPr>
          <w:rFonts w:ascii="Arial" w:eastAsia="Times New Roman" w:hAnsi="Arial" w:cs="Arial"/>
          <w:color w:val="0F1115"/>
          <w:kern w:val="0"/>
          <w:sz w:val="22"/>
          <w:szCs w:val="22"/>
          <w:lang w:eastAsia="en-GB"/>
          <w14:ligatures w14:val="none"/>
        </w:rPr>
        <w:t>.,</w:t>
      </w:r>
      <w:r w:rsidRPr="00C40894">
        <w:rPr>
          <w:rFonts w:ascii="Arial" w:eastAsia="Times New Roman" w:hAnsi="Arial" w:cs="Arial"/>
          <w:color w:val="0F1115"/>
          <w:kern w:val="0"/>
          <w:sz w:val="22"/>
          <w:szCs w:val="22"/>
          <w:lang w:eastAsia="en-GB"/>
          <w14:ligatures w14:val="none"/>
        </w:rPr>
        <w:t xml:space="preserve"> 2018; </w:t>
      </w:r>
      <w:proofErr w:type="spellStart"/>
      <w:r w:rsidRPr="00C40894">
        <w:rPr>
          <w:rFonts w:ascii="Arial" w:eastAsia="Times New Roman" w:hAnsi="Arial" w:cs="Arial"/>
          <w:color w:val="0F1115"/>
          <w:kern w:val="0"/>
          <w:sz w:val="22"/>
          <w:szCs w:val="22"/>
          <w:lang w:eastAsia="en-GB"/>
          <w14:ligatures w14:val="none"/>
        </w:rPr>
        <w:t>Cella</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2017).</w:t>
      </w:r>
    </w:p>
    <w:p w14:paraId="343981EE" w14:textId="77777777" w:rsidR="00B710EE" w:rsidRDefault="00B710EE"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5F556AF3" w14:textId="77777777" w:rsidR="00B710EE" w:rsidRDefault="00B710EE"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3B42FBEC" w14:textId="7BBA75B0" w:rsidR="00C40894" w:rsidRPr="00C40894" w:rsidRDefault="00C40894" w:rsidP="00C40894">
      <w:pPr>
        <w:pStyle w:val="ListParagraph"/>
        <w:numPr>
          <w:ilvl w:val="0"/>
          <w:numId w:val="9"/>
        </w:numPr>
        <w:shd w:val="clear" w:color="auto" w:fill="FFFFFF"/>
        <w:spacing w:before="240" w:after="240" w:line="360" w:lineRule="auto"/>
        <w:rPr>
          <w:rFonts w:ascii="Arial" w:eastAsia="Times New Roman" w:hAnsi="Arial" w:cs="Arial"/>
          <w:b/>
          <w:bCs/>
          <w:color w:val="0F1115"/>
          <w:kern w:val="0"/>
          <w:sz w:val="22"/>
          <w:szCs w:val="22"/>
          <w:lang w:eastAsia="en-GB"/>
          <w14:ligatures w14:val="none"/>
        </w:rPr>
      </w:pPr>
      <w:r w:rsidRPr="00C40894">
        <w:rPr>
          <w:rFonts w:ascii="Arial" w:eastAsia="Times New Roman" w:hAnsi="Arial" w:cs="Arial"/>
          <w:b/>
          <w:bCs/>
          <w:color w:val="0F1115"/>
          <w:kern w:val="0"/>
          <w:sz w:val="22"/>
          <w:szCs w:val="22"/>
          <w:lang w:eastAsia="en-GB"/>
          <w14:ligatures w14:val="none"/>
        </w:rPr>
        <w:lastRenderedPageBreak/>
        <w:t>Bridge the gap between models through workforce development and integrated teams.</w:t>
      </w:r>
    </w:p>
    <w:p w14:paraId="7676A50C" w14:textId="465486B9" w:rsidR="007975E5"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 xml:space="preserve">Training for mental health professionals should include critical engagement with the neurodiversity critique, the Hearing Voices Movement, and trauma-informed practice, alongside biological and pharmacological knowledge. This would enable clinicians to validate lived experience while offering evidence-based interventions as tools rather than prescriptions. Care should be delivered through integrated, multidisciplinary teams that include psychiatrists, psychologists, nurses, occupational therapists, employment specialists, and peer support workers, thereby balancing biomedical, psychosocial, and lived-experience perspectives (Chapman, 2021; Johnstone &amp; Boyle, 2018; </w:t>
      </w:r>
      <w:proofErr w:type="spellStart"/>
      <w:r w:rsidRPr="00C40894">
        <w:rPr>
          <w:rFonts w:ascii="Arial" w:eastAsia="Times New Roman" w:hAnsi="Arial" w:cs="Arial"/>
          <w:color w:val="0F1115"/>
          <w:kern w:val="0"/>
          <w:sz w:val="22"/>
          <w:szCs w:val="22"/>
          <w:lang w:eastAsia="en-GB"/>
          <w14:ligatures w14:val="none"/>
        </w:rPr>
        <w:t>Leamy</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2011).</w:t>
      </w:r>
    </w:p>
    <w:p w14:paraId="43F6311D" w14:textId="3B6377DC" w:rsidR="00C40894" w:rsidRPr="007975E5" w:rsidRDefault="00C40894" w:rsidP="007975E5">
      <w:pPr>
        <w:pStyle w:val="ListParagraph"/>
        <w:numPr>
          <w:ilvl w:val="0"/>
          <w:numId w:val="9"/>
        </w:numPr>
        <w:shd w:val="clear" w:color="auto" w:fill="FFFFFF"/>
        <w:spacing w:before="240" w:after="240" w:line="360" w:lineRule="auto"/>
        <w:rPr>
          <w:rFonts w:ascii="Arial" w:eastAsia="Times New Roman" w:hAnsi="Arial" w:cs="Arial"/>
          <w:b/>
          <w:bCs/>
          <w:color w:val="0F1115"/>
          <w:kern w:val="0"/>
          <w:sz w:val="22"/>
          <w:szCs w:val="22"/>
          <w:lang w:eastAsia="en-GB"/>
          <w14:ligatures w14:val="none"/>
        </w:rPr>
      </w:pPr>
      <w:r w:rsidRPr="007975E5">
        <w:rPr>
          <w:rFonts w:ascii="Arial" w:eastAsia="Times New Roman" w:hAnsi="Arial" w:cs="Arial"/>
          <w:b/>
          <w:bCs/>
          <w:color w:val="0F1115"/>
          <w:kern w:val="0"/>
          <w:sz w:val="22"/>
          <w:szCs w:val="22"/>
          <w:lang w:eastAsia="en-GB"/>
          <w14:ligatures w14:val="none"/>
        </w:rPr>
        <w:t>Invest in research beyond the dopamine hypothesis and into implementation.</w:t>
      </w:r>
    </w:p>
    <w:p w14:paraId="70DF491C" w14:textId="4BC3409C" w:rsidR="000361D0"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Given the limited impact of current antipsychotics on negative and cognitive symptoms, further research is needed into novel therapeutic targets (e.g. glutamatergic, inflammatory, and neurodevelopmental pathways), as well as into psychosocial and digital innovations. At the same time, implementation science should be prioritised to understand how best to scale up and sustain evidence-based psychosocial and rehabilitation interventions in routine NHS settings, overcoming barriers related to funding, culture, and workforce (McCutcheon</w:t>
      </w:r>
      <w:r w:rsidR="00E51FCE">
        <w:rPr>
          <w:rFonts w:ascii="Arial" w:eastAsia="Times New Roman" w:hAnsi="Arial" w:cs="Arial"/>
          <w:color w:val="0F1115"/>
          <w:kern w:val="0"/>
          <w:sz w:val="22"/>
          <w:szCs w:val="22"/>
          <w:lang w:eastAsia="en-GB"/>
          <w14:ligatures w14:val="none"/>
        </w:rPr>
        <w:t xml:space="preserve"> </w:t>
      </w:r>
      <w:r w:rsidR="00E51FCE" w:rsidRPr="00E51FCE">
        <w:rPr>
          <w:rFonts w:ascii="Arial" w:eastAsia="Times New Roman" w:hAnsi="Arial" w:cs="Arial"/>
          <w:i/>
          <w:iCs/>
          <w:color w:val="0F1115"/>
          <w:kern w:val="0"/>
          <w:sz w:val="22"/>
          <w:szCs w:val="22"/>
          <w:lang w:eastAsia="en-GB"/>
          <w14:ligatures w14:val="none"/>
        </w:rPr>
        <w:t>et al</w:t>
      </w:r>
      <w:r w:rsidR="00E51FCE">
        <w:rPr>
          <w:rFonts w:ascii="Arial" w:eastAsia="Times New Roman" w:hAnsi="Arial" w:cs="Arial"/>
          <w:color w:val="0F1115"/>
          <w:kern w:val="0"/>
          <w:sz w:val="22"/>
          <w:szCs w:val="22"/>
          <w:lang w:eastAsia="en-GB"/>
          <w14:ligatures w14:val="none"/>
        </w:rPr>
        <w:t>.</w:t>
      </w:r>
      <w:r w:rsidRPr="00C40894">
        <w:rPr>
          <w:rFonts w:ascii="Arial" w:eastAsia="Times New Roman" w:hAnsi="Arial" w:cs="Arial"/>
          <w:color w:val="0F1115"/>
          <w:kern w:val="0"/>
          <w:sz w:val="22"/>
          <w:szCs w:val="22"/>
          <w:lang w:eastAsia="en-GB"/>
          <w14:ligatures w14:val="none"/>
        </w:rPr>
        <w:t xml:space="preserve">, 2020; </w:t>
      </w:r>
      <w:proofErr w:type="spellStart"/>
      <w:r w:rsidRPr="00C40894">
        <w:rPr>
          <w:rFonts w:ascii="Arial" w:eastAsia="Times New Roman" w:hAnsi="Arial" w:cs="Arial"/>
          <w:color w:val="0F1115"/>
          <w:kern w:val="0"/>
          <w:sz w:val="22"/>
          <w:szCs w:val="22"/>
          <w:lang w:eastAsia="en-GB"/>
          <w14:ligatures w14:val="none"/>
        </w:rPr>
        <w:t>Huhn</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xml:space="preserve">., 2019; </w:t>
      </w:r>
      <w:proofErr w:type="spellStart"/>
      <w:r w:rsidRPr="00C40894">
        <w:rPr>
          <w:rFonts w:ascii="Arial" w:eastAsia="Times New Roman" w:hAnsi="Arial" w:cs="Arial"/>
          <w:color w:val="0F1115"/>
          <w:kern w:val="0"/>
          <w:sz w:val="22"/>
          <w:szCs w:val="22"/>
          <w:lang w:eastAsia="en-GB"/>
          <w14:ligatures w14:val="none"/>
        </w:rPr>
        <w:t>Sampogna</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xml:space="preserve">., 2023; </w:t>
      </w:r>
      <w:proofErr w:type="spellStart"/>
      <w:r w:rsidRPr="00C40894">
        <w:rPr>
          <w:rFonts w:ascii="Arial" w:eastAsia="Times New Roman" w:hAnsi="Arial" w:cs="Arial"/>
          <w:color w:val="0F1115"/>
          <w:kern w:val="0"/>
          <w:sz w:val="22"/>
          <w:szCs w:val="22"/>
          <w:lang w:eastAsia="en-GB"/>
          <w14:ligatures w14:val="none"/>
        </w:rPr>
        <w:t>Siskind</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2021).</w:t>
      </w:r>
      <w:bookmarkStart w:id="5" w:name="_Toc213963233"/>
    </w:p>
    <w:p w14:paraId="55F723C0" w14:textId="77777777" w:rsidR="007975E5" w:rsidRDefault="007975E5"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16A74985"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0F45CA21"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4874B798"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57019000"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4274C24A"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1F9A8A4B"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63871D44" w14:textId="77777777" w:rsidR="00B710EE"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6B0FD867" w14:textId="77777777" w:rsidR="00B710EE" w:rsidRPr="00FC7C6B" w:rsidRDefault="00B710EE" w:rsidP="00C40894">
      <w:pPr>
        <w:shd w:val="clear" w:color="auto" w:fill="FFFFFF"/>
        <w:spacing w:before="240" w:after="240" w:line="360" w:lineRule="auto"/>
        <w:rPr>
          <w:rStyle w:val="Heading1Char"/>
          <w:rFonts w:ascii="Arial" w:eastAsia="Times New Roman" w:hAnsi="Arial" w:cs="Arial"/>
          <w:color w:val="0F1115"/>
          <w:kern w:val="0"/>
          <w:sz w:val="22"/>
          <w:szCs w:val="22"/>
          <w:lang w:eastAsia="en-GB"/>
          <w14:ligatures w14:val="none"/>
        </w:rPr>
      </w:pPr>
    </w:p>
    <w:p w14:paraId="5A11FFCC" w14:textId="1FB091AE"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Pr>
          <w:rStyle w:val="Heading1Char"/>
          <w:rFonts w:ascii="Arial" w:hAnsi="Arial" w:cs="Arial"/>
          <w:lang w:eastAsia="en-GB"/>
        </w:rPr>
        <w:lastRenderedPageBreak/>
        <w:t xml:space="preserve">6. </w:t>
      </w:r>
      <w:r w:rsidRPr="00C40894">
        <w:rPr>
          <w:rStyle w:val="Heading1Char"/>
          <w:rFonts w:ascii="Arial" w:hAnsi="Arial" w:cs="Arial"/>
          <w:lang w:eastAsia="en-GB"/>
        </w:rPr>
        <w:t>Conclusion</w:t>
      </w:r>
      <w:bookmarkEnd w:id="5"/>
      <w:r w:rsidRPr="00C40894">
        <w:rPr>
          <w:rFonts w:ascii="Arial" w:eastAsia="Times New Roman" w:hAnsi="Arial" w:cs="Arial"/>
          <w:color w:val="0F1115"/>
          <w:kern w:val="0"/>
          <w:sz w:val="22"/>
          <w:szCs w:val="22"/>
          <w:lang w:eastAsia="en-GB"/>
          <w14:ligatures w14:val="none"/>
        </w:rPr>
        <w:br/>
        <w:t>The ICD-11 revision of schizophrenia represents a meaningful step towards more consistent and clinically useful diagnosis by removing outdated subtypes and adopting a dimensional approach. Standard treatments</w:t>
      </w:r>
      <w:r>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color w:val="0F1115"/>
          <w:kern w:val="0"/>
          <w:sz w:val="22"/>
          <w:szCs w:val="22"/>
          <w:lang w:eastAsia="en-GB"/>
          <w14:ligatures w14:val="none"/>
        </w:rPr>
        <w:t>particularly antipsychotic medications combined with psychological and social interventions</w:t>
      </w:r>
      <w:r>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color w:val="0F1115"/>
          <w:kern w:val="0"/>
          <w:sz w:val="22"/>
          <w:szCs w:val="22"/>
          <w:lang w:eastAsia="en-GB"/>
          <w14:ligatures w14:val="none"/>
        </w:rPr>
        <w:t>provide substantial benefits for many people, yet remain constrained by treatment resistance, side effects, non-adherence, and highly variable access to evidence-based psychosocial care.</w:t>
      </w:r>
    </w:p>
    <w:p w14:paraId="7F8F1C22"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Simultaneously, neurodiversity-informed, service-user-led, and trauma-informed perspectives challenge the assumption that all psychotic experiences are best understood as symptoms of a brain disorder and emphasise the importance of meaning, context, and human rights (Johnstone &amp; Boyle, 2018; Read et al., 2014). The future of schizophrenia care lies in synthesising these perspectives: retaining the practical benefits of diagnostic clarity and pharmacological treatment while fully embracing personal recovery, trauma-informed practice, and respect for lived experience.</w:t>
      </w:r>
    </w:p>
    <w:p w14:paraId="28553FDA" w14:textId="6E5C5236" w:rsidR="000361D0"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C40894">
        <w:rPr>
          <w:rFonts w:ascii="Arial" w:eastAsia="Times New Roman" w:hAnsi="Arial" w:cs="Arial"/>
          <w:color w:val="0F1115"/>
          <w:kern w:val="0"/>
          <w:sz w:val="22"/>
          <w:szCs w:val="22"/>
          <w:lang w:eastAsia="en-GB"/>
          <w14:ligatures w14:val="none"/>
        </w:rPr>
        <w:t>By implementing the recommendations outlined</w:t>
      </w:r>
      <w:r>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color w:val="0F1115"/>
          <w:kern w:val="0"/>
          <w:sz w:val="22"/>
          <w:szCs w:val="22"/>
          <w:lang w:eastAsia="en-GB"/>
          <w14:ligatures w14:val="none"/>
        </w:rPr>
        <w:t>particularly those concerning trauma-informed assessment, the routine provision of psychosocial interventions, and the development of integrated, recovery-oriented teams</w:t>
      </w:r>
      <w:r>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color w:val="0F1115"/>
          <w:kern w:val="0"/>
          <w:sz w:val="22"/>
          <w:szCs w:val="22"/>
          <w:lang w:eastAsia="en-GB"/>
          <w14:ligatures w14:val="none"/>
        </w:rPr>
        <w:t xml:space="preserve">the UK can move towards a more holistic, equitable, and compassionate response to schizophrenia, better aligned with both the ICD-11 framework and contemporary service-user expectations (World Health Organization, 2019; American Psychiatric Association, 2020; </w:t>
      </w:r>
      <w:proofErr w:type="spellStart"/>
      <w:r w:rsidRPr="00C40894">
        <w:rPr>
          <w:rFonts w:ascii="Arial" w:eastAsia="Times New Roman" w:hAnsi="Arial" w:cs="Arial"/>
          <w:color w:val="0F1115"/>
          <w:kern w:val="0"/>
          <w:sz w:val="22"/>
          <w:szCs w:val="22"/>
          <w:lang w:eastAsia="en-GB"/>
          <w14:ligatures w14:val="none"/>
        </w:rPr>
        <w:t>Leamy</w:t>
      </w:r>
      <w:proofErr w:type="spellEnd"/>
      <w:r w:rsidRPr="00C40894">
        <w:rPr>
          <w:rFonts w:ascii="Arial" w:eastAsia="Times New Roman" w:hAnsi="Arial" w:cs="Arial"/>
          <w:color w:val="0F1115"/>
          <w:kern w:val="0"/>
          <w:sz w:val="22"/>
          <w:szCs w:val="22"/>
          <w:lang w:eastAsia="en-GB"/>
          <w14:ligatures w14:val="none"/>
        </w:rPr>
        <w:t xml:space="preserve"> </w:t>
      </w:r>
      <w:r w:rsidRPr="00C40894">
        <w:rPr>
          <w:rFonts w:ascii="Arial" w:eastAsia="Times New Roman" w:hAnsi="Arial" w:cs="Arial"/>
          <w:i/>
          <w:iCs/>
          <w:color w:val="0F1115"/>
          <w:kern w:val="0"/>
          <w:sz w:val="22"/>
          <w:szCs w:val="22"/>
          <w:lang w:eastAsia="en-GB"/>
          <w14:ligatures w14:val="none"/>
        </w:rPr>
        <w:t>et al</w:t>
      </w:r>
      <w:r w:rsidRPr="00C40894">
        <w:rPr>
          <w:rFonts w:ascii="Arial" w:eastAsia="Times New Roman" w:hAnsi="Arial" w:cs="Arial"/>
          <w:color w:val="0F1115"/>
          <w:kern w:val="0"/>
          <w:sz w:val="22"/>
          <w:szCs w:val="22"/>
          <w:lang w:eastAsia="en-GB"/>
          <w14:ligatures w14:val="none"/>
        </w:rPr>
        <w:t>., 2011).</w:t>
      </w:r>
    </w:p>
    <w:p w14:paraId="66CAE3B1" w14:textId="77777777" w:rsidR="000361D0" w:rsidRDefault="000361D0">
      <w:pPr>
        <w:rPr>
          <w:rFonts w:ascii="Arial" w:eastAsia="Times New Roman" w:hAnsi="Arial" w:cs="Arial"/>
          <w:color w:val="0F1115"/>
          <w:kern w:val="0"/>
          <w:sz w:val="22"/>
          <w:szCs w:val="22"/>
          <w:lang w:eastAsia="en-GB"/>
          <w14:ligatures w14:val="none"/>
        </w:rPr>
      </w:pPr>
      <w:r>
        <w:rPr>
          <w:rFonts w:ascii="Arial" w:eastAsia="Times New Roman" w:hAnsi="Arial" w:cs="Arial"/>
          <w:color w:val="0F1115"/>
          <w:kern w:val="0"/>
          <w:sz w:val="22"/>
          <w:szCs w:val="22"/>
          <w:lang w:eastAsia="en-GB"/>
          <w14:ligatures w14:val="none"/>
        </w:rPr>
        <w:br w:type="page"/>
      </w:r>
    </w:p>
    <w:p w14:paraId="4C492F94" w14:textId="071A8FCC" w:rsidR="000361D0" w:rsidRPr="000361D0" w:rsidRDefault="000361D0" w:rsidP="000361D0">
      <w:pPr>
        <w:pStyle w:val="Heading1"/>
        <w:numPr>
          <w:ilvl w:val="0"/>
          <w:numId w:val="12"/>
        </w:numPr>
        <w:rPr>
          <w:rFonts w:ascii="Arial" w:eastAsia="Times New Roman" w:hAnsi="Arial" w:cs="Arial"/>
          <w:lang w:eastAsia="en-GB"/>
        </w:rPr>
      </w:pPr>
      <w:bookmarkStart w:id="6" w:name="_Toc213963234"/>
      <w:r w:rsidRPr="000361D0">
        <w:rPr>
          <w:rFonts w:ascii="Arial" w:eastAsia="Times New Roman" w:hAnsi="Arial" w:cs="Arial"/>
          <w:lang w:eastAsia="en-GB"/>
        </w:rPr>
        <w:lastRenderedPageBreak/>
        <w:t>References</w:t>
      </w:r>
      <w:bookmarkEnd w:id="6"/>
    </w:p>
    <w:p w14:paraId="2EB31BBB"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American Psychiatric Association (2020). </w:t>
      </w:r>
      <w:r w:rsidRPr="00AA2C89">
        <w:rPr>
          <w:rFonts w:ascii="Arial" w:eastAsia="Times New Roman" w:hAnsi="Arial" w:cs="Arial"/>
          <w:i/>
          <w:iCs/>
          <w:color w:val="0F1115"/>
          <w:kern w:val="0"/>
          <w:sz w:val="22"/>
          <w:szCs w:val="22"/>
          <w:lang w:eastAsia="en-GB"/>
          <w14:ligatures w14:val="none"/>
        </w:rPr>
        <w:t>The American Psychiatric Association practice guideline for the treatment of patients with schizophrenia</w:t>
      </w:r>
      <w:r w:rsidRPr="00AA2C89">
        <w:rPr>
          <w:rFonts w:ascii="Arial" w:eastAsia="Times New Roman" w:hAnsi="Arial" w:cs="Arial"/>
          <w:color w:val="0F1115"/>
          <w:kern w:val="0"/>
          <w:sz w:val="22"/>
          <w:szCs w:val="22"/>
          <w:lang w:eastAsia="en-GB"/>
          <w14:ligatures w14:val="none"/>
        </w:rPr>
        <w:t>. Editorial: Washington, Dc: American Psychiatric Association.</w:t>
      </w:r>
    </w:p>
    <w:p w14:paraId="283B9C0B"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roofErr w:type="spellStart"/>
      <w:r w:rsidRPr="00AA2C89">
        <w:rPr>
          <w:rFonts w:ascii="Arial" w:eastAsia="Times New Roman" w:hAnsi="Arial" w:cs="Arial"/>
          <w:color w:val="0F1115"/>
          <w:kern w:val="0"/>
          <w:sz w:val="22"/>
          <w:szCs w:val="22"/>
          <w:lang w:eastAsia="en-GB"/>
          <w14:ligatures w14:val="none"/>
        </w:rPr>
        <w:t>Cella</w:t>
      </w:r>
      <w:proofErr w:type="spellEnd"/>
      <w:r w:rsidRPr="00AA2C89">
        <w:rPr>
          <w:rFonts w:ascii="Arial" w:eastAsia="Times New Roman" w:hAnsi="Arial" w:cs="Arial"/>
          <w:color w:val="0F1115"/>
          <w:kern w:val="0"/>
          <w:sz w:val="22"/>
          <w:szCs w:val="22"/>
          <w:lang w:eastAsia="en-GB"/>
          <w14:ligatures w14:val="none"/>
        </w:rPr>
        <w:t xml:space="preserve">, M., </w:t>
      </w:r>
      <w:proofErr w:type="spellStart"/>
      <w:r w:rsidRPr="00AA2C89">
        <w:rPr>
          <w:rFonts w:ascii="Arial" w:eastAsia="Times New Roman" w:hAnsi="Arial" w:cs="Arial"/>
          <w:color w:val="0F1115"/>
          <w:kern w:val="0"/>
          <w:sz w:val="22"/>
          <w:szCs w:val="22"/>
          <w:lang w:eastAsia="en-GB"/>
          <w14:ligatures w14:val="none"/>
        </w:rPr>
        <w:t>Preti</w:t>
      </w:r>
      <w:proofErr w:type="spellEnd"/>
      <w:r w:rsidRPr="00AA2C89">
        <w:rPr>
          <w:rFonts w:ascii="Arial" w:eastAsia="Times New Roman" w:hAnsi="Arial" w:cs="Arial"/>
          <w:color w:val="0F1115"/>
          <w:kern w:val="0"/>
          <w:sz w:val="22"/>
          <w:szCs w:val="22"/>
          <w:lang w:eastAsia="en-GB"/>
          <w14:ligatures w14:val="none"/>
        </w:rPr>
        <w:t>, A., Edwards, C., Dow, T. and Wykes, T. (2017). Cognitive remediation for negative symptoms of schizophrenia: A network meta-analysis. </w:t>
      </w:r>
      <w:r w:rsidRPr="00AA2C89">
        <w:rPr>
          <w:rFonts w:ascii="Arial" w:eastAsia="Times New Roman" w:hAnsi="Arial" w:cs="Arial"/>
          <w:i/>
          <w:iCs/>
          <w:color w:val="0F1115"/>
          <w:kern w:val="0"/>
          <w:sz w:val="22"/>
          <w:szCs w:val="22"/>
          <w:lang w:eastAsia="en-GB"/>
          <w14:ligatures w14:val="none"/>
        </w:rPr>
        <w:t>Clinical Psychology Review</w:t>
      </w:r>
      <w:r w:rsidRPr="00AA2C89">
        <w:rPr>
          <w:rFonts w:ascii="Arial" w:eastAsia="Times New Roman" w:hAnsi="Arial" w:cs="Arial"/>
          <w:color w:val="0F1115"/>
          <w:kern w:val="0"/>
          <w:sz w:val="22"/>
          <w:szCs w:val="22"/>
          <w:lang w:eastAsia="en-GB"/>
          <w14:ligatures w14:val="none"/>
        </w:rPr>
        <w:t>, 52, pp.43–</w:t>
      </w:r>
      <w:proofErr w:type="gramStart"/>
      <w:r w:rsidRPr="00AA2C89">
        <w:rPr>
          <w:rFonts w:ascii="Arial" w:eastAsia="Times New Roman" w:hAnsi="Arial" w:cs="Arial"/>
          <w:color w:val="0F1115"/>
          <w:kern w:val="0"/>
          <w:sz w:val="22"/>
          <w:szCs w:val="22"/>
          <w:lang w:eastAsia="en-GB"/>
          <w14:ligatures w14:val="none"/>
        </w:rPr>
        <w:t>51..</w:t>
      </w:r>
      <w:proofErr w:type="gramEnd"/>
    </w:p>
    <w:p w14:paraId="11DE13F0"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Chapman, R. (2021). The reality of autism: On the metaphysics of disorder and difference. </w:t>
      </w:r>
      <w:r w:rsidRPr="00AA2C89">
        <w:rPr>
          <w:rFonts w:ascii="Arial" w:eastAsia="Times New Roman" w:hAnsi="Arial" w:cs="Arial"/>
          <w:i/>
          <w:iCs/>
          <w:color w:val="0F1115"/>
          <w:kern w:val="0"/>
          <w:sz w:val="22"/>
          <w:szCs w:val="22"/>
          <w:lang w:eastAsia="en-GB"/>
          <w14:ligatures w14:val="none"/>
        </w:rPr>
        <w:t>Philosophical Psychology</w:t>
      </w:r>
      <w:r w:rsidRPr="00AA2C89">
        <w:rPr>
          <w:rFonts w:ascii="Arial" w:eastAsia="Times New Roman" w:hAnsi="Arial" w:cs="Arial"/>
          <w:color w:val="0F1115"/>
          <w:kern w:val="0"/>
          <w:sz w:val="22"/>
          <w:szCs w:val="22"/>
          <w:lang w:eastAsia="en-GB"/>
          <w14:ligatures w14:val="none"/>
        </w:rPr>
        <w:t>, 34(6), 841-865.</w:t>
      </w:r>
    </w:p>
    <w:p w14:paraId="0FAF8BAC"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 xml:space="preserve">Johnstone, L. &amp; Boyle, M. (2018) </w:t>
      </w:r>
      <w:r w:rsidRPr="00AA2C89">
        <w:rPr>
          <w:rFonts w:ascii="Arial" w:eastAsia="Times New Roman" w:hAnsi="Arial" w:cs="Arial"/>
          <w:i/>
          <w:iCs/>
          <w:color w:val="0F1115"/>
          <w:kern w:val="0"/>
          <w:sz w:val="22"/>
          <w:szCs w:val="22"/>
          <w:lang w:eastAsia="en-GB"/>
          <w14:ligatures w14:val="none"/>
        </w:rPr>
        <w:t>The Power Threat Meaning Framework: Towards the identification of patterns in emotional distress, unusual experiences and troubled or troubling behaviour, as an alternative to functional psychiatric diagnosis</w:t>
      </w:r>
      <w:r w:rsidRPr="00AA2C89">
        <w:rPr>
          <w:rFonts w:ascii="Arial" w:eastAsia="Times New Roman" w:hAnsi="Arial" w:cs="Arial"/>
          <w:color w:val="0F1115"/>
          <w:kern w:val="0"/>
          <w:sz w:val="22"/>
          <w:szCs w:val="22"/>
          <w:lang w:eastAsia="en-GB"/>
          <w14:ligatures w14:val="none"/>
        </w:rPr>
        <w:t>. Leicester: British Psychological Society.</w:t>
      </w:r>
    </w:p>
    <w:p w14:paraId="5C8E02C6"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roofErr w:type="spellStart"/>
      <w:r w:rsidRPr="00AA2C89">
        <w:rPr>
          <w:rFonts w:ascii="Arial" w:eastAsia="Times New Roman" w:hAnsi="Arial" w:cs="Arial"/>
          <w:color w:val="0F1115"/>
          <w:kern w:val="0"/>
          <w:sz w:val="22"/>
          <w:szCs w:val="22"/>
          <w:lang w:eastAsia="en-GB"/>
          <w14:ligatures w14:val="none"/>
        </w:rPr>
        <w:t>Leamy</w:t>
      </w:r>
      <w:proofErr w:type="spellEnd"/>
      <w:r w:rsidRPr="00AA2C89">
        <w:rPr>
          <w:rFonts w:ascii="Arial" w:eastAsia="Times New Roman" w:hAnsi="Arial" w:cs="Arial"/>
          <w:color w:val="0F1115"/>
          <w:kern w:val="0"/>
          <w:sz w:val="22"/>
          <w:szCs w:val="22"/>
          <w:lang w:eastAsia="en-GB"/>
          <w14:ligatures w14:val="none"/>
        </w:rPr>
        <w:t xml:space="preserve">, M., Bird, V., </w:t>
      </w:r>
      <w:proofErr w:type="spellStart"/>
      <w:r w:rsidRPr="00AA2C89">
        <w:rPr>
          <w:rFonts w:ascii="Arial" w:eastAsia="Times New Roman" w:hAnsi="Arial" w:cs="Arial"/>
          <w:color w:val="0F1115"/>
          <w:kern w:val="0"/>
          <w:sz w:val="22"/>
          <w:szCs w:val="22"/>
          <w:lang w:eastAsia="en-GB"/>
          <w14:ligatures w14:val="none"/>
        </w:rPr>
        <w:t>Boutillier</w:t>
      </w:r>
      <w:proofErr w:type="spellEnd"/>
      <w:r w:rsidRPr="00AA2C89">
        <w:rPr>
          <w:rFonts w:ascii="Arial" w:eastAsia="Times New Roman" w:hAnsi="Arial" w:cs="Arial"/>
          <w:color w:val="0F1115"/>
          <w:kern w:val="0"/>
          <w:sz w:val="22"/>
          <w:szCs w:val="22"/>
          <w:lang w:eastAsia="en-GB"/>
          <w14:ligatures w14:val="none"/>
        </w:rPr>
        <w:t>, C.L., Williams, J. and Slade, M. (2011). Conceptual framework for personal recovery in mental health: Systematic review and narrative synthesis. </w:t>
      </w:r>
      <w:r w:rsidRPr="00AA2C89">
        <w:rPr>
          <w:rFonts w:ascii="Arial" w:eastAsia="Times New Roman" w:hAnsi="Arial" w:cs="Arial"/>
          <w:i/>
          <w:iCs/>
          <w:color w:val="0F1115"/>
          <w:kern w:val="0"/>
          <w:sz w:val="22"/>
          <w:szCs w:val="22"/>
          <w:lang w:eastAsia="en-GB"/>
          <w14:ligatures w14:val="none"/>
        </w:rPr>
        <w:t>British Journal of Psychiatry</w:t>
      </w:r>
      <w:r w:rsidRPr="00AA2C89">
        <w:rPr>
          <w:rFonts w:ascii="Arial" w:eastAsia="Times New Roman" w:hAnsi="Arial" w:cs="Arial"/>
          <w:color w:val="0F1115"/>
          <w:kern w:val="0"/>
          <w:sz w:val="22"/>
          <w:szCs w:val="22"/>
          <w:lang w:eastAsia="en-GB"/>
          <w14:ligatures w14:val="none"/>
        </w:rPr>
        <w:t>, 199(06), pp.445–452.</w:t>
      </w:r>
    </w:p>
    <w:p w14:paraId="4F0D5619"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McCutcheon, R. A., Reis Marques, T., and Howes, O. D. (2020). Schizophrenia—an overview. </w:t>
      </w:r>
      <w:r w:rsidRPr="00AA2C89">
        <w:rPr>
          <w:rFonts w:ascii="Arial" w:eastAsia="Times New Roman" w:hAnsi="Arial" w:cs="Arial"/>
          <w:i/>
          <w:iCs/>
          <w:color w:val="0F1115"/>
          <w:kern w:val="0"/>
          <w:sz w:val="22"/>
          <w:szCs w:val="22"/>
          <w:lang w:eastAsia="en-GB"/>
          <w14:ligatures w14:val="none"/>
        </w:rPr>
        <w:t>JAMA Psychiatry</w:t>
      </w:r>
      <w:r w:rsidRPr="00AA2C89">
        <w:rPr>
          <w:rFonts w:ascii="Arial" w:eastAsia="Times New Roman" w:hAnsi="Arial" w:cs="Arial"/>
          <w:color w:val="0F1115"/>
          <w:kern w:val="0"/>
          <w:sz w:val="22"/>
          <w:szCs w:val="22"/>
          <w:lang w:eastAsia="en-GB"/>
          <w14:ligatures w14:val="none"/>
        </w:rPr>
        <w:t>, 77(2), 201-210.</w:t>
      </w:r>
    </w:p>
    <w:p w14:paraId="4DACD3B3"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hAnsi="Arial" w:cs="Arial"/>
          <w:sz w:val="22"/>
          <w:szCs w:val="22"/>
        </w:rPr>
        <w:t xml:space="preserve">Metcalfe, JD, Drake, RE &amp; Bond, GR 2018, ‘Economic, </w:t>
      </w:r>
      <w:proofErr w:type="spellStart"/>
      <w:r w:rsidRPr="00AA2C89">
        <w:rPr>
          <w:rFonts w:ascii="Arial" w:hAnsi="Arial" w:cs="Arial"/>
          <w:sz w:val="22"/>
          <w:szCs w:val="22"/>
        </w:rPr>
        <w:t>labor</w:t>
      </w:r>
      <w:proofErr w:type="spellEnd"/>
      <w:r w:rsidRPr="00AA2C89">
        <w:rPr>
          <w:rFonts w:ascii="Arial" w:hAnsi="Arial" w:cs="Arial"/>
          <w:sz w:val="22"/>
          <w:szCs w:val="22"/>
        </w:rPr>
        <w:t xml:space="preserve">, and regulatory moderators of the effect of Individual Placement and Support among people with severe mental illness: A systematic review and meta-analysis’, </w:t>
      </w:r>
      <w:r w:rsidRPr="00AA2C89">
        <w:rPr>
          <w:rStyle w:val="Emphasis"/>
          <w:rFonts w:ascii="Arial" w:hAnsi="Arial" w:cs="Arial"/>
          <w:sz w:val="22"/>
          <w:szCs w:val="22"/>
        </w:rPr>
        <w:t>Schizophrenia Bulletin</w:t>
      </w:r>
      <w:r w:rsidRPr="00AA2C89">
        <w:rPr>
          <w:rFonts w:ascii="Arial" w:hAnsi="Arial" w:cs="Arial"/>
          <w:sz w:val="22"/>
          <w:szCs w:val="22"/>
        </w:rPr>
        <w:t>, vol. 44, no. 1, pp. 22–31</w:t>
      </w:r>
      <w:r w:rsidRPr="00AA2C89">
        <w:rPr>
          <w:rFonts w:ascii="Arial" w:eastAsia="Times New Roman" w:hAnsi="Arial" w:cs="Arial"/>
          <w:color w:val="0F1115"/>
          <w:kern w:val="0"/>
          <w:sz w:val="22"/>
          <w:szCs w:val="22"/>
          <w:lang w:eastAsia="en-GB"/>
          <w14:ligatures w14:val="none"/>
        </w:rPr>
        <w:t xml:space="preserve"> </w:t>
      </w:r>
    </w:p>
    <w:p w14:paraId="50CB8452" w14:textId="77777777" w:rsidR="008225EF" w:rsidRDefault="008225EF"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
    <w:p w14:paraId="5B5E05A8" w14:textId="77777777" w:rsidR="008225EF" w:rsidRDefault="008225EF"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
    <w:p w14:paraId="02C0A582" w14:textId="77777777" w:rsidR="008225EF" w:rsidRDefault="008225EF"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
    <w:p w14:paraId="3C8539A2" w14:textId="77777777" w:rsidR="008225EF" w:rsidRDefault="008225EF"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
    <w:p w14:paraId="7A4252F7" w14:textId="339A2B8B"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roofErr w:type="spellStart"/>
      <w:r w:rsidRPr="00AA2C89">
        <w:rPr>
          <w:rFonts w:ascii="Arial" w:eastAsia="Times New Roman" w:hAnsi="Arial" w:cs="Arial"/>
          <w:color w:val="0F1115"/>
          <w:kern w:val="0"/>
          <w:sz w:val="22"/>
          <w:szCs w:val="22"/>
          <w:lang w:eastAsia="en-GB"/>
          <w14:ligatures w14:val="none"/>
        </w:rPr>
        <w:lastRenderedPageBreak/>
        <w:t>Misiak</w:t>
      </w:r>
      <w:proofErr w:type="spellEnd"/>
      <w:r w:rsidRPr="00AA2C89">
        <w:rPr>
          <w:rFonts w:ascii="Arial" w:eastAsia="Times New Roman" w:hAnsi="Arial" w:cs="Arial"/>
          <w:color w:val="0F1115"/>
          <w:kern w:val="0"/>
          <w:sz w:val="22"/>
          <w:szCs w:val="22"/>
          <w:lang w:eastAsia="en-GB"/>
          <w14:ligatures w14:val="none"/>
        </w:rPr>
        <w:t xml:space="preserve">, B., </w:t>
      </w:r>
      <w:proofErr w:type="spellStart"/>
      <w:r w:rsidRPr="00AA2C89">
        <w:rPr>
          <w:rFonts w:ascii="Arial" w:eastAsia="Times New Roman" w:hAnsi="Arial" w:cs="Arial"/>
          <w:color w:val="0F1115"/>
          <w:kern w:val="0"/>
          <w:sz w:val="22"/>
          <w:szCs w:val="22"/>
          <w:lang w:eastAsia="en-GB"/>
          <w14:ligatures w14:val="none"/>
        </w:rPr>
        <w:t>Samochowiec</w:t>
      </w:r>
      <w:proofErr w:type="spellEnd"/>
      <w:r w:rsidRPr="00AA2C89">
        <w:rPr>
          <w:rFonts w:ascii="Arial" w:eastAsia="Times New Roman" w:hAnsi="Arial" w:cs="Arial"/>
          <w:color w:val="0F1115"/>
          <w:kern w:val="0"/>
          <w:sz w:val="22"/>
          <w:szCs w:val="22"/>
          <w:lang w:eastAsia="en-GB"/>
          <w14:ligatures w14:val="none"/>
        </w:rPr>
        <w:t xml:space="preserve">, J., Kowalski, K., </w:t>
      </w:r>
      <w:proofErr w:type="spellStart"/>
      <w:r w:rsidRPr="00AA2C89">
        <w:rPr>
          <w:rFonts w:ascii="Arial" w:eastAsia="Times New Roman" w:hAnsi="Arial" w:cs="Arial"/>
          <w:color w:val="0F1115"/>
          <w:kern w:val="0"/>
          <w:sz w:val="22"/>
          <w:szCs w:val="22"/>
          <w:lang w:eastAsia="en-GB"/>
          <w14:ligatures w14:val="none"/>
        </w:rPr>
        <w:t>Gaebel</w:t>
      </w:r>
      <w:proofErr w:type="spellEnd"/>
      <w:r w:rsidRPr="00AA2C89">
        <w:rPr>
          <w:rFonts w:ascii="Arial" w:eastAsia="Times New Roman" w:hAnsi="Arial" w:cs="Arial"/>
          <w:color w:val="0F1115"/>
          <w:kern w:val="0"/>
          <w:sz w:val="22"/>
          <w:szCs w:val="22"/>
          <w:lang w:eastAsia="en-GB"/>
          <w14:ligatures w14:val="none"/>
        </w:rPr>
        <w:t xml:space="preserve">, W., </w:t>
      </w:r>
      <w:proofErr w:type="spellStart"/>
      <w:r w:rsidRPr="00AA2C89">
        <w:rPr>
          <w:rFonts w:ascii="Arial" w:eastAsia="Times New Roman" w:hAnsi="Arial" w:cs="Arial"/>
          <w:color w:val="0F1115"/>
          <w:kern w:val="0"/>
          <w:sz w:val="22"/>
          <w:szCs w:val="22"/>
          <w:lang w:eastAsia="en-GB"/>
          <w14:ligatures w14:val="none"/>
        </w:rPr>
        <w:t>Bassetti</w:t>
      </w:r>
      <w:proofErr w:type="spellEnd"/>
      <w:r w:rsidRPr="00AA2C89">
        <w:rPr>
          <w:rFonts w:ascii="Arial" w:eastAsia="Times New Roman" w:hAnsi="Arial" w:cs="Arial"/>
          <w:color w:val="0F1115"/>
          <w:kern w:val="0"/>
          <w:sz w:val="22"/>
          <w:szCs w:val="22"/>
          <w:lang w:eastAsia="en-GB"/>
          <w14:ligatures w14:val="none"/>
        </w:rPr>
        <w:t xml:space="preserve">, C.L.A., Chan, A., </w:t>
      </w:r>
      <w:proofErr w:type="spellStart"/>
      <w:r w:rsidRPr="00AA2C89">
        <w:rPr>
          <w:rFonts w:ascii="Arial" w:eastAsia="Times New Roman" w:hAnsi="Arial" w:cs="Arial"/>
          <w:color w:val="0F1115"/>
          <w:kern w:val="0"/>
          <w:sz w:val="22"/>
          <w:szCs w:val="22"/>
          <w:lang w:eastAsia="en-GB"/>
          <w14:ligatures w14:val="none"/>
        </w:rPr>
        <w:t>Gorwood</w:t>
      </w:r>
      <w:proofErr w:type="spellEnd"/>
      <w:r w:rsidRPr="00AA2C89">
        <w:rPr>
          <w:rFonts w:ascii="Arial" w:eastAsia="Times New Roman" w:hAnsi="Arial" w:cs="Arial"/>
          <w:color w:val="0F1115"/>
          <w:kern w:val="0"/>
          <w:sz w:val="22"/>
          <w:szCs w:val="22"/>
          <w:lang w:eastAsia="en-GB"/>
          <w14:ligatures w14:val="none"/>
        </w:rPr>
        <w:t xml:space="preserve">, P., </w:t>
      </w:r>
      <w:proofErr w:type="spellStart"/>
      <w:r w:rsidRPr="00AA2C89">
        <w:rPr>
          <w:rFonts w:ascii="Arial" w:eastAsia="Times New Roman" w:hAnsi="Arial" w:cs="Arial"/>
          <w:color w:val="0F1115"/>
          <w:kern w:val="0"/>
          <w:sz w:val="22"/>
          <w:szCs w:val="22"/>
          <w:lang w:eastAsia="en-GB"/>
          <w14:ligatures w14:val="none"/>
        </w:rPr>
        <w:t>Papiol</w:t>
      </w:r>
      <w:proofErr w:type="spellEnd"/>
      <w:r w:rsidRPr="00AA2C89">
        <w:rPr>
          <w:rFonts w:ascii="Arial" w:eastAsia="Times New Roman" w:hAnsi="Arial" w:cs="Arial"/>
          <w:color w:val="0F1115"/>
          <w:kern w:val="0"/>
          <w:sz w:val="22"/>
          <w:szCs w:val="22"/>
          <w:lang w:eastAsia="en-GB"/>
          <w14:ligatures w14:val="none"/>
        </w:rPr>
        <w:t xml:space="preserve">, S., Dom, G., Volpe, U., Szulc, A., </w:t>
      </w:r>
      <w:proofErr w:type="spellStart"/>
      <w:r w:rsidRPr="00AA2C89">
        <w:rPr>
          <w:rFonts w:ascii="Arial" w:eastAsia="Times New Roman" w:hAnsi="Arial" w:cs="Arial"/>
          <w:color w:val="0F1115"/>
          <w:kern w:val="0"/>
          <w:sz w:val="22"/>
          <w:szCs w:val="22"/>
          <w:lang w:eastAsia="en-GB"/>
          <w14:ligatures w14:val="none"/>
        </w:rPr>
        <w:t>Kurimay</w:t>
      </w:r>
      <w:proofErr w:type="spellEnd"/>
      <w:r w:rsidRPr="00AA2C89">
        <w:rPr>
          <w:rFonts w:ascii="Arial" w:eastAsia="Times New Roman" w:hAnsi="Arial" w:cs="Arial"/>
          <w:color w:val="0F1115"/>
          <w:kern w:val="0"/>
          <w:sz w:val="22"/>
          <w:szCs w:val="22"/>
          <w:lang w:eastAsia="en-GB"/>
          <w14:ligatures w14:val="none"/>
        </w:rPr>
        <w:t xml:space="preserve">, T., </w:t>
      </w:r>
      <w:proofErr w:type="spellStart"/>
      <w:r w:rsidRPr="00AA2C89">
        <w:rPr>
          <w:rFonts w:ascii="Arial" w:eastAsia="Times New Roman" w:hAnsi="Arial" w:cs="Arial"/>
          <w:color w:val="0F1115"/>
          <w:kern w:val="0"/>
          <w:sz w:val="22"/>
          <w:szCs w:val="22"/>
          <w:lang w:eastAsia="en-GB"/>
          <w14:ligatures w14:val="none"/>
        </w:rPr>
        <w:t>Kärkkäinen</w:t>
      </w:r>
      <w:proofErr w:type="spellEnd"/>
      <w:r w:rsidRPr="00AA2C89">
        <w:rPr>
          <w:rFonts w:ascii="Arial" w:eastAsia="Times New Roman" w:hAnsi="Arial" w:cs="Arial"/>
          <w:color w:val="0F1115"/>
          <w:kern w:val="0"/>
          <w:sz w:val="22"/>
          <w:szCs w:val="22"/>
          <w:lang w:eastAsia="en-GB"/>
          <w14:ligatures w14:val="none"/>
        </w:rPr>
        <w:t xml:space="preserve">, H., </w:t>
      </w:r>
      <w:proofErr w:type="spellStart"/>
      <w:r w:rsidRPr="00AA2C89">
        <w:rPr>
          <w:rFonts w:ascii="Arial" w:eastAsia="Times New Roman" w:hAnsi="Arial" w:cs="Arial"/>
          <w:color w:val="0F1115"/>
          <w:kern w:val="0"/>
          <w:sz w:val="22"/>
          <w:szCs w:val="22"/>
          <w:lang w:eastAsia="en-GB"/>
          <w14:ligatures w14:val="none"/>
        </w:rPr>
        <w:t>Decraene</w:t>
      </w:r>
      <w:proofErr w:type="spellEnd"/>
      <w:r w:rsidRPr="00AA2C89">
        <w:rPr>
          <w:rFonts w:ascii="Arial" w:eastAsia="Times New Roman" w:hAnsi="Arial" w:cs="Arial"/>
          <w:color w:val="0F1115"/>
          <w:kern w:val="0"/>
          <w:sz w:val="22"/>
          <w:szCs w:val="22"/>
          <w:lang w:eastAsia="en-GB"/>
          <w14:ligatures w14:val="none"/>
        </w:rPr>
        <w:t xml:space="preserve">, A., </w:t>
      </w:r>
      <w:proofErr w:type="spellStart"/>
      <w:r w:rsidRPr="00AA2C89">
        <w:rPr>
          <w:rFonts w:ascii="Arial" w:eastAsia="Times New Roman" w:hAnsi="Arial" w:cs="Arial"/>
          <w:color w:val="0F1115"/>
          <w:kern w:val="0"/>
          <w:sz w:val="22"/>
          <w:szCs w:val="22"/>
          <w:lang w:eastAsia="en-GB"/>
          <w14:ligatures w14:val="none"/>
        </w:rPr>
        <w:t>Wisse</w:t>
      </w:r>
      <w:proofErr w:type="spellEnd"/>
      <w:r w:rsidRPr="00AA2C89">
        <w:rPr>
          <w:rFonts w:ascii="Arial" w:eastAsia="Times New Roman" w:hAnsi="Arial" w:cs="Arial"/>
          <w:color w:val="0F1115"/>
          <w:kern w:val="0"/>
          <w:sz w:val="22"/>
          <w:szCs w:val="22"/>
          <w:lang w:eastAsia="en-GB"/>
          <w14:ligatures w14:val="none"/>
        </w:rPr>
        <w:t xml:space="preserve">, J., </w:t>
      </w:r>
      <w:proofErr w:type="spellStart"/>
      <w:r w:rsidRPr="00AA2C89">
        <w:rPr>
          <w:rFonts w:ascii="Arial" w:eastAsia="Times New Roman" w:hAnsi="Arial" w:cs="Arial"/>
          <w:color w:val="0F1115"/>
          <w:kern w:val="0"/>
          <w:sz w:val="22"/>
          <w:szCs w:val="22"/>
          <w:lang w:eastAsia="en-GB"/>
          <w14:ligatures w14:val="none"/>
        </w:rPr>
        <w:t>Fiorillo</w:t>
      </w:r>
      <w:proofErr w:type="spellEnd"/>
      <w:r w:rsidRPr="00AA2C89">
        <w:rPr>
          <w:rFonts w:ascii="Arial" w:eastAsia="Times New Roman" w:hAnsi="Arial" w:cs="Arial"/>
          <w:color w:val="0F1115"/>
          <w:kern w:val="0"/>
          <w:sz w:val="22"/>
          <w:szCs w:val="22"/>
          <w:lang w:eastAsia="en-GB"/>
          <w14:ligatures w14:val="none"/>
        </w:rPr>
        <w:t xml:space="preserve">, A. and </w:t>
      </w:r>
      <w:proofErr w:type="spellStart"/>
      <w:r w:rsidRPr="00AA2C89">
        <w:rPr>
          <w:rFonts w:ascii="Arial" w:eastAsia="Times New Roman" w:hAnsi="Arial" w:cs="Arial"/>
          <w:color w:val="0F1115"/>
          <w:kern w:val="0"/>
          <w:sz w:val="22"/>
          <w:szCs w:val="22"/>
          <w:lang w:eastAsia="en-GB"/>
          <w14:ligatures w14:val="none"/>
        </w:rPr>
        <w:t>Falkai</w:t>
      </w:r>
      <w:proofErr w:type="spellEnd"/>
      <w:r w:rsidRPr="00AA2C89">
        <w:rPr>
          <w:rFonts w:ascii="Arial" w:eastAsia="Times New Roman" w:hAnsi="Arial" w:cs="Arial"/>
          <w:color w:val="0F1115"/>
          <w:kern w:val="0"/>
          <w:sz w:val="22"/>
          <w:szCs w:val="22"/>
          <w:lang w:eastAsia="en-GB"/>
          <w14:ligatures w14:val="none"/>
        </w:rPr>
        <w:t>, P. (2023). The future of diagnosis in clinical neurosciences: Comparing multiple sclerosis and schizophrenia. </w:t>
      </w:r>
      <w:r w:rsidRPr="00AA2C89">
        <w:rPr>
          <w:rFonts w:ascii="Arial" w:eastAsia="Times New Roman" w:hAnsi="Arial" w:cs="Arial"/>
          <w:i/>
          <w:iCs/>
          <w:color w:val="0F1115"/>
          <w:kern w:val="0"/>
          <w:sz w:val="22"/>
          <w:szCs w:val="22"/>
          <w:lang w:eastAsia="en-GB"/>
          <w14:ligatures w14:val="none"/>
        </w:rPr>
        <w:t>European Psychiatry</w:t>
      </w:r>
      <w:r w:rsidRPr="00AA2C89">
        <w:rPr>
          <w:rFonts w:ascii="Arial" w:eastAsia="Times New Roman" w:hAnsi="Arial" w:cs="Arial"/>
          <w:color w:val="0F1115"/>
          <w:kern w:val="0"/>
          <w:sz w:val="22"/>
          <w:szCs w:val="22"/>
          <w:lang w:eastAsia="en-GB"/>
          <w14:ligatures w14:val="none"/>
        </w:rPr>
        <w:t xml:space="preserve">, [online] 66(1), p.e58. </w:t>
      </w:r>
      <w:proofErr w:type="spellStart"/>
      <w:r w:rsidRPr="00AA2C89">
        <w:rPr>
          <w:rFonts w:ascii="Arial" w:eastAsia="Times New Roman" w:hAnsi="Arial" w:cs="Arial"/>
          <w:color w:val="0F1115"/>
          <w:kern w:val="0"/>
          <w:sz w:val="22"/>
          <w:szCs w:val="22"/>
          <w:lang w:eastAsia="en-GB"/>
          <w14:ligatures w14:val="none"/>
        </w:rPr>
        <w:t>Huhn</w:t>
      </w:r>
      <w:proofErr w:type="spellEnd"/>
      <w:r w:rsidRPr="00AA2C89">
        <w:rPr>
          <w:rFonts w:ascii="Arial" w:eastAsia="Times New Roman" w:hAnsi="Arial" w:cs="Arial"/>
          <w:color w:val="0F1115"/>
          <w:kern w:val="0"/>
          <w:sz w:val="22"/>
          <w:szCs w:val="22"/>
          <w:lang w:eastAsia="en-GB"/>
          <w14:ligatures w14:val="none"/>
        </w:rPr>
        <w:t xml:space="preserve">, M., </w:t>
      </w:r>
      <w:proofErr w:type="spellStart"/>
      <w:r w:rsidRPr="00AA2C89">
        <w:rPr>
          <w:rFonts w:ascii="Arial" w:eastAsia="Times New Roman" w:hAnsi="Arial" w:cs="Arial"/>
          <w:color w:val="0F1115"/>
          <w:kern w:val="0"/>
          <w:sz w:val="22"/>
          <w:szCs w:val="22"/>
          <w:lang w:eastAsia="en-GB"/>
          <w14:ligatures w14:val="none"/>
        </w:rPr>
        <w:t>Nikolakopoulou</w:t>
      </w:r>
      <w:proofErr w:type="spellEnd"/>
      <w:r w:rsidRPr="00AA2C89">
        <w:rPr>
          <w:rFonts w:ascii="Arial" w:eastAsia="Times New Roman" w:hAnsi="Arial" w:cs="Arial"/>
          <w:color w:val="0F1115"/>
          <w:kern w:val="0"/>
          <w:sz w:val="22"/>
          <w:szCs w:val="22"/>
          <w:lang w:eastAsia="en-GB"/>
          <w14:ligatures w14:val="none"/>
        </w:rPr>
        <w:t>, A., Schneider-</w:t>
      </w:r>
      <w:proofErr w:type="spellStart"/>
      <w:r w:rsidRPr="00AA2C89">
        <w:rPr>
          <w:rFonts w:ascii="Arial" w:eastAsia="Times New Roman" w:hAnsi="Arial" w:cs="Arial"/>
          <w:color w:val="0F1115"/>
          <w:kern w:val="0"/>
          <w:sz w:val="22"/>
          <w:szCs w:val="22"/>
          <w:lang w:eastAsia="en-GB"/>
          <w14:ligatures w14:val="none"/>
        </w:rPr>
        <w:t>Thoma</w:t>
      </w:r>
      <w:proofErr w:type="spellEnd"/>
      <w:r w:rsidRPr="00AA2C89">
        <w:rPr>
          <w:rFonts w:ascii="Arial" w:eastAsia="Times New Roman" w:hAnsi="Arial" w:cs="Arial"/>
          <w:color w:val="0F1115"/>
          <w:kern w:val="0"/>
          <w:sz w:val="22"/>
          <w:szCs w:val="22"/>
          <w:lang w:eastAsia="en-GB"/>
          <w14:ligatures w14:val="none"/>
        </w:rPr>
        <w:t xml:space="preserve">, J., Krause, M., Samara, M., Peter, N., ... &amp; </w:t>
      </w:r>
      <w:proofErr w:type="spellStart"/>
      <w:r w:rsidRPr="00AA2C89">
        <w:rPr>
          <w:rFonts w:ascii="Arial" w:eastAsia="Times New Roman" w:hAnsi="Arial" w:cs="Arial"/>
          <w:color w:val="0F1115"/>
          <w:kern w:val="0"/>
          <w:sz w:val="22"/>
          <w:szCs w:val="22"/>
          <w:lang w:eastAsia="en-GB"/>
          <w14:ligatures w14:val="none"/>
        </w:rPr>
        <w:t>Leucht</w:t>
      </w:r>
      <w:proofErr w:type="spellEnd"/>
      <w:r w:rsidRPr="00AA2C89">
        <w:rPr>
          <w:rFonts w:ascii="Arial" w:eastAsia="Times New Roman" w:hAnsi="Arial" w:cs="Arial"/>
          <w:color w:val="0F1115"/>
          <w:kern w:val="0"/>
          <w:sz w:val="22"/>
          <w:szCs w:val="22"/>
          <w:lang w:eastAsia="en-GB"/>
          <w14:ligatures w14:val="none"/>
        </w:rPr>
        <w:t>, S. (2019). Comparative efficacy and tolerability of 32 oral antipsychotics for the acute treatment of adults with multi-episode schizophrenia: a systematic review and network meta-analysis. </w:t>
      </w:r>
      <w:r w:rsidRPr="00AA2C89">
        <w:rPr>
          <w:rFonts w:ascii="Arial" w:eastAsia="Times New Roman" w:hAnsi="Arial" w:cs="Arial"/>
          <w:i/>
          <w:iCs/>
          <w:color w:val="0F1115"/>
          <w:kern w:val="0"/>
          <w:sz w:val="22"/>
          <w:szCs w:val="22"/>
          <w:lang w:eastAsia="en-GB"/>
          <w14:ligatures w14:val="none"/>
        </w:rPr>
        <w:t>The Lancet</w:t>
      </w:r>
      <w:r w:rsidRPr="00AA2C89">
        <w:rPr>
          <w:rFonts w:ascii="Arial" w:eastAsia="Times New Roman" w:hAnsi="Arial" w:cs="Arial"/>
          <w:color w:val="0F1115"/>
          <w:kern w:val="0"/>
          <w:sz w:val="22"/>
          <w:szCs w:val="22"/>
          <w:lang w:eastAsia="en-GB"/>
          <w14:ligatures w14:val="none"/>
        </w:rPr>
        <w:t>, 394(10202), 939-951.</w:t>
      </w:r>
    </w:p>
    <w:p w14:paraId="5D75BEDF"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 xml:space="preserve">Read, J., Fosse, R., Moskowitz, A. and Perry, B. (2014). The </w:t>
      </w:r>
      <w:proofErr w:type="spellStart"/>
      <w:r w:rsidRPr="00AA2C89">
        <w:rPr>
          <w:rFonts w:ascii="Arial" w:eastAsia="Times New Roman" w:hAnsi="Arial" w:cs="Arial"/>
          <w:color w:val="0F1115"/>
          <w:kern w:val="0"/>
          <w:sz w:val="22"/>
          <w:szCs w:val="22"/>
          <w:lang w:eastAsia="en-GB"/>
          <w14:ligatures w14:val="none"/>
        </w:rPr>
        <w:t>traumagenic</w:t>
      </w:r>
      <w:proofErr w:type="spellEnd"/>
      <w:r w:rsidRPr="00AA2C89">
        <w:rPr>
          <w:rFonts w:ascii="Arial" w:eastAsia="Times New Roman" w:hAnsi="Arial" w:cs="Arial"/>
          <w:color w:val="0F1115"/>
          <w:kern w:val="0"/>
          <w:sz w:val="22"/>
          <w:szCs w:val="22"/>
          <w:lang w:eastAsia="en-GB"/>
          <w14:ligatures w14:val="none"/>
        </w:rPr>
        <w:t xml:space="preserve"> neurodevelopmental model of psychosis revisited. </w:t>
      </w:r>
      <w:r w:rsidRPr="00AA2C89">
        <w:rPr>
          <w:rFonts w:ascii="Arial" w:eastAsia="Times New Roman" w:hAnsi="Arial" w:cs="Arial"/>
          <w:i/>
          <w:iCs/>
          <w:color w:val="0F1115"/>
          <w:kern w:val="0"/>
          <w:sz w:val="22"/>
          <w:szCs w:val="22"/>
          <w:lang w:eastAsia="en-GB"/>
          <w14:ligatures w14:val="none"/>
        </w:rPr>
        <w:t>Neuropsychiatry</w:t>
      </w:r>
      <w:r w:rsidRPr="00AA2C89">
        <w:rPr>
          <w:rFonts w:ascii="Arial" w:eastAsia="Times New Roman" w:hAnsi="Arial" w:cs="Arial"/>
          <w:color w:val="0F1115"/>
          <w:kern w:val="0"/>
          <w:sz w:val="22"/>
          <w:szCs w:val="22"/>
          <w:lang w:eastAsia="en-GB"/>
          <w14:ligatures w14:val="none"/>
        </w:rPr>
        <w:t>, 4(1).</w:t>
      </w:r>
    </w:p>
    <w:p w14:paraId="092855A5"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roofErr w:type="spellStart"/>
      <w:r w:rsidRPr="00AA2C89">
        <w:rPr>
          <w:rFonts w:ascii="Arial" w:eastAsia="Times New Roman" w:hAnsi="Arial" w:cs="Arial"/>
          <w:color w:val="0F1115"/>
          <w:kern w:val="0"/>
          <w:sz w:val="22"/>
          <w:szCs w:val="22"/>
          <w:lang w:eastAsia="en-GB"/>
          <w14:ligatures w14:val="none"/>
        </w:rPr>
        <w:t>Sampogna</w:t>
      </w:r>
      <w:proofErr w:type="spellEnd"/>
      <w:r w:rsidRPr="00AA2C89">
        <w:rPr>
          <w:rFonts w:ascii="Arial" w:eastAsia="Times New Roman" w:hAnsi="Arial" w:cs="Arial"/>
          <w:color w:val="0F1115"/>
          <w:kern w:val="0"/>
          <w:sz w:val="22"/>
          <w:szCs w:val="22"/>
          <w:lang w:eastAsia="en-GB"/>
          <w14:ligatures w14:val="none"/>
        </w:rPr>
        <w:t xml:space="preserve">, G., Matteo Di Vincenzo, Giuliani, L., Giulia </w:t>
      </w:r>
      <w:proofErr w:type="spellStart"/>
      <w:r w:rsidRPr="00AA2C89">
        <w:rPr>
          <w:rFonts w:ascii="Arial" w:eastAsia="Times New Roman" w:hAnsi="Arial" w:cs="Arial"/>
          <w:color w:val="0F1115"/>
          <w:kern w:val="0"/>
          <w:sz w:val="22"/>
          <w:szCs w:val="22"/>
          <w:lang w:eastAsia="en-GB"/>
          <w14:ligatures w14:val="none"/>
        </w:rPr>
        <w:t>Menculini</w:t>
      </w:r>
      <w:proofErr w:type="spellEnd"/>
      <w:r w:rsidRPr="00AA2C89">
        <w:rPr>
          <w:rFonts w:ascii="Arial" w:eastAsia="Times New Roman" w:hAnsi="Arial" w:cs="Arial"/>
          <w:color w:val="0F1115"/>
          <w:kern w:val="0"/>
          <w:sz w:val="22"/>
          <w:szCs w:val="22"/>
          <w:lang w:eastAsia="en-GB"/>
          <w14:ligatures w14:val="none"/>
        </w:rPr>
        <w:t xml:space="preserve">, Mancuso, E., Arsenio, E., </w:t>
      </w:r>
      <w:proofErr w:type="spellStart"/>
      <w:r w:rsidRPr="00AA2C89">
        <w:rPr>
          <w:rFonts w:ascii="Arial" w:eastAsia="Times New Roman" w:hAnsi="Arial" w:cs="Arial"/>
          <w:color w:val="0F1115"/>
          <w:kern w:val="0"/>
          <w:sz w:val="22"/>
          <w:szCs w:val="22"/>
          <w:lang w:eastAsia="en-GB"/>
          <w14:ligatures w14:val="none"/>
        </w:rPr>
        <w:t>Cipolla</w:t>
      </w:r>
      <w:proofErr w:type="spellEnd"/>
      <w:r w:rsidRPr="00AA2C89">
        <w:rPr>
          <w:rFonts w:ascii="Arial" w:eastAsia="Times New Roman" w:hAnsi="Arial" w:cs="Arial"/>
          <w:color w:val="0F1115"/>
          <w:kern w:val="0"/>
          <w:sz w:val="22"/>
          <w:szCs w:val="22"/>
          <w:lang w:eastAsia="en-GB"/>
          <w14:ligatures w14:val="none"/>
        </w:rPr>
        <w:t xml:space="preserve">, S., Bianca Della Rocca, Vassilis </w:t>
      </w:r>
      <w:proofErr w:type="spellStart"/>
      <w:r w:rsidRPr="00AA2C89">
        <w:rPr>
          <w:rFonts w:ascii="Arial" w:eastAsia="Times New Roman" w:hAnsi="Arial" w:cs="Arial"/>
          <w:color w:val="0F1115"/>
          <w:kern w:val="0"/>
          <w:sz w:val="22"/>
          <w:szCs w:val="22"/>
          <w:lang w:eastAsia="en-GB"/>
          <w14:ligatures w14:val="none"/>
        </w:rPr>
        <w:t>Martiadis</w:t>
      </w:r>
      <w:proofErr w:type="spellEnd"/>
      <w:r w:rsidRPr="00AA2C89">
        <w:rPr>
          <w:rFonts w:ascii="Arial" w:eastAsia="Times New Roman" w:hAnsi="Arial" w:cs="Arial"/>
          <w:color w:val="0F1115"/>
          <w:kern w:val="0"/>
          <w:sz w:val="22"/>
          <w:szCs w:val="22"/>
          <w:lang w:eastAsia="en-GB"/>
          <w14:ligatures w14:val="none"/>
        </w:rPr>
        <w:t xml:space="preserve">, Maria Salvina Signorelli and </w:t>
      </w:r>
      <w:proofErr w:type="spellStart"/>
      <w:r w:rsidRPr="00AA2C89">
        <w:rPr>
          <w:rFonts w:ascii="Arial" w:eastAsia="Times New Roman" w:hAnsi="Arial" w:cs="Arial"/>
          <w:color w:val="0F1115"/>
          <w:kern w:val="0"/>
          <w:sz w:val="22"/>
          <w:szCs w:val="22"/>
          <w:lang w:eastAsia="en-GB"/>
          <w14:ligatures w14:val="none"/>
        </w:rPr>
        <w:t>Fiorillo</w:t>
      </w:r>
      <w:proofErr w:type="spellEnd"/>
      <w:r w:rsidRPr="00AA2C89">
        <w:rPr>
          <w:rFonts w:ascii="Arial" w:eastAsia="Times New Roman" w:hAnsi="Arial" w:cs="Arial"/>
          <w:color w:val="0F1115"/>
          <w:kern w:val="0"/>
          <w:sz w:val="22"/>
          <w:szCs w:val="22"/>
          <w:lang w:eastAsia="en-GB"/>
          <w14:ligatures w14:val="none"/>
        </w:rPr>
        <w:t>, A. (2023). A Systematic Review on the Effectiveness of Antipsychotic Drugs on the Quality of Life of Patients with Schizophrenia. </w:t>
      </w:r>
      <w:r w:rsidRPr="00AA2C89">
        <w:rPr>
          <w:rFonts w:ascii="Arial" w:eastAsia="Times New Roman" w:hAnsi="Arial" w:cs="Arial"/>
          <w:i/>
          <w:iCs/>
          <w:color w:val="0F1115"/>
          <w:kern w:val="0"/>
          <w:sz w:val="22"/>
          <w:szCs w:val="22"/>
          <w:lang w:eastAsia="en-GB"/>
          <w14:ligatures w14:val="none"/>
        </w:rPr>
        <w:t>Brain Sciences</w:t>
      </w:r>
      <w:r w:rsidRPr="00AA2C89">
        <w:rPr>
          <w:rFonts w:ascii="Arial" w:eastAsia="Times New Roman" w:hAnsi="Arial" w:cs="Arial"/>
          <w:color w:val="0F1115"/>
          <w:kern w:val="0"/>
          <w:sz w:val="22"/>
          <w:szCs w:val="22"/>
          <w:lang w:eastAsia="en-GB"/>
          <w14:ligatures w14:val="none"/>
        </w:rPr>
        <w:t>, 13(11), pp.1577–1577.Corstens, D., Longden, E., &amp; May, R. (2020). Talking with voices: A new approach to an old problem. </w:t>
      </w:r>
      <w:r w:rsidRPr="00AA2C89">
        <w:rPr>
          <w:rFonts w:ascii="Arial" w:eastAsia="Times New Roman" w:hAnsi="Arial" w:cs="Arial"/>
          <w:i/>
          <w:iCs/>
          <w:color w:val="0F1115"/>
          <w:kern w:val="0"/>
          <w:sz w:val="22"/>
          <w:szCs w:val="22"/>
          <w:lang w:eastAsia="en-GB"/>
          <w14:ligatures w14:val="none"/>
        </w:rPr>
        <w:t>Psychosis</w:t>
      </w:r>
      <w:r w:rsidRPr="00AA2C89">
        <w:rPr>
          <w:rFonts w:ascii="Arial" w:eastAsia="Times New Roman" w:hAnsi="Arial" w:cs="Arial"/>
          <w:color w:val="0F1115"/>
          <w:kern w:val="0"/>
          <w:sz w:val="22"/>
          <w:szCs w:val="22"/>
          <w:lang w:eastAsia="en-GB"/>
          <w14:ligatures w14:val="none"/>
        </w:rPr>
        <w:t>, 12(2), 169-180.</w:t>
      </w:r>
    </w:p>
    <w:p w14:paraId="6B6A4C3E"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roofErr w:type="spellStart"/>
      <w:r w:rsidRPr="00AA2C89">
        <w:rPr>
          <w:rFonts w:ascii="Arial" w:eastAsia="Times New Roman" w:hAnsi="Arial" w:cs="Arial"/>
          <w:color w:val="0F1115"/>
          <w:kern w:val="0"/>
          <w:sz w:val="22"/>
          <w:szCs w:val="22"/>
          <w:lang w:eastAsia="en-GB"/>
          <w14:ligatures w14:val="none"/>
        </w:rPr>
        <w:t>Siskind</w:t>
      </w:r>
      <w:proofErr w:type="spellEnd"/>
      <w:r w:rsidRPr="00AA2C89">
        <w:rPr>
          <w:rFonts w:ascii="Arial" w:eastAsia="Times New Roman" w:hAnsi="Arial" w:cs="Arial"/>
          <w:color w:val="0F1115"/>
          <w:kern w:val="0"/>
          <w:sz w:val="22"/>
          <w:szCs w:val="22"/>
          <w:lang w:eastAsia="en-GB"/>
          <w14:ligatures w14:val="none"/>
        </w:rPr>
        <w:t xml:space="preserve">, D., Orr, S., Sinha, S., Yu, O., </w:t>
      </w:r>
      <w:proofErr w:type="spellStart"/>
      <w:r w:rsidRPr="00AA2C89">
        <w:rPr>
          <w:rFonts w:ascii="Arial" w:eastAsia="Times New Roman" w:hAnsi="Arial" w:cs="Arial"/>
          <w:color w:val="0F1115"/>
          <w:kern w:val="0"/>
          <w:sz w:val="22"/>
          <w:szCs w:val="22"/>
          <w:lang w:eastAsia="en-GB"/>
          <w14:ligatures w14:val="none"/>
        </w:rPr>
        <w:t>Brijball</w:t>
      </w:r>
      <w:proofErr w:type="spellEnd"/>
      <w:r w:rsidRPr="00AA2C89">
        <w:rPr>
          <w:rFonts w:ascii="Arial" w:eastAsia="Times New Roman" w:hAnsi="Arial" w:cs="Arial"/>
          <w:color w:val="0F1115"/>
          <w:kern w:val="0"/>
          <w:sz w:val="22"/>
          <w:szCs w:val="22"/>
          <w:lang w:eastAsia="en-GB"/>
          <w14:ligatures w14:val="none"/>
        </w:rPr>
        <w:t xml:space="preserve">, B., Warren, N., </w:t>
      </w:r>
      <w:proofErr w:type="spellStart"/>
      <w:r w:rsidRPr="00AA2C89">
        <w:rPr>
          <w:rFonts w:ascii="Arial" w:eastAsia="Times New Roman" w:hAnsi="Arial" w:cs="Arial"/>
          <w:color w:val="0F1115"/>
          <w:kern w:val="0"/>
          <w:sz w:val="22"/>
          <w:szCs w:val="22"/>
          <w:lang w:eastAsia="en-GB"/>
          <w14:ligatures w14:val="none"/>
        </w:rPr>
        <w:t>MacCabe</w:t>
      </w:r>
      <w:proofErr w:type="spellEnd"/>
      <w:r w:rsidRPr="00AA2C89">
        <w:rPr>
          <w:rFonts w:ascii="Arial" w:eastAsia="Times New Roman" w:hAnsi="Arial" w:cs="Arial"/>
          <w:color w:val="0F1115"/>
          <w:kern w:val="0"/>
          <w:sz w:val="22"/>
          <w:szCs w:val="22"/>
          <w:lang w:eastAsia="en-GB"/>
          <w14:ligatures w14:val="none"/>
        </w:rPr>
        <w:t xml:space="preserve">, J.H., Smart, S.E. and </w:t>
      </w:r>
      <w:proofErr w:type="spellStart"/>
      <w:r w:rsidRPr="00AA2C89">
        <w:rPr>
          <w:rFonts w:ascii="Arial" w:eastAsia="Times New Roman" w:hAnsi="Arial" w:cs="Arial"/>
          <w:color w:val="0F1115"/>
          <w:kern w:val="0"/>
          <w:sz w:val="22"/>
          <w:szCs w:val="22"/>
          <w:lang w:eastAsia="en-GB"/>
          <w14:ligatures w14:val="none"/>
        </w:rPr>
        <w:t>Kisely</w:t>
      </w:r>
      <w:proofErr w:type="spellEnd"/>
      <w:r w:rsidRPr="00AA2C89">
        <w:rPr>
          <w:rFonts w:ascii="Arial" w:eastAsia="Times New Roman" w:hAnsi="Arial" w:cs="Arial"/>
          <w:color w:val="0F1115"/>
          <w:kern w:val="0"/>
          <w:sz w:val="22"/>
          <w:szCs w:val="22"/>
          <w:lang w:eastAsia="en-GB"/>
          <w14:ligatures w14:val="none"/>
        </w:rPr>
        <w:t>, S. (2021). Rates of treatment-resistant schizophrenia from first-episode cohorts: Systematic review and meta-analysis. </w:t>
      </w:r>
      <w:r w:rsidRPr="00AA2C89">
        <w:rPr>
          <w:rFonts w:ascii="Arial" w:eastAsia="Times New Roman" w:hAnsi="Arial" w:cs="Arial"/>
          <w:i/>
          <w:iCs/>
          <w:color w:val="0F1115"/>
          <w:kern w:val="0"/>
          <w:sz w:val="22"/>
          <w:szCs w:val="22"/>
          <w:lang w:eastAsia="en-GB"/>
          <w14:ligatures w14:val="none"/>
        </w:rPr>
        <w:t>The British Journal of Psychiatry</w:t>
      </w:r>
      <w:r w:rsidRPr="00AA2C89">
        <w:rPr>
          <w:rFonts w:ascii="Arial" w:eastAsia="Times New Roman" w:hAnsi="Arial" w:cs="Arial"/>
          <w:color w:val="0F1115"/>
          <w:kern w:val="0"/>
          <w:sz w:val="22"/>
          <w:szCs w:val="22"/>
          <w:lang w:eastAsia="en-GB"/>
          <w14:ligatures w14:val="none"/>
        </w:rPr>
        <w:t>, 220(3), pp.1–6.</w:t>
      </w:r>
    </w:p>
    <w:p w14:paraId="67FBD44B" w14:textId="77777777" w:rsidR="000361D0" w:rsidRPr="00AA2C89" w:rsidRDefault="000361D0" w:rsidP="000361D0">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 xml:space="preserve">Smit, D., Miguel, C., </w:t>
      </w:r>
      <w:proofErr w:type="spellStart"/>
      <w:r w:rsidRPr="00AA2C89">
        <w:rPr>
          <w:rFonts w:ascii="Arial" w:eastAsia="Times New Roman" w:hAnsi="Arial" w:cs="Arial"/>
          <w:color w:val="0F1115"/>
          <w:kern w:val="0"/>
          <w:sz w:val="22"/>
          <w:szCs w:val="22"/>
          <w:lang w:eastAsia="en-GB"/>
          <w14:ligatures w14:val="none"/>
        </w:rPr>
        <w:t>Vrijsen</w:t>
      </w:r>
      <w:proofErr w:type="spellEnd"/>
      <w:r w:rsidRPr="00AA2C89">
        <w:rPr>
          <w:rFonts w:ascii="Arial" w:eastAsia="Times New Roman" w:hAnsi="Arial" w:cs="Arial"/>
          <w:color w:val="0F1115"/>
          <w:kern w:val="0"/>
          <w:sz w:val="22"/>
          <w:szCs w:val="22"/>
          <w:lang w:eastAsia="en-GB"/>
          <w14:ligatures w14:val="none"/>
        </w:rPr>
        <w:t xml:space="preserve">, J.N., </w:t>
      </w:r>
      <w:proofErr w:type="spellStart"/>
      <w:r w:rsidRPr="00AA2C89">
        <w:rPr>
          <w:rFonts w:ascii="Arial" w:eastAsia="Times New Roman" w:hAnsi="Arial" w:cs="Arial"/>
          <w:color w:val="0F1115"/>
          <w:kern w:val="0"/>
          <w:sz w:val="22"/>
          <w:szCs w:val="22"/>
          <w:lang w:eastAsia="en-GB"/>
          <w14:ligatures w14:val="none"/>
        </w:rPr>
        <w:t>Groeneweg</w:t>
      </w:r>
      <w:proofErr w:type="spellEnd"/>
      <w:r w:rsidRPr="00AA2C89">
        <w:rPr>
          <w:rFonts w:ascii="Arial" w:eastAsia="Times New Roman" w:hAnsi="Arial" w:cs="Arial"/>
          <w:color w:val="0F1115"/>
          <w:kern w:val="0"/>
          <w:sz w:val="22"/>
          <w:szCs w:val="22"/>
          <w:lang w:eastAsia="en-GB"/>
          <w14:ligatures w14:val="none"/>
        </w:rPr>
        <w:t xml:space="preserve">, B., </w:t>
      </w:r>
      <w:proofErr w:type="spellStart"/>
      <w:r w:rsidRPr="00AA2C89">
        <w:rPr>
          <w:rFonts w:ascii="Arial" w:eastAsia="Times New Roman" w:hAnsi="Arial" w:cs="Arial"/>
          <w:color w:val="0F1115"/>
          <w:kern w:val="0"/>
          <w:sz w:val="22"/>
          <w:szCs w:val="22"/>
          <w:lang w:eastAsia="en-GB"/>
          <w14:ligatures w14:val="none"/>
        </w:rPr>
        <w:t>Spijker</w:t>
      </w:r>
      <w:proofErr w:type="spellEnd"/>
      <w:r w:rsidRPr="00AA2C89">
        <w:rPr>
          <w:rFonts w:ascii="Arial" w:eastAsia="Times New Roman" w:hAnsi="Arial" w:cs="Arial"/>
          <w:color w:val="0F1115"/>
          <w:kern w:val="0"/>
          <w:sz w:val="22"/>
          <w:szCs w:val="22"/>
          <w:lang w:eastAsia="en-GB"/>
          <w14:ligatures w14:val="none"/>
        </w:rPr>
        <w:t xml:space="preserve">, J. and </w:t>
      </w:r>
      <w:proofErr w:type="spellStart"/>
      <w:r w:rsidRPr="00AA2C89">
        <w:rPr>
          <w:rFonts w:ascii="Arial" w:eastAsia="Times New Roman" w:hAnsi="Arial" w:cs="Arial"/>
          <w:color w:val="0F1115"/>
          <w:kern w:val="0"/>
          <w:sz w:val="22"/>
          <w:szCs w:val="22"/>
          <w:lang w:eastAsia="en-GB"/>
          <w14:ligatures w14:val="none"/>
        </w:rPr>
        <w:t>Cuijpers</w:t>
      </w:r>
      <w:proofErr w:type="spellEnd"/>
      <w:r w:rsidRPr="00AA2C89">
        <w:rPr>
          <w:rFonts w:ascii="Arial" w:eastAsia="Times New Roman" w:hAnsi="Arial" w:cs="Arial"/>
          <w:color w:val="0F1115"/>
          <w:kern w:val="0"/>
          <w:sz w:val="22"/>
          <w:szCs w:val="22"/>
          <w:lang w:eastAsia="en-GB"/>
          <w14:ligatures w14:val="none"/>
        </w:rPr>
        <w:t>, P. (2022). The effectiveness of peer support for individuals with mental illness: systematic review and meta-analysis. </w:t>
      </w:r>
      <w:r w:rsidRPr="00AA2C89">
        <w:rPr>
          <w:rFonts w:ascii="Arial" w:eastAsia="Times New Roman" w:hAnsi="Arial" w:cs="Arial"/>
          <w:i/>
          <w:iCs/>
          <w:color w:val="0F1115"/>
          <w:kern w:val="0"/>
          <w:sz w:val="22"/>
          <w:szCs w:val="22"/>
          <w:lang w:eastAsia="en-GB"/>
          <w14:ligatures w14:val="none"/>
        </w:rPr>
        <w:t>Psychological Medicine</w:t>
      </w:r>
      <w:r w:rsidRPr="00AA2C89">
        <w:rPr>
          <w:rFonts w:ascii="Arial" w:eastAsia="Times New Roman" w:hAnsi="Arial" w:cs="Arial"/>
          <w:color w:val="0F1115"/>
          <w:kern w:val="0"/>
          <w:sz w:val="22"/>
          <w:szCs w:val="22"/>
          <w:lang w:eastAsia="en-GB"/>
          <w14:ligatures w14:val="none"/>
        </w:rPr>
        <w:t xml:space="preserve">, 53(11), pp.1–10. </w:t>
      </w:r>
    </w:p>
    <w:p w14:paraId="430C1F22" w14:textId="77777777" w:rsidR="000361D0" w:rsidRPr="00A32CD8" w:rsidRDefault="000361D0" w:rsidP="000361D0">
      <w:pPr>
        <w:shd w:val="clear" w:color="auto" w:fill="FFFFFF"/>
        <w:spacing w:before="240" w:line="420" w:lineRule="atLeast"/>
        <w:rPr>
          <w:rFonts w:ascii="Arial" w:eastAsia="Times New Roman" w:hAnsi="Arial" w:cs="Arial"/>
          <w:color w:val="0F1115"/>
          <w:kern w:val="0"/>
          <w:sz w:val="22"/>
          <w:szCs w:val="22"/>
          <w:lang w:eastAsia="en-GB"/>
          <w14:ligatures w14:val="none"/>
        </w:rPr>
      </w:pPr>
      <w:r w:rsidRPr="00AA2C89">
        <w:rPr>
          <w:rFonts w:ascii="Arial" w:eastAsia="Times New Roman" w:hAnsi="Arial" w:cs="Arial"/>
          <w:color w:val="0F1115"/>
          <w:kern w:val="0"/>
          <w:sz w:val="22"/>
          <w:szCs w:val="22"/>
          <w:lang w:eastAsia="en-GB"/>
          <w14:ligatures w14:val="none"/>
        </w:rPr>
        <w:t>World Health Organization (WHO). (2019). *International Classification of Diseases, 11th Revision (ICD-</w:t>
      </w:r>
      <w:proofErr w:type="gramStart"/>
      <w:r w:rsidRPr="00AA2C89">
        <w:rPr>
          <w:rFonts w:ascii="Arial" w:eastAsia="Times New Roman" w:hAnsi="Arial" w:cs="Arial"/>
          <w:color w:val="0F1115"/>
          <w:kern w:val="0"/>
          <w:sz w:val="22"/>
          <w:szCs w:val="22"/>
          <w:lang w:eastAsia="en-GB"/>
          <w14:ligatures w14:val="none"/>
        </w:rPr>
        <w:t>11)*</w:t>
      </w:r>
      <w:proofErr w:type="gramEnd"/>
      <w:r w:rsidRPr="00AA2C89">
        <w:rPr>
          <w:rFonts w:ascii="Arial" w:eastAsia="Times New Roman" w:hAnsi="Arial" w:cs="Arial"/>
          <w:color w:val="0F1115"/>
          <w:kern w:val="0"/>
          <w:sz w:val="22"/>
          <w:szCs w:val="22"/>
          <w:lang w:eastAsia="en-GB"/>
          <w14:ligatures w14:val="none"/>
        </w:rPr>
        <w:t>. Geneva: World Health Organization. Retrieved from: </w:t>
      </w:r>
      <w:r w:rsidRPr="00AA2C89">
        <w:rPr>
          <w:rFonts w:ascii="Arial" w:hAnsi="Arial" w:cs="Arial"/>
          <w:sz w:val="22"/>
          <w:szCs w:val="22"/>
        </w:rPr>
        <w:t>https://icd.who.int/browse/2025-01/mms/en</w:t>
      </w:r>
    </w:p>
    <w:p w14:paraId="2A4D30F8"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75E0B905" w14:textId="77777777" w:rsidR="00C40894" w:rsidRPr="00C40894" w:rsidRDefault="00C40894" w:rsidP="00C40894">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59375249" w14:textId="77777777" w:rsidR="00C40894" w:rsidRPr="00381C0E" w:rsidRDefault="00C40894"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575CEF37" w14:textId="77777777" w:rsidR="00381C0E" w:rsidRPr="00381C0E" w:rsidRDefault="00381C0E" w:rsidP="00381C0E">
      <w:pPr>
        <w:shd w:val="clear" w:color="auto" w:fill="FFFFFF"/>
        <w:spacing w:before="240" w:after="240" w:line="360" w:lineRule="auto"/>
        <w:rPr>
          <w:rFonts w:ascii="Arial" w:eastAsia="Times New Roman" w:hAnsi="Arial" w:cs="Arial"/>
          <w:color w:val="0F1115"/>
          <w:kern w:val="0"/>
          <w:sz w:val="22"/>
          <w:szCs w:val="22"/>
          <w:lang w:eastAsia="en-GB"/>
          <w14:ligatures w14:val="none"/>
        </w:rPr>
      </w:pPr>
    </w:p>
    <w:p w14:paraId="11924464" w14:textId="77777777" w:rsidR="00381C0E" w:rsidRPr="00381C0E" w:rsidRDefault="00381C0E" w:rsidP="00381C0E">
      <w:pPr>
        <w:spacing w:line="360" w:lineRule="auto"/>
        <w:rPr>
          <w:rFonts w:ascii="Arial" w:hAnsi="Arial" w:cs="Arial"/>
          <w:sz w:val="32"/>
          <w:szCs w:val="32"/>
        </w:rPr>
      </w:pPr>
    </w:p>
    <w:sectPr w:rsidR="00381C0E" w:rsidRPr="00381C0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25F6D" w14:textId="77777777" w:rsidR="000361D0" w:rsidRDefault="000361D0" w:rsidP="000361D0">
      <w:pPr>
        <w:spacing w:after="0" w:line="240" w:lineRule="auto"/>
      </w:pPr>
      <w:r>
        <w:separator/>
      </w:r>
    </w:p>
  </w:endnote>
  <w:endnote w:type="continuationSeparator" w:id="0">
    <w:p w14:paraId="201845C3" w14:textId="77777777" w:rsidR="000361D0" w:rsidRDefault="000361D0" w:rsidP="00036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85165"/>
      <w:docPartObj>
        <w:docPartGallery w:val="Page Numbers (Bottom of Page)"/>
        <w:docPartUnique/>
      </w:docPartObj>
    </w:sdtPr>
    <w:sdtEndPr>
      <w:rPr>
        <w:noProof/>
      </w:rPr>
    </w:sdtEndPr>
    <w:sdtContent>
      <w:p w14:paraId="28A5EBDA" w14:textId="0D046171" w:rsidR="000361D0" w:rsidRDefault="000361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8D3DE7" w14:textId="77777777" w:rsidR="000361D0" w:rsidRDefault="00036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7153B" w14:textId="77777777" w:rsidR="000361D0" w:rsidRDefault="000361D0" w:rsidP="000361D0">
      <w:pPr>
        <w:spacing w:after="0" w:line="240" w:lineRule="auto"/>
      </w:pPr>
      <w:r>
        <w:separator/>
      </w:r>
    </w:p>
  </w:footnote>
  <w:footnote w:type="continuationSeparator" w:id="0">
    <w:p w14:paraId="23450485" w14:textId="77777777" w:rsidR="000361D0" w:rsidRDefault="000361D0" w:rsidP="000361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3DDC"/>
    <w:multiLevelType w:val="multilevel"/>
    <w:tmpl w:val="B546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061CF"/>
    <w:multiLevelType w:val="multilevel"/>
    <w:tmpl w:val="005634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01853"/>
    <w:multiLevelType w:val="hybridMultilevel"/>
    <w:tmpl w:val="EB409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3528A"/>
    <w:multiLevelType w:val="hybridMultilevel"/>
    <w:tmpl w:val="858604B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B73E4A"/>
    <w:multiLevelType w:val="hybridMultilevel"/>
    <w:tmpl w:val="757C91AE"/>
    <w:lvl w:ilvl="0" w:tplc="4EA46DB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2C4883"/>
    <w:multiLevelType w:val="multilevel"/>
    <w:tmpl w:val="156632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2C7411"/>
    <w:multiLevelType w:val="multilevel"/>
    <w:tmpl w:val="E74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81C45"/>
    <w:multiLevelType w:val="multilevel"/>
    <w:tmpl w:val="99BC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C444E"/>
    <w:multiLevelType w:val="multilevel"/>
    <w:tmpl w:val="6C2AEC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E548D4"/>
    <w:multiLevelType w:val="hybridMultilevel"/>
    <w:tmpl w:val="61EC000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8672B8"/>
    <w:multiLevelType w:val="hybridMultilevel"/>
    <w:tmpl w:val="48C621E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695EF3"/>
    <w:multiLevelType w:val="multilevel"/>
    <w:tmpl w:val="D7580A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1167362">
    <w:abstractNumId w:val="2"/>
  </w:num>
  <w:num w:numId="2" w16cid:durableId="1843543809">
    <w:abstractNumId w:val="5"/>
  </w:num>
  <w:num w:numId="3" w16cid:durableId="1467510838">
    <w:abstractNumId w:val="7"/>
  </w:num>
  <w:num w:numId="4" w16cid:durableId="311914720">
    <w:abstractNumId w:val="8"/>
  </w:num>
  <w:num w:numId="5" w16cid:durableId="1869447129">
    <w:abstractNumId w:val="0"/>
  </w:num>
  <w:num w:numId="6" w16cid:durableId="1837260006">
    <w:abstractNumId w:val="6"/>
  </w:num>
  <w:num w:numId="7" w16cid:durableId="400448732">
    <w:abstractNumId w:val="11"/>
  </w:num>
  <w:num w:numId="8" w16cid:durableId="1508716030">
    <w:abstractNumId w:val="1"/>
  </w:num>
  <w:num w:numId="9" w16cid:durableId="994843240">
    <w:abstractNumId w:val="4"/>
  </w:num>
  <w:num w:numId="10" w16cid:durableId="1844078579">
    <w:abstractNumId w:val="9"/>
  </w:num>
  <w:num w:numId="11" w16cid:durableId="305015090">
    <w:abstractNumId w:val="10"/>
  </w:num>
  <w:num w:numId="12" w16cid:durableId="638922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C0E"/>
    <w:rsid w:val="000361D0"/>
    <w:rsid w:val="000A784E"/>
    <w:rsid w:val="00381C0E"/>
    <w:rsid w:val="004C64B8"/>
    <w:rsid w:val="00506A81"/>
    <w:rsid w:val="005150FD"/>
    <w:rsid w:val="0066280C"/>
    <w:rsid w:val="00785D15"/>
    <w:rsid w:val="007975E5"/>
    <w:rsid w:val="007B6942"/>
    <w:rsid w:val="008225EF"/>
    <w:rsid w:val="008377F1"/>
    <w:rsid w:val="008479EF"/>
    <w:rsid w:val="008F07F2"/>
    <w:rsid w:val="00973370"/>
    <w:rsid w:val="00B710EE"/>
    <w:rsid w:val="00BB2E31"/>
    <w:rsid w:val="00C11139"/>
    <w:rsid w:val="00C40894"/>
    <w:rsid w:val="00D10106"/>
    <w:rsid w:val="00DE1F77"/>
    <w:rsid w:val="00E45825"/>
    <w:rsid w:val="00E51FCE"/>
    <w:rsid w:val="00FB6AF7"/>
    <w:rsid w:val="00FC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FCDF"/>
  <w15:chartTrackingRefBased/>
  <w15:docId w15:val="{F6A590D1-0E7D-49F5-8CC3-C3ECA1CFE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C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1C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C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C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C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C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C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C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C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C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1C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C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C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C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C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C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C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C0E"/>
    <w:rPr>
      <w:rFonts w:eastAsiaTheme="majorEastAsia" w:cstheme="majorBidi"/>
      <w:color w:val="272727" w:themeColor="text1" w:themeTint="D8"/>
    </w:rPr>
  </w:style>
  <w:style w:type="paragraph" w:styleId="Title">
    <w:name w:val="Title"/>
    <w:basedOn w:val="Normal"/>
    <w:next w:val="Normal"/>
    <w:link w:val="TitleChar"/>
    <w:uiPriority w:val="10"/>
    <w:qFormat/>
    <w:rsid w:val="00381C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C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C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C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C0E"/>
    <w:pPr>
      <w:spacing w:before="160"/>
      <w:jc w:val="center"/>
    </w:pPr>
    <w:rPr>
      <w:i/>
      <w:iCs/>
      <w:color w:val="404040" w:themeColor="text1" w:themeTint="BF"/>
    </w:rPr>
  </w:style>
  <w:style w:type="character" w:customStyle="1" w:styleId="QuoteChar">
    <w:name w:val="Quote Char"/>
    <w:basedOn w:val="DefaultParagraphFont"/>
    <w:link w:val="Quote"/>
    <w:uiPriority w:val="29"/>
    <w:rsid w:val="00381C0E"/>
    <w:rPr>
      <w:i/>
      <w:iCs/>
      <w:color w:val="404040" w:themeColor="text1" w:themeTint="BF"/>
    </w:rPr>
  </w:style>
  <w:style w:type="paragraph" w:styleId="ListParagraph">
    <w:name w:val="List Paragraph"/>
    <w:basedOn w:val="Normal"/>
    <w:uiPriority w:val="34"/>
    <w:qFormat/>
    <w:rsid w:val="00381C0E"/>
    <w:pPr>
      <w:ind w:left="720"/>
      <w:contextualSpacing/>
    </w:pPr>
  </w:style>
  <w:style w:type="character" w:styleId="IntenseEmphasis">
    <w:name w:val="Intense Emphasis"/>
    <w:basedOn w:val="DefaultParagraphFont"/>
    <w:uiPriority w:val="21"/>
    <w:qFormat/>
    <w:rsid w:val="00381C0E"/>
    <w:rPr>
      <w:i/>
      <w:iCs/>
      <w:color w:val="0F4761" w:themeColor="accent1" w:themeShade="BF"/>
    </w:rPr>
  </w:style>
  <w:style w:type="paragraph" w:styleId="IntenseQuote">
    <w:name w:val="Intense Quote"/>
    <w:basedOn w:val="Normal"/>
    <w:next w:val="Normal"/>
    <w:link w:val="IntenseQuoteChar"/>
    <w:uiPriority w:val="30"/>
    <w:qFormat/>
    <w:rsid w:val="00381C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C0E"/>
    <w:rPr>
      <w:i/>
      <w:iCs/>
      <w:color w:val="0F4761" w:themeColor="accent1" w:themeShade="BF"/>
    </w:rPr>
  </w:style>
  <w:style w:type="character" w:styleId="IntenseReference">
    <w:name w:val="Intense Reference"/>
    <w:basedOn w:val="DefaultParagraphFont"/>
    <w:uiPriority w:val="32"/>
    <w:qFormat/>
    <w:rsid w:val="00381C0E"/>
    <w:rPr>
      <w:b/>
      <w:bCs/>
      <w:smallCaps/>
      <w:color w:val="0F4761" w:themeColor="accent1" w:themeShade="BF"/>
      <w:spacing w:val="5"/>
    </w:rPr>
  </w:style>
  <w:style w:type="paragraph" w:styleId="NormalWeb">
    <w:name w:val="Normal (Web)"/>
    <w:basedOn w:val="Normal"/>
    <w:uiPriority w:val="99"/>
    <w:semiHidden/>
    <w:unhideWhenUsed/>
    <w:rsid w:val="00381C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36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1D0"/>
  </w:style>
  <w:style w:type="paragraph" w:styleId="Footer">
    <w:name w:val="footer"/>
    <w:basedOn w:val="Normal"/>
    <w:link w:val="FooterChar"/>
    <w:uiPriority w:val="99"/>
    <w:unhideWhenUsed/>
    <w:rsid w:val="00036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1D0"/>
  </w:style>
  <w:style w:type="paragraph" w:styleId="TOCHeading">
    <w:name w:val="TOC Heading"/>
    <w:basedOn w:val="Heading1"/>
    <w:next w:val="Normal"/>
    <w:uiPriority w:val="39"/>
    <w:unhideWhenUsed/>
    <w:qFormat/>
    <w:rsid w:val="000361D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361D0"/>
    <w:pPr>
      <w:spacing w:after="100"/>
    </w:pPr>
  </w:style>
  <w:style w:type="character" w:styleId="Hyperlink">
    <w:name w:val="Hyperlink"/>
    <w:basedOn w:val="DefaultParagraphFont"/>
    <w:uiPriority w:val="99"/>
    <w:unhideWhenUsed/>
    <w:rsid w:val="000361D0"/>
    <w:rPr>
      <w:color w:val="467886" w:themeColor="hyperlink"/>
      <w:u w:val="single"/>
    </w:rPr>
  </w:style>
  <w:style w:type="character" w:styleId="Emphasis">
    <w:name w:val="Emphasis"/>
    <w:basedOn w:val="DefaultParagraphFont"/>
    <w:uiPriority w:val="20"/>
    <w:qFormat/>
    <w:rsid w:val="000361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0351">
      <w:bodyDiv w:val="1"/>
      <w:marLeft w:val="0"/>
      <w:marRight w:val="0"/>
      <w:marTop w:val="0"/>
      <w:marBottom w:val="0"/>
      <w:divBdr>
        <w:top w:val="none" w:sz="0" w:space="0" w:color="auto"/>
        <w:left w:val="none" w:sz="0" w:space="0" w:color="auto"/>
        <w:bottom w:val="none" w:sz="0" w:space="0" w:color="auto"/>
        <w:right w:val="none" w:sz="0" w:space="0" w:color="auto"/>
      </w:divBdr>
    </w:div>
    <w:div w:id="332952594">
      <w:bodyDiv w:val="1"/>
      <w:marLeft w:val="0"/>
      <w:marRight w:val="0"/>
      <w:marTop w:val="0"/>
      <w:marBottom w:val="0"/>
      <w:divBdr>
        <w:top w:val="none" w:sz="0" w:space="0" w:color="auto"/>
        <w:left w:val="none" w:sz="0" w:space="0" w:color="auto"/>
        <w:bottom w:val="none" w:sz="0" w:space="0" w:color="auto"/>
        <w:right w:val="none" w:sz="0" w:space="0" w:color="auto"/>
      </w:divBdr>
    </w:div>
    <w:div w:id="372537584">
      <w:bodyDiv w:val="1"/>
      <w:marLeft w:val="0"/>
      <w:marRight w:val="0"/>
      <w:marTop w:val="0"/>
      <w:marBottom w:val="0"/>
      <w:divBdr>
        <w:top w:val="none" w:sz="0" w:space="0" w:color="auto"/>
        <w:left w:val="none" w:sz="0" w:space="0" w:color="auto"/>
        <w:bottom w:val="none" w:sz="0" w:space="0" w:color="auto"/>
        <w:right w:val="none" w:sz="0" w:space="0" w:color="auto"/>
      </w:divBdr>
    </w:div>
    <w:div w:id="490412012">
      <w:bodyDiv w:val="1"/>
      <w:marLeft w:val="0"/>
      <w:marRight w:val="0"/>
      <w:marTop w:val="0"/>
      <w:marBottom w:val="0"/>
      <w:divBdr>
        <w:top w:val="none" w:sz="0" w:space="0" w:color="auto"/>
        <w:left w:val="none" w:sz="0" w:space="0" w:color="auto"/>
        <w:bottom w:val="none" w:sz="0" w:space="0" w:color="auto"/>
        <w:right w:val="none" w:sz="0" w:space="0" w:color="auto"/>
      </w:divBdr>
    </w:div>
    <w:div w:id="528878945">
      <w:bodyDiv w:val="1"/>
      <w:marLeft w:val="0"/>
      <w:marRight w:val="0"/>
      <w:marTop w:val="0"/>
      <w:marBottom w:val="0"/>
      <w:divBdr>
        <w:top w:val="none" w:sz="0" w:space="0" w:color="auto"/>
        <w:left w:val="none" w:sz="0" w:space="0" w:color="auto"/>
        <w:bottom w:val="none" w:sz="0" w:space="0" w:color="auto"/>
        <w:right w:val="none" w:sz="0" w:space="0" w:color="auto"/>
      </w:divBdr>
    </w:div>
    <w:div w:id="549194487">
      <w:bodyDiv w:val="1"/>
      <w:marLeft w:val="0"/>
      <w:marRight w:val="0"/>
      <w:marTop w:val="0"/>
      <w:marBottom w:val="0"/>
      <w:divBdr>
        <w:top w:val="none" w:sz="0" w:space="0" w:color="auto"/>
        <w:left w:val="none" w:sz="0" w:space="0" w:color="auto"/>
        <w:bottom w:val="none" w:sz="0" w:space="0" w:color="auto"/>
        <w:right w:val="none" w:sz="0" w:space="0" w:color="auto"/>
      </w:divBdr>
    </w:div>
    <w:div w:id="637956954">
      <w:bodyDiv w:val="1"/>
      <w:marLeft w:val="0"/>
      <w:marRight w:val="0"/>
      <w:marTop w:val="0"/>
      <w:marBottom w:val="0"/>
      <w:divBdr>
        <w:top w:val="none" w:sz="0" w:space="0" w:color="auto"/>
        <w:left w:val="none" w:sz="0" w:space="0" w:color="auto"/>
        <w:bottom w:val="none" w:sz="0" w:space="0" w:color="auto"/>
        <w:right w:val="none" w:sz="0" w:space="0" w:color="auto"/>
      </w:divBdr>
    </w:div>
    <w:div w:id="646663494">
      <w:bodyDiv w:val="1"/>
      <w:marLeft w:val="0"/>
      <w:marRight w:val="0"/>
      <w:marTop w:val="0"/>
      <w:marBottom w:val="0"/>
      <w:divBdr>
        <w:top w:val="none" w:sz="0" w:space="0" w:color="auto"/>
        <w:left w:val="none" w:sz="0" w:space="0" w:color="auto"/>
        <w:bottom w:val="none" w:sz="0" w:space="0" w:color="auto"/>
        <w:right w:val="none" w:sz="0" w:space="0" w:color="auto"/>
      </w:divBdr>
    </w:div>
    <w:div w:id="680813083">
      <w:bodyDiv w:val="1"/>
      <w:marLeft w:val="0"/>
      <w:marRight w:val="0"/>
      <w:marTop w:val="0"/>
      <w:marBottom w:val="0"/>
      <w:divBdr>
        <w:top w:val="none" w:sz="0" w:space="0" w:color="auto"/>
        <w:left w:val="none" w:sz="0" w:space="0" w:color="auto"/>
        <w:bottom w:val="none" w:sz="0" w:space="0" w:color="auto"/>
        <w:right w:val="none" w:sz="0" w:space="0" w:color="auto"/>
      </w:divBdr>
    </w:div>
    <w:div w:id="871529284">
      <w:bodyDiv w:val="1"/>
      <w:marLeft w:val="0"/>
      <w:marRight w:val="0"/>
      <w:marTop w:val="0"/>
      <w:marBottom w:val="0"/>
      <w:divBdr>
        <w:top w:val="none" w:sz="0" w:space="0" w:color="auto"/>
        <w:left w:val="none" w:sz="0" w:space="0" w:color="auto"/>
        <w:bottom w:val="none" w:sz="0" w:space="0" w:color="auto"/>
        <w:right w:val="none" w:sz="0" w:space="0" w:color="auto"/>
      </w:divBdr>
    </w:div>
    <w:div w:id="883372807">
      <w:bodyDiv w:val="1"/>
      <w:marLeft w:val="0"/>
      <w:marRight w:val="0"/>
      <w:marTop w:val="0"/>
      <w:marBottom w:val="0"/>
      <w:divBdr>
        <w:top w:val="none" w:sz="0" w:space="0" w:color="auto"/>
        <w:left w:val="none" w:sz="0" w:space="0" w:color="auto"/>
        <w:bottom w:val="none" w:sz="0" w:space="0" w:color="auto"/>
        <w:right w:val="none" w:sz="0" w:space="0" w:color="auto"/>
      </w:divBdr>
    </w:div>
    <w:div w:id="1020275366">
      <w:bodyDiv w:val="1"/>
      <w:marLeft w:val="0"/>
      <w:marRight w:val="0"/>
      <w:marTop w:val="0"/>
      <w:marBottom w:val="0"/>
      <w:divBdr>
        <w:top w:val="none" w:sz="0" w:space="0" w:color="auto"/>
        <w:left w:val="none" w:sz="0" w:space="0" w:color="auto"/>
        <w:bottom w:val="none" w:sz="0" w:space="0" w:color="auto"/>
        <w:right w:val="none" w:sz="0" w:space="0" w:color="auto"/>
      </w:divBdr>
    </w:div>
    <w:div w:id="1434402407">
      <w:bodyDiv w:val="1"/>
      <w:marLeft w:val="0"/>
      <w:marRight w:val="0"/>
      <w:marTop w:val="0"/>
      <w:marBottom w:val="0"/>
      <w:divBdr>
        <w:top w:val="none" w:sz="0" w:space="0" w:color="auto"/>
        <w:left w:val="none" w:sz="0" w:space="0" w:color="auto"/>
        <w:bottom w:val="none" w:sz="0" w:space="0" w:color="auto"/>
        <w:right w:val="none" w:sz="0" w:space="0" w:color="auto"/>
      </w:divBdr>
    </w:div>
    <w:div w:id="2098362133">
      <w:bodyDiv w:val="1"/>
      <w:marLeft w:val="0"/>
      <w:marRight w:val="0"/>
      <w:marTop w:val="0"/>
      <w:marBottom w:val="0"/>
      <w:divBdr>
        <w:top w:val="none" w:sz="0" w:space="0" w:color="auto"/>
        <w:left w:val="none" w:sz="0" w:space="0" w:color="auto"/>
        <w:bottom w:val="none" w:sz="0" w:space="0" w:color="auto"/>
        <w:right w:val="none" w:sz="0" w:space="0" w:color="auto"/>
      </w:divBdr>
    </w:div>
    <w:div w:id="211782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9A746-0B95-4EC7-89BF-23C5D26B7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Shazad Shah</dc:creator>
  <cp:keywords/>
  <dc:description/>
  <cp:lastModifiedBy>Shazad Shah</cp:lastModifiedBy>
  <cp:revision>2</cp:revision>
  <dcterms:created xsi:type="dcterms:W3CDTF">2025-11-15T20:44:00Z</dcterms:created>
  <dcterms:modified xsi:type="dcterms:W3CDTF">2025-11-15T20:44:00Z</dcterms:modified>
</cp:coreProperties>
</file>