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3F5543" w14:textId="4E6CC164" w:rsidR="00B322E0" w:rsidRPr="001E5A5F" w:rsidRDefault="001E5A5F" w:rsidP="009C2D59">
      <w:pPr>
        <w:rPr>
          <w:b/>
          <w:i/>
          <w:color w:val="auto"/>
          <w:sz w:val="56"/>
          <w:szCs w:val="56"/>
        </w:rPr>
      </w:pPr>
      <w:r w:rsidRPr="001E5A5F">
        <w:rPr>
          <w:b/>
          <w:i/>
          <w:color w:val="auto"/>
          <w:sz w:val="56"/>
          <w:szCs w:val="56"/>
        </w:rPr>
        <w:t>Ileana Cristina Marin  (2314523)</w:t>
      </w:r>
    </w:p>
    <w:p w14:paraId="5CB6AAA7" w14:textId="77777777" w:rsidR="00B322E0" w:rsidRPr="00752C57" w:rsidRDefault="00B322E0">
      <w:pPr>
        <w:jc w:val="center"/>
        <w:rPr>
          <w:b/>
          <w:i/>
          <w:color w:val="auto"/>
          <w:sz w:val="88"/>
          <w:szCs w:val="88"/>
        </w:rPr>
      </w:pPr>
    </w:p>
    <w:p w14:paraId="66BDB529" w14:textId="77777777" w:rsidR="00793373" w:rsidRPr="00383C35" w:rsidRDefault="00930C78">
      <w:pPr>
        <w:jc w:val="center"/>
        <w:rPr>
          <w:b/>
          <w:i/>
          <w:color w:val="auto"/>
          <w:sz w:val="56"/>
          <w:szCs w:val="72"/>
        </w:rPr>
      </w:pPr>
      <w:r w:rsidRPr="00383C35">
        <w:rPr>
          <w:b/>
          <w:bCs/>
          <w:i/>
          <w:color w:val="auto"/>
          <w:sz w:val="56"/>
          <w:szCs w:val="72"/>
        </w:rPr>
        <w:t>BMHP5016 Principles of Health and Social Care Practice</w:t>
      </w:r>
      <w:r w:rsidR="009C2D59" w:rsidRPr="00383C35">
        <w:rPr>
          <w:b/>
          <w:bCs/>
          <w:i/>
          <w:color w:val="auto"/>
          <w:sz w:val="56"/>
          <w:szCs w:val="72"/>
        </w:rPr>
        <w:t> </w:t>
      </w:r>
      <w:r w:rsidR="00B57A65" w:rsidRPr="00383C35">
        <w:rPr>
          <w:b/>
          <w:i/>
          <w:color w:val="auto"/>
          <w:sz w:val="56"/>
          <w:szCs w:val="72"/>
        </w:rPr>
        <w:t xml:space="preserve"> </w:t>
      </w:r>
    </w:p>
    <w:p w14:paraId="16DBE6B3" w14:textId="77777777" w:rsidR="00793373" w:rsidRPr="00752C57" w:rsidRDefault="00793373">
      <w:pPr>
        <w:pStyle w:val="ContentsHeading"/>
        <w:pageBreakBefore/>
        <w:rPr>
          <w:color w:val="auto"/>
        </w:rPr>
      </w:pPr>
      <w:r w:rsidRPr="00752C57">
        <w:rPr>
          <w:color w:val="auto"/>
        </w:rPr>
        <w:lastRenderedPageBreak/>
        <w:t>Table of Contents</w:t>
      </w:r>
    </w:p>
    <w:p w14:paraId="0D2E1DB9" w14:textId="77777777" w:rsidR="00930C78" w:rsidRPr="00227186" w:rsidRDefault="00793373">
      <w:pPr>
        <w:pStyle w:val="TOC1"/>
        <w:rPr>
          <w:rFonts w:ascii="Calibri" w:eastAsia="Times New Roman" w:hAnsi="Calibri" w:cs="Times New Roman"/>
          <w:noProof/>
          <w:color w:val="auto"/>
          <w:sz w:val="22"/>
          <w:lang w:eastAsia="en-GB"/>
        </w:rPr>
      </w:pPr>
      <w:r w:rsidRPr="00752C57">
        <w:rPr>
          <w:rFonts w:cs="Times New Roman"/>
          <w:color w:val="auto"/>
        </w:rPr>
        <w:fldChar w:fldCharType="begin"/>
      </w:r>
      <w:r w:rsidRPr="00752C57">
        <w:rPr>
          <w:rFonts w:cs="Times New Roman"/>
          <w:color w:val="auto"/>
        </w:rPr>
        <w:instrText xml:space="preserve"> TOC \f \o "1-9" \o "1-9" </w:instrText>
      </w:r>
      <w:r w:rsidRPr="00752C57">
        <w:rPr>
          <w:rFonts w:cs="Times New Roman"/>
          <w:color w:val="auto"/>
        </w:rPr>
        <w:fldChar w:fldCharType="separate"/>
      </w:r>
      <w:r w:rsidR="00930C78">
        <w:rPr>
          <w:noProof/>
        </w:rPr>
        <w:t>Introduction</w:t>
      </w:r>
      <w:r w:rsidR="00930C78">
        <w:rPr>
          <w:noProof/>
        </w:rPr>
        <w:tab/>
      </w:r>
      <w:r w:rsidR="00930C78">
        <w:rPr>
          <w:noProof/>
        </w:rPr>
        <w:fldChar w:fldCharType="begin"/>
      </w:r>
      <w:r w:rsidR="00930C78">
        <w:rPr>
          <w:noProof/>
        </w:rPr>
        <w:instrText xml:space="preserve"> PAGEREF _Toc225502640 \h </w:instrText>
      </w:r>
      <w:r w:rsidR="00930C78">
        <w:rPr>
          <w:noProof/>
        </w:rPr>
      </w:r>
      <w:r w:rsidR="00930C78">
        <w:rPr>
          <w:noProof/>
        </w:rPr>
        <w:fldChar w:fldCharType="separate"/>
      </w:r>
      <w:r w:rsidR="00930C78">
        <w:rPr>
          <w:noProof/>
        </w:rPr>
        <w:t>3</w:t>
      </w:r>
      <w:r w:rsidR="00930C78">
        <w:rPr>
          <w:noProof/>
        </w:rPr>
        <w:fldChar w:fldCharType="end"/>
      </w:r>
    </w:p>
    <w:p w14:paraId="3D36FAA1" w14:textId="77777777" w:rsidR="00930C78" w:rsidRPr="00227186" w:rsidRDefault="00930C78">
      <w:pPr>
        <w:pStyle w:val="TOC1"/>
        <w:rPr>
          <w:rFonts w:ascii="Calibri" w:eastAsia="Times New Roman" w:hAnsi="Calibri" w:cs="Times New Roman"/>
          <w:noProof/>
          <w:color w:val="auto"/>
          <w:sz w:val="22"/>
          <w:lang w:eastAsia="en-GB"/>
        </w:rPr>
      </w:pPr>
      <w:r>
        <w:rPr>
          <w:noProof/>
        </w:rPr>
        <w:t>Person</w:t>
      </w:r>
      <w:r>
        <w:rPr>
          <w:noProof/>
        </w:rPr>
        <w:noBreakHyphen/>
        <w:t>Centred Care</w:t>
      </w:r>
      <w:r>
        <w:rPr>
          <w:noProof/>
        </w:rPr>
        <w:tab/>
      </w:r>
      <w:r>
        <w:rPr>
          <w:noProof/>
        </w:rPr>
        <w:fldChar w:fldCharType="begin"/>
      </w:r>
      <w:r>
        <w:rPr>
          <w:noProof/>
        </w:rPr>
        <w:instrText xml:space="preserve"> PAGEREF _Toc225502641 \h </w:instrText>
      </w:r>
      <w:r>
        <w:rPr>
          <w:noProof/>
        </w:rPr>
      </w:r>
      <w:r>
        <w:rPr>
          <w:noProof/>
        </w:rPr>
        <w:fldChar w:fldCharType="separate"/>
      </w:r>
      <w:r>
        <w:rPr>
          <w:noProof/>
        </w:rPr>
        <w:t>3</w:t>
      </w:r>
      <w:r>
        <w:rPr>
          <w:noProof/>
        </w:rPr>
        <w:fldChar w:fldCharType="end"/>
      </w:r>
    </w:p>
    <w:p w14:paraId="0139C3B7" w14:textId="77777777" w:rsidR="00930C78" w:rsidRPr="00227186" w:rsidRDefault="00930C78">
      <w:pPr>
        <w:pStyle w:val="TOC1"/>
        <w:rPr>
          <w:rFonts w:ascii="Calibri" w:eastAsia="Times New Roman" w:hAnsi="Calibri" w:cs="Times New Roman"/>
          <w:noProof/>
          <w:color w:val="auto"/>
          <w:sz w:val="22"/>
          <w:lang w:eastAsia="en-GB"/>
        </w:rPr>
      </w:pPr>
      <w:r>
        <w:rPr>
          <w:noProof/>
        </w:rPr>
        <w:t>Theoretical Framework</w:t>
      </w:r>
      <w:r>
        <w:rPr>
          <w:noProof/>
        </w:rPr>
        <w:tab/>
      </w:r>
      <w:r>
        <w:rPr>
          <w:noProof/>
        </w:rPr>
        <w:fldChar w:fldCharType="begin"/>
      </w:r>
      <w:r>
        <w:rPr>
          <w:noProof/>
        </w:rPr>
        <w:instrText xml:space="preserve"> PAGEREF _Toc225502642 \h </w:instrText>
      </w:r>
      <w:r>
        <w:rPr>
          <w:noProof/>
        </w:rPr>
      </w:r>
      <w:r>
        <w:rPr>
          <w:noProof/>
        </w:rPr>
        <w:fldChar w:fldCharType="separate"/>
      </w:r>
      <w:r>
        <w:rPr>
          <w:noProof/>
        </w:rPr>
        <w:t>4</w:t>
      </w:r>
      <w:r>
        <w:rPr>
          <w:noProof/>
        </w:rPr>
        <w:fldChar w:fldCharType="end"/>
      </w:r>
    </w:p>
    <w:p w14:paraId="2015F310" w14:textId="77777777" w:rsidR="00930C78" w:rsidRPr="00227186" w:rsidRDefault="00930C78">
      <w:pPr>
        <w:pStyle w:val="TOC1"/>
        <w:rPr>
          <w:rFonts w:ascii="Calibri" w:eastAsia="Times New Roman" w:hAnsi="Calibri" w:cs="Times New Roman"/>
          <w:noProof/>
          <w:color w:val="auto"/>
          <w:sz w:val="22"/>
          <w:lang w:eastAsia="en-GB"/>
        </w:rPr>
      </w:pPr>
      <w:r>
        <w:rPr>
          <w:noProof/>
        </w:rPr>
        <w:t>Ethical Considerations</w:t>
      </w:r>
      <w:r>
        <w:rPr>
          <w:noProof/>
        </w:rPr>
        <w:tab/>
      </w:r>
      <w:r>
        <w:rPr>
          <w:noProof/>
        </w:rPr>
        <w:fldChar w:fldCharType="begin"/>
      </w:r>
      <w:r>
        <w:rPr>
          <w:noProof/>
        </w:rPr>
        <w:instrText xml:space="preserve"> PAGEREF _Toc225502643 \h </w:instrText>
      </w:r>
      <w:r>
        <w:rPr>
          <w:noProof/>
        </w:rPr>
      </w:r>
      <w:r>
        <w:rPr>
          <w:noProof/>
        </w:rPr>
        <w:fldChar w:fldCharType="separate"/>
      </w:r>
      <w:r>
        <w:rPr>
          <w:noProof/>
        </w:rPr>
        <w:t>5</w:t>
      </w:r>
      <w:r>
        <w:rPr>
          <w:noProof/>
        </w:rPr>
        <w:fldChar w:fldCharType="end"/>
      </w:r>
    </w:p>
    <w:p w14:paraId="051A6D68" w14:textId="77777777" w:rsidR="00930C78" w:rsidRPr="00227186" w:rsidRDefault="00930C78">
      <w:pPr>
        <w:pStyle w:val="TOC1"/>
        <w:rPr>
          <w:rFonts w:ascii="Calibri" w:eastAsia="Times New Roman" w:hAnsi="Calibri" w:cs="Times New Roman"/>
          <w:noProof/>
          <w:color w:val="auto"/>
          <w:sz w:val="22"/>
          <w:lang w:eastAsia="en-GB"/>
        </w:rPr>
      </w:pPr>
      <w:r>
        <w:rPr>
          <w:noProof/>
        </w:rPr>
        <w:t>Partnership Working in Practice</w:t>
      </w:r>
      <w:r>
        <w:rPr>
          <w:noProof/>
        </w:rPr>
        <w:tab/>
      </w:r>
      <w:r>
        <w:rPr>
          <w:noProof/>
        </w:rPr>
        <w:fldChar w:fldCharType="begin"/>
      </w:r>
      <w:r>
        <w:rPr>
          <w:noProof/>
        </w:rPr>
        <w:instrText xml:space="preserve"> PAGEREF _Toc225502644 \h </w:instrText>
      </w:r>
      <w:r>
        <w:rPr>
          <w:noProof/>
        </w:rPr>
      </w:r>
      <w:r>
        <w:rPr>
          <w:noProof/>
        </w:rPr>
        <w:fldChar w:fldCharType="separate"/>
      </w:r>
      <w:r>
        <w:rPr>
          <w:noProof/>
        </w:rPr>
        <w:t>6</w:t>
      </w:r>
      <w:r>
        <w:rPr>
          <w:noProof/>
        </w:rPr>
        <w:fldChar w:fldCharType="end"/>
      </w:r>
    </w:p>
    <w:p w14:paraId="61E3DD6C" w14:textId="77777777" w:rsidR="00930C78" w:rsidRPr="00227186" w:rsidRDefault="00930C78">
      <w:pPr>
        <w:pStyle w:val="TOC1"/>
        <w:rPr>
          <w:rFonts w:ascii="Calibri" w:eastAsia="Times New Roman" w:hAnsi="Calibri" w:cs="Times New Roman"/>
          <w:noProof/>
          <w:color w:val="auto"/>
          <w:sz w:val="22"/>
          <w:lang w:eastAsia="en-GB"/>
        </w:rPr>
      </w:pPr>
      <w:r>
        <w:rPr>
          <w:noProof/>
        </w:rPr>
        <w:t>Relevant UK Policy &amp; Legislation</w:t>
      </w:r>
      <w:r>
        <w:rPr>
          <w:noProof/>
        </w:rPr>
        <w:tab/>
      </w:r>
      <w:r>
        <w:rPr>
          <w:noProof/>
        </w:rPr>
        <w:fldChar w:fldCharType="begin"/>
      </w:r>
      <w:r>
        <w:rPr>
          <w:noProof/>
        </w:rPr>
        <w:instrText xml:space="preserve"> PAGEREF _Toc225502645 \h </w:instrText>
      </w:r>
      <w:r>
        <w:rPr>
          <w:noProof/>
        </w:rPr>
      </w:r>
      <w:r>
        <w:rPr>
          <w:noProof/>
        </w:rPr>
        <w:fldChar w:fldCharType="separate"/>
      </w:r>
      <w:r>
        <w:rPr>
          <w:noProof/>
        </w:rPr>
        <w:t>7</w:t>
      </w:r>
      <w:r>
        <w:rPr>
          <w:noProof/>
        </w:rPr>
        <w:fldChar w:fldCharType="end"/>
      </w:r>
    </w:p>
    <w:p w14:paraId="7DB267FD" w14:textId="77777777" w:rsidR="00930C78" w:rsidRPr="00227186" w:rsidRDefault="00930C78">
      <w:pPr>
        <w:pStyle w:val="TOC1"/>
        <w:rPr>
          <w:rFonts w:ascii="Calibri" w:eastAsia="Times New Roman" w:hAnsi="Calibri" w:cs="Times New Roman"/>
          <w:noProof/>
          <w:color w:val="auto"/>
          <w:sz w:val="22"/>
          <w:lang w:eastAsia="en-GB"/>
        </w:rPr>
      </w:pPr>
      <w:r>
        <w:rPr>
          <w:noProof/>
        </w:rPr>
        <w:t>Recommendations for Future Practice</w:t>
      </w:r>
      <w:r>
        <w:rPr>
          <w:noProof/>
        </w:rPr>
        <w:tab/>
      </w:r>
      <w:r>
        <w:rPr>
          <w:noProof/>
        </w:rPr>
        <w:fldChar w:fldCharType="begin"/>
      </w:r>
      <w:r>
        <w:rPr>
          <w:noProof/>
        </w:rPr>
        <w:instrText xml:space="preserve"> PAGEREF _Toc225502646 \h </w:instrText>
      </w:r>
      <w:r>
        <w:rPr>
          <w:noProof/>
        </w:rPr>
      </w:r>
      <w:r>
        <w:rPr>
          <w:noProof/>
        </w:rPr>
        <w:fldChar w:fldCharType="separate"/>
      </w:r>
      <w:r>
        <w:rPr>
          <w:noProof/>
        </w:rPr>
        <w:t>8</w:t>
      </w:r>
      <w:r>
        <w:rPr>
          <w:noProof/>
        </w:rPr>
        <w:fldChar w:fldCharType="end"/>
      </w:r>
    </w:p>
    <w:p w14:paraId="404C3EB6" w14:textId="77777777" w:rsidR="00930C78" w:rsidRPr="00227186" w:rsidRDefault="00930C78">
      <w:pPr>
        <w:pStyle w:val="TOC1"/>
        <w:rPr>
          <w:rFonts w:ascii="Calibri" w:eastAsia="Times New Roman" w:hAnsi="Calibri" w:cs="Times New Roman"/>
          <w:noProof/>
          <w:color w:val="auto"/>
          <w:sz w:val="22"/>
          <w:lang w:eastAsia="en-GB"/>
        </w:rPr>
      </w:pPr>
      <w:r>
        <w:rPr>
          <w:noProof/>
        </w:rPr>
        <w:t>Conclusion</w:t>
      </w:r>
      <w:r>
        <w:rPr>
          <w:noProof/>
        </w:rPr>
        <w:tab/>
      </w:r>
      <w:r>
        <w:rPr>
          <w:noProof/>
        </w:rPr>
        <w:fldChar w:fldCharType="begin"/>
      </w:r>
      <w:r>
        <w:rPr>
          <w:noProof/>
        </w:rPr>
        <w:instrText xml:space="preserve"> PAGEREF _Toc225502647 \h </w:instrText>
      </w:r>
      <w:r>
        <w:rPr>
          <w:noProof/>
        </w:rPr>
      </w:r>
      <w:r>
        <w:rPr>
          <w:noProof/>
        </w:rPr>
        <w:fldChar w:fldCharType="separate"/>
      </w:r>
      <w:r>
        <w:rPr>
          <w:noProof/>
        </w:rPr>
        <w:t>8</w:t>
      </w:r>
      <w:r>
        <w:rPr>
          <w:noProof/>
        </w:rPr>
        <w:fldChar w:fldCharType="end"/>
      </w:r>
    </w:p>
    <w:p w14:paraId="480E91E0" w14:textId="77777777" w:rsidR="00930C78" w:rsidRPr="00227186" w:rsidRDefault="00930C78">
      <w:pPr>
        <w:pStyle w:val="TOC1"/>
        <w:rPr>
          <w:rFonts w:ascii="Calibri" w:eastAsia="Times New Roman" w:hAnsi="Calibri" w:cs="Times New Roman"/>
          <w:noProof/>
          <w:color w:val="auto"/>
          <w:sz w:val="22"/>
          <w:lang w:eastAsia="en-GB"/>
        </w:rPr>
      </w:pPr>
      <w:r>
        <w:rPr>
          <w:noProof/>
        </w:rPr>
        <w:t>References</w:t>
      </w:r>
      <w:r>
        <w:rPr>
          <w:noProof/>
        </w:rPr>
        <w:tab/>
      </w:r>
      <w:r>
        <w:rPr>
          <w:noProof/>
        </w:rPr>
        <w:fldChar w:fldCharType="begin"/>
      </w:r>
      <w:r>
        <w:rPr>
          <w:noProof/>
        </w:rPr>
        <w:instrText xml:space="preserve"> PAGEREF _Toc225502648 \h </w:instrText>
      </w:r>
      <w:r>
        <w:rPr>
          <w:noProof/>
        </w:rPr>
      </w:r>
      <w:r>
        <w:rPr>
          <w:noProof/>
        </w:rPr>
        <w:fldChar w:fldCharType="separate"/>
      </w:r>
      <w:r>
        <w:rPr>
          <w:noProof/>
        </w:rPr>
        <w:t>9</w:t>
      </w:r>
      <w:r>
        <w:rPr>
          <w:noProof/>
        </w:rPr>
        <w:fldChar w:fldCharType="end"/>
      </w:r>
    </w:p>
    <w:p w14:paraId="71FF1C55" w14:textId="77777777" w:rsidR="005901D0" w:rsidRPr="00752C57" w:rsidRDefault="00793373" w:rsidP="005901D0">
      <w:pPr>
        <w:pStyle w:val="TOC1"/>
        <w:rPr>
          <w:rFonts w:cs="Times New Roman"/>
          <w:color w:val="auto"/>
          <w:szCs w:val="24"/>
        </w:rPr>
      </w:pPr>
      <w:r w:rsidRPr="00752C57">
        <w:rPr>
          <w:rFonts w:cs="Times New Roman"/>
          <w:color w:val="auto"/>
        </w:rPr>
        <w:fldChar w:fldCharType="end"/>
      </w:r>
    </w:p>
    <w:p w14:paraId="62EEE08A" w14:textId="77777777" w:rsidR="00793373" w:rsidRPr="00752C57" w:rsidRDefault="00793373">
      <w:pPr>
        <w:rPr>
          <w:color w:val="auto"/>
          <w:szCs w:val="24"/>
        </w:rPr>
      </w:pPr>
    </w:p>
    <w:p w14:paraId="0128EB1F" w14:textId="77777777" w:rsidR="00FA3835" w:rsidRPr="00752C57" w:rsidRDefault="00FA3835">
      <w:pPr>
        <w:rPr>
          <w:color w:val="auto"/>
          <w:szCs w:val="24"/>
        </w:rPr>
      </w:pPr>
    </w:p>
    <w:p w14:paraId="19D0C7B3" w14:textId="77777777" w:rsidR="00FA3835" w:rsidRPr="00752C57" w:rsidRDefault="00FA3835">
      <w:pPr>
        <w:rPr>
          <w:color w:val="auto"/>
          <w:szCs w:val="24"/>
        </w:rPr>
      </w:pPr>
    </w:p>
    <w:p w14:paraId="7989E3C9" w14:textId="77777777" w:rsidR="0093725C" w:rsidRPr="00752C57" w:rsidRDefault="006407FE" w:rsidP="00607926">
      <w:pPr>
        <w:pStyle w:val="Heading1"/>
      </w:pPr>
      <w:r w:rsidRPr="00752C57">
        <w:br w:type="page"/>
      </w:r>
      <w:bookmarkStart w:id="0" w:name="_Toc225502640"/>
      <w:r w:rsidR="00607926" w:rsidRPr="00752C57">
        <w:lastRenderedPageBreak/>
        <w:t>Introduction</w:t>
      </w:r>
      <w:bookmarkEnd w:id="0"/>
    </w:p>
    <w:p w14:paraId="39F47F7B" w14:textId="77777777" w:rsidR="00A654E6" w:rsidRDefault="000F1FB4" w:rsidP="00A654E6">
      <w:r w:rsidRPr="000F1FB4">
        <w:t>Person-centred care (PCC) is a health and social care practice that centres the individual as an active part in discussing, creating and executing individual care instead of positioning human beings as a recipient of the delivery of services. It stresses dignity, respect, personalized decision making and coordinated support to individual needs and preferences, where the professionals collaboratively work in making the individual understand what he or she likes most</w:t>
      </w:r>
      <w:r w:rsidR="00E14D8A">
        <w:t xml:space="preserve"> </w:t>
      </w:r>
      <w:r w:rsidR="00E14D8A" w:rsidRPr="00E14D8A">
        <w:t>(Health Innovation Network, 2016)</w:t>
      </w:r>
      <w:r w:rsidRPr="000F1FB4">
        <w:t>. In the UK context, PCC relates to be a foundation of high-quality care practice based on the standards as the Regulation 9 of Health and Social Care Act of 2008 and wellbeing principles of the Care Act of 2014 that demand local authorities to foster wellbeing and integrated support</w:t>
      </w:r>
      <w:r w:rsidR="00F86B46">
        <w:t xml:space="preserve"> </w:t>
      </w:r>
      <w:r w:rsidR="00F86B46" w:rsidRPr="00F86B46">
        <w:t>(Care Quality Commission, 2024)</w:t>
      </w:r>
      <w:r w:rsidRPr="000F1FB4">
        <w:t>. No less significant is collaboration working that encompasses efficient collaboration of care professionals, services and the individual to enhance improvement of results, decrease fragmentation and quality of life. .</w:t>
      </w:r>
    </w:p>
    <w:p w14:paraId="73CB71AA" w14:textId="77777777" w:rsidR="000F1FB4" w:rsidRDefault="000F1FB4" w:rsidP="00A654E6"/>
    <w:p w14:paraId="5ED47ABF" w14:textId="77777777" w:rsidR="000F1FB4" w:rsidRDefault="000F1FB4" w:rsidP="000F1FB4">
      <w:pPr>
        <w:pStyle w:val="Heading1"/>
      </w:pPr>
      <w:bookmarkStart w:id="1" w:name="_Toc225502641"/>
      <w:r>
        <w:t>Person</w:t>
      </w:r>
      <w:r>
        <w:noBreakHyphen/>
        <w:t>Centred Care</w:t>
      </w:r>
      <w:bookmarkEnd w:id="1"/>
      <w:r>
        <w:t xml:space="preserve"> </w:t>
      </w:r>
    </w:p>
    <w:p w14:paraId="1875D21F" w14:textId="77777777" w:rsidR="000F1FB4" w:rsidRDefault="000F1FB4" w:rsidP="000F1FB4">
      <w:r>
        <w:t>Person-centred care (PCC) is a type of health and social care delivered in which the person is considered to the centre of both care-planning and decision-making and becomes an active participant in the delivery of the service rather than active receiver. It focuses on the individuality of an individual, their values, preferences, social context and life story in order design and provision of support ( Health Innovation Network; person-centred care: what is it and why it matters)</w:t>
      </w:r>
      <w:r w:rsidR="00F86B46">
        <w:t xml:space="preserve"> </w:t>
      </w:r>
      <w:r w:rsidR="00F86B46" w:rsidRPr="00F86B46">
        <w:t>(Coulter and Oldham, 2016)</w:t>
      </w:r>
      <w:r>
        <w:t>. UK policy defines PCC as quality care and incorporates it into regulatory law, that is, Regulation 9 of the Health and Social Care Act 2008 (Regulated Activities) requires care to be responsive and reflective of its needs and preferences and requests that they take part in the planning and reviewing of their support</w:t>
      </w:r>
      <w:r w:rsidR="00F86B46">
        <w:t xml:space="preserve"> </w:t>
      </w:r>
      <w:r w:rsidR="00F86B46" w:rsidRPr="00F86B46">
        <w:t>(UK Government, 2019)</w:t>
      </w:r>
      <w:r>
        <w:t>.</w:t>
      </w:r>
    </w:p>
    <w:p w14:paraId="7B0AB5D7" w14:textId="00497E7B" w:rsidR="000F1FB4" w:rsidRDefault="000F1FB4" w:rsidP="000F1FB4">
      <w:pPr>
        <w:ind w:firstLine="720"/>
      </w:pPr>
      <w:r>
        <w:t xml:space="preserve">The fundamental aspects of PCC generally involve the values of uniqueness and the </w:t>
      </w:r>
      <w:r w:rsidR="00AE455A">
        <w:t>honouring</w:t>
      </w:r>
      <w:r>
        <w:t xml:space="preserve"> of dignity and respect, individualized care, coordinated and responsive care, choice and involvement in decision-making (Health Foundation; the 4 principles of person-central care)</w:t>
      </w:r>
      <w:r w:rsidR="00F86B46">
        <w:t xml:space="preserve"> </w:t>
      </w:r>
      <w:r w:rsidR="00F86B46" w:rsidRPr="00F86B46">
        <w:t>(Turner, 2025)</w:t>
      </w:r>
      <w:r>
        <w:t xml:space="preserve">. This framework is the opposite of the task-centred or clinician-centred </w:t>
      </w:r>
      <w:r>
        <w:lastRenderedPageBreak/>
        <w:t>frameworks in which a professional decides care priorities by clinical routine or set protocol, and takes minimal involvement of the service user in influencing care activities or agenda.</w:t>
      </w:r>
    </w:p>
    <w:p w14:paraId="64EEFD5A" w14:textId="77777777" w:rsidR="000F1FB4" w:rsidRDefault="000F1FB4" w:rsidP="000F1FB4">
      <w:pPr>
        <w:ind w:firstLine="720"/>
      </w:pPr>
      <w:r>
        <w:t xml:space="preserve">Person-centred care is relevant in the modern practice as well as it is associated with better wellbeing processes, higher levels of satisfaction, and an increase in health-oriented behaviour. It fosters holism which includes physical, psychological, social and cultural elements as opposed to a much focused approach into malaise or symptoms (person-centred care evidence suggests that involvement and respect enhance positive outcomes). </w:t>
      </w:r>
    </w:p>
    <w:p w14:paraId="3F7A5676" w14:textId="77777777" w:rsidR="000F1FB4" w:rsidRDefault="000F1FB4" w:rsidP="000F1FB4"/>
    <w:p w14:paraId="5353D4DE" w14:textId="77777777" w:rsidR="000F1FB4" w:rsidRDefault="000F1FB4" w:rsidP="000F1FB4">
      <w:pPr>
        <w:pStyle w:val="Heading1"/>
      </w:pPr>
      <w:bookmarkStart w:id="2" w:name="_Toc225502642"/>
      <w:r>
        <w:t>Theoretical Framework</w:t>
      </w:r>
      <w:bookmarkEnd w:id="2"/>
    </w:p>
    <w:p w14:paraId="521A26FB" w14:textId="48F1314C" w:rsidR="000F1FB4" w:rsidRDefault="000F1FB4" w:rsidP="000F1FB4">
      <w:r>
        <w:t xml:space="preserve">One of the theoretical frameworks that have formed the basis of practice in person-centred care (PCC) is the Person-Centred Nursing Framework (PCNF) by McCormack and McCance, which has also been identified as a mid-range theory of nursing and general health professional practice. This framework </w:t>
      </w:r>
      <w:r w:rsidR="00AA6C78">
        <w:t>conceptualises</w:t>
      </w:r>
      <w:r>
        <w:t xml:space="preserve"> PCC, not as a localized activity but as a framework that incorporates all the skills of practitioners, context of care, the skills of the processes involved in the engagement with people, and what outcomes have been attained</w:t>
      </w:r>
      <w:r w:rsidR="00F86B46">
        <w:t xml:space="preserve"> </w:t>
      </w:r>
      <w:r w:rsidR="00F86B46" w:rsidRPr="00F86B46">
        <w:t>(McCance and McCormack, 2025)</w:t>
      </w:r>
      <w:r>
        <w:t>.</w:t>
      </w:r>
    </w:p>
    <w:p w14:paraId="50565F52" w14:textId="77777777" w:rsidR="000F1FB4" w:rsidRDefault="000F1FB4" w:rsidP="000F1FB4">
      <w:pPr>
        <w:ind w:firstLine="720"/>
      </w:pPr>
      <w:r>
        <w:t>The PCNF is made up of four domains which are interconnected. The first are the prerequisites which are the attributes of the practitioner including professional competence, interpersonal skills, clarification of values and commitment to ethical practice</w:t>
      </w:r>
      <w:r w:rsidR="00F86B46">
        <w:t xml:space="preserve"> </w:t>
      </w:r>
      <w:r w:rsidR="00F86B46" w:rsidRPr="00F86B46">
        <w:t>(McCormack and McCance, 2006)</w:t>
      </w:r>
      <w:r>
        <w:t>. Second, organisation culture, shared decision-making systems, leadership support and physical environment are also part of the care environment where care is provided. Third, person-centred processes calm down on intensifying about the beliefs and values of the people, genuine existence, sharing in the choice-making and giving an all-around care. Lastly, anticipated outcomes involve the intervention of a successful person-centred practice like an elevated level of satisfaction, wellbeing and a positive care experience.</w:t>
      </w:r>
    </w:p>
    <w:p w14:paraId="1C93BB76" w14:textId="77777777" w:rsidR="000F1FB4" w:rsidRDefault="000F1FB4" w:rsidP="000F1FB4">
      <w:pPr>
        <w:ind w:firstLine="720"/>
      </w:pPr>
      <w:r>
        <w:t>The PCNF can be used to explain how PCC is practiced when attempting to apply to a community care environment such as the support planning of "Mr R": practitioners should use proper competencies (e.g. communication) in a supporting environment (e.g. integrated care systems) and actively respond to the preferences and goals of Mr R. The purpose of this interaction process is to assist his wellbeing and quality of life and not necessarily provide care tasks to him.</w:t>
      </w:r>
    </w:p>
    <w:p w14:paraId="6A8B5C35" w14:textId="77777777" w:rsidR="000F1FB4" w:rsidRDefault="000F1FB4" w:rsidP="000F1FB4">
      <w:pPr>
        <w:ind w:firstLine="720"/>
      </w:pPr>
      <w:r>
        <w:lastRenderedPageBreak/>
        <w:t>The PCNF has certain strengths such as a holistic orientation, orientation on humanistic values, which are in harmony with recent PCC objectives and give a clear training, implementation, and evaluation</w:t>
      </w:r>
      <w:r w:rsidR="00F86B46">
        <w:t xml:space="preserve"> </w:t>
      </w:r>
      <w:r w:rsidR="00F86B46" w:rsidRPr="00F86B46">
        <w:t>(Santana et al., 2018)</w:t>
      </w:r>
      <w:r>
        <w:t>. There have been however been limitations identified: studies note that it is challenging to operationalise the framework in challenges where organisational culture is not conducive to shared decision-making, and that the model has been more widely applied to the context of nursing settings and not in the wider community health team.</w:t>
      </w:r>
    </w:p>
    <w:p w14:paraId="7F5D3BE3" w14:textId="77777777" w:rsidR="000F1FB4" w:rsidRDefault="000F1FB4" w:rsidP="000F1FB4"/>
    <w:p w14:paraId="36CF5D1D" w14:textId="77777777" w:rsidR="000F1FB4" w:rsidRDefault="000F1FB4" w:rsidP="000F1FB4">
      <w:pPr>
        <w:pStyle w:val="Heading1"/>
      </w:pPr>
      <w:bookmarkStart w:id="3" w:name="_Toc225502643"/>
      <w:r>
        <w:t>Ethical Considerations</w:t>
      </w:r>
      <w:bookmarkEnd w:id="3"/>
    </w:p>
    <w:p w14:paraId="4C33FFDF" w14:textId="700860A6" w:rsidR="00A84DE0" w:rsidRDefault="00A84DE0" w:rsidP="00A84DE0">
      <w:r>
        <w:t xml:space="preserve">Person-centred care (PCC) in health and social care practice has an underlying ethos based on ethical principles. The most commonly accepted paradigm of </w:t>
      </w:r>
      <w:r w:rsidR="00AA6C78">
        <w:t>principles</w:t>
      </w:r>
      <w:r>
        <w:t xml:space="preserve"> refers to the presence of such principles as autonomy, beneficence, non-maleficence and justice. Autonomy means respecting the right of an individual to make informed choices on his own care; beneficence implies acting in what the best interest of a person; non-maleficence is not to do anything that harms a person and justice is to treat all service users fairly and equally</w:t>
      </w:r>
      <w:r w:rsidR="00F86B46">
        <w:t xml:space="preserve"> </w:t>
      </w:r>
      <w:r w:rsidR="00F86B46" w:rsidRPr="00F86B46">
        <w:t>(Morgan, 2025)</w:t>
      </w:r>
      <w:r>
        <w:t>. These ideals make practice-related professional behaviour and decision making.</w:t>
      </w:r>
    </w:p>
    <w:p w14:paraId="01EBDBCB" w14:textId="77777777" w:rsidR="00A84DE0" w:rsidRDefault="00A84DE0" w:rsidP="00A84DE0">
      <w:pPr>
        <w:ind w:firstLine="720"/>
      </w:pPr>
      <w:r>
        <w:t>These ethical values are implemented in person-centred practice by engaging individuals in the decisions concerning their support by making sure that the choices are made with references to their values and capabilities and fit the plan of care to increase the wellbeing and dignity levels</w:t>
      </w:r>
      <w:r w:rsidR="00C27E03">
        <w:t xml:space="preserve"> </w:t>
      </w:r>
      <w:r w:rsidR="00C27E03" w:rsidRPr="00C27E03">
        <w:t>(Epstein and Street, 2011)</w:t>
      </w:r>
      <w:r>
        <w:t>. As an illustration, in the context of community care planning in Mr R case, autonomy is encouraged by assisting him to select his daily activities and routines, whereas beneficence and non-maleficence should involve the team of performing the necessary care in order to improve his quality of life without causing him unnecessary risk and harm. Justice is taken care of through referring to seeing that Mr R will have fair access to community services notwithstanding his socio-economic status.</w:t>
      </w:r>
    </w:p>
    <w:p w14:paraId="505B9CB0" w14:textId="77777777" w:rsidR="00A84DE0" w:rsidRDefault="00A84DE0" w:rsidP="00A84DE0">
      <w:pPr>
        <w:ind w:firstLine="720"/>
      </w:pPr>
      <w:r>
        <w:t xml:space="preserve">Nevertheless, ethical dilemmas are possible in the real world. Finding the right balance between autonomy and risk prevention is one of the most widely faced: such a choice in situations as potential harm can be taken by such individuals as Mr R, however, referring to the ethical codes, professionals have to safeguard wellbeing. The tension between respecting a choice and causing harm is a complex decision that should be adequately judged with the </w:t>
      </w:r>
      <w:r>
        <w:lastRenderedPageBreak/>
        <w:t>difference that mental ability is not at its peak or the organisation offers customisation because of constraints.</w:t>
      </w:r>
    </w:p>
    <w:p w14:paraId="6596F0A4" w14:textId="77777777" w:rsidR="001B2613" w:rsidRDefault="001B2613" w:rsidP="001B2613"/>
    <w:p w14:paraId="6A9AB937" w14:textId="77777777" w:rsidR="001B2613" w:rsidRDefault="00090802" w:rsidP="00090802">
      <w:pPr>
        <w:pStyle w:val="Heading1"/>
      </w:pPr>
      <w:bookmarkStart w:id="4" w:name="_Toc225502644"/>
      <w:r>
        <w:t>Partnership Working in Practice</w:t>
      </w:r>
      <w:bookmarkEnd w:id="4"/>
    </w:p>
    <w:p w14:paraId="4CC05390" w14:textId="77777777" w:rsidR="00090802" w:rsidRDefault="00090802" w:rsidP="00090802">
      <w:r>
        <w:t>Partnership working in health and social care in UK healthy private relations can be described as a combination of several agencies, professionals, community and individuals working to coordinate their experiences and resources so as to provide a filled-up, high-quality assistance in response to each individual (need). It goes past simple cooperation to entail the existence of common ideals, respect towards one another, exchange of information and making mutual decisions towards enhancing smooth care and improved results to service consumers</w:t>
      </w:r>
      <w:r w:rsidR="005A4482">
        <w:t xml:space="preserve"> </w:t>
      </w:r>
      <w:r w:rsidR="005A4482" w:rsidRPr="005A4482">
        <w:t>(CQC, 2025)</w:t>
      </w:r>
      <w:r>
        <w:t>. It is now at the core of policy and practice as integrated care reforms, especially with both developing Integrated Care Systems and statutory directives emphasising organisation/community interaction.</w:t>
      </w:r>
    </w:p>
    <w:p w14:paraId="09529A53" w14:textId="77777777" w:rsidR="00090802" w:rsidRDefault="00090802" w:rsidP="00090802">
      <w:pPr>
        <w:ind w:firstLine="720"/>
      </w:pPr>
      <w:r>
        <w:t>Partnering working encompasses various professionals and services in the coordination of a practical health and social care setting, as it is the case in the community-based support planning of Mr R. Other major partners are social workers, community nurses, general practitioners, occupational therapists, voluntary sector agencies (e.g., charities offering community support) and above all their clients Mr R and his family or carers themselves</w:t>
      </w:r>
      <w:r w:rsidR="005A4482">
        <w:t xml:space="preserve"> </w:t>
      </w:r>
      <w:r w:rsidR="005A4482" w:rsidRPr="005A4482">
        <w:t>(Kobrai-Abkenar, Salimi and Pourghane, 2024)</w:t>
      </w:r>
      <w:r>
        <w:t>. The individual specialised knowledge of the partners e.g. nursing and medical as to the health needs, social care knowledge as to the day to day living support, and the network of the voluntary organisations as to the community will have to contribute towards the jointly agreed plan of care towards Mr R and his wellbeing targets.</w:t>
      </w:r>
    </w:p>
    <w:p w14:paraId="40F721EB" w14:textId="77777777" w:rsidR="00090802" w:rsidRDefault="00090802" w:rsidP="00090802">
      <w:pPr>
        <w:ind w:firstLine="720"/>
      </w:pPr>
      <w:r>
        <w:t>A successful collaborative working is based on the level of communication and exchange of information based on multidisciplinary meetings, joint care plan sessions, shared documentation, and frequent reviews during which professionals can talk about progress and risks, changes in needs and destination courses</w:t>
      </w:r>
      <w:r w:rsidR="005A4482">
        <w:t xml:space="preserve"> </w:t>
      </w:r>
      <w:r w:rsidR="005A4482" w:rsidRPr="005A4482">
        <w:t>(Meneses-La-Riva et al., 2025)</w:t>
      </w:r>
      <w:r>
        <w:t>. Such practices assist in organizing the interventions, minimizing repetitions and also made sure all partners worked together to aid the independence of Mr R and his quality of life.</w:t>
      </w:r>
    </w:p>
    <w:p w14:paraId="63DCFDF3" w14:textId="77777777" w:rsidR="00090802" w:rsidRDefault="00090802" w:rsidP="00090802">
      <w:pPr>
        <w:ind w:firstLine="720"/>
      </w:pPr>
      <w:r>
        <w:t xml:space="preserve">The advantages of the partnership working are better continuity and integration of care, quicker access to inappropriate assistance, less fragmentation of support, and advanced service user experience due to coherent and individual-based decision-making. This can lead to </w:t>
      </w:r>
      <w:r>
        <w:lastRenderedPageBreak/>
        <w:t>improved health outcomes, increased responsiveness and enhanced engagement in self-care, as it is often the case with the vulnerable people such as Mr R.</w:t>
      </w:r>
    </w:p>
    <w:p w14:paraId="30073B5B" w14:textId="77777777" w:rsidR="00090802" w:rsidRDefault="00090802" w:rsidP="00090802">
      <w:pPr>
        <w:ind w:firstLine="720"/>
      </w:pPr>
      <w:r>
        <w:t>Nevertheless, the practice continues to be problematic. The issues that may present communication barriers include the differences in the ordinary system and terminologies used by professionals; and limitations in the resources, and the organisational disparities may affect in the context of joint working and lack of coherent information transfer may result to care disorganisation or dalliance. Besides, to balance various professional objectives and cope with workload demands, it is important to dedicate efforts, time, and leadership to maintain professional collaborations and trust in the inter-sectoral domains.</w:t>
      </w:r>
    </w:p>
    <w:p w14:paraId="207CD100" w14:textId="77777777" w:rsidR="00090802" w:rsidRDefault="00090802" w:rsidP="00090802"/>
    <w:p w14:paraId="6F6AB6A7" w14:textId="77777777" w:rsidR="00090802" w:rsidRDefault="00090802" w:rsidP="00090802">
      <w:pPr>
        <w:pStyle w:val="Heading1"/>
      </w:pPr>
      <w:bookmarkStart w:id="5" w:name="_Toc225502645"/>
      <w:r>
        <w:t>Relevant UK Policy &amp; Legislation</w:t>
      </w:r>
      <w:bookmarkEnd w:id="5"/>
    </w:p>
    <w:p w14:paraId="6BEE13B6" w14:textId="77777777" w:rsidR="00090802" w:rsidRDefault="00090802" w:rsidP="00090802">
      <w:r>
        <w:t>The key legislation concerning the adult social care in England is the Care Act 2014. It has put a statutory obligation to local governments about the promotion of the wellbeing of an individual, conducting holistic assessment of need, eligibility and co-production of care and support plans with service users, which gives them choice and control on how their needs are met. This model of legislation places, clearly and explicitly, wellbeing (dignity, autonomy, social participation and control of day-to-day life) at the core of the care practise</w:t>
      </w:r>
      <w:r w:rsidR="005A4482">
        <w:t xml:space="preserve"> </w:t>
      </w:r>
      <w:r w:rsidR="005A4482" w:rsidRPr="005A4482">
        <w:t>(Care Act, 2014)</w:t>
      </w:r>
      <w:r>
        <w:t>.</w:t>
      </w:r>
    </w:p>
    <w:p w14:paraId="27770E73" w14:textId="77777777" w:rsidR="00090802" w:rsidRDefault="00090802" w:rsidP="00090802">
      <w:pPr>
        <w:ind w:firstLine="720"/>
      </w:pPr>
      <w:r>
        <w:t>Based on the Regulated Activities Regulations under the Health and Social Care Act 2008, which include Regulation 9 of person-centred care, providers are supposed to provide an individual with care that is tailor-made in line with their needs and preferences and apply the Mental Capacity Act requirement where relevant</w:t>
      </w:r>
      <w:r w:rsidR="005A4482">
        <w:t xml:space="preserve"> </w:t>
      </w:r>
      <w:r w:rsidR="005A4482" w:rsidRPr="005A4482">
        <w:t>(Care Quality Commission, 2024)</w:t>
      </w:r>
      <w:r>
        <w:t>.</w:t>
      </w:r>
    </w:p>
    <w:p w14:paraId="1D7229D2" w14:textId="77777777" w:rsidR="00090802" w:rsidRDefault="00090802" w:rsidP="00090802">
      <w:pPr>
        <w:ind w:firstLine="720"/>
      </w:pPr>
      <w:r>
        <w:t>The policy further including the NICE guideline on person centred working (NG21) strengthens the idea that the aim and outcome of care should be on people and not delivering care based on tasks</w:t>
      </w:r>
      <w:r w:rsidR="005A4482">
        <w:t xml:space="preserve"> </w:t>
      </w:r>
      <w:r w:rsidR="005A4482" w:rsidRPr="005A4482">
        <w:t>(NICE, 2015)</w:t>
      </w:r>
      <w:r>
        <w:t>.</w:t>
      </w:r>
    </w:p>
    <w:p w14:paraId="3FBB212D" w14:textId="77777777" w:rsidR="00090802" w:rsidRDefault="00090802" w:rsidP="00090802">
      <w:pPr>
        <w:ind w:firstLine="720"/>
      </w:pPr>
      <w:r>
        <w:t>Although the described frameworks are compliance with PCC and partnership by obliging involvement, focus on wellbeing and collaboration, their success hinges on local operation conditions and available resources as statutory obligations influence assessment, planning and shared working in the case of Mr R care planning.</w:t>
      </w:r>
    </w:p>
    <w:p w14:paraId="08F4848E" w14:textId="77777777" w:rsidR="00090802" w:rsidRDefault="00090802" w:rsidP="00090802"/>
    <w:p w14:paraId="278E00D2" w14:textId="77777777" w:rsidR="00090802" w:rsidRDefault="00090802" w:rsidP="00090802">
      <w:pPr>
        <w:pStyle w:val="Heading1"/>
      </w:pPr>
      <w:bookmarkStart w:id="6" w:name="_Toc225502646"/>
      <w:r>
        <w:lastRenderedPageBreak/>
        <w:t>Recommendations for Future Practice</w:t>
      </w:r>
      <w:bookmarkEnd w:id="6"/>
    </w:p>
    <w:p w14:paraId="0DC24BD6" w14:textId="77777777" w:rsidR="00090802" w:rsidRDefault="00090802" w:rsidP="00090802">
      <w:r>
        <w:t>To enhance person-centred care (PCC), health, and social care services need continuous training and competence structures that allow professionals to be equipped with the skills necessary to effectively interact with service users, their families and carers (e.g., communication, shared decision-making), and make PCC a consistent infrastructure throughout the practise</w:t>
      </w:r>
      <w:r w:rsidR="005A4482">
        <w:t xml:space="preserve"> </w:t>
      </w:r>
      <w:r>
        <w:t>. On the same note, formal service-user feedback mechanisms and co-production mechanisms are to be found that would help make sure that the care planning reflects what people are truly interested in and contributes to better quality and responsiveness.</w:t>
      </w:r>
    </w:p>
    <w:p w14:paraId="71E41885" w14:textId="77777777" w:rsidR="00090802" w:rsidRDefault="00090802" w:rsidP="00090802">
      <w:pPr>
        <w:ind w:firstLine="720"/>
      </w:pPr>
      <w:r>
        <w:t>In developing better partnership working, the common use of information systems and frequent inter-agency meetings is to be normalised to enhance communication and continuity between the services. ICS and local governance boards should put communities and lived-experience partners as a central part of co-production, or inform strategy reduction</w:t>
      </w:r>
      <w:r w:rsidR="005A4482">
        <w:t xml:space="preserve"> </w:t>
      </w:r>
      <w:r w:rsidR="005A4482" w:rsidRPr="005A4482">
        <w:t>(NHS England, 2023)</w:t>
      </w:r>
      <w:r>
        <w:t>.</w:t>
      </w:r>
    </w:p>
    <w:p w14:paraId="568DA6F8" w14:textId="77777777" w:rsidR="00090802" w:rsidRDefault="00090802" w:rsidP="00090802">
      <w:pPr>
        <w:ind w:firstLine="720"/>
      </w:pPr>
      <w:r>
        <w:t>At a systems level, we need to enhance policies to ensure that the integrated care pathways and equitable funding models are resource-aligned and can facilitate cross-sector collaboration; it must address the workforce, ethical and communication issues found in practise.</w:t>
      </w:r>
    </w:p>
    <w:p w14:paraId="134B4D4A" w14:textId="77777777" w:rsidR="00090802" w:rsidRDefault="00090802" w:rsidP="00090802"/>
    <w:p w14:paraId="4AE0D784" w14:textId="77777777" w:rsidR="00090802" w:rsidRDefault="00090802" w:rsidP="00090802">
      <w:pPr>
        <w:pStyle w:val="Heading1"/>
      </w:pPr>
      <w:bookmarkStart w:id="7" w:name="_Toc225502647"/>
      <w:r>
        <w:t>Conclusion</w:t>
      </w:r>
      <w:bookmarkEnd w:id="7"/>
      <w:r>
        <w:t xml:space="preserve"> </w:t>
      </w:r>
    </w:p>
    <w:p w14:paraId="2EB8AF4E" w14:textId="77777777" w:rsidR="00090802" w:rsidRDefault="00090802" w:rsidP="00090802">
      <w:r w:rsidRPr="00090802">
        <w:t>The pillars of quality UK health and social care are person-centred care and partnership working, both of which adopt the focus on individuals as partners in their own care and collaboration between professionals as the means of accomplishing better results. PCC promises respect, individualised care and collaborative decision-making, whereas effective collaborations provide coordination of resources and expertise between the service to provide smooth care. Both policy and theory insist on dignity and cooperation, however, the real-life application has to be built on consistent adherence to communication, ethical integration and services availing, like the one being shown in the community care planning of Mr R as in practical sense, improves the quality of life.</w:t>
      </w:r>
    </w:p>
    <w:p w14:paraId="7E2A20B1" w14:textId="77777777" w:rsidR="005A4482" w:rsidRDefault="005A4482" w:rsidP="005A4482">
      <w:pPr>
        <w:pStyle w:val="Heading1"/>
      </w:pPr>
      <w:r>
        <w:br w:type="page"/>
      </w:r>
      <w:bookmarkStart w:id="8" w:name="_Toc225502648"/>
      <w:r>
        <w:lastRenderedPageBreak/>
        <w:t>References</w:t>
      </w:r>
      <w:bookmarkEnd w:id="8"/>
    </w:p>
    <w:p w14:paraId="313532F1"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Care Act (2014). </w:t>
      </w:r>
      <w:r w:rsidRPr="005A4482">
        <w:rPr>
          <w:rFonts w:eastAsia="Times New Roman"/>
          <w:i/>
          <w:iCs/>
          <w:color w:val="auto"/>
          <w:szCs w:val="24"/>
          <w:lang w:eastAsia="en-GB"/>
        </w:rPr>
        <w:t>Care Act 2014</w:t>
      </w:r>
      <w:r w:rsidRPr="005A4482">
        <w:rPr>
          <w:rFonts w:eastAsia="Times New Roman"/>
          <w:color w:val="auto"/>
          <w:szCs w:val="24"/>
          <w:lang w:eastAsia="en-GB"/>
        </w:rPr>
        <w:t xml:space="preserve">. [online] Legislation.gov.uk. Available at: </w:t>
      </w:r>
      <w:hyperlink r:id="rId11" w:history="1">
        <w:r w:rsidRPr="00D7029A">
          <w:rPr>
            <w:rStyle w:val="Hyperlink"/>
            <w:rFonts w:eastAsia="Times New Roman"/>
            <w:szCs w:val="24"/>
            <w:lang w:eastAsia="en-GB"/>
          </w:rPr>
          <w:t>https://www.legislation.gov.uk/ukpga/2014/23/contents</w:t>
        </w:r>
      </w:hyperlink>
      <w:r w:rsidRPr="005A4482">
        <w:rPr>
          <w:rFonts w:eastAsia="Times New Roman"/>
          <w:color w:val="auto"/>
          <w:szCs w:val="24"/>
          <w:lang w:eastAsia="en-GB"/>
        </w:rPr>
        <w:t>.</w:t>
      </w:r>
      <w:r>
        <w:rPr>
          <w:rFonts w:eastAsia="Times New Roman"/>
          <w:color w:val="auto"/>
          <w:szCs w:val="24"/>
          <w:lang w:eastAsia="en-GB"/>
        </w:rPr>
        <w:t xml:space="preserve"> </w:t>
      </w:r>
    </w:p>
    <w:p w14:paraId="60F01F24"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Care Quality Commission (2024). </w:t>
      </w:r>
      <w:r w:rsidRPr="005A4482">
        <w:rPr>
          <w:rFonts w:eastAsia="Times New Roman"/>
          <w:i/>
          <w:iCs/>
          <w:color w:val="auto"/>
          <w:szCs w:val="24"/>
          <w:lang w:eastAsia="en-GB"/>
        </w:rPr>
        <w:t>Regulations for service providers and managers</w:t>
      </w:r>
      <w:r w:rsidRPr="005A4482">
        <w:rPr>
          <w:rFonts w:eastAsia="Times New Roman"/>
          <w:color w:val="auto"/>
          <w:szCs w:val="24"/>
          <w:lang w:eastAsia="en-GB"/>
        </w:rPr>
        <w:t xml:space="preserve">. [online] Cqc.org.uk. Available at: </w:t>
      </w:r>
      <w:hyperlink r:id="rId12" w:history="1">
        <w:r w:rsidRPr="00D7029A">
          <w:rPr>
            <w:rStyle w:val="Hyperlink"/>
            <w:rFonts w:eastAsia="Times New Roman"/>
            <w:szCs w:val="24"/>
            <w:lang w:eastAsia="en-GB"/>
          </w:rPr>
          <w:t>https://www.cqc.org.uk/guidance-regulation/providers/regulations-service-providers-and-managers/health-social-care-act/regulation-9</w:t>
        </w:r>
      </w:hyperlink>
      <w:r w:rsidRPr="005A4482">
        <w:rPr>
          <w:rFonts w:eastAsia="Times New Roman"/>
          <w:color w:val="auto"/>
          <w:szCs w:val="24"/>
          <w:lang w:eastAsia="en-GB"/>
        </w:rPr>
        <w:t>.</w:t>
      </w:r>
      <w:r>
        <w:rPr>
          <w:rFonts w:eastAsia="Times New Roman"/>
          <w:color w:val="auto"/>
          <w:szCs w:val="24"/>
          <w:lang w:eastAsia="en-GB"/>
        </w:rPr>
        <w:t xml:space="preserve"> </w:t>
      </w:r>
    </w:p>
    <w:p w14:paraId="76E78EE0"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Coulter, A. and Oldham, J. (2016). Person-centred care: What Is It and How Do We Get there? </w:t>
      </w:r>
      <w:r w:rsidRPr="005A4482">
        <w:rPr>
          <w:rFonts w:eastAsia="Times New Roman"/>
          <w:i/>
          <w:iCs/>
          <w:color w:val="auto"/>
          <w:szCs w:val="24"/>
          <w:lang w:eastAsia="en-GB"/>
        </w:rPr>
        <w:t>Future Hospital Journal</w:t>
      </w:r>
      <w:r w:rsidRPr="005A4482">
        <w:rPr>
          <w:rFonts w:eastAsia="Times New Roman"/>
          <w:color w:val="auto"/>
          <w:szCs w:val="24"/>
          <w:lang w:eastAsia="en-GB"/>
        </w:rPr>
        <w:t>, [online] 3(2), pp.114–116. doi:</w:t>
      </w:r>
      <w:r>
        <w:rPr>
          <w:rFonts w:eastAsia="Times New Roman"/>
          <w:color w:val="auto"/>
          <w:szCs w:val="24"/>
          <w:lang w:eastAsia="en-GB"/>
        </w:rPr>
        <w:t xml:space="preserve"> </w:t>
      </w:r>
      <w:hyperlink r:id="rId13" w:history="1">
        <w:r w:rsidRPr="00D7029A">
          <w:rPr>
            <w:rStyle w:val="Hyperlink"/>
            <w:rFonts w:eastAsia="Times New Roman"/>
            <w:szCs w:val="24"/>
            <w:lang w:eastAsia="en-GB"/>
          </w:rPr>
          <w:t>https://doi.org/10.7861/futurehosp.3-2-114</w:t>
        </w:r>
      </w:hyperlink>
      <w:r w:rsidRPr="005A4482">
        <w:rPr>
          <w:rFonts w:eastAsia="Times New Roman"/>
          <w:color w:val="auto"/>
          <w:szCs w:val="24"/>
          <w:lang w:eastAsia="en-GB"/>
        </w:rPr>
        <w:t>.</w:t>
      </w:r>
      <w:r>
        <w:rPr>
          <w:rFonts w:eastAsia="Times New Roman"/>
          <w:color w:val="auto"/>
          <w:szCs w:val="24"/>
          <w:lang w:eastAsia="en-GB"/>
        </w:rPr>
        <w:t xml:space="preserve"> </w:t>
      </w:r>
    </w:p>
    <w:p w14:paraId="2C612FAC"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CQC (2025). </w:t>
      </w:r>
      <w:r w:rsidRPr="005A4482">
        <w:rPr>
          <w:rFonts w:eastAsia="Times New Roman"/>
          <w:i/>
          <w:iCs/>
          <w:color w:val="auto"/>
          <w:szCs w:val="24"/>
          <w:lang w:eastAsia="en-GB"/>
        </w:rPr>
        <w:t>Partnerships and communities - Care Quality Commission</w:t>
      </w:r>
      <w:r w:rsidRPr="005A4482">
        <w:rPr>
          <w:rFonts w:eastAsia="Times New Roman"/>
          <w:color w:val="auto"/>
          <w:szCs w:val="24"/>
          <w:lang w:eastAsia="en-GB"/>
        </w:rPr>
        <w:t xml:space="preserve">. [online] Cqc.org.uk. Available at: </w:t>
      </w:r>
      <w:hyperlink r:id="rId14" w:history="1">
        <w:r w:rsidRPr="00D7029A">
          <w:rPr>
            <w:rStyle w:val="Hyperlink"/>
            <w:rFonts w:eastAsia="Times New Roman"/>
            <w:szCs w:val="24"/>
            <w:lang w:eastAsia="en-GB"/>
          </w:rPr>
          <w:t>https://www.cqc.org.uk/guidance-regulation/local-authorities/assessment-framework/theme2/partnerships</w:t>
        </w:r>
      </w:hyperlink>
      <w:r w:rsidRPr="005A4482">
        <w:rPr>
          <w:rFonts w:eastAsia="Times New Roman"/>
          <w:color w:val="auto"/>
          <w:szCs w:val="24"/>
          <w:lang w:eastAsia="en-GB"/>
        </w:rPr>
        <w:t>.</w:t>
      </w:r>
      <w:r>
        <w:rPr>
          <w:rFonts w:eastAsia="Times New Roman"/>
          <w:color w:val="auto"/>
          <w:szCs w:val="24"/>
          <w:lang w:eastAsia="en-GB"/>
        </w:rPr>
        <w:t xml:space="preserve"> </w:t>
      </w:r>
    </w:p>
    <w:p w14:paraId="276E9C8C"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Epstein, R.M. and Street, R.L. (2011). The Values and Value of Patient-Centered Care. </w:t>
      </w:r>
      <w:r w:rsidRPr="005A4482">
        <w:rPr>
          <w:rFonts w:eastAsia="Times New Roman"/>
          <w:i/>
          <w:iCs/>
          <w:color w:val="auto"/>
          <w:szCs w:val="24"/>
          <w:lang w:eastAsia="en-GB"/>
        </w:rPr>
        <w:t>The Annals of Family Medicine</w:t>
      </w:r>
      <w:r w:rsidRPr="005A4482">
        <w:rPr>
          <w:rFonts w:eastAsia="Times New Roman"/>
          <w:color w:val="auto"/>
          <w:szCs w:val="24"/>
          <w:lang w:eastAsia="en-GB"/>
        </w:rPr>
        <w:t>, [online] 9(2), pp.100–103. doi:</w:t>
      </w:r>
      <w:r>
        <w:rPr>
          <w:rFonts w:eastAsia="Times New Roman"/>
          <w:color w:val="auto"/>
          <w:szCs w:val="24"/>
          <w:lang w:eastAsia="en-GB"/>
        </w:rPr>
        <w:t xml:space="preserve"> </w:t>
      </w:r>
      <w:hyperlink r:id="rId15" w:history="1">
        <w:r w:rsidRPr="00D7029A">
          <w:rPr>
            <w:rStyle w:val="Hyperlink"/>
            <w:rFonts w:eastAsia="Times New Roman"/>
            <w:szCs w:val="24"/>
            <w:lang w:eastAsia="en-GB"/>
          </w:rPr>
          <w:t>https://doi.org/10.1370/afm.1239</w:t>
        </w:r>
      </w:hyperlink>
      <w:r w:rsidRPr="005A4482">
        <w:rPr>
          <w:rFonts w:eastAsia="Times New Roman"/>
          <w:color w:val="auto"/>
          <w:szCs w:val="24"/>
          <w:lang w:eastAsia="en-GB"/>
        </w:rPr>
        <w:t>.</w:t>
      </w:r>
      <w:r>
        <w:rPr>
          <w:rFonts w:eastAsia="Times New Roman"/>
          <w:color w:val="auto"/>
          <w:szCs w:val="24"/>
          <w:lang w:eastAsia="en-GB"/>
        </w:rPr>
        <w:t xml:space="preserve"> </w:t>
      </w:r>
    </w:p>
    <w:p w14:paraId="59787023"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Health Innovation Network (2016). </w:t>
      </w:r>
      <w:r w:rsidRPr="005A4482">
        <w:rPr>
          <w:rFonts w:eastAsia="Times New Roman"/>
          <w:i/>
          <w:iCs/>
          <w:color w:val="auto"/>
          <w:szCs w:val="24"/>
          <w:lang w:eastAsia="en-GB"/>
        </w:rPr>
        <w:t>What is Person-Centered Care and why is it important?</w:t>
      </w:r>
      <w:r w:rsidRPr="005A4482">
        <w:rPr>
          <w:rFonts w:eastAsia="Times New Roman"/>
          <w:color w:val="auto"/>
          <w:szCs w:val="24"/>
          <w:lang w:eastAsia="en-GB"/>
        </w:rPr>
        <w:t xml:space="preserve"> [online] Health Innovation Network. Available at: </w:t>
      </w:r>
      <w:hyperlink r:id="rId16" w:history="1">
        <w:r w:rsidRPr="00D7029A">
          <w:rPr>
            <w:rStyle w:val="Hyperlink"/>
            <w:rFonts w:eastAsia="Times New Roman"/>
            <w:szCs w:val="24"/>
            <w:lang w:eastAsia="en-GB"/>
          </w:rPr>
          <w:t>https://healthinnovationnetwork.com/report/what-is-person-centered-care-and-why-is-it-important/</w:t>
        </w:r>
      </w:hyperlink>
      <w:r w:rsidRPr="005A4482">
        <w:rPr>
          <w:rFonts w:eastAsia="Times New Roman"/>
          <w:color w:val="auto"/>
          <w:szCs w:val="24"/>
          <w:lang w:eastAsia="en-GB"/>
        </w:rPr>
        <w:t>.</w:t>
      </w:r>
      <w:r>
        <w:rPr>
          <w:rFonts w:eastAsia="Times New Roman"/>
          <w:color w:val="auto"/>
          <w:szCs w:val="24"/>
          <w:lang w:eastAsia="en-GB"/>
        </w:rPr>
        <w:t xml:space="preserve"> </w:t>
      </w:r>
    </w:p>
    <w:p w14:paraId="7C72E147"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1E5A5F">
        <w:rPr>
          <w:rFonts w:eastAsia="Times New Roman"/>
          <w:color w:val="auto"/>
          <w:szCs w:val="24"/>
          <w:lang w:val="it-IT" w:eastAsia="en-GB"/>
        </w:rPr>
        <w:t xml:space="preserve">Kobrai-Abkenar, F., Salimi, S. and Pourghane, P. (2024). </w:t>
      </w:r>
      <w:r w:rsidRPr="005A4482">
        <w:rPr>
          <w:rFonts w:eastAsia="Times New Roman"/>
          <w:color w:val="auto"/>
          <w:szCs w:val="24"/>
          <w:lang w:eastAsia="en-GB"/>
        </w:rPr>
        <w:t xml:space="preserve">‘Interprofessional Collaboration’ among Pharmacists, Physicians, and Nurses: A Hybrid Concept Analysis. </w:t>
      </w:r>
      <w:r w:rsidRPr="005A4482">
        <w:rPr>
          <w:rFonts w:eastAsia="Times New Roman"/>
          <w:i/>
          <w:iCs/>
          <w:color w:val="auto"/>
          <w:szCs w:val="24"/>
          <w:lang w:eastAsia="en-GB"/>
        </w:rPr>
        <w:t>Iranian Journal of Nursing and Midwifery Research</w:t>
      </w:r>
      <w:r w:rsidRPr="005A4482">
        <w:rPr>
          <w:rFonts w:eastAsia="Times New Roman"/>
          <w:color w:val="auto"/>
          <w:szCs w:val="24"/>
          <w:lang w:eastAsia="en-GB"/>
        </w:rPr>
        <w:t>, [online] 29(2), p.238. doi:</w:t>
      </w:r>
      <w:r>
        <w:rPr>
          <w:rFonts w:eastAsia="Times New Roman"/>
          <w:color w:val="auto"/>
          <w:szCs w:val="24"/>
          <w:lang w:eastAsia="en-GB"/>
        </w:rPr>
        <w:t xml:space="preserve"> </w:t>
      </w:r>
      <w:hyperlink r:id="rId17" w:history="1">
        <w:r w:rsidRPr="00D7029A">
          <w:rPr>
            <w:rStyle w:val="Hyperlink"/>
            <w:rFonts w:eastAsia="Times New Roman"/>
            <w:szCs w:val="24"/>
            <w:lang w:eastAsia="en-GB"/>
          </w:rPr>
          <w:t>https://doi.org/10.4103/ijnmr.ijnmr_336_22</w:t>
        </w:r>
      </w:hyperlink>
      <w:r w:rsidRPr="005A4482">
        <w:rPr>
          <w:rFonts w:eastAsia="Times New Roman"/>
          <w:color w:val="auto"/>
          <w:szCs w:val="24"/>
          <w:lang w:eastAsia="en-GB"/>
        </w:rPr>
        <w:t>.</w:t>
      </w:r>
      <w:r>
        <w:rPr>
          <w:rFonts w:eastAsia="Times New Roman"/>
          <w:color w:val="auto"/>
          <w:szCs w:val="24"/>
          <w:lang w:eastAsia="en-GB"/>
        </w:rPr>
        <w:t xml:space="preserve"> </w:t>
      </w:r>
    </w:p>
    <w:p w14:paraId="5E395694"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McCance, T. and McCormack, B. (2025). The person-centred nursing framework: A mid-range theory for nursing practice. </w:t>
      </w:r>
      <w:r w:rsidRPr="005A4482">
        <w:rPr>
          <w:rFonts w:eastAsia="Times New Roman"/>
          <w:i/>
          <w:iCs/>
          <w:color w:val="auto"/>
          <w:szCs w:val="24"/>
          <w:lang w:eastAsia="en-GB"/>
        </w:rPr>
        <w:t>Journal of Research in Nursing</w:t>
      </w:r>
      <w:r w:rsidRPr="005A4482">
        <w:rPr>
          <w:rFonts w:eastAsia="Times New Roman"/>
          <w:color w:val="auto"/>
          <w:szCs w:val="24"/>
          <w:lang w:eastAsia="en-GB"/>
        </w:rPr>
        <w:t>, [online] 30(1), pp.47–60. doi:</w:t>
      </w:r>
      <w:r>
        <w:rPr>
          <w:rFonts w:eastAsia="Times New Roman"/>
          <w:color w:val="auto"/>
          <w:szCs w:val="24"/>
          <w:lang w:eastAsia="en-GB"/>
        </w:rPr>
        <w:t xml:space="preserve"> </w:t>
      </w:r>
      <w:hyperlink r:id="rId18" w:history="1">
        <w:r w:rsidRPr="00D7029A">
          <w:rPr>
            <w:rStyle w:val="Hyperlink"/>
            <w:rFonts w:eastAsia="Times New Roman"/>
            <w:szCs w:val="24"/>
            <w:lang w:eastAsia="en-GB"/>
          </w:rPr>
          <w:t>https://doi.org/10.1177/17449871241281428</w:t>
        </w:r>
      </w:hyperlink>
      <w:r w:rsidRPr="005A4482">
        <w:rPr>
          <w:rFonts w:eastAsia="Times New Roman"/>
          <w:color w:val="auto"/>
          <w:szCs w:val="24"/>
          <w:lang w:eastAsia="en-GB"/>
        </w:rPr>
        <w:t>.</w:t>
      </w:r>
      <w:r>
        <w:rPr>
          <w:rFonts w:eastAsia="Times New Roman"/>
          <w:color w:val="auto"/>
          <w:szCs w:val="24"/>
          <w:lang w:eastAsia="en-GB"/>
        </w:rPr>
        <w:t xml:space="preserve"> </w:t>
      </w:r>
    </w:p>
    <w:p w14:paraId="58BB5A49"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McCormack, B. and McCance, T.V. (2006). Development of a Framework for person-centred Nursing. </w:t>
      </w:r>
      <w:r w:rsidRPr="005A4482">
        <w:rPr>
          <w:rFonts w:eastAsia="Times New Roman"/>
          <w:i/>
          <w:iCs/>
          <w:color w:val="auto"/>
          <w:szCs w:val="24"/>
          <w:lang w:eastAsia="en-GB"/>
        </w:rPr>
        <w:t>Journal of Advanced Nursing</w:t>
      </w:r>
      <w:r w:rsidRPr="005A4482">
        <w:rPr>
          <w:rFonts w:eastAsia="Times New Roman"/>
          <w:color w:val="auto"/>
          <w:szCs w:val="24"/>
          <w:lang w:eastAsia="en-GB"/>
        </w:rPr>
        <w:t>, [online] 56(5), pp.472–479. doi:</w:t>
      </w:r>
      <w:r>
        <w:rPr>
          <w:rFonts w:eastAsia="Times New Roman"/>
          <w:color w:val="auto"/>
          <w:szCs w:val="24"/>
          <w:lang w:eastAsia="en-GB"/>
        </w:rPr>
        <w:t xml:space="preserve"> </w:t>
      </w:r>
      <w:hyperlink r:id="rId19" w:history="1">
        <w:r w:rsidRPr="00D7029A">
          <w:rPr>
            <w:rStyle w:val="Hyperlink"/>
            <w:rFonts w:eastAsia="Times New Roman"/>
            <w:szCs w:val="24"/>
            <w:lang w:eastAsia="en-GB"/>
          </w:rPr>
          <w:t>https://doi.org/10.1111/j.1365-2648.2006.04042.x</w:t>
        </w:r>
      </w:hyperlink>
      <w:r w:rsidRPr="005A4482">
        <w:rPr>
          <w:rFonts w:eastAsia="Times New Roman"/>
          <w:color w:val="auto"/>
          <w:szCs w:val="24"/>
          <w:lang w:eastAsia="en-GB"/>
        </w:rPr>
        <w:t>.</w:t>
      </w:r>
      <w:r>
        <w:rPr>
          <w:rFonts w:eastAsia="Times New Roman"/>
          <w:color w:val="auto"/>
          <w:szCs w:val="24"/>
          <w:lang w:eastAsia="en-GB"/>
        </w:rPr>
        <w:t xml:space="preserve"> </w:t>
      </w:r>
    </w:p>
    <w:p w14:paraId="2683794A"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Meneses-La-Riva, M.E., Fernández-Bedoya, V.H., Suyo-Vega, J.A., Ocupa-Cabrera, H.G., Grijalva-Salazar, R.V. and Ocupa-Meneses, G. di D. (2025). Enhancing Healthcare Efficiency: The Relationship Between Effective Communication and Teamwork Among Nurses in Peru. </w:t>
      </w:r>
      <w:r w:rsidRPr="005A4482">
        <w:rPr>
          <w:rFonts w:eastAsia="Times New Roman"/>
          <w:i/>
          <w:iCs/>
          <w:color w:val="auto"/>
          <w:szCs w:val="24"/>
          <w:lang w:eastAsia="en-GB"/>
        </w:rPr>
        <w:t>Nursing Reports</w:t>
      </w:r>
      <w:r w:rsidRPr="005A4482">
        <w:rPr>
          <w:rFonts w:eastAsia="Times New Roman"/>
          <w:color w:val="auto"/>
          <w:szCs w:val="24"/>
          <w:lang w:eastAsia="en-GB"/>
        </w:rPr>
        <w:t>, [online] 15(2), pp.1–13. doi:</w:t>
      </w:r>
      <w:r>
        <w:rPr>
          <w:rFonts w:eastAsia="Times New Roman"/>
          <w:color w:val="auto"/>
          <w:szCs w:val="24"/>
          <w:lang w:eastAsia="en-GB"/>
        </w:rPr>
        <w:t xml:space="preserve"> </w:t>
      </w:r>
      <w:hyperlink r:id="rId20" w:history="1">
        <w:r w:rsidRPr="00D7029A">
          <w:rPr>
            <w:rStyle w:val="Hyperlink"/>
            <w:rFonts w:eastAsia="Times New Roman"/>
            <w:szCs w:val="24"/>
            <w:lang w:eastAsia="en-GB"/>
          </w:rPr>
          <w:t>https://doi.org/10.3390/nursrep15020059</w:t>
        </w:r>
      </w:hyperlink>
      <w:r w:rsidRPr="005A4482">
        <w:rPr>
          <w:rFonts w:eastAsia="Times New Roman"/>
          <w:color w:val="auto"/>
          <w:szCs w:val="24"/>
          <w:lang w:eastAsia="en-GB"/>
        </w:rPr>
        <w:t>.</w:t>
      </w:r>
      <w:r>
        <w:rPr>
          <w:rFonts w:eastAsia="Times New Roman"/>
          <w:color w:val="auto"/>
          <w:szCs w:val="24"/>
          <w:lang w:eastAsia="en-GB"/>
        </w:rPr>
        <w:t xml:space="preserve"> </w:t>
      </w:r>
    </w:p>
    <w:p w14:paraId="1CD0CC66"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Moore, H., Watson, R., Farnworth, A., Giles, K., Tomson, D. and Thomson, R. (2023). Inclusion of person-centred care in UK postgraduate medical education curricula: Interviews and </w:t>
      </w:r>
      <w:r w:rsidRPr="005A4482">
        <w:rPr>
          <w:rFonts w:eastAsia="Times New Roman"/>
          <w:color w:val="auto"/>
          <w:szCs w:val="24"/>
          <w:lang w:eastAsia="en-GB"/>
        </w:rPr>
        <w:lastRenderedPageBreak/>
        <w:t xml:space="preserve">documentary analysis. </w:t>
      </w:r>
      <w:r w:rsidRPr="005A4482">
        <w:rPr>
          <w:rFonts w:eastAsia="Times New Roman"/>
          <w:i/>
          <w:iCs/>
          <w:color w:val="auto"/>
          <w:szCs w:val="24"/>
          <w:lang w:eastAsia="en-GB"/>
        </w:rPr>
        <w:t>BMC Medical Education</w:t>
      </w:r>
      <w:r w:rsidRPr="005A4482">
        <w:rPr>
          <w:rFonts w:eastAsia="Times New Roman"/>
          <w:color w:val="auto"/>
          <w:szCs w:val="24"/>
          <w:lang w:eastAsia="en-GB"/>
        </w:rPr>
        <w:t>, [online] 23(1). doi:</w:t>
      </w:r>
      <w:r>
        <w:rPr>
          <w:rFonts w:eastAsia="Times New Roman"/>
          <w:color w:val="auto"/>
          <w:szCs w:val="24"/>
          <w:lang w:eastAsia="en-GB"/>
        </w:rPr>
        <w:t xml:space="preserve"> </w:t>
      </w:r>
      <w:hyperlink r:id="rId21" w:history="1">
        <w:r w:rsidRPr="00D7029A">
          <w:rPr>
            <w:rStyle w:val="Hyperlink"/>
            <w:rFonts w:eastAsia="Times New Roman"/>
            <w:szCs w:val="24"/>
            <w:lang w:eastAsia="en-GB"/>
          </w:rPr>
          <w:t>https://doi.org/10.1186/s12909-023-04730-2</w:t>
        </w:r>
      </w:hyperlink>
      <w:r w:rsidRPr="005A4482">
        <w:rPr>
          <w:rFonts w:eastAsia="Times New Roman"/>
          <w:color w:val="auto"/>
          <w:szCs w:val="24"/>
          <w:lang w:eastAsia="en-GB"/>
        </w:rPr>
        <w:t>.</w:t>
      </w:r>
      <w:r>
        <w:rPr>
          <w:rFonts w:eastAsia="Times New Roman"/>
          <w:color w:val="auto"/>
          <w:szCs w:val="24"/>
          <w:lang w:eastAsia="en-GB"/>
        </w:rPr>
        <w:t xml:space="preserve"> </w:t>
      </w:r>
    </w:p>
    <w:p w14:paraId="113E2798"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Morgan, M. (2025). </w:t>
      </w:r>
      <w:r w:rsidRPr="005A4482">
        <w:rPr>
          <w:rFonts w:eastAsia="Times New Roman"/>
          <w:i/>
          <w:iCs/>
          <w:color w:val="auto"/>
          <w:szCs w:val="24"/>
          <w:lang w:eastAsia="en-GB"/>
        </w:rPr>
        <w:t>An overview of the legal and ethical issues in healthcare</w:t>
      </w:r>
      <w:r w:rsidRPr="005A4482">
        <w:rPr>
          <w:rFonts w:eastAsia="Times New Roman"/>
          <w:color w:val="auto"/>
          <w:szCs w:val="24"/>
          <w:lang w:eastAsia="en-GB"/>
        </w:rPr>
        <w:t xml:space="preserve">. [online] Academy for Health &amp; Fitness. Available at: </w:t>
      </w:r>
      <w:hyperlink r:id="rId22" w:history="1">
        <w:r w:rsidRPr="00D7029A">
          <w:rPr>
            <w:rStyle w:val="Hyperlink"/>
            <w:rFonts w:eastAsia="Times New Roman"/>
            <w:szCs w:val="24"/>
            <w:lang w:eastAsia="en-GB"/>
          </w:rPr>
          <w:t>https://uk.hfonline.org/an-overview-of-the-legal-and-ethical-issues-in-healthcare/</w:t>
        </w:r>
      </w:hyperlink>
      <w:r w:rsidRPr="005A4482">
        <w:rPr>
          <w:rFonts w:eastAsia="Times New Roman"/>
          <w:color w:val="auto"/>
          <w:szCs w:val="24"/>
          <w:lang w:eastAsia="en-GB"/>
        </w:rPr>
        <w:t>.</w:t>
      </w:r>
      <w:r>
        <w:rPr>
          <w:rFonts w:eastAsia="Times New Roman"/>
          <w:color w:val="auto"/>
          <w:szCs w:val="24"/>
          <w:lang w:eastAsia="en-GB"/>
        </w:rPr>
        <w:t xml:space="preserve"> </w:t>
      </w:r>
    </w:p>
    <w:p w14:paraId="1881B116"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NHS England (2023). </w:t>
      </w:r>
      <w:r w:rsidRPr="005A4482">
        <w:rPr>
          <w:rFonts w:eastAsia="Times New Roman"/>
          <w:i/>
          <w:iCs/>
          <w:color w:val="auto"/>
          <w:szCs w:val="24"/>
          <w:lang w:eastAsia="en-GB"/>
        </w:rPr>
        <w:t>Working in Partnership with People and communities: Statutory Guidance</w:t>
      </w:r>
      <w:r w:rsidRPr="005A4482">
        <w:rPr>
          <w:rFonts w:eastAsia="Times New Roman"/>
          <w:color w:val="auto"/>
          <w:szCs w:val="24"/>
          <w:lang w:eastAsia="en-GB"/>
        </w:rPr>
        <w:t xml:space="preserve">. [online] NHS England. Available at: </w:t>
      </w:r>
      <w:hyperlink r:id="rId23" w:history="1">
        <w:r w:rsidRPr="00D7029A">
          <w:rPr>
            <w:rStyle w:val="Hyperlink"/>
            <w:rFonts w:eastAsia="Times New Roman"/>
            <w:szCs w:val="24"/>
            <w:lang w:eastAsia="en-GB"/>
          </w:rPr>
          <w:t>https://www.england.nhs.uk/long-read/working-in-partnership-with-people-and-communities-statutory-guidance/</w:t>
        </w:r>
      </w:hyperlink>
      <w:r w:rsidRPr="005A4482">
        <w:rPr>
          <w:rFonts w:eastAsia="Times New Roman"/>
          <w:color w:val="auto"/>
          <w:szCs w:val="24"/>
          <w:lang w:eastAsia="en-GB"/>
        </w:rPr>
        <w:t>.</w:t>
      </w:r>
      <w:r>
        <w:rPr>
          <w:rFonts w:eastAsia="Times New Roman"/>
          <w:color w:val="auto"/>
          <w:szCs w:val="24"/>
          <w:lang w:eastAsia="en-GB"/>
        </w:rPr>
        <w:t xml:space="preserve"> </w:t>
      </w:r>
    </w:p>
    <w:p w14:paraId="42735BAE"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NICE (2015). </w:t>
      </w:r>
      <w:r w:rsidRPr="005A4482">
        <w:rPr>
          <w:rFonts w:eastAsia="Times New Roman"/>
          <w:i/>
          <w:iCs/>
          <w:color w:val="auto"/>
          <w:szCs w:val="24"/>
          <w:lang w:eastAsia="en-GB"/>
        </w:rPr>
        <w:t>Person-centred working | Tools and resources | Home care: delivering personal care and practical support to older people living in their own homes | Guidance | NICE</w:t>
      </w:r>
      <w:r w:rsidRPr="005A4482">
        <w:rPr>
          <w:rFonts w:eastAsia="Times New Roman"/>
          <w:color w:val="auto"/>
          <w:szCs w:val="24"/>
          <w:lang w:eastAsia="en-GB"/>
        </w:rPr>
        <w:t xml:space="preserve">. [online] www.nice.org.uk. Available at: </w:t>
      </w:r>
      <w:hyperlink r:id="rId24" w:history="1">
        <w:r w:rsidRPr="00D7029A">
          <w:rPr>
            <w:rStyle w:val="Hyperlink"/>
            <w:rFonts w:eastAsia="Times New Roman"/>
            <w:szCs w:val="24"/>
            <w:lang w:eastAsia="en-GB"/>
          </w:rPr>
          <w:t>https://www.nice.org.uk/guidance/ng21/resources/tailored-resource-2433814097/chapter/Person-centred-working</w:t>
        </w:r>
      </w:hyperlink>
      <w:r w:rsidRPr="005A4482">
        <w:rPr>
          <w:rFonts w:eastAsia="Times New Roman"/>
          <w:color w:val="auto"/>
          <w:szCs w:val="24"/>
          <w:lang w:eastAsia="en-GB"/>
        </w:rPr>
        <w:t>.</w:t>
      </w:r>
      <w:r>
        <w:rPr>
          <w:rFonts w:eastAsia="Times New Roman"/>
          <w:color w:val="auto"/>
          <w:szCs w:val="24"/>
          <w:lang w:eastAsia="en-GB"/>
        </w:rPr>
        <w:t xml:space="preserve"> </w:t>
      </w:r>
    </w:p>
    <w:p w14:paraId="5E90EF03"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Santana, M.J., Manalili, K., Jolley, R.J., Zelinsky, S., Quan, H. and Lu, M. (2018). How to practice person-centred care: A conceptual framework. </w:t>
      </w:r>
      <w:r w:rsidRPr="005A4482">
        <w:rPr>
          <w:rFonts w:eastAsia="Times New Roman"/>
          <w:i/>
          <w:iCs/>
          <w:color w:val="auto"/>
          <w:szCs w:val="24"/>
          <w:lang w:eastAsia="en-GB"/>
        </w:rPr>
        <w:t>Health Expectations</w:t>
      </w:r>
      <w:r w:rsidRPr="005A4482">
        <w:rPr>
          <w:rFonts w:eastAsia="Times New Roman"/>
          <w:color w:val="auto"/>
          <w:szCs w:val="24"/>
          <w:lang w:eastAsia="en-GB"/>
        </w:rPr>
        <w:t>, [online] 21(2), pp.429–440. doi:</w:t>
      </w:r>
      <w:r>
        <w:rPr>
          <w:rFonts w:eastAsia="Times New Roman"/>
          <w:color w:val="auto"/>
          <w:szCs w:val="24"/>
          <w:lang w:eastAsia="en-GB"/>
        </w:rPr>
        <w:t xml:space="preserve"> </w:t>
      </w:r>
      <w:hyperlink r:id="rId25" w:history="1">
        <w:r w:rsidRPr="00D7029A">
          <w:rPr>
            <w:rStyle w:val="Hyperlink"/>
            <w:rFonts w:eastAsia="Times New Roman"/>
            <w:szCs w:val="24"/>
            <w:lang w:eastAsia="en-GB"/>
          </w:rPr>
          <w:t>https://doi.org/10.1111/hex.12640</w:t>
        </w:r>
      </w:hyperlink>
      <w:r w:rsidRPr="005A4482">
        <w:rPr>
          <w:rFonts w:eastAsia="Times New Roman"/>
          <w:color w:val="auto"/>
          <w:szCs w:val="24"/>
          <w:lang w:eastAsia="en-GB"/>
        </w:rPr>
        <w:t>.</w:t>
      </w:r>
      <w:r>
        <w:rPr>
          <w:rFonts w:eastAsia="Times New Roman"/>
          <w:color w:val="auto"/>
          <w:szCs w:val="24"/>
          <w:lang w:eastAsia="en-GB"/>
        </w:rPr>
        <w:t xml:space="preserve"> </w:t>
      </w:r>
    </w:p>
    <w:p w14:paraId="792E26E5"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Turner, N. (2025). </w:t>
      </w:r>
      <w:r w:rsidRPr="005A4482">
        <w:rPr>
          <w:rFonts w:eastAsia="Times New Roman"/>
          <w:i/>
          <w:iCs/>
          <w:color w:val="auto"/>
          <w:szCs w:val="24"/>
          <w:lang w:eastAsia="en-GB"/>
        </w:rPr>
        <w:t>What are the 4 principles of person-centred care?</w:t>
      </w:r>
      <w:r w:rsidRPr="005A4482">
        <w:rPr>
          <w:rFonts w:eastAsia="Times New Roman"/>
          <w:color w:val="auto"/>
          <w:szCs w:val="24"/>
          <w:lang w:eastAsia="en-GB"/>
        </w:rPr>
        <w:t xml:space="preserve"> [online] Academy for Health &amp; Fitness. Available at: </w:t>
      </w:r>
      <w:hyperlink r:id="rId26" w:history="1">
        <w:r w:rsidRPr="00D7029A">
          <w:rPr>
            <w:rStyle w:val="Hyperlink"/>
            <w:rFonts w:eastAsia="Times New Roman"/>
            <w:szCs w:val="24"/>
            <w:lang w:eastAsia="en-GB"/>
          </w:rPr>
          <w:t>https://uk.hfonline.org/what-are-the-4-principles-of-person-centred-care/</w:t>
        </w:r>
      </w:hyperlink>
      <w:r w:rsidRPr="005A4482">
        <w:rPr>
          <w:rFonts w:eastAsia="Times New Roman"/>
          <w:color w:val="auto"/>
          <w:szCs w:val="24"/>
          <w:lang w:eastAsia="en-GB"/>
        </w:rPr>
        <w:t>.</w:t>
      </w:r>
      <w:r>
        <w:rPr>
          <w:rFonts w:eastAsia="Times New Roman"/>
          <w:color w:val="auto"/>
          <w:szCs w:val="24"/>
          <w:lang w:eastAsia="en-GB"/>
        </w:rPr>
        <w:t xml:space="preserve"> </w:t>
      </w:r>
    </w:p>
    <w:p w14:paraId="7A97131A" w14:textId="77777777" w:rsidR="005A4482" w:rsidRPr="005A4482" w:rsidRDefault="005A4482" w:rsidP="005A4482">
      <w:pPr>
        <w:numPr>
          <w:ilvl w:val="0"/>
          <w:numId w:val="1"/>
        </w:numPr>
        <w:suppressAutoHyphens w:val="0"/>
        <w:spacing w:after="240" w:line="240" w:lineRule="auto"/>
        <w:rPr>
          <w:rFonts w:eastAsia="Times New Roman"/>
          <w:color w:val="auto"/>
          <w:szCs w:val="24"/>
          <w:lang w:eastAsia="en-GB"/>
        </w:rPr>
      </w:pPr>
      <w:r w:rsidRPr="005A4482">
        <w:rPr>
          <w:rFonts w:eastAsia="Times New Roman"/>
          <w:color w:val="auto"/>
          <w:szCs w:val="24"/>
          <w:lang w:eastAsia="en-GB"/>
        </w:rPr>
        <w:t xml:space="preserve">UK Government (2019). </w:t>
      </w:r>
      <w:r w:rsidRPr="005A4482">
        <w:rPr>
          <w:rFonts w:eastAsia="Times New Roman"/>
          <w:i/>
          <w:iCs/>
          <w:color w:val="auto"/>
          <w:szCs w:val="24"/>
          <w:lang w:eastAsia="en-GB"/>
        </w:rPr>
        <w:t>Health and Social Care Act 2008</w:t>
      </w:r>
      <w:r w:rsidRPr="005A4482">
        <w:rPr>
          <w:rFonts w:eastAsia="Times New Roman"/>
          <w:color w:val="auto"/>
          <w:szCs w:val="24"/>
          <w:lang w:eastAsia="en-GB"/>
        </w:rPr>
        <w:t xml:space="preserve">. [online] Legislation.gov.uk. Available at: </w:t>
      </w:r>
      <w:hyperlink r:id="rId27" w:history="1">
        <w:r w:rsidRPr="00D7029A">
          <w:rPr>
            <w:rStyle w:val="Hyperlink"/>
            <w:rFonts w:eastAsia="Times New Roman"/>
            <w:szCs w:val="24"/>
            <w:lang w:eastAsia="en-GB"/>
          </w:rPr>
          <w:t>https://www.legislation.gov.uk/id/ukpga/2008/14</w:t>
        </w:r>
      </w:hyperlink>
      <w:r w:rsidRPr="005A4482">
        <w:rPr>
          <w:rFonts w:eastAsia="Times New Roman"/>
          <w:color w:val="auto"/>
          <w:szCs w:val="24"/>
          <w:lang w:eastAsia="en-GB"/>
        </w:rPr>
        <w:t>.</w:t>
      </w:r>
      <w:r>
        <w:rPr>
          <w:rFonts w:eastAsia="Times New Roman"/>
          <w:color w:val="auto"/>
          <w:szCs w:val="24"/>
          <w:lang w:eastAsia="en-GB"/>
        </w:rPr>
        <w:t xml:space="preserve"> </w:t>
      </w:r>
    </w:p>
    <w:p w14:paraId="10C4CCA7" w14:textId="77777777" w:rsidR="005A4482" w:rsidRPr="00090802" w:rsidRDefault="005A4482" w:rsidP="00090802"/>
    <w:sectPr w:rsidR="005A4482" w:rsidRPr="00090802">
      <w:footerReference w:type="default" r:id="rId2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E5F7E" w14:textId="77777777" w:rsidR="00A03586" w:rsidRDefault="00A03586" w:rsidP="00A87747">
      <w:pPr>
        <w:spacing w:line="240" w:lineRule="auto"/>
      </w:pPr>
      <w:r>
        <w:separator/>
      </w:r>
    </w:p>
  </w:endnote>
  <w:endnote w:type="continuationSeparator" w:id="0">
    <w:p w14:paraId="59BBB42D" w14:textId="77777777" w:rsidR="00A03586" w:rsidRDefault="00A03586"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970C4" w14:textId="77777777" w:rsidR="00A87747" w:rsidRDefault="00A87747">
    <w:pPr>
      <w:pStyle w:val="Footer"/>
      <w:jc w:val="center"/>
    </w:pPr>
    <w:r>
      <w:fldChar w:fldCharType="begin"/>
    </w:r>
    <w:r>
      <w:instrText xml:space="preserve"> PAGE   \* MERGEFORMAT </w:instrText>
    </w:r>
    <w:r>
      <w:fldChar w:fldCharType="separate"/>
    </w:r>
    <w:r w:rsidR="00383C35">
      <w:rPr>
        <w:noProof/>
      </w:rPr>
      <w:t>1</w:t>
    </w:r>
    <w:r>
      <w:rPr>
        <w:noProof/>
      </w:rPr>
      <w:fldChar w:fldCharType="end"/>
    </w:r>
  </w:p>
  <w:p w14:paraId="1957F542"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8115F" w14:textId="77777777" w:rsidR="00A03586" w:rsidRDefault="00A03586" w:rsidP="00A87747">
      <w:pPr>
        <w:spacing w:line="240" w:lineRule="auto"/>
      </w:pPr>
      <w:r>
        <w:separator/>
      </w:r>
    </w:p>
  </w:footnote>
  <w:footnote w:type="continuationSeparator" w:id="0">
    <w:p w14:paraId="49032099" w14:textId="77777777" w:rsidR="00A03586" w:rsidRDefault="00A03586"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3279425">
    <w:abstractNumId w:val="0"/>
  </w:num>
  <w:num w:numId="2" w16cid:durableId="947270436">
    <w:abstractNumId w:val="1"/>
  </w:num>
  <w:num w:numId="3" w16cid:durableId="863791633">
    <w:abstractNumId w:val="10"/>
  </w:num>
  <w:num w:numId="4" w16cid:durableId="1588029004">
    <w:abstractNumId w:val="24"/>
  </w:num>
  <w:num w:numId="5" w16cid:durableId="1048384087">
    <w:abstractNumId w:val="9"/>
  </w:num>
  <w:num w:numId="6" w16cid:durableId="1196231643">
    <w:abstractNumId w:val="23"/>
  </w:num>
  <w:num w:numId="7" w16cid:durableId="337583899">
    <w:abstractNumId w:val="27"/>
  </w:num>
  <w:num w:numId="8" w16cid:durableId="181943837">
    <w:abstractNumId w:val="19"/>
  </w:num>
  <w:num w:numId="9" w16cid:durableId="698050294">
    <w:abstractNumId w:val="6"/>
  </w:num>
  <w:num w:numId="10" w16cid:durableId="877162481">
    <w:abstractNumId w:val="16"/>
  </w:num>
  <w:num w:numId="11" w16cid:durableId="811867877">
    <w:abstractNumId w:val="20"/>
  </w:num>
  <w:num w:numId="12" w16cid:durableId="1946813865">
    <w:abstractNumId w:val="11"/>
  </w:num>
  <w:num w:numId="13" w16cid:durableId="1697004168">
    <w:abstractNumId w:val="4"/>
  </w:num>
  <w:num w:numId="14" w16cid:durableId="935094407">
    <w:abstractNumId w:val="17"/>
  </w:num>
  <w:num w:numId="15" w16cid:durableId="1504005549">
    <w:abstractNumId w:val="5"/>
  </w:num>
  <w:num w:numId="16" w16cid:durableId="792946132">
    <w:abstractNumId w:val="22"/>
  </w:num>
  <w:num w:numId="17" w16cid:durableId="1238856017">
    <w:abstractNumId w:val="3"/>
  </w:num>
  <w:num w:numId="18" w16cid:durableId="2144613090">
    <w:abstractNumId w:val="18"/>
  </w:num>
  <w:num w:numId="19" w16cid:durableId="1183471682">
    <w:abstractNumId w:val="2"/>
  </w:num>
  <w:num w:numId="20" w16cid:durableId="868297487">
    <w:abstractNumId w:val="26"/>
  </w:num>
  <w:num w:numId="21" w16cid:durableId="527833615">
    <w:abstractNumId w:val="13"/>
  </w:num>
  <w:num w:numId="22" w16cid:durableId="1636829886">
    <w:abstractNumId w:val="12"/>
  </w:num>
  <w:num w:numId="23" w16cid:durableId="1022559643">
    <w:abstractNumId w:val="25"/>
  </w:num>
  <w:num w:numId="24" w16cid:durableId="1132020063">
    <w:abstractNumId w:val="28"/>
  </w:num>
  <w:num w:numId="25" w16cid:durableId="277109050">
    <w:abstractNumId w:val="7"/>
  </w:num>
  <w:num w:numId="26" w16cid:durableId="1469863644">
    <w:abstractNumId w:val="15"/>
  </w:num>
  <w:num w:numId="27" w16cid:durableId="59596931">
    <w:abstractNumId w:val="14"/>
  </w:num>
  <w:num w:numId="28" w16cid:durableId="1175418760">
    <w:abstractNumId w:val="21"/>
  </w:num>
  <w:num w:numId="29" w16cid:durableId="20684510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NbcwNTM0BXKMLJV0lIJTi4sz8/NACsxrAfOzWGUsAAAA"/>
  </w:docVars>
  <w:rsids>
    <w:rsidRoot w:val="008D09FF"/>
    <w:rsid w:val="000143B4"/>
    <w:rsid w:val="000157F7"/>
    <w:rsid w:val="000169FC"/>
    <w:rsid w:val="00026F62"/>
    <w:rsid w:val="0003210E"/>
    <w:rsid w:val="00033E1E"/>
    <w:rsid w:val="00043DD1"/>
    <w:rsid w:val="00044E03"/>
    <w:rsid w:val="00051B13"/>
    <w:rsid w:val="0005499F"/>
    <w:rsid w:val="00073CCE"/>
    <w:rsid w:val="00077B6D"/>
    <w:rsid w:val="000824D7"/>
    <w:rsid w:val="00090802"/>
    <w:rsid w:val="0009752E"/>
    <w:rsid w:val="000A0300"/>
    <w:rsid w:val="000A2736"/>
    <w:rsid w:val="000A693F"/>
    <w:rsid w:val="000B55F1"/>
    <w:rsid w:val="000B7C25"/>
    <w:rsid w:val="000C54FA"/>
    <w:rsid w:val="000D13F2"/>
    <w:rsid w:val="000D1E89"/>
    <w:rsid w:val="000D5F91"/>
    <w:rsid w:val="000E3657"/>
    <w:rsid w:val="000E5B1D"/>
    <w:rsid w:val="000E7C63"/>
    <w:rsid w:val="000F1FB4"/>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613"/>
    <w:rsid w:val="001B293F"/>
    <w:rsid w:val="001B2B71"/>
    <w:rsid w:val="001B3DA5"/>
    <w:rsid w:val="001C4B30"/>
    <w:rsid w:val="001C6C19"/>
    <w:rsid w:val="001C7C69"/>
    <w:rsid w:val="001D1CAC"/>
    <w:rsid w:val="001D46FF"/>
    <w:rsid w:val="001E5A5F"/>
    <w:rsid w:val="001F2F9D"/>
    <w:rsid w:val="002037AB"/>
    <w:rsid w:val="00203ADA"/>
    <w:rsid w:val="00207BF7"/>
    <w:rsid w:val="0021152B"/>
    <w:rsid w:val="00214B85"/>
    <w:rsid w:val="002157B6"/>
    <w:rsid w:val="00227186"/>
    <w:rsid w:val="00245957"/>
    <w:rsid w:val="00245FD9"/>
    <w:rsid w:val="0024714F"/>
    <w:rsid w:val="00251842"/>
    <w:rsid w:val="00255300"/>
    <w:rsid w:val="00267D0D"/>
    <w:rsid w:val="00273F83"/>
    <w:rsid w:val="00290376"/>
    <w:rsid w:val="002923C2"/>
    <w:rsid w:val="0029461D"/>
    <w:rsid w:val="002A218E"/>
    <w:rsid w:val="002B1C88"/>
    <w:rsid w:val="002B2A1C"/>
    <w:rsid w:val="002B6D16"/>
    <w:rsid w:val="002C58C6"/>
    <w:rsid w:val="002C5976"/>
    <w:rsid w:val="002C5AFE"/>
    <w:rsid w:val="002C5DF6"/>
    <w:rsid w:val="002C7344"/>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83C35"/>
    <w:rsid w:val="00390787"/>
    <w:rsid w:val="003915E6"/>
    <w:rsid w:val="003A21CE"/>
    <w:rsid w:val="003B2223"/>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F23"/>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482"/>
    <w:rsid w:val="005A4881"/>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5F33"/>
    <w:rsid w:val="007130F3"/>
    <w:rsid w:val="00720A6F"/>
    <w:rsid w:val="0072548E"/>
    <w:rsid w:val="00732B9B"/>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0C78"/>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3586"/>
    <w:rsid w:val="00A0522A"/>
    <w:rsid w:val="00A06682"/>
    <w:rsid w:val="00A214DF"/>
    <w:rsid w:val="00A2542B"/>
    <w:rsid w:val="00A31089"/>
    <w:rsid w:val="00A60F2E"/>
    <w:rsid w:val="00A61585"/>
    <w:rsid w:val="00A62491"/>
    <w:rsid w:val="00A630B9"/>
    <w:rsid w:val="00A654E6"/>
    <w:rsid w:val="00A7011E"/>
    <w:rsid w:val="00A70CE1"/>
    <w:rsid w:val="00A73945"/>
    <w:rsid w:val="00A75675"/>
    <w:rsid w:val="00A801A0"/>
    <w:rsid w:val="00A82125"/>
    <w:rsid w:val="00A84DE0"/>
    <w:rsid w:val="00A87747"/>
    <w:rsid w:val="00A90D99"/>
    <w:rsid w:val="00A9411B"/>
    <w:rsid w:val="00A954C7"/>
    <w:rsid w:val="00A97BE1"/>
    <w:rsid w:val="00AA470E"/>
    <w:rsid w:val="00AA6C78"/>
    <w:rsid w:val="00AB326F"/>
    <w:rsid w:val="00AB5583"/>
    <w:rsid w:val="00AB5B5E"/>
    <w:rsid w:val="00AB73A8"/>
    <w:rsid w:val="00AC3A95"/>
    <w:rsid w:val="00AC52A2"/>
    <w:rsid w:val="00AD0E28"/>
    <w:rsid w:val="00AD2CBF"/>
    <w:rsid w:val="00AD2D58"/>
    <w:rsid w:val="00AD58AA"/>
    <w:rsid w:val="00AD7F58"/>
    <w:rsid w:val="00AE455A"/>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2F6C"/>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C3B3A"/>
    <w:rsid w:val="00BD180E"/>
    <w:rsid w:val="00BD411F"/>
    <w:rsid w:val="00BE6EAE"/>
    <w:rsid w:val="00BF4E0E"/>
    <w:rsid w:val="00BF4E4E"/>
    <w:rsid w:val="00BF5CCF"/>
    <w:rsid w:val="00BF6034"/>
    <w:rsid w:val="00C00C12"/>
    <w:rsid w:val="00C106CE"/>
    <w:rsid w:val="00C14BE6"/>
    <w:rsid w:val="00C24BF1"/>
    <w:rsid w:val="00C27E03"/>
    <w:rsid w:val="00C41329"/>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671B"/>
    <w:rsid w:val="00CD2539"/>
    <w:rsid w:val="00CE4E4E"/>
    <w:rsid w:val="00CE5BDB"/>
    <w:rsid w:val="00CF15D8"/>
    <w:rsid w:val="00CF5F42"/>
    <w:rsid w:val="00D20ECD"/>
    <w:rsid w:val="00D2166C"/>
    <w:rsid w:val="00D23569"/>
    <w:rsid w:val="00D30910"/>
    <w:rsid w:val="00D35421"/>
    <w:rsid w:val="00D4151E"/>
    <w:rsid w:val="00D444CD"/>
    <w:rsid w:val="00D50037"/>
    <w:rsid w:val="00D73C7F"/>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14D8A"/>
    <w:rsid w:val="00E27145"/>
    <w:rsid w:val="00E315EE"/>
    <w:rsid w:val="00E37264"/>
    <w:rsid w:val="00E41AB6"/>
    <w:rsid w:val="00E5396E"/>
    <w:rsid w:val="00E61475"/>
    <w:rsid w:val="00E62EF6"/>
    <w:rsid w:val="00E71F36"/>
    <w:rsid w:val="00E811C1"/>
    <w:rsid w:val="00E859FA"/>
    <w:rsid w:val="00E85B3F"/>
    <w:rsid w:val="00E86833"/>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831"/>
    <w:rsid w:val="00F320B3"/>
    <w:rsid w:val="00F35020"/>
    <w:rsid w:val="00F42555"/>
    <w:rsid w:val="00F52B0E"/>
    <w:rsid w:val="00F71CCB"/>
    <w:rsid w:val="00F86B46"/>
    <w:rsid w:val="00FA1905"/>
    <w:rsid w:val="00FA3835"/>
    <w:rsid w:val="00FB012C"/>
    <w:rsid w:val="00FB44DD"/>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261EE7"/>
  <w15:chartTrackingRefBased/>
  <w15:docId w15:val="{D80BBE14-B1EA-4DD4-B739-69177E27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84302119">
      <w:bodyDiv w:val="1"/>
      <w:marLeft w:val="0"/>
      <w:marRight w:val="0"/>
      <w:marTop w:val="0"/>
      <w:marBottom w:val="0"/>
      <w:divBdr>
        <w:top w:val="none" w:sz="0" w:space="0" w:color="auto"/>
        <w:left w:val="none" w:sz="0" w:space="0" w:color="auto"/>
        <w:bottom w:val="none" w:sz="0" w:space="0" w:color="auto"/>
        <w:right w:val="none" w:sz="0" w:space="0" w:color="auto"/>
      </w:divBdr>
      <w:divsChild>
        <w:div w:id="477572966">
          <w:marLeft w:val="0"/>
          <w:marRight w:val="0"/>
          <w:marTop w:val="0"/>
          <w:marBottom w:val="0"/>
          <w:divBdr>
            <w:top w:val="none" w:sz="0" w:space="0" w:color="auto"/>
            <w:left w:val="none" w:sz="0" w:space="0" w:color="auto"/>
            <w:bottom w:val="none" w:sz="0" w:space="0" w:color="auto"/>
            <w:right w:val="none" w:sz="0" w:space="0" w:color="auto"/>
          </w:divBdr>
          <w:divsChild>
            <w:div w:id="1581253132">
              <w:marLeft w:val="0"/>
              <w:marRight w:val="0"/>
              <w:marTop w:val="0"/>
              <w:marBottom w:val="0"/>
              <w:divBdr>
                <w:top w:val="none" w:sz="0" w:space="0" w:color="auto"/>
                <w:left w:val="none" w:sz="0" w:space="0" w:color="auto"/>
                <w:bottom w:val="none" w:sz="0" w:space="0" w:color="auto"/>
                <w:right w:val="none" w:sz="0" w:space="0" w:color="auto"/>
              </w:divBdr>
              <w:divsChild>
                <w:div w:id="646401542">
                  <w:marLeft w:val="0"/>
                  <w:marRight w:val="0"/>
                  <w:marTop w:val="0"/>
                  <w:marBottom w:val="0"/>
                  <w:divBdr>
                    <w:top w:val="none" w:sz="0" w:space="0" w:color="auto"/>
                    <w:left w:val="none" w:sz="0" w:space="0" w:color="auto"/>
                    <w:bottom w:val="none" w:sz="0" w:space="0" w:color="auto"/>
                    <w:right w:val="none" w:sz="0" w:space="0" w:color="auto"/>
                  </w:divBdr>
                  <w:divsChild>
                    <w:div w:id="2103525852">
                      <w:marLeft w:val="0"/>
                      <w:marRight w:val="0"/>
                      <w:marTop w:val="0"/>
                      <w:marBottom w:val="0"/>
                      <w:divBdr>
                        <w:top w:val="none" w:sz="0" w:space="0" w:color="auto"/>
                        <w:left w:val="none" w:sz="0" w:space="0" w:color="auto"/>
                        <w:bottom w:val="none" w:sz="0" w:space="0" w:color="auto"/>
                        <w:right w:val="none" w:sz="0" w:space="0" w:color="auto"/>
                      </w:divBdr>
                      <w:divsChild>
                        <w:div w:id="1308784051">
                          <w:marLeft w:val="0"/>
                          <w:marRight w:val="0"/>
                          <w:marTop w:val="0"/>
                          <w:marBottom w:val="0"/>
                          <w:divBdr>
                            <w:top w:val="none" w:sz="0" w:space="0" w:color="auto"/>
                            <w:left w:val="none" w:sz="0" w:space="0" w:color="auto"/>
                            <w:bottom w:val="none" w:sz="0" w:space="0" w:color="auto"/>
                            <w:right w:val="none" w:sz="0" w:space="0" w:color="auto"/>
                          </w:divBdr>
                          <w:divsChild>
                            <w:div w:id="539976506">
                              <w:marLeft w:val="0"/>
                              <w:marRight w:val="0"/>
                              <w:marTop w:val="0"/>
                              <w:marBottom w:val="0"/>
                              <w:divBdr>
                                <w:top w:val="none" w:sz="0" w:space="0" w:color="auto"/>
                                <w:left w:val="none" w:sz="0" w:space="0" w:color="auto"/>
                                <w:bottom w:val="none" w:sz="0" w:space="0" w:color="auto"/>
                                <w:right w:val="none" w:sz="0" w:space="0" w:color="auto"/>
                              </w:divBdr>
                              <w:divsChild>
                                <w:div w:id="24912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8147731">
      <w:bodyDiv w:val="1"/>
      <w:marLeft w:val="0"/>
      <w:marRight w:val="0"/>
      <w:marTop w:val="0"/>
      <w:marBottom w:val="0"/>
      <w:divBdr>
        <w:top w:val="none" w:sz="0" w:space="0" w:color="auto"/>
        <w:left w:val="none" w:sz="0" w:space="0" w:color="auto"/>
        <w:bottom w:val="none" w:sz="0" w:space="0" w:color="auto"/>
        <w:right w:val="none" w:sz="0" w:space="0" w:color="auto"/>
      </w:divBdr>
      <w:divsChild>
        <w:div w:id="798376809">
          <w:marLeft w:val="0"/>
          <w:marRight w:val="0"/>
          <w:marTop w:val="0"/>
          <w:marBottom w:val="0"/>
          <w:divBdr>
            <w:top w:val="none" w:sz="0" w:space="0" w:color="auto"/>
            <w:left w:val="none" w:sz="0" w:space="0" w:color="auto"/>
            <w:bottom w:val="none" w:sz="0" w:space="0" w:color="auto"/>
            <w:right w:val="none" w:sz="0" w:space="0" w:color="auto"/>
          </w:divBdr>
        </w:div>
      </w:divsChild>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7861/futurehosp.3-2-114" TargetMode="External"/><Relationship Id="rId18" Type="http://schemas.openxmlformats.org/officeDocument/2006/relationships/hyperlink" Target="https://doi.org/10.1177/17449871241281428" TargetMode="External"/><Relationship Id="rId26" Type="http://schemas.openxmlformats.org/officeDocument/2006/relationships/hyperlink" Target="https://uk.hfonline.org/what-are-the-4-principles-of-person-centred-care/" TargetMode="External"/><Relationship Id="rId3" Type="http://schemas.openxmlformats.org/officeDocument/2006/relationships/customXml" Target="../customXml/item3.xml"/><Relationship Id="rId21" Type="http://schemas.openxmlformats.org/officeDocument/2006/relationships/hyperlink" Target="https://doi.org/10.1186/s12909-023-04730-2" TargetMode="External"/><Relationship Id="rId7" Type="http://schemas.openxmlformats.org/officeDocument/2006/relationships/settings" Target="settings.xml"/><Relationship Id="rId12" Type="http://schemas.openxmlformats.org/officeDocument/2006/relationships/hyperlink" Target="https://www.cqc.org.uk/guidance-regulation/providers/regulations-service-providers-and-managers/health-social-care-act/regulation-9" TargetMode="External"/><Relationship Id="rId17" Type="http://schemas.openxmlformats.org/officeDocument/2006/relationships/hyperlink" Target="https://doi.org/10.4103/ijnmr.ijnmr_336_22" TargetMode="External"/><Relationship Id="rId25" Type="http://schemas.openxmlformats.org/officeDocument/2006/relationships/hyperlink" Target="https://doi.org/10.1111/hex.12640" TargetMode="External"/><Relationship Id="rId2" Type="http://schemas.openxmlformats.org/officeDocument/2006/relationships/customXml" Target="../customXml/item2.xml"/><Relationship Id="rId16" Type="http://schemas.openxmlformats.org/officeDocument/2006/relationships/hyperlink" Target="https://healthinnovationnetwork.com/report/what-is-person-centered-care-and-why-is-it-important/" TargetMode="External"/><Relationship Id="rId20" Type="http://schemas.openxmlformats.org/officeDocument/2006/relationships/hyperlink" Target="https://doi.org/10.3390/nursrep1502005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14/23/contents" TargetMode="External"/><Relationship Id="rId24" Type="http://schemas.openxmlformats.org/officeDocument/2006/relationships/hyperlink" Target="https://www.nice.org.uk/guidance/ng21/resources/tailored-resource-2433814097/chapter/Person-centred-working" TargetMode="External"/><Relationship Id="rId5" Type="http://schemas.openxmlformats.org/officeDocument/2006/relationships/numbering" Target="numbering.xml"/><Relationship Id="rId15" Type="http://schemas.openxmlformats.org/officeDocument/2006/relationships/hyperlink" Target="https://doi.org/10.1370/afm.1239" TargetMode="External"/><Relationship Id="rId23" Type="http://schemas.openxmlformats.org/officeDocument/2006/relationships/hyperlink" Target="https://www.england.nhs.uk/long-read/working-in-partnership-with-people-and-communities-statutory-guidanc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111/j.1365-2648.2006.04042.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qc.org.uk/guidance-regulation/local-authorities/assessment-framework/theme2/partnerships" TargetMode="External"/><Relationship Id="rId22" Type="http://schemas.openxmlformats.org/officeDocument/2006/relationships/hyperlink" Target="https://uk.hfonline.org/an-overview-of-the-legal-and-ethical-issues-in-healthcare/" TargetMode="External"/><Relationship Id="rId27" Type="http://schemas.openxmlformats.org/officeDocument/2006/relationships/hyperlink" Target="https://www.legislation.gov.uk/id/ukpga/2008/1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6" ma:contentTypeDescription="Create a new document." ma:contentTypeScope="" ma:versionID="eb3fdbadfecb7132f60cdc100b940351">
  <xsd:schema xmlns:xsd="http://www.w3.org/2001/XMLSchema" xmlns:xs="http://www.w3.org/2001/XMLSchema" xmlns:p="http://schemas.microsoft.com/office/2006/metadata/properties" xmlns:ns3="ad7316b1-23f1-480c-8fa6-cbf037f4db9c" targetNamespace="http://schemas.microsoft.com/office/2006/metadata/properties" ma:root="true" ma:fieldsID="fecd5b0f0352ae3875e8c92a39b7bbf3"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4CECAF-06E7-45E4-B40F-69E91AD61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071E99-FBAC-401E-8120-502FC4D447F5}">
  <ds:schemaRefs>
    <ds:schemaRef ds:uri="http://schemas.openxmlformats.org/officeDocument/2006/bibliography"/>
  </ds:schemaRefs>
</ds:datastoreItem>
</file>

<file path=customXml/itemProps3.xml><?xml version="1.0" encoding="utf-8"?>
<ds:datastoreItem xmlns:ds="http://schemas.openxmlformats.org/officeDocument/2006/customXml" ds:itemID="{37240828-EF88-4767-9919-A85922A69766}">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D7EF4C87-E0C1-4697-B714-6E9E3ADBF7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2914</Words>
  <Characters>17196</Characters>
  <Application>Microsoft Office Word</Application>
  <DocSecurity>0</DocSecurity>
  <Lines>312</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20058</CharactersWithSpaces>
  <SharedDoc>false</SharedDoc>
  <HLinks>
    <vt:vector size="102" baseType="variant">
      <vt:variant>
        <vt:i4>7012408</vt:i4>
      </vt:variant>
      <vt:variant>
        <vt:i4>78</vt:i4>
      </vt:variant>
      <vt:variant>
        <vt:i4>0</vt:i4>
      </vt:variant>
      <vt:variant>
        <vt:i4>5</vt:i4>
      </vt:variant>
      <vt:variant>
        <vt:lpwstr>https://www.legislation.gov.uk/id/ukpga/2008/14</vt:lpwstr>
      </vt:variant>
      <vt:variant>
        <vt:lpwstr/>
      </vt:variant>
      <vt:variant>
        <vt:i4>524353</vt:i4>
      </vt:variant>
      <vt:variant>
        <vt:i4>75</vt:i4>
      </vt:variant>
      <vt:variant>
        <vt:i4>0</vt:i4>
      </vt:variant>
      <vt:variant>
        <vt:i4>5</vt:i4>
      </vt:variant>
      <vt:variant>
        <vt:lpwstr>https://uk.hfonline.org/what-are-the-4-principles-of-person-centred-care/</vt:lpwstr>
      </vt:variant>
      <vt:variant>
        <vt:lpwstr/>
      </vt:variant>
      <vt:variant>
        <vt:i4>6225997</vt:i4>
      </vt:variant>
      <vt:variant>
        <vt:i4>72</vt:i4>
      </vt:variant>
      <vt:variant>
        <vt:i4>0</vt:i4>
      </vt:variant>
      <vt:variant>
        <vt:i4>5</vt:i4>
      </vt:variant>
      <vt:variant>
        <vt:lpwstr>https://doi.org/10.1111/hex.12640</vt:lpwstr>
      </vt:variant>
      <vt:variant>
        <vt:lpwstr/>
      </vt:variant>
      <vt:variant>
        <vt:i4>2752548</vt:i4>
      </vt:variant>
      <vt:variant>
        <vt:i4>69</vt:i4>
      </vt:variant>
      <vt:variant>
        <vt:i4>0</vt:i4>
      </vt:variant>
      <vt:variant>
        <vt:i4>5</vt:i4>
      </vt:variant>
      <vt:variant>
        <vt:lpwstr>https://www.nice.org.uk/guidance/ng21/resources/tailored-resource-2433814097/chapter/Person-centred-working</vt:lpwstr>
      </vt:variant>
      <vt:variant>
        <vt:lpwstr/>
      </vt:variant>
      <vt:variant>
        <vt:i4>8126517</vt:i4>
      </vt:variant>
      <vt:variant>
        <vt:i4>66</vt:i4>
      </vt:variant>
      <vt:variant>
        <vt:i4>0</vt:i4>
      </vt:variant>
      <vt:variant>
        <vt:i4>5</vt:i4>
      </vt:variant>
      <vt:variant>
        <vt:lpwstr>https://www.england.nhs.uk/long-read/working-in-partnership-with-people-and-communities-statutory-guidance/</vt:lpwstr>
      </vt:variant>
      <vt:variant>
        <vt:lpwstr/>
      </vt:variant>
      <vt:variant>
        <vt:i4>4063273</vt:i4>
      </vt:variant>
      <vt:variant>
        <vt:i4>63</vt:i4>
      </vt:variant>
      <vt:variant>
        <vt:i4>0</vt:i4>
      </vt:variant>
      <vt:variant>
        <vt:i4>5</vt:i4>
      </vt:variant>
      <vt:variant>
        <vt:lpwstr>https://uk.hfonline.org/an-overview-of-the-legal-and-ethical-issues-in-healthcare/</vt:lpwstr>
      </vt:variant>
      <vt:variant>
        <vt:lpwstr/>
      </vt:variant>
      <vt:variant>
        <vt:i4>2883636</vt:i4>
      </vt:variant>
      <vt:variant>
        <vt:i4>60</vt:i4>
      </vt:variant>
      <vt:variant>
        <vt:i4>0</vt:i4>
      </vt:variant>
      <vt:variant>
        <vt:i4>5</vt:i4>
      </vt:variant>
      <vt:variant>
        <vt:lpwstr>https://doi.org/10.1186/s12909-023-04730-2</vt:lpwstr>
      </vt:variant>
      <vt:variant>
        <vt:lpwstr/>
      </vt:variant>
      <vt:variant>
        <vt:i4>8323184</vt:i4>
      </vt:variant>
      <vt:variant>
        <vt:i4>57</vt:i4>
      </vt:variant>
      <vt:variant>
        <vt:i4>0</vt:i4>
      </vt:variant>
      <vt:variant>
        <vt:i4>5</vt:i4>
      </vt:variant>
      <vt:variant>
        <vt:lpwstr>https://doi.org/10.3390/nursrep15020059</vt:lpwstr>
      </vt:variant>
      <vt:variant>
        <vt:lpwstr/>
      </vt:variant>
      <vt:variant>
        <vt:i4>6160406</vt:i4>
      </vt:variant>
      <vt:variant>
        <vt:i4>54</vt:i4>
      </vt:variant>
      <vt:variant>
        <vt:i4>0</vt:i4>
      </vt:variant>
      <vt:variant>
        <vt:i4>5</vt:i4>
      </vt:variant>
      <vt:variant>
        <vt:lpwstr>https://doi.org/10.1111/j.1365-2648.2006.04042.x</vt:lpwstr>
      </vt:variant>
      <vt:variant>
        <vt:lpwstr/>
      </vt:variant>
      <vt:variant>
        <vt:i4>1769560</vt:i4>
      </vt:variant>
      <vt:variant>
        <vt:i4>51</vt:i4>
      </vt:variant>
      <vt:variant>
        <vt:i4>0</vt:i4>
      </vt:variant>
      <vt:variant>
        <vt:i4>5</vt:i4>
      </vt:variant>
      <vt:variant>
        <vt:lpwstr>https://doi.org/10.1177/17449871241281428</vt:lpwstr>
      </vt:variant>
      <vt:variant>
        <vt:lpwstr/>
      </vt:variant>
      <vt:variant>
        <vt:i4>3735663</vt:i4>
      </vt:variant>
      <vt:variant>
        <vt:i4>48</vt:i4>
      </vt:variant>
      <vt:variant>
        <vt:i4>0</vt:i4>
      </vt:variant>
      <vt:variant>
        <vt:i4>5</vt:i4>
      </vt:variant>
      <vt:variant>
        <vt:lpwstr>https://doi.org/10.4103/ijnmr.ijnmr_336_22</vt:lpwstr>
      </vt:variant>
      <vt:variant>
        <vt:lpwstr/>
      </vt:variant>
      <vt:variant>
        <vt:i4>5374041</vt:i4>
      </vt:variant>
      <vt:variant>
        <vt:i4>45</vt:i4>
      </vt:variant>
      <vt:variant>
        <vt:i4>0</vt:i4>
      </vt:variant>
      <vt:variant>
        <vt:i4>5</vt:i4>
      </vt:variant>
      <vt:variant>
        <vt:lpwstr>https://healthinnovationnetwork.com/report/what-is-person-centered-care-and-why-is-it-important/</vt:lpwstr>
      </vt:variant>
      <vt:variant>
        <vt:lpwstr/>
      </vt:variant>
      <vt:variant>
        <vt:i4>5701719</vt:i4>
      </vt:variant>
      <vt:variant>
        <vt:i4>42</vt:i4>
      </vt:variant>
      <vt:variant>
        <vt:i4>0</vt:i4>
      </vt:variant>
      <vt:variant>
        <vt:i4>5</vt:i4>
      </vt:variant>
      <vt:variant>
        <vt:lpwstr>https://doi.org/10.1370/afm.1239</vt:lpwstr>
      </vt:variant>
      <vt:variant>
        <vt:lpwstr/>
      </vt:variant>
      <vt:variant>
        <vt:i4>5636116</vt:i4>
      </vt:variant>
      <vt:variant>
        <vt:i4>39</vt:i4>
      </vt:variant>
      <vt:variant>
        <vt:i4>0</vt:i4>
      </vt:variant>
      <vt:variant>
        <vt:i4>5</vt:i4>
      </vt:variant>
      <vt:variant>
        <vt:lpwstr>https://www.cqc.org.uk/guidance-regulation/local-authorities/assessment-framework/theme2/partnerships</vt:lpwstr>
      </vt:variant>
      <vt:variant>
        <vt:lpwstr/>
      </vt:variant>
      <vt:variant>
        <vt:i4>7143479</vt:i4>
      </vt:variant>
      <vt:variant>
        <vt:i4>36</vt:i4>
      </vt:variant>
      <vt:variant>
        <vt:i4>0</vt:i4>
      </vt:variant>
      <vt:variant>
        <vt:i4>5</vt:i4>
      </vt:variant>
      <vt:variant>
        <vt:lpwstr>https://doi.org/10.7861/futurehosp.3-2-114</vt:lpwstr>
      </vt:variant>
      <vt:variant>
        <vt:lpwstr/>
      </vt:variant>
      <vt:variant>
        <vt:i4>3407912</vt:i4>
      </vt:variant>
      <vt:variant>
        <vt:i4>33</vt:i4>
      </vt:variant>
      <vt:variant>
        <vt:i4>0</vt:i4>
      </vt:variant>
      <vt:variant>
        <vt:i4>5</vt:i4>
      </vt:variant>
      <vt:variant>
        <vt:lpwstr>https://www.cqc.org.uk/guidance-regulation/providers/regulations-service-providers-and-managers/health-social-care-act/regulation-9</vt:lpwstr>
      </vt:variant>
      <vt:variant>
        <vt:lpwstr/>
      </vt:variant>
      <vt:variant>
        <vt:i4>5242970</vt:i4>
      </vt:variant>
      <vt:variant>
        <vt:i4>30</vt:i4>
      </vt:variant>
      <vt:variant>
        <vt:i4>0</vt:i4>
      </vt:variant>
      <vt:variant>
        <vt:i4>5</vt:i4>
      </vt:variant>
      <vt:variant>
        <vt:lpwstr>https://www.legislation.gov.uk/ukpga/2014/23/contents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Ileana Cristina Marin (2314523)</cp:lastModifiedBy>
  <cp:revision>2</cp:revision>
  <cp:lastPrinted>1900-01-01T00:00:00Z</cp:lastPrinted>
  <dcterms:created xsi:type="dcterms:W3CDTF">2026-03-29T10:12:00Z</dcterms:created>
  <dcterms:modified xsi:type="dcterms:W3CDTF">2026-03-29T10:12:00Z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8ab11be3-c10c-4cff-9f92-50b4b1bbce87</vt:lpwstr>
  </property>
  <property fmtid="{D5CDD505-2E9C-101B-9397-08002B2CF9AE}" pid="3" name="ContentTypeId">
    <vt:lpwstr>0x01010096C48B67E562FF45ADD1FE43E2BC7706</vt:lpwstr>
  </property>
</Properties>
</file>