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872AD" w14:textId="249DB922" w:rsidR="000D5F94" w:rsidRPr="00117899" w:rsidRDefault="000D5F94" w:rsidP="00707CE9">
      <w:pPr>
        <w:spacing w:after="0" w:line="360" w:lineRule="auto"/>
        <w:rPr>
          <w:rFonts w:cs="Times New Roman"/>
          <w:szCs w:val="24"/>
        </w:rPr>
      </w:pPr>
    </w:p>
    <w:p w14:paraId="53FB133E" w14:textId="61CBF3C3" w:rsidR="00117899" w:rsidRPr="00117899" w:rsidRDefault="00117899" w:rsidP="00117899">
      <w:pPr>
        <w:spacing w:after="0" w:line="360" w:lineRule="auto"/>
        <w:jc w:val="center"/>
        <w:rPr>
          <w:rFonts w:cs="Times New Roman"/>
          <w:szCs w:val="24"/>
        </w:rPr>
      </w:pPr>
      <w:r w:rsidRPr="00117899">
        <w:rPr>
          <w:rFonts w:cs="Times New Roman"/>
          <w:szCs w:val="24"/>
        </w:rPr>
        <w:t>Student</w:t>
      </w:r>
      <w:r w:rsidRPr="00117899">
        <w:rPr>
          <w:rFonts w:cs="Times New Roman"/>
          <w:szCs w:val="24"/>
        </w:rPr>
        <w:t xml:space="preserve"> name: Dabir Ahmed</w:t>
      </w:r>
    </w:p>
    <w:p w14:paraId="68535D93" w14:textId="05366B74" w:rsidR="00117899" w:rsidRPr="00117899" w:rsidRDefault="00117899" w:rsidP="00117899">
      <w:pPr>
        <w:spacing w:after="0" w:line="360" w:lineRule="auto"/>
        <w:jc w:val="center"/>
        <w:rPr>
          <w:rFonts w:cs="Times New Roman"/>
          <w:szCs w:val="24"/>
        </w:rPr>
      </w:pPr>
      <w:r w:rsidRPr="00117899">
        <w:rPr>
          <w:rFonts w:cs="Times New Roman"/>
          <w:szCs w:val="24"/>
        </w:rPr>
        <w:t>Student Number: 2213340</w:t>
      </w:r>
    </w:p>
    <w:p w14:paraId="26D40F4E" w14:textId="50AE947A" w:rsidR="00117899" w:rsidRDefault="00117899" w:rsidP="00117899">
      <w:pPr>
        <w:spacing w:before="120" w:after="120"/>
        <w:jc w:val="center"/>
        <w:rPr>
          <w:rFonts w:cs="Times New Roman"/>
          <w:bCs/>
          <w:szCs w:val="24"/>
        </w:rPr>
      </w:pPr>
      <w:r w:rsidRPr="00117899">
        <w:rPr>
          <w:rFonts w:cs="Times New Roman"/>
          <w:szCs w:val="24"/>
        </w:rPr>
        <w:t>Module Code</w:t>
      </w:r>
      <w:r>
        <w:rPr>
          <w:rFonts w:cs="Times New Roman"/>
          <w:szCs w:val="24"/>
        </w:rPr>
        <w:t xml:space="preserve">: </w:t>
      </w:r>
      <w:r w:rsidRPr="00117899">
        <w:rPr>
          <w:rFonts w:cs="Times New Roman"/>
          <w:szCs w:val="24"/>
        </w:rPr>
        <w:t xml:space="preserve"> </w:t>
      </w:r>
      <w:r w:rsidRPr="00117899">
        <w:rPr>
          <w:rFonts w:cs="Times New Roman"/>
          <w:bCs/>
          <w:szCs w:val="24"/>
        </w:rPr>
        <w:t>BMPL4005, BMLW4006</w:t>
      </w:r>
    </w:p>
    <w:p w14:paraId="5482DC1E" w14:textId="51BFC2CA" w:rsidR="00117899" w:rsidRPr="00117899" w:rsidRDefault="00117899" w:rsidP="00117899">
      <w:pPr>
        <w:spacing w:before="120" w:after="120"/>
        <w:jc w:val="center"/>
        <w:rPr>
          <w:rFonts w:cs="Times New Roman"/>
          <w:bCs/>
          <w:szCs w:val="24"/>
        </w:rPr>
      </w:pPr>
      <w:r>
        <w:rPr>
          <w:rFonts w:cs="Times New Roman"/>
          <w:bCs/>
          <w:szCs w:val="24"/>
        </w:rPr>
        <w:t xml:space="preserve">Assignment title: Common Law </w:t>
      </w:r>
    </w:p>
    <w:p w14:paraId="34B82B31" w14:textId="6510CDA8" w:rsidR="00117899" w:rsidRPr="00117899" w:rsidRDefault="00117899" w:rsidP="00117899">
      <w:pPr>
        <w:spacing w:after="0" w:line="360" w:lineRule="auto"/>
        <w:jc w:val="center"/>
        <w:rPr>
          <w:rFonts w:cs="Times New Roman"/>
          <w:szCs w:val="24"/>
        </w:rPr>
      </w:pPr>
      <w:r w:rsidRPr="00117899">
        <w:rPr>
          <w:rFonts w:cs="Times New Roman"/>
          <w:szCs w:val="24"/>
        </w:rPr>
        <w:t>Lecturer: Louis</w:t>
      </w:r>
      <w:r>
        <w:rPr>
          <w:rFonts w:cs="Times New Roman"/>
          <w:szCs w:val="24"/>
        </w:rPr>
        <w:t xml:space="preserve"> Hughes</w:t>
      </w:r>
    </w:p>
    <w:p w14:paraId="51D413DC" w14:textId="2E4CC9DF" w:rsidR="00C54245" w:rsidRDefault="00C54245" w:rsidP="00117899">
      <w:pPr>
        <w:spacing w:after="0" w:line="360" w:lineRule="auto"/>
        <w:rPr>
          <w:szCs w:val="24"/>
        </w:rPr>
      </w:pPr>
    </w:p>
    <w:p w14:paraId="45EEC78E" w14:textId="746A733E" w:rsidR="00C54245" w:rsidRDefault="00C54245" w:rsidP="00707CE9">
      <w:pPr>
        <w:spacing w:after="0" w:line="360" w:lineRule="auto"/>
        <w:rPr>
          <w:szCs w:val="24"/>
        </w:rPr>
      </w:pPr>
    </w:p>
    <w:p w14:paraId="32D3F781" w14:textId="77777777" w:rsidR="00C54245" w:rsidRPr="003173FE" w:rsidRDefault="00C54245" w:rsidP="00707CE9">
      <w:pPr>
        <w:spacing w:after="0" w:line="360" w:lineRule="auto"/>
        <w:rPr>
          <w:szCs w:val="24"/>
        </w:rPr>
      </w:pPr>
    </w:p>
    <w:p w14:paraId="3AC886AA" w14:textId="77777777" w:rsidR="00117899" w:rsidRDefault="003173FE" w:rsidP="00117899">
      <w:pPr>
        <w:spacing w:after="0" w:line="360" w:lineRule="auto"/>
        <w:jc w:val="center"/>
        <w:rPr>
          <w:b/>
          <w:bCs/>
        </w:rPr>
      </w:pPr>
      <w:r w:rsidRPr="003173FE">
        <w:rPr>
          <w:rStyle w:val="TitleChar"/>
          <w:sz w:val="24"/>
          <w:szCs w:val="24"/>
        </w:rPr>
        <w:t>The English Legal System is based upon common law principles. Explain what this means</w:t>
      </w:r>
      <w:r w:rsidRPr="003173FE">
        <w:rPr>
          <w:szCs w:val="24"/>
        </w:rPr>
        <w:t>.</w:t>
      </w:r>
    </w:p>
    <w:p w14:paraId="51EF9CB7" w14:textId="77777777" w:rsidR="00117899" w:rsidRDefault="00117899" w:rsidP="00117899">
      <w:pPr>
        <w:spacing w:after="0" w:line="360" w:lineRule="auto"/>
        <w:jc w:val="center"/>
        <w:rPr>
          <w:b/>
          <w:bCs/>
        </w:rPr>
      </w:pPr>
    </w:p>
    <w:p w14:paraId="015E8D9A" w14:textId="39E2EECA" w:rsidR="000D5F94" w:rsidRPr="00117899" w:rsidRDefault="000D5F94" w:rsidP="00117899">
      <w:pPr>
        <w:pStyle w:val="Heading1"/>
      </w:pPr>
      <w:r w:rsidRPr="007046DE">
        <w:t>Introduction</w:t>
      </w:r>
    </w:p>
    <w:p w14:paraId="6C7D1C63" w14:textId="339D3DB4" w:rsidR="000D5F94" w:rsidRPr="003173FE" w:rsidRDefault="00A13F09" w:rsidP="00707CE9">
      <w:pPr>
        <w:spacing w:after="0" w:line="360" w:lineRule="auto"/>
        <w:rPr>
          <w:szCs w:val="24"/>
        </w:rPr>
      </w:pPr>
      <w:r w:rsidRPr="00A13F09">
        <w:rPr>
          <w:szCs w:val="24"/>
        </w:rPr>
        <w:t>British law is a comprehensive system that has developed over many decades</w:t>
      </w:r>
      <w:r w:rsidR="006C085E">
        <w:rPr>
          <w:szCs w:val="24"/>
        </w:rPr>
        <w:t>,</w:t>
      </w:r>
      <w:r w:rsidRPr="00A13F09">
        <w:rPr>
          <w:szCs w:val="24"/>
        </w:rPr>
        <w:t xml:space="preserve"> </w:t>
      </w:r>
      <w:r w:rsidR="006C085E">
        <w:rPr>
          <w:szCs w:val="24"/>
        </w:rPr>
        <w:t>b</w:t>
      </w:r>
      <w:r w:rsidRPr="00A13F09">
        <w:rPr>
          <w:szCs w:val="24"/>
        </w:rPr>
        <w:t xml:space="preserve">oth common law and civil law are </w:t>
      </w:r>
      <w:r w:rsidR="00A6556D">
        <w:rPr>
          <w:szCs w:val="24"/>
        </w:rPr>
        <w:t xml:space="preserve">its </w:t>
      </w:r>
      <w:r w:rsidRPr="00A13F09">
        <w:rPr>
          <w:szCs w:val="24"/>
        </w:rPr>
        <w:t xml:space="preserve">essential components. </w:t>
      </w:r>
      <w:r w:rsidR="00C14815">
        <w:rPr>
          <w:szCs w:val="24"/>
        </w:rPr>
        <w:t>C</w:t>
      </w:r>
      <w:r w:rsidRPr="00A13F09">
        <w:rPr>
          <w:szCs w:val="24"/>
        </w:rPr>
        <w:t xml:space="preserve">ivil law is based on a collection of codified rules and regulations, whereas common law is based on court judgements and precedent. These two legal systems, which are quite different from one another, have coexisted and interacted in the </w:t>
      </w:r>
      <w:r w:rsidR="009159AA">
        <w:rPr>
          <w:szCs w:val="24"/>
        </w:rPr>
        <w:t>UK</w:t>
      </w:r>
      <w:r w:rsidRPr="00A13F09">
        <w:rPr>
          <w:szCs w:val="24"/>
        </w:rPr>
        <w:t xml:space="preserve"> for a long time. The purpose of this article is to investigate the history of the interaction between common law and civil law in the </w:t>
      </w:r>
      <w:r w:rsidR="003A3E50">
        <w:rPr>
          <w:szCs w:val="24"/>
        </w:rPr>
        <w:t>UK</w:t>
      </w:r>
      <w:r w:rsidRPr="00A13F09">
        <w:rPr>
          <w:szCs w:val="24"/>
        </w:rPr>
        <w:t xml:space="preserve"> and to analyse how these two legal systems have coordinated to create an efficient and thorough method of delivering justice. The article will examine whether or not common law serves as the basis for the English legal system, discussing its origins and history along the way.</w:t>
      </w:r>
    </w:p>
    <w:p w14:paraId="034B9ADC" w14:textId="0BDA83EE" w:rsidR="000D5F94" w:rsidRPr="003173FE" w:rsidRDefault="004C534B" w:rsidP="00707CE9">
      <w:pPr>
        <w:pStyle w:val="Heading1"/>
        <w:spacing w:before="0" w:line="360" w:lineRule="auto"/>
      </w:pPr>
      <w:r w:rsidRPr="003173FE">
        <w:t xml:space="preserve">What is </w:t>
      </w:r>
      <w:r w:rsidR="000D5F94" w:rsidRPr="003173FE">
        <w:t>Common law</w:t>
      </w:r>
    </w:p>
    <w:p w14:paraId="15252C92" w14:textId="350D03F0" w:rsidR="00515BD1" w:rsidRPr="00515BD1" w:rsidRDefault="00515BD1" w:rsidP="00707CE9">
      <w:pPr>
        <w:spacing w:after="0" w:line="360" w:lineRule="auto"/>
        <w:rPr>
          <w:szCs w:val="24"/>
        </w:rPr>
      </w:pPr>
      <w:r w:rsidRPr="00515BD1">
        <w:rPr>
          <w:szCs w:val="24"/>
        </w:rPr>
        <w:t xml:space="preserve">The body of law known as </w:t>
      </w:r>
      <w:r w:rsidR="005026BE">
        <w:rPr>
          <w:szCs w:val="24"/>
        </w:rPr>
        <w:t>“</w:t>
      </w:r>
      <w:r w:rsidRPr="00515BD1">
        <w:rPr>
          <w:szCs w:val="24"/>
        </w:rPr>
        <w:t>common law</w:t>
      </w:r>
      <w:r w:rsidR="005026BE">
        <w:rPr>
          <w:szCs w:val="24"/>
        </w:rPr>
        <w:t>”</w:t>
      </w:r>
      <w:r w:rsidRPr="00515BD1">
        <w:rPr>
          <w:szCs w:val="24"/>
        </w:rPr>
        <w:t xml:space="preserve"> in the </w:t>
      </w:r>
      <w:r w:rsidR="005026BE">
        <w:rPr>
          <w:szCs w:val="24"/>
        </w:rPr>
        <w:t>UK</w:t>
      </w:r>
      <w:r w:rsidRPr="00515BD1">
        <w:rPr>
          <w:szCs w:val="24"/>
        </w:rPr>
        <w:t xml:space="preserve"> is the result of centuries of judicial decisions. Together with statutes and </w:t>
      </w:r>
      <w:r w:rsidR="005026BE">
        <w:rPr>
          <w:szCs w:val="24"/>
        </w:rPr>
        <w:t>EU</w:t>
      </w:r>
      <w:r w:rsidRPr="00515BD1">
        <w:rPr>
          <w:szCs w:val="24"/>
        </w:rPr>
        <w:t xml:space="preserve"> law, it is one of the </w:t>
      </w:r>
      <w:r w:rsidR="00021BAB">
        <w:rPr>
          <w:szCs w:val="24"/>
        </w:rPr>
        <w:t>UK</w:t>
      </w:r>
      <w:r w:rsidRPr="00515BD1">
        <w:rPr>
          <w:szCs w:val="24"/>
        </w:rPr>
        <w:t>'s three primary legal precedents (before Brexit)</w:t>
      </w:r>
      <w:r w:rsidR="000C700A">
        <w:rPr>
          <w:szCs w:val="24"/>
        </w:rPr>
        <w:t xml:space="preserve"> (</w:t>
      </w:r>
      <w:r w:rsidR="000C700A" w:rsidRPr="00EB7CDA">
        <w:t>Rühl</w:t>
      </w:r>
      <w:r w:rsidR="000C700A">
        <w:t>, 2018)</w:t>
      </w:r>
      <w:r w:rsidRPr="00515BD1">
        <w:rPr>
          <w:szCs w:val="24"/>
        </w:rPr>
        <w:t>. The principle of stare decisis underpins the common law system in the United Kingdom, requiring lower courts to adhere to the rulings of higher courts in the same territory. This idea permits the common law system to develop and adapt throughout time while maintaining stability and predictability in the law.</w:t>
      </w:r>
    </w:p>
    <w:p w14:paraId="07E12378" w14:textId="0C884FC9" w:rsidR="004C534B" w:rsidRPr="003173FE" w:rsidRDefault="00515BD1" w:rsidP="00707CE9">
      <w:pPr>
        <w:spacing w:after="0" w:line="360" w:lineRule="auto"/>
        <w:rPr>
          <w:szCs w:val="24"/>
        </w:rPr>
      </w:pPr>
      <w:r w:rsidRPr="00515BD1">
        <w:rPr>
          <w:szCs w:val="24"/>
        </w:rPr>
        <w:t>Contract law, tort law, property law, and criminal law are only a few of the many disciplines of law encompassed by UK common law</w:t>
      </w:r>
      <w:r w:rsidR="000C700A">
        <w:rPr>
          <w:szCs w:val="24"/>
        </w:rPr>
        <w:t xml:space="preserve"> (</w:t>
      </w:r>
      <w:r w:rsidR="000C700A" w:rsidRPr="00EB7CDA">
        <w:t>Rühl</w:t>
      </w:r>
      <w:r w:rsidR="000C700A">
        <w:t>, 2018)</w:t>
      </w:r>
      <w:r w:rsidRPr="00515BD1">
        <w:rPr>
          <w:szCs w:val="24"/>
        </w:rPr>
        <w:t xml:space="preserve">. Because of the fluid nature of the system, new rules of law can be formulated as a result of judicial rulings. UK common law is able to </w:t>
      </w:r>
      <w:r w:rsidRPr="00515BD1">
        <w:rPr>
          <w:szCs w:val="24"/>
        </w:rPr>
        <w:lastRenderedPageBreak/>
        <w:t xml:space="preserve">adapt to shifting social, economic, and technical contexts because of its pliability. The ability of UK common law to fill up legal loopholes and tackle novel legal problems is a major asset of that system. For instance, the case of </w:t>
      </w:r>
      <w:r w:rsidR="0008259F">
        <w:rPr>
          <w:szCs w:val="24"/>
        </w:rPr>
        <w:t>“</w:t>
      </w:r>
      <w:r w:rsidRPr="00515BD1">
        <w:rPr>
          <w:szCs w:val="24"/>
        </w:rPr>
        <w:t>Donoghue v. Stevenson</w:t>
      </w:r>
      <w:r w:rsidR="0008259F">
        <w:rPr>
          <w:szCs w:val="24"/>
        </w:rPr>
        <w:t>”</w:t>
      </w:r>
      <w:r w:rsidRPr="00515BD1">
        <w:rPr>
          <w:szCs w:val="24"/>
        </w:rPr>
        <w:t xml:space="preserve"> contributed to the growth of the law of negligence by establishing a new legal principle: the duty of care owed by producers to customers for the safety of their products</w:t>
      </w:r>
      <w:r w:rsidR="00A867A9">
        <w:rPr>
          <w:szCs w:val="24"/>
        </w:rPr>
        <w:t xml:space="preserve"> (</w:t>
      </w:r>
      <w:r w:rsidR="00A867A9" w:rsidRPr="00EB7CDA">
        <w:t>Rühl</w:t>
      </w:r>
      <w:r w:rsidR="00A867A9">
        <w:t>, 2018)</w:t>
      </w:r>
      <w:r w:rsidRPr="00515BD1">
        <w:rPr>
          <w:szCs w:val="24"/>
        </w:rPr>
        <w:t>. It has been applied to many other instances and has wide-ranging ramifications for product liability law.</w:t>
      </w:r>
    </w:p>
    <w:p w14:paraId="06F89025" w14:textId="491FEFF3" w:rsidR="004C534B" w:rsidRPr="003173FE" w:rsidRDefault="004C534B" w:rsidP="00707CE9">
      <w:pPr>
        <w:pStyle w:val="Heading2"/>
        <w:spacing w:before="0" w:line="360" w:lineRule="auto"/>
        <w:rPr>
          <w:szCs w:val="24"/>
        </w:rPr>
      </w:pPr>
      <w:r w:rsidRPr="003173FE">
        <w:rPr>
          <w:szCs w:val="24"/>
        </w:rPr>
        <w:t>History of Common Law</w:t>
      </w:r>
    </w:p>
    <w:p w14:paraId="19887446" w14:textId="64A7DABF" w:rsidR="00C576B7" w:rsidRPr="00C576B7" w:rsidRDefault="00C576B7" w:rsidP="00707CE9">
      <w:pPr>
        <w:spacing w:after="0" w:line="360" w:lineRule="auto"/>
        <w:rPr>
          <w:szCs w:val="24"/>
        </w:rPr>
      </w:pPr>
      <w:r w:rsidRPr="00C576B7">
        <w:rPr>
          <w:szCs w:val="24"/>
        </w:rPr>
        <w:t xml:space="preserve">Common law in the </w:t>
      </w:r>
      <w:r w:rsidR="00236F50">
        <w:rPr>
          <w:szCs w:val="24"/>
        </w:rPr>
        <w:t>UK</w:t>
      </w:r>
      <w:r w:rsidRPr="00C576B7">
        <w:rPr>
          <w:szCs w:val="24"/>
        </w:rPr>
        <w:t xml:space="preserve"> has its roots in mediaeval England, when the King's courts started creating a legal system based on judicial precedent rather than royal decree. Before this, there was no consistent body of law in England; instead, it was a hodgepodge of various regional practises. In the 12</w:t>
      </w:r>
      <w:r w:rsidRPr="00A621D6">
        <w:rPr>
          <w:szCs w:val="24"/>
          <w:vertAlign w:val="superscript"/>
        </w:rPr>
        <w:t>th</w:t>
      </w:r>
      <w:r w:rsidRPr="00C576B7">
        <w:rPr>
          <w:szCs w:val="24"/>
        </w:rPr>
        <w:t xml:space="preserve"> century, during King Henry II's reign, common law really got rolling. Henry established a national court system by appointing judges to travel around the land to hear cases and provide legal consistency</w:t>
      </w:r>
      <w:r w:rsidR="008A5A9B">
        <w:rPr>
          <w:szCs w:val="24"/>
        </w:rPr>
        <w:t xml:space="preserve"> (</w:t>
      </w:r>
      <w:r w:rsidR="008A5A9B" w:rsidRPr="0012669E">
        <w:t>Baker,</w:t>
      </w:r>
      <w:r w:rsidR="008A5A9B">
        <w:t xml:space="preserve"> 2019)</w:t>
      </w:r>
      <w:r w:rsidRPr="00C576B7">
        <w:rPr>
          <w:szCs w:val="24"/>
        </w:rPr>
        <w:t>. New legal concepts may be established by the judges based on the specifics of the cases they heard, and their rulings would be binding on subordinate courts. As judges developed precedents in areas like property law, contract law, and tort law, the scope and complexity of the common law system grew. Lawyers were able to study and codify the law more systematically thanks to advances in legal education, which supported the spread of the common law system</w:t>
      </w:r>
      <w:r w:rsidR="008A5A9B">
        <w:rPr>
          <w:szCs w:val="24"/>
        </w:rPr>
        <w:t xml:space="preserve"> (</w:t>
      </w:r>
      <w:r w:rsidR="008A5A9B" w:rsidRPr="0012669E">
        <w:t>Baker,</w:t>
      </w:r>
      <w:r w:rsidR="008A5A9B">
        <w:t xml:space="preserve"> 2019)</w:t>
      </w:r>
      <w:r w:rsidRPr="00C576B7">
        <w:rPr>
          <w:szCs w:val="24"/>
        </w:rPr>
        <w:t>.</w:t>
      </w:r>
    </w:p>
    <w:p w14:paraId="35DD2A6D" w14:textId="6C50D1B3" w:rsidR="003248E7" w:rsidRPr="003248E7" w:rsidRDefault="00C576B7" w:rsidP="00707CE9">
      <w:pPr>
        <w:spacing w:after="0" w:line="360" w:lineRule="auto"/>
        <w:rPr>
          <w:szCs w:val="24"/>
        </w:rPr>
      </w:pPr>
      <w:r w:rsidRPr="00C576B7">
        <w:rPr>
          <w:szCs w:val="24"/>
        </w:rPr>
        <w:t>Equity, a branch of law formed in the 16</w:t>
      </w:r>
      <w:r w:rsidRPr="00132132">
        <w:rPr>
          <w:szCs w:val="24"/>
          <w:vertAlign w:val="superscript"/>
        </w:rPr>
        <w:t>th</w:t>
      </w:r>
      <w:r w:rsidRPr="00C576B7">
        <w:rPr>
          <w:szCs w:val="24"/>
        </w:rPr>
        <w:t xml:space="preserve"> and 17</w:t>
      </w:r>
      <w:r w:rsidRPr="00132132">
        <w:rPr>
          <w:szCs w:val="24"/>
          <w:vertAlign w:val="superscript"/>
        </w:rPr>
        <w:t>th</w:t>
      </w:r>
      <w:r w:rsidRPr="00C576B7">
        <w:rPr>
          <w:szCs w:val="24"/>
        </w:rPr>
        <w:t xml:space="preserve"> centuries to fill up gaps in the common law, became an integral part of the legal system. The </w:t>
      </w:r>
      <w:r w:rsidR="00ED0F11">
        <w:rPr>
          <w:szCs w:val="24"/>
        </w:rPr>
        <w:t>“</w:t>
      </w:r>
      <w:r w:rsidRPr="00C576B7">
        <w:rPr>
          <w:szCs w:val="24"/>
        </w:rPr>
        <w:t>Court of Chancery</w:t>
      </w:r>
      <w:r w:rsidR="00ED0F11">
        <w:rPr>
          <w:szCs w:val="24"/>
        </w:rPr>
        <w:t>”</w:t>
      </w:r>
      <w:r w:rsidRPr="00C576B7">
        <w:rPr>
          <w:szCs w:val="24"/>
        </w:rPr>
        <w:t xml:space="preserve"> was responsible for enforcing equity, and it could issue injunctions and demand particular performance. The common law system matured further throughout the nineteenth and early twentieth centuries as new legal concepts were created by rulings of the courts. Family law, labour law, and intellectual property law were all created during this time period. The common law tradition continues to play an important role in modern British law</w:t>
      </w:r>
      <w:r w:rsidR="008A5A9B">
        <w:rPr>
          <w:szCs w:val="24"/>
        </w:rPr>
        <w:t xml:space="preserve"> (</w:t>
      </w:r>
      <w:r w:rsidR="008A5A9B" w:rsidRPr="0012669E">
        <w:t>Baker,</w:t>
      </w:r>
      <w:r w:rsidR="008A5A9B">
        <w:t xml:space="preserve"> 2019)</w:t>
      </w:r>
      <w:r w:rsidRPr="00C576B7">
        <w:rPr>
          <w:szCs w:val="24"/>
        </w:rPr>
        <w:t>. The UK legal system depends on a number of different sources of law, including EU legislation, international law, and statutes passed by the devolved governments in Scotland, Wales, and Northern Ireland, in addition to the common law, which continues to grow via the judgements of the courts.</w:t>
      </w:r>
    </w:p>
    <w:p w14:paraId="5A977C6E" w14:textId="564860E8" w:rsidR="000D5F94" w:rsidRPr="003173FE" w:rsidRDefault="0006160D" w:rsidP="00707CE9">
      <w:pPr>
        <w:pStyle w:val="Heading2"/>
        <w:spacing w:before="0" w:line="360" w:lineRule="auto"/>
        <w:rPr>
          <w:szCs w:val="24"/>
        </w:rPr>
      </w:pPr>
      <w:r w:rsidRPr="003173FE">
        <w:rPr>
          <w:szCs w:val="24"/>
        </w:rPr>
        <w:t>Vital Case law that Shaped UK Common law</w:t>
      </w:r>
    </w:p>
    <w:p w14:paraId="6DBF371B" w14:textId="55912F4B" w:rsidR="0006160D" w:rsidRPr="003173FE" w:rsidRDefault="001F7D9D" w:rsidP="00707CE9">
      <w:pPr>
        <w:spacing w:after="0" w:line="360" w:lineRule="auto"/>
        <w:rPr>
          <w:szCs w:val="24"/>
        </w:rPr>
      </w:pPr>
      <w:r w:rsidRPr="003173FE">
        <w:rPr>
          <w:szCs w:val="24"/>
        </w:rPr>
        <w:t xml:space="preserve">The following section considers the most influential case law that helped shape the UK common law as it </w:t>
      </w:r>
      <w:r w:rsidR="00066E75" w:rsidRPr="003173FE">
        <w:rPr>
          <w:szCs w:val="24"/>
        </w:rPr>
        <w:t>exists</w:t>
      </w:r>
      <w:r w:rsidRPr="003173FE">
        <w:rPr>
          <w:szCs w:val="24"/>
        </w:rPr>
        <w:t xml:space="preserve"> in modern times;</w:t>
      </w:r>
    </w:p>
    <w:p w14:paraId="4E05B45A" w14:textId="77777777" w:rsidR="009E0774" w:rsidRDefault="00F7122E" w:rsidP="00707CE9">
      <w:pPr>
        <w:numPr>
          <w:ilvl w:val="0"/>
          <w:numId w:val="2"/>
        </w:numPr>
        <w:spacing w:after="0" w:line="360" w:lineRule="auto"/>
        <w:rPr>
          <w:szCs w:val="24"/>
        </w:rPr>
      </w:pPr>
      <w:r w:rsidRPr="00F7122E">
        <w:rPr>
          <w:szCs w:val="24"/>
        </w:rPr>
        <w:lastRenderedPageBreak/>
        <w:t xml:space="preserve">Donoghue v Stevenson (1932): </w:t>
      </w:r>
    </w:p>
    <w:p w14:paraId="311EDC29" w14:textId="4B4C5315" w:rsidR="00F7122E" w:rsidRPr="00F7122E" w:rsidRDefault="00196314" w:rsidP="00707CE9">
      <w:pPr>
        <w:spacing w:after="0" w:line="360" w:lineRule="auto"/>
        <w:rPr>
          <w:szCs w:val="24"/>
        </w:rPr>
      </w:pPr>
      <w:r w:rsidRPr="00196314">
        <w:rPr>
          <w:szCs w:val="24"/>
        </w:rPr>
        <w:t xml:space="preserve">According to this ruling, carelessness is now recognised as a legal theory in the </w:t>
      </w:r>
      <w:r w:rsidR="00E05D01">
        <w:rPr>
          <w:szCs w:val="24"/>
        </w:rPr>
        <w:t>UK</w:t>
      </w:r>
      <w:r w:rsidRPr="00196314">
        <w:rPr>
          <w:szCs w:val="24"/>
        </w:rPr>
        <w:t>. Mrs. Donoghue was in a café when she sipped a bottle of ginger beer and discovered a dead snail at the bottom of the container. She went into shock and became sick with the stomach flu as a result. The House of Lords ruled that the ginger beer producer broke a duty of care given to the product's final customer.</w:t>
      </w:r>
    </w:p>
    <w:p w14:paraId="7E298912" w14:textId="77777777" w:rsidR="00DA14F3" w:rsidRDefault="00F7122E" w:rsidP="00707CE9">
      <w:pPr>
        <w:numPr>
          <w:ilvl w:val="0"/>
          <w:numId w:val="2"/>
        </w:numPr>
        <w:spacing w:after="0" w:line="360" w:lineRule="auto"/>
        <w:rPr>
          <w:szCs w:val="24"/>
        </w:rPr>
      </w:pPr>
      <w:r w:rsidRPr="00F7122E">
        <w:rPr>
          <w:szCs w:val="24"/>
        </w:rPr>
        <w:t xml:space="preserve">R v Dudley and Stephens (1884): </w:t>
      </w:r>
    </w:p>
    <w:p w14:paraId="07F0D0D0" w14:textId="524AA3DD" w:rsidR="00F7122E" w:rsidRPr="00F7122E" w:rsidRDefault="004D6A99" w:rsidP="00707CE9">
      <w:pPr>
        <w:spacing w:after="0" w:line="360" w:lineRule="auto"/>
        <w:rPr>
          <w:szCs w:val="24"/>
        </w:rPr>
      </w:pPr>
      <w:r w:rsidRPr="004D6A99">
        <w:rPr>
          <w:szCs w:val="24"/>
        </w:rPr>
        <w:t xml:space="preserve">This case firmly established the rule that </w:t>
      </w:r>
      <w:r w:rsidR="007B7B2B" w:rsidRPr="004D6A99">
        <w:rPr>
          <w:szCs w:val="24"/>
        </w:rPr>
        <w:t>self-defence</w:t>
      </w:r>
      <w:r w:rsidRPr="004D6A99">
        <w:rPr>
          <w:szCs w:val="24"/>
        </w:rPr>
        <w:t xml:space="preserve"> is never an excuse for murder. After Dudley and Stephens' ship went down, the only way they lived for several days was by drinking a cabin boy's blood. They were accused of murder and found guilty despite their defence of their actions as being justified by necessity.</w:t>
      </w:r>
    </w:p>
    <w:p w14:paraId="18723B6B" w14:textId="602F9E03" w:rsidR="00AA50FE" w:rsidRDefault="00F7122E" w:rsidP="00707CE9">
      <w:pPr>
        <w:numPr>
          <w:ilvl w:val="0"/>
          <w:numId w:val="2"/>
        </w:numPr>
        <w:spacing w:after="0" w:line="360" w:lineRule="auto"/>
        <w:rPr>
          <w:szCs w:val="24"/>
        </w:rPr>
      </w:pPr>
      <w:r w:rsidRPr="00F7122E">
        <w:rPr>
          <w:szCs w:val="24"/>
        </w:rPr>
        <w:t xml:space="preserve">Carlill v Carbolic Smoke Ball Co: </w:t>
      </w:r>
    </w:p>
    <w:p w14:paraId="3C876CB7" w14:textId="34365CE6" w:rsidR="00F7122E" w:rsidRPr="00F7122E" w:rsidRDefault="00730852" w:rsidP="00707CE9">
      <w:pPr>
        <w:spacing w:after="0" w:line="360" w:lineRule="auto"/>
        <w:rPr>
          <w:szCs w:val="24"/>
        </w:rPr>
      </w:pPr>
      <w:r w:rsidRPr="00730852">
        <w:rPr>
          <w:szCs w:val="24"/>
        </w:rPr>
        <w:t xml:space="preserve">The precedent set by this case allowed unilateral contracts to be enforced in the </w:t>
      </w:r>
      <w:r w:rsidR="00A07A8E">
        <w:rPr>
          <w:szCs w:val="24"/>
        </w:rPr>
        <w:t>UK</w:t>
      </w:r>
      <w:r w:rsidRPr="00730852">
        <w:rPr>
          <w:szCs w:val="24"/>
        </w:rPr>
        <w:t>.</w:t>
      </w:r>
      <w:r w:rsidR="007B7D24">
        <w:rPr>
          <w:szCs w:val="24"/>
        </w:rPr>
        <w:t xml:space="preserve"> </w:t>
      </w:r>
      <w:r w:rsidRPr="00730852">
        <w:rPr>
          <w:szCs w:val="24"/>
        </w:rPr>
        <w:t xml:space="preserve">Advertisements for a product made by the Carbolic Smoke Ball Co. claimed that it might protect consumers from the flu. If </w:t>
      </w:r>
      <w:r w:rsidR="00A82B91">
        <w:rPr>
          <w:szCs w:val="24"/>
        </w:rPr>
        <w:t>someone</w:t>
      </w:r>
      <w:r w:rsidRPr="00730852">
        <w:rPr>
          <w:szCs w:val="24"/>
        </w:rPr>
        <w:t xml:space="preserve"> used the product as advised and still got the flu, they</w:t>
      </w:r>
      <w:r w:rsidR="006C23C0">
        <w:rPr>
          <w:szCs w:val="24"/>
        </w:rPr>
        <w:t xml:space="preserve"> would</w:t>
      </w:r>
      <w:r w:rsidRPr="00730852">
        <w:rPr>
          <w:szCs w:val="24"/>
        </w:rPr>
        <w:t xml:space="preserve"> pay £100</w:t>
      </w:r>
      <w:r w:rsidR="00A82B91">
        <w:rPr>
          <w:szCs w:val="24"/>
        </w:rPr>
        <w:t xml:space="preserve"> to that individual</w:t>
      </w:r>
      <w:r w:rsidRPr="00730852">
        <w:rPr>
          <w:szCs w:val="24"/>
        </w:rPr>
        <w:t>. The award was claimed by Mrs. Carlill, who fell ill with the flu. The court decided that the ad was a legally enforceable offer, and that Mrs. Carlill had accepted the offer by purchasing and utilising the goods as recommended.</w:t>
      </w:r>
    </w:p>
    <w:p w14:paraId="2D8725E4" w14:textId="77777777" w:rsidR="00CD679A" w:rsidRDefault="00F7122E" w:rsidP="00707CE9">
      <w:pPr>
        <w:numPr>
          <w:ilvl w:val="0"/>
          <w:numId w:val="2"/>
        </w:numPr>
        <w:spacing w:after="0" w:line="360" w:lineRule="auto"/>
        <w:rPr>
          <w:szCs w:val="24"/>
        </w:rPr>
      </w:pPr>
      <w:r w:rsidRPr="00F7122E">
        <w:rPr>
          <w:szCs w:val="24"/>
        </w:rPr>
        <w:t xml:space="preserve">Hadley v Baxendale (1854): </w:t>
      </w:r>
    </w:p>
    <w:p w14:paraId="32628851" w14:textId="424C2723" w:rsidR="00F7122E" w:rsidRPr="00F7122E" w:rsidRDefault="000054C3" w:rsidP="00707CE9">
      <w:pPr>
        <w:spacing w:after="0" w:line="360" w:lineRule="auto"/>
        <w:rPr>
          <w:szCs w:val="24"/>
        </w:rPr>
      </w:pPr>
      <w:r w:rsidRPr="000054C3">
        <w:rPr>
          <w:szCs w:val="24"/>
        </w:rPr>
        <w:t>Foreseeability is a legal notion that was first defined in this case. Mr. Hadley was obligated to provide a damaged crankshaft to the manufacturer. Because of the defendant, Baxendale's, inability to timely deliver the crankshaft, Mr. Hadley was forced to forego potential earnings. Based on the evidence presented, the court determined that Baxendale's liability was limited to the losses that were reasonably foreseeable when the contract was drawn up.</w:t>
      </w:r>
    </w:p>
    <w:p w14:paraId="13447288" w14:textId="77777777" w:rsidR="00237BB9" w:rsidRDefault="00F7122E" w:rsidP="00707CE9">
      <w:pPr>
        <w:numPr>
          <w:ilvl w:val="0"/>
          <w:numId w:val="2"/>
        </w:numPr>
        <w:spacing w:after="0" w:line="360" w:lineRule="auto"/>
        <w:rPr>
          <w:szCs w:val="24"/>
        </w:rPr>
      </w:pPr>
      <w:r w:rsidRPr="00F7122E">
        <w:rPr>
          <w:szCs w:val="24"/>
        </w:rPr>
        <w:t xml:space="preserve">Pepper v Hart (1993): </w:t>
      </w:r>
    </w:p>
    <w:p w14:paraId="7861DA2B" w14:textId="7E0BA513" w:rsidR="004C534B" w:rsidRPr="003173FE" w:rsidRDefault="00E2069B" w:rsidP="00707CE9">
      <w:pPr>
        <w:spacing w:after="0" w:line="360" w:lineRule="auto"/>
        <w:rPr>
          <w:szCs w:val="24"/>
        </w:rPr>
      </w:pPr>
      <w:r w:rsidRPr="00E2069B">
        <w:rPr>
          <w:szCs w:val="24"/>
        </w:rPr>
        <w:t xml:space="preserve">This ruling established the idea that parliamentary discussion remarks made by ministers can be utilised to help interpret statutes. The </w:t>
      </w:r>
      <w:r w:rsidR="00D87D93">
        <w:rPr>
          <w:szCs w:val="24"/>
        </w:rPr>
        <w:t>“</w:t>
      </w:r>
      <w:r w:rsidRPr="00E2069B">
        <w:rPr>
          <w:szCs w:val="24"/>
        </w:rPr>
        <w:t>Finance Act of 1976</w:t>
      </w:r>
      <w:r w:rsidR="00D87D93">
        <w:rPr>
          <w:szCs w:val="24"/>
        </w:rPr>
        <w:t>”</w:t>
      </w:r>
      <w:r w:rsidRPr="00E2069B">
        <w:rPr>
          <w:szCs w:val="24"/>
        </w:rPr>
        <w:t xml:space="preserve"> was at issue in this case, and the House of Lords ruled that the Chancellor of the Exchequer's words made during the parliamentary discussions on the legislation may be used to interpret the provision.</w:t>
      </w:r>
    </w:p>
    <w:p w14:paraId="3C94E9BA" w14:textId="58AA5DCC" w:rsidR="004C534B" w:rsidRPr="003173FE" w:rsidRDefault="00022670" w:rsidP="00707CE9">
      <w:pPr>
        <w:pStyle w:val="Heading2"/>
        <w:spacing w:before="0" w:line="360" w:lineRule="auto"/>
        <w:rPr>
          <w:szCs w:val="24"/>
        </w:rPr>
      </w:pPr>
      <w:r w:rsidRPr="003173FE">
        <w:rPr>
          <w:szCs w:val="24"/>
        </w:rPr>
        <w:lastRenderedPageBreak/>
        <w:t>Common law working in Practice</w:t>
      </w:r>
    </w:p>
    <w:p w14:paraId="7D0C2CFD" w14:textId="328D0BC5" w:rsidR="0098419C" w:rsidRPr="0098419C" w:rsidRDefault="0098419C" w:rsidP="00707CE9">
      <w:pPr>
        <w:spacing w:after="0" w:line="360" w:lineRule="auto"/>
        <w:rPr>
          <w:szCs w:val="24"/>
        </w:rPr>
      </w:pPr>
      <w:r w:rsidRPr="0098419C">
        <w:rPr>
          <w:szCs w:val="24"/>
        </w:rPr>
        <w:t xml:space="preserve">To begin, the common law system is versatile and can easily be adjusted to new situations. As common law is established by precedent rather than statute, it has the flexibility to adapt to new circumstances as they arise. Juries have the discretion to apply </w:t>
      </w:r>
      <w:r w:rsidR="00E11AB3" w:rsidRPr="0098419C">
        <w:rPr>
          <w:szCs w:val="24"/>
        </w:rPr>
        <w:t>pre-existing</w:t>
      </w:r>
      <w:r w:rsidRPr="0098419C">
        <w:rPr>
          <w:szCs w:val="24"/>
        </w:rPr>
        <w:t xml:space="preserve"> legal principles in novel ways or to formulate whole new principles to deal with emerging legal issues. For another, the common law system permits judges to use their own judgement</w:t>
      </w:r>
      <w:r w:rsidR="00690A2F">
        <w:rPr>
          <w:szCs w:val="24"/>
        </w:rPr>
        <w:t xml:space="preserve"> (</w:t>
      </w:r>
      <w:r w:rsidR="00690A2F" w:rsidRPr="0012669E">
        <w:t>Baker,</w:t>
      </w:r>
      <w:r w:rsidR="00690A2F">
        <w:t xml:space="preserve"> 2019)</w:t>
      </w:r>
      <w:r w:rsidRPr="0098419C">
        <w:rPr>
          <w:szCs w:val="24"/>
        </w:rPr>
        <w:t>. Each case requires a unique interpretation and application of the law, and judges have the authority to do so based on their unique knowledge of the facts and circumstances at hand. A more sophisticated approach to legal conflicts is made possible, which can aid in seeing that justice is done in certain instances.</w:t>
      </w:r>
    </w:p>
    <w:p w14:paraId="419225D1" w14:textId="2237EF99" w:rsidR="004C534B" w:rsidRPr="003173FE" w:rsidRDefault="0098419C" w:rsidP="00707CE9">
      <w:pPr>
        <w:spacing w:after="0" w:line="360" w:lineRule="auto"/>
        <w:rPr>
          <w:szCs w:val="24"/>
        </w:rPr>
      </w:pPr>
      <w:r w:rsidRPr="0098419C">
        <w:rPr>
          <w:szCs w:val="24"/>
        </w:rPr>
        <w:t>As a third advantage, the common law system is very stable and easy to understand. There is some uniformity in the application of the law throughout the country since the rulings of higher courts are binding on subordinate courts</w:t>
      </w:r>
      <w:r w:rsidR="005052E3">
        <w:rPr>
          <w:szCs w:val="24"/>
        </w:rPr>
        <w:t xml:space="preserve"> (</w:t>
      </w:r>
      <w:r w:rsidR="005052E3" w:rsidRPr="0012669E">
        <w:t>Baker,</w:t>
      </w:r>
      <w:r w:rsidR="005052E3">
        <w:t xml:space="preserve"> 2019)</w:t>
      </w:r>
      <w:r w:rsidRPr="0098419C">
        <w:rPr>
          <w:szCs w:val="24"/>
        </w:rPr>
        <w:t>. To put it another way, this can assist give people and companies more confidence in their legal judgements. And lastly, the common law system permits the evolution of legal concepts that mirror societal norms and values. Due to the precedent-based nature of common law, the courts are able to take into consideration shifting social and cultural norms. This can aid in keeping the legislation up-to-date and representative of current social norms.</w:t>
      </w:r>
    </w:p>
    <w:p w14:paraId="030CCF5F" w14:textId="761BD72D" w:rsidR="004C534B" w:rsidRPr="003173FE" w:rsidRDefault="00A4484B" w:rsidP="00707CE9">
      <w:pPr>
        <w:pStyle w:val="Heading1"/>
        <w:spacing w:before="0" w:line="360" w:lineRule="auto"/>
      </w:pPr>
      <w:r w:rsidRPr="003173FE">
        <w:t>What is Civil Law</w:t>
      </w:r>
    </w:p>
    <w:p w14:paraId="5EDE894A" w14:textId="0033A2FE" w:rsidR="007F6A24" w:rsidRPr="007F6A24" w:rsidRDefault="007F6A24" w:rsidP="00707CE9">
      <w:pPr>
        <w:spacing w:after="0" w:line="360" w:lineRule="auto"/>
        <w:rPr>
          <w:szCs w:val="24"/>
        </w:rPr>
      </w:pPr>
      <w:r w:rsidRPr="007F6A24">
        <w:rPr>
          <w:szCs w:val="24"/>
        </w:rPr>
        <w:t xml:space="preserve">UK </w:t>
      </w:r>
      <w:r w:rsidR="0056191A">
        <w:rPr>
          <w:szCs w:val="24"/>
        </w:rPr>
        <w:t>“</w:t>
      </w:r>
      <w:r w:rsidRPr="007F6A24">
        <w:rPr>
          <w:szCs w:val="24"/>
        </w:rPr>
        <w:t>civil law</w:t>
      </w:r>
      <w:r w:rsidR="0056191A">
        <w:rPr>
          <w:szCs w:val="24"/>
        </w:rPr>
        <w:t>”</w:t>
      </w:r>
      <w:r w:rsidRPr="007F6A24">
        <w:rPr>
          <w:szCs w:val="24"/>
        </w:rPr>
        <w:t xml:space="preserve"> is based on legislation and precedents. Civil law, unlike common law, is based on legislative legislation and ordinances rather than judicial rulings. UK "civil law" includes contract law, property law, family law, employment law, and more. Statutes and regulations codify the law, establishing norms and standards for legal conflict settlement. UK common law and civil law are interwoven despite their distinctions</w:t>
      </w:r>
      <w:r w:rsidR="007B5CA5">
        <w:rPr>
          <w:szCs w:val="24"/>
        </w:rPr>
        <w:t xml:space="preserve"> (</w:t>
      </w:r>
      <w:r w:rsidR="007B5CA5" w:rsidRPr="00D85701">
        <w:t>Schauer,</w:t>
      </w:r>
      <w:r w:rsidR="007B5CA5">
        <w:t xml:space="preserve"> 2022)</w:t>
      </w:r>
      <w:r w:rsidRPr="007F6A24">
        <w:rPr>
          <w:szCs w:val="24"/>
        </w:rPr>
        <w:t>. British law is a mix of common and civil law.</w:t>
      </w:r>
      <w:r w:rsidR="00F3675F">
        <w:rPr>
          <w:szCs w:val="24"/>
        </w:rPr>
        <w:t xml:space="preserve"> </w:t>
      </w:r>
      <w:r w:rsidRPr="007F6A24">
        <w:rPr>
          <w:szCs w:val="24"/>
        </w:rPr>
        <w:t xml:space="preserve">Notwithstanding its defined principles and rules for legal conflicts, UK courts nonetheless retain discretion in interpreting and enforcing civil law. This means that British civil law is not established and that judges have considerable discretion. Like executive branch rules and regulations, common law legislation can </w:t>
      </w:r>
      <w:r w:rsidR="002C3B15" w:rsidRPr="007F6A24">
        <w:rPr>
          <w:szCs w:val="24"/>
        </w:rPr>
        <w:t>affect</w:t>
      </w:r>
      <w:r w:rsidRPr="007F6A24">
        <w:rPr>
          <w:szCs w:val="24"/>
        </w:rPr>
        <w:t xml:space="preserve"> court rulings</w:t>
      </w:r>
      <w:r w:rsidR="007B5CA5">
        <w:rPr>
          <w:szCs w:val="24"/>
        </w:rPr>
        <w:t xml:space="preserve"> (</w:t>
      </w:r>
      <w:r w:rsidR="007B5CA5" w:rsidRPr="00D85701">
        <w:t>Schauer,</w:t>
      </w:r>
      <w:r w:rsidR="007B5CA5">
        <w:t xml:space="preserve"> 2022)</w:t>
      </w:r>
      <w:r w:rsidRPr="007F6A24">
        <w:rPr>
          <w:szCs w:val="24"/>
        </w:rPr>
        <w:t>. This suggests that the UK's common law system is similar to civil law. UK civil law and common law influence each other. Despite their historical and philosophical differences, the two legal systems complement one other to create a powerful and fair UK judicial system.</w:t>
      </w:r>
    </w:p>
    <w:p w14:paraId="251ADE59" w14:textId="0329C4AC" w:rsidR="00807186" w:rsidRPr="003173FE" w:rsidRDefault="007F6A24" w:rsidP="00707CE9">
      <w:pPr>
        <w:spacing w:after="0" w:line="360" w:lineRule="auto"/>
        <w:rPr>
          <w:szCs w:val="24"/>
        </w:rPr>
      </w:pPr>
      <w:r w:rsidRPr="007F6A24">
        <w:rPr>
          <w:szCs w:val="24"/>
        </w:rPr>
        <w:lastRenderedPageBreak/>
        <w:t xml:space="preserve">The </w:t>
      </w:r>
      <w:r w:rsidR="000A0327">
        <w:rPr>
          <w:szCs w:val="24"/>
        </w:rPr>
        <w:t>“</w:t>
      </w:r>
      <w:r w:rsidRPr="007F6A24">
        <w:rPr>
          <w:szCs w:val="24"/>
        </w:rPr>
        <w:t>UK's Sale of Goods Act 1979</w:t>
      </w:r>
      <w:r w:rsidR="000A0327">
        <w:rPr>
          <w:szCs w:val="24"/>
        </w:rPr>
        <w:t>”</w:t>
      </w:r>
      <w:r w:rsidRPr="007F6A24">
        <w:rPr>
          <w:szCs w:val="24"/>
        </w:rPr>
        <w:t xml:space="preserve"> regulates UK product sales. This rule requires sellers to disclose product details and warranties to buyers. Laws govern product delivery, payment, and contract violations</w:t>
      </w:r>
      <w:r w:rsidR="007918FB">
        <w:rPr>
          <w:szCs w:val="24"/>
        </w:rPr>
        <w:t xml:space="preserve"> (</w:t>
      </w:r>
      <w:r w:rsidR="007918FB" w:rsidRPr="00D85701">
        <w:t>Schauer,</w:t>
      </w:r>
      <w:r w:rsidR="007918FB">
        <w:t xml:space="preserve"> 2022)</w:t>
      </w:r>
      <w:r w:rsidRPr="007F6A24">
        <w:rPr>
          <w:szCs w:val="24"/>
        </w:rPr>
        <w:t xml:space="preserve">. The UK's civil law </w:t>
      </w:r>
      <w:r w:rsidR="002D707E">
        <w:rPr>
          <w:szCs w:val="24"/>
        </w:rPr>
        <w:t>“</w:t>
      </w:r>
      <w:r w:rsidRPr="007F6A24">
        <w:rPr>
          <w:szCs w:val="24"/>
        </w:rPr>
        <w:t>Sale of Goods Act</w:t>
      </w:r>
      <w:r w:rsidR="002D707E">
        <w:rPr>
          <w:szCs w:val="24"/>
        </w:rPr>
        <w:t>”</w:t>
      </w:r>
      <w:r w:rsidRPr="007F6A24">
        <w:rPr>
          <w:szCs w:val="24"/>
        </w:rPr>
        <w:t xml:space="preserve"> connects with common law contract law. According to courts' common law contract interpretation standards, the </w:t>
      </w:r>
      <w:r w:rsidR="00D0245B">
        <w:rPr>
          <w:szCs w:val="24"/>
        </w:rPr>
        <w:t>“</w:t>
      </w:r>
      <w:r w:rsidRPr="007F6A24">
        <w:rPr>
          <w:szCs w:val="24"/>
        </w:rPr>
        <w:t>Sale of Goods Act</w:t>
      </w:r>
      <w:r w:rsidR="00D0245B">
        <w:rPr>
          <w:szCs w:val="24"/>
        </w:rPr>
        <w:t>”</w:t>
      </w:r>
      <w:r w:rsidRPr="007F6A24">
        <w:rPr>
          <w:szCs w:val="24"/>
        </w:rPr>
        <w:t xml:space="preserve"> requirements may be enforced differently in various cases</w:t>
      </w:r>
      <w:r w:rsidR="007918FB">
        <w:t xml:space="preserve"> </w:t>
      </w:r>
      <w:r w:rsidR="007918FB">
        <w:rPr>
          <w:szCs w:val="24"/>
        </w:rPr>
        <w:t>(</w:t>
      </w:r>
      <w:r w:rsidR="007918FB" w:rsidRPr="00D85701">
        <w:t>Schauer,</w:t>
      </w:r>
      <w:r w:rsidR="007918FB">
        <w:t xml:space="preserve"> 2022)</w:t>
      </w:r>
      <w:r w:rsidRPr="007F6A24">
        <w:rPr>
          <w:szCs w:val="24"/>
        </w:rPr>
        <w:t>. UK common law-civil law relations are complex. The two systems operate together to resolve disputes and enforce rights in many legal areas, including contract law.</w:t>
      </w:r>
    </w:p>
    <w:p w14:paraId="6D56CE74" w14:textId="6E9CBBE5" w:rsidR="00807186" w:rsidRPr="003173FE" w:rsidRDefault="006B0BA6" w:rsidP="00707CE9">
      <w:pPr>
        <w:pStyle w:val="Heading1"/>
        <w:spacing w:before="0" w:line="360" w:lineRule="auto"/>
      </w:pPr>
      <w:r w:rsidRPr="003173FE">
        <w:t>Conclusion</w:t>
      </w:r>
    </w:p>
    <w:p w14:paraId="0AB56680" w14:textId="145E4AC9" w:rsidR="00617CE2" w:rsidRDefault="002D334A" w:rsidP="00707CE9">
      <w:pPr>
        <w:spacing w:after="0" w:line="360" w:lineRule="auto"/>
        <w:rPr>
          <w:szCs w:val="24"/>
        </w:rPr>
      </w:pPr>
      <w:r w:rsidRPr="002D334A">
        <w:rPr>
          <w:szCs w:val="24"/>
        </w:rPr>
        <w:t xml:space="preserve">The English legal system has a long and illustrious history, making it one of the most influential in the world. Common law, which has been the basis of British law for hundreds of years, is at the centre of this system. Judicial precedent is important to the common law system, which implies that prior court rulings are utilised as a basis for future rulings. As a result of this </w:t>
      </w:r>
      <w:r w:rsidR="003B3266">
        <w:rPr>
          <w:szCs w:val="24"/>
        </w:rPr>
        <w:t>set-up</w:t>
      </w:r>
      <w:r w:rsidRPr="002D334A">
        <w:rPr>
          <w:szCs w:val="24"/>
        </w:rPr>
        <w:t xml:space="preserve">, the law has been given a great degree of leeway to change and adapt to new situations as time has gone on. While the UK's civil law system is certainly significant, it is the common law that has served as the bedrock of English law and contributed to </w:t>
      </w:r>
      <w:r w:rsidR="00B35A80">
        <w:rPr>
          <w:szCs w:val="24"/>
        </w:rPr>
        <w:t>forging</w:t>
      </w:r>
      <w:r w:rsidRPr="002D334A">
        <w:rPr>
          <w:szCs w:val="24"/>
        </w:rPr>
        <w:t xml:space="preserve"> its unique identity. Notwithstanding the difficulties and complexity, the hybrid legal system in the </w:t>
      </w:r>
      <w:r w:rsidR="0015397F">
        <w:rPr>
          <w:szCs w:val="24"/>
        </w:rPr>
        <w:t>UK</w:t>
      </w:r>
      <w:r w:rsidRPr="002D334A">
        <w:rPr>
          <w:szCs w:val="24"/>
        </w:rPr>
        <w:t xml:space="preserve"> is an essential part of the country's legal and constitutional structure and will continue to play a pivotal role in the delivery of justice for many years to come.</w:t>
      </w:r>
      <w:r w:rsidR="00617CE2">
        <w:rPr>
          <w:szCs w:val="24"/>
        </w:rPr>
        <w:br w:type="page"/>
      </w:r>
    </w:p>
    <w:p w14:paraId="1469CDB5" w14:textId="21272D24" w:rsidR="00807186" w:rsidRPr="00617CE2" w:rsidRDefault="00617CE2" w:rsidP="00707CE9">
      <w:pPr>
        <w:spacing w:after="0" w:line="360" w:lineRule="auto"/>
        <w:rPr>
          <w:b/>
          <w:bCs/>
          <w:szCs w:val="24"/>
        </w:rPr>
      </w:pPr>
      <w:r w:rsidRPr="00617CE2">
        <w:rPr>
          <w:b/>
          <w:bCs/>
          <w:szCs w:val="24"/>
        </w:rPr>
        <w:lastRenderedPageBreak/>
        <w:t>References</w:t>
      </w:r>
    </w:p>
    <w:p w14:paraId="0D6A0245" w14:textId="77777777" w:rsidR="00F968F2" w:rsidRPr="001043C8" w:rsidRDefault="00F968F2" w:rsidP="00707CE9">
      <w:pPr>
        <w:spacing w:after="0" w:line="360" w:lineRule="auto"/>
        <w:rPr>
          <w:szCs w:val="24"/>
        </w:rPr>
      </w:pPr>
      <w:r w:rsidRPr="001043C8">
        <w:rPr>
          <w:szCs w:val="24"/>
        </w:rPr>
        <w:t>Baker, John Hamilton. An introduction to English legal history. Oxford University Press, 2019.</w:t>
      </w:r>
    </w:p>
    <w:p w14:paraId="36E5BCE6" w14:textId="77777777" w:rsidR="00F968F2" w:rsidRPr="00DE50D1" w:rsidRDefault="00F968F2" w:rsidP="00707CE9">
      <w:pPr>
        <w:spacing w:after="0" w:line="360" w:lineRule="auto"/>
        <w:rPr>
          <w:szCs w:val="24"/>
        </w:rPr>
      </w:pPr>
      <w:r w:rsidRPr="000C1F42">
        <w:rPr>
          <w:i/>
          <w:iCs/>
          <w:szCs w:val="24"/>
        </w:rPr>
        <w:t>Carlill v Carbolic Smoke Ball Company</w:t>
      </w:r>
      <w:r w:rsidRPr="00DE50D1">
        <w:rPr>
          <w:szCs w:val="24"/>
        </w:rPr>
        <w:t xml:space="preserve"> [1892] EWCA </w:t>
      </w:r>
      <w:proofErr w:type="spellStart"/>
      <w:r w:rsidRPr="00DE50D1">
        <w:rPr>
          <w:szCs w:val="24"/>
        </w:rPr>
        <w:t>Civ</w:t>
      </w:r>
      <w:proofErr w:type="spellEnd"/>
      <w:r w:rsidRPr="00DE50D1">
        <w:rPr>
          <w:szCs w:val="24"/>
        </w:rPr>
        <w:t xml:space="preserve"> 1</w:t>
      </w:r>
    </w:p>
    <w:p w14:paraId="268CA75C" w14:textId="77777777" w:rsidR="00F968F2" w:rsidRPr="00DE50D1" w:rsidRDefault="00F968F2" w:rsidP="00707CE9">
      <w:pPr>
        <w:spacing w:after="0" w:line="360" w:lineRule="auto"/>
        <w:rPr>
          <w:szCs w:val="24"/>
        </w:rPr>
      </w:pPr>
      <w:r w:rsidRPr="000C1F42">
        <w:rPr>
          <w:i/>
          <w:iCs/>
          <w:szCs w:val="24"/>
        </w:rPr>
        <w:t>Donoghue v Stevenson</w:t>
      </w:r>
      <w:r w:rsidRPr="00DE50D1">
        <w:rPr>
          <w:szCs w:val="24"/>
        </w:rPr>
        <w:t xml:space="preserve"> [1932] UKHL 100</w:t>
      </w:r>
    </w:p>
    <w:p w14:paraId="7CFD4C29" w14:textId="77777777" w:rsidR="00F968F2" w:rsidRPr="00DE50D1" w:rsidRDefault="00F968F2" w:rsidP="00707CE9">
      <w:pPr>
        <w:spacing w:after="0" w:line="360" w:lineRule="auto"/>
        <w:rPr>
          <w:szCs w:val="24"/>
        </w:rPr>
      </w:pPr>
      <w:r w:rsidRPr="000C1F42">
        <w:rPr>
          <w:i/>
          <w:iCs/>
          <w:szCs w:val="24"/>
        </w:rPr>
        <w:t xml:space="preserve">Hadley &amp; Anor v Baxendale &amp; </w:t>
      </w:r>
      <w:proofErr w:type="spellStart"/>
      <w:r w:rsidRPr="000C1F42">
        <w:rPr>
          <w:i/>
          <w:iCs/>
          <w:szCs w:val="24"/>
        </w:rPr>
        <w:t>Ors</w:t>
      </w:r>
      <w:proofErr w:type="spellEnd"/>
      <w:r w:rsidRPr="000C1F42">
        <w:rPr>
          <w:i/>
          <w:iCs/>
          <w:szCs w:val="24"/>
        </w:rPr>
        <w:t xml:space="preserve"> </w:t>
      </w:r>
      <w:r w:rsidRPr="00DE50D1">
        <w:rPr>
          <w:szCs w:val="24"/>
        </w:rPr>
        <w:t>[1854] EWHC J70</w:t>
      </w:r>
    </w:p>
    <w:p w14:paraId="1C5FB5A3" w14:textId="77777777" w:rsidR="00F968F2" w:rsidRPr="00DE50D1" w:rsidRDefault="00F968F2" w:rsidP="00707CE9">
      <w:pPr>
        <w:spacing w:after="0" w:line="360" w:lineRule="auto"/>
        <w:rPr>
          <w:szCs w:val="24"/>
        </w:rPr>
      </w:pPr>
      <w:r w:rsidRPr="000C1F42">
        <w:rPr>
          <w:i/>
          <w:iCs/>
          <w:szCs w:val="24"/>
        </w:rPr>
        <w:t xml:space="preserve">Pepper (Inspector of Taxes) v Hart </w:t>
      </w:r>
      <w:r w:rsidRPr="00DE50D1">
        <w:rPr>
          <w:szCs w:val="24"/>
        </w:rPr>
        <w:t>[1992] UKHL 3</w:t>
      </w:r>
    </w:p>
    <w:p w14:paraId="1EC7E1B1" w14:textId="77777777" w:rsidR="00F968F2" w:rsidRPr="001043C8" w:rsidRDefault="00F968F2" w:rsidP="00707CE9">
      <w:pPr>
        <w:spacing w:after="0" w:line="360" w:lineRule="auto"/>
        <w:rPr>
          <w:szCs w:val="24"/>
        </w:rPr>
      </w:pPr>
      <w:r w:rsidRPr="001043C8">
        <w:rPr>
          <w:szCs w:val="24"/>
        </w:rPr>
        <w:t>Pound, Roscoe. The spirit of the common law. Routledge, 2018.</w:t>
      </w:r>
    </w:p>
    <w:p w14:paraId="752A14F8" w14:textId="77777777" w:rsidR="00F968F2" w:rsidRDefault="00F968F2" w:rsidP="00707CE9">
      <w:pPr>
        <w:spacing w:after="0" w:line="360" w:lineRule="auto"/>
        <w:rPr>
          <w:szCs w:val="24"/>
        </w:rPr>
      </w:pPr>
      <w:r w:rsidRPr="000C1F42">
        <w:rPr>
          <w:i/>
          <w:iCs/>
          <w:szCs w:val="24"/>
        </w:rPr>
        <w:t xml:space="preserve">R v Dudley and Stephens </w:t>
      </w:r>
      <w:r w:rsidRPr="00DE50D1">
        <w:rPr>
          <w:szCs w:val="24"/>
        </w:rPr>
        <w:t>(1884) 14 QBD 273</w:t>
      </w:r>
    </w:p>
    <w:p w14:paraId="6A736DD8" w14:textId="77777777" w:rsidR="00F968F2" w:rsidRPr="001043C8" w:rsidRDefault="00F968F2" w:rsidP="00707CE9">
      <w:pPr>
        <w:spacing w:after="0" w:line="360" w:lineRule="auto"/>
        <w:rPr>
          <w:szCs w:val="24"/>
        </w:rPr>
      </w:pPr>
      <w:r w:rsidRPr="00204072">
        <w:rPr>
          <w:szCs w:val="24"/>
        </w:rPr>
        <w:t xml:space="preserve">Rühl, G., 2018. Judicial cooperation in civil and commercial matters after Brexit: Which way </w:t>
      </w:r>
      <w:proofErr w:type="gramStart"/>
      <w:r w:rsidRPr="00204072">
        <w:rPr>
          <w:szCs w:val="24"/>
        </w:rPr>
        <w:t>forward?.</w:t>
      </w:r>
      <w:proofErr w:type="gramEnd"/>
      <w:r w:rsidRPr="00204072">
        <w:rPr>
          <w:szCs w:val="24"/>
        </w:rPr>
        <w:t> </w:t>
      </w:r>
      <w:r w:rsidRPr="00204072">
        <w:rPr>
          <w:i/>
          <w:iCs/>
          <w:szCs w:val="24"/>
        </w:rPr>
        <w:t>International &amp; Comparative Law Quarterly</w:t>
      </w:r>
      <w:r w:rsidRPr="00204072">
        <w:rPr>
          <w:szCs w:val="24"/>
        </w:rPr>
        <w:t>, </w:t>
      </w:r>
      <w:r w:rsidRPr="00204072">
        <w:rPr>
          <w:i/>
          <w:iCs/>
          <w:szCs w:val="24"/>
        </w:rPr>
        <w:t>67</w:t>
      </w:r>
      <w:r w:rsidRPr="00204072">
        <w:rPr>
          <w:szCs w:val="24"/>
        </w:rPr>
        <w:t>(1), pp.99-128.</w:t>
      </w:r>
    </w:p>
    <w:p w14:paraId="6949EC21" w14:textId="77777777" w:rsidR="00F968F2" w:rsidRPr="001043C8" w:rsidRDefault="00F968F2" w:rsidP="00707CE9">
      <w:pPr>
        <w:spacing w:after="0" w:line="360" w:lineRule="auto"/>
        <w:rPr>
          <w:szCs w:val="24"/>
        </w:rPr>
      </w:pPr>
      <w:r w:rsidRPr="0016021F">
        <w:rPr>
          <w:szCs w:val="24"/>
        </w:rPr>
        <w:t>Schauer, F., 2022. Civil Law, Common Law, and the Data of Jurisprudence. </w:t>
      </w:r>
      <w:r w:rsidRPr="0016021F">
        <w:rPr>
          <w:i/>
          <w:iCs/>
          <w:szCs w:val="24"/>
        </w:rPr>
        <w:t>Common Law–Civil Law: The Great Divide?</w:t>
      </w:r>
      <w:r w:rsidRPr="0016021F">
        <w:rPr>
          <w:szCs w:val="24"/>
        </w:rPr>
        <w:t>, pp.5-15.</w:t>
      </w:r>
    </w:p>
    <w:sectPr w:rsidR="00F968F2" w:rsidRPr="001043C8" w:rsidSect="00D876B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FBD0D" w14:textId="77777777" w:rsidR="00551DD9" w:rsidRDefault="00551DD9" w:rsidP="00E05D01">
      <w:pPr>
        <w:spacing w:after="0" w:line="240" w:lineRule="auto"/>
      </w:pPr>
      <w:r>
        <w:separator/>
      </w:r>
    </w:p>
  </w:endnote>
  <w:endnote w:type="continuationSeparator" w:id="0">
    <w:p w14:paraId="40A4BB88" w14:textId="77777777" w:rsidR="00551DD9" w:rsidRDefault="00551DD9" w:rsidP="00E05D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1296AE" w14:textId="77777777" w:rsidR="00612134" w:rsidRDefault="006121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4FAA94" w14:textId="77777777" w:rsidR="00612134" w:rsidRDefault="006121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53F2C" w14:textId="77777777" w:rsidR="00612134" w:rsidRDefault="006121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07958" w14:textId="77777777" w:rsidR="00551DD9" w:rsidRDefault="00551DD9" w:rsidP="00E05D01">
      <w:pPr>
        <w:spacing w:after="0" w:line="240" w:lineRule="auto"/>
      </w:pPr>
      <w:r>
        <w:separator/>
      </w:r>
    </w:p>
  </w:footnote>
  <w:footnote w:type="continuationSeparator" w:id="0">
    <w:p w14:paraId="4315930B" w14:textId="77777777" w:rsidR="00551DD9" w:rsidRDefault="00551DD9" w:rsidP="00E05D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76E55" w14:textId="77777777" w:rsidR="00612134" w:rsidRDefault="006121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9610680"/>
      <w:docPartObj>
        <w:docPartGallery w:val="Page Numbers (Top of Page)"/>
        <w:docPartUnique/>
      </w:docPartObj>
    </w:sdtPr>
    <w:sdtEndPr>
      <w:rPr>
        <w:noProof/>
      </w:rPr>
    </w:sdtEndPr>
    <w:sdtContent>
      <w:p w14:paraId="7CC54C33" w14:textId="6CEDABBF" w:rsidR="00612134" w:rsidRDefault="0061213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DBAC202" w14:textId="77777777" w:rsidR="00612134" w:rsidRDefault="006121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C8D91" w14:textId="77777777" w:rsidR="00612134" w:rsidRDefault="006121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7D4B77"/>
    <w:multiLevelType w:val="multilevel"/>
    <w:tmpl w:val="AED01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062CF1"/>
    <w:multiLevelType w:val="multilevel"/>
    <w:tmpl w:val="A78AE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ED2416"/>
    <w:multiLevelType w:val="hybridMultilevel"/>
    <w:tmpl w:val="3BC46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9079962">
    <w:abstractNumId w:val="1"/>
  </w:num>
  <w:num w:numId="2" w16cid:durableId="1199127935">
    <w:abstractNumId w:val="0"/>
  </w:num>
  <w:num w:numId="3" w16cid:durableId="11563831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E35"/>
    <w:rsid w:val="000014BD"/>
    <w:rsid w:val="00002958"/>
    <w:rsid w:val="00003521"/>
    <w:rsid w:val="000054C3"/>
    <w:rsid w:val="00021BAB"/>
    <w:rsid w:val="00022670"/>
    <w:rsid w:val="0006160D"/>
    <w:rsid w:val="0006168F"/>
    <w:rsid w:val="00066E75"/>
    <w:rsid w:val="0008259F"/>
    <w:rsid w:val="0008558A"/>
    <w:rsid w:val="00086156"/>
    <w:rsid w:val="000A0327"/>
    <w:rsid w:val="000B5B47"/>
    <w:rsid w:val="000C1F42"/>
    <w:rsid w:val="000C700A"/>
    <w:rsid w:val="000D5F94"/>
    <w:rsid w:val="000F30BF"/>
    <w:rsid w:val="000F60A1"/>
    <w:rsid w:val="001043C8"/>
    <w:rsid w:val="001057B8"/>
    <w:rsid w:val="00117899"/>
    <w:rsid w:val="001258A7"/>
    <w:rsid w:val="0012669E"/>
    <w:rsid w:val="00132132"/>
    <w:rsid w:val="00152162"/>
    <w:rsid w:val="0015397F"/>
    <w:rsid w:val="00154C25"/>
    <w:rsid w:val="0016021F"/>
    <w:rsid w:val="001765E7"/>
    <w:rsid w:val="00194897"/>
    <w:rsid w:val="001953A5"/>
    <w:rsid w:val="00196314"/>
    <w:rsid w:val="001A3838"/>
    <w:rsid w:val="001B79AF"/>
    <w:rsid w:val="001D12FD"/>
    <w:rsid w:val="001D131E"/>
    <w:rsid w:val="001E622E"/>
    <w:rsid w:val="001F7D9D"/>
    <w:rsid w:val="00201721"/>
    <w:rsid w:val="00204072"/>
    <w:rsid w:val="002152D4"/>
    <w:rsid w:val="00221B01"/>
    <w:rsid w:val="00236F50"/>
    <w:rsid w:val="00237BB9"/>
    <w:rsid w:val="00250AAA"/>
    <w:rsid w:val="002618C9"/>
    <w:rsid w:val="0027005A"/>
    <w:rsid w:val="00270E22"/>
    <w:rsid w:val="00282A4A"/>
    <w:rsid w:val="002A0E1C"/>
    <w:rsid w:val="002A1334"/>
    <w:rsid w:val="002C3B15"/>
    <w:rsid w:val="002D334A"/>
    <w:rsid w:val="002D55EC"/>
    <w:rsid w:val="002D707E"/>
    <w:rsid w:val="002F29D5"/>
    <w:rsid w:val="003173FE"/>
    <w:rsid w:val="003248E7"/>
    <w:rsid w:val="00334E35"/>
    <w:rsid w:val="00364A2C"/>
    <w:rsid w:val="00374482"/>
    <w:rsid w:val="003A3E50"/>
    <w:rsid w:val="003A508A"/>
    <w:rsid w:val="003B3266"/>
    <w:rsid w:val="003B734A"/>
    <w:rsid w:val="003C3E2A"/>
    <w:rsid w:val="003C50D5"/>
    <w:rsid w:val="003F0A6E"/>
    <w:rsid w:val="003F3198"/>
    <w:rsid w:val="00400861"/>
    <w:rsid w:val="004213B8"/>
    <w:rsid w:val="00422D6D"/>
    <w:rsid w:val="00460990"/>
    <w:rsid w:val="00485E07"/>
    <w:rsid w:val="00490976"/>
    <w:rsid w:val="004934F1"/>
    <w:rsid w:val="004B5BD2"/>
    <w:rsid w:val="004C534B"/>
    <w:rsid w:val="004C6E94"/>
    <w:rsid w:val="004D35A2"/>
    <w:rsid w:val="004D6A99"/>
    <w:rsid w:val="004E0DCF"/>
    <w:rsid w:val="004E4C55"/>
    <w:rsid w:val="004E6313"/>
    <w:rsid w:val="005026BE"/>
    <w:rsid w:val="005052E3"/>
    <w:rsid w:val="005059DC"/>
    <w:rsid w:val="00515BD1"/>
    <w:rsid w:val="00537194"/>
    <w:rsid w:val="00546A71"/>
    <w:rsid w:val="00551DD9"/>
    <w:rsid w:val="0056191A"/>
    <w:rsid w:val="0056534F"/>
    <w:rsid w:val="00571D13"/>
    <w:rsid w:val="005908AB"/>
    <w:rsid w:val="005B7268"/>
    <w:rsid w:val="005D2964"/>
    <w:rsid w:val="005F30B2"/>
    <w:rsid w:val="00600734"/>
    <w:rsid w:val="00600F33"/>
    <w:rsid w:val="00612134"/>
    <w:rsid w:val="00617CE2"/>
    <w:rsid w:val="00620219"/>
    <w:rsid w:val="00626CB5"/>
    <w:rsid w:val="00641EAF"/>
    <w:rsid w:val="006465BD"/>
    <w:rsid w:val="00670829"/>
    <w:rsid w:val="006726A3"/>
    <w:rsid w:val="00684704"/>
    <w:rsid w:val="00690A2F"/>
    <w:rsid w:val="00693F93"/>
    <w:rsid w:val="00697A94"/>
    <w:rsid w:val="006A6EE5"/>
    <w:rsid w:val="006B05F0"/>
    <w:rsid w:val="006B0BA6"/>
    <w:rsid w:val="006C085E"/>
    <w:rsid w:val="006C23C0"/>
    <w:rsid w:val="006E0506"/>
    <w:rsid w:val="006E64A0"/>
    <w:rsid w:val="006E7699"/>
    <w:rsid w:val="006E7755"/>
    <w:rsid w:val="006F0BDF"/>
    <w:rsid w:val="00701F54"/>
    <w:rsid w:val="007046DE"/>
    <w:rsid w:val="00707CE9"/>
    <w:rsid w:val="00723ED1"/>
    <w:rsid w:val="00730852"/>
    <w:rsid w:val="00731445"/>
    <w:rsid w:val="007363DA"/>
    <w:rsid w:val="0077493F"/>
    <w:rsid w:val="00790A51"/>
    <w:rsid w:val="007918FB"/>
    <w:rsid w:val="0079645A"/>
    <w:rsid w:val="007968EF"/>
    <w:rsid w:val="007B5CA5"/>
    <w:rsid w:val="007B7B2B"/>
    <w:rsid w:val="007B7D24"/>
    <w:rsid w:val="007C7729"/>
    <w:rsid w:val="007E49F2"/>
    <w:rsid w:val="007E4F6C"/>
    <w:rsid w:val="007F3CFB"/>
    <w:rsid w:val="007F6A24"/>
    <w:rsid w:val="00805706"/>
    <w:rsid w:val="00805E74"/>
    <w:rsid w:val="00807186"/>
    <w:rsid w:val="008141CB"/>
    <w:rsid w:val="00824C09"/>
    <w:rsid w:val="008438F3"/>
    <w:rsid w:val="00845208"/>
    <w:rsid w:val="0085776D"/>
    <w:rsid w:val="00862D11"/>
    <w:rsid w:val="0087042D"/>
    <w:rsid w:val="0087073B"/>
    <w:rsid w:val="00893957"/>
    <w:rsid w:val="008961A0"/>
    <w:rsid w:val="008A5A9B"/>
    <w:rsid w:val="00907136"/>
    <w:rsid w:val="009159AA"/>
    <w:rsid w:val="009238A0"/>
    <w:rsid w:val="0095377B"/>
    <w:rsid w:val="00962AED"/>
    <w:rsid w:val="00974529"/>
    <w:rsid w:val="0098172D"/>
    <w:rsid w:val="0098419C"/>
    <w:rsid w:val="009935C1"/>
    <w:rsid w:val="009B5B5D"/>
    <w:rsid w:val="009C6353"/>
    <w:rsid w:val="009D4E3E"/>
    <w:rsid w:val="009E0774"/>
    <w:rsid w:val="00A07A8E"/>
    <w:rsid w:val="00A13F09"/>
    <w:rsid w:val="00A22D5C"/>
    <w:rsid w:val="00A24342"/>
    <w:rsid w:val="00A417A3"/>
    <w:rsid w:val="00A4484B"/>
    <w:rsid w:val="00A5368C"/>
    <w:rsid w:val="00A574C4"/>
    <w:rsid w:val="00A621D6"/>
    <w:rsid w:val="00A6471C"/>
    <w:rsid w:val="00A6556D"/>
    <w:rsid w:val="00A82B91"/>
    <w:rsid w:val="00A867A9"/>
    <w:rsid w:val="00A97CA4"/>
    <w:rsid w:val="00AA50FE"/>
    <w:rsid w:val="00AD33FD"/>
    <w:rsid w:val="00AD64FE"/>
    <w:rsid w:val="00AF4C7E"/>
    <w:rsid w:val="00AF52B0"/>
    <w:rsid w:val="00B01654"/>
    <w:rsid w:val="00B060A0"/>
    <w:rsid w:val="00B35A80"/>
    <w:rsid w:val="00B4404C"/>
    <w:rsid w:val="00B6130E"/>
    <w:rsid w:val="00B96722"/>
    <w:rsid w:val="00BA035E"/>
    <w:rsid w:val="00BB6010"/>
    <w:rsid w:val="00BB65A5"/>
    <w:rsid w:val="00BD5C10"/>
    <w:rsid w:val="00BE4F87"/>
    <w:rsid w:val="00BF021B"/>
    <w:rsid w:val="00BF7F1B"/>
    <w:rsid w:val="00C01A17"/>
    <w:rsid w:val="00C14815"/>
    <w:rsid w:val="00C24EC4"/>
    <w:rsid w:val="00C36BD0"/>
    <w:rsid w:val="00C54245"/>
    <w:rsid w:val="00C576B7"/>
    <w:rsid w:val="00C616FF"/>
    <w:rsid w:val="00C658AD"/>
    <w:rsid w:val="00C71EA7"/>
    <w:rsid w:val="00CA12B7"/>
    <w:rsid w:val="00CA312E"/>
    <w:rsid w:val="00CD28CD"/>
    <w:rsid w:val="00CD679A"/>
    <w:rsid w:val="00CD6C4F"/>
    <w:rsid w:val="00CE405C"/>
    <w:rsid w:val="00CE43D3"/>
    <w:rsid w:val="00CF2EC7"/>
    <w:rsid w:val="00D0245B"/>
    <w:rsid w:val="00D11D28"/>
    <w:rsid w:val="00D33F2B"/>
    <w:rsid w:val="00D50951"/>
    <w:rsid w:val="00D72158"/>
    <w:rsid w:val="00D73F6E"/>
    <w:rsid w:val="00D85701"/>
    <w:rsid w:val="00D876BA"/>
    <w:rsid w:val="00D87D93"/>
    <w:rsid w:val="00DA14F3"/>
    <w:rsid w:val="00DA1E9D"/>
    <w:rsid w:val="00DD4732"/>
    <w:rsid w:val="00DD4D08"/>
    <w:rsid w:val="00DE50D1"/>
    <w:rsid w:val="00DF6849"/>
    <w:rsid w:val="00E05C96"/>
    <w:rsid w:val="00E05D01"/>
    <w:rsid w:val="00E11AB3"/>
    <w:rsid w:val="00E2069B"/>
    <w:rsid w:val="00E227A7"/>
    <w:rsid w:val="00E22DC8"/>
    <w:rsid w:val="00E4290C"/>
    <w:rsid w:val="00E556C8"/>
    <w:rsid w:val="00E56881"/>
    <w:rsid w:val="00E93FB3"/>
    <w:rsid w:val="00E96F49"/>
    <w:rsid w:val="00EB042F"/>
    <w:rsid w:val="00EB440D"/>
    <w:rsid w:val="00EB7CDA"/>
    <w:rsid w:val="00EC2A9E"/>
    <w:rsid w:val="00ED0F11"/>
    <w:rsid w:val="00EE0925"/>
    <w:rsid w:val="00F22859"/>
    <w:rsid w:val="00F30E0E"/>
    <w:rsid w:val="00F34F3C"/>
    <w:rsid w:val="00F3675F"/>
    <w:rsid w:val="00F50410"/>
    <w:rsid w:val="00F5119D"/>
    <w:rsid w:val="00F7122E"/>
    <w:rsid w:val="00F73EA5"/>
    <w:rsid w:val="00F8228D"/>
    <w:rsid w:val="00F968F2"/>
    <w:rsid w:val="00FA3B98"/>
    <w:rsid w:val="00FD2673"/>
    <w:rsid w:val="00FE72E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42B3E9"/>
  <w15:chartTrackingRefBased/>
  <w15:docId w15:val="{D45FE56C-0859-44AA-A5F6-1CC8618EA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D28"/>
    <w:rPr>
      <w:rFonts w:ascii="Times New Roman" w:hAnsi="Times New Roman"/>
      <w:sz w:val="24"/>
    </w:rPr>
  </w:style>
  <w:style w:type="paragraph" w:styleId="Heading1">
    <w:name w:val="heading 1"/>
    <w:basedOn w:val="Normal"/>
    <w:next w:val="Normal"/>
    <w:link w:val="Heading1Char"/>
    <w:uiPriority w:val="9"/>
    <w:qFormat/>
    <w:rsid w:val="007046DE"/>
    <w:pPr>
      <w:keepNext/>
      <w:keepLines/>
      <w:spacing w:before="240" w:after="0"/>
      <w:outlineLvl w:val="0"/>
    </w:pPr>
    <w:rPr>
      <w:rFonts w:eastAsiaTheme="majorEastAsia" w:cs="Times New Roman"/>
      <w:b/>
      <w:bCs/>
      <w:i/>
      <w:iCs/>
      <w:szCs w:val="24"/>
    </w:rPr>
  </w:style>
  <w:style w:type="paragraph" w:styleId="Heading2">
    <w:name w:val="heading 2"/>
    <w:basedOn w:val="Normal"/>
    <w:next w:val="Normal"/>
    <w:link w:val="Heading2Char"/>
    <w:uiPriority w:val="9"/>
    <w:unhideWhenUsed/>
    <w:qFormat/>
    <w:rsid w:val="006E0506"/>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5B7268"/>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6DE"/>
    <w:rPr>
      <w:rFonts w:ascii="Times New Roman" w:eastAsiaTheme="majorEastAsia" w:hAnsi="Times New Roman" w:cs="Times New Roman"/>
      <w:b/>
      <w:bCs/>
      <w:i/>
      <w:iCs/>
      <w:sz w:val="24"/>
      <w:szCs w:val="24"/>
    </w:rPr>
  </w:style>
  <w:style w:type="character" w:customStyle="1" w:styleId="Heading2Char">
    <w:name w:val="Heading 2 Char"/>
    <w:basedOn w:val="DefaultParagraphFont"/>
    <w:link w:val="Heading2"/>
    <w:uiPriority w:val="9"/>
    <w:rsid w:val="006E0506"/>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3F0A6E"/>
    <w:pPr>
      <w:spacing w:after="0" w:line="240" w:lineRule="auto"/>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3F0A6E"/>
    <w:rPr>
      <w:rFonts w:ascii="Times New Roman" w:eastAsiaTheme="majorEastAsia" w:hAnsi="Times New Roman" w:cstheme="majorBidi"/>
      <w:b/>
      <w:spacing w:val="-10"/>
      <w:kern w:val="28"/>
      <w:sz w:val="32"/>
      <w:szCs w:val="56"/>
    </w:rPr>
  </w:style>
  <w:style w:type="character" w:customStyle="1" w:styleId="Heading3Char">
    <w:name w:val="Heading 3 Char"/>
    <w:basedOn w:val="DefaultParagraphFont"/>
    <w:link w:val="Heading3"/>
    <w:uiPriority w:val="9"/>
    <w:rsid w:val="005B7268"/>
    <w:rPr>
      <w:rFonts w:ascii="Times New Roman" w:eastAsiaTheme="majorEastAsia" w:hAnsi="Times New Roman" w:cstheme="majorBidi"/>
      <w:b/>
      <w:i/>
      <w:sz w:val="24"/>
      <w:szCs w:val="24"/>
    </w:rPr>
  </w:style>
  <w:style w:type="paragraph" w:styleId="NormalWeb">
    <w:name w:val="Normal (Web)"/>
    <w:basedOn w:val="Normal"/>
    <w:uiPriority w:val="99"/>
    <w:semiHidden/>
    <w:unhideWhenUsed/>
    <w:rsid w:val="00282A4A"/>
    <w:rPr>
      <w:rFonts w:cs="Times New Roman"/>
      <w:szCs w:val="24"/>
    </w:rPr>
  </w:style>
  <w:style w:type="paragraph" w:styleId="FootnoteText">
    <w:name w:val="footnote text"/>
    <w:basedOn w:val="Normal"/>
    <w:link w:val="FootnoteTextChar"/>
    <w:uiPriority w:val="99"/>
    <w:semiHidden/>
    <w:unhideWhenUsed/>
    <w:rsid w:val="00E05D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5D01"/>
    <w:rPr>
      <w:rFonts w:ascii="Times New Roman" w:hAnsi="Times New Roman"/>
      <w:sz w:val="20"/>
      <w:szCs w:val="20"/>
    </w:rPr>
  </w:style>
  <w:style w:type="character" w:styleId="FootnoteReference">
    <w:name w:val="footnote reference"/>
    <w:basedOn w:val="DefaultParagraphFont"/>
    <w:uiPriority w:val="99"/>
    <w:semiHidden/>
    <w:unhideWhenUsed/>
    <w:rsid w:val="00E05D01"/>
    <w:rPr>
      <w:vertAlign w:val="superscript"/>
    </w:rPr>
  </w:style>
  <w:style w:type="paragraph" w:styleId="ListParagraph">
    <w:name w:val="List Paragraph"/>
    <w:basedOn w:val="Normal"/>
    <w:uiPriority w:val="34"/>
    <w:qFormat/>
    <w:rsid w:val="00DD4732"/>
    <w:pPr>
      <w:ind w:left="720"/>
      <w:contextualSpacing/>
    </w:pPr>
  </w:style>
  <w:style w:type="paragraph" w:styleId="Header">
    <w:name w:val="header"/>
    <w:basedOn w:val="Normal"/>
    <w:link w:val="HeaderChar"/>
    <w:uiPriority w:val="99"/>
    <w:unhideWhenUsed/>
    <w:rsid w:val="00612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134"/>
    <w:rPr>
      <w:rFonts w:ascii="Times New Roman" w:hAnsi="Times New Roman"/>
      <w:sz w:val="24"/>
    </w:rPr>
  </w:style>
  <w:style w:type="paragraph" w:styleId="Footer">
    <w:name w:val="footer"/>
    <w:basedOn w:val="Normal"/>
    <w:link w:val="FooterChar"/>
    <w:uiPriority w:val="99"/>
    <w:unhideWhenUsed/>
    <w:rsid w:val="00612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13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82072">
      <w:bodyDiv w:val="1"/>
      <w:marLeft w:val="0"/>
      <w:marRight w:val="0"/>
      <w:marTop w:val="0"/>
      <w:marBottom w:val="0"/>
      <w:divBdr>
        <w:top w:val="none" w:sz="0" w:space="0" w:color="auto"/>
        <w:left w:val="none" w:sz="0" w:space="0" w:color="auto"/>
        <w:bottom w:val="none" w:sz="0" w:space="0" w:color="auto"/>
        <w:right w:val="none" w:sz="0" w:space="0" w:color="auto"/>
      </w:divBdr>
    </w:div>
    <w:div w:id="367687221">
      <w:bodyDiv w:val="1"/>
      <w:marLeft w:val="0"/>
      <w:marRight w:val="0"/>
      <w:marTop w:val="0"/>
      <w:marBottom w:val="0"/>
      <w:divBdr>
        <w:top w:val="none" w:sz="0" w:space="0" w:color="auto"/>
        <w:left w:val="none" w:sz="0" w:space="0" w:color="auto"/>
        <w:bottom w:val="none" w:sz="0" w:space="0" w:color="auto"/>
        <w:right w:val="none" w:sz="0" w:space="0" w:color="auto"/>
      </w:divBdr>
    </w:div>
    <w:div w:id="379063551">
      <w:bodyDiv w:val="1"/>
      <w:marLeft w:val="0"/>
      <w:marRight w:val="0"/>
      <w:marTop w:val="0"/>
      <w:marBottom w:val="0"/>
      <w:divBdr>
        <w:top w:val="none" w:sz="0" w:space="0" w:color="auto"/>
        <w:left w:val="none" w:sz="0" w:space="0" w:color="auto"/>
        <w:bottom w:val="none" w:sz="0" w:space="0" w:color="auto"/>
        <w:right w:val="none" w:sz="0" w:space="0" w:color="auto"/>
      </w:divBdr>
    </w:div>
    <w:div w:id="521672061">
      <w:bodyDiv w:val="1"/>
      <w:marLeft w:val="0"/>
      <w:marRight w:val="0"/>
      <w:marTop w:val="0"/>
      <w:marBottom w:val="0"/>
      <w:divBdr>
        <w:top w:val="none" w:sz="0" w:space="0" w:color="auto"/>
        <w:left w:val="none" w:sz="0" w:space="0" w:color="auto"/>
        <w:bottom w:val="none" w:sz="0" w:space="0" w:color="auto"/>
        <w:right w:val="none" w:sz="0" w:space="0" w:color="auto"/>
      </w:divBdr>
    </w:div>
    <w:div w:id="580725019">
      <w:bodyDiv w:val="1"/>
      <w:marLeft w:val="0"/>
      <w:marRight w:val="0"/>
      <w:marTop w:val="0"/>
      <w:marBottom w:val="0"/>
      <w:divBdr>
        <w:top w:val="none" w:sz="0" w:space="0" w:color="auto"/>
        <w:left w:val="none" w:sz="0" w:space="0" w:color="auto"/>
        <w:bottom w:val="none" w:sz="0" w:space="0" w:color="auto"/>
        <w:right w:val="none" w:sz="0" w:space="0" w:color="auto"/>
      </w:divBdr>
    </w:div>
    <w:div w:id="790440598">
      <w:bodyDiv w:val="1"/>
      <w:marLeft w:val="0"/>
      <w:marRight w:val="0"/>
      <w:marTop w:val="0"/>
      <w:marBottom w:val="0"/>
      <w:divBdr>
        <w:top w:val="none" w:sz="0" w:space="0" w:color="auto"/>
        <w:left w:val="none" w:sz="0" w:space="0" w:color="auto"/>
        <w:bottom w:val="none" w:sz="0" w:space="0" w:color="auto"/>
        <w:right w:val="none" w:sz="0" w:space="0" w:color="auto"/>
      </w:divBdr>
    </w:div>
    <w:div w:id="1116608200">
      <w:bodyDiv w:val="1"/>
      <w:marLeft w:val="0"/>
      <w:marRight w:val="0"/>
      <w:marTop w:val="0"/>
      <w:marBottom w:val="0"/>
      <w:divBdr>
        <w:top w:val="none" w:sz="0" w:space="0" w:color="auto"/>
        <w:left w:val="none" w:sz="0" w:space="0" w:color="auto"/>
        <w:bottom w:val="none" w:sz="0" w:space="0" w:color="auto"/>
        <w:right w:val="none" w:sz="0" w:space="0" w:color="auto"/>
      </w:divBdr>
    </w:div>
    <w:div w:id="1137408399">
      <w:bodyDiv w:val="1"/>
      <w:marLeft w:val="0"/>
      <w:marRight w:val="0"/>
      <w:marTop w:val="0"/>
      <w:marBottom w:val="0"/>
      <w:divBdr>
        <w:top w:val="none" w:sz="0" w:space="0" w:color="auto"/>
        <w:left w:val="none" w:sz="0" w:space="0" w:color="auto"/>
        <w:bottom w:val="none" w:sz="0" w:space="0" w:color="auto"/>
        <w:right w:val="none" w:sz="0" w:space="0" w:color="auto"/>
      </w:divBdr>
    </w:div>
    <w:div w:id="1318458398">
      <w:bodyDiv w:val="1"/>
      <w:marLeft w:val="0"/>
      <w:marRight w:val="0"/>
      <w:marTop w:val="0"/>
      <w:marBottom w:val="0"/>
      <w:divBdr>
        <w:top w:val="none" w:sz="0" w:space="0" w:color="auto"/>
        <w:left w:val="none" w:sz="0" w:space="0" w:color="auto"/>
        <w:bottom w:val="none" w:sz="0" w:space="0" w:color="auto"/>
        <w:right w:val="none" w:sz="0" w:space="0" w:color="auto"/>
      </w:divBdr>
      <w:divsChild>
        <w:div w:id="1340429927">
          <w:marLeft w:val="0"/>
          <w:marRight w:val="0"/>
          <w:marTop w:val="0"/>
          <w:marBottom w:val="0"/>
          <w:divBdr>
            <w:top w:val="single" w:sz="2" w:space="0" w:color="auto"/>
            <w:left w:val="single" w:sz="2" w:space="0" w:color="auto"/>
            <w:bottom w:val="single" w:sz="6" w:space="0" w:color="auto"/>
            <w:right w:val="single" w:sz="2" w:space="0" w:color="auto"/>
          </w:divBdr>
          <w:divsChild>
            <w:div w:id="277614515">
              <w:marLeft w:val="0"/>
              <w:marRight w:val="0"/>
              <w:marTop w:val="100"/>
              <w:marBottom w:val="100"/>
              <w:divBdr>
                <w:top w:val="single" w:sz="2" w:space="0" w:color="D9D9E3"/>
                <w:left w:val="single" w:sz="2" w:space="0" w:color="D9D9E3"/>
                <w:bottom w:val="single" w:sz="2" w:space="0" w:color="D9D9E3"/>
                <w:right w:val="single" w:sz="2" w:space="0" w:color="D9D9E3"/>
              </w:divBdr>
              <w:divsChild>
                <w:div w:id="599797377">
                  <w:marLeft w:val="0"/>
                  <w:marRight w:val="0"/>
                  <w:marTop w:val="0"/>
                  <w:marBottom w:val="0"/>
                  <w:divBdr>
                    <w:top w:val="single" w:sz="2" w:space="0" w:color="D9D9E3"/>
                    <w:left w:val="single" w:sz="2" w:space="0" w:color="D9D9E3"/>
                    <w:bottom w:val="single" w:sz="2" w:space="0" w:color="D9D9E3"/>
                    <w:right w:val="single" w:sz="2" w:space="0" w:color="D9D9E3"/>
                  </w:divBdr>
                  <w:divsChild>
                    <w:div w:id="1472867102">
                      <w:marLeft w:val="0"/>
                      <w:marRight w:val="0"/>
                      <w:marTop w:val="0"/>
                      <w:marBottom w:val="0"/>
                      <w:divBdr>
                        <w:top w:val="single" w:sz="2" w:space="0" w:color="D9D9E3"/>
                        <w:left w:val="single" w:sz="2" w:space="0" w:color="D9D9E3"/>
                        <w:bottom w:val="single" w:sz="2" w:space="0" w:color="D9D9E3"/>
                        <w:right w:val="single" w:sz="2" w:space="0" w:color="D9D9E3"/>
                      </w:divBdr>
                      <w:divsChild>
                        <w:div w:id="1074082752">
                          <w:marLeft w:val="0"/>
                          <w:marRight w:val="0"/>
                          <w:marTop w:val="0"/>
                          <w:marBottom w:val="0"/>
                          <w:divBdr>
                            <w:top w:val="single" w:sz="2" w:space="0" w:color="D9D9E3"/>
                            <w:left w:val="single" w:sz="2" w:space="0" w:color="D9D9E3"/>
                            <w:bottom w:val="single" w:sz="2" w:space="0" w:color="D9D9E3"/>
                            <w:right w:val="single" w:sz="2" w:space="0" w:color="D9D9E3"/>
                          </w:divBdr>
                          <w:divsChild>
                            <w:div w:id="363560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64944709">
      <w:bodyDiv w:val="1"/>
      <w:marLeft w:val="0"/>
      <w:marRight w:val="0"/>
      <w:marTop w:val="0"/>
      <w:marBottom w:val="0"/>
      <w:divBdr>
        <w:top w:val="none" w:sz="0" w:space="0" w:color="auto"/>
        <w:left w:val="none" w:sz="0" w:space="0" w:color="auto"/>
        <w:bottom w:val="none" w:sz="0" w:space="0" w:color="auto"/>
        <w:right w:val="none" w:sz="0" w:space="0" w:color="auto"/>
      </w:divBdr>
      <w:divsChild>
        <w:div w:id="1554852932">
          <w:marLeft w:val="0"/>
          <w:marRight w:val="0"/>
          <w:marTop w:val="0"/>
          <w:marBottom w:val="0"/>
          <w:divBdr>
            <w:top w:val="single" w:sz="2" w:space="0" w:color="auto"/>
            <w:left w:val="single" w:sz="2" w:space="0" w:color="auto"/>
            <w:bottom w:val="single" w:sz="6" w:space="0" w:color="auto"/>
            <w:right w:val="single" w:sz="2" w:space="0" w:color="auto"/>
          </w:divBdr>
          <w:divsChild>
            <w:div w:id="944077455">
              <w:marLeft w:val="0"/>
              <w:marRight w:val="0"/>
              <w:marTop w:val="100"/>
              <w:marBottom w:val="100"/>
              <w:divBdr>
                <w:top w:val="single" w:sz="2" w:space="0" w:color="D9D9E3"/>
                <w:left w:val="single" w:sz="2" w:space="0" w:color="D9D9E3"/>
                <w:bottom w:val="single" w:sz="2" w:space="0" w:color="D9D9E3"/>
                <w:right w:val="single" w:sz="2" w:space="0" w:color="D9D9E3"/>
              </w:divBdr>
              <w:divsChild>
                <w:div w:id="576013281">
                  <w:marLeft w:val="0"/>
                  <w:marRight w:val="0"/>
                  <w:marTop w:val="0"/>
                  <w:marBottom w:val="0"/>
                  <w:divBdr>
                    <w:top w:val="single" w:sz="2" w:space="0" w:color="D9D9E3"/>
                    <w:left w:val="single" w:sz="2" w:space="0" w:color="D9D9E3"/>
                    <w:bottom w:val="single" w:sz="2" w:space="0" w:color="D9D9E3"/>
                    <w:right w:val="single" w:sz="2" w:space="0" w:color="D9D9E3"/>
                  </w:divBdr>
                  <w:divsChild>
                    <w:div w:id="955911520">
                      <w:marLeft w:val="0"/>
                      <w:marRight w:val="0"/>
                      <w:marTop w:val="0"/>
                      <w:marBottom w:val="0"/>
                      <w:divBdr>
                        <w:top w:val="single" w:sz="2" w:space="0" w:color="D9D9E3"/>
                        <w:left w:val="single" w:sz="2" w:space="0" w:color="D9D9E3"/>
                        <w:bottom w:val="single" w:sz="2" w:space="0" w:color="D9D9E3"/>
                        <w:right w:val="single" w:sz="2" w:space="0" w:color="D9D9E3"/>
                      </w:divBdr>
                      <w:divsChild>
                        <w:div w:id="1928951858">
                          <w:marLeft w:val="0"/>
                          <w:marRight w:val="0"/>
                          <w:marTop w:val="0"/>
                          <w:marBottom w:val="0"/>
                          <w:divBdr>
                            <w:top w:val="single" w:sz="2" w:space="0" w:color="D9D9E3"/>
                            <w:left w:val="single" w:sz="2" w:space="0" w:color="D9D9E3"/>
                            <w:bottom w:val="single" w:sz="2" w:space="0" w:color="D9D9E3"/>
                            <w:right w:val="single" w:sz="2" w:space="0" w:color="D9D9E3"/>
                          </w:divBdr>
                          <w:divsChild>
                            <w:div w:id="2140060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1734</Words>
  <Characters>9886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dabir ali</cp:lastModifiedBy>
  <cp:revision>2</cp:revision>
  <dcterms:created xsi:type="dcterms:W3CDTF">2023-03-10T23:00:00Z</dcterms:created>
  <dcterms:modified xsi:type="dcterms:W3CDTF">2023-03-10T23:00:00Z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e8cecac4-ee81-46e5-b99a-9bccf8da3003</vt:lpwstr>
  </property>
</Properties>
</file>