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rPr>
          <w:color w:val="142440"/>
        </w:rPr>
        <w:t>Case Reading 2: Tesla Berlin Factory Expansion</w:t>
      </w:r>
    </w:p>
    <w:p>
      <w:r>
        <w:rPr>
          <w:b/>
          <w:color w:val="245FB4"/>
          <w:sz w:val="24"/>
        </w:rPr>
        <w:t>Tool / Framework: Stakeholder Map + Mendelow Power–Interest Grid</w:t>
      </w:r>
    </w:p>
    <w:tbl>
      <w:tblPr>
        <w:tblW w:type="auto" w:w="0"/>
        <w:jc w:val="center"/>
        <w:tblLook w:firstColumn="1" w:firstRow="1" w:lastColumn="0" w:lastRow="0" w:noHBand="0" w:noVBand="1" w:val="04A0"/>
      </w:tblPr>
      <w:tblGrid>
        <w:gridCol w:w="10368"/>
      </w:tblGrid>
      <w:tr>
        <w:tc>
          <w:tcPr>
            <w:tcW w:type="dxa" w:w="10368"/>
            <w:shd w:fill="EAF2FD"/>
          </w:tcPr>
          <w:p>
            <w:r>
              <w:rPr>
                <w:b/>
                <w:color w:val="142440"/>
                <w:sz w:val="24"/>
              </w:rPr>
              <w:t xml:space="preserve">The decision: </w:t>
            </w:r>
            <w:r>
              <w:rPr>
                <w:color w:val="142440"/>
                <w:sz w:val="24"/>
              </w:rPr>
              <w:t>Should Tesla continue expanding its factory near Berlin despite concerns from local residents and environmental groups?</w:t>
            </w:r>
          </w:p>
        </w:tc>
      </w:tr>
    </w:tbl>
    <w:p>
      <w:pPr>
        <w:pStyle w:val="Heading1"/>
      </w:pPr>
      <w:r>
        <w:t>Case reading</w:t>
      </w:r>
    </w:p>
    <w:p>
      <w:pPr>
        <w:spacing w:after="120"/>
      </w:pPr>
      <w:r>
        <w:t>Tesla operates a large electric-vehicle factory in Grünheide, near Berlin, Germany. The company has wanted to expand the site so that it can increase production. Its longer-term plans include capacity for up to one million electric vehicles a year and much larger battery production.</w:t>
      </w:r>
    </w:p>
    <w:p>
      <w:pPr>
        <w:spacing w:after="120"/>
      </w:pPr>
      <w:r>
        <w:t>In May 2024, the local council gave an initial approval for part of the expansion plan. However, the project remained controversial. Environmental groups and some local residents argued that the factory and its expansion could put pressure on the local water supply. The site is close to a drinking-water protection area, so water use and environmental protection became major concerns.</w:t>
      </w:r>
    </w:p>
    <w:p>
      <w:pPr>
        <w:spacing w:after="120"/>
      </w:pPr>
      <w:r>
        <w:t>The expansion also involved clearing forest. Tesla changed its plan after public opposition and reduced the proposed area of deforestation from around 100 hectares to 47 hectares. Even after this change, protests continued. Some campaigners argued that environmental protection and local water security should be prioritised over the company’s expansion plans.</w:t>
      </w:r>
    </w:p>
    <w:p>
      <w:pPr>
        <w:spacing w:after="120"/>
      </w:pPr>
      <w:r>
        <w:t>Tesla, however, has strong economic arguments. Expanding the plant could support production, employment, suppliers and Germany’s electric-vehicle industry. Local and regional authorities also have an interest in investment, jobs and economic development. At the same time, regulators must consider environmental rules and local communities may face costs or risks that are not shared equally.</w:t>
      </w:r>
    </w:p>
    <w:p>
      <w:pPr>
        <w:spacing w:after="120"/>
      </w:pPr>
      <w:r>
        <w:t>The case therefore involves many different stakeholders with different levels of power, interest and exposure to the decision. Some stakeholders can formally approve or block parts of the expansion. Others may have less formal power but may be strongly affected by the consequences.</w:t>
      </w:r>
    </w:p>
    <w:p>
      <w:r>
        <w:rPr>
          <w:b/>
          <w:sz w:val="19"/>
        </w:rPr>
        <w:t xml:space="preserve">Source: </w:t>
      </w:r>
      <w:hyperlink r:id="rId11">
        <w:r>
          <w:rPr>
            <w:color w:val="0563C1"/>
            <w:u w:val="single"/>
          </w:rPr>
          <w:t>Reuters: Tesla gets local council go-ahead for German factory expansion</w:t>
        </w:r>
      </w:hyperlink>
      <w:r>
        <w:rPr>
          <w:color w:val="646464"/>
          <w:sz w:val="19"/>
        </w:rPr>
        <w:t xml:space="preserve"> — 16 May 2024</w:t>
      </w:r>
    </w:p>
    <w:p>
      <w:pPr>
        <w:pStyle w:val="Heading1"/>
      </w:pPr>
      <w:r>
        <w:t>Activity A — Stakeholder Map</w:t>
      </w:r>
    </w:p>
    <w:p>
      <w:r>
        <w:t>Identify at least SIX stakeholders. For each one, write what they want and how the decision may affect them.</w:t>
      </w:r>
    </w:p>
    <w:tbl>
      <w:tblPr>
        <w:tblW w:type="auto" w:w="0"/>
        <w:jc w:val="center"/>
        <w:tblLook w:firstColumn="1" w:firstRow="1" w:lastColumn="0" w:lastRow="0" w:noHBand="0" w:noVBand="1" w:val="04A0"/>
      </w:tblPr>
      <w:tblGrid>
        <w:gridCol w:w="3456"/>
        <w:gridCol w:w="3456"/>
        <w:gridCol w:w="3456"/>
      </w:tblGrid>
      <w:tr>
        <w:tc>
          <w:tcPr>
            <w:tcW w:type="dxa" w:w="3456"/>
            <w:shd w:fill="245FB4"/>
          </w:tcPr>
          <w:p>
            <w:r/>
            <w:r>
              <w:rPr>
                <w:b/>
                <w:color w:val="FFFFFF"/>
                <w:sz w:val="20"/>
              </w:rPr>
              <w:t>Stakeholder</w:t>
            </w:r>
          </w:p>
        </w:tc>
        <w:tc>
          <w:tcPr>
            <w:tcW w:type="dxa" w:w="3456"/>
            <w:shd w:fill="245FB4"/>
          </w:tcPr>
          <w:p>
            <w:r/>
            <w:r>
              <w:rPr>
                <w:b/>
                <w:color w:val="FFFFFF"/>
                <w:sz w:val="20"/>
              </w:rPr>
              <w:t>Main interest / concern</w:t>
            </w:r>
          </w:p>
        </w:tc>
        <w:tc>
          <w:tcPr>
            <w:tcW w:type="dxa" w:w="3456"/>
            <w:shd w:fill="245FB4"/>
          </w:tcPr>
          <w:p>
            <w:r/>
            <w:r>
              <w:rPr>
                <w:b/>
                <w:color w:val="FFFFFF"/>
                <w:sz w:val="20"/>
              </w:rPr>
              <w:t>How might Tesla’s decision affect them?</w:t>
            </w:r>
          </w:p>
        </w:tc>
      </w:tr>
      <w:tr>
        <w:tc>
          <w:tcPr>
            <w:tcW w:type="dxa" w:w="3456"/>
          </w:tcPr>
          <w:p>
            <w:r/>
            <w:r>
              <w:rPr>
                <w:b w:val="0"/>
                <w:color w:val="333333"/>
                <w:sz w:val="20"/>
              </w:rPr>
              <w:t xml:space="preserve"> </w:t>
            </w:r>
          </w:p>
        </w:tc>
        <w:tc>
          <w:tcPr>
            <w:tcW w:type="dxa" w:w="3456"/>
          </w:tcPr>
          <w:p>
            <w:r/>
            <w:r>
              <w:rPr>
                <w:b w:val="0"/>
                <w:color w:val="333333"/>
                <w:sz w:val="20"/>
              </w:rPr>
              <w:t xml:space="preserve"> </w:t>
            </w:r>
          </w:p>
        </w:tc>
        <w:tc>
          <w:tcPr>
            <w:tcW w:type="dxa" w:w="3456"/>
          </w:tcPr>
          <w:p>
            <w:r/>
            <w:r>
              <w:rPr>
                <w:b w:val="0"/>
                <w:color w:val="333333"/>
                <w:sz w:val="20"/>
              </w:rPr>
              <w:t xml:space="preserve"> </w:t>
            </w:r>
          </w:p>
        </w:tc>
      </w:tr>
      <w:tr>
        <w:tc>
          <w:tcPr>
            <w:tcW w:type="dxa" w:w="3456"/>
          </w:tcPr>
          <w:p>
            <w:r/>
            <w:r>
              <w:rPr>
                <w:b w:val="0"/>
                <w:color w:val="333333"/>
                <w:sz w:val="20"/>
              </w:rPr>
              <w:t xml:space="preserve"> </w:t>
            </w:r>
          </w:p>
        </w:tc>
        <w:tc>
          <w:tcPr>
            <w:tcW w:type="dxa" w:w="3456"/>
          </w:tcPr>
          <w:p>
            <w:r/>
            <w:r>
              <w:rPr>
                <w:b w:val="0"/>
                <w:color w:val="333333"/>
                <w:sz w:val="20"/>
              </w:rPr>
              <w:t xml:space="preserve"> </w:t>
            </w:r>
          </w:p>
        </w:tc>
        <w:tc>
          <w:tcPr>
            <w:tcW w:type="dxa" w:w="3456"/>
          </w:tcPr>
          <w:p>
            <w:r/>
            <w:r>
              <w:rPr>
                <w:b w:val="0"/>
                <w:color w:val="333333"/>
                <w:sz w:val="20"/>
              </w:rPr>
              <w:t xml:space="preserve"> </w:t>
            </w:r>
          </w:p>
        </w:tc>
      </w:tr>
      <w:tr>
        <w:tc>
          <w:tcPr>
            <w:tcW w:type="dxa" w:w="3456"/>
          </w:tcPr>
          <w:p>
            <w:r/>
            <w:r>
              <w:rPr>
                <w:b w:val="0"/>
                <w:color w:val="333333"/>
                <w:sz w:val="20"/>
              </w:rPr>
              <w:t xml:space="preserve"> </w:t>
            </w:r>
          </w:p>
        </w:tc>
        <w:tc>
          <w:tcPr>
            <w:tcW w:type="dxa" w:w="3456"/>
          </w:tcPr>
          <w:p>
            <w:r/>
            <w:r>
              <w:rPr>
                <w:b w:val="0"/>
                <w:color w:val="333333"/>
                <w:sz w:val="20"/>
              </w:rPr>
              <w:t xml:space="preserve"> </w:t>
            </w:r>
          </w:p>
        </w:tc>
        <w:tc>
          <w:tcPr>
            <w:tcW w:type="dxa" w:w="3456"/>
          </w:tcPr>
          <w:p>
            <w:r/>
            <w:r>
              <w:rPr>
                <w:b w:val="0"/>
                <w:color w:val="333333"/>
                <w:sz w:val="20"/>
              </w:rPr>
              <w:t xml:space="preserve"> </w:t>
            </w:r>
          </w:p>
        </w:tc>
      </w:tr>
      <w:tr>
        <w:tc>
          <w:tcPr>
            <w:tcW w:type="dxa" w:w="3456"/>
          </w:tcPr>
          <w:p>
            <w:r/>
            <w:r>
              <w:rPr>
                <w:b w:val="0"/>
                <w:color w:val="333333"/>
                <w:sz w:val="20"/>
              </w:rPr>
              <w:t xml:space="preserve"> </w:t>
            </w:r>
          </w:p>
        </w:tc>
        <w:tc>
          <w:tcPr>
            <w:tcW w:type="dxa" w:w="3456"/>
          </w:tcPr>
          <w:p>
            <w:r/>
            <w:r>
              <w:rPr>
                <w:b w:val="0"/>
                <w:color w:val="333333"/>
                <w:sz w:val="20"/>
              </w:rPr>
              <w:t xml:space="preserve"> </w:t>
            </w:r>
          </w:p>
        </w:tc>
        <w:tc>
          <w:tcPr>
            <w:tcW w:type="dxa" w:w="3456"/>
          </w:tcPr>
          <w:p>
            <w:r/>
            <w:r>
              <w:rPr>
                <w:b w:val="0"/>
                <w:color w:val="333333"/>
                <w:sz w:val="20"/>
              </w:rPr>
              <w:t xml:space="preserve"> </w:t>
            </w:r>
          </w:p>
        </w:tc>
      </w:tr>
      <w:tr>
        <w:tc>
          <w:tcPr>
            <w:tcW w:type="dxa" w:w="3456"/>
          </w:tcPr>
          <w:p>
            <w:r/>
            <w:r>
              <w:rPr>
                <w:b w:val="0"/>
                <w:color w:val="333333"/>
                <w:sz w:val="20"/>
              </w:rPr>
              <w:t xml:space="preserve"> </w:t>
            </w:r>
          </w:p>
        </w:tc>
        <w:tc>
          <w:tcPr>
            <w:tcW w:type="dxa" w:w="3456"/>
          </w:tcPr>
          <w:p>
            <w:r/>
            <w:r>
              <w:rPr>
                <w:b w:val="0"/>
                <w:color w:val="333333"/>
                <w:sz w:val="20"/>
              </w:rPr>
              <w:t xml:space="preserve"> </w:t>
            </w:r>
          </w:p>
        </w:tc>
        <w:tc>
          <w:tcPr>
            <w:tcW w:type="dxa" w:w="3456"/>
          </w:tcPr>
          <w:p>
            <w:r/>
            <w:r>
              <w:rPr>
                <w:b w:val="0"/>
                <w:color w:val="333333"/>
                <w:sz w:val="20"/>
              </w:rPr>
              <w:t xml:space="preserve"> </w:t>
            </w:r>
          </w:p>
        </w:tc>
      </w:tr>
      <w:tr>
        <w:tc>
          <w:tcPr>
            <w:tcW w:type="dxa" w:w="3456"/>
          </w:tcPr>
          <w:p>
            <w:r/>
            <w:r>
              <w:rPr>
                <w:b w:val="0"/>
                <w:color w:val="333333"/>
                <w:sz w:val="20"/>
              </w:rPr>
              <w:t xml:space="preserve"> </w:t>
            </w:r>
          </w:p>
        </w:tc>
        <w:tc>
          <w:tcPr>
            <w:tcW w:type="dxa" w:w="3456"/>
          </w:tcPr>
          <w:p>
            <w:r/>
            <w:r>
              <w:rPr>
                <w:b w:val="0"/>
                <w:color w:val="333333"/>
                <w:sz w:val="20"/>
              </w:rPr>
              <w:t xml:space="preserve"> </w:t>
            </w:r>
          </w:p>
        </w:tc>
        <w:tc>
          <w:tcPr>
            <w:tcW w:type="dxa" w:w="3456"/>
          </w:tcPr>
          <w:p>
            <w:r/>
            <w:r>
              <w:rPr>
                <w:b w:val="0"/>
                <w:color w:val="333333"/>
                <w:sz w:val="20"/>
              </w:rPr>
              <w:t xml:space="preserve"> </w:t>
            </w:r>
          </w:p>
        </w:tc>
      </w:tr>
    </w:tbl>
    <w:p>
      <w:pPr>
        <w:pStyle w:val="Heading1"/>
      </w:pPr>
      <w:r>
        <w:t>Activity B — Mendelow Power–Interest Grid</w:t>
      </w:r>
    </w:p>
    <w:tbl>
      <w:tblPr>
        <w:tblW w:type="auto" w:w="0"/>
        <w:jc w:val="center"/>
        <w:tblLook w:firstColumn="1" w:firstRow="1" w:lastColumn="0" w:lastRow="0" w:noHBand="0" w:noVBand="1" w:val="04A0"/>
      </w:tblPr>
      <w:tblGrid>
        <w:gridCol w:w="3456"/>
        <w:gridCol w:w="3456"/>
        <w:gridCol w:w="3456"/>
      </w:tblGrid>
      <w:tr>
        <w:tc>
          <w:tcPr>
            <w:tcW w:type="dxa" w:w="3456"/>
          </w:tcPr>
          <w:p>
            <w:r/>
            <w:r>
              <w:rPr>
                <w:b/>
                <w:color w:val="333333"/>
                <w:sz w:val="22"/>
              </w:rPr>
            </w:r>
          </w:p>
        </w:tc>
        <w:tc>
          <w:tcPr>
            <w:tcW w:type="dxa" w:w="3456"/>
            <w:shd w:fill="EAF2FD"/>
          </w:tcPr>
          <w:p>
            <w:r/>
            <w:r>
              <w:rPr>
                <w:b/>
                <w:color w:val="142440"/>
                <w:sz w:val="22"/>
              </w:rPr>
              <w:t>High Interest</w:t>
            </w:r>
          </w:p>
        </w:tc>
        <w:tc>
          <w:tcPr>
            <w:tcW w:type="dxa" w:w="3456"/>
            <w:shd w:fill="EAF2FD"/>
          </w:tcPr>
          <w:p>
            <w:r/>
            <w:r>
              <w:rPr>
                <w:b/>
                <w:color w:val="142440"/>
                <w:sz w:val="22"/>
              </w:rPr>
              <w:t>Low Interest</w:t>
            </w:r>
          </w:p>
        </w:tc>
      </w:tr>
      <w:tr>
        <w:tc>
          <w:tcPr>
            <w:tcW w:type="dxa" w:w="3456"/>
            <w:shd w:fill="EAF2FD"/>
          </w:tcPr>
          <w:p>
            <w:r/>
            <w:r>
              <w:rPr>
                <w:b/>
                <w:color w:val="142440"/>
                <w:sz w:val="22"/>
              </w:rPr>
              <w:t>High Power</w:t>
            </w:r>
          </w:p>
        </w:tc>
        <w:tc>
          <w:tcPr>
            <w:tcW w:type="dxa" w:w="3456"/>
          </w:tcPr>
          <w:p>
            <w:r/>
            <w:r>
              <w:rPr>
                <w:b/>
                <w:color w:val="333333"/>
                <w:sz w:val="20"/>
              </w:rPr>
              <w:t>MANAGE CLOSELY</w:t>
              <w:br/>
              <w:br/>
            </w:r>
          </w:p>
        </w:tc>
        <w:tc>
          <w:tcPr>
            <w:tcW w:type="dxa" w:w="3456"/>
          </w:tcPr>
          <w:p>
            <w:r/>
            <w:r>
              <w:rPr>
                <w:b/>
                <w:color w:val="333333"/>
                <w:sz w:val="20"/>
              </w:rPr>
              <w:t>KEEP SATISFIED</w:t>
              <w:br/>
              <w:br/>
            </w:r>
          </w:p>
        </w:tc>
      </w:tr>
      <w:tr>
        <w:tc>
          <w:tcPr>
            <w:tcW w:type="dxa" w:w="3456"/>
            <w:shd w:fill="EAF2FD"/>
          </w:tcPr>
          <w:p>
            <w:r/>
            <w:r>
              <w:rPr>
                <w:b/>
                <w:color w:val="142440"/>
                <w:sz w:val="22"/>
              </w:rPr>
              <w:t>Low Power</w:t>
            </w:r>
          </w:p>
        </w:tc>
        <w:tc>
          <w:tcPr>
            <w:tcW w:type="dxa" w:w="3456"/>
          </w:tcPr>
          <w:p>
            <w:r/>
            <w:r>
              <w:rPr>
                <w:b/>
                <w:color w:val="333333"/>
                <w:sz w:val="20"/>
              </w:rPr>
              <w:t>KEEP INFORMED</w:t>
              <w:br/>
              <w:br/>
            </w:r>
          </w:p>
        </w:tc>
        <w:tc>
          <w:tcPr>
            <w:tcW w:type="dxa" w:w="3456"/>
          </w:tcPr>
          <w:p>
            <w:r/>
            <w:r>
              <w:rPr>
                <w:b/>
                <w:color w:val="333333"/>
                <w:sz w:val="20"/>
              </w:rPr>
              <w:t>MONITOR</w:t>
              <w:br/>
              <w:br/>
            </w:r>
          </w:p>
        </w:tc>
      </w:tr>
    </w:tbl>
    <w:p>
      <w:pPr>
        <w:pStyle w:val="Heading1"/>
      </w:pPr>
      <w:r>
        <w:t>Your task</w:t>
      </w:r>
    </w:p>
    <w:p>
      <w:pPr>
        <w:spacing w:after="100"/>
      </w:pPr>
      <w:r>
        <w:rPr>
          <w:sz w:val="23"/>
        </w:rPr>
        <w:t>1. Which THREE stakeholders should Tesla prioritise most?</w:t>
      </w:r>
    </w:p>
    <w:p>
      <w:pPr>
        <w:spacing w:after="100"/>
      </w:pPr>
      <w:r>
        <w:rPr>
          <w:sz w:val="23"/>
        </w:rPr>
        <w:t>2. Which stakeholders have high power? Why?</w:t>
      </w:r>
    </w:p>
    <w:p>
      <w:pPr>
        <w:spacing w:after="100"/>
      </w:pPr>
      <w:r>
        <w:rPr>
          <w:sz w:val="23"/>
        </w:rPr>
        <w:t>3. Which stakeholders have high interest but relatively low formal power?</w:t>
      </w:r>
    </w:p>
    <w:p>
      <w:pPr>
        <w:spacing w:after="100"/>
      </w:pPr>
      <w:r>
        <w:rPr>
          <w:sz w:val="23"/>
        </w:rPr>
        <w:t>4. Write one sentence: “Tesla should prioritise ______ because ______.”</w:t>
      </w:r>
    </w:p>
    <w:sectPr w:rsidR="00FC693F" w:rsidRPr="0006063C" w:rsidSect="00034616">
      <w:headerReference w:type="default" r:id="rId9"/>
      <w:footerReference w:type="default" r:id="rId10"/>
      <w:pgSz w:w="12240" w:h="15840"/>
      <w:pgMar w:top="792" w:right="936" w:bottom="792"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969696"/>
        <w:sz w:val="17"/>
      </w:rPr>
      <w:t>Student Reading Sheet</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rial" w:hAnsi="Arial"/>
        <w:color w:val="787878"/>
        <w:sz w:val="18"/>
      </w:rPr>
      <w:t>BMBM6008 Global Ethics | Week 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www.reuters.com/business/autos-transportation/tesla-gets-local-council-go-ahead-german-factory-expansion-2024-05-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