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163FE4" w14:textId="4BDA6750" w:rsidR="00C35B97" w:rsidRPr="00355CD8" w:rsidRDefault="00C35B97" w:rsidP="00355CD8">
      <w:pPr>
        <w:spacing w:line="360" w:lineRule="auto"/>
        <w:jc w:val="center"/>
        <w:rPr>
          <w:rFonts w:ascii="Arial" w:hAnsi="Arial" w:cs="Arial"/>
        </w:rPr>
      </w:pPr>
      <w:r w:rsidRPr="00355CD8">
        <w:rPr>
          <w:rFonts w:ascii="Arial" w:hAnsi="Arial" w:cs="Arial"/>
          <w:noProof/>
        </w:rPr>
        <w:drawing>
          <wp:inline distT="0" distB="0" distL="0" distR="0" wp14:anchorId="7CA9EF4D" wp14:editId="1E4E4A72">
            <wp:extent cx="2491740" cy="975360"/>
            <wp:effectExtent l="0" t="0" r="381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91740" cy="975360"/>
                    </a:xfrm>
                    <a:prstGeom prst="rect">
                      <a:avLst/>
                    </a:prstGeom>
                    <a:noFill/>
                    <a:ln>
                      <a:noFill/>
                    </a:ln>
                  </pic:spPr>
                </pic:pic>
              </a:graphicData>
            </a:graphic>
          </wp:inline>
        </w:drawing>
      </w:r>
    </w:p>
    <w:p w14:paraId="471F3421" w14:textId="77777777" w:rsidR="006B3D4A" w:rsidRPr="00355CD8" w:rsidRDefault="006B3D4A" w:rsidP="00355CD8">
      <w:pPr>
        <w:spacing w:line="360" w:lineRule="auto"/>
        <w:jc w:val="center"/>
        <w:rPr>
          <w:rFonts w:ascii="Arial" w:hAnsi="Arial" w:cs="Arial"/>
          <w:b/>
        </w:rPr>
      </w:pPr>
    </w:p>
    <w:p w14:paraId="6454CA7C" w14:textId="303997BF" w:rsidR="006B3D4A" w:rsidRPr="00355CD8" w:rsidRDefault="006B3D4A" w:rsidP="00355CD8">
      <w:pPr>
        <w:spacing w:line="360" w:lineRule="auto"/>
        <w:jc w:val="center"/>
        <w:rPr>
          <w:rFonts w:ascii="Arial" w:hAnsi="Arial" w:cs="Arial"/>
          <w:b/>
          <w:bCs/>
        </w:rPr>
      </w:pPr>
      <w:r w:rsidRPr="00355CD8">
        <w:rPr>
          <w:rFonts w:ascii="Arial" w:hAnsi="Arial" w:cs="Arial"/>
          <w:b/>
        </w:rPr>
        <w:t>Assignment Title:</w:t>
      </w:r>
    </w:p>
    <w:p w14:paraId="0577E9E6" w14:textId="2C7F428B" w:rsidR="006B3D4A" w:rsidRPr="00355CD8" w:rsidRDefault="006B3D4A" w:rsidP="00355CD8">
      <w:pPr>
        <w:spacing w:line="360" w:lineRule="auto"/>
        <w:jc w:val="center"/>
        <w:rPr>
          <w:rFonts w:ascii="Arial" w:hAnsi="Arial" w:cs="Arial"/>
          <w:b/>
          <w:lang w:val="en-GB"/>
        </w:rPr>
      </w:pPr>
      <w:r w:rsidRPr="00355CD8">
        <w:rPr>
          <w:rFonts w:ascii="Arial" w:hAnsi="Arial" w:cs="Arial"/>
          <w:b/>
          <w:bCs/>
        </w:rPr>
        <w:t xml:space="preserve">An Empirical Analysis of the Impact of Changes in UK Immigration Rules on Human Capital Sustainability </w:t>
      </w:r>
      <w:r w:rsidRPr="00355CD8">
        <w:rPr>
          <w:rFonts w:ascii="Arial" w:hAnsi="Arial" w:cs="Arial"/>
          <w:b/>
          <w:bCs/>
          <w:color w:val="000000" w:themeColor="text1"/>
        </w:rPr>
        <w:t>among Migrant Healthcare Support Workers.</w:t>
      </w:r>
    </w:p>
    <w:p w14:paraId="1C11CC9F" w14:textId="77777777" w:rsidR="006B3D4A" w:rsidRPr="00355CD8" w:rsidRDefault="006B3D4A" w:rsidP="00355CD8">
      <w:pPr>
        <w:spacing w:line="360" w:lineRule="auto"/>
        <w:jc w:val="center"/>
        <w:rPr>
          <w:rFonts w:ascii="Arial" w:hAnsi="Arial" w:cs="Arial"/>
          <w:b/>
          <w:lang w:val="en-GB"/>
        </w:rPr>
      </w:pPr>
    </w:p>
    <w:p w14:paraId="639DC9A8" w14:textId="5A5F7B80" w:rsidR="00C35B97" w:rsidRPr="00355CD8" w:rsidRDefault="00C35B97" w:rsidP="00355CD8">
      <w:pPr>
        <w:spacing w:line="360" w:lineRule="auto"/>
        <w:jc w:val="center"/>
        <w:rPr>
          <w:rFonts w:ascii="Arial" w:hAnsi="Arial" w:cs="Arial"/>
          <w:b/>
          <w:lang w:val="en-GB"/>
        </w:rPr>
      </w:pPr>
      <w:r w:rsidRPr="00355CD8">
        <w:rPr>
          <w:rFonts w:ascii="Arial" w:hAnsi="Arial" w:cs="Arial"/>
          <w:b/>
          <w:lang w:val="en-GB"/>
        </w:rPr>
        <w:t>Prepared By</w:t>
      </w:r>
    </w:p>
    <w:p w14:paraId="374E2097" w14:textId="77777777" w:rsidR="00C35B97" w:rsidRPr="00355CD8" w:rsidRDefault="00C35B97" w:rsidP="00355CD8">
      <w:pPr>
        <w:spacing w:line="360" w:lineRule="auto"/>
        <w:jc w:val="center"/>
        <w:rPr>
          <w:rFonts w:ascii="Arial" w:hAnsi="Arial" w:cs="Arial"/>
          <w:b/>
          <w:lang w:val="en-GB"/>
        </w:rPr>
      </w:pPr>
      <w:r w:rsidRPr="00355CD8">
        <w:rPr>
          <w:rFonts w:ascii="Arial" w:hAnsi="Arial" w:cs="Arial"/>
          <w:b/>
          <w:lang w:val="en-GB"/>
        </w:rPr>
        <w:t>Fazle Rabby Nahi</w:t>
      </w:r>
    </w:p>
    <w:p w14:paraId="4B4507E3" w14:textId="77777777" w:rsidR="00C35B97" w:rsidRPr="00355CD8" w:rsidRDefault="00C35B97" w:rsidP="00355CD8">
      <w:pPr>
        <w:spacing w:line="360" w:lineRule="auto"/>
        <w:jc w:val="center"/>
        <w:rPr>
          <w:rFonts w:ascii="Arial" w:hAnsi="Arial" w:cs="Arial"/>
          <w:b/>
          <w:lang w:val="en-GB"/>
        </w:rPr>
      </w:pPr>
      <w:r w:rsidRPr="00355CD8">
        <w:rPr>
          <w:rFonts w:ascii="Arial" w:hAnsi="Arial" w:cs="Arial"/>
          <w:b/>
          <w:lang w:val="en-GB"/>
        </w:rPr>
        <w:t>Student ID: 2515592</w:t>
      </w:r>
    </w:p>
    <w:p w14:paraId="324C70CC" w14:textId="77777777" w:rsidR="00C35B97" w:rsidRPr="00355CD8" w:rsidRDefault="00C35B97" w:rsidP="00355CD8">
      <w:pPr>
        <w:spacing w:line="360" w:lineRule="auto"/>
        <w:jc w:val="center"/>
        <w:rPr>
          <w:rFonts w:ascii="Arial" w:hAnsi="Arial" w:cs="Arial"/>
          <w:b/>
          <w:bCs/>
          <w:lang w:val="en-GB"/>
        </w:rPr>
      </w:pPr>
    </w:p>
    <w:p w14:paraId="39901A13" w14:textId="77777777" w:rsidR="00C35B97" w:rsidRPr="00355CD8" w:rsidRDefault="00C35B97" w:rsidP="00355CD8">
      <w:pPr>
        <w:spacing w:line="360" w:lineRule="auto"/>
        <w:jc w:val="center"/>
        <w:rPr>
          <w:rFonts w:ascii="Arial" w:hAnsi="Arial" w:cs="Arial"/>
          <w:b/>
          <w:bCs/>
        </w:rPr>
      </w:pPr>
      <w:r w:rsidRPr="00355CD8">
        <w:rPr>
          <w:rFonts w:ascii="Arial" w:hAnsi="Arial" w:cs="Arial"/>
          <w:b/>
          <w:bCs/>
        </w:rPr>
        <w:t>Master of Business Administration</w:t>
      </w:r>
    </w:p>
    <w:p w14:paraId="48D623A5" w14:textId="77777777" w:rsidR="006B3D4A" w:rsidRPr="00355CD8" w:rsidRDefault="006B3D4A" w:rsidP="00355CD8">
      <w:pPr>
        <w:spacing w:line="360" w:lineRule="auto"/>
        <w:jc w:val="center"/>
        <w:rPr>
          <w:rFonts w:ascii="Arial" w:hAnsi="Arial" w:cs="Arial"/>
          <w:b/>
          <w:bCs/>
        </w:rPr>
      </w:pPr>
      <w:r w:rsidRPr="00355CD8">
        <w:rPr>
          <w:rFonts w:ascii="Arial" w:hAnsi="Arial" w:cs="Arial"/>
          <w:b/>
        </w:rPr>
        <w:t>Lecturer Name</w:t>
      </w:r>
      <w:r w:rsidRPr="00355CD8">
        <w:rPr>
          <w:rFonts w:ascii="Arial" w:hAnsi="Arial" w:cs="Arial"/>
          <w:b/>
          <w:lang w:val="en-GB"/>
        </w:rPr>
        <w:t xml:space="preserve">: </w:t>
      </w:r>
      <w:r w:rsidRPr="00355CD8">
        <w:rPr>
          <w:rFonts w:ascii="Arial" w:hAnsi="Arial" w:cs="Arial"/>
          <w:b/>
        </w:rPr>
        <w:t xml:space="preserve">Masud Ibrahim and </w:t>
      </w:r>
      <w:r w:rsidRPr="00355CD8">
        <w:rPr>
          <w:rFonts w:ascii="Arial" w:hAnsi="Arial" w:cs="Arial"/>
          <w:b/>
          <w:bCs/>
        </w:rPr>
        <w:t>Vasilios Tavlaridis</w:t>
      </w:r>
    </w:p>
    <w:p w14:paraId="5A223C9E" w14:textId="77777777" w:rsidR="006B3D4A" w:rsidRPr="00355CD8" w:rsidRDefault="006B3D4A" w:rsidP="00355CD8">
      <w:pPr>
        <w:spacing w:line="360" w:lineRule="auto"/>
        <w:jc w:val="center"/>
        <w:rPr>
          <w:rFonts w:ascii="Arial" w:hAnsi="Arial" w:cs="Arial"/>
          <w:b/>
        </w:rPr>
      </w:pPr>
      <w:r w:rsidRPr="00355CD8">
        <w:rPr>
          <w:rFonts w:ascii="Arial" w:hAnsi="Arial" w:cs="Arial"/>
          <w:b/>
          <w:bCs/>
        </w:rPr>
        <w:t xml:space="preserve">Supervisor: Mazen </w:t>
      </w:r>
      <w:proofErr w:type="spellStart"/>
      <w:r w:rsidRPr="00355CD8">
        <w:rPr>
          <w:rFonts w:ascii="Arial" w:hAnsi="Arial" w:cs="Arial"/>
          <w:b/>
          <w:bCs/>
        </w:rPr>
        <w:t>Joureih</w:t>
      </w:r>
      <w:proofErr w:type="spellEnd"/>
    </w:p>
    <w:p w14:paraId="6E7C64C5" w14:textId="2928A544" w:rsidR="006B3D4A" w:rsidRPr="00355CD8" w:rsidRDefault="006B3D4A" w:rsidP="00355CD8">
      <w:pPr>
        <w:spacing w:line="360" w:lineRule="auto"/>
        <w:jc w:val="center"/>
        <w:rPr>
          <w:rFonts w:ascii="Arial" w:hAnsi="Arial" w:cs="Arial"/>
          <w:b/>
          <w:bCs/>
          <w:lang w:val="en-GB"/>
        </w:rPr>
      </w:pPr>
      <w:r w:rsidRPr="00355CD8">
        <w:rPr>
          <w:rFonts w:ascii="Arial" w:hAnsi="Arial" w:cs="Arial"/>
          <w:b/>
          <w:bCs/>
        </w:rPr>
        <w:t>Module: Dissertation</w:t>
      </w:r>
    </w:p>
    <w:p w14:paraId="3532BE92" w14:textId="77777777" w:rsidR="006B3D4A" w:rsidRPr="00355CD8" w:rsidRDefault="006B3D4A" w:rsidP="00355CD8">
      <w:pPr>
        <w:spacing w:line="360" w:lineRule="auto"/>
        <w:jc w:val="center"/>
        <w:rPr>
          <w:rFonts w:ascii="Arial" w:hAnsi="Arial" w:cs="Arial"/>
          <w:b/>
          <w:bCs/>
        </w:rPr>
      </w:pPr>
      <w:r w:rsidRPr="00355CD8">
        <w:rPr>
          <w:rFonts w:ascii="Arial" w:hAnsi="Arial" w:cs="Arial"/>
          <w:b/>
          <w:bCs/>
          <w:lang w:val="en-GB"/>
        </w:rPr>
        <w:t xml:space="preserve">Module Code: </w:t>
      </w:r>
      <w:r w:rsidRPr="00355CD8">
        <w:rPr>
          <w:rFonts w:ascii="Arial" w:hAnsi="Arial" w:cs="Arial"/>
          <w:b/>
          <w:bCs/>
        </w:rPr>
        <w:t>LCMB7035</w:t>
      </w:r>
    </w:p>
    <w:p w14:paraId="3464DCDC" w14:textId="77777777" w:rsidR="00C35B97" w:rsidRPr="00355CD8" w:rsidRDefault="00C35B97" w:rsidP="00355CD8">
      <w:pPr>
        <w:spacing w:line="360" w:lineRule="auto"/>
        <w:jc w:val="center"/>
        <w:rPr>
          <w:rFonts w:ascii="Arial" w:hAnsi="Arial" w:cs="Arial"/>
          <w:b/>
          <w:lang w:val="en-GB"/>
        </w:rPr>
      </w:pPr>
    </w:p>
    <w:p w14:paraId="20B5BA94" w14:textId="4B0160E1" w:rsidR="00C35B97" w:rsidRPr="00355CD8" w:rsidRDefault="00C35B97" w:rsidP="00355CD8">
      <w:pPr>
        <w:spacing w:line="360" w:lineRule="auto"/>
        <w:jc w:val="center"/>
        <w:rPr>
          <w:rFonts w:ascii="Arial" w:hAnsi="Arial" w:cs="Arial"/>
          <w:b/>
        </w:rPr>
      </w:pPr>
    </w:p>
    <w:p w14:paraId="1B5A9244" w14:textId="1758E238" w:rsidR="00C35B97" w:rsidRDefault="00C35B97" w:rsidP="00355CD8">
      <w:pPr>
        <w:spacing w:line="360" w:lineRule="auto"/>
        <w:jc w:val="center"/>
        <w:rPr>
          <w:rFonts w:ascii="Arial" w:hAnsi="Arial" w:cs="Arial"/>
          <w:b/>
          <w:bCs/>
        </w:rPr>
      </w:pPr>
      <w:r w:rsidRPr="00355CD8">
        <w:rPr>
          <w:rFonts w:ascii="Arial" w:hAnsi="Arial" w:cs="Arial"/>
          <w:b/>
          <w:lang w:val="en-GB"/>
        </w:rPr>
        <w:t>Date of Submission:</w:t>
      </w:r>
      <w:r w:rsidRPr="00355CD8">
        <w:rPr>
          <w:rFonts w:ascii="Arial" w:hAnsi="Arial" w:cs="Arial"/>
          <w:bCs/>
          <w:lang w:val="en-GB"/>
        </w:rPr>
        <w:t xml:space="preserve"> </w:t>
      </w:r>
      <w:r w:rsidRPr="00355CD8">
        <w:rPr>
          <w:rFonts w:ascii="Arial" w:hAnsi="Arial" w:cs="Arial"/>
          <w:b/>
          <w:bCs/>
        </w:rPr>
        <w:t>27/08/2026</w:t>
      </w:r>
    </w:p>
    <w:p w14:paraId="35B670FE" w14:textId="45186785" w:rsidR="00D77901" w:rsidRDefault="00D77901">
      <w:pPr>
        <w:rPr>
          <w:rFonts w:ascii="Arial" w:hAnsi="Arial" w:cs="Arial"/>
          <w:b/>
          <w:bCs/>
        </w:rPr>
      </w:pPr>
      <w:r>
        <w:rPr>
          <w:rFonts w:ascii="Arial" w:hAnsi="Arial" w:cs="Arial"/>
          <w:b/>
          <w:bCs/>
        </w:rPr>
        <w:br w:type="page"/>
      </w:r>
    </w:p>
    <w:p w14:paraId="0281862F" w14:textId="140C8487" w:rsidR="00D77901" w:rsidRPr="007D5189" w:rsidRDefault="00D77901" w:rsidP="00D77901">
      <w:pPr>
        <w:spacing w:line="360" w:lineRule="auto"/>
        <w:jc w:val="both"/>
        <w:rPr>
          <w:rFonts w:ascii="Arial" w:hAnsi="Arial" w:cs="Arial"/>
          <w:b/>
          <w:bCs/>
        </w:rPr>
      </w:pPr>
      <w:r w:rsidRPr="007D5189">
        <w:rPr>
          <w:rFonts w:ascii="Arial" w:hAnsi="Arial" w:cs="Arial"/>
          <w:b/>
          <w:bCs/>
        </w:rPr>
        <w:lastRenderedPageBreak/>
        <w:t>Declaration</w:t>
      </w:r>
    </w:p>
    <w:p w14:paraId="3E056967" w14:textId="77777777" w:rsidR="00D77901" w:rsidRPr="007D5189" w:rsidRDefault="00D77901" w:rsidP="00D77901">
      <w:pPr>
        <w:spacing w:line="360" w:lineRule="auto"/>
        <w:jc w:val="both"/>
        <w:rPr>
          <w:rFonts w:ascii="Arial" w:hAnsi="Arial" w:cs="Arial"/>
        </w:rPr>
      </w:pPr>
      <w:r w:rsidRPr="007D5189">
        <w:rPr>
          <w:rFonts w:ascii="Arial" w:hAnsi="Arial" w:cs="Arial"/>
        </w:rPr>
        <w:t>I, Fazle Rabby Nahi,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70A97453" w14:textId="679353E7" w:rsidR="00D77901" w:rsidRPr="007D5189" w:rsidRDefault="00D77901" w:rsidP="00D77901">
      <w:pPr>
        <w:spacing w:line="360" w:lineRule="auto"/>
        <w:jc w:val="both"/>
        <w:rPr>
          <w:rFonts w:ascii="Arial" w:hAnsi="Arial" w:cs="Arial"/>
        </w:rPr>
      </w:pPr>
      <w:r w:rsidRPr="007D5189">
        <w:rPr>
          <w:rFonts w:ascii="Arial" w:hAnsi="Arial" w:cs="Arial"/>
        </w:rPr>
        <w:t>Signature: Fazle Rabby Nahi</w:t>
      </w:r>
    </w:p>
    <w:p w14:paraId="2FE0982D" w14:textId="77777777" w:rsidR="00D77901" w:rsidRPr="007D5189" w:rsidRDefault="00D77901" w:rsidP="00D77901">
      <w:pPr>
        <w:spacing w:line="360" w:lineRule="auto"/>
        <w:jc w:val="both"/>
        <w:rPr>
          <w:rFonts w:ascii="Arial" w:hAnsi="Arial" w:cs="Arial"/>
        </w:rPr>
      </w:pPr>
      <w:r w:rsidRPr="007D5189">
        <w:rPr>
          <w:rFonts w:ascii="Arial" w:hAnsi="Arial" w:cs="Arial"/>
        </w:rPr>
        <w:t>Date: 27/08/2026</w:t>
      </w:r>
    </w:p>
    <w:p w14:paraId="0417C5F4" w14:textId="77777777" w:rsidR="008936A2" w:rsidRPr="007D5189" w:rsidRDefault="008936A2" w:rsidP="008936A2">
      <w:pPr>
        <w:spacing w:line="360" w:lineRule="auto"/>
        <w:jc w:val="both"/>
        <w:rPr>
          <w:rFonts w:ascii="Arial" w:hAnsi="Arial" w:cs="Arial"/>
          <w:b/>
          <w:bCs/>
        </w:rPr>
      </w:pPr>
    </w:p>
    <w:p w14:paraId="2FAC3CE6" w14:textId="4D139A6A" w:rsidR="008936A2" w:rsidRPr="007D5189" w:rsidRDefault="008936A2" w:rsidP="008936A2">
      <w:pPr>
        <w:spacing w:line="360" w:lineRule="auto"/>
        <w:jc w:val="both"/>
        <w:rPr>
          <w:rFonts w:ascii="Arial" w:hAnsi="Arial" w:cs="Arial"/>
          <w:b/>
          <w:bCs/>
        </w:rPr>
      </w:pPr>
      <w:r w:rsidRPr="007D5189">
        <w:rPr>
          <w:rFonts w:ascii="Arial" w:hAnsi="Arial" w:cs="Arial"/>
          <w:b/>
          <w:bCs/>
        </w:rPr>
        <w:t>Acknowledgement</w:t>
      </w:r>
    </w:p>
    <w:p w14:paraId="7DA8FE5F" w14:textId="3AA40CEE" w:rsidR="008936A2" w:rsidRPr="007D5189" w:rsidRDefault="008936A2" w:rsidP="008936A2">
      <w:pPr>
        <w:spacing w:line="360" w:lineRule="auto"/>
        <w:jc w:val="both"/>
        <w:rPr>
          <w:rFonts w:ascii="Arial" w:hAnsi="Arial" w:cs="Arial"/>
        </w:rPr>
      </w:pPr>
      <w:r w:rsidRPr="007D5189">
        <w:rPr>
          <w:rFonts w:ascii="Arial" w:hAnsi="Arial" w:cs="Arial"/>
        </w:rPr>
        <w:t>I would like to express my sincere gratitude to my supervisor, Dr Mazen Joureih, for his invaluable guidance, encouragement, and constructive feedback throughout this research journey. His insightful comments and thoughtful suggestions have significantly shaped the direction and quality of this dissertation.</w:t>
      </w:r>
    </w:p>
    <w:p w14:paraId="573372E7" w14:textId="77777777" w:rsidR="008936A2" w:rsidRPr="007D5189" w:rsidRDefault="008936A2" w:rsidP="008936A2">
      <w:pPr>
        <w:spacing w:line="360" w:lineRule="auto"/>
        <w:jc w:val="both"/>
        <w:rPr>
          <w:rFonts w:ascii="Arial" w:hAnsi="Arial" w:cs="Arial"/>
        </w:rPr>
      </w:pPr>
      <w:r w:rsidRPr="007D5189">
        <w:rPr>
          <w:rFonts w:ascii="Arial" w:hAnsi="Arial" w:cs="Arial"/>
        </w:rPr>
        <w:t>I am also grateful to my lecturers, Masud Ibrahim and Vasilios Tavlaridis, for their support and for providing the foundational knowledge that made this research possible.</w:t>
      </w:r>
    </w:p>
    <w:p w14:paraId="6BCBF370" w14:textId="77777777" w:rsidR="008936A2" w:rsidRPr="007D5189" w:rsidRDefault="008936A2" w:rsidP="008936A2">
      <w:pPr>
        <w:spacing w:line="360" w:lineRule="auto"/>
        <w:jc w:val="both"/>
        <w:rPr>
          <w:rFonts w:ascii="Arial" w:hAnsi="Arial" w:cs="Arial"/>
        </w:rPr>
      </w:pPr>
      <w:r w:rsidRPr="007D5189">
        <w:rPr>
          <w:rFonts w:ascii="Arial" w:hAnsi="Arial" w:cs="Arial"/>
        </w:rPr>
        <w:t xml:space="preserve">Special thanks to my family and friends for their unwavering support, patience, and understanding during this challenging </w:t>
      </w:r>
      <w:proofErr w:type="spellStart"/>
      <w:r w:rsidRPr="007D5189">
        <w:rPr>
          <w:rFonts w:ascii="Arial" w:hAnsi="Arial" w:cs="Arial"/>
        </w:rPr>
        <w:t>endeavour</w:t>
      </w:r>
      <w:proofErr w:type="spellEnd"/>
      <w:r w:rsidRPr="007D5189">
        <w:rPr>
          <w:rFonts w:ascii="Arial" w:hAnsi="Arial" w:cs="Arial"/>
        </w:rPr>
        <w:t>. Their encouragement has been a constant source of motivation.</w:t>
      </w:r>
    </w:p>
    <w:p w14:paraId="0A4702A2" w14:textId="77777777" w:rsidR="008936A2" w:rsidRPr="007D5189" w:rsidRDefault="008936A2" w:rsidP="008936A2">
      <w:pPr>
        <w:spacing w:line="360" w:lineRule="auto"/>
        <w:jc w:val="both"/>
        <w:rPr>
          <w:rFonts w:ascii="Arial" w:hAnsi="Arial" w:cs="Arial"/>
        </w:rPr>
      </w:pPr>
      <w:r w:rsidRPr="007D5189">
        <w:rPr>
          <w:rFonts w:ascii="Arial" w:hAnsi="Arial" w:cs="Arial"/>
        </w:rPr>
        <w:t xml:space="preserve">Lastly, I thank all the </w:t>
      </w:r>
      <w:proofErr w:type="spellStart"/>
      <w:r w:rsidRPr="007D5189">
        <w:rPr>
          <w:rFonts w:ascii="Arial" w:hAnsi="Arial" w:cs="Arial"/>
        </w:rPr>
        <w:t>organisations</w:t>
      </w:r>
      <w:proofErr w:type="spellEnd"/>
      <w:r w:rsidRPr="007D5189">
        <w:rPr>
          <w:rFonts w:ascii="Arial" w:hAnsi="Arial" w:cs="Arial"/>
        </w:rPr>
        <w:t xml:space="preserve"> whose data made this research possible, particularly the Home Office, Office for National Statistics, Skills for Care, and the Nursing and Midwifery Council.</w:t>
      </w:r>
    </w:p>
    <w:p w14:paraId="0F84C111" w14:textId="77777777" w:rsidR="001A6A53" w:rsidRPr="007D5189" w:rsidRDefault="001A6A53" w:rsidP="008936A2">
      <w:pPr>
        <w:spacing w:line="360" w:lineRule="auto"/>
        <w:jc w:val="both"/>
        <w:rPr>
          <w:rFonts w:ascii="Arial" w:hAnsi="Arial" w:cs="Arial"/>
        </w:rPr>
      </w:pPr>
    </w:p>
    <w:p w14:paraId="37F73A15" w14:textId="77777777" w:rsidR="001A6A53" w:rsidRPr="007D5189" w:rsidRDefault="001A6A53" w:rsidP="001A6A53">
      <w:pPr>
        <w:spacing w:line="360" w:lineRule="auto"/>
        <w:jc w:val="both"/>
        <w:rPr>
          <w:rFonts w:ascii="Arial" w:hAnsi="Arial" w:cs="Arial"/>
          <w:b/>
          <w:bCs/>
        </w:rPr>
      </w:pPr>
      <w:r w:rsidRPr="007D5189">
        <w:rPr>
          <w:rFonts w:ascii="Arial" w:hAnsi="Arial" w:cs="Arial"/>
          <w:b/>
          <w:bCs/>
        </w:rPr>
        <w:t>Abstract</w:t>
      </w:r>
    </w:p>
    <w:p w14:paraId="227C0B8D" w14:textId="77777777" w:rsidR="001A6A53" w:rsidRPr="007D5189" w:rsidRDefault="001A6A53" w:rsidP="001A6A53">
      <w:pPr>
        <w:spacing w:line="360" w:lineRule="auto"/>
        <w:jc w:val="both"/>
        <w:rPr>
          <w:rFonts w:ascii="Arial" w:hAnsi="Arial" w:cs="Arial"/>
        </w:rPr>
      </w:pPr>
      <w:r w:rsidRPr="007D5189">
        <w:rPr>
          <w:rFonts w:ascii="Arial" w:hAnsi="Arial" w:cs="Arial"/>
        </w:rPr>
        <w:t xml:space="preserve">This study empirically evaluates the impact of UK immigration rule changes (2020–2026) on human capital sustainability among migrant healthcare support workers. Using a positivist, secondary quantitative research design, the study analyses Home Office visa statistics, ONS migration data, NMC register data, and Skills for Care workforce data. The </w:t>
      </w:r>
      <w:r w:rsidRPr="007D5189">
        <w:rPr>
          <w:rFonts w:ascii="Arial" w:hAnsi="Arial" w:cs="Arial"/>
        </w:rPr>
        <w:lastRenderedPageBreak/>
        <w:t xml:space="preserve">findings reveal an 81% decline in Health and Care Worker visas and a 33% increase in internationally educated nurses leaving the NMC register. Regression analysis confirms that policy changes explain 89% of the variance in visa grant rates, with the closure of overseas recruitment having the strongest negative impact (-52,894). The study concludes that restrictive immigration policies have catastrophically undermined workforce sustainability, with significant social and economic consequences. Recommendations include reconsidering the closure of overseas recruitment, restoring </w:t>
      </w:r>
      <w:proofErr w:type="spellStart"/>
      <w:r w:rsidRPr="007D5189">
        <w:rPr>
          <w:rFonts w:ascii="Arial" w:hAnsi="Arial" w:cs="Arial"/>
        </w:rPr>
        <w:t>dependant</w:t>
      </w:r>
      <w:proofErr w:type="spellEnd"/>
      <w:r w:rsidRPr="007D5189">
        <w:rPr>
          <w:rFonts w:ascii="Arial" w:hAnsi="Arial" w:cs="Arial"/>
        </w:rPr>
        <w:t xml:space="preserve"> rights, providing clear pathways to settlement, and investing in domestic training and retention strategies.</w:t>
      </w:r>
    </w:p>
    <w:p w14:paraId="0BD3E47C" w14:textId="77777777" w:rsidR="001A6A53" w:rsidRPr="007D5189" w:rsidRDefault="001A6A53" w:rsidP="001A6A53">
      <w:pPr>
        <w:spacing w:line="360" w:lineRule="auto"/>
        <w:jc w:val="both"/>
        <w:rPr>
          <w:rFonts w:ascii="Arial" w:hAnsi="Arial" w:cs="Arial"/>
        </w:rPr>
      </w:pPr>
      <w:r w:rsidRPr="007D5189">
        <w:rPr>
          <w:rFonts w:ascii="Arial" w:hAnsi="Arial" w:cs="Arial"/>
          <w:b/>
          <w:bCs/>
        </w:rPr>
        <w:t>Keywords:</w:t>
      </w:r>
      <w:r w:rsidRPr="007D5189">
        <w:rPr>
          <w:rFonts w:ascii="Arial" w:hAnsi="Arial" w:cs="Arial"/>
        </w:rPr>
        <w:t> Immigration policy, human capital sustainability, healthcare support workers, UK immigration rules, migrant workforce, triple bottom line, conservation of resources theory.</w:t>
      </w:r>
    </w:p>
    <w:p w14:paraId="64DBF7AA" w14:textId="77777777" w:rsidR="001A6A53" w:rsidRPr="008936A2" w:rsidRDefault="001A6A53" w:rsidP="008936A2">
      <w:pPr>
        <w:spacing w:line="360" w:lineRule="auto"/>
        <w:jc w:val="both"/>
        <w:rPr>
          <w:rFonts w:ascii="Arial" w:hAnsi="Arial" w:cs="Arial"/>
        </w:rPr>
      </w:pPr>
    </w:p>
    <w:p w14:paraId="05D88344" w14:textId="77777777" w:rsidR="008936A2" w:rsidRPr="00D77901" w:rsidRDefault="008936A2" w:rsidP="00D77901">
      <w:pPr>
        <w:spacing w:line="360" w:lineRule="auto"/>
        <w:jc w:val="both"/>
        <w:rPr>
          <w:rFonts w:ascii="Arial" w:hAnsi="Arial" w:cs="Arial"/>
        </w:rPr>
      </w:pPr>
    </w:p>
    <w:p w14:paraId="54482631" w14:textId="77777777" w:rsidR="00D77901" w:rsidRPr="00355CD8" w:rsidRDefault="00D77901" w:rsidP="00355CD8">
      <w:pPr>
        <w:spacing w:line="360" w:lineRule="auto"/>
        <w:jc w:val="center"/>
        <w:rPr>
          <w:rFonts w:ascii="Arial" w:hAnsi="Arial" w:cs="Arial"/>
          <w:bCs/>
          <w:lang w:val="en-GB"/>
        </w:rPr>
      </w:pPr>
    </w:p>
    <w:p w14:paraId="14829645" w14:textId="77777777" w:rsidR="00C35B97" w:rsidRPr="00355CD8" w:rsidRDefault="00C35B97" w:rsidP="00355CD8">
      <w:pPr>
        <w:spacing w:line="360" w:lineRule="auto"/>
        <w:jc w:val="both"/>
        <w:rPr>
          <w:rFonts w:ascii="Arial" w:eastAsiaTheme="majorEastAsia" w:hAnsi="Arial" w:cs="Arial"/>
          <w:color w:val="0F4761" w:themeColor="accent1" w:themeShade="BF"/>
          <w:kern w:val="0"/>
          <w14:ligatures w14:val="none"/>
        </w:rPr>
      </w:pPr>
      <w:r w:rsidRPr="00355CD8">
        <w:rPr>
          <w:rFonts w:ascii="Arial" w:hAnsi="Arial" w:cs="Arial"/>
        </w:rPr>
        <w:br w:type="page"/>
      </w:r>
    </w:p>
    <w:sdt>
      <w:sdtPr>
        <w:rPr>
          <w:rFonts w:ascii="Arial" w:eastAsiaTheme="minorHAnsi" w:hAnsi="Arial" w:cs="Arial"/>
          <w:color w:val="auto"/>
          <w:kern w:val="2"/>
          <w:sz w:val="24"/>
          <w:szCs w:val="24"/>
          <w14:ligatures w14:val="standardContextual"/>
        </w:rPr>
        <w:id w:val="2060511838"/>
        <w:docPartObj>
          <w:docPartGallery w:val="Table of Contents"/>
          <w:docPartUnique/>
        </w:docPartObj>
      </w:sdtPr>
      <w:sdtEndPr>
        <w:rPr>
          <w:b/>
          <w:bCs/>
          <w:noProof/>
        </w:rPr>
      </w:sdtEndPr>
      <w:sdtContent>
        <w:p w14:paraId="173B9BDD" w14:textId="14AEE48C" w:rsidR="00F21F88" w:rsidRPr="00355CD8" w:rsidRDefault="00F21F88" w:rsidP="00355CD8">
          <w:pPr>
            <w:pStyle w:val="TOCHeading"/>
            <w:spacing w:line="360" w:lineRule="auto"/>
            <w:jc w:val="both"/>
            <w:rPr>
              <w:rFonts w:ascii="Arial" w:hAnsi="Arial" w:cs="Arial"/>
              <w:sz w:val="24"/>
              <w:szCs w:val="24"/>
            </w:rPr>
          </w:pPr>
          <w:r w:rsidRPr="00355CD8">
            <w:rPr>
              <w:rFonts w:ascii="Arial" w:hAnsi="Arial" w:cs="Arial"/>
              <w:sz w:val="24"/>
              <w:szCs w:val="24"/>
            </w:rPr>
            <w:t>Contents</w:t>
          </w:r>
        </w:p>
        <w:p w14:paraId="0885AD76" w14:textId="017A55B1" w:rsidR="00206084" w:rsidRDefault="00F21F88">
          <w:pPr>
            <w:pStyle w:val="TOC1"/>
            <w:tabs>
              <w:tab w:val="right" w:leader="dot" w:pos="9350"/>
            </w:tabs>
            <w:rPr>
              <w:rFonts w:eastAsiaTheme="minorEastAsia"/>
              <w:noProof/>
            </w:rPr>
          </w:pPr>
          <w:r w:rsidRPr="00355CD8">
            <w:rPr>
              <w:rFonts w:ascii="Arial" w:hAnsi="Arial" w:cs="Arial"/>
            </w:rPr>
            <w:fldChar w:fldCharType="begin"/>
          </w:r>
          <w:r w:rsidRPr="00355CD8">
            <w:rPr>
              <w:rFonts w:ascii="Arial" w:hAnsi="Arial" w:cs="Arial"/>
            </w:rPr>
            <w:instrText xml:space="preserve"> TOC \o "1-3" \h \z \u </w:instrText>
          </w:r>
          <w:r w:rsidRPr="00355CD8">
            <w:rPr>
              <w:rFonts w:ascii="Arial" w:hAnsi="Arial" w:cs="Arial"/>
            </w:rPr>
            <w:fldChar w:fldCharType="separate"/>
          </w:r>
          <w:hyperlink w:anchor="_Toc238200098" w:history="1">
            <w:r w:rsidR="00206084" w:rsidRPr="00826573">
              <w:rPr>
                <w:rStyle w:val="Hyperlink"/>
                <w:noProof/>
              </w:rPr>
              <w:t>Chapter 1: Introduction</w:t>
            </w:r>
            <w:r w:rsidR="00206084">
              <w:rPr>
                <w:noProof/>
                <w:webHidden/>
              </w:rPr>
              <w:tab/>
            </w:r>
            <w:r w:rsidR="00206084">
              <w:rPr>
                <w:noProof/>
                <w:webHidden/>
              </w:rPr>
              <w:fldChar w:fldCharType="begin"/>
            </w:r>
            <w:r w:rsidR="00206084">
              <w:rPr>
                <w:noProof/>
                <w:webHidden/>
              </w:rPr>
              <w:instrText xml:space="preserve"> PAGEREF _Toc238200098 \h </w:instrText>
            </w:r>
            <w:r w:rsidR="00206084">
              <w:rPr>
                <w:noProof/>
                <w:webHidden/>
              </w:rPr>
            </w:r>
            <w:r w:rsidR="00206084">
              <w:rPr>
                <w:noProof/>
                <w:webHidden/>
              </w:rPr>
              <w:fldChar w:fldCharType="separate"/>
            </w:r>
            <w:r w:rsidR="00206084">
              <w:rPr>
                <w:noProof/>
                <w:webHidden/>
              </w:rPr>
              <w:t>6</w:t>
            </w:r>
            <w:r w:rsidR="00206084">
              <w:rPr>
                <w:noProof/>
                <w:webHidden/>
              </w:rPr>
              <w:fldChar w:fldCharType="end"/>
            </w:r>
          </w:hyperlink>
        </w:p>
        <w:p w14:paraId="0B5C3ECB" w14:textId="30F8A718" w:rsidR="00206084" w:rsidRDefault="00206084">
          <w:pPr>
            <w:pStyle w:val="TOC2"/>
            <w:tabs>
              <w:tab w:val="right" w:leader="dot" w:pos="9350"/>
            </w:tabs>
            <w:rPr>
              <w:rFonts w:eastAsiaTheme="minorEastAsia"/>
              <w:noProof/>
            </w:rPr>
          </w:pPr>
          <w:hyperlink w:anchor="_Toc238200099" w:history="1">
            <w:r w:rsidRPr="00826573">
              <w:rPr>
                <w:rStyle w:val="Hyperlink"/>
                <w:noProof/>
              </w:rPr>
              <w:t>1.1 Background</w:t>
            </w:r>
            <w:r>
              <w:rPr>
                <w:noProof/>
                <w:webHidden/>
              </w:rPr>
              <w:tab/>
            </w:r>
            <w:r>
              <w:rPr>
                <w:noProof/>
                <w:webHidden/>
              </w:rPr>
              <w:fldChar w:fldCharType="begin"/>
            </w:r>
            <w:r>
              <w:rPr>
                <w:noProof/>
                <w:webHidden/>
              </w:rPr>
              <w:instrText xml:space="preserve"> PAGEREF _Toc238200099 \h </w:instrText>
            </w:r>
            <w:r>
              <w:rPr>
                <w:noProof/>
                <w:webHidden/>
              </w:rPr>
            </w:r>
            <w:r>
              <w:rPr>
                <w:noProof/>
                <w:webHidden/>
              </w:rPr>
              <w:fldChar w:fldCharType="separate"/>
            </w:r>
            <w:r>
              <w:rPr>
                <w:noProof/>
                <w:webHidden/>
              </w:rPr>
              <w:t>6</w:t>
            </w:r>
            <w:r>
              <w:rPr>
                <w:noProof/>
                <w:webHidden/>
              </w:rPr>
              <w:fldChar w:fldCharType="end"/>
            </w:r>
          </w:hyperlink>
        </w:p>
        <w:p w14:paraId="6CE1AAB0" w14:textId="002C0D06" w:rsidR="00206084" w:rsidRDefault="00206084">
          <w:pPr>
            <w:pStyle w:val="TOC2"/>
            <w:tabs>
              <w:tab w:val="right" w:leader="dot" w:pos="9350"/>
            </w:tabs>
            <w:rPr>
              <w:rFonts w:eastAsiaTheme="minorEastAsia"/>
              <w:noProof/>
            </w:rPr>
          </w:pPr>
          <w:hyperlink w:anchor="_Toc238200100" w:history="1">
            <w:r w:rsidRPr="00826573">
              <w:rPr>
                <w:rStyle w:val="Hyperlink"/>
                <w:noProof/>
              </w:rPr>
              <w:t>1.2 Research Problem</w:t>
            </w:r>
            <w:r>
              <w:rPr>
                <w:noProof/>
                <w:webHidden/>
              </w:rPr>
              <w:tab/>
            </w:r>
            <w:r>
              <w:rPr>
                <w:noProof/>
                <w:webHidden/>
              </w:rPr>
              <w:fldChar w:fldCharType="begin"/>
            </w:r>
            <w:r>
              <w:rPr>
                <w:noProof/>
                <w:webHidden/>
              </w:rPr>
              <w:instrText xml:space="preserve"> PAGEREF _Toc238200100 \h </w:instrText>
            </w:r>
            <w:r>
              <w:rPr>
                <w:noProof/>
                <w:webHidden/>
              </w:rPr>
            </w:r>
            <w:r>
              <w:rPr>
                <w:noProof/>
                <w:webHidden/>
              </w:rPr>
              <w:fldChar w:fldCharType="separate"/>
            </w:r>
            <w:r>
              <w:rPr>
                <w:noProof/>
                <w:webHidden/>
              </w:rPr>
              <w:t>7</w:t>
            </w:r>
            <w:r>
              <w:rPr>
                <w:noProof/>
                <w:webHidden/>
              </w:rPr>
              <w:fldChar w:fldCharType="end"/>
            </w:r>
          </w:hyperlink>
        </w:p>
        <w:p w14:paraId="285E23F1" w14:textId="4CEAE080" w:rsidR="00206084" w:rsidRDefault="00206084">
          <w:pPr>
            <w:pStyle w:val="TOC3"/>
            <w:tabs>
              <w:tab w:val="right" w:leader="dot" w:pos="9350"/>
            </w:tabs>
            <w:rPr>
              <w:rFonts w:eastAsiaTheme="minorEastAsia"/>
              <w:noProof/>
            </w:rPr>
          </w:pPr>
          <w:hyperlink w:anchor="_Toc238200101" w:history="1">
            <w:r w:rsidRPr="00826573">
              <w:rPr>
                <w:rStyle w:val="Hyperlink"/>
                <w:noProof/>
              </w:rPr>
              <w:t>1.2.1 Articulation of the Research Gap</w:t>
            </w:r>
            <w:r>
              <w:rPr>
                <w:noProof/>
                <w:webHidden/>
              </w:rPr>
              <w:tab/>
            </w:r>
            <w:r>
              <w:rPr>
                <w:noProof/>
                <w:webHidden/>
              </w:rPr>
              <w:fldChar w:fldCharType="begin"/>
            </w:r>
            <w:r>
              <w:rPr>
                <w:noProof/>
                <w:webHidden/>
              </w:rPr>
              <w:instrText xml:space="preserve"> PAGEREF _Toc238200101 \h </w:instrText>
            </w:r>
            <w:r>
              <w:rPr>
                <w:noProof/>
                <w:webHidden/>
              </w:rPr>
            </w:r>
            <w:r>
              <w:rPr>
                <w:noProof/>
                <w:webHidden/>
              </w:rPr>
              <w:fldChar w:fldCharType="separate"/>
            </w:r>
            <w:r>
              <w:rPr>
                <w:noProof/>
                <w:webHidden/>
              </w:rPr>
              <w:t>8</w:t>
            </w:r>
            <w:r>
              <w:rPr>
                <w:noProof/>
                <w:webHidden/>
              </w:rPr>
              <w:fldChar w:fldCharType="end"/>
            </w:r>
          </w:hyperlink>
        </w:p>
        <w:p w14:paraId="3E958DB9" w14:textId="23745ABE" w:rsidR="00206084" w:rsidRDefault="00206084">
          <w:pPr>
            <w:pStyle w:val="TOC2"/>
            <w:tabs>
              <w:tab w:val="right" w:leader="dot" w:pos="9350"/>
            </w:tabs>
            <w:rPr>
              <w:rFonts w:eastAsiaTheme="minorEastAsia"/>
              <w:noProof/>
            </w:rPr>
          </w:pPr>
          <w:hyperlink w:anchor="_Toc238200102" w:history="1">
            <w:r w:rsidRPr="00826573">
              <w:rPr>
                <w:rStyle w:val="Hyperlink"/>
                <w:noProof/>
              </w:rPr>
              <w:t>1.3 Research Aim</w:t>
            </w:r>
            <w:r>
              <w:rPr>
                <w:noProof/>
                <w:webHidden/>
              </w:rPr>
              <w:tab/>
            </w:r>
            <w:r>
              <w:rPr>
                <w:noProof/>
                <w:webHidden/>
              </w:rPr>
              <w:fldChar w:fldCharType="begin"/>
            </w:r>
            <w:r>
              <w:rPr>
                <w:noProof/>
                <w:webHidden/>
              </w:rPr>
              <w:instrText xml:space="preserve"> PAGEREF _Toc238200102 \h </w:instrText>
            </w:r>
            <w:r>
              <w:rPr>
                <w:noProof/>
                <w:webHidden/>
              </w:rPr>
            </w:r>
            <w:r>
              <w:rPr>
                <w:noProof/>
                <w:webHidden/>
              </w:rPr>
              <w:fldChar w:fldCharType="separate"/>
            </w:r>
            <w:r>
              <w:rPr>
                <w:noProof/>
                <w:webHidden/>
              </w:rPr>
              <w:t>9</w:t>
            </w:r>
            <w:r>
              <w:rPr>
                <w:noProof/>
                <w:webHidden/>
              </w:rPr>
              <w:fldChar w:fldCharType="end"/>
            </w:r>
          </w:hyperlink>
        </w:p>
        <w:p w14:paraId="0A6ABC64" w14:textId="7D93EAAE" w:rsidR="00206084" w:rsidRDefault="00206084">
          <w:pPr>
            <w:pStyle w:val="TOC2"/>
            <w:tabs>
              <w:tab w:val="right" w:leader="dot" w:pos="9350"/>
            </w:tabs>
            <w:rPr>
              <w:rFonts w:eastAsiaTheme="minorEastAsia"/>
              <w:noProof/>
            </w:rPr>
          </w:pPr>
          <w:hyperlink w:anchor="_Toc238200103" w:history="1">
            <w:r w:rsidRPr="00826573">
              <w:rPr>
                <w:rStyle w:val="Hyperlink"/>
                <w:noProof/>
              </w:rPr>
              <w:t>1.4 Research Objectives</w:t>
            </w:r>
            <w:r>
              <w:rPr>
                <w:noProof/>
                <w:webHidden/>
              </w:rPr>
              <w:tab/>
            </w:r>
            <w:r>
              <w:rPr>
                <w:noProof/>
                <w:webHidden/>
              </w:rPr>
              <w:fldChar w:fldCharType="begin"/>
            </w:r>
            <w:r>
              <w:rPr>
                <w:noProof/>
                <w:webHidden/>
              </w:rPr>
              <w:instrText xml:space="preserve"> PAGEREF _Toc238200103 \h </w:instrText>
            </w:r>
            <w:r>
              <w:rPr>
                <w:noProof/>
                <w:webHidden/>
              </w:rPr>
            </w:r>
            <w:r>
              <w:rPr>
                <w:noProof/>
                <w:webHidden/>
              </w:rPr>
              <w:fldChar w:fldCharType="separate"/>
            </w:r>
            <w:r>
              <w:rPr>
                <w:noProof/>
                <w:webHidden/>
              </w:rPr>
              <w:t>9</w:t>
            </w:r>
            <w:r>
              <w:rPr>
                <w:noProof/>
                <w:webHidden/>
              </w:rPr>
              <w:fldChar w:fldCharType="end"/>
            </w:r>
          </w:hyperlink>
        </w:p>
        <w:p w14:paraId="3BC9F510" w14:textId="2592B173" w:rsidR="00206084" w:rsidRDefault="00206084">
          <w:pPr>
            <w:pStyle w:val="TOC2"/>
            <w:tabs>
              <w:tab w:val="right" w:leader="dot" w:pos="9350"/>
            </w:tabs>
            <w:rPr>
              <w:rFonts w:eastAsiaTheme="minorEastAsia"/>
              <w:noProof/>
            </w:rPr>
          </w:pPr>
          <w:hyperlink w:anchor="_Toc238200104" w:history="1">
            <w:r w:rsidRPr="00826573">
              <w:rPr>
                <w:rStyle w:val="Hyperlink"/>
                <w:noProof/>
              </w:rPr>
              <w:t>1.5 Research Questions</w:t>
            </w:r>
            <w:r>
              <w:rPr>
                <w:noProof/>
                <w:webHidden/>
              </w:rPr>
              <w:tab/>
            </w:r>
            <w:r>
              <w:rPr>
                <w:noProof/>
                <w:webHidden/>
              </w:rPr>
              <w:fldChar w:fldCharType="begin"/>
            </w:r>
            <w:r>
              <w:rPr>
                <w:noProof/>
                <w:webHidden/>
              </w:rPr>
              <w:instrText xml:space="preserve"> PAGEREF _Toc238200104 \h </w:instrText>
            </w:r>
            <w:r>
              <w:rPr>
                <w:noProof/>
                <w:webHidden/>
              </w:rPr>
            </w:r>
            <w:r>
              <w:rPr>
                <w:noProof/>
                <w:webHidden/>
              </w:rPr>
              <w:fldChar w:fldCharType="separate"/>
            </w:r>
            <w:r>
              <w:rPr>
                <w:noProof/>
                <w:webHidden/>
              </w:rPr>
              <w:t>10</w:t>
            </w:r>
            <w:r>
              <w:rPr>
                <w:noProof/>
                <w:webHidden/>
              </w:rPr>
              <w:fldChar w:fldCharType="end"/>
            </w:r>
          </w:hyperlink>
        </w:p>
        <w:p w14:paraId="4DCB2B26" w14:textId="45AB945C" w:rsidR="00206084" w:rsidRDefault="00206084">
          <w:pPr>
            <w:pStyle w:val="TOC2"/>
            <w:tabs>
              <w:tab w:val="right" w:leader="dot" w:pos="9350"/>
            </w:tabs>
            <w:rPr>
              <w:rFonts w:eastAsiaTheme="minorEastAsia"/>
              <w:noProof/>
            </w:rPr>
          </w:pPr>
          <w:hyperlink w:anchor="_Toc238200105" w:history="1">
            <w:r w:rsidRPr="00826573">
              <w:rPr>
                <w:rStyle w:val="Hyperlink"/>
                <w:noProof/>
              </w:rPr>
              <w:t>1.6 Significance of the Study</w:t>
            </w:r>
            <w:r>
              <w:rPr>
                <w:noProof/>
                <w:webHidden/>
              </w:rPr>
              <w:tab/>
            </w:r>
            <w:r>
              <w:rPr>
                <w:noProof/>
                <w:webHidden/>
              </w:rPr>
              <w:fldChar w:fldCharType="begin"/>
            </w:r>
            <w:r>
              <w:rPr>
                <w:noProof/>
                <w:webHidden/>
              </w:rPr>
              <w:instrText xml:space="preserve"> PAGEREF _Toc238200105 \h </w:instrText>
            </w:r>
            <w:r>
              <w:rPr>
                <w:noProof/>
                <w:webHidden/>
              </w:rPr>
            </w:r>
            <w:r>
              <w:rPr>
                <w:noProof/>
                <w:webHidden/>
              </w:rPr>
              <w:fldChar w:fldCharType="separate"/>
            </w:r>
            <w:r>
              <w:rPr>
                <w:noProof/>
                <w:webHidden/>
              </w:rPr>
              <w:t>10</w:t>
            </w:r>
            <w:r>
              <w:rPr>
                <w:noProof/>
                <w:webHidden/>
              </w:rPr>
              <w:fldChar w:fldCharType="end"/>
            </w:r>
          </w:hyperlink>
        </w:p>
        <w:p w14:paraId="06431D76" w14:textId="31F47DE7" w:rsidR="00206084" w:rsidRDefault="00206084">
          <w:pPr>
            <w:pStyle w:val="TOC2"/>
            <w:tabs>
              <w:tab w:val="right" w:leader="dot" w:pos="9350"/>
            </w:tabs>
            <w:rPr>
              <w:rFonts w:eastAsiaTheme="minorEastAsia"/>
              <w:noProof/>
            </w:rPr>
          </w:pPr>
          <w:hyperlink w:anchor="_Toc238200106" w:history="1">
            <w:r w:rsidRPr="00826573">
              <w:rPr>
                <w:rStyle w:val="Hyperlink"/>
                <w:noProof/>
              </w:rPr>
              <w:t>1.7 Brief Research Methodology</w:t>
            </w:r>
            <w:r>
              <w:rPr>
                <w:noProof/>
                <w:webHidden/>
              </w:rPr>
              <w:tab/>
            </w:r>
            <w:r>
              <w:rPr>
                <w:noProof/>
                <w:webHidden/>
              </w:rPr>
              <w:fldChar w:fldCharType="begin"/>
            </w:r>
            <w:r>
              <w:rPr>
                <w:noProof/>
                <w:webHidden/>
              </w:rPr>
              <w:instrText xml:space="preserve"> PAGEREF _Toc238200106 \h </w:instrText>
            </w:r>
            <w:r>
              <w:rPr>
                <w:noProof/>
                <w:webHidden/>
              </w:rPr>
            </w:r>
            <w:r>
              <w:rPr>
                <w:noProof/>
                <w:webHidden/>
              </w:rPr>
              <w:fldChar w:fldCharType="separate"/>
            </w:r>
            <w:r>
              <w:rPr>
                <w:noProof/>
                <w:webHidden/>
              </w:rPr>
              <w:t>11</w:t>
            </w:r>
            <w:r>
              <w:rPr>
                <w:noProof/>
                <w:webHidden/>
              </w:rPr>
              <w:fldChar w:fldCharType="end"/>
            </w:r>
          </w:hyperlink>
        </w:p>
        <w:p w14:paraId="57CDE460" w14:textId="03542406" w:rsidR="00206084" w:rsidRDefault="00206084">
          <w:pPr>
            <w:pStyle w:val="TOC2"/>
            <w:tabs>
              <w:tab w:val="right" w:leader="dot" w:pos="9350"/>
            </w:tabs>
            <w:rPr>
              <w:rFonts w:eastAsiaTheme="minorEastAsia"/>
              <w:noProof/>
            </w:rPr>
          </w:pPr>
          <w:hyperlink w:anchor="_Toc238200107" w:history="1">
            <w:r w:rsidRPr="00826573">
              <w:rPr>
                <w:rStyle w:val="Hyperlink"/>
                <w:noProof/>
              </w:rPr>
              <w:t>1.8 Structure of the Dissertation</w:t>
            </w:r>
            <w:r>
              <w:rPr>
                <w:noProof/>
                <w:webHidden/>
              </w:rPr>
              <w:tab/>
            </w:r>
            <w:r>
              <w:rPr>
                <w:noProof/>
                <w:webHidden/>
              </w:rPr>
              <w:fldChar w:fldCharType="begin"/>
            </w:r>
            <w:r>
              <w:rPr>
                <w:noProof/>
                <w:webHidden/>
              </w:rPr>
              <w:instrText xml:space="preserve"> PAGEREF _Toc238200107 \h </w:instrText>
            </w:r>
            <w:r>
              <w:rPr>
                <w:noProof/>
                <w:webHidden/>
              </w:rPr>
            </w:r>
            <w:r>
              <w:rPr>
                <w:noProof/>
                <w:webHidden/>
              </w:rPr>
              <w:fldChar w:fldCharType="separate"/>
            </w:r>
            <w:r>
              <w:rPr>
                <w:noProof/>
                <w:webHidden/>
              </w:rPr>
              <w:t>11</w:t>
            </w:r>
            <w:r>
              <w:rPr>
                <w:noProof/>
                <w:webHidden/>
              </w:rPr>
              <w:fldChar w:fldCharType="end"/>
            </w:r>
          </w:hyperlink>
        </w:p>
        <w:p w14:paraId="10BF0CAC" w14:textId="0AC17F99" w:rsidR="00206084" w:rsidRDefault="00206084">
          <w:pPr>
            <w:pStyle w:val="TOC1"/>
            <w:tabs>
              <w:tab w:val="right" w:leader="dot" w:pos="9350"/>
            </w:tabs>
            <w:rPr>
              <w:rFonts w:eastAsiaTheme="minorEastAsia"/>
              <w:noProof/>
            </w:rPr>
          </w:pPr>
          <w:hyperlink w:anchor="_Toc238200108" w:history="1">
            <w:r w:rsidRPr="00826573">
              <w:rPr>
                <w:rStyle w:val="Hyperlink"/>
                <w:noProof/>
              </w:rPr>
              <w:t>Chapter 2: Literature Review</w:t>
            </w:r>
            <w:r>
              <w:rPr>
                <w:noProof/>
                <w:webHidden/>
              </w:rPr>
              <w:tab/>
            </w:r>
            <w:r>
              <w:rPr>
                <w:noProof/>
                <w:webHidden/>
              </w:rPr>
              <w:fldChar w:fldCharType="begin"/>
            </w:r>
            <w:r>
              <w:rPr>
                <w:noProof/>
                <w:webHidden/>
              </w:rPr>
              <w:instrText xml:space="preserve"> PAGEREF _Toc238200108 \h </w:instrText>
            </w:r>
            <w:r>
              <w:rPr>
                <w:noProof/>
                <w:webHidden/>
              </w:rPr>
            </w:r>
            <w:r>
              <w:rPr>
                <w:noProof/>
                <w:webHidden/>
              </w:rPr>
              <w:fldChar w:fldCharType="separate"/>
            </w:r>
            <w:r>
              <w:rPr>
                <w:noProof/>
                <w:webHidden/>
              </w:rPr>
              <w:t>12</w:t>
            </w:r>
            <w:r>
              <w:rPr>
                <w:noProof/>
                <w:webHidden/>
              </w:rPr>
              <w:fldChar w:fldCharType="end"/>
            </w:r>
          </w:hyperlink>
        </w:p>
        <w:p w14:paraId="0C55D524" w14:textId="4F653BCF" w:rsidR="00206084" w:rsidRDefault="00206084">
          <w:pPr>
            <w:pStyle w:val="TOC2"/>
            <w:tabs>
              <w:tab w:val="right" w:leader="dot" w:pos="9350"/>
            </w:tabs>
            <w:rPr>
              <w:rFonts w:eastAsiaTheme="minorEastAsia"/>
              <w:noProof/>
            </w:rPr>
          </w:pPr>
          <w:hyperlink w:anchor="_Toc238200109" w:history="1">
            <w:r w:rsidRPr="00826573">
              <w:rPr>
                <w:rStyle w:val="Hyperlink"/>
                <w:noProof/>
              </w:rPr>
              <w:t>2.1 Introduction</w:t>
            </w:r>
            <w:r>
              <w:rPr>
                <w:noProof/>
                <w:webHidden/>
              </w:rPr>
              <w:tab/>
            </w:r>
            <w:r>
              <w:rPr>
                <w:noProof/>
                <w:webHidden/>
              </w:rPr>
              <w:fldChar w:fldCharType="begin"/>
            </w:r>
            <w:r>
              <w:rPr>
                <w:noProof/>
                <w:webHidden/>
              </w:rPr>
              <w:instrText xml:space="preserve"> PAGEREF _Toc238200109 \h </w:instrText>
            </w:r>
            <w:r>
              <w:rPr>
                <w:noProof/>
                <w:webHidden/>
              </w:rPr>
            </w:r>
            <w:r>
              <w:rPr>
                <w:noProof/>
                <w:webHidden/>
              </w:rPr>
              <w:fldChar w:fldCharType="separate"/>
            </w:r>
            <w:r>
              <w:rPr>
                <w:noProof/>
                <w:webHidden/>
              </w:rPr>
              <w:t>12</w:t>
            </w:r>
            <w:r>
              <w:rPr>
                <w:noProof/>
                <w:webHidden/>
              </w:rPr>
              <w:fldChar w:fldCharType="end"/>
            </w:r>
          </w:hyperlink>
        </w:p>
        <w:p w14:paraId="53DE7176" w14:textId="1698567F" w:rsidR="00206084" w:rsidRDefault="00206084">
          <w:pPr>
            <w:pStyle w:val="TOC2"/>
            <w:tabs>
              <w:tab w:val="right" w:leader="dot" w:pos="9350"/>
            </w:tabs>
            <w:rPr>
              <w:rFonts w:eastAsiaTheme="minorEastAsia"/>
              <w:noProof/>
            </w:rPr>
          </w:pPr>
          <w:hyperlink w:anchor="_Toc238200110" w:history="1">
            <w:r w:rsidRPr="00826573">
              <w:rPr>
                <w:rStyle w:val="Hyperlink"/>
                <w:noProof/>
              </w:rPr>
              <w:t>2.2 Human Capital Theory</w:t>
            </w:r>
            <w:r>
              <w:rPr>
                <w:noProof/>
                <w:webHidden/>
              </w:rPr>
              <w:tab/>
            </w:r>
            <w:r>
              <w:rPr>
                <w:noProof/>
                <w:webHidden/>
              </w:rPr>
              <w:fldChar w:fldCharType="begin"/>
            </w:r>
            <w:r>
              <w:rPr>
                <w:noProof/>
                <w:webHidden/>
              </w:rPr>
              <w:instrText xml:space="preserve"> PAGEREF _Toc238200110 \h </w:instrText>
            </w:r>
            <w:r>
              <w:rPr>
                <w:noProof/>
                <w:webHidden/>
              </w:rPr>
            </w:r>
            <w:r>
              <w:rPr>
                <w:noProof/>
                <w:webHidden/>
              </w:rPr>
              <w:fldChar w:fldCharType="separate"/>
            </w:r>
            <w:r>
              <w:rPr>
                <w:noProof/>
                <w:webHidden/>
              </w:rPr>
              <w:t>13</w:t>
            </w:r>
            <w:r>
              <w:rPr>
                <w:noProof/>
                <w:webHidden/>
              </w:rPr>
              <w:fldChar w:fldCharType="end"/>
            </w:r>
          </w:hyperlink>
        </w:p>
        <w:p w14:paraId="17B39C3A" w14:textId="0AA94C29" w:rsidR="00206084" w:rsidRDefault="00206084">
          <w:pPr>
            <w:pStyle w:val="TOC3"/>
            <w:tabs>
              <w:tab w:val="right" w:leader="dot" w:pos="9350"/>
            </w:tabs>
            <w:rPr>
              <w:rFonts w:eastAsiaTheme="minorEastAsia"/>
              <w:noProof/>
            </w:rPr>
          </w:pPr>
          <w:hyperlink w:anchor="_Toc238200111" w:history="1">
            <w:r w:rsidRPr="00826573">
              <w:rPr>
                <w:rStyle w:val="Hyperlink"/>
                <w:noProof/>
              </w:rPr>
              <w:t>2.2.1 Origins and Core Concepts</w:t>
            </w:r>
            <w:r>
              <w:rPr>
                <w:noProof/>
                <w:webHidden/>
              </w:rPr>
              <w:tab/>
            </w:r>
            <w:r>
              <w:rPr>
                <w:noProof/>
                <w:webHidden/>
              </w:rPr>
              <w:fldChar w:fldCharType="begin"/>
            </w:r>
            <w:r>
              <w:rPr>
                <w:noProof/>
                <w:webHidden/>
              </w:rPr>
              <w:instrText xml:space="preserve"> PAGEREF _Toc238200111 \h </w:instrText>
            </w:r>
            <w:r>
              <w:rPr>
                <w:noProof/>
                <w:webHidden/>
              </w:rPr>
            </w:r>
            <w:r>
              <w:rPr>
                <w:noProof/>
                <w:webHidden/>
              </w:rPr>
              <w:fldChar w:fldCharType="separate"/>
            </w:r>
            <w:r>
              <w:rPr>
                <w:noProof/>
                <w:webHidden/>
              </w:rPr>
              <w:t>13</w:t>
            </w:r>
            <w:r>
              <w:rPr>
                <w:noProof/>
                <w:webHidden/>
              </w:rPr>
              <w:fldChar w:fldCharType="end"/>
            </w:r>
          </w:hyperlink>
        </w:p>
        <w:p w14:paraId="607D272C" w14:textId="4B5745D7" w:rsidR="00206084" w:rsidRDefault="00206084">
          <w:pPr>
            <w:pStyle w:val="TOC3"/>
            <w:tabs>
              <w:tab w:val="right" w:leader="dot" w:pos="9350"/>
            </w:tabs>
            <w:rPr>
              <w:rFonts w:eastAsiaTheme="minorEastAsia"/>
              <w:noProof/>
            </w:rPr>
          </w:pPr>
          <w:hyperlink w:anchor="_Toc238200112" w:history="1">
            <w:r w:rsidRPr="00826573">
              <w:rPr>
                <w:rStyle w:val="Hyperlink"/>
                <w:noProof/>
              </w:rPr>
              <w:t>2.2.2 Application to Healthcare Workforce Dynamics</w:t>
            </w:r>
            <w:r>
              <w:rPr>
                <w:noProof/>
                <w:webHidden/>
              </w:rPr>
              <w:tab/>
            </w:r>
            <w:r>
              <w:rPr>
                <w:noProof/>
                <w:webHidden/>
              </w:rPr>
              <w:fldChar w:fldCharType="begin"/>
            </w:r>
            <w:r>
              <w:rPr>
                <w:noProof/>
                <w:webHidden/>
              </w:rPr>
              <w:instrText xml:space="preserve"> PAGEREF _Toc238200112 \h </w:instrText>
            </w:r>
            <w:r>
              <w:rPr>
                <w:noProof/>
                <w:webHidden/>
              </w:rPr>
            </w:r>
            <w:r>
              <w:rPr>
                <w:noProof/>
                <w:webHidden/>
              </w:rPr>
              <w:fldChar w:fldCharType="separate"/>
            </w:r>
            <w:r>
              <w:rPr>
                <w:noProof/>
                <w:webHidden/>
              </w:rPr>
              <w:t>14</w:t>
            </w:r>
            <w:r>
              <w:rPr>
                <w:noProof/>
                <w:webHidden/>
              </w:rPr>
              <w:fldChar w:fldCharType="end"/>
            </w:r>
          </w:hyperlink>
        </w:p>
        <w:p w14:paraId="3C54B57A" w14:textId="3D5E1AA3" w:rsidR="00206084" w:rsidRDefault="00206084">
          <w:pPr>
            <w:pStyle w:val="TOC3"/>
            <w:tabs>
              <w:tab w:val="right" w:leader="dot" w:pos="9350"/>
            </w:tabs>
            <w:rPr>
              <w:rFonts w:eastAsiaTheme="minorEastAsia"/>
              <w:noProof/>
            </w:rPr>
          </w:pPr>
          <w:hyperlink w:anchor="_Toc238200113" w:history="1">
            <w:r w:rsidRPr="00826573">
              <w:rPr>
                <w:rStyle w:val="Hyperlink"/>
                <w:noProof/>
              </w:rPr>
              <w:t>2.2.3 Specific Human Capital in the NHS Context</w:t>
            </w:r>
            <w:r>
              <w:rPr>
                <w:noProof/>
                <w:webHidden/>
              </w:rPr>
              <w:tab/>
            </w:r>
            <w:r>
              <w:rPr>
                <w:noProof/>
                <w:webHidden/>
              </w:rPr>
              <w:fldChar w:fldCharType="begin"/>
            </w:r>
            <w:r>
              <w:rPr>
                <w:noProof/>
                <w:webHidden/>
              </w:rPr>
              <w:instrText xml:space="preserve"> PAGEREF _Toc238200113 \h </w:instrText>
            </w:r>
            <w:r>
              <w:rPr>
                <w:noProof/>
                <w:webHidden/>
              </w:rPr>
            </w:r>
            <w:r>
              <w:rPr>
                <w:noProof/>
                <w:webHidden/>
              </w:rPr>
              <w:fldChar w:fldCharType="separate"/>
            </w:r>
            <w:r>
              <w:rPr>
                <w:noProof/>
                <w:webHidden/>
              </w:rPr>
              <w:t>14</w:t>
            </w:r>
            <w:r>
              <w:rPr>
                <w:noProof/>
                <w:webHidden/>
              </w:rPr>
              <w:fldChar w:fldCharType="end"/>
            </w:r>
          </w:hyperlink>
        </w:p>
        <w:p w14:paraId="18C2D1C7" w14:textId="0BD6BB2E" w:rsidR="00206084" w:rsidRDefault="00206084">
          <w:pPr>
            <w:pStyle w:val="TOC3"/>
            <w:tabs>
              <w:tab w:val="right" w:leader="dot" w:pos="9350"/>
            </w:tabs>
            <w:rPr>
              <w:rFonts w:eastAsiaTheme="minorEastAsia"/>
              <w:noProof/>
            </w:rPr>
          </w:pPr>
          <w:hyperlink w:anchor="_Toc238200114" w:history="1">
            <w:r w:rsidRPr="00826573">
              <w:rPr>
                <w:rStyle w:val="Hyperlink"/>
                <w:noProof/>
              </w:rPr>
              <w:t>2.2.4 Human Capital and Immigration Policy</w:t>
            </w:r>
            <w:r>
              <w:rPr>
                <w:noProof/>
                <w:webHidden/>
              </w:rPr>
              <w:tab/>
            </w:r>
            <w:r>
              <w:rPr>
                <w:noProof/>
                <w:webHidden/>
              </w:rPr>
              <w:fldChar w:fldCharType="begin"/>
            </w:r>
            <w:r>
              <w:rPr>
                <w:noProof/>
                <w:webHidden/>
              </w:rPr>
              <w:instrText xml:space="preserve"> PAGEREF _Toc238200114 \h </w:instrText>
            </w:r>
            <w:r>
              <w:rPr>
                <w:noProof/>
                <w:webHidden/>
              </w:rPr>
            </w:r>
            <w:r>
              <w:rPr>
                <w:noProof/>
                <w:webHidden/>
              </w:rPr>
              <w:fldChar w:fldCharType="separate"/>
            </w:r>
            <w:r>
              <w:rPr>
                <w:noProof/>
                <w:webHidden/>
              </w:rPr>
              <w:t>15</w:t>
            </w:r>
            <w:r>
              <w:rPr>
                <w:noProof/>
                <w:webHidden/>
              </w:rPr>
              <w:fldChar w:fldCharType="end"/>
            </w:r>
          </w:hyperlink>
        </w:p>
        <w:p w14:paraId="04F68B93" w14:textId="310B5DE3" w:rsidR="00206084" w:rsidRDefault="00206084">
          <w:pPr>
            <w:pStyle w:val="TOC2"/>
            <w:tabs>
              <w:tab w:val="right" w:leader="dot" w:pos="9350"/>
            </w:tabs>
            <w:rPr>
              <w:rFonts w:eastAsiaTheme="minorEastAsia"/>
              <w:noProof/>
            </w:rPr>
          </w:pPr>
          <w:hyperlink w:anchor="_Toc238200115" w:history="1">
            <w:r w:rsidRPr="00826573">
              <w:rPr>
                <w:rStyle w:val="Hyperlink"/>
                <w:noProof/>
              </w:rPr>
              <w:t>2.3 Triple Bottom Line (TBL) Framework</w:t>
            </w:r>
            <w:r>
              <w:rPr>
                <w:noProof/>
                <w:webHidden/>
              </w:rPr>
              <w:tab/>
            </w:r>
            <w:r>
              <w:rPr>
                <w:noProof/>
                <w:webHidden/>
              </w:rPr>
              <w:fldChar w:fldCharType="begin"/>
            </w:r>
            <w:r>
              <w:rPr>
                <w:noProof/>
                <w:webHidden/>
              </w:rPr>
              <w:instrText xml:space="preserve"> PAGEREF _Toc238200115 \h </w:instrText>
            </w:r>
            <w:r>
              <w:rPr>
                <w:noProof/>
                <w:webHidden/>
              </w:rPr>
            </w:r>
            <w:r>
              <w:rPr>
                <w:noProof/>
                <w:webHidden/>
              </w:rPr>
              <w:fldChar w:fldCharType="separate"/>
            </w:r>
            <w:r>
              <w:rPr>
                <w:noProof/>
                <w:webHidden/>
              </w:rPr>
              <w:t>16</w:t>
            </w:r>
            <w:r>
              <w:rPr>
                <w:noProof/>
                <w:webHidden/>
              </w:rPr>
              <w:fldChar w:fldCharType="end"/>
            </w:r>
          </w:hyperlink>
        </w:p>
        <w:p w14:paraId="0155366F" w14:textId="393226CD" w:rsidR="00206084" w:rsidRDefault="00206084">
          <w:pPr>
            <w:pStyle w:val="TOC3"/>
            <w:tabs>
              <w:tab w:val="right" w:leader="dot" w:pos="9350"/>
            </w:tabs>
            <w:rPr>
              <w:rFonts w:eastAsiaTheme="minorEastAsia"/>
              <w:noProof/>
            </w:rPr>
          </w:pPr>
          <w:hyperlink w:anchor="_Toc238200116" w:history="1">
            <w:r w:rsidRPr="00826573">
              <w:rPr>
                <w:rStyle w:val="Hyperlink"/>
                <w:noProof/>
              </w:rPr>
              <w:t>2.3.1 Origins and Conceptual Foundations</w:t>
            </w:r>
            <w:r>
              <w:rPr>
                <w:noProof/>
                <w:webHidden/>
              </w:rPr>
              <w:tab/>
            </w:r>
            <w:r>
              <w:rPr>
                <w:noProof/>
                <w:webHidden/>
              </w:rPr>
              <w:fldChar w:fldCharType="begin"/>
            </w:r>
            <w:r>
              <w:rPr>
                <w:noProof/>
                <w:webHidden/>
              </w:rPr>
              <w:instrText xml:space="preserve"> PAGEREF _Toc238200116 \h </w:instrText>
            </w:r>
            <w:r>
              <w:rPr>
                <w:noProof/>
                <w:webHidden/>
              </w:rPr>
            </w:r>
            <w:r>
              <w:rPr>
                <w:noProof/>
                <w:webHidden/>
              </w:rPr>
              <w:fldChar w:fldCharType="separate"/>
            </w:r>
            <w:r>
              <w:rPr>
                <w:noProof/>
                <w:webHidden/>
              </w:rPr>
              <w:t>16</w:t>
            </w:r>
            <w:r>
              <w:rPr>
                <w:noProof/>
                <w:webHidden/>
              </w:rPr>
              <w:fldChar w:fldCharType="end"/>
            </w:r>
          </w:hyperlink>
        </w:p>
        <w:p w14:paraId="3D16045C" w14:textId="390F79DB" w:rsidR="00206084" w:rsidRDefault="00206084">
          <w:pPr>
            <w:pStyle w:val="TOC3"/>
            <w:tabs>
              <w:tab w:val="right" w:leader="dot" w:pos="9350"/>
            </w:tabs>
            <w:rPr>
              <w:rFonts w:eastAsiaTheme="minorEastAsia"/>
              <w:noProof/>
            </w:rPr>
          </w:pPr>
          <w:hyperlink w:anchor="_Toc238200117" w:history="1">
            <w:r w:rsidRPr="00826573">
              <w:rPr>
                <w:rStyle w:val="Hyperlink"/>
                <w:noProof/>
              </w:rPr>
              <w:t>2.3.2 Adaptation for Healthcare Workforce Analysis</w:t>
            </w:r>
            <w:r>
              <w:rPr>
                <w:noProof/>
                <w:webHidden/>
              </w:rPr>
              <w:tab/>
            </w:r>
            <w:r>
              <w:rPr>
                <w:noProof/>
                <w:webHidden/>
              </w:rPr>
              <w:fldChar w:fldCharType="begin"/>
            </w:r>
            <w:r>
              <w:rPr>
                <w:noProof/>
                <w:webHidden/>
              </w:rPr>
              <w:instrText xml:space="preserve"> PAGEREF _Toc238200117 \h </w:instrText>
            </w:r>
            <w:r>
              <w:rPr>
                <w:noProof/>
                <w:webHidden/>
              </w:rPr>
            </w:r>
            <w:r>
              <w:rPr>
                <w:noProof/>
                <w:webHidden/>
              </w:rPr>
              <w:fldChar w:fldCharType="separate"/>
            </w:r>
            <w:r>
              <w:rPr>
                <w:noProof/>
                <w:webHidden/>
              </w:rPr>
              <w:t>16</w:t>
            </w:r>
            <w:r>
              <w:rPr>
                <w:noProof/>
                <w:webHidden/>
              </w:rPr>
              <w:fldChar w:fldCharType="end"/>
            </w:r>
          </w:hyperlink>
        </w:p>
        <w:p w14:paraId="10B21491" w14:textId="43DDABBA" w:rsidR="00206084" w:rsidRDefault="00206084">
          <w:pPr>
            <w:pStyle w:val="TOC3"/>
            <w:tabs>
              <w:tab w:val="right" w:leader="dot" w:pos="9350"/>
            </w:tabs>
            <w:rPr>
              <w:rFonts w:eastAsiaTheme="minorEastAsia"/>
              <w:noProof/>
            </w:rPr>
          </w:pPr>
          <w:hyperlink w:anchor="_Toc238200118" w:history="1">
            <w:r w:rsidRPr="00826573">
              <w:rPr>
                <w:rStyle w:val="Hyperlink"/>
                <w:noProof/>
              </w:rPr>
              <w:t>2.3.3 Operationalising TBL for Quantitative Analysis</w:t>
            </w:r>
            <w:r>
              <w:rPr>
                <w:noProof/>
                <w:webHidden/>
              </w:rPr>
              <w:tab/>
            </w:r>
            <w:r>
              <w:rPr>
                <w:noProof/>
                <w:webHidden/>
              </w:rPr>
              <w:fldChar w:fldCharType="begin"/>
            </w:r>
            <w:r>
              <w:rPr>
                <w:noProof/>
                <w:webHidden/>
              </w:rPr>
              <w:instrText xml:space="preserve"> PAGEREF _Toc238200118 \h </w:instrText>
            </w:r>
            <w:r>
              <w:rPr>
                <w:noProof/>
                <w:webHidden/>
              </w:rPr>
            </w:r>
            <w:r>
              <w:rPr>
                <w:noProof/>
                <w:webHidden/>
              </w:rPr>
              <w:fldChar w:fldCharType="separate"/>
            </w:r>
            <w:r>
              <w:rPr>
                <w:noProof/>
                <w:webHidden/>
              </w:rPr>
              <w:t>17</w:t>
            </w:r>
            <w:r>
              <w:rPr>
                <w:noProof/>
                <w:webHidden/>
              </w:rPr>
              <w:fldChar w:fldCharType="end"/>
            </w:r>
          </w:hyperlink>
        </w:p>
        <w:p w14:paraId="1ACBC722" w14:textId="06F0651E" w:rsidR="00206084" w:rsidRDefault="00206084">
          <w:pPr>
            <w:pStyle w:val="TOC2"/>
            <w:tabs>
              <w:tab w:val="right" w:leader="dot" w:pos="9350"/>
            </w:tabs>
            <w:rPr>
              <w:rFonts w:eastAsiaTheme="minorEastAsia"/>
              <w:noProof/>
            </w:rPr>
          </w:pPr>
          <w:hyperlink w:anchor="_Toc238200119" w:history="1">
            <w:r w:rsidRPr="00826573">
              <w:rPr>
                <w:rStyle w:val="Hyperlink"/>
                <w:noProof/>
              </w:rPr>
              <w:t>2.4 Conservation of Resources (COR) Theory</w:t>
            </w:r>
            <w:r>
              <w:rPr>
                <w:noProof/>
                <w:webHidden/>
              </w:rPr>
              <w:tab/>
            </w:r>
            <w:r>
              <w:rPr>
                <w:noProof/>
                <w:webHidden/>
              </w:rPr>
              <w:fldChar w:fldCharType="begin"/>
            </w:r>
            <w:r>
              <w:rPr>
                <w:noProof/>
                <w:webHidden/>
              </w:rPr>
              <w:instrText xml:space="preserve"> PAGEREF _Toc238200119 \h </w:instrText>
            </w:r>
            <w:r>
              <w:rPr>
                <w:noProof/>
                <w:webHidden/>
              </w:rPr>
            </w:r>
            <w:r>
              <w:rPr>
                <w:noProof/>
                <w:webHidden/>
              </w:rPr>
              <w:fldChar w:fldCharType="separate"/>
            </w:r>
            <w:r>
              <w:rPr>
                <w:noProof/>
                <w:webHidden/>
              </w:rPr>
              <w:t>18</w:t>
            </w:r>
            <w:r>
              <w:rPr>
                <w:noProof/>
                <w:webHidden/>
              </w:rPr>
              <w:fldChar w:fldCharType="end"/>
            </w:r>
          </w:hyperlink>
        </w:p>
        <w:p w14:paraId="16A32FA2" w14:textId="45FFAC95" w:rsidR="00206084" w:rsidRDefault="00206084">
          <w:pPr>
            <w:pStyle w:val="TOC3"/>
            <w:tabs>
              <w:tab w:val="right" w:leader="dot" w:pos="9350"/>
            </w:tabs>
            <w:rPr>
              <w:rFonts w:eastAsiaTheme="minorEastAsia"/>
              <w:noProof/>
            </w:rPr>
          </w:pPr>
          <w:hyperlink w:anchor="_Toc238200120" w:history="1">
            <w:r w:rsidRPr="00826573">
              <w:rPr>
                <w:rStyle w:val="Hyperlink"/>
                <w:noProof/>
              </w:rPr>
              <w:t>2.4.1 Origins and Core Propositions</w:t>
            </w:r>
            <w:r>
              <w:rPr>
                <w:noProof/>
                <w:webHidden/>
              </w:rPr>
              <w:tab/>
            </w:r>
            <w:r>
              <w:rPr>
                <w:noProof/>
                <w:webHidden/>
              </w:rPr>
              <w:fldChar w:fldCharType="begin"/>
            </w:r>
            <w:r>
              <w:rPr>
                <w:noProof/>
                <w:webHidden/>
              </w:rPr>
              <w:instrText xml:space="preserve"> PAGEREF _Toc238200120 \h </w:instrText>
            </w:r>
            <w:r>
              <w:rPr>
                <w:noProof/>
                <w:webHidden/>
              </w:rPr>
            </w:r>
            <w:r>
              <w:rPr>
                <w:noProof/>
                <w:webHidden/>
              </w:rPr>
              <w:fldChar w:fldCharType="separate"/>
            </w:r>
            <w:r>
              <w:rPr>
                <w:noProof/>
                <w:webHidden/>
              </w:rPr>
              <w:t>18</w:t>
            </w:r>
            <w:r>
              <w:rPr>
                <w:noProof/>
                <w:webHidden/>
              </w:rPr>
              <w:fldChar w:fldCharType="end"/>
            </w:r>
          </w:hyperlink>
        </w:p>
        <w:p w14:paraId="0D6709E2" w14:textId="3A812ADB" w:rsidR="00206084" w:rsidRDefault="00206084">
          <w:pPr>
            <w:pStyle w:val="TOC3"/>
            <w:tabs>
              <w:tab w:val="right" w:leader="dot" w:pos="9350"/>
            </w:tabs>
            <w:rPr>
              <w:rFonts w:eastAsiaTheme="minorEastAsia"/>
              <w:noProof/>
            </w:rPr>
          </w:pPr>
          <w:hyperlink w:anchor="_Toc238200121" w:history="1">
            <w:r w:rsidRPr="00826573">
              <w:rPr>
                <w:rStyle w:val="Hyperlink"/>
                <w:noProof/>
              </w:rPr>
              <w:t>2.4.2 Application to Migrant Worker Experiences</w:t>
            </w:r>
            <w:r>
              <w:rPr>
                <w:noProof/>
                <w:webHidden/>
              </w:rPr>
              <w:tab/>
            </w:r>
            <w:r>
              <w:rPr>
                <w:noProof/>
                <w:webHidden/>
              </w:rPr>
              <w:fldChar w:fldCharType="begin"/>
            </w:r>
            <w:r>
              <w:rPr>
                <w:noProof/>
                <w:webHidden/>
              </w:rPr>
              <w:instrText xml:space="preserve"> PAGEREF _Toc238200121 \h </w:instrText>
            </w:r>
            <w:r>
              <w:rPr>
                <w:noProof/>
                <w:webHidden/>
              </w:rPr>
            </w:r>
            <w:r>
              <w:rPr>
                <w:noProof/>
                <w:webHidden/>
              </w:rPr>
              <w:fldChar w:fldCharType="separate"/>
            </w:r>
            <w:r>
              <w:rPr>
                <w:noProof/>
                <w:webHidden/>
              </w:rPr>
              <w:t>19</w:t>
            </w:r>
            <w:r>
              <w:rPr>
                <w:noProof/>
                <w:webHidden/>
              </w:rPr>
              <w:fldChar w:fldCharType="end"/>
            </w:r>
          </w:hyperlink>
        </w:p>
        <w:p w14:paraId="44F2E723" w14:textId="5FDDDDA0" w:rsidR="00206084" w:rsidRDefault="00206084">
          <w:pPr>
            <w:pStyle w:val="TOC3"/>
            <w:tabs>
              <w:tab w:val="right" w:leader="dot" w:pos="9350"/>
            </w:tabs>
            <w:rPr>
              <w:rFonts w:eastAsiaTheme="minorEastAsia"/>
              <w:noProof/>
            </w:rPr>
          </w:pPr>
          <w:hyperlink w:anchor="_Toc238200122" w:history="1">
            <w:r w:rsidRPr="00826573">
              <w:rPr>
                <w:rStyle w:val="Hyperlink"/>
                <w:noProof/>
              </w:rPr>
              <w:t>2.4.3 Empirical Evidence on Resource Threats and Workforce Withdrawal</w:t>
            </w:r>
            <w:r>
              <w:rPr>
                <w:noProof/>
                <w:webHidden/>
              </w:rPr>
              <w:tab/>
            </w:r>
            <w:r>
              <w:rPr>
                <w:noProof/>
                <w:webHidden/>
              </w:rPr>
              <w:fldChar w:fldCharType="begin"/>
            </w:r>
            <w:r>
              <w:rPr>
                <w:noProof/>
                <w:webHidden/>
              </w:rPr>
              <w:instrText xml:space="preserve"> PAGEREF _Toc238200122 \h </w:instrText>
            </w:r>
            <w:r>
              <w:rPr>
                <w:noProof/>
                <w:webHidden/>
              </w:rPr>
            </w:r>
            <w:r>
              <w:rPr>
                <w:noProof/>
                <w:webHidden/>
              </w:rPr>
              <w:fldChar w:fldCharType="separate"/>
            </w:r>
            <w:r>
              <w:rPr>
                <w:noProof/>
                <w:webHidden/>
              </w:rPr>
              <w:t>19</w:t>
            </w:r>
            <w:r>
              <w:rPr>
                <w:noProof/>
                <w:webHidden/>
              </w:rPr>
              <w:fldChar w:fldCharType="end"/>
            </w:r>
          </w:hyperlink>
        </w:p>
        <w:p w14:paraId="359A00DB" w14:textId="67CF0CE5" w:rsidR="00206084" w:rsidRDefault="00206084">
          <w:pPr>
            <w:pStyle w:val="TOC3"/>
            <w:tabs>
              <w:tab w:val="right" w:leader="dot" w:pos="9350"/>
            </w:tabs>
            <w:rPr>
              <w:rFonts w:eastAsiaTheme="minorEastAsia"/>
              <w:noProof/>
            </w:rPr>
          </w:pPr>
          <w:hyperlink w:anchor="_Toc238200123" w:history="1">
            <w:r w:rsidRPr="00826573">
              <w:rPr>
                <w:rStyle w:val="Hyperlink"/>
                <w:noProof/>
              </w:rPr>
              <w:t>2.4.4 The 'Temporariness' Trap</w:t>
            </w:r>
            <w:r>
              <w:rPr>
                <w:noProof/>
                <w:webHidden/>
              </w:rPr>
              <w:tab/>
            </w:r>
            <w:r>
              <w:rPr>
                <w:noProof/>
                <w:webHidden/>
              </w:rPr>
              <w:fldChar w:fldCharType="begin"/>
            </w:r>
            <w:r>
              <w:rPr>
                <w:noProof/>
                <w:webHidden/>
              </w:rPr>
              <w:instrText xml:space="preserve"> PAGEREF _Toc238200123 \h </w:instrText>
            </w:r>
            <w:r>
              <w:rPr>
                <w:noProof/>
                <w:webHidden/>
              </w:rPr>
            </w:r>
            <w:r>
              <w:rPr>
                <w:noProof/>
                <w:webHidden/>
              </w:rPr>
              <w:fldChar w:fldCharType="separate"/>
            </w:r>
            <w:r>
              <w:rPr>
                <w:noProof/>
                <w:webHidden/>
              </w:rPr>
              <w:t>20</w:t>
            </w:r>
            <w:r>
              <w:rPr>
                <w:noProof/>
                <w:webHidden/>
              </w:rPr>
              <w:fldChar w:fldCharType="end"/>
            </w:r>
          </w:hyperlink>
        </w:p>
        <w:p w14:paraId="701FB4E9" w14:textId="4F26F6BF" w:rsidR="00206084" w:rsidRDefault="00206084">
          <w:pPr>
            <w:pStyle w:val="TOC2"/>
            <w:tabs>
              <w:tab w:val="right" w:leader="dot" w:pos="9350"/>
            </w:tabs>
            <w:rPr>
              <w:rFonts w:eastAsiaTheme="minorEastAsia"/>
              <w:noProof/>
            </w:rPr>
          </w:pPr>
          <w:hyperlink w:anchor="_Toc238200124" w:history="1">
            <w:r w:rsidRPr="00826573">
              <w:rPr>
                <w:rStyle w:val="Hyperlink"/>
                <w:noProof/>
              </w:rPr>
              <w:t>2.5 Integration of Theories: A Unified Analytical Framework</w:t>
            </w:r>
            <w:r>
              <w:rPr>
                <w:noProof/>
                <w:webHidden/>
              </w:rPr>
              <w:tab/>
            </w:r>
            <w:r>
              <w:rPr>
                <w:noProof/>
                <w:webHidden/>
              </w:rPr>
              <w:fldChar w:fldCharType="begin"/>
            </w:r>
            <w:r>
              <w:rPr>
                <w:noProof/>
                <w:webHidden/>
              </w:rPr>
              <w:instrText xml:space="preserve"> PAGEREF _Toc238200124 \h </w:instrText>
            </w:r>
            <w:r>
              <w:rPr>
                <w:noProof/>
                <w:webHidden/>
              </w:rPr>
            </w:r>
            <w:r>
              <w:rPr>
                <w:noProof/>
                <w:webHidden/>
              </w:rPr>
              <w:fldChar w:fldCharType="separate"/>
            </w:r>
            <w:r>
              <w:rPr>
                <w:noProof/>
                <w:webHidden/>
              </w:rPr>
              <w:t>20</w:t>
            </w:r>
            <w:r>
              <w:rPr>
                <w:noProof/>
                <w:webHidden/>
              </w:rPr>
              <w:fldChar w:fldCharType="end"/>
            </w:r>
          </w:hyperlink>
        </w:p>
        <w:p w14:paraId="0B6C494E" w14:textId="166845B1" w:rsidR="00206084" w:rsidRDefault="00206084">
          <w:pPr>
            <w:pStyle w:val="TOC2"/>
            <w:tabs>
              <w:tab w:val="right" w:leader="dot" w:pos="9350"/>
            </w:tabs>
            <w:rPr>
              <w:rFonts w:eastAsiaTheme="minorEastAsia"/>
              <w:noProof/>
            </w:rPr>
          </w:pPr>
          <w:hyperlink w:anchor="_Toc238200125" w:history="1">
            <w:r w:rsidRPr="00826573">
              <w:rPr>
                <w:rStyle w:val="Hyperlink"/>
                <w:noProof/>
              </w:rPr>
              <w:t>2.6 UK Immigration Policy Context (2020–2026)</w:t>
            </w:r>
            <w:r>
              <w:rPr>
                <w:noProof/>
                <w:webHidden/>
              </w:rPr>
              <w:tab/>
            </w:r>
            <w:r>
              <w:rPr>
                <w:noProof/>
                <w:webHidden/>
              </w:rPr>
              <w:fldChar w:fldCharType="begin"/>
            </w:r>
            <w:r>
              <w:rPr>
                <w:noProof/>
                <w:webHidden/>
              </w:rPr>
              <w:instrText xml:space="preserve"> PAGEREF _Toc238200125 \h </w:instrText>
            </w:r>
            <w:r>
              <w:rPr>
                <w:noProof/>
                <w:webHidden/>
              </w:rPr>
            </w:r>
            <w:r>
              <w:rPr>
                <w:noProof/>
                <w:webHidden/>
              </w:rPr>
              <w:fldChar w:fldCharType="separate"/>
            </w:r>
            <w:r>
              <w:rPr>
                <w:noProof/>
                <w:webHidden/>
              </w:rPr>
              <w:t>22</w:t>
            </w:r>
            <w:r>
              <w:rPr>
                <w:noProof/>
                <w:webHidden/>
              </w:rPr>
              <w:fldChar w:fldCharType="end"/>
            </w:r>
          </w:hyperlink>
        </w:p>
        <w:p w14:paraId="5444F626" w14:textId="58BB0572" w:rsidR="00206084" w:rsidRDefault="00206084">
          <w:pPr>
            <w:pStyle w:val="TOC3"/>
            <w:tabs>
              <w:tab w:val="right" w:leader="dot" w:pos="9350"/>
            </w:tabs>
            <w:rPr>
              <w:rFonts w:eastAsiaTheme="minorEastAsia"/>
              <w:noProof/>
            </w:rPr>
          </w:pPr>
          <w:hyperlink w:anchor="_Toc238200126" w:history="1">
            <w:r w:rsidRPr="00826573">
              <w:rPr>
                <w:rStyle w:val="Hyperlink"/>
                <w:noProof/>
              </w:rPr>
              <w:t>2.6.1 Historical Context and 2024 Turning Point</w:t>
            </w:r>
            <w:r>
              <w:rPr>
                <w:noProof/>
                <w:webHidden/>
              </w:rPr>
              <w:tab/>
            </w:r>
            <w:r>
              <w:rPr>
                <w:noProof/>
                <w:webHidden/>
              </w:rPr>
              <w:fldChar w:fldCharType="begin"/>
            </w:r>
            <w:r>
              <w:rPr>
                <w:noProof/>
                <w:webHidden/>
              </w:rPr>
              <w:instrText xml:space="preserve"> PAGEREF _Toc238200126 \h </w:instrText>
            </w:r>
            <w:r>
              <w:rPr>
                <w:noProof/>
                <w:webHidden/>
              </w:rPr>
            </w:r>
            <w:r>
              <w:rPr>
                <w:noProof/>
                <w:webHidden/>
              </w:rPr>
              <w:fldChar w:fldCharType="separate"/>
            </w:r>
            <w:r>
              <w:rPr>
                <w:noProof/>
                <w:webHidden/>
              </w:rPr>
              <w:t>22</w:t>
            </w:r>
            <w:r>
              <w:rPr>
                <w:noProof/>
                <w:webHidden/>
              </w:rPr>
              <w:fldChar w:fldCharType="end"/>
            </w:r>
          </w:hyperlink>
        </w:p>
        <w:p w14:paraId="74A3EE36" w14:textId="622E6A4C" w:rsidR="00206084" w:rsidRDefault="00206084">
          <w:pPr>
            <w:pStyle w:val="TOC3"/>
            <w:tabs>
              <w:tab w:val="right" w:leader="dot" w:pos="9350"/>
            </w:tabs>
            <w:rPr>
              <w:rFonts w:eastAsiaTheme="minorEastAsia"/>
              <w:noProof/>
            </w:rPr>
          </w:pPr>
          <w:hyperlink w:anchor="_Toc238200127" w:history="1">
            <w:r w:rsidRPr="00826573">
              <w:rPr>
                <w:rStyle w:val="Hyperlink"/>
                <w:noProof/>
              </w:rPr>
              <w:t>2.6.2 The July 2025 Reforms and Impact on Migration Flows</w:t>
            </w:r>
            <w:r>
              <w:rPr>
                <w:noProof/>
                <w:webHidden/>
              </w:rPr>
              <w:tab/>
            </w:r>
            <w:r>
              <w:rPr>
                <w:noProof/>
                <w:webHidden/>
              </w:rPr>
              <w:fldChar w:fldCharType="begin"/>
            </w:r>
            <w:r>
              <w:rPr>
                <w:noProof/>
                <w:webHidden/>
              </w:rPr>
              <w:instrText xml:space="preserve"> PAGEREF _Toc238200127 \h </w:instrText>
            </w:r>
            <w:r>
              <w:rPr>
                <w:noProof/>
                <w:webHidden/>
              </w:rPr>
            </w:r>
            <w:r>
              <w:rPr>
                <w:noProof/>
                <w:webHidden/>
              </w:rPr>
              <w:fldChar w:fldCharType="separate"/>
            </w:r>
            <w:r>
              <w:rPr>
                <w:noProof/>
                <w:webHidden/>
              </w:rPr>
              <w:t>22</w:t>
            </w:r>
            <w:r>
              <w:rPr>
                <w:noProof/>
                <w:webHidden/>
              </w:rPr>
              <w:fldChar w:fldCharType="end"/>
            </w:r>
          </w:hyperlink>
        </w:p>
        <w:p w14:paraId="4FF688B9" w14:textId="7E345EDB" w:rsidR="00206084" w:rsidRDefault="00206084">
          <w:pPr>
            <w:pStyle w:val="TOC2"/>
            <w:tabs>
              <w:tab w:val="right" w:leader="dot" w:pos="9350"/>
            </w:tabs>
            <w:rPr>
              <w:rFonts w:eastAsiaTheme="minorEastAsia"/>
              <w:noProof/>
            </w:rPr>
          </w:pPr>
          <w:hyperlink w:anchor="_Toc238200128" w:history="1">
            <w:r w:rsidRPr="00826573">
              <w:rPr>
                <w:rStyle w:val="Hyperlink"/>
                <w:noProof/>
              </w:rPr>
              <w:t>2.7 Migrant Healthcare Support Workers: Role, Challenges, and Sustainability</w:t>
            </w:r>
            <w:r>
              <w:rPr>
                <w:noProof/>
                <w:webHidden/>
              </w:rPr>
              <w:tab/>
            </w:r>
            <w:r>
              <w:rPr>
                <w:noProof/>
                <w:webHidden/>
              </w:rPr>
              <w:fldChar w:fldCharType="begin"/>
            </w:r>
            <w:r>
              <w:rPr>
                <w:noProof/>
                <w:webHidden/>
              </w:rPr>
              <w:instrText xml:space="preserve"> PAGEREF _Toc238200128 \h </w:instrText>
            </w:r>
            <w:r>
              <w:rPr>
                <w:noProof/>
                <w:webHidden/>
              </w:rPr>
            </w:r>
            <w:r>
              <w:rPr>
                <w:noProof/>
                <w:webHidden/>
              </w:rPr>
              <w:fldChar w:fldCharType="separate"/>
            </w:r>
            <w:r>
              <w:rPr>
                <w:noProof/>
                <w:webHidden/>
              </w:rPr>
              <w:t>23</w:t>
            </w:r>
            <w:r>
              <w:rPr>
                <w:noProof/>
                <w:webHidden/>
              </w:rPr>
              <w:fldChar w:fldCharType="end"/>
            </w:r>
          </w:hyperlink>
        </w:p>
        <w:p w14:paraId="3FE80BD5" w14:textId="2C866C80" w:rsidR="00206084" w:rsidRDefault="00206084">
          <w:pPr>
            <w:pStyle w:val="TOC3"/>
            <w:tabs>
              <w:tab w:val="right" w:leader="dot" w:pos="9350"/>
            </w:tabs>
            <w:rPr>
              <w:rFonts w:eastAsiaTheme="minorEastAsia"/>
              <w:noProof/>
            </w:rPr>
          </w:pPr>
          <w:hyperlink w:anchor="_Toc238200129" w:history="1">
            <w:r w:rsidRPr="00826573">
              <w:rPr>
                <w:rStyle w:val="Hyperlink"/>
                <w:noProof/>
              </w:rPr>
              <w:t>2.7.1 The Scale of the Workforce</w:t>
            </w:r>
            <w:r>
              <w:rPr>
                <w:noProof/>
                <w:webHidden/>
              </w:rPr>
              <w:tab/>
            </w:r>
            <w:r>
              <w:rPr>
                <w:noProof/>
                <w:webHidden/>
              </w:rPr>
              <w:fldChar w:fldCharType="begin"/>
            </w:r>
            <w:r>
              <w:rPr>
                <w:noProof/>
                <w:webHidden/>
              </w:rPr>
              <w:instrText xml:space="preserve"> PAGEREF _Toc238200129 \h </w:instrText>
            </w:r>
            <w:r>
              <w:rPr>
                <w:noProof/>
                <w:webHidden/>
              </w:rPr>
            </w:r>
            <w:r>
              <w:rPr>
                <w:noProof/>
                <w:webHidden/>
              </w:rPr>
              <w:fldChar w:fldCharType="separate"/>
            </w:r>
            <w:r>
              <w:rPr>
                <w:noProof/>
                <w:webHidden/>
              </w:rPr>
              <w:t>23</w:t>
            </w:r>
            <w:r>
              <w:rPr>
                <w:noProof/>
                <w:webHidden/>
              </w:rPr>
              <w:fldChar w:fldCharType="end"/>
            </w:r>
          </w:hyperlink>
        </w:p>
        <w:p w14:paraId="441AB010" w14:textId="7A599BA2" w:rsidR="00206084" w:rsidRDefault="00206084">
          <w:pPr>
            <w:pStyle w:val="TOC3"/>
            <w:tabs>
              <w:tab w:val="right" w:leader="dot" w:pos="9350"/>
            </w:tabs>
            <w:rPr>
              <w:rFonts w:eastAsiaTheme="minorEastAsia"/>
              <w:noProof/>
            </w:rPr>
          </w:pPr>
          <w:hyperlink w:anchor="_Toc238200130" w:history="1">
            <w:r w:rsidRPr="00826573">
              <w:rPr>
                <w:rStyle w:val="Hyperlink"/>
                <w:noProof/>
              </w:rPr>
              <w:t>2.7.2 Workforce Challenges: Vacancies, Turnover, and Training</w:t>
            </w:r>
            <w:r>
              <w:rPr>
                <w:noProof/>
                <w:webHidden/>
              </w:rPr>
              <w:tab/>
            </w:r>
            <w:r>
              <w:rPr>
                <w:noProof/>
                <w:webHidden/>
              </w:rPr>
              <w:fldChar w:fldCharType="begin"/>
            </w:r>
            <w:r>
              <w:rPr>
                <w:noProof/>
                <w:webHidden/>
              </w:rPr>
              <w:instrText xml:space="preserve"> PAGEREF _Toc238200130 \h </w:instrText>
            </w:r>
            <w:r>
              <w:rPr>
                <w:noProof/>
                <w:webHidden/>
              </w:rPr>
            </w:r>
            <w:r>
              <w:rPr>
                <w:noProof/>
                <w:webHidden/>
              </w:rPr>
              <w:fldChar w:fldCharType="separate"/>
            </w:r>
            <w:r>
              <w:rPr>
                <w:noProof/>
                <w:webHidden/>
              </w:rPr>
              <w:t>24</w:t>
            </w:r>
            <w:r>
              <w:rPr>
                <w:noProof/>
                <w:webHidden/>
              </w:rPr>
              <w:fldChar w:fldCharType="end"/>
            </w:r>
          </w:hyperlink>
        </w:p>
        <w:p w14:paraId="4EE12CCE" w14:textId="5BF913E6" w:rsidR="00206084" w:rsidRDefault="00206084">
          <w:pPr>
            <w:pStyle w:val="TOC3"/>
            <w:tabs>
              <w:tab w:val="right" w:leader="dot" w:pos="9350"/>
            </w:tabs>
            <w:rPr>
              <w:rFonts w:eastAsiaTheme="minorEastAsia"/>
              <w:noProof/>
            </w:rPr>
          </w:pPr>
          <w:hyperlink w:anchor="_Toc238200131" w:history="1">
            <w:r w:rsidRPr="00826573">
              <w:rPr>
                <w:rStyle w:val="Hyperlink"/>
                <w:noProof/>
              </w:rPr>
              <w:t>2.7.3 The Retention Crisis: Evidence from Internationally Educated Nurses</w:t>
            </w:r>
            <w:r>
              <w:rPr>
                <w:noProof/>
                <w:webHidden/>
              </w:rPr>
              <w:tab/>
            </w:r>
            <w:r>
              <w:rPr>
                <w:noProof/>
                <w:webHidden/>
              </w:rPr>
              <w:fldChar w:fldCharType="begin"/>
            </w:r>
            <w:r>
              <w:rPr>
                <w:noProof/>
                <w:webHidden/>
              </w:rPr>
              <w:instrText xml:space="preserve"> PAGEREF _Toc238200131 \h </w:instrText>
            </w:r>
            <w:r>
              <w:rPr>
                <w:noProof/>
                <w:webHidden/>
              </w:rPr>
            </w:r>
            <w:r>
              <w:rPr>
                <w:noProof/>
                <w:webHidden/>
              </w:rPr>
              <w:fldChar w:fldCharType="separate"/>
            </w:r>
            <w:r>
              <w:rPr>
                <w:noProof/>
                <w:webHidden/>
              </w:rPr>
              <w:t>24</w:t>
            </w:r>
            <w:r>
              <w:rPr>
                <w:noProof/>
                <w:webHidden/>
              </w:rPr>
              <w:fldChar w:fldCharType="end"/>
            </w:r>
          </w:hyperlink>
        </w:p>
        <w:p w14:paraId="2F80B041" w14:textId="4AAF4C6B" w:rsidR="00206084" w:rsidRDefault="00206084">
          <w:pPr>
            <w:pStyle w:val="TOC3"/>
            <w:tabs>
              <w:tab w:val="right" w:leader="dot" w:pos="9350"/>
            </w:tabs>
            <w:rPr>
              <w:rFonts w:eastAsiaTheme="minorEastAsia"/>
              <w:noProof/>
            </w:rPr>
          </w:pPr>
          <w:hyperlink w:anchor="_Toc238200132" w:history="1">
            <w:r w:rsidRPr="00826573">
              <w:rPr>
                <w:rStyle w:val="Hyperlink"/>
                <w:noProof/>
              </w:rPr>
              <w:t>2.7.4 The Impact of Immigration Changes on Social Care</w:t>
            </w:r>
            <w:r>
              <w:rPr>
                <w:noProof/>
                <w:webHidden/>
              </w:rPr>
              <w:tab/>
            </w:r>
            <w:r>
              <w:rPr>
                <w:noProof/>
                <w:webHidden/>
              </w:rPr>
              <w:fldChar w:fldCharType="begin"/>
            </w:r>
            <w:r>
              <w:rPr>
                <w:noProof/>
                <w:webHidden/>
              </w:rPr>
              <w:instrText xml:space="preserve"> PAGEREF _Toc238200132 \h </w:instrText>
            </w:r>
            <w:r>
              <w:rPr>
                <w:noProof/>
                <w:webHidden/>
              </w:rPr>
            </w:r>
            <w:r>
              <w:rPr>
                <w:noProof/>
                <w:webHidden/>
              </w:rPr>
              <w:fldChar w:fldCharType="separate"/>
            </w:r>
            <w:r>
              <w:rPr>
                <w:noProof/>
                <w:webHidden/>
              </w:rPr>
              <w:t>25</w:t>
            </w:r>
            <w:r>
              <w:rPr>
                <w:noProof/>
                <w:webHidden/>
              </w:rPr>
              <w:fldChar w:fldCharType="end"/>
            </w:r>
          </w:hyperlink>
        </w:p>
        <w:p w14:paraId="76F68A26" w14:textId="03917F88" w:rsidR="00206084" w:rsidRDefault="00206084">
          <w:pPr>
            <w:pStyle w:val="TOC2"/>
            <w:tabs>
              <w:tab w:val="right" w:leader="dot" w:pos="9350"/>
            </w:tabs>
            <w:rPr>
              <w:rFonts w:eastAsiaTheme="minorEastAsia"/>
              <w:noProof/>
            </w:rPr>
          </w:pPr>
          <w:hyperlink w:anchor="_Toc238200133" w:history="1">
            <w:r w:rsidRPr="00826573">
              <w:rPr>
                <w:rStyle w:val="Hyperlink"/>
                <w:noProof/>
              </w:rPr>
              <w:t>2.8 HR Strategies for Workforce Sustainability</w:t>
            </w:r>
            <w:r>
              <w:rPr>
                <w:noProof/>
                <w:webHidden/>
              </w:rPr>
              <w:tab/>
            </w:r>
            <w:r>
              <w:rPr>
                <w:noProof/>
                <w:webHidden/>
              </w:rPr>
              <w:fldChar w:fldCharType="begin"/>
            </w:r>
            <w:r>
              <w:rPr>
                <w:noProof/>
                <w:webHidden/>
              </w:rPr>
              <w:instrText xml:space="preserve"> PAGEREF _Toc238200133 \h </w:instrText>
            </w:r>
            <w:r>
              <w:rPr>
                <w:noProof/>
                <w:webHidden/>
              </w:rPr>
            </w:r>
            <w:r>
              <w:rPr>
                <w:noProof/>
                <w:webHidden/>
              </w:rPr>
              <w:fldChar w:fldCharType="separate"/>
            </w:r>
            <w:r>
              <w:rPr>
                <w:noProof/>
                <w:webHidden/>
              </w:rPr>
              <w:t>26</w:t>
            </w:r>
            <w:r>
              <w:rPr>
                <w:noProof/>
                <w:webHidden/>
              </w:rPr>
              <w:fldChar w:fldCharType="end"/>
            </w:r>
          </w:hyperlink>
        </w:p>
        <w:p w14:paraId="6B1EBA28" w14:textId="5750349A" w:rsidR="00206084" w:rsidRDefault="00206084">
          <w:pPr>
            <w:pStyle w:val="TOC3"/>
            <w:tabs>
              <w:tab w:val="right" w:leader="dot" w:pos="9350"/>
            </w:tabs>
            <w:rPr>
              <w:rFonts w:eastAsiaTheme="minorEastAsia"/>
              <w:noProof/>
            </w:rPr>
          </w:pPr>
          <w:hyperlink w:anchor="_Toc238200134" w:history="1">
            <w:r w:rsidRPr="00826573">
              <w:rPr>
                <w:rStyle w:val="Hyperlink"/>
                <w:noProof/>
              </w:rPr>
              <w:t>2.8.1 Retention Strategies for Migrant Healthcare Workers</w:t>
            </w:r>
            <w:r>
              <w:rPr>
                <w:noProof/>
                <w:webHidden/>
              </w:rPr>
              <w:tab/>
            </w:r>
            <w:r>
              <w:rPr>
                <w:noProof/>
                <w:webHidden/>
              </w:rPr>
              <w:fldChar w:fldCharType="begin"/>
            </w:r>
            <w:r>
              <w:rPr>
                <w:noProof/>
                <w:webHidden/>
              </w:rPr>
              <w:instrText xml:space="preserve"> PAGEREF _Toc238200134 \h </w:instrText>
            </w:r>
            <w:r>
              <w:rPr>
                <w:noProof/>
                <w:webHidden/>
              </w:rPr>
            </w:r>
            <w:r>
              <w:rPr>
                <w:noProof/>
                <w:webHidden/>
              </w:rPr>
              <w:fldChar w:fldCharType="separate"/>
            </w:r>
            <w:r>
              <w:rPr>
                <w:noProof/>
                <w:webHidden/>
              </w:rPr>
              <w:t>26</w:t>
            </w:r>
            <w:r>
              <w:rPr>
                <w:noProof/>
                <w:webHidden/>
              </w:rPr>
              <w:fldChar w:fldCharType="end"/>
            </w:r>
          </w:hyperlink>
        </w:p>
        <w:p w14:paraId="14D86F2B" w14:textId="5DA8D358" w:rsidR="00206084" w:rsidRDefault="00206084">
          <w:pPr>
            <w:pStyle w:val="TOC3"/>
            <w:tabs>
              <w:tab w:val="right" w:leader="dot" w:pos="9350"/>
            </w:tabs>
            <w:rPr>
              <w:rFonts w:eastAsiaTheme="minorEastAsia"/>
              <w:noProof/>
            </w:rPr>
          </w:pPr>
          <w:hyperlink w:anchor="_Toc238200135" w:history="1">
            <w:r w:rsidRPr="00826573">
              <w:rPr>
                <w:rStyle w:val="Hyperlink"/>
                <w:noProof/>
              </w:rPr>
              <w:t>2.8.2 Domestic Upskilling and Workforce Development</w:t>
            </w:r>
            <w:r>
              <w:rPr>
                <w:noProof/>
                <w:webHidden/>
              </w:rPr>
              <w:tab/>
            </w:r>
            <w:r>
              <w:rPr>
                <w:noProof/>
                <w:webHidden/>
              </w:rPr>
              <w:fldChar w:fldCharType="begin"/>
            </w:r>
            <w:r>
              <w:rPr>
                <w:noProof/>
                <w:webHidden/>
              </w:rPr>
              <w:instrText xml:space="preserve"> PAGEREF _Toc238200135 \h </w:instrText>
            </w:r>
            <w:r>
              <w:rPr>
                <w:noProof/>
                <w:webHidden/>
              </w:rPr>
            </w:r>
            <w:r>
              <w:rPr>
                <w:noProof/>
                <w:webHidden/>
              </w:rPr>
              <w:fldChar w:fldCharType="separate"/>
            </w:r>
            <w:r>
              <w:rPr>
                <w:noProof/>
                <w:webHidden/>
              </w:rPr>
              <w:t>27</w:t>
            </w:r>
            <w:r>
              <w:rPr>
                <w:noProof/>
                <w:webHidden/>
              </w:rPr>
              <w:fldChar w:fldCharType="end"/>
            </w:r>
          </w:hyperlink>
        </w:p>
        <w:p w14:paraId="4E2D87FB" w14:textId="6D906CBF" w:rsidR="00206084" w:rsidRDefault="00206084">
          <w:pPr>
            <w:pStyle w:val="TOC3"/>
            <w:tabs>
              <w:tab w:val="right" w:leader="dot" w:pos="9350"/>
            </w:tabs>
            <w:rPr>
              <w:rFonts w:eastAsiaTheme="minorEastAsia"/>
              <w:noProof/>
            </w:rPr>
          </w:pPr>
          <w:hyperlink w:anchor="_Toc238200136" w:history="1">
            <w:r w:rsidRPr="00826573">
              <w:rPr>
                <w:rStyle w:val="Hyperlink"/>
                <w:noProof/>
              </w:rPr>
              <w:t>2.8.3 Organisational Strategies for Workforce Sustainability</w:t>
            </w:r>
            <w:r>
              <w:rPr>
                <w:noProof/>
                <w:webHidden/>
              </w:rPr>
              <w:tab/>
            </w:r>
            <w:r>
              <w:rPr>
                <w:noProof/>
                <w:webHidden/>
              </w:rPr>
              <w:fldChar w:fldCharType="begin"/>
            </w:r>
            <w:r>
              <w:rPr>
                <w:noProof/>
                <w:webHidden/>
              </w:rPr>
              <w:instrText xml:space="preserve"> PAGEREF _Toc238200136 \h </w:instrText>
            </w:r>
            <w:r>
              <w:rPr>
                <w:noProof/>
                <w:webHidden/>
              </w:rPr>
            </w:r>
            <w:r>
              <w:rPr>
                <w:noProof/>
                <w:webHidden/>
              </w:rPr>
              <w:fldChar w:fldCharType="separate"/>
            </w:r>
            <w:r>
              <w:rPr>
                <w:noProof/>
                <w:webHidden/>
              </w:rPr>
              <w:t>28</w:t>
            </w:r>
            <w:r>
              <w:rPr>
                <w:noProof/>
                <w:webHidden/>
              </w:rPr>
              <w:fldChar w:fldCharType="end"/>
            </w:r>
          </w:hyperlink>
        </w:p>
        <w:p w14:paraId="43C68D56" w14:textId="5CE6B0AD" w:rsidR="00206084" w:rsidRDefault="00206084">
          <w:pPr>
            <w:pStyle w:val="TOC3"/>
            <w:tabs>
              <w:tab w:val="right" w:leader="dot" w:pos="9350"/>
            </w:tabs>
            <w:rPr>
              <w:rFonts w:eastAsiaTheme="minorEastAsia"/>
              <w:noProof/>
            </w:rPr>
          </w:pPr>
          <w:hyperlink w:anchor="_Toc238200137" w:history="1">
            <w:r w:rsidRPr="00826573">
              <w:rPr>
                <w:rStyle w:val="Hyperlink"/>
                <w:noProof/>
              </w:rPr>
              <w:t>2.8.4 Evidence on the Effectiveness of HR Strategies</w:t>
            </w:r>
            <w:r>
              <w:rPr>
                <w:noProof/>
                <w:webHidden/>
              </w:rPr>
              <w:tab/>
            </w:r>
            <w:r>
              <w:rPr>
                <w:noProof/>
                <w:webHidden/>
              </w:rPr>
              <w:fldChar w:fldCharType="begin"/>
            </w:r>
            <w:r>
              <w:rPr>
                <w:noProof/>
                <w:webHidden/>
              </w:rPr>
              <w:instrText xml:space="preserve"> PAGEREF _Toc238200137 \h </w:instrText>
            </w:r>
            <w:r>
              <w:rPr>
                <w:noProof/>
                <w:webHidden/>
              </w:rPr>
            </w:r>
            <w:r>
              <w:rPr>
                <w:noProof/>
                <w:webHidden/>
              </w:rPr>
              <w:fldChar w:fldCharType="separate"/>
            </w:r>
            <w:r>
              <w:rPr>
                <w:noProof/>
                <w:webHidden/>
              </w:rPr>
              <w:t>28</w:t>
            </w:r>
            <w:r>
              <w:rPr>
                <w:noProof/>
                <w:webHidden/>
              </w:rPr>
              <w:fldChar w:fldCharType="end"/>
            </w:r>
          </w:hyperlink>
        </w:p>
        <w:p w14:paraId="3328FE53" w14:textId="4C40DDA2" w:rsidR="00206084" w:rsidRDefault="00206084">
          <w:pPr>
            <w:pStyle w:val="TOC2"/>
            <w:tabs>
              <w:tab w:val="right" w:leader="dot" w:pos="9350"/>
            </w:tabs>
            <w:rPr>
              <w:rFonts w:eastAsiaTheme="minorEastAsia"/>
              <w:noProof/>
            </w:rPr>
          </w:pPr>
          <w:hyperlink w:anchor="_Toc238200138" w:history="1">
            <w:r w:rsidRPr="00826573">
              <w:rPr>
                <w:rStyle w:val="Hyperlink"/>
                <w:noProof/>
              </w:rPr>
              <w:t>2.9 Research Gaps and Conceptual Framework</w:t>
            </w:r>
            <w:r>
              <w:rPr>
                <w:noProof/>
                <w:webHidden/>
              </w:rPr>
              <w:tab/>
            </w:r>
            <w:r>
              <w:rPr>
                <w:noProof/>
                <w:webHidden/>
              </w:rPr>
              <w:fldChar w:fldCharType="begin"/>
            </w:r>
            <w:r>
              <w:rPr>
                <w:noProof/>
                <w:webHidden/>
              </w:rPr>
              <w:instrText xml:space="preserve"> PAGEREF _Toc238200138 \h </w:instrText>
            </w:r>
            <w:r>
              <w:rPr>
                <w:noProof/>
                <w:webHidden/>
              </w:rPr>
            </w:r>
            <w:r>
              <w:rPr>
                <w:noProof/>
                <w:webHidden/>
              </w:rPr>
              <w:fldChar w:fldCharType="separate"/>
            </w:r>
            <w:r>
              <w:rPr>
                <w:noProof/>
                <w:webHidden/>
              </w:rPr>
              <w:t>29</w:t>
            </w:r>
            <w:r>
              <w:rPr>
                <w:noProof/>
                <w:webHidden/>
              </w:rPr>
              <w:fldChar w:fldCharType="end"/>
            </w:r>
          </w:hyperlink>
        </w:p>
        <w:p w14:paraId="46B18713" w14:textId="1FCDD939" w:rsidR="00206084" w:rsidRDefault="00206084">
          <w:pPr>
            <w:pStyle w:val="TOC3"/>
            <w:tabs>
              <w:tab w:val="right" w:leader="dot" w:pos="9350"/>
            </w:tabs>
            <w:rPr>
              <w:rFonts w:eastAsiaTheme="minorEastAsia"/>
              <w:noProof/>
            </w:rPr>
          </w:pPr>
          <w:hyperlink w:anchor="_Toc238200139" w:history="1">
            <w:r w:rsidRPr="00826573">
              <w:rPr>
                <w:rStyle w:val="Hyperlink"/>
                <w:noProof/>
              </w:rPr>
              <w:t>2.9.1 Identification of Research Gaps</w:t>
            </w:r>
            <w:r>
              <w:rPr>
                <w:noProof/>
                <w:webHidden/>
              </w:rPr>
              <w:tab/>
            </w:r>
            <w:r>
              <w:rPr>
                <w:noProof/>
                <w:webHidden/>
              </w:rPr>
              <w:fldChar w:fldCharType="begin"/>
            </w:r>
            <w:r>
              <w:rPr>
                <w:noProof/>
                <w:webHidden/>
              </w:rPr>
              <w:instrText xml:space="preserve"> PAGEREF _Toc238200139 \h </w:instrText>
            </w:r>
            <w:r>
              <w:rPr>
                <w:noProof/>
                <w:webHidden/>
              </w:rPr>
            </w:r>
            <w:r>
              <w:rPr>
                <w:noProof/>
                <w:webHidden/>
              </w:rPr>
              <w:fldChar w:fldCharType="separate"/>
            </w:r>
            <w:r>
              <w:rPr>
                <w:noProof/>
                <w:webHidden/>
              </w:rPr>
              <w:t>29</w:t>
            </w:r>
            <w:r>
              <w:rPr>
                <w:noProof/>
                <w:webHidden/>
              </w:rPr>
              <w:fldChar w:fldCharType="end"/>
            </w:r>
          </w:hyperlink>
        </w:p>
        <w:p w14:paraId="2397C456" w14:textId="76DB89CE" w:rsidR="00206084" w:rsidRDefault="00206084">
          <w:pPr>
            <w:pStyle w:val="TOC3"/>
            <w:tabs>
              <w:tab w:val="right" w:leader="dot" w:pos="9350"/>
            </w:tabs>
            <w:rPr>
              <w:rFonts w:eastAsiaTheme="minorEastAsia"/>
              <w:noProof/>
            </w:rPr>
          </w:pPr>
          <w:hyperlink w:anchor="_Toc238200140" w:history="1">
            <w:r w:rsidRPr="00826573">
              <w:rPr>
                <w:rStyle w:val="Hyperlink"/>
                <w:noProof/>
              </w:rPr>
              <w:t>2.9.2 Contribution to Knowledge: Addressing the Research Gaps</w:t>
            </w:r>
            <w:r>
              <w:rPr>
                <w:noProof/>
                <w:webHidden/>
              </w:rPr>
              <w:tab/>
            </w:r>
            <w:r>
              <w:rPr>
                <w:noProof/>
                <w:webHidden/>
              </w:rPr>
              <w:fldChar w:fldCharType="begin"/>
            </w:r>
            <w:r>
              <w:rPr>
                <w:noProof/>
                <w:webHidden/>
              </w:rPr>
              <w:instrText xml:space="preserve"> PAGEREF _Toc238200140 \h </w:instrText>
            </w:r>
            <w:r>
              <w:rPr>
                <w:noProof/>
                <w:webHidden/>
              </w:rPr>
            </w:r>
            <w:r>
              <w:rPr>
                <w:noProof/>
                <w:webHidden/>
              </w:rPr>
              <w:fldChar w:fldCharType="separate"/>
            </w:r>
            <w:r>
              <w:rPr>
                <w:noProof/>
                <w:webHidden/>
              </w:rPr>
              <w:t>29</w:t>
            </w:r>
            <w:r>
              <w:rPr>
                <w:noProof/>
                <w:webHidden/>
              </w:rPr>
              <w:fldChar w:fldCharType="end"/>
            </w:r>
          </w:hyperlink>
        </w:p>
        <w:p w14:paraId="1053E851" w14:textId="19D2AE6F" w:rsidR="00206084" w:rsidRDefault="00206084">
          <w:pPr>
            <w:pStyle w:val="TOC3"/>
            <w:tabs>
              <w:tab w:val="right" w:leader="dot" w:pos="9350"/>
            </w:tabs>
            <w:rPr>
              <w:rFonts w:eastAsiaTheme="minorEastAsia"/>
              <w:noProof/>
            </w:rPr>
          </w:pPr>
          <w:hyperlink w:anchor="_Toc238200141" w:history="1">
            <w:r w:rsidRPr="00826573">
              <w:rPr>
                <w:rStyle w:val="Hyperlink"/>
                <w:noProof/>
              </w:rPr>
              <w:t>2.9.3 Conceptual Framework</w:t>
            </w:r>
            <w:r>
              <w:rPr>
                <w:noProof/>
                <w:webHidden/>
              </w:rPr>
              <w:tab/>
            </w:r>
            <w:r>
              <w:rPr>
                <w:noProof/>
                <w:webHidden/>
              </w:rPr>
              <w:fldChar w:fldCharType="begin"/>
            </w:r>
            <w:r>
              <w:rPr>
                <w:noProof/>
                <w:webHidden/>
              </w:rPr>
              <w:instrText xml:space="preserve"> PAGEREF _Toc238200141 \h </w:instrText>
            </w:r>
            <w:r>
              <w:rPr>
                <w:noProof/>
                <w:webHidden/>
              </w:rPr>
            </w:r>
            <w:r>
              <w:rPr>
                <w:noProof/>
                <w:webHidden/>
              </w:rPr>
              <w:fldChar w:fldCharType="separate"/>
            </w:r>
            <w:r>
              <w:rPr>
                <w:noProof/>
                <w:webHidden/>
              </w:rPr>
              <w:t>32</w:t>
            </w:r>
            <w:r>
              <w:rPr>
                <w:noProof/>
                <w:webHidden/>
              </w:rPr>
              <w:fldChar w:fldCharType="end"/>
            </w:r>
          </w:hyperlink>
        </w:p>
        <w:p w14:paraId="7E04336E" w14:textId="7648BB7D" w:rsidR="00206084" w:rsidRDefault="00206084">
          <w:pPr>
            <w:pStyle w:val="TOC2"/>
            <w:tabs>
              <w:tab w:val="right" w:leader="dot" w:pos="9350"/>
            </w:tabs>
            <w:rPr>
              <w:rFonts w:eastAsiaTheme="minorEastAsia"/>
              <w:noProof/>
            </w:rPr>
          </w:pPr>
          <w:hyperlink w:anchor="_Toc238200142" w:history="1">
            <w:r w:rsidRPr="00826573">
              <w:rPr>
                <w:rStyle w:val="Hyperlink"/>
                <w:noProof/>
              </w:rPr>
              <w:t>2.10 Chapter Summary</w:t>
            </w:r>
            <w:r>
              <w:rPr>
                <w:noProof/>
                <w:webHidden/>
              </w:rPr>
              <w:tab/>
            </w:r>
            <w:r>
              <w:rPr>
                <w:noProof/>
                <w:webHidden/>
              </w:rPr>
              <w:fldChar w:fldCharType="begin"/>
            </w:r>
            <w:r>
              <w:rPr>
                <w:noProof/>
                <w:webHidden/>
              </w:rPr>
              <w:instrText xml:space="preserve"> PAGEREF _Toc238200142 \h </w:instrText>
            </w:r>
            <w:r>
              <w:rPr>
                <w:noProof/>
                <w:webHidden/>
              </w:rPr>
            </w:r>
            <w:r>
              <w:rPr>
                <w:noProof/>
                <w:webHidden/>
              </w:rPr>
              <w:fldChar w:fldCharType="separate"/>
            </w:r>
            <w:r>
              <w:rPr>
                <w:noProof/>
                <w:webHidden/>
              </w:rPr>
              <w:t>34</w:t>
            </w:r>
            <w:r>
              <w:rPr>
                <w:noProof/>
                <w:webHidden/>
              </w:rPr>
              <w:fldChar w:fldCharType="end"/>
            </w:r>
          </w:hyperlink>
        </w:p>
        <w:p w14:paraId="0235F229" w14:textId="41FBB655" w:rsidR="00206084" w:rsidRDefault="00206084">
          <w:pPr>
            <w:pStyle w:val="TOC1"/>
            <w:tabs>
              <w:tab w:val="right" w:leader="dot" w:pos="9350"/>
            </w:tabs>
            <w:rPr>
              <w:rFonts w:eastAsiaTheme="minorEastAsia"/>
              <w:noProof/>
            </w:rPr>
          </w:pPr>
          <w:hyperlink w:anchor="_Toc238200143" w:history="1">
            <w:r w:rsidRPr="00826573">
              <w:rPr>
                <w:rStyle w:val="Hyperlink"/>
                <w:noProof/>
              </w:rPr>
              <w:t>Chapter 3: Research Methodology</w:t>
            </w:r>
            <w:r>
              <w:rPr>
                <w:noProof/>
                <w:webHidden/>
              </w:rPr>
              <w:tab/>
            </w:r>
            <w:r>
              <w:rPr>
                <w:noProof/>
                <w:webHidden/>
              </w:rPr>
              <w:fldChar w:fldCharType="begin"/>
            </w:r>
            <w:r>
              <w:rPr>
                <w:noProof/>
                <w:webHidden/>
              </w:rPr>
              <w:instrText xml:space="preserve"> PAGEREF _Toc238200143 \h </w:instrText>
            </w:r>
            <w:r>
              <w:rPr>
                <w:noProof/>
                <w:webHidden/>
              </w:rPr>
            </w:r>
            <w:r>
              <w:rPr>
                <w:noProof/>
                <w:webHidden/>
              </w:rPr>
              <w:fldChar w:fldCharType="separate"/>
            </w:r>
            <w:r>
              <w:rPr>
                <w:noProof/>
                <w:webHidden/>
              </w:rPr>
              <w:t>35</w:t>
            </w:r>
            <w:r>
              <w:rPr>
                <w:noProof/>
                <w:webHidden/>
              </w:rPr>
              <w:fldChar w:fldCharType="end"/>
            </w:r>
          </w:hyperlink>
        </w:p>
        <w:p w14:paraId="6A97B149" w14:textId="2B5F038C" w:rsidR="00206084" w:rsidRDefault="00206084">
          <w:pPr>
            <w:pStyle w:val="TOC2"/>
            <w:tabs>
              <w:tab w:val="right" w:leader="dot" w:pos="9350"/>
            </w:tabs>
            <w:rPr>
              <w:rFonts w:eastAsiaTheme="minorEastAsia"/>
              <w:noProof/>
            </w:rPr>
          </w:pPr>
          <w:hyperlink w:anchor="_Toc238200144" w:history="1">
            <w:r w:rsidRPr="00826573">
              <w:rPr>
                <w:rStyle w:val="Hyperlink"/>
                <w:noProof/>
              </w:rPr>
              <w:t>3.1 Introduction</w:t>
            </w:r>
            <w:r>
              <w:rPr>
                <w:noProof/>
                <w:webHidden/>
              </w:rPr>
              <w:tab/>
            </w:r>
            <w:r>
              <w:rPr>
                <w:noProof/>
                <w:webHidden/>
              </w:rPr>
              <w:fldChar w:fldCharType="begin"/>
            </w:r>
            <w:r>
              <w:rPr>
                <w:noProof/>
                <w:webHidden/>
              </w:rPr>
              <w:instrText xml:space="preserve"> PAGEREF _Toc238200144 \h </w:instrText>
            </w:r>
            <w:r>
              <w:rPr>
                <w:noProof/>
                <w:webHidden/>
              </w:rPr>
            </w:r>
            <w:r>
              <w:rPr>
                <w:noProof/>
                <w:webHidden/>
              </w:rPr>
              <w:fldChar w:fldCharType="separate"/>
            </w:r>
            <w:r>
              <w:rPr>
                <w:noProof/>
                <w:webHidden/>
              </w:rPr>
              <w:t>35</w:t>
            </w:r>
            <w:r>
              <w:rPr>
                <w:noProof/>
                <w:webHidden/>
              </w:rPr>
              <w:fldChar w:fldCharType="end"/>
            </w:r>
          </w:hyperlink>
        </w:p>
        <w:p w14:paraId="587925AC" w14:textId="6883E8AF" w:rsidR="00206084" w:rsidRDefault="00206084">
          <w:pPr>
            <w:pStyle w:val="TOC2"/>
            <w:tabs>
              <w:tab w:val="right" w:leader="dot" w:pos="9350"/>
            </w:tabs>
            <w:rPr>
              <w:rFonts w:eastAsiaTheme="minorEastAsia"/>
              <w:noProof/>
            </w:rPr>
          </w:pPr>
          <w:hyperlink w:anchor="_Toc238200145" w:history="1">
            <w:r w:rsidRPr="00826573">
              <w:rPr>
                <w:rStyle w:val="Hyperlink"/>
                <w:noProof/>
              </w:rPr>
              <w:t>3.2 Research Philosophy</w:t>
            </w:r>
            <w:r>
              <w:rPr>
                <w:noProof/>
                <w:webHidden/>
              </w:rPr>
              <w:tab/>
            </w:r>
            <w:r>
              <w:rPr>
                <w:noProof/>
                <w:webHidden/>
              </w:rPr>
              <w:fldChar w:fldCharType="begin"/>
            </w:r>
            <w:r>
              <w:rPr>
                <w:noProof/>
                <w:webHidden/>
              </w:rPr>
              <w:instrText xml:space="preserve"> PAGEREF _Toc238200145 \h </w:instrText>
            </w:r>
            <w:r>
              <w:rPr>
                <w:noProof/>
                <w:webHidden/>
              </w:rPr>
            </w:r>
            <w:r>
              <w:rPr>
                <w:noProof/>
                <w:webHidden/>
              </w:rPr>
              <w:fldChar w:fldCharType="separate"/>
            </w:r>
            <w:r>
              <w:rPr>
                <w:noProof/>
                <w:webHidden/>
              </w:rPr>
              <w:t>36</w:t>
            </w:r>
            <w:r>
              <w:rPr>
                <w:noProof/>
                <w:webHidden/>
              </w:rPr>
              <w:fldChar w:fldCharType="end"/>
            </w:r>
          </w:hyperlink>
        </w:p>
        <w:p w14:paraId="3AA71465" w14:textId="5310141B" w:rsidR="00206084" w:rsidRDefault="00206084">
          <w:pPr>
            <w:pStyle w:val="TOC3"/>
            <w:tabs>
              <w:tab w:val="right" w:leader="dot" w:pos="9350"/>
            </w:tabs>
            <w:rPr>
              <w:rFonts w:eastAsiaTheme="minorEastAsia"/>
              <w:noProof/>
            </w:rPr>
          </w:pPr>
          <w:hyperlink w:anchor="_Toc238200146" w:history="1">
            <w:r w:rsidRPr="00826573">
              <w:rPr>
                <w:rStyle w:val="Hyperlink"/>
                <w:noProof/>
              </w:rPr>
              <w:t>3.2.1 Understanding Research Philosophy</w:t>
            </w:r>
            <w:r>
              <w:rPr>
                <w:noProof/>
                <w:webHidden/>
              </w:rPr>
              <w:tab/>
            </w:r>
            <w:r>
              <w:rPr>
                <w:noProof/>
                <w:webHidden/>
              </w:rPr>
              <w:fldChar w:fldCharType="begin"/>
            </w:r>
            <w:r>
              <w:rPr>
                <w:noProof/>
                <w:webHidden/>
              </w:rPr>
              <w:instrText xml:space="preserve"> PAGEREF _Toc238200146 \h </w:instrText>
            </w:r>
            <w:r>
              <w:rPr>
                <w:noProof/>
                <w:webHidden/>
              </w:rPr>
            </w:r>
            <w:r>
              <w:rPr>
                <w:noProof/>
                <w:webHidden/>
              </w:rPr>
              <w:fldChar w:fldCharType="separate"/>
            </w:r>
            <w:r>
              <w:rPr>
                <w:noProof/>
                <w:webHidden/>
              </w:rPr>
              <w:t>36</w:t>
            </w:r>
            <w:r>
              <w:rPr>
                <w:noProof/>
                <w:webHidden/>
              </w:rPr>
              <w:fldChar w:fldCharType="end"/>
            </w:r>
          </w:hyperlink>
        </w:p>
        <w:p w14:paraId="36C64986" w14:textId="7403DE79" w:rsidR="00206084" w:rsidRDefault="00206084">
          <w:pPr>
            <w:pStyle w:val="TOC3"/>
            <w:tabs>
              <w:tab w:val="right" w:leader="dot" w:pos="9350"/>
            </w:tabs>
            <w:rPr>
              <w:rFonts w:eastAsiaTheme="minorEastAsia"/>
              <w:noProof/>
            </w:rPr>
          </w:pPr>
          <w:hyperlink w:anchor="_Toc238200147" w:history="1">
            <w:r w:rsidRPr="00826573">
              <w:rPr>
                <w:rStyle w:val="Hyperlink"/>
                <w:noProof/>
              </w:rPr>
              <w:t>3.2.2 Positivism</w:t>
            </w:r>
            <w:r>
              <w:rPr>
                <w:noProof/>
                <w:webHidden/>
              </w:rPr>
              <w:tab/>
            </w:r>
            <w:r>
              <w:rPr>
                <w:noProof/>
                <w:webHidden/>
              </w:rPr>
              <w:fldChar w:fldCharType="begin"/>
            </w:r>
            <w:r>
              <w:rPr>
                <w:noProof/>
                <w:webHidden/>
              </w:rPr>
              <w:instrText xml:space="preserve"> PAGEREF _Toc238200147 \h </w:instrText>
            </w:r>
            <w:r>
              <w:rPr>
                <w:noProof/>
                <w:webHidden/>
              </w:rPr>
            </w:r>
            <w:r>
              <w:rPr>
                <w:noProof/>
                <w:webHidden/>
              </w:rPr>
              <w:fldChar w:fldCharType="separate"/>
            </w:r>
            <w:r>
              <w:rPr>
                <w:noProof/>
                <w:webHidden/>
              </w:rPr>
              <w:t>36</w:t>
            </w:r>
            <w:r>
              <w:rPr>
                <w:noProof/>
                <w:webHidden/>
              </w:rPr>
              <w:fldChar w:fldCharType="end"/>
            </w:r>
          </w:hyperlink>
        </w:p>
        <w:p w14:paraId="6FFF638E" w14:textId="299F9029" w:rsidR="00206084" w:rsidRDefault="00206084">
          <w:pPr>
            <w:pStyle w:val="TOC3"/>
            <w:tabs>
              <w:tab w:val="right" w:leader="dot" w:pos="9350"/>
            </w:tabs>
            <w:rPr>
              <w:rFonts w:eastAsiaTheme="minorEastAsia"/>
              <w:noProof/>
            </w:rPr>
          </w:pPr>
          <w:hyperlink w:anchor="_Toc238200148" w:history="1">
            <w:r w:rsidRPr="00826573">
              <w:rPr>
                <w:rStyle w:val="Hyperlink"/>
                <w:noProof/>
              </w:rPr>
              <w:t>3.2.3 Justification: Why Positivism Over Other Philosophies?</w:t>
            </w:r>
            <w:r>
              <w:rPr>
                <w:noProof/>
                <w:webHidden/>
              </w:rPr>
              <w:tab/>
            </w:r>
            <w:r>
              <w:rPr>
                <w:noProof/>
                <w:webHidden/>
              </w:rPr>
              <w:fldChar w:fldCharType="begin"/>
            </w:r>
            <w:r>
              <w:rPr>
                <w:noProof/>
                <w:webHidden/>
              </w:rPr>
              <w:instrText xml:space="preserve"> PAGEREF _Toc238200148 \h </w:instrText>
            </w:r>
            <w:r>
              <w:rPr>
                <w:noProof/>
                <w:webHidden/>
              </w:rPr>
            </w:r>
            <w:r>
              <w:rPr>
                <w:noProof/>
                <w:webHidden/>
              </w:rPr>
              <w:fldChar w:fldCharType="separate"/>
            </w:r>
            <w:r>
              <w:rPr>
                <w:noProof/>
                <w:webHidden/>
              </w:rPr>
              <w:t>37</w:t>
            </w:r>
            <w:r>
              <w:rPr>
                <w:noProof/>
                <w:webHidden/>
              </w:rPr>
              <w:fldChar w:fldCharType="end"/>
            </w:r>
          </w:hyperlink>
        </w:p>
        <w:p w14:paraId="339B4289" w14:textId="2967AD01" w:rsidR="00206084" w:rsidRDefault="00206084">
          <w:pPr>
            <w:pStyle w:val="TOC2"/>
            <w:tabs>
              <w:tab w:val="right" w:leader="dot" w:pos="9350"/>
            </w:tabs>
            <w:rPr>
              <w:rFonts w:eastAsiaTheme="minorEastAsia"/>
              <w:noProof/>
            </w:rPr>
          </w:pPr>
          <w:hyperlink w:anchor="_Toc238200149" w:history="1">
            <w:r w:rsidRPr="00826573">
              <w:rPr>
                <w:rStyle w:val="Hyperlink"/>
                <w:noProof/>
              </w:rPr>
              <w:t>3.3 Research Design</w:t>
            </w:r>
            <w:r>
              <w:rPr>
                <w:noProof/>
                <w:webHidden/>
              </w:rPr>
              <w:tab/>
            </w:r>
            <w:r>
              <w:rPr>
                <w:noProof/>
                <w:webHidden/>
              </w:rPr>
              <w:fldChar w:fldCharType="begin"/>
            </w:r>
            <w:r>
              <w:rPr>
                <w:noProof/>
                <w:webHidden/>
              </w:rPr>
              <w:instrText xml:space="preserve"> PAGEREF _Toc238200149 \h </w:instrText>
            </w:r>
            <w:r>
              <w:rPr>
                <w:noProof/>
                <w:webHidden/>
              </w:rPr>
            </w:r>
            <w:r>
              <w:rPr>
                <w:noProof/>
                <w:webHidden/>
              </w:rPr>
              <w:fldChar w:fldCharType="separate"/>
            </w:r>
            <w:r>
              <w:rPr>
                <w:noProof/>
                <w:webHidden/>
              </w:rPr>
              <w:t>39</w:t>
            </w:r>
            <w:r>
              <w:rPr>
                <w:noProof/>
                <w:webHidden/>
              </w:rPr>
              <w:fldChar w:fldCharType="end"/>
            </w:r>
          </w:hyperlink>
        </w:p>
        <w:p w14:paraId="665456A9" w14:textId="79417BD9" w:rsidR="00206084" w:rsidRDefault="00206084">
          <w:pPr>
            <w:pStyle w:val="TOC3"/>
            <w:tabs>
              <w:tab w:val="right" w:leader="dot" w:pos="9350"/>
            </w:tabs>
            <w:rPr>
              <w:rFonts w:eastAsiaTheme="minorEastAsia"/>
              <w:noProof/>
            </w:rPr>
          </w:pPr>
          <w:hyperlink w:anchor="_Toc238200150" w:history="1">
            <w:r w:rsidRPr="00826573">
              <w:rPr>
                <w:rStyle w:val="Hyperlink"/>
                <w:noProof/>
              </w:rPr>
              <w:t>3.3.1 Overview of Research Design</w:t>
            </w:r>
            <w:r>
              <w:rPr>
                <w:noProof/>
                <w:webHidden/>
              </w:rPr>
              <w:tab/>
            </w:r>
            <w:r>
              <w:rPr>
                <w:noProof/>
                <w:webHidden/>
              </w:rPr>
              <w:fldChar w:fldCharType="begin"/>
            </w:r>
            <w:r>
              <w:rPr>
                <w:noProof/>
                <w:webHidden/>
              </w:rPr>
              <w:instrText xml:space="preserve"> PAGEREF _Toc238200150 \h </w:instrText>
            </w:r>
            <w:r>
              <w:rPr>
                <w:noProof/>
                <w:webHidden/>
              </w:rPr>
            </w:r>
            <w:r>
              <w:rPr>
                <w:noProof/>
                <w:webHidden/>
              </w:rPr>
              <w:fldChar w:fldCharType="separate"/>
            </w:r>
            <w:r>
              <w:rPr>
                <w:noProof/>
                <w:webHidden/>
              </w:rPr>
              <w:t>39</w:t>
            </w:r>
            <w:r>
              <w:rPr>
                <w:noProof/>
                <w:webHidden/>
              </w:rPr>
              <w:fldChar w:fldCharType="end"/>
            </w:r>
          </w:hyperlink>
        </w:p>
        <w:p w14:paraId="4C8D89E1" w14:textId="0E37A777" w:rsidR="00206084" w:rsidRDefault="00206084">
          <w:pPr>
            <w:pStyle w:val="TOC3"/>
            <w:tabs>
              <w:tab w:val="right" w:leader="dot" w:pos="9350"/>
            </w:tabs>
            <w:rPr>
              <w:rFonts w:eastAsiaTheme="minorEastAsia"/>
              <w:noProof/>
            </w:rPr>
          </w:pPr>
          <w:hyperlink w:anchor="_Toc238200151" w:history="1">
            <w:r w:rsidRPr="00826573">
              <w:rPr>
                <w:rStyle w:val="Hyperlink"/>
                <w:noProof/>
              </w:rPr>
              <w:t>3.3.2 Justification for Secondary Quantitative Design</w:t>
            </w:r>
            <w:r>
              <w:rPr>
                <w:noProof/>
                <w:webHidden/>
              </w:rPr>
              <w:tab/>
            </w:r>
            <w:r>
              <w:rPr>
                <w:noProof/>
                <w:webHidden/>
              </w:rPr>
              <w:fldChar w:fldCharType="begin"/>
            </w:r>
            <w:r>
              <w:rPr>
                <w:noProof/>
                <w:webHidden/>
              </w:rPr>
              <w:instrText xml:space="preserve"> PAGEREF _Toc238200151 \h </w:instrText>
            </w:r>
            <w:r>
              <w:rPr>
                <w:noProof/>
                <w:webHidden/>
              </w:rPr>
            </w:r>
            <w:r>
              <w:rPr>
                <w:noProof/>
                <w:webHidden/>
              </w:rPr>
              <w:fldChar w:fldCharType="separate"/>
            </w:r>
            <w:r>
              <w:rPr>
                <w:noProof/>
                <w:webHidden/>
              </w:rPr>
              <w:t>39</w:t>
            </w:r>
            <w:r>
              <w:rPr>
                <w:noProof/>
                <w:webHidden/>
              </w:rPr>
              <w:fldChar w:fldCharType="end"/>
            </w:r>
          </w:hyperlink>
        </w:p>
        <w:p w14:paraId="6CEF5992" w14:textId="56809785" w:rsidR="00206084" w:rsidRDefault="00206084">
          <w:pPr>
            <w:pStyle w:val="TOC3"/>
            <w:tabs>
              <w:tab w:val="right" w:leader="dot" w:pos="9350"/>
            </w:tabs>
            <w:rPr>
              <w:rFonts w:eastAsiaTheme="minorEastAsia"/>
              <w:noProof/>
            </w:rPr>
          </w:pPr>
          <w:hyperlink w:anchor="_Toc238200152" w:history="1">
            <w:r w:rsidRPr="00826573">
              <w:rPr>
                <w:rStyle w:val="Hyperlink"/>
                <w:noProof/>
              </w:rPr>
              <w:t>3.3.3 Justification for Documentary Research Techniques</w:t>
            </w:r>
            <w:r>
              <w:rPr>
                <w:noProof/>
                <w:webHidden/>
              </w:rPr>
              <w:tab/>
            </w:r>
            <w:r>
              <w:rPr>
                <w:noProof/>
                <w:webHidden/>
              </w:rPr>
              <w:fldChar w:fldCharType="begin"/>
            </w:r>
            <w:r>
              <w:rPr>
                <w:noProof/>
                <w:webHidden/>
              </w:rPr>
              <w:instrText xml:space="preserve"> PAGEREF _Toc238200152 \h </w:instrText>
            </w:r>
            <w:r>
              <w:rPr>
                <w:noProof/>
                <w:webHidden/>
              </w:rPr>
            </w:r>
            <w:r>
              <w:rPr>
                <w:noProof/>
                <w:webHidden/>
              </w:rPr>
              <w:fldChar w:fldCharType="separate"/>
            </w:r>
            <w:r>
              <w:rPr>
                <w:noProof/>
                <w:webHidden/>
              </w:rPr>
              <w:t>41</w:t>
            </w:r>
            <w:r>
              <w:rPr>
                <w:noProof/>
                <w:webHidden/>
              </w:rPr>
              <w:fldChar w:fldCharType="end"/>
            </w:r>
          </w:hyperlink>
        </w:p>
        <w:p w14:paraId="354C3844" w14:textId="5878D78E" w:rsidR="00206084" w:rsidRDefault="00206084">
          <w:pPr>
            <w:pStyle w:val="TOC2"/>
            <w:tabs>
              <w:tab w:val="right" w:leader="dot" w:pos="9350"/>
            </w:tabs>
            <w:rPr>
              <w:rFonts w:eastAsiaTheme="minorEastAsia"/>
              <w:noProof/>
            </w:rPr>
          </w:pPr>
          <w:hyperlink w:anchor="_Toc238200153" w:history="1">
            <w:r w:rsidRPr="00826573">
              <w:rPr>
                <w:rStyle w:val="Hyperlink"/>
                <w:noProof/>
              </w:rPr>
              <w:t>3.4 Research Approach</w:t>
            </w:r>
            <w:r>
              <w:rPr>
                <w:noProof/>
                <w:webHidden/>
              </w:rPr>
              <w:tab/>
            </w:r>
            <w:r>
              <w:rPr>
                <w:noProof/>
                <w:webHidden/>
              </w:rPr>
              <w:fldChar w:fldCharType="begin"/>
            </w:r>
            <w:r>
              <w:rPr>
                <w:noProof/>
                <w:webHidden/>
              </w:rPr>
              <w:instrText xml:space="preserve"> PAGEREF _Toc238200153 \h </w:instrText>
            </w:r>
            <w:r>
              <w:rPr>
                <w:noProof/>
                <w:webHidden/>
              </w:rPr>
            </w:r>
            <w:r>
              <w:rPr>
                <w:noProof/>
                <w:webHidden/>
              </w:rPr>
              <w:fldChar w:fldCharType="separate"/>
            </w:r>
            <w:r>
              <w:rPr>
                <w:noProof/>
                <w:webHidden/>
              </w:rPr>
              <w:t>41</w:t>
            </w:r>
            <w:r>
              <w:rPr>
                <w:noProof/>
                <w:webHidden/>
              </w:rPr>
              <w:fldChar w:fldCharType="end"/>
            </w:r>
          </w:hyperlink>
        </w:p>
        <w:p w14:paraId="481756DA" w14:textId="1DF693EB" w:rsidR="00206084" w:rsidRDefault="00206084">
          <w:pPr>
            <w:pStyle w:val="TOC3"/>
            <w:tabs>
              <w:tab w:val="right" w:leader="dot" w:pos="9350"/>
            </w:tabs>
            <w:rPr>
              <w:rFonts w:eastAsiaTheme="minorEastAsia"/>
              <w:noProof/>
            </w:rPr>
          </w:pPr>
          <w:hyperlink w:anchor="_Toc238200154" w:history="1">
            <w:r w:rsidRPr="00826573">
              <w:rPr>
                <w:rStyle w:val="Hyperlink"/>
                <w:noProof/>
              </w:rPr>
              <w:t>3.4.1 Overview of Research Approach</w:t>
            </w:r>
            <w:r>
              <w:rPr>
                <w:noProof/>
                <w:webHidden/>
              </w:rPr>
              <w:tab/>
            </w:r>
            <w:r>
              <w:rPr>
                <w:noProof/>
                <w:webHidden/>
              </w:rPr>
              <w:fldChar w:fldCharType="begin"/>
            </w:r>
            <w:r>
              <w:rPr>
                <w:noProof/>
                <w:webHidden/>
              </w:rPr>
              <w:instrText xml:space="preserve"> PAGEREF _Toc238200154 \h </w:instrText>
            </w:r>
            <w:r>
              <w:rPr>
                <w:noProof/>
                <w:webHidden/>
              </w:rPr>
            </w:r>
            <w:r>
              <w:rPr>
                <w:noProof/>
                <w:webHidden/>
              </w:rPr>
              <w:fldChar w:fldCharType="separate"/>
            </w:r>
            <w:r>
              <w:rPr>
                <w:noProof/>
                <w:webHidden/>
              </w:rPr>
              <w:t>41</w:t>
            </w:r>
            <w:r>
              <w:rPr>
                <w:noProof/>
                <w:webHidden/>
              </w:rPr>
              <w:fldChar w:fldCharType="end"/>
            </w:r>
          </w:hyperlink>
        </w:p>
        <w:p w14:paraId="426BD458" w14:textId="597700B7" w:rsidR="00206084" w:rsidRDefault="00206084">
          <w:pPr>
            <w:pStyle w:val="TOC3"/>
            <w:tabs>
              <w:tab w:val="right" w:leader="dot" w:pos="9350"/>
            </w:tabs>
            <w:rPr>
              <w:rFonts w:eastAsiaTheme="minorEastAsia"/>
              <w:noProof/>
            </w:rPr>
          </w:pPr>
          <w:hyperlink w:anchor="_Toc238200155" w:history="1">
            <w:r w:rsidRPr="00826573">
              <w:rPr>
                <w:rStyle w:val="Hyperlink"/>
                <w:noProof/>
              </w:rPr>
              <w:t>3.4.2 Justification for Deductive, Quantitative Approach</w:t>
            </w:r>
            <w:r>
              <w:rPr>
                <w:noProof/>
                <w:webHidden/>
              </w:rPr>
              <w:tab/>
            </w:r>
            <w:r>
              <w:rPr>
                <w:noProof/>
                <w:webHidden/>
              </w:rPr>
              <w:fldChar w:fldCharType="begin"/>
            </w:r>
            <w:r>
              <w:rPr>
                <w:noProof/>
                <w:webHidden/>
              </w:rPr>
              <w:instrText xml:space="preserve"> PAGEREF _Toc238200155 \h </w:instrText>
            </w:r>
            <w:r>
              <w:rPr>
                <w:noProof/>
                <w:webHidden/>
              </w:rPr>
            </w:r>
            <w:r>
              <w:rPr>
                <w:noProof/>
                <w:webHidden/>
              </w:rPr>
              <w:fldChar w:fldCharType="separate"/>
            </w:r>
            <w:r>
              <w:rPr>
                <w:noProof/>
                <w:webHidden/>
              </w:rPr>
              <w:t>41</w:t>
            </w:r>
            <w:r>
              <w:rPr>
                <w:noProof/>
                <w:webHidden/>
              </w:rPr>
              <w:fldChar w:fldCharType="end"/>
            </w:r>
          </w:hyperlink>
        </w:p>
        <w:p w14:paraId="3DBE0411" w14:textId="0D14A363" w:rsidR="00206084" w:rsidRDefault="00206084">
          <w:pPr>
            <w:pStyle w:val="TOC3"/>
            <w:tabs>
              <w:tab w:val="right" w:leader="dot" w:pos="9350"/>
            </w:tabs>
            <w:rPr>
              <w:rFonts w:eastAsiaTheme="minorEastAsia"/>
              <w:noProof/>
            </w:rPr>
          </w:pPr>
          <w:hyperlink w:anchor="_Toc238200156" w:history="1">
            <w:r w:rsidRPr="00826573">
              <w:rPr>
                <w:rStyle w:val="Hyperlink"/>
                <w:noProof/>
              </w:rPr>
              <w:t>3.4.3 Why Not an Inductive, Qualitative Approach?</w:t>
            </w:r>
            <w:r>
              <w:rPr>
                <w:noProof/>
                <w:webHidden/>
              </w:rPr>
              <w:tab/>
            </w:r>
            <w:r>
              <w:rPr>
                <w:noProof/>
                <w:webHidden/>
              </w:rPr>
              <w:fldChar w:fldCharType="begin"/>
            </w:r>
            <w:r>
              <w:rPr>
                <w:noProof/>
                <w:webHidden/>
              </w:rPr>
              <w:instrText xml:space="preserve"> PAGEREF _Toc238200156 \h </w:instrText>
            </w:r>
            <w:r>
              <w:rPr>
                <w:noProof/>
                <w:webHidden/>
              </w:rPr>
            </w:r>
            <w:r>
              <w:rPr>
                <w:noProof/>
                <w:webHidden/>
              </w:rPr>
              <w:fldChar w:fldCharType="separate"/>
            </w:r>
            <w:r>
              <w:rPr>
                <w:noProof/>
                <w:webHidden/>
              </w:rPr>
              <w:t>42</w:t>
            </w:r>
            <w:r>
              <w:rPr>
                <w:noProof/>
                <w:webHidden/>
              </w:rPr>
              <w:fldChar w:fldCharType="end"/>
            </w:r>
          </w:hyperlink>
        </w:p>
        <w:p w14:paraId="3DAEE0AF" w14:textId="28A664BC" w:rsidR="00206084" w:rsidRDefault="00206084">
          <w:pPr>
            <w:pStyle w:val="TOC2"/>
            <w:tabs>
              <w:tab w:val="right" w:leader="dot" w:pos="9350"/>
            </w:tabs>
            <w:rPr>
              <w:rFonts w:eastAsiaTheme="minorEastAsia"/>
              <w:noProof/>
            </w:rPr>
          </w:pPr>
          <w:hyperlink w:anchor="_Toc238200157" w:history="1">
            <w:r w:rsidRPr="00826573">
              <w:rPr>
                <w:rStyle w:val="Hyperlink"/>
                <w:noProof/>
              </w:rPr>
              <w:t>3.5 Data Collection</w:t>
            </w:r>
            <w:r>
              <w:rPr>
                <w:noProof/>
                <w:webHidden/>
              </w:rPr>
              <w:tab/>
            </w:r>
            <w:r>
              <w:rPr>
                <w:noProof/>
                <w:webHidden/>
              </w:rPr>
              <w:fldChar w:fldCharType="begin"/>
            </w:r>
            <w:r>
              <w:rPr>
                <w:noProof/>
                <w:webHidden/>
              </w:rPr>
              <w:instrText xml:space="preserve"> PAGEREF _Toc238200157 \h </w:instrText>
            </w:r>
            <w:r>
              <w:rPr>
                <w:noProof/>
                <w:webHidden/>
              </w:rPr>
            </w:r>
            <w:r>
              <w:rPr>
                <w:noProof/>
                <w:webHidden/>
              </w:rPr>
              <w:fldChar w:fldCharType="separate"/>
            </w:r>
            <w:r>
              <w:rPr>
                <w:noProof/>
                <w:webHidden/>
              </w:rPr>
              <w:t>43</w:t>
            </w:r>
            <w:r>
              <w:rPr>
                <w:noProof/>
                <w:webHidden/>
              </w:rPr>
              <w:fldChar w:fldCharType="end"/>
            </w:r>
          </w:hyperlink>
        </w:p>
        <w:p w14:paraId="78EE719D" w14:textId="6A6D6F64" w:rsidR="00206084" w:rsidRDefault="00206084">
          <w:pPr>
            <w:pStyle w:val="TOC3"/>
            <w:tabs>
              <w:tab w:val="right" w:leader="dot" w:pos="9350"/>
            </w:tabs>
            <w:rPr>
              <w:rFonts w:eastAsiaTheme="minorEastAsia"/>
              <w:noProof/>
            </w:rPr>
          </w:pPr>
          <w:hyperlink w:anchor="_Toc238200158" w:history="1">
            <w:r w:rsidRPr="00826573">
              <w:rPr>
                <w:rStyle w:val="Hyperlink"/>
                <w:noProof/>
              </w:rPr>
              <w:t>3.5.1 Sources of Secondary Data</w:t>
            </w:r>
            <w:r>
              <w:rPr>
                <w:noProof/>
                <w:webHidden/>
              </w:rPr>
              <w:tab/>
            </w:r>
            <w:r>
              <w:rPr>
                <w:noProof/>
                <w:webHidden/>
              </w:rPr>
              <w:fldChar w:fldCharType="begin"/>
            </w:r>
            <w:r>
              <w:rPr>
                <w:noProof/>
                <w:webHidden/>
              </w:rPr>
              <w:instrText xml:space="preserve"> PAGEREF _Toc238200158 \h </w:instrText>
            </w:r>
            <w:r>
              <w:rPr>
                <w:noProof/>
                <w:webHidden/>
              </w:rPr>
            </w:r>
            <w:r>
              <w:rPr>
                <w:noProof/>
                <w:webHidden/>
              </w:rPr>
              <w:fldChar w:fldCharType="separate"/>
            </w:r>
            <w:r>
              <w:rPr>
                <w:noProof/>
                <w:webHidden/>
              </w:rPr>
              <w:t>43</w:t>
            </w:r>
            <w:r>
              <w:rPr>
                <w:noProof/>
                <w:webHidden/>
              </w:rPr>
              <w:fldChar w:fldCharType="end"/>
            </w:r>
          </w:hyperlink>
        </w:p>
        <w:p w14:paraId="6E897E48" w14:textId="43F54FB9" w:rsidR="00206084" w:rsidRDefault="00206084">
          <w:pPr>
            <w:pStyle w:val="TOC3"/>
            <w:tabs>
              <w:tab w:val="right" w:leader="dot" w:pos="9350"/>
            </w:tabs>
            <w:rPr>
              <w:rFonts w:eastAsiaTheme="minorEastAsia"/>
              <w:noProof/>
            </w:rPr>
          </w:pPr>
          <w:hyperlink w:anchor="_Toc238200159" w:history="1">
            <w:r w:rsidRPr="00826573">
              <w:rPr>
                <w:rStyle w:val="Hyperlink"/>
                <w:noProof/>
              </w:rPr>
              <w:t>3.5.2 Justification for Data Source Selection</w:t>
            </w:r>
            <w:r>
              <w:rPr>
                <w:noProof/>
                <w:webHidden/>
              </w:rPr>
              <w:tab/>
            </w:r>
            <w:r>
              <w:rPr>
                <w:noProof/>
                <w:webHidden/>
              </w:rPr>
              <w:fldChar w:fldCharType="begin"/>
            </w:r>
            <w:r>
              <w:rPr>
                <w:noProof/>
                <w:webHidden/>
              </w:rPr>
              <w:instrText xml:space="preserve"> PAGEREF _Toc238200159 \h </w:instrText>
            </w:r>
            <w:r>
              <w:rPr>
                <w:noProof/>
                <w:webHidden/>
              </w:rPr>
            </w:r>
            <w:r>
              <w:rPr>
                <w:noProof/>
                <w:webHidden/>
              </w:rPr>
              <w:fldChar w:fldCharType="separate"/>
            </w:r>
            <w:r>
              <w:rPr>
                <w:noProof/>
                <w:webHidden/>
              </w:rPr>
              <w:t>44</w:t>
            </w:r>
            <w:r>
              <w:rPr>
                <w:noProof/>
                <w:webHidden/>
              </w:rPr>
              <w:fldChar w:fldCharType="end"/>
            </w:r>
          </w:hyperlink>
        </w:p>
        <w:p w14:paraId="2BBE7FE0" w14:textId="641F27F7" w:rsidR="00206084" w:rsidRDefault="00206084">
          <w:pPr>
            <w:pStyle w:val="TOC2"/>
            <w:tabs>
              <w:tab w:val="right" w:leader="dot" w:pos="9350"/>
            </w:tabs>
            <w:rPr>
              <w:rFonts w:eastAsiaTheme="minorEastAsia"/>
              <w:noProof/>
            </w:rPr>
          </w:pPr>
          <w:hyperlink w:anchor="_Toc238200160" w:history="1">
            <w:r w:rsidRPr="00826573">
              <w:rPr>
                <w:rStyle w:val="Hyperlink"/>
                <w:noProof/>
              </w:rPr>
              <w:t>3.6 Data Analysis</w:t>
            </w:r>
            <w:r>
              <w:rPr>
                <w:noProof/>
                <w:webHidden/>
              </w:rPr>
              <w:tab/>
            </w:r>
            <w:r>
              <w:rPr>
                <w:noProof/>
                <w:webHidden/>
              </w:rPr>
              <w:fldChar w:fldCharType="begin"/>
            </w:r>
            <w:r>
              <w:rPr>
                <w:noProof/>
                <w:webHidden/>
              </w:rPr>
              <w:instrText xml:space="preserve"> PAGEREF _Toc238200160 \h </w:instrText>
            </w:r>
            <w:r>
              <w:rPr>
                <w:noProof/>
                <w:webHidden/>
              </w:rPr>
            </w:r>
            <w:r>
              <w:rPr>
                <w:noProof/>
                <w:webHidden/>
              </w:rPr>
              <w:fldChar w:fldCharType="separate"/>
            </w:r>
            <w:r>
              <w:rPr>
                <w:noProof/>
                <w:webHidden/>
              </w:rPr>
              <w:t>45</w:t>
            </w:r>
            <w:r>
              <w:rPr>
                <w:noProof/>
                <w:webHidden/>
              </w:rPr>
              <w:fldChar w:fldCharType="end"/>
            </w:r>
          </w:hyperlink>
        </w:p>
        <w:p w14:paraId="463C879F" w14:textId="19684E0A" w:rsidR="00206084" w:rsidRDefault="00206084">
          <w:pPr>
            <w:pStyle w:val="TOC3"/>
            <w:tabs>
              <w:tab w:val="right" w:leader="dot" w:pos="9350"/>
            </w:tabs>
            <w:rPr>
              <w:rFonts w:eastAsiaTheme="minorEastAsia"/>
              <w:noProof/>
            </w:rPr>
          </w:pPr>
          <w:hyperlink w:anchor="_Toc238200161" w:history="1">
            <w:r w:rsidRPr="00826573">
              <w:rPr>
                <w:rStyle w:val="Hyperlink"/>
                <w:noProof/>
              </w:rPr>
              <w:t>3.6.1 Overview of Analytical Approach</w:t>
            </w:r>
            <w:r>
              <w:rPr>
                <w:noProof/>
                <w:webHidden/>
              </w:rPr>
              <w:tab/>
            </w:r>
            <w:r>
              <w:rPr>
                <w:noProof/>
                <w:webHidden/>
              </w:rPr>
              <w:fldChar w:fldCharType="begin"/>
            </w:r>
            <w:r>
              <w:rPr>
                <w:noProof/>
                <w:webHidden/>
              </w:rPr>
              <w:instrText xml:space="preserve"> PAGEREF _Toc238200161 \h </w:instrText>
            </w:r>
            <w:r>
              <w:rPr>
                <w:noProof/>
                <w:webHidden/>
              </w:rPr>
            </w:r>
            <w:r>
              <w:rPr>
                <w:noProof/>
                <w:webHidden/>
              </w:rPr>
              <w:fldChar w:fldCharType="separate"/>
            </w:r>
            <w:r>
              <w:rPr>
                <w:noProof/>
                <w:webHidden/>
              </w:rPr>
              <w:t>45</w:t>
            </w:r>
            <w:r>
              <w:rPr>
                <w:noProof/>
                <w:webHidden/>
              </w:rPr>
              <w:fldChar w:fldCharType="end"/>
            </w:r>
          </w:hyperlink>
        </w:p>
        <w:p w14:paraId="1B2BB109" w14:textId="33ED2A53" w:rsidR="00206084" w:rsidRDefault="00206084">
          <w:pPr>
            <w:pStyle w:val="TOC3"/>
            <w:tabs>
              <w:tab w:val="right" w:leader="dot" w:pos="9350"/>
            </w:tabs>
            <w:rPr>
              <w:rFonts w:eastAsiaTheme="minorEastAsia"/>
              <w:noProof/>
            </w:rPr>
          </w:pPr>
          <w:hyperlink w:anchor="_Toc238200162" w:history="1">
            <w:r w:rsidRPr="00826573">
              <w:rPr>
                <w:rStyle w:val="Hyperlink"/>
                <w:noProof/>
              </w:rPr>
              <w:t>3.6.2 Descriptive Statistics</w:t>
            </w:r>
            <w:r>
              <w:rPr>
                <w:noProof/>
                <w:webHidden/>
              </w:rPr>
              <w:tab/>
            </w:r>
            <w:r>
              <w:rPr>
                <w:noProof/>
                <w:webHidden/>
              </w:rPr>
              <w:fldChar w:fldCharType="begin"/>
            </w:r>
            <w:r>
              <w:rPr>
                <w:noProof/>
                <w:webHidden/>
              </w:rPr>
              <w:instrText xml:space="preserve"> PAGEREF _Toc238200162 \h </w:instrText>
            </w:r>
            <w:r>
              <w:rPr>
                <w:noProof/>
                <w:webHidden/>
              </w:rPr>
            </w:r>
            <w:r>
              <w:rPr>
                <w:noProof/>
                <w:webHidden/>
              </w:rPr>
              <w:fldChar w:fldCharType="separate"/>
            </w:r>
            <w:r>
              <w:rPr>
                <w:noProof/>
                <w:webHidden/>
              </w:rPr>
              <w:t>45</w:t>
            </w:r>
            <w:r>
              <w:rPr>
                <w:noProof/>
                <w:webHidden/>
              </w:rPr>
              <w:fldChar w:fldCharType="end"/>
            </w:r>
          </w:hyperlink>
        </w:p>
        <w:p w14:paraId="76336AAD" w14:textId="6559B8FF" w:rsidR="00206084" w:rsidRDefault="00206084">
          <w:pPr>
            <w:pStyle w:val="TOC3"/>
            <w:tabs>
              <w:tab w:val="right" w:leader="dot" w:pos="9350"/>
            </w:tabs>
            <w:rPr>
              <w:rFonts w:eastAsiaTheme="minorEastAsia"/>
              <w:noProof/>
            </w:rPr>
          </w:pPr>
          <w:hyperlink w:anchor="_Toc238200163" w:history="1">
            <w:r w:rsidRPr="00826573">
              <w:rPr>
                <w:rStyle w:val="Hyperlink"/>
                <w:noProof/>
              </w:rPr>
              <w:t>3.6.3 Inferential Statistics (Multiple Regression)</w:t>
            </w:r>
            <w:r>
              <w:rPr>
                <w:noProof/>
                <w:webHidden/>
              </w:rPr>
              <w:tab/>
            </w:r>
            <w:r>
              <w:rPr>
                <w:noProof/>
                <w:webHidden/>
              </w:rPr>
              <w:fldChar w:fldCharType="begin"/>
            </w:r>
            <w:r>
              <w:rPr>
                <w:noProof/>
                <w:webHidden/>
              </w:rPr>
              <w:instrText xml:space="preserve"> PAGEREF _Toc238200163 \h </w:instrText>
            </w:r>
            <w:r>
              <w:rPr>
                <w:noProof/>
                <w:webHidden/>
              </w:rPr>
            </w:r>
            <w:r>
              <w:rPr>
                <w:noProof/>
                <w:webHidden/>
              </w:rPr>
              <w:fldChar w:fldCharType="separate"/>
            </w:r>
            <w:r>
              <w:rPr>
                <w:noProof/>
                <w:webHidden/>
              </w:rPr>
              <w:t>46</w:t>
            </w:r>
            <w:r>
              <w:rPr>
                <w:noProof/>
                <w:webHidden/>
              </w:rPr>
              <w:fldChar w:fldCharType="end"/>
            </w:r>
          </w:hyperlink>
        </w:p>
        <w:p w14:paraId="2D9068D5" w14:textId="2EE721D9" w:rsidR="00206084" w:rsidRDefault="00206084">
          <w:pPr>
            <w:pStyle w:val="TOC3"/>
            <w:tabs>
              <w:tab w:val="right" w:leader="dot" w:pos="9350"/>
            </w:tabs>
            <w:rPr>
              <w:rFonts w:eastAsiaTheme="minorEastAsia"/>
              <w:noProof/>
            </w:rPr>
          </w:pPr>
          <w:hyperlink w:anchor="_Toc238200164" w:history="1">
            <w:r w:rsidRPr="00826573">
              <w:rPr>
                <w:rStyle w:val="Hyperlink"/>
                <w:noProof/>
              </w:rPr>
              <w:t>3.6.4 Document Analysis</w:t>
            </w:r>
            <w:r>
              <w:rPr>
                <w:noProof/>
                <w:webHidden/>
              </w:rPr>
              <w:tab/>
            </w:r>
            <w:r>
              <w:rPr>
                <w:noProof/>
                <w:webHidden/>
              </w:rPr>
              <w:fldChar w:fldCharType="begin"/>
            </w:r>
            <w:r>
              <w:rPr>
                <w:noProof/>
                <w:webHidden/>
              </w:rPr>
              <w:instrText xml:space="preserve"> PAGEREF _Toc238200164 \h </w:instrText>
            </w:r>
            <w:r>
              <w:rPr>
                <w:noProof/>
                <w:webHidden/>
              </w:rPr>
            </w:r>
            <w:r>
              <w:rPr>
                <w:noProof/>
                <w:webHidden/>
              </w:rPr>
              <w:fldChar w:fldCharType="separate"/>
            </w:r>
            <w:r>
              <w:rPr>
                <w:noProof/>
                <w:webHidden/>
              </w:rPr>
              <w:t>48</w:t>
            </w:r>
            <w:r>
              <w:rPr>
                <w:noProof/>
                <w:webHidden/>
              </w:rPr>
              <w:fldChar w:fldCharType="end"/>
            </w:r>
          </w:hyperlink>
        </w:p>
        <w:p w14:paraId="18128222" w14:textId="4ABC7A8E" w:rsidR="00206084" w:rsidRDefault="00206084">
          <w:pPr>
            <w:pStyle w:val="TOC2"/>
            <w:tabs>
              <w:tab w:val="right" w:leader="dot" w:pos="9350"/>
            </w:tabs>
            <w:rPr>
              <w:rFonts w:eastAsiaTheme="minorEastAsia"/>
              <w:noProof/>
            </w:rPr>
          </w:pPr>
          <w:hyperlink w:anchor="_Toc238200165" w:history="1">
            <w:r w:rsidRPr="00826573">
              <w:rPr>
                <w:rStyle w:val="Hyperlink"/>
                <w:noProof/>
              </w:rPr>
              <w:t>3.7 Ethical Considerations</w:t>
            </w:r>
            <w:r>
              <w:rPr>
                <w:noProof/>
                <w:webHidden/>
              </w:rPr>
              <w:tab/>
            </w:r>
            <w:r>
              <w:rPr>
                <w:noProof/>
                <w:webHidden/>
              </w:rPr>
              <w:fldChar w:fldCharType="begin"/>
            </w:r>
            <w:r>
              <w:rPr>
                <w:noProof/>
                <w:webHidden/>
              </w:rPr>
              <w:instrText xml:space="preserve"> PAGEREF _Toc238200165 \h </w:instrText>
            </w:r>
            <w:r>
              <w:rPr>
                <w:noProof/>
                <w:webHidden/>
              </w:rPr>
            </w:r>
            <w:r>
              <w:rPr>
                <w:noProof/>
                <w:webHidden/>
              </w:rPr>
              <w:fldChar w:fldCharType="separate"/>
            </w:r>
            <w:r>
              <w:rPr>
                <w:noProof/>
                <w:webHidden/>
              </w:rPr>
              <w:t>48</w:t>
            </w:r>
            <w:r>
              <w:rPr>
                <w:noProof/>
                <w:webHidden/>
              </w:rPr>
              <w:fldChar w:fldCharType="end"/>
            </w:r>
          </w:hyperlink>
        </w:p>
        <w:p w14:paraId="19170229" w14:textId="620C678B" w:rsidR="00206084" w:rsidRDefault="00206084">
          <w:pPr>
            <w:pStyle w:val="TOC3"/>
            <w:tabs>
              <w:tab w:val="right" w:leader="dot" w:pos="9350"/>
            </w:tabs>
            <w:rPr>
              <w:rFonts w:eastAsiaTheme="minorEastAsia"/>
              <w:noProof/>
            </w:rPr>
          </w:pPr>
          <w:hyperlink w:anchor="_Toc238200166" w:history="1">
            <w:r w:rsidRPr="00826573">
              <w:rPr>
                <w:rStyle w:val="Hyperlink"/>
                <w:noProof/>
              </w:rPr>
              <w:t>3.7.1 Ethical Principles</w:t>
            </w:r>
            <w:r>
              <w:rPr>
                <w:noProof/>
                <w:webHidden/>
              </w:rPr>
              <w:tab/>
            </w:r>
            <w:r>
              <w:rPr>
                <w:noProof/>
                <w:webHidden/>
              </w:rPr>
              <w:fldChar w:fldCharType="begin"/>
            </w:r>
            <w:r>
              <w:rPr>
                <w:noProof/>
                <w:webHidden/>
              </w:rPr>
              <w:instrText xml:space="preserve"> PAGEREF _Toc238200166 \h </w:instrText>
            </w:r>
            <w:r>
              <w:rPr>
                <w:noProof/>
                <w:webHidden/>
              </w:rPr>
            </w:r>
            <w:r>
              <w:rPr>
                <w:noProof/>
                <w:webHidden/>
              </w:rPr>
              <w:fldChar w:fldCharType="separate"/>
            </w:r>
            <w:r>
              <w:rPr>
                <w:noProof/>
                <w:webHidden/>
              </w:rPr>
              <w:t>48</w:t>
            </w:r>
            <w:r>
              <w:rPr>
                <w:noProof/>
                <w:webHidden/>
              </w:rPr>
              <w:fldChar w:fldCharType="end"/>
            </w:r>
          </w:hyperlink>
        </w:p>
        <w:p w14:paraId="22BA8E07" w14:textId="7541EF45" w:rsidR="00206084" w:rsidRDefault="00206084">
          <w:pPr>
            <w:pStyle w:val="TOC3"/>
            <w:tabs>
              <w:tab w:val="right" w:leader="dot" w:pos="9350"/>
            </w:tabs>
            <w:rPr>
              <w:rFonts w:eastAsiaTheme="minorEastAsia"/>
              <w:noProof/>
            </w:rPr>
          </w:pPr>
          <w:hyperlink w:anchor="_Toc238200167" w:history="1">
            <w:r w:rsidRPr="00826573">
              <w:rPr>
                <w:rStyle w:val="Hyperlink"/>
                <w:noProof/>
              </w:rPr>
              <w:t>3.7.2 Institutional Approval</w:t>
            </w:r>
            <w:r>
              <w:rPr>
                <w:noProof/>
                <w:webHidden/>
              </w:rPr>
              <w:tab/>
            </w:r>
            <w:r>
              <w:rPr>
                <w:noProof/>
                <w:webHidden/>
              </w:rPr>
              <w:fldChar w:fldCharType="begin"/>
            </w:r>
            <w:r>
              <w:rPr>
                <w:noProof/>
                <w:webHidden/>
              </w:rPr>
              <w:instrText xml:space="preserve"> PAGEREF _Toc238200167 \h </w:instrText>
            </w:r>
            <w:r>
              <w:rPr>
                <w:noProof/>
                <w:webHidden/>
              </w:rPr>
            </w:r>
            <w:r>
              <w:rPr>
                <w:noProof/>
                <w:webHidden/>
              </w:rPr>
              <w:fldChar w:fldCharType="separate"/>
            </w:r>
            <w:r>
              <w:rPr>
                <w:noProof/>
                <w:webHidden/>
              </w:rPr>
              <w:t>49</w:t>
            </w:r>
            <w:r>
              <w:rPr>
                <w:noProof/>
                <w:webHidden/>
              </w:rPr>
              <w:fldChar w:fldCharType="end"/>
            </w:r>
          </w:hyperlink>
        </w:p>
        <w:p w14:paraId="69E75FAF" w14:textId="77E4741F" w:rsidR="00206084" w:rsidRDefault="00206084">
          <w:pPr>
            <w:pStyle w:val="TOC3"/>
            <w:tabs>
              <w:tab w:val="right" w:leader="dot" w:pos="9350"/>
            </w:tabs>
            <w:rPr>
              <w:rFonts w:eastAsiaTheme="minorEastAsia"/>
              <w:noProof/>
            </w:rPr>
          </w:pPr>
          <w:hyperlink w:anchor="_Toc238200168" w:history="1">
            <w:r w:rsidRPr="00826573">
              <w:rPr>
                <w:rStyle w:val="Hyperlink"/>
                <w:noProof/>
              </w:rPr>
              <w:t>3.8 Limitations and Mitigations</w:t>
            </w:r>
            <w:r>
              <w:rPr>
                <w:noProof/>
                <w:webHidden/>
              </w:rPr>
              <w:tab/>
            </w:r>
            <w:r>
              <w:rPr>
                <w:noProof/>
                <w:webHidden/>
              </w:rPr>
              <w:fldChar w:fldCharType="begin"/>
            </w:r>
            <w:r>
              <w:rPr>
                <w:noProof/>
                <w:webHidden/>
              </w:rPr>
              <w:instrText xml:space="preserve"> PAGEREF _Toc238200168 \h </w:instrText>
            </w:r>
            <w:r>
              <w:rPr>
                <w:noProof/>
                <w:webHidden/>
              </w:rPr>
            </w:r>
            <w:r>
              <w:rPr>
                <w:noProof/>
                <w:webHidden/>
              </w:rPr>
              <w:fldChar w:fldCharType="separate"/>
            </w:r>
            <w:r>
              <w:rPr>
                <w:noProof/>
                <w:webHidden/>
              </w:rPr>
              <w:t>49</w:t>
            </w:r>
            <w:r>
              <w:rPr>
                <w:noProof/>
                <w:webHidden/>
              </w:rPr>
              <w:fldChar w:fldCharType="end"/>
            </w:r>
          </w:hyperlink>
        </w:p>
        <w:p w14:paraId="6C4E9ECE" w14:textId="667EB22F" w:rsidR="00206084" w:rsidRDefault="00206084">
          <w:pPr>
            <w:pStyle w:val="TOC3"/>
            <w:tabs>
              <w:tab w:val="right" w:leader="dot" w:pos="9350"/>
            </w:tabs>
            <w:rPr>
              <w:rFonts w:eastAsiaTheme="minorEastAsia"/>
              <w:noProof/>
            </w:rPr>
          </w:pPr>
          <w:hyperlink w:anchor="_Toc238200169" w:history="1">
            <w:r w:rsidRPr="00826573">
              <w:rPr>
                <w:rStyle w:val="Hyperlink"/>
                <w:noProof/>
              </w:rPr>
              <w:t>3.9 Chapter Summary</w:t>
            </w:r>
            <w:r>
              <w:rPr>
                <w:noProof/>
                <w:webHidden/>
              </w:rPr>
              <w:tab/>
            </w:r>
            <w:r>
              <w:rPr>
                <w:noProof/>
                <w:webHidden/>
              </w:rPr>
              <w:fldChar w:fldCharType="begin"/>
            </w:r>
            <w:r>
              <w:rPr>
                <w:noProof/>
                <w:webHidden/>
              </w:rPr>
              <w:instrText xml:space="preserve"> PAGEREF _Toc238200169 \h </w:instrText>
            </w:r>
            <w:r>
              <w:rPr>
                <w:noProof/>
                <w:webHidden/>
              </w:rPr>
            </w:r>
            <w:r>
              <w:rPr>
                <w:noProof/>
                <w:webHidden/>
              </w:rPr>
              <w:fldChar w:fldCharType="separate"/>
            </w:r>
            <w:r>
              <w:rPr>
                <w:noProof/>
                <w:webHidden/>
              </w:rPr>
              <w:t>50</w:t>
            </w:r>
            <w:r>
              <w:rPr>
                <w:noProof/>
                <w:webHidden/>
              </w:rPr>
              <w:fldChar w:fldCharType="end"/>
            </w:r>
          </w:hyperlink>
        </w:p>
        <w:p w14:paraId="1F2F23B3" w14:textId="38058315" w:rsidR="00206084" w:rsidRDefault="00206084">
          <w:pPr>
            <w:pStyle w:val="TOC1"/>
            <w:tabs>
              <w:tab w:val="right" w:leader="dot" w:pos="9350"/>
            </w:tabs>
            <w:rPr>
              <w:rFonts w:eastAsiaTheme="minorEastAsia"/>
              <w:noProof/>
            </w:rPr>
          </w:pPr>
          <w:hyperlink w:anchor="_Toc238200170" w:history="1">
            <w:r w:rsidRPr="00826573">
              <w:rPr>
                <w:rStyle w:val="Hyperlink"/>
                <w:noProof/>
              </w:rPr>
              <w:t>Chapter 4: Findings / Results, Analysis and Discussion</w:t>
            </w:r>
            <w:r>
              <w:rPr>
                <w:noProof/>
                <w:webHidden/>
              </w:rPr>
              <w:tab/>
            </w:r>
            <w:r>
              <w:rPr>
                <w:noProof/>
                <w:webHidden/>
              </w:rPr>
              <w:fldChar w:fldCharType="begin"/>
            </w:r>
            <w:r>
              <w:rPr>
                <w:noProof/>
                <w:webHidden/>
              </w:rPr>
              <w:instrText xml:space="preserve"> PAGEREF _Toc238200170 \h </w:instrText>
            </w:r>
            <w:r>
              <w:rPr>
                <w:noProof/>
                <w:webHidden/>
              </w:rPr>
            </w:r>
            <w:r>
              <w:rPr>
                <w:noProof/>
                <w:webHidden/>
              </w:rPr>
              <w:fldChar w:fldCharType="separate"/>
            </w:r>
            <w:r>
              <w:rPr>
                <w:noProof/>
                <w:webHidden/>
              </w:rPr>
              <w:t>51</w:t>
            </w:r>
            <w:r>
              <w:rPr>
                <w:noProof/>
                <w:webHidden/>
              </w:rPr>
              <w:fldChar w:fldCharType="end"/>
            </w:r>
          </w:hyperlink>
        </w:p>
        <w:p w14:paraId="6E793C01" w14:textId="1B1B2809" w:rsidR="00206084" w:rsidRDefault="00206084">
          <w:pPr>
            <w:pStyle w:val="TOC2"/>
            <w:tabs>
              <w:tab w:val="right" w:leader="dot" w:pos="9350"/>
            </w:tabs>
            <w:rPr>
              <w:rFonts w:eastAsiaTheme="minorEastAsia"/>
              <w:noProof/>
            </w:rPr>
          </w:pPr>
          <w:hyperlink w:anchor="_Toc238200171" w:history="1">
            <w:r w:rsidRPr="00826573">
              <w:rPr>
                <w:rStyle w:val="Hyperlink"/>
                <w:noProof/>
              </w:rPr>
              <w:t>4.1 Introduction</w:t>
            </w:r>
            <w:r>
              <w:rPr>
                <w:noProof/>
                <w:webHidden/>
              </w:rPr>
              <w:tab/>
            </w:r>
            <w:r>
              <w:rPr>
                <w:noProof/>
                <w:webHidden/>
              </w:rPr>
              <w:fldChar w:fldCharType="begin"/>
            </w:r>
            <w:r>
              <w:rPr>
                <w:noProof/>
                <w:webHidden/>
              </w:rPr>
              <w:instrText xml:space="preserve"> PAGEREF _Toc238200171 \h </w:instrText>
            </w:r>
            <w:r>
              <w:rPr>
                <w:noProof/>
                <w:webHidden/>
              </w:rPr>
            </w:r>
            <w:r>
              <w:rPr>
                <w:noProof/>
                <w:webHidden/>
              </w:rPr>
              <w:fldChar w:fldCharType="separate"/>
            </w:r>
            <w:r>
              <w:rPr>
                <w:noProof/>
                <w:webHidden/>
              </w:rPr>
              <w:t>51</w:t>
            </w:r>
            <w:r>
              <w:rPr>
                <w:noProof/>
                <w:webHidden/>
              </w:rPr>
              <w:fldChar w:fldCharType="end"/>
            </w:r>
          </w:hyperlink>
        </w:p>
        <w:p w14:paraId="3BFFD21F" w14:textId="33A3C104" w:rsidR="00206084" w:rsidRDefault="00206084">
          <w:pPr>
            <w:pStyle w:val="TOC2"/>
            <w:tabs>
              <w:tab w:val="right" w:leader="dot" w:pos="9350"/>
            </w:tabs>
            <w:rPr>
              <w:rFonts w:eastAsiaTheme="minorEastAsia"/>
              <w:noProof/>
            </w:rPr>
          </w:pPr>
          <w:hyperlink w:anchor="_Toc238200172" w:history="1">
            <w:r w:rsidRPr="00826573">
              <w:rPr>
                <w:rStyle w:val="Hyperlink"/>
                <w:noProof/>
              </w:rPr>
              <w:t>4.2 Presentation of Findings</w:t>
            </w:r>
            <w:r>
              <w:rPr>
                <w:noProof/>
                <w:webHidden/>
              </w:rPr>
              <w:tab/>
            </w:r>
            <w:r>
              <w:rPr>
                <w:noProof/>
                <w:webHidden/>
              </w:rPr>
              <w:fldChar w:fldCharType="begin"/>
            </w:r>
            <w:r>
              <w:rPr>
                <w:noProof/>
                <w:webHidden/>
              </w:rPr>
              <w:instrText xml:space="preserve"> PAGEREF _Toc238200172 \h </w:instrText>
            </w:r>
            <w:r>
              <w:rPr>
                <w:noProof/>
                <w:webHidden/>
              </w:rPr>
            </w:r>
            <w:r>
              <w:rPr>
                <w:noProof/>
                <w:webHidden/>
              </w:rPr>
              <w:fldChar w:fldCharType="separate"/>
            </w:r>
            <w:r>
              <w:rPr>
                <w:noProof/>
                <w:webHidden/>
              </w:rPr>
              <w:t>52</w:t>
            </w:r>
            <w:r>
              <w:rPr>
                <w:noProof/>
                <w:webHidden/>
              </w:rPr>
              <w:fldChar w:fldCharType="end"/>
            </w:r>
          </w:hyperlink>
        </w:p>
        <w:p w14:paraId="602CCE7E" w14:textId="5A50CAA1" w:rsidR="00206084" w:rsidRDefault="00206084">
          <w:pPr>
            <w:pStyle w:val="TOC3"/>
            <w:tabs>
              <w:tab w:val="right" w:leader="dot" w:pos="9350"/>
            </w:tabs>
            <w:rPr>
              <w:rFonts w:eastAsiaTheme="minorEastAsia"/>
              <w:noProof/>
            </w:rPr>
          </w:pPr>
          <w:hyperlink w:anchor="_Toc238200173" w:history="1">
            <w:r w:rsidRPr="00826573">
              <w:rPr>
                <w:rStyle w:val="Hyperlink"/>
                <w:noProof/>
              </w:rPr>
              <w:t>4.2.1 Research Question 1: Key Drivers for Policy Changes</w:t>
            </w:r>
            <w:r>
              <w:rPr>
                <w:noProof/>
                <w:webHidden/>
              </w:rPr>
              <w:tab/>
            </w:r>
            <w:r>
              <w:rPr>
                <w:noProof/>
                <w:webHidden/>
              </w:rPr>
              <w:fldChar w:fldCharType="begin"/>
            </w:r>
            <w:r>
              <w:rPr>
                <w:noProof/>
                <w:webHidden/>
              </w:rPr>
              <w:instrText xml:space="preserve"> PAGEREF _Toc238200173 \h </w:instrText>
            </w:r>
            <w:r>
              <w:rPr>
                <w:noProof/>
                <w:webHidden/>
              </w:rPr>
            </w:r>
            <w:r>
              <w:rPr>
                <w:noProof/>
                <w:webHidden/>
              </w:rPr>
              <w:fldChar w:fldCharType="separate"/>
            </w:r>
            <w:r>
              <w:rPr>
                <w:noProof/>
                <w:webHidden/>
              </w:rPr>
              <w:t>52</w:t>
            </w:r>
            <w:r>
              <w:rPr>
                <w:noProof/>
                <w:webHidden/>
              </w:rPr>
              <w:fldChar w:fldCharType="end"/>
            </w:r>
          </w:hyperlink>
        </w:p>
        <w:p w14:paraId="31FAB2CF" w14:textId="3AE9C088" w:rsidR="00206084" w:rsidRDefault="00206084">
          <w:pPr>
            <w:pStyle w:val="TOC3"/>
            <w:tabs>
              <w:tab w:val="right" w:leader="dot" w:pos="9350"/>
            </w:tabs>
            <w:rPr>
              <w:rFonts w:eastAsiaTheme="minorEastAsia"/>
              <w:noProof/>
            </w:rPr>
          </w:pPr>
          <w:hyperlink w:anchor="_Toc238200174" w:history="1">
            <w:r w:rsidRPr="00826573">
              <w:rPr>
                <w:rStyle w:val="Hyperlink"/>
                <w:noProof/>
              </w:rPr>
              <w:t>4.2.2 Research Question 2: Determinants of Human Capital Sustainability</w:t>
            </w:r>
            <w:r>
              <w:rPr>
                <w:noProof/>
                <w:webHidden/>
              </w:rPr>
              <w:tab/>
            </w:r>
            <w:r>
              <w:rPr>
                <w:noProof/>
                <w:webHidden/>
              </w:rPr>
              <w:fldChar w:fldCharType="begin"/>
            </w:r>
            <w:r>
              <w:rPr>
                <w:noProof/>
                <w:webHidden/>
              </w:rPr>
              <w:instrText xml:space="preserve"> PAGEREF _Toc238200174 \h </w:instrText>
            </w:r>
            <w:r>
              <w:rPr>
                <w:noProof/>
                <w:webHidden/>
              </w:rPr>
            </w:r>
            <w:r>
              <w:rPr>
                <w:noProof/>
                <w:webHidden/>
              </w:rPr>
              <w:fldChar w:fldCharType="separate"/>
            </w:r>
            <w:r>
              <w:rPr>
                <w:noProof/>
                <w:webHidden/>
              </w:rPr>
              <w:t>53</w:t>
            </w:r>
            <w:r>
              <w:rPr>
                <w:noProof/>
                <w:webHidden/>
              </w:rPr>
              <w:fldChar w:fldCharType="end"/>
            </w:r>
          </w:hyperlink>
        </w:p>
        <w:p w14:paraId="79AA6C6A" w14:textId="773E480F" w:rsidR="00206084" w:rsidRDefault="00206084">
          <w:pPr>
            <w:pStyle w:val="TOC3"/>
            <w:tabs>
              <w:tab w:val="right" w:leader="dot" w:pos="9350"/>
            </w:tabs>
            <w:rPr>
              <w:rFonts w:eastAsiaTheme="minorEastAsia"/>
              <w:noProof/>
            </w:rPr>
          </w:pPr>
          <w:hyperlink w:anchor="_Toc238200175" w:history="1">
            <w:r w:rsidRPr="00826573">
              <w:rPr>
                <w:rStyle w:val="Hyperlink"/>
                <w:noProof/>
              </w:rPr>
              <w:t>4.2.3 Research Question 3: Impact of Immigration Rule Changes on Sustainability</w:t>
            </w:r>
            <w:r>
              <w:rPr>
                <w:noProof/>
                <w:webHidden/>
              </w:rPr>
              <w:tab/>
            </w:r>
            <w:r>
              <w:rPr>
                <w:noProof/>
                <w:webHidden/>
              </w:rPr>
              <w:fldChar w:fldCharType="begin"/>
            </w:r>
            <w:r>
              <w:rPr>
                <w:noProof/>
                <w:webHidden/>
              </w:rPr>
              <w:instrText xml:space="preserve"> PAGEREF _Toc238200175 \h </w:instrText>
            </w:r>
            <w:r>
              <w:rPr>
                <w:noProof/>
                <w:webHidden/>
              </w:rPr>
            </w:r>
            <w:r>
              <w:rPr>
                <w:noProof/>
                <w:webHidden/>
              </w:rPr>
              <w:fldChar w:fldCharType="separate"/>
            </w:r>
            <w:r>
              <w:rPr>
                <w:noProof/>
                <w:webHidden/>
              </w:rPr>
              <w:t>54</w:t>
            </w:r>
            <w:r>
              <w:rPr>
                <w:noProof/>
                <w:webHidden/>
              </w:rPr>
              <w:fldChar w:fldCharType="end"/>
            </w:r>
          </w:hyperlink>
        </w:p>
        <w:p w14:paraId="1A0E07B6" w14:textId="0440D8A1" w:rsidR="00206084" w:rsidRDefault="00206084">
          <w:pPr>
            <w:pStyle w:val="TOC3"/>
            <w:tabs>
              <w:tab w:val="right" w:leader="dot" w:pos="9350"/>
            </w:tabs>
            <w:rPr>
              <w:rFonts w:eastAsiaTheme="minorEastAsia"/>
              <w:noProof/>
            </w:rPr>
          </w:pPr>
          <w:hyperlink w:anchor="_Toc238200176" w:history="1">
            <w:r w:rsidRPr="00826573">
              <w:rPr>
                <w:rStyle w:val="Hyperlink"/>
                <w:noProof/>
              </w:rPr>
              <w:t>4.2.4 Research Question 4: HR Strategies for Workforce Sustainability</w:t>
            </w:r>
            <w:r>
              <w:rPr>
                <w:noProof/>
                <w:webHidden/>
              </w:rPr>
              <w:tab/>
            </w:r>
            <w:r>
              <w:rPr>
                <w:noProof/>
                <w:webHidden/>
              </w:rPr>
              <w:fldChar w:fldCharType="begin"/>
            </w:r>
            <w:r>
              <w:rPr>
                <w:noProof/>
                <w:webHidden/>
              </w:rPr>
              <w:instrText xml:space="preserve"> PAGEREF _Toc238200176 \h </w:instrText>
            </w:r>
            <w:r>
              <w:rPr>
                <w:noProof/>
                <w:webHidden/>
              </w:rPr>
            </w:r>
            <w:r>
              <w:rPr>
                <w:noProof/>
                <w:webHidden/>
              </w:rPr>
              <w:fldChar w:fldCharType="separate"/>
            </w:r>
            <w:r>
              <w:rPr>
                <w:noProof/>
                <w:webHidden/>
              </w:rPr>
              <w:t>58</w:t>
            </w:r>
            <w:r>
              <w:rPr>
                <w:noProof/>
                <w:webHidden/>
              </w:rPr>
              <w:fldChar w:fldCharType="end"/>
            </w:r>
          </w:hyperlink>
        </w:p>
        <w:p w14:paraId="274A857E" w14:textId="4C0CC280" w:rsidR="00206084" w:rsidRDefault="00206084">
          <w:pPr>
            <w:pStyle w:val="TOC2"/>
            <w:tabs>
              <w:tab w:val="right" w:leader="dot" w:pos="9350"/>
            </w:tabs>
            <w:rPr>
              <w:rFonts w:eastAsiaTheme="minorEastAsia"/>
              <w:noProof/>
            </w:rPr>
          </w:pPr>
          <w:hyperlink w:anchor="_Toc238200177" w:history="1">
            <w:r w:rsidRPr="00826573">
              <w:rPr>
                <w:rStyle w:val="Hyperlink"/>
                <w:noProof/>
              </w:rPr>
              <w:t>4.3 Analysis of Results</w:t>
            </w:r>
            <w:r>
              <w:rPr>
                <w:noProof/>
                <w:webHidden/>
              </w:rPr>
              <w:tab/>
            </w:r>
            <w:r>
              <w:rPr>
                <w:noProof/>
                <w:webHidden/>
              </w:rPr>
              <w:fldChar w:fldCharType="begin"/>
            </w:r>
            <w:r>
              <w:rPr>
                <w:noProof/>
                <w:webHidden/>
              </w:rPr>
              <w:instrText xml:space="preserve"> PAGEREF _Toc238200177 \h </w:instrText>
            </w:r>
            <w:r>
              <w:rPr>
                <w:noProof/>
                <w:webHidden/>
              </w:rPr>
            </w:r>
            <w:r>
              <w:rPr>
                <w:noProof/>
                <w:webHidden/>
              </w:rPr>
              <w:fldChar w:fldCharType="separate"/>
            </w:r>
            <w:r>
              <w:rPr>
                <w:noProof/>
                <w:webHidden/>
              </w:rPr>
              <w:t>60</w:t>
            </w:r>
            <w:r>
              <w:rPr>
                <w:noProof/>
                <w:webHidden/>
              </w:rPr>
              <w:fldChar w:fldCharType="end"/>
            </w:r>
          </w:hyperlink>
        </w:p>
        <w:p w14:paraId="70F00B56" w14:textId="146D8953" w:rsidR="00206084" w:rsidRDefault="00206084">
          <w:pPr>
            <w:pStyle w:val="TOC3"/>
            <w:tabs>
              <w:tab w:val="right" w:leader="dot" w:pos="9350"/>
            </w:tabs>
            <w:rPr>
              <w:rFonts w:eastAsiaTheme="minorEastAsia"/>
              <w:noProof/>
            </w:rPr>
          </w:pPr>
          <w:hyperlink w:anchor="_Toc238200178" w:history="1">
            <w:r w:rsidRPr="00826573">
              <w:rPr>
                <w:rStyle w:val="Hyperlink"/>
                <w:noProof/>
              </w:rPr>
              <w:t>4.3.1 Statistical Analysis</w:t>
            </w:r>
            <w:r>
              <w:rPr>
                <w:noProof/>
                <w:webHidden/>
              </w:rPr>
              <w:tab/>
            </w:r>
            <w:r>
              <w:rPr>
                <w:noProof/>
                <w:webHidden/>
              </w:rPr>
              <w:fldChar w:fldCharType="begin"/>
            </w:r>
            <w:r>
              <w:rPr>
                <w:noProof/>
                <w:webHidden/>
              </w:rPr>
              <w:instrText xml:space="preserve"> PAGEREF _Toc238200178 \h </w:instrText>
            </w:r>
            <w:r>
              <w:rPr>
                <w:noProof/>
                <w:webHidden/>
              </w:rPr>
            </w:r>
            <w:r>
              <w:rPr>
                <w:noProof/>
                <w:webHidden/>
              </w:rPr>
              <w:fldChar w:fldCharType="separate"/>
            </w:r>
            <w:r>
              <w:rPr>
                <w:noProof/>
                <w:webHidden/>
              </w:rPr>
              <w:t>60</w:t>
            </w:r>
            <w:r>
              <w:rPr>
                <w:noProof/>
                <w:webHidden/>
              </w:rPr>
              <w:fldChar w:fldCharType="end"/>
            </w:r>
          </w:hyperlink>
        </w:p>
        <w:p w14:paraId="43EFD6E8" w14:textId="514A2FDF" w:rsidR="00206084" w:rsidRDefault="00206084">
          <w:pPr>
            <w:pStyle w:val="TOC3"/>
            <w:tabs>
              <w:tab w:val="right" w:leader="dot" w:pos="9350"/>
            </w:tabs>
            <w:rPr>
              <w:rFonts w:eastAsiaTheme="minorEastAsia"/>
              <w:noProof/>
            </w:rPr>
          </w:pPr>
          <w:hyperlink w:anchor="_Toc238200179" w:history="1">
            <w:r w:rsidRPr="00826573">
              <w:rPr>
                <w:rStyle w:val="Hyperlink"/>
                <w:noProof/>
              </w:rPr>
              <w:t>4.3.2 Trend Analysis</w:t>
            </w:r>
            <w:r>
              <w:rPr>
                <w:noProof/>
                <w:webHidden/>
              </w:rPr>
              <w:tab/>
            </w:r>
            <w:r>
              <w:rPr>
                <w:noProof/>
                <w:webHidden/>
              </w:rPr>
              <w:fldChar w:fldCharType="begin"/>
            </w:r>
            <w:r>
              <w:rPr>
                <w:noProof/>
                <w:webHidden/>
              </w:rPr>
              <w:instrText xml:space="preserve"> PAGEREF _Toc238200179 \h </w:instrText>
            </w:r>
            <w:r>
              <w:rPr>
                <w:noProof/>
                <w:webHidden/>
              </w:rPr>
            </w:r>
            <w:r>
              <w:rPr>
                <w:noProof/>
                <w:webHidden/>
              </w:rPr>
              <w:fldChar w:fldCharType="separate"/>
            </w:r>
            <w:r>
              <w:rPr>
                <w:noProof/>
                <w:webHidden/>
              </w:rPr>
              <w:t>60</w:t>
            </w:r>
            <w:r>
              <w:rPr>
                <w:noProof/>
                <w:webHidden/>
              </w:rPr>
              <w:fldChar w:fldCharType="end"/>
            </w:r>
          </w:hyperlink>
        </w:p>
        <w:p w14:paraId="63145513" w14:textId="013A010E" w:rsidR="00206084" w:rsidRDefault="00206084">
          <w:pPr>
            <w:pStyle w:val="TOC2"/>
            <w:tabs>
              <w:tab w:val="right" w:leader="dot" w:pos="9350"/>
            </w:tabs>
            <w:rPr>
              <w:rFonts w:eastAsiaTheme="minorEastAsia"/>
              <w:noProof/>
            </w:rPr>
          </w:pPr>
          <w:hyperlink w:anchor="_Toc238200180" w:history="1">
            <w:r w:rsidRPr="00826573">
              <w:rPr>
                <w:rStyle w:val="Hyperlink"/>
                <w:noProof/>
              </w:rPr>
              <w:t>4.4 Discussion of Results</w:t>
            </w:r>
            <w:r>
              <w:rPr>
                <w:noProof/>
                <w:webHidden/>
              </w:rPr>
              <w:tab/>
            </w:r>
            <w:r>
              <w:rPr>
                <w:noProof/>
                <w:webHidden/>
              </w:rPr>
              <w:fldChar w:fldCharType="begin"/>
            </w:r>
            <w:r>
              <w:rPr>
                <w:noProof/>
                <w:webHidden/>
              </w:rPr>
              <w:instrText xml:space="preserve"> PAGEREF _Toc238200180 \h </w:instrText>
            </w:r>
            <w:r>
              <w:rPr>
                <w:noProof/>
                <w:webHidden/>
              </w:rPr>
            </w:r>
            <w:r>
              <w:rPr>
                <w:noProof/>
                <w:webHidden/>
              </w:rPr>
              <w:fldChar w:fldCharType="separate"/>
            </w:r>
            <w:r>
              <w:rPr>
                <w:noProof/>
                <w:webHidden/>
              </w:rPr>
              <w:t>60</w:t>
            </w:r>
            <w:r>
              <w:rPr>
                <w:noProof/>
                <w:webHidden/>
              </w:rPr>
              <w:fldChar w:fldCharType="end"/>
            </w:r>
          </w:hyperlink>
        </w:p>
        <w:p w14:paraId="1E10AF18" w14:textId="27DC0477" w:rsidR="00206084" w:rsidRDefault="00206084">
          <w:pPr>
            <w:pStyle w:val="TOC3"/>
            <w:tabs>
              <w:tab w:val="right" w:leader="dot" w:pos="9350"/>
            </w:tabs>
            <w:rPr>
              <w:rFonts w:eastAsiaTheme="minorEastAsia"/>
              <w:noProof/>
            </w:rPr>
          </w:pPr>
          <w:hyperlink w:anchor="_Toc238200181" w:history="1">
            <w:r w:rsidRPr="00826573">
              <w:rPr>
                <w:rStyle w:val="Hyperlink"/>
                <w:noProof/>
              </w:rPr>
              <w:t>4.4.1 Discussion in Relation to Research Questions</w:t>
            </w:r>
            <w:r>
              <w:rPr>
                <w:noProof/>
                <w:webHidden/>
              </w:rPr>
              <w:tab/>
            </w:r>
            <w:r>
              <w:rPr>
                <w:noProof/>
                <w:webHidden/>
              </w:rPr>
              <w:fldChar w:fldCharType="begin"/>
            </w:r>
            <w:r>
              <w:rPr>
                <w:noProof/>
                <w:webHidden/>
              </w:rPr>
              <w:instrText xml:space="preserve"> PAGEREF _Toc238200181 \h </w:instrText>
            </w:r>
            <w:r>
              <w:rPr>
                <w:noProof/>
                <w:webHidden/>
              </w:rPr>
            </w:r>
            <w:r>
              <w:rPr>
                <w:noProof/>
                <w:webHidden/>
              </w:rPr>
              <w:fldChar w:fldCharType="separate"/>
            </w:r>
            <w:r>
              <w:rPr>
                <w:noProof/>
                <w:webHidden/>
              </w:rPr>
              <w:t>60</w:t>
            </w:r>
            <w:r>
              <w:rPr>
                <w:noProof/>
                <w:webHidden/>
              </w:rPr>
              <w:fldChar w:fldCharType="end"/>
            </w:r>
          </w:hyperlink>
        </w:p>
        <w:p w14:paraId="0119E27F" w14:textId="36B90F9E" w:rsidR="00206084" w:rsidRDefault="00206084">
          <w:pPr>
            <w:pStyle w:val="TOC3"/>
            <w:tabs>
              <w:tab w:val="right" w:leader="dot" w:pos="9350"/>
            </w:tabs>
            <w:rPr>
              <w:rFonts w:eastAsiaTheme="minorEastAsia"/>
              <w:noProof/>
            </w:rPr>
          </w:pPr>
          <w:hyperlink w:anchor="_Toc238200182" w:history="1">
            <w:r w:rsidRPr="00826573">
              <w:rPr>
                <w:rStyle w:val="Hyperlink"/>
                <w:noProof/>
              </w:rPr>
              <w:t>4.4.2 Linking Results Back to Literature</w:t>
            </w:r>
            <w:r>
              <w:rPr>
                <w:noProof/>
                <w:webHidden/>
              </w:rPr>
              <w:tab/>
            </w:r>
            <w:r>
              <w:rPr>
                <w:noProof/>
                <w:webHidden/>
              </w:rPr>
              <w:fldChar w:fldCharType="begin"/>
            </w:r>
            <w:r>
              <w:rPr>
                <w:noProof/>
                <w:webHidden/>
              </w:rPr>
              <w:instrText xml:space="preserve"> PAGEREF _Toc238200182 \h </w:instrText>
            </w:r>
            <w:r>
              <w:rPr>
                <w:noProof/>
                <w:webHidden/>
              </w:rPr>
            </w:r>
            <w:r>
              <w:rPr>
                <w:noProof/>
                <w:webHidden/>
              </w:rPr>
              <w:fldChar w:fldCharType="separate"/>
            </w:r>
            <w:r>
              <w:rPr>
                <w:noProof/>
                <w:webHidden/>
              </w:rPr>
              <w:t>61</w:t>
            </w:r>
            <w:r>
              <w:rPr>
                <w:noProof/>
                <w:webHidden/>
              </w:rPr>
              <w:fldChar w:fldCharType="end"/>
            </w:r>
          </w:hyperlink>
        </w:p>
        <w:p w14:paraId="5912CD25" w14:textId="2A3539CF" w:rsidR="00206084" w:rsidRDefault="00206084">
          <w:pPr>
            <w:pStyle w:val="TOC2"/>
            <w:tabs>
              <w:tab w:val="right" w:leader="dot" w:pos="9350"/>
            </w:tabs>
            <w:rPr>
              <w:rFonts w:eastAsiaTheme="minorEastAsia"/>
              <w:noProof/>
            </w:rPr>
          </w:pPr>
          <w:hyperlink w:anchor="_Toc238200183" w:history="1">
            <w:r w:rsidRPr="00826573">
              <w:rPr>
                <w:rStyle w:val="Hyperlink"/>
                <w:noProof/>
              </w:rPr>
              <w:t>4.5 Summary of Chapter</w:t>
            </w:r>
            <w:r>
              <w:rPr>
                <w:noProof/>
                <w:webHidden/>
              </w:rPr>
              <w:tab/>
            </w:r>
            <w:r>
              <w:rPr>
                <w:noProof/>
                <w:webHidden/>
              </w:rPr>
              <w:fldChar w:fldCharType="begin"/>
            </w:r>
            <w:r>
              <w:rPr>
                <w:noProof/>
                <w:webHidden/>
              </w:rPr>
              <w:instrText xml:space="preserve"> PAGEREF _Toc238200183 \h </w:instrText>
            </w:r>
            <w:r>
              <w:rPr>
                <w:noProof/>
                <w:webHidden/>
              </w:rPr>
            </w:r>
            <w:r>
              <w:rPr>
                <w:noProof/>
                <w:webHidden/>
              </w:rPr>
              <w:fldChar w:fldCharType="separate"/>
            </w:r>
            <w:r>
              <w:rPr>
                <w:noProof/>
                <w:webHidden/>
              </w:rPr>
              <w:t>62</w:t>
            </w:r>
            <w:r>
              <w:rPr>
                <w:noProof/>
                <w:webHidden/>
              </w:rPr>
              <w:fldChar w:fldCharType="end"/>
            </w:r>
          </w:hyperlink>
        </w:p>
        <w:p w14:paraId="4154E852" w14:textId="72841A7A" w:rsidR="00206084" w:rsidRDefault="00206084">
          <w:pPr>
            <w:pStyle w:val="TOC1"/>
            <w:tabs>
              <w:tab w:val="right" w:leader="dot" w:pos="9350"/>
            </w:tabs>
            <w:rPr>
              <w:rFonts w:eastAsiaTheme="minorEastAsia"/>
              <w:noProof/>
            </w:rPr>
          </w:pPr>
          <w:hyperlink w:anchor="_Toc238200184" w:history="1">
            <w:r w:rsidRPr="00826573">
              <w:rPr>
                <w:rStyle w:val="Hyperlink"/>
                <w:noProof/>
              </w:rPr>
              <w:t>Chapter 5: Conclusions and Recommendations</w:t>
            </w:r>
            <w:r>
              <w:rPr>
                <w:noProof/>
                <w:webHidden/>
              </w:rPr>
              <w:tab/>
            </w:r>
            <w:r>
              <w:rPr>
                <w:noProof/>
                <w:webHidden/>
              </w:rPr>
              <w:fldChar w:fldCharType="begin"/>
            </w:r>
            <w:r>
              <w:rPr>
                <w:noProof/>
                <w:webHidden/>
              </w:rPr>
              <w:instrText xml:space="preserve"> PAGEREF _Toc238200184 \h </w:instrText>
            </w:r>
            <w:r>
              <w:rPr>
                <w:noProof/>
                <w:webHidden/>
              </w:rPr>
            </w:r>
            <w:r>
              <w:rPr>
                <w:noProof/>
                <w:webHidden/>
              </w:rPr>
              <w:fldChar w:fldCharType="separate"/>
            </w:r>
            <w:r>
              <w:rPr>
                <w:noProof/>
                <w:webHidden/>
              </w:rPr>
              <w:t>63</w:t>
            </w:r>
            <w:r>
              <w:rPr>
                <w:noProof/>
                <w:webHidden/>
              </w:rPr>
              <w:fldChar w:fldCharType="end"/>
            </w:r>
          </w:hyperlink>
        </w:p>
        <w:p w14:paraId="71617BF6" w14:textId="6CFC67C2" w:rsidR="00206084" w:rsidRDefault="00206084">
          <w:pPr>
            <w:pStyle w:val="TOC2"/>
            <w:tabs>
              <w:tab w:val="right" w:leader="dot" w:pos="9350"/>
            </w:tabs>
            <w:rPr>
              <w:rFonts w:eastAsiaTheme="minorEastAsia"/>
              <w:noProof/>
            </w:rPr>
          </w:pPr>
          <w:hyperlink w:anchor="_Toc238200185" w:history="1">
            <w:r w:rsidRPr="00826573">
              <w:rPr>
                <w:rStyle w:val="Hyperlink"/>
                <w:noProof/>
              </w:rPr>
              <w:t>5.1 Introduction</w:t>
            </w:r>
            <w:r>
              <w:rPr>
                <w:noProof/>
                <w:webHidden/>
              </w:rPr>
              <w:tab/>
            </w:r>
            <w:r>
              <w:rPr>
                <w:noProof/>
                <w:webHidden/>
              </w:rPr>
              <w:fldChar w:fldCharType="begin"/>
            </w:r>
            <w:r>
              <w:rPr>
                <w:noProof/>
                <w:webHidden/>
              </w:rPr>
              <w:instrText xml:space="preserve"> PAGEREF _Toc238200185 \h </w:instrText>
            </w:r>
            <w:r>
              <w:rPr>
                <w:noProof/>
                <w:webHidden/>
              </w:rPr>
            </w:r>
            <w:r>
              <w:rPr>
                <w:noProof/>
                <w:webHidden/>
              </w:rPr>
              <w:fldChar w:fldCharType="separate"/>
            </w:r>
            <w:r>
              <w:rPr>
                <w:noProof/>
                <w:webHidden/>
              </w:rPr>
              <w:t>63</w:t>
            </w:r>
            <w:r>
              <w:rPr>
                <w:noProof/>
                <w:webHidden/>
              </w:rPr>
              <w:fldChar w:fldCharType="end"/>
            </w:r>
          </w:hyperlink>
        </w:p>
        <w:p w14:paraId="43DD74F8" w14:textId="785F4FE4" w:rsidR="00206084" w:rsidRDefault="00206084">
          <w:pPr>
            <w:pStyle w:val="TOC2"/>
            <w:tabs>
              <w:tab w:val="right" w:leader="dot" w:pos="9350"/>
            </w:tabs>
            <w:rPr>
              <w:rFonts w:eastAsiaTheme="minorEastAsia"/>
              <w:noProof/>
            </w:rPr>
          </w:pPr>
          <w:hyperlink w:anchor="_Toc238200186" w:history="1">
            <w:r w:rsidRPr="00826573">
              <w:rPr>
                <w:rStyle w:val="Hyperlink"/>
                <w:noProof/>
              </w:rPr>
              <w:t>5.2 Summary of Main Findings</w:t>
            </w:r>
            <w:r>
              <w:rPr>
                <w:noProof/>
                <w:webHidden/>
              </w:rPr>
              <w:tab/>
            </w:r>
            <w:r>
              <w:rPr>
                <w:noProof/>
                <w:webHidden/>
              </w:rPr>
              <w:fldChar w:fldCharType="begin"/>
            </w:r>
            <w:r>
              <w:rPr>
                <w:noProof/>
                <w:webHidden/>
              </w:rPr>
              <w:instrText xml:space="preserve"> PAGEREF _Toc238200186 \h </w:instrText>
            </w:r>
            <w:r>
              <w:rPr>
                <w:noProof/>
                <w:webHidden/>
              </w:rPr>
            </w:r>
            <w:r>
              <w:rPr>
                <w:noProof/>
                <w:webHidden/>
              </w:rPr>
              <w:fldChar w:fldCharType="separate"/>
            </w:r>
            <w:r>
              <w:rPr>
                <w:noProof/>
                <w:webHidden/>
              </w:rPr>
              <w:t>63</w:t>
            </w:r>
            <w:r>
              <w:rPr>
                <w:noProof/>
                <w:webHidden/>
              </w:rPr>
              <w:fldChar w:fldCharType="end"/>
            </w:r>
          </w:hyperlink>
        </w:p>
        <w:p w14:paraId="21DD1773" w14:textId="4E1C3AD2" w:rsidR="00206084" w:rsidRDefault="00206084">
          <w:pPr>
            <w:pStyle w:val="TOC2"/>
            <w:tabs>
              <w:tab w:val="right" w:leader="dot" w:pos="9350"/>
            </w:tabs>
            <w:rPr>
              <w:rFonts w:eastAsiaTheme="minorEastAsia"/>
              <w:noProof/>
            </w:rPr>
          </w:pPr>
          <w:hyperlink w:anchor="_Toc238200187" w:history="1">
            <w:r w:rsidRPr="00826573">
              <w:rPr>
                <w:rStyle w:val="Hyperlink"/>
                <w:noProof/>
              </w:rPr>
              <w:t>5.3 Conclusion Based on the Research Questions</w:t>
            </w:r>
            <w:r>
              <w:rPr>
                <w:noProof/>
                <w:webHidden/>
              </w:rPr>
              <w:tab/>
            </w:r>
            <w:r>
              <w:rPr>
                <w:noProof/>
                <w:webHidden/>
              </w:rPr>
              <w:fldChar w:fldCharType="begin"/>
            </w:r>
            <w:r>
              <w:rPr>
                <w:noProof/>
                <w:webHidden/>
              </w:rPr>
              <w:instrText xml:space="preserve"> PAGEREF _Toc238200187 \h </w:instrText>
            </w:r>
            <w:r>
              <w:rPr>
                <w:noProof/>
                <w:webHidden/>
              </w:rPr>
            </w:r>
            <w:r>
              <w:rPr>
                <w:noProof/>
                <w:webHidden/>
              </w:rPr>
              <w:fldChar w:fldCharType="separate"/>
            </w:r>
            <w:r>
              <w:rPr>
                <w:noProof/>
                <w:webHidden/>
              </w:rPr>
              <w:t>64</w:t>
            </w:r>
            <w:r>
              <w:rPr>
                <w:noProof/>
                <w:webHidden/>
              </w:rPr>
              <w:fldChar w:fldCharType="end"/>
            </w:r>
          </w:hyperlink>
        </w:p>
        <w:p w14:paraId="39D969F3" w14:textId="00220E5A" w:rsidR="00206084" w:rsidRDefault="00206084">
          <w:pPr>
            <w:pStyle w:val="TOC2"/>
            <w:tabs>
              <w:tab w:val="right" w:leader="dot" w:pos="9350"/>
            </w:tabs>
            <w:rPr>
              <w:rFonts w:eastAsiaTheme="minorEastAsia"/>
              <w:noProof/>
            </w:rPr>
          </w:pPr>
          <w:hyperlink w:anchor="_Toc238200188" w:history="1">
            <w:r w:rsidRPr="00826573">
              <w:rPr>
                <w:rStyle w:val="Hyperlink"/>
                <w:noProof/>
              </w:rPr>
              <w:t>5.4 Recommendations</w:t>
            </w:r>
            <w:r>
              <w:rPr>
                <w:noProof/>
                <w:webHidden/>
              </w:rPr>
              <w:tab/>
            </w:r>
            <w:r>
              <w:rPr>
                <w:noProof/>
                <w:webHidden/>
              </w:rPr>
              <w:fldChar w:fldCharType="begin"/>
            </w:r>
            <w:r>
              <w:rPr>
                <w:noProof/>
                <w:webHidden/>
              </w:rPr>
              <w:instrText xml:space="preserve"> PAGEREF _Toc238200188 \h </w:instrText>
            </w:r>
            <w:r>
              <w:rPr>
                <w:noProof/>
                <w:webHidden/>
              </w:rPr>
            </w:r>
            <w:r>
              <w:rPr>
                <w:noProof/>
                <w:webHidden/>
              </w:rPr>
              <w:fldChar w:fldCharType="separate"/>
            </w:r>
            <w:r>
              <w:rPr>
                <w:noProof/>
                <w:webHidden/>
              </w:rPr>
              <w:t>65</w:t>
            </w:r>
            <w:r>
              <w:rPr>
                <w:noProof/>
                <w:webHidden/>
              </w:rPr>
              <w:fldChar w:fldCharType="end"/>
            </w:r>
          </w:hyperlink>
        </w:p>
        <w:p w14:paraId="64C25A94" w14:textId="093F86D9" w:rsidR="00206084" w:rsidRDefault="00206084">
          <w:pPr>
            <w:pStyle w:val="TOC3"/>
            <w:tabs>
              <w:tab w:val="right" w:leader="dot" w:pos="9350"/>
            </w:tabs>
            <w:rPr>
              <w:rFonts w:eastAsiaTheme="minorEastAsia"/>
              <w:noProof/>
            </w:rPr>
          </w:pPr>
          <w:hyperlink w:anchor="_Toc238200189" w:history="1">
            <w:r w:rsidRPr="00826573">
              <w:rPr>
                <w:rStyle w:val="Hyperlink"/>
                <w:noProof/>
              </w:rPr>
              <w:t>5.4.1 Practical Recommendations</w:t>
            </w:r>
            <w:r>
              <w:rPr>
                <w:noProof/>
                <w:webHidden/>
              </w:rPr>
              <w:tab/>
            </w:r>
            <w:r>
              <w:rPr>
                <w:noProof/>
                <w:webHidden/>
              </w:rPr>
              <w:fldChar w:fldCharType="begin"/>
            </w:r>
            <w:r>
              <w:rPr>
                <w:noProof/>
                <w:webHidden/>
              </w:rPr>
              <w:instrText xml:space="preserve"> PAGEREF _Toc238200189 \h </w:instrText>
            </w:r>
            <w:r>
              <w:rPr>
                <w:noProof/>
                <w:webHidden/>
              </w:rPr>
            </w:r>
            <w:r>
              <w:rPr>
                <w:noProof/>
                <w:webHidden/>
              </w:rPr>
              <w:fldChar w:fldCharType="separate"/>
            </w:r>
            <w:r>
              <w:rPr>
                <w:noProof/>
                <w:webHidden/>
              </w:rPr>
              <w:t>65</w:t>
            </w:r>
            <w:r>
              <w:rPr>
                <w:noProof/>
                <w:webHidden/>
              </w:rPr>
              <w:fldChar w:fldCharType="end"/>
            </w:r>
          </w:hyperlink>
        </w:p>
        <w:p w14:paraId="0F19CEAA" w14:textId="55EE9BFD" w:rsidR="00206084" w:rsidRDefault="00206084">
          <w:pPr>
            <w:pStyle w:val="TOC3"/>
            <w:tabs>
              <w:tab w:val="right" w:leader="dot" w:pos="9350"/>
            </w:tabs>
            <w:rPr>
              <w:rFonts w:eastAsiaTheme="minorEastAsia"/>
              <w:noProof/>
            </w:rPr>
          </w:pPr>
          <w:hyperlink w:anchor="_Toc238200190" w:history="1">
            <w:r w:rsidRPr="00826573">
              <w:rPr>
                <w:rStyle w:val="Hyperlink"/>
                <w:noProof/>
              </w:rPr>
              <w:t>5.4.2 Theoretical Recommendation</w:t>
            </w:r>
            <w:r>
              <w:rPr>
                <w:noProof/>
                <w:webHidden/>
              </w:rPr>
              <w:tab/>
            </w:r>
            <w:r>
              <w:rPr>
                <w:noProof/>
                <w:webHidden/>
              </w:rPr>
              <w:fldChar w:fldCharType="begin"/>
            </w:r>
            <w:r>
              <w:rPr>
                <w:noProof/>
                <w:webHidden/>
              </w:rPr>
              <w:instrText xml:space="preserve"> PAGEREF _Toc238200190 \h </w:instrText>
            </w:r>
            <w:r>
              <w:rPr>
                <w:noProof/>
                <w:webHidden/>
              </w:rPr>
            </w:r>
            <w:r>
              <w:rPr>
                <w:noProof/>
                <w:webHidden/>
              </w:rPr>
              <w:fldChar w:fldCharType="separate"/>
            </w:r>
            <w:r>
              <w:rPr>
                <w:noProof/>
                <w:webHidden/>
              </w:rPr>
              <w:t>67</w:t>
            </w:r>
            <w:r>
              <w:rPr>
                <w:noProof/>
                <w:webHidden/>
              </w:rPr>
              <w:fldChar w:fldCharType="end"/>
            </w:r>
          </w:hyperlink>
        </w:p>
        <w:p w14:paraId="6C19FCA3" w14:textId="4BC05C82" w:rsidR="00206084" w:rsidRDefault="00206084">
          <w:pPr>
            <w:pStyle w:val="TOC3"/>
            <w:tabs>
              <w:tab w:val="right" w:leader="dot" w:pos="9350"/>
            </w:tabs>
            <w:rPr>
              <w:rFonts w:eastAsiaTheme="minorEastAsia"/>
              <w:noProof/>
            </w:rPr>
          </w:pPr>
          <w:hyperlink w:anchor="_Toc238200191" w:history="1">
            <w:r w:rsidRPr="00826573">
              <w:rPr>
                <w:rStyle w:val="Hyperlink"/>
                <w:noProof/>
              </w:rPr>
              <w:t>5.5 Limitations of Research</w:t>
            </w:r>
            <w:r>
              <w:rPr>
                <w:noProof/>
                <w:webHidden/>
              </w:rPr>
              <w:tab/>
            </w:r>
            <w:r>
              <w:rPr>
                <w:noProof/>
                <w:webHidden/>
              </w:rPr>
              <w:fldChar w:fldCharType="begin"/>
            </w:r>
            <w:r>
              <w:rPr>
                <w:noProof/>
                <w:webHidden/>
              </w:rPr>
              <w:instrText xml:space="preserve"> PAGEREF _Toc238200191 \h </w:instrText>
            </w:r>
            <w:r>
              <w:rPr>
                <w:noProof/>
                <w:webHidden/>
              </w:rPr>
            </w:r>
            <w:r>
              <w:rPr>
                <w:noProof/>
                <w:webHidden/>
              </w:rPr>
              <w:fldChar w:fldCharType="separate"/>
            </w:r>
            <w:r>
              <w:rPr>
                <w:noProof/>
                <w:webHidden/>
              </w:rPr>
              <w:t>68</w:t>
            </w:r>
            <w:r>
              <w:rPr>
                <w:noProof/>
                <w:webHidden/>
              </w:rPr>
              <w:fldChar w:fldCharType="end"/>
            </w:r>
          </w:hyperlink>
        </w:p>
        <w:p w14:paraId="3BFDF1DA" w14:textId="63D6810E" w:rsidR="00206084" w:rsidRDefault="00206084">
          <w:pPr>
            <w:pStyle w:val="TOC2"/>
            <w:tabs>
              <w:tab w:val="right" w:leader="dot" w:pos="9350"/>
            </w:tabs>
            <w:rPr>
              <w:rFonts w:eastAsiaTheme="minorEastAsia"/>
              <w:noProof/>
            </w:rPr>
          </w:pPr>
          <w:hyperlink w:anchor="_Toc238200192" w:history="1">
            <w:r w:rsidRPr="00826573">
              <w:rPr>
                <w:rStyle w:val="Hyperlink"/>
                <w:noProof/>
              </w:rPr>
              <w:t>5.6 Recommendations for Future Work</w:t>
            </w:r>
            <w:r>
              <w:rPr>
                <w:noProof/>
                <w:webHidden/>
              </w:rPr>
              <w:tab/>
            </w:r>
            <w:r>
              <w:rPr>
                <w:noProof/>
                <w:webHidden/>
              </w:rPr>
              <w:fldChar w:fldCharType="begin"/>
            </w:r>
            <w:r>
              <w:rPr>
                <w:noProof/>
                <w:webHidden/>
              </w:rPr>
              <w:instrText xml:space="preserve"> PAGEREF _Toc238200192 \h </w:instrText>
            </w:r>
            <w:r>
              <w:rPr>
                <w:noProof/>
                <w:webHidden/>
              </w:rPr>
            </w:r>
            <w:r>
              <w:rPr>
                <w:noProof/>
                <w:webHidden/>
              </w:rPr>
              <w:fldChar w:fldCharType="separate"/>
            </w:r>
            <w:r>
              <w:rPr>
                <w:noProof/>
                <w:webHidden/>
              </w:rPr>
              <w:t>69</w:t>
            </w:r>
            <w:r>
              <w:rPr>
                <w:noProof/>
                <w:webHidden/>
              </w:rPr>
              <w:fldChar w:fldCharType="end"/>
            </w:r>
          </w:hyperlink>
        </w:p>
        <w:p w14:paraId="1833FCC2" w14:textId="28073F33" w:rsidR="00206084" w:rsidRDefault="00206084">
          <w:pPr>
            <w:pStyle w:val="TOC2"/>
            <w:tabs>
              <w:tab w:val="right" w:leader="dot" w:pos="9350"/>
            </w:tabs>
            <w:rPr>
              <w:rFonts w:eastAsiaTheme="minorEastAsia"/>
              <w:noProof/>
            </w:rPr>
          </w:pPr>
          <w:hyperlink w:anchor="_Toc238200193" w:history="1">
            <w:r w:rsidRPr="00826573">
              <w:rPr>
                <w:rStyle w:val="Hyperlink"/>
                <w:noProof/>
              </w:rPr>
              <w:t>5.7 Final Reflection</w:t>
            </w:r>
            <w:r>
              <w:rPr>
                <w:noProof/>
                <w:webHidden/>
              </w:rPr>
              <w:tab/>
            </w:r>
            <w:r>
              <w:rPr>
                <w:noProof/>
                <w:webHidden/>
              </w:rPr>
              <w:fldChar w:fldCharType="begin"/>
            </w:r>
            <w:r>
              <w:rPr>
                <w:noProof/>
                <w:webHidden/>
              </w:rPr>
              <w:instrText xml:space="preserve"> PAGEREF _Toc238200193 \h </w:instrText>
            </w:r>
            <w:r>
              <w:rPr>
                <w:noProof/>
                <w:webHidden/>
              </w:rPr>
            </w:r>
            <w:r>
              <w:rPr>
                <w:noProof/>
                <w:webHidden/>
              </w:rPr>
              <w:fldChar w:fldCharType="separate"/>
            </w:r>
            <w:r>
              <w:rPr>
                <w:noProof/>
                <w:webHidden/>
              </w:rPr>
              <w:t>69</w:t>
            </w:r>
            <w:r>
              <w:rPr>
                <w:noProof/>
                <w:webHidden/>
              </w:rPr>
              <w:fldChar w:fldCharType="end"/>
            </w:r>
          </w:hyperlink>
        </w:p>
        <w:p w14:paraId="1D7459AC" w14:textId="44ADA23C" w:rsidR="00206084" w:rsidRDefault="00206084">
          <w:pPr>
            <w:pStyle w:val="TOC1"/>
            <w:tabs>
              <w:tab w:val="right" w:leader="dot" w:pos="9350"/>
            </w:tabs>
            <w:rPr>
              <w:rFonts w:eastAsiaTheme="minorEastAsia"/>
              <w:noProof/>
            </w:rPr>
          </w:pPr>
          <w:hyperlink w:anchor="_Toc238200194" w:history="1">
            <w:r w:rsidRPr="00826573">
              <w:rPr>
                <w:rStyle w:val="Hyperlink"/>
                <w:noProof/>
              </w:rPr>
              <w:t>6. References</w:t>
            </w:r>
            <w:r>
              <w:rPr>
                <w:noProof/>
                <w:webHidden/>
              </w:rPr>
              <w:tab/>
            </w:r>
            <w:r>
              <w:rPr>
                <w:noProof/>
                <w:webHidden/>
              </w:rPr>
              <w:fldChar w:fldCharType="begin"/>
            </w:r>
            <w:r>
              <w:rPr>
                <w:noProof/>
                <w:webHidden/>
              </w:rPr>
              <w:instrText xml:space="preserve"> PAGEREF _Toc238200194 \h </w:instrText>
            </w:r>
            <w:r>
              <w:rPr>
                <w:noProof/>
                <w:webHidden/>
              </w:rPr>
            </w:r>
            <w:r>
              <w:rPr>
                <w:noProof/>
                <w:webHidden/>
              </w:rPr>
              <w:fldChar w:fldCharType="separate"/>
            </w:r>
            <w:r>
              <w:rPr>
                <w:noProof/>
                <w:webHidden/>
              </w:rPr>
              <w:t>70</w:t>
            </w:r>
            <w:r>
              <w:rPr>
                <w:noProof/>
                <w:webHidden/>
              </w:rPr>
              <w:fldChar w:fldCharType="end"/>
            </w:r>
          </w:hyperlink>
        </w:p>
        <w:p w14:paraId="13A0E1FF" w14:textId="2A00D67E" w:rsidR="00206084" w:rsidRDefault="00206084">
          <w:pPr>
            <w:pStyle w:val="TOC1"/>
            <w:tabs>
              <w:tab w:val="right" w:leader="dot" w:pos="9350"/>
            </w:tabs>
            <w:rPr>
              <w:rFonts w:eastAsiaTheme="minorEastAsia"/>
              <w:noProof/>
            </w:rPr>
          </w:pPr>
          <w:hyperlink w:anchor="_Toc238200195" w:history="1">
            <w:r w:rsidRPr="00826573">
              <w:rPr>
                <w:rStyle w:val="Hyperlink"/>
                <w:noProof/>
              </w:rPr>
              <w:t>Appendix</w:t>
            </w:r>
            <w:r>
              <w:rPr>
                <w:noProof/>
                <w:webHidden/>
              </w:rPr>
              <w:tab/>
            </w:r>
            <w:r>
              <w:rPr>
                <w:noProof/>
                <w:webHidden/>
              </w:rPr>
              <w:fldChar w:fldCharType="begin"/>
            </w:r>
            <w:r>
              <w:rPr>
                <w:noProof/>
                <w:webHidden/>
              </w:rPr>
              <w:instrText xml:space="preserve"> PAGEREF _Toc238200195 \h </w:instrText>
            </w:r>
            <w:r>
              <w:rPr>
                <w:noProof/>
                <w:webHidden/>
              </w:rPr>
            </w:r>
            <w:r>
              <w:rPr>
                <w:noProof/>
                <w:webHidden/>
              </w:rPr>
              <w:fldChar w:fldCharType="separate"/>
            </w:r>
            <w:r>
              <w:rPr>
                <w:noProof/>
                <w:webHidden/>
              </w:rPr>
              <w:t>76</w:t>
            </w:r>
            <w:r>
              <w:rPr>
                <w:noProof/>
                <w:webHidden/>
              </w:rPr>
              <w:fldChar w:fldCharType="end"/>
            </w:r>
          </w:hyperlink>
        </w:p>
        <w:p w14:paraId="64D73E35" w14:textId="1E0AA431" w:rsidR="00F21F88" w:rsidRPr="00355CD8" w:rsidRDefault="00F21F88" w:rsidP="00355CD8">
          <w:pPr>
            <w:spacing w:line="360" w:lineRule="auto"/>
            <w:jc w:val="both"/>
            <w:rPr>
              <w:rFonts w:ascii="Arial" w:hAnsi="Arial" w:cs="Arial"/>
            </w:rPr>
          </w:pPr>
          <w:r w:rsidRPr="00355CD8">
            <w:rPr>
              <w:rFonts w:ascii="Arial" w:hAnsi="Arial" w:cs="Arial"/>
              <w:b/>
              <w:bCs/>
              <w:noProof/>
            </w:rPr>
            <w:fldChar w:fldCharType="end"/>
          </w:r>
        </w:p>
      </w:sdtContent>
    </w:sdt>
    <w:p w14:paraId="7BCF10D1" w14:textId="77777777" w:rsidR="00C761E6" w:rsidRDefault="00C761E6">
      <w:pPr>
        <w:pStyle w:val="TableofFigures"/>
        <w:tabs>
          <w:tab w:val="right" w:leader="dot" w:pos="9350"/>
        </w:tabs>
        <w:rPr>
          <w:rFonts w:ascii="Arial" w:hAnsi="Arial" w:cs="Arial"/>
        </w:rPr>
      </w:pPr>
    </w:p>
    <w:p w14:paraId="34746257" w14:textId="77777777" w:rsidR="00FC51EC" w:rsidRDefault="00FC51EC">
      <w:pPr>
        <w:rPr>
          <w:rFonts w:asciiTheme="majorHAnsi" w:hAnsiTheme="majorHAnsi" w:cs="Arial"/>
          <w:b/>
          <w:bCs/>
          <w:lang w:val="en-GB"/>
        </w:rPr>
      </w:pPr>
      <w:r>
        <w:rPr>
          <w:rFonts w:asciiTheme="majorHAnsi" w:hAnsiTheme="majorHAnsi" w:cs="Arial"/>
          <w:b/>
          <w:bCs/>
          <w:lang w:val="en-GB"/>
        </w:rPr>
        <w:br w:type="page"/>
      </w:r>
    </w:p>
    <w:p w14:paraId="57402C52" w14:textId="7F4C7D6B" w:rsidR="00FC51EC" w:rsidRPr="003A1A8D" w:rsidRDefault="00FC51EC" w:rsidP="00FC51EC">
      <w:pPr>
        <w:spacing w:line="360" w:lineRule="auto"/>
        <w:jc w:val="both"/>
        <w:rPr>
          <w:rFonts w:asciiTheme="majorHAnsi" w:hAnsiTheme="majorHAnsi" w:cs="Arial"/>
          <w:b/>
          <w:bCs/>
          <w:lang w:val="en-GB"/>
        </w:rPr>
      </w:pPr>
      <w:r w:rsidRPr="003A1A8D">
        <w:rPr>
          <w:rFonts w:asciiTheme="majorHAnsi" w:hAnsiTheme="majorHAnsi" w:cs="Arial"/>
          <w:b/>
          <w:bCs/>
          <w:lang w:val="en-GB"/>
        </w:rPr>
        <w:lastRenderedPageBreak/>
        <w:t xml:space="preserve">Contents of </w:t>
      </w:r>
      <w:r w:rsidRPr="003A1A8D">
        <w:rPr>
          <w:rFonts w:asciiTheme="majorHAnsi" w:hAnsiTheme="majorHAnsi" w:cs="Arial"/>
          <w:b/>
          <w:bCs/>
        </w:rPr>
        <w:t>Figures</w:t>
      </w:r>
    </w:p>
    <w:p w14:paraId="53F13655" w14:textId="77777777" w:rsidR="00FC51EC" w:rsidRDefault="00FC51EC" w:rsidP="00FC51EC">
      <w:pPr>
        <w:pStyle w:val="TableofFigures"/>
        <w:tabs>
          <w:tab w:val="right" w:leader="dot" w:pos="9350"/>
        </w:tabs>
        <w:rPr>
          <w:rFonts w:eastAsiaTheme="minorEastAsia"/>
          <w:noProof/>
        </w:rPr>
      </w:pPr>
      <w:r>
        <w:rPr>
          <w:rFonts w:ascii="Arial" w:hAnsi="Arial" w:cs="Arial"/>
        </w:rPr>
        <w:fldChar w:fldCharType="begin"/>
      </w:r>
      <w:r>
        <w:rPr>
          <w:rFonts w:ascii="Arial" w:hAnsi="Arial" w:cs="Arial"/>
        </w:rPr>
        <w:instrText xml:space="preserve"> TOC \c "Figure" </w:instrText>
      </w:r>
      <w:r>
        <w:rPr>
          <w:rFonts w:ascii="Arial" w:hAnsi="Arial" w:cs="Arial"/>
        </w:rPr>
        <w:fldChar w:fldCharType="separate"/>
      </w:r>
      <w:r>
        <w:rPr>
          <w:noProof/>
        </w:rPr>
        <w:t>Figure 1</w:t>
      </w:r>
      <w:r>
        <w:rPr>
          <w:noProof/>
        </w:rPr>
        <w:tab/>
      </w:r>
      <w:r>
        <w:rPr>
          <w:noProof/>
        </w:rPr>
        <w:fldChar w:fldCharType="begin"/>
      </w:r>
      <w:r>
        <w:rPr>
          <w:noProof/>
        </w:rPr>
        <w:instrText xml:space="preserve"> PAGEREF _Toc238205987 \h </w:instrText>
      </w:r>
      <w:r>
        <w:rPr>
          <w:noProof/>
        </w:rPr>
      </w:r>
      <w:r>
        <w:rPr>
          <w:noProof/>
        </w:rPr>
        <w:fldChar w:fldCharType="separate"/>
      </w:r>
      <w:r>
        <w:rPr>
          <w:noProof/>
        </w:rPr>
        <w:t>34</w:t>
      </w:r>
      <w:r>
        <w:rPr>
          <w:noProof/>
        </w:rPr>
        <w:fldChar w:fldCharType="end"/>
      </w:r>
    </w:p>
    <w:p w14:paraId="67BE2DF9" w14:textId="77777777" w:rsidR="00FC51EC" w:rsidRDefault="00FC51EC" w:rsidP="00FC51EC">
      <w:pPr>
        <w:pStyle w:val="TableofFigures"/>
        <w:tabs>
          <w:tab w:val="right" w:leader="dot" w:pos="9350"/>
        </w:tabs>
        <w:rPr>
          <w:rFonts w:eastAsiaTheme="minorEastAsia"/>
          <w:noProof/>
        </w:rPr>
      </w:pPr>
      <w:r>
        <w:rPr>
          <w:noProof/>
        </w:rPr>
        <w:t>Figure 2</w:t>
      </w:r>
      <w:r>
        <w:rPr>
          <w:noProof/>
        </w:rPr>
        <w:tab/>
      </w:r>
      <w:r>
        <w:rPr>
          <w:noProof/>
        </w:rPr>
        <w:fldChar w:fldCharType="begin"/>
      </w:r>
      <w:r>
        <w:rPr>
          <w:noProof/>
        </w:rPr>
        <w:instrText xml:space="preserve"> PAGEREF _Toc238205988 \h </w:instrText>
      </w:r>
      <w:r>
        <w:rPr>
          <w:noProof/>
        </w:rPr>
      </w:r>
      <w:r>
        <w:rPr>
          <w:noProof/>
        </w:rPr>
        <w:fldChar w:fldCharType="separate"/>
      </w:r>
      <w:r>
        <w:rPr>
          <w:noProof/>
        </w:rPr>
        <w:t>56</w:t>
      </w:r>
      <w:r>
        <w:rPr>
          <w:noProof/>
        </w:rPr>
        <w:fldChar w:fldCharType="end"/>
      </w:r>
    </w:p>
    <w:p w14:paraId="05F69429" w14:textId="77777777" w:rsidR="00FC51EC" w:rsidRDefault="00FC51EC" w:rsidP="00FC51EC">
      <w:pPr>
        <w:pStyle w:val="TableofFigures"/>
        <w:tabs>
          <w:tab w:val="right" w:leader="dot" w:pos="9350"/>
        </w:tabs>
        <w:rPr>
          <w:rFonts w:eastAsiaTheme="minorEastAsia"/>
          <w:noProof/>
        </w:rPr>
      </w:pPr>
      <w:r>
        <w:rPr>
          <w:noProof/>
        </w:rPr>
        <w:t>Figure 3</w:t>
      </w:r>
      <w:r>
        <w:rPr>
          <w:noProof/>
        </w:rPr>
        <w:tab/>
      </w:r>
      <w:r>
        <w:rPr>
          <w:noProof/>
        </w:rPr>
        <w:fldChar w:fldCharType="begin"/>
      </w:r>
      <w:r>
        <w:rPr>
          <w:noProof/>
        </w:rPr>
        <w:instrText xml:space="preserve"> PAGEREF _Toc238205989 \h </w:instrText>
      </w:r>
      <w:r>
        <w:rPr>
          <w:noProof/>
        </w:rPr>
      </w:r>
      <w:r>
        <w:rPr>
          <w:noProof/>
        </w:rPr>
        <w:fldChar w:fldCharType="separate"/>
      </w:r>
      <w:r>
        <w:rPr>
          <w:noProof/>
        </w:rPr>
        <w:t>57</w:t>
      </w:r>
      <w:r>
        <w:rPr>
          <w:noProof/>
        </w:rPr>
        <w:fldChar w:fldCharType="end"/>
      </w:r>
    </w:p>
    <w:p w14:paraId="5F9E8F2E" w14:textId="77777777" w:rsidR="00FC51EC" w:rsidRDefault="00FC51EC" w:rsidP="00FC51EC">
      <w:pPr>
        <w:pStyle w:val="TableofFigures"/>
        <w:tabs>
          <w:tab w:val="right" w:leader="dot" w:pos="9350"/>
        </w:tabs>
        <w:rPr>
          <w:rFonts w:eastAsiaTheme="minorEastAsia"/>
          <w:noProof/>
        </w:rPr>
      </w:pPr>
      <w:r>
        <w:rPr>
          <w:noProof/>
        </w:rPr>
        <w:t>Figure 4</w:t>
      </w:r>
      <w:r>
        <w:rPr>
          <w:noProof/>
        </w:rPr>
        <w:tab/>
      </w:r>
      <w:r>
        <w:rPr>
          <w:noProof/>
        </w:rPr>
        <w:fldChar w:fldCharType="begin"/>
      </w:r>
      <w:r>
        <w:rPr>
          <w:noProof/>
        </w:rPr>
        <w:instrText xml:space="preserve"> PAGEREF _Toc238205990 \h </w:instrText>
      </w:r>
      <w:r>
        <w:rPr>
          <w:noProof/>
        </w:rPr>
      </w:r>
      <w:r>
        <w:rPr>
          <w:noProof/>
        </w:rPr>
        <w:fldChar w:fldCharType="separate"/>
      </w:r>
      <w:r>
        <w:rPr>
          <w:noProof/>
        </w:rPr>
        <w:t>78</w:t>
      </w:r>
      <w:r>
        <w:rPr>
          <w:noProof/>
        </w:rPr>
        <w:fldChar w:fldCharType="end"/>
      </w:r>
    </w:p>
    <w:p w14:paraId="60E7D0F1" w14:textId="77777777" w:rsidR="00FC51EC" w:rsidRDefault="00FC51EC" w:rsidP="00FC51EC">
      <w:pPr>
        <w:pStyle w:val="TableofFigures"/>
        <w:tabs>
          <w:tab w:val="right" w:leader="dot" w:pos="9350"/>
        </w:tabs>
        <w:rPr>
          <w:rFonts w:eastAsiaTheme="minorEastAsia"/>
          <w:noProof/>
        </w:rPr>
      </w:pPr>
      <w:r>
        <w:rPr>
          <w:noProof/>
        </w:rPr>
        <w:t>Figure 5</w:t>
      </w:r>
      <w:r>
        <w:rPr>
          <w:noProof/>
        </w:rPr>
        <w:tab/>
      </w:r>
      <w:r>
        <w:rPr>
          <w:noProof/>
        </w:rPr>
        <w:fldChar w:fldCharType="begin"/>
      </w:r>
      <w:r>
        <w:rPr>
          <w:noProof/>
        </w:rPr>
        <w:instrText xml:space="preserve"> PAGEREF _Toc238205991 \h </w:instrText>
      </w:r>
      <w:r>
        <w:rPr>
          <w:noProof/>
        </w:rPr>
      </w:r>
      <w:r>
        <w:rPr>
          <w:noProof/>
        </w:rPr>
        <w:fldChar w:fldCharType="separate"/>
      </w:r>
      <w:r>
        <w:rPr>
          <w:noProof/>
        </w:rPr>
        <w:t>79</w:t>
      </w:r>
      <w:r>
        <w:rPr>
          <w:noProof/>
        </w:rPr>
        <w:fldChar w:fldCharType="end"/>
      </w:r>
    </w:p>
    <w:p w14:paraId="3847A9B5" w14:textId="77777777" w:rsidR="00FC51EC" w:rsidRDefault="00FC51EC" w:rsidP="00FC51EC">
      <w:pPr>
        <w:pStyle w:val="TableofFigures"/>
        <w:tabs>
          <w:tab w:val="right" w:leader="dot" w:pos="9350"/>
        </w:tabs>
        <w:rPr>
          <w:rFonts w:eastAsiaTheme="minorEastAsia"/>
          <w:noProof/>
        </w:rPr>
      </w:pPr>
      <w:r>
        <w:rPr>
          <w:noProof/>
        </w:rPr>
        <w:t>Figure 6</w:t>
      </w:r>
      <w:r>
        <w:rPr>
          <w:noProof/>
        </w:rPr>
        <w:tab/>
      </w:r>
      <w:r>
        <w:rPr>
          <w:noProof/>
        </w:rPr>
        <w:fldChar w:fldCharType="begin"/>
      </w:r>
      <w:r>
        <w:rPr>
          <w:noProof/>
        </w:rPr>
        <w:instrText xml:space="preserve"> PAGEREF _Toc238205992 \h </w:instrText>
      </w:r>
      <w:r>
        <w:rPr>
          <w:noProof/>
        </w:rPr>
      </w:r>
      <w:r>
        <w:rPr>
          <w:noProof/>
        </w:rPr>
        <w:fldChar w:fldCharType="separate"/>
      </w:r>
      <w:r>
        <w:rPr>
          <w:noProof/>
        </w:rPr>
        <w:t>81</w:t>
      </w:r>
      <w:r>
        <w:rPr>
          <w:noProof/>
        </w:rPr>
        <w:fldChar w:fldCharType="end"/>
      </w:r>
    </w:p>
    <w:p w14:paraId="30465DC5" w14:textId="77777777" w:rsidR="00FC51EC" w:rsidRDefault="00FC51EC" w:rsidP="00FC51EC">
      <w:pPr>
        <w:pStyle w:val="TableofFigures"/>
        <w:tabs>
          <w:tab w:val="right" w:leader="dot" w:pos="9350"/>
        </w:tabs>
        <w:rPr>
          <w:rFonts w:eastAsiaTheme="minorEastAsia"/>
          <w:noProof/>
        </w:rPr>
      </w:pPr>
      <w:r>
        <w:rPr>
          <w:noProof/>
        </w:rPr>
        <w:t>Figure 7</w:t>
      </w:r>
      <w:r>
        <w:rPr>
          <w:noProof/>
        </w:rPr>
        <w:tab/>
      </w:r>
      <w:r>
        <w:rPr>
          <w:noProof/>
        </w:rPr>
        <w:fldChar w:fldCharType="begin"/>
      </w:r>
      <w:r>
        <w:rPr>
          <w:noProof/>
        </w:rPr>
        <w:instrText xml:space="preserve"> PAGEREF _Toc238205993 \h </w:instrText>
      </w:r>
      <w:r>
        <w:rPr>
          <w:noProof/>
        </w:rPr>
      </w:r>
      <w:r>
        <w:rPr>
          <w:noProof/>
        </w:rPr>
        <w:fldChar w:fldCharType="separate"/>
      </w:r>
      <w:r>
        <w:rPr>
          <w:noProof/>
        </w:rPr>
        <w:t>84</w:t>
      </w:r>
      <w:r>
        <w:rPr>
          <w:noProof/>
        </w:rPr>
        <w:fldChar w:fldCharType="end"/>
      </w:r>
    </w:p>
    <w:p w14:paraId="61ECDF52" w14:textId="16882051" w:rsidR="00FC51EC" w:rsidRDefault="00FC51EC" w:rsidP="00FC51EC">
      <w:pPr>
        <w:rPr>
          <w:b/>
          <w:bCs/>
          <w:lang w:val="en-GB"/>
        </w:rPr>
      </w:pPr>
      <w:r>
        <w:rPr>
          <w:rFonts w:ascii="Arial" w:hAnsi="Arial" w:cs="Arial"/>
        </w:rPr>
        <w:fldChar w:fldCharType="end"/>
      </w:r>
    </w:p>
    <w:p w14:paraId="15F0A1A5" w14:textId="548A8A6A" w:rsidR="003A1A8D" w:rsidRPr="003A1A8D" w:rsidRDefault="003A1A8D" w:rsidP="003A1A8D">
      <w:pPr>
        <w:rPr>
          <w:b/>
          <w:bCs/>
          <w:lang w:val="en-GB"/>
        </w:rPr>
      </w:pPr>
      <w:r w:rsidRPr="003A1A8D">
        <w:rPr>
          <w:b/>
          <w:bCs/>
          <w:lang w:val="en-GB"/>
        </w:rPr>
        <w:t>Contents of Tables</w:t>
      </w:r>
    </w:p>
    <w:p w14:paraId="126B0BFE" w14:textId="3D16E259" w:rsidR="003A1A8D" w:rsidRDefault="003A1A8D">
      <w:pPr>
        <w:pStyle w:val="TableofFigures"/>
        <w:tabs>
          <w:tab w:val="right" w:leader="dot" w:pos="9350"/>
        </w:tabs>
        <w:rPr>
          <w:rFonts w:eastAsiaTheme="minorEastAsia"/>
          <w:noProof/>
        </w:rPr>
      </w:pPr>
      <w:r>
        <w:fldChar w:fldCharType="begin"/>
      </w:r>
      <w:r>
        <w:instrText xml:space="preserve"> TOC \h \z \c "Table" </w:instrText>
      </w:r>
      <w:r>
        <w:fldChar w:fldCharType="separate"/>
      </w:r>
      <w:hyperlink w:anchor="_Toc238206085" w:history="1">
        <w:r w:rsidRPr="00485FB9">
          <w:rPr>
            <w:rStyle w:val="Hyperlink"/>
            <w:noProof/>
          </w:rPr>
          <w:t>Table 1Integration of Theories.</w:t>
        </w:r>
        <w:r>
          <w:rPr>
            <w:noProof/>
            <w:webHidden/>
          </w:rPr>
          <w:tab/>
        </w:r>
        <w:r>
          <w:rPr>
            <w:noProof/>
            <w:webHidden/>
          </w:rPr>
          <w:fldChar w:fldCharType="begin"/>
        </w:r>
        <w:r>
          <w:rPr>
            <w:noProof/>
            <w:webHidden/>
          </w:rPr>
          <w:instrText xml:space="preserve"> PAGEREF _Toc238206085 \h </w:instrText>
        </w:r>
        <w:r>
          <w:rPr>
            <w:noProof/>
            <w:webHidden/>
          </w:rPr>
        </w:r>
        <w:r>
          <w:rPr>
            <w:noProof/>
            <w:webHidden/>
          </w:rPr>
          <w:fldChar w:fldCharType="separate"/>
        </w:r>
        <w:r>
          <w:rPr>
            <w:noProof/>
            <w:webHidden/>
          </w:rPr>
          <w:t>23</w:t>
        </w:r>
        <w:r>
          <w:rPr>
            <w:noProof/>
            <w:webHidden/>
          </w:rPr>
          <w:fldChar w:fldCharType="end"/>
        </w:r>
      </w:hyperlink>
    </w:p>
    <w:p w14:paraId="2FB7BDA8" w14:textId="521AB98D" w:rsidR="003A1A8D" w:rsidRDefault="003A1A8D">
      <w:pPr>
        <w:pStyle w:val="TableofFigures"/>
        <w:tabs>
          <w:tab w:val="right" w:leader="dot" w:pos="9350"/>
        </w:tabs>
        <w:rPr>
          <w:rFonts w:eastAsiaTheme="minorEastAsia"/>
          <w:noProof/>
        </w:rPr>
      </w:pPr>
      <w:hyperlink w:anchor="_Toc238206086" w:history="1">
        <w:r w:rsidRPr="00485FB9">
          <w:rPr>
            <w:rStyle w:val="Hyperlink"/>
            <w:noProof/>
          </w:rPr>
          <w:t>Table 2 Summary of Contributions.</w:t>
        </w:r>
        <w:r>
          <w:rPr>
            <w:noProof/>
            <w:webHidden/>
          </w:rPr>
          <w:tab/>
        </w:r>
        <w:r>
          <w:rPr>
            <w:noProof/>
            <w:webHidden/>
          </w:rPr>
          <w:fldChar w:fldCharType="begin"/>
        </w:r>
        <w:r>
          <w:rPr>
            <w:noProof/>
            <w:webHidden/>
          </w:rPr>
          <w:instrText xml:space="preserve"> PAGEREF _Toc238206086 \h </w:instrText>
        </w:r>
        <w:r>
          <w:rPr>
            <w:noProof/>
            <w:webHidden/>
          </w:rPr>
        </w:r>
        <w:r>
          <w:rPr>
            <w:noProof/>
            <w:webHidden/>
          </w:rPr>
          <w:fldChar w:fldCharType="separate"/>
        </w:r>
        <w:r>
          <w:rPr>
            <w:noProof/>
            <w:webHidden/>
          </w:rPr>
          <w:t>34</w:t>
        </w:r>
        <w:r>
          <w:rPr>
            <w:noProof/>
            <w:webHidden/>
          </w:rPr>
          <w:fldChar w:fldCharType="end"/>
        </w:r>
      </w:hyperlink>
    </w:p>
    <w:p w14:paraId="36F39A38" w14:textId="39EEEAD9" w:rsidR="003A1A8D" w:rsidRDefault="003A1A8D">
      <w:pPr>
        <w:pStyle w:val="TableofFigures"/>
        <w:tabs>
          <w:tab w:val="right" w:leader="dot" w:pos="9350"/>
        </w:tabs>
        <w:rPr>
          <w:rFonts w:eastAsiaTheme="minorEastAsia"/>
          <w:noProof/>
        </w:rPr>
      </w:pPr>
      <w:hyperlink w:anchor="_Toc238206087" w:history="1">
        <w:r w:rsidRPr="00485FB9">
          <w:rPr>
            <w:rStyle w:val="Hyperlink"/>
            <w:noProof/>
          </w:rPr>
          <w:t>Table 3 Summary of Data Extracted.</w:t>
        </w:r>
        <w:r>
          <w:rPr>
            <w:noProof/>
            <w:webHidden/>
          </w:rPr>
          <w:tab/>
        </w:r>
        <w:r>
          <w:rPr>
            <w:noProof/>
            <w:webHidden/>
          </w:rPr>
          <w:fldChar w:fldCharType="begin"/>
        </w:r>
        <w:r>
          <w:rPr>
            <w:noProof/>
            <w:webHidden/>
          </w:rPr>
          <w:instrText xml:space="preserve"> PAGEREF _Toc238206087 \h </w:instrText>
        </w:r>
        <w:r>
          <w:rPr>
            <w:noProof/>
            <w:webHidden/>
          </w:rPr>
        </w:r>
        <w:r>
          <w:rPr>
            <w:noProof/>
            <w:webHidden/>
          </w:rPr>
          <w:fldChar w:fldCharType="separate"/>
        </w:r>
        <w:r>
          <w:rPr>
            <w:noProof/>
            <w:webHidden/>
          </w:rPr>
          <w:t>46</w:t>
        </w:r>
        <w:r>
          <w:rPr>
            <w:noProof/>
            <w:webHidden/>
          </w:rPr>
          <w:fldChar w:fldCharType="end"/>
        </w:r>
      </w:hyperlink>
    </w:p>
    <w:p w14:paraId="3A70150F" w14:textId="2AAB86A4" w:rsidR="003A1A8D" w:rsidRDefault="003A1A8D">
      <w:pPr>
        <w:pStyle w:val="TableofFigures"/>
        <w:tabs>
          <w:tab w:val="right" w:leader="dot" w:pos="9350"/>
        </w:tabs>
        <w:rPr>
          <w:rFonts w:eastAsiaTheme="minorEastAsia"/>
          <w:noProof/>
        </w:rPr>
      </w:pPr>
      <w:hyperlink w:anchor="_Toc238206088" w:history="1">
        <w:r w:rsidRPr="00485FB9">
          <w:rPr>
            <w:rStyle w:val="Hyperlink"/>
            <w:noProof/>
          </w:rPr>
          <w:t>Table 4 The variables were operationalised as follows:</w:t>
        </w:r>
        <w:r>
          <w:rPr>
            <w:noProof/>
            <w:webHidden/>
          </w:rPr>
          <w:tab/>
        </w:r>
        <w:r>
          <w:rPr>
            <w:noProof/>
            <w:webHidden/>
          </w:rPr>
          <w:fldChar w:fldCharType="begin"/>
        </w:r>
        <w:r>
          <w:rPr>
            <w:noProof/>
            <w:webHidden/>
          </w:rPr>
          <w:instrText xml:space="preserve"> PAGEREF _Toc238206088 \h </w:instrText>
        </w:r>
        <w:r>
          <w:rPr>
            <w:noProof/>
            <w:webHidden/>
          </w:rPr>
        </w:r>
        <w:r>
          <w:rPr>
            <w:noProof/>
            <w:webHidden/>
          </w:rPr>
          <w:fldChar w:fldCharType="separate"/>
        </w:r>
        <w:r>
          <w:rPr>
            <w:noProof/>
            <w:webHidden/>
          </w:rPr>
          <w:t>48</w:t>
        </w:r>
        <w:r>
          <w:rPr>
            <w:noProof/>
            <w:webHidden/>
          </w:rPr>
          <w:fldChar w:fldCharType="end"/>
        </w:r>
      </w:hyperlink>
    </w:p>
    <w:p w14:paraId="78E4BB8F" w14:textId="229A6840" w:rsidR="003A1A8D" w:rsidRDefault="003A1A8D">
      <w:pPr>
        <w:pStyle w:val="TableofFigures"/>
        <w:tabs>
          <w:tab w:val="right" w:leader="dot" w:pos="9350"/>
        </w:tabs>
        <w:rPr>
          <w:rFonts w:eastAsiaTheme="minorEastAsia"/>
          <w:noProof/>
        </w:rPr>
      </w:pPr>
      <w:hyperlink w:anchor="_Toc238206089" w:history="1">
        <w:r w:rsidRPr="00485FB9">
          <w:rPr>
            <w:rStyle w:val="Hyperlink"/>
            <w:noProof/>
          </w:rPr>
          <w:t>Table 5 Adult Social Care Workforce Indicators</w:t>
        </w:r>
        <w:r>
          <w:rPr>
            <w:noProof/>
            <w:webHidden/>
          </w:rPr>
          <w:tab/>
        </w:r>
        <w:r>
          <w:rPr>
            <w:noProof/>
            <w:webHidden/>
          </w:rPr>
          <w:fldChar w:fldCharType="begin"/>
        </w:r>
        <w:r>
          <w:rPr>
            <w:noProof/>
            <w:webHidden/>
          </w:rPr>
          <w:instrText xml:space="preserve"> PAGEREF _Toc238206089 \h </w:instrText>
        </w:r>
        <w:r>
          <w:rPr>
            <w:noProof/>
            <w:webHidden/>
          </w:rPr>
        </w:r>
        <w:r>
          <w:rPr>
            <w:noProof/>
            <w:webHidden/>
          </w:rPr>
          <w:fldChar w:fldCharType="separate"/>
        </w:r>
        <w:r>
          <w:rPr>
            <w:noProof/>
            <w:webHidden/>
          </w:rPr>
          <w:t>55</w:t>
        </w:r>
        <w:r>
          <w:rPr>
            <w:noProof/>
            <w:webHidden/>
          </w:rPr>
          <w:fldChar w:fldCharType="end"/>
        </w:r>
      </w:hyperlink>
    </w:p>
    <w:p w14:paraId="79FC585A" w14:textId="08827EB9" w:rsidR="003A1A8D" w:rsidRDefault="003A1A8D">
      <w:pPr>
        <w:pStyle w:val="TableofFigures"/>
        <w:tabs>
          <w:tab w:val="right" w:leader="dot" w:pos="9350"/>
        </w:tabs>
        <w:rPr>
          <w:rFonts w:eastAsiaTheme="minorEastAsia"/>
          <w:noProof/>
        </w:rPr>
      </w:pPr>
      <w:hyperlink w:anchor="_Toc238206090" w:history="1">
        <w:r w:rsidRPr="00485FB9">
          <w:rPr>
            <w:rStyle w:val="Hyperlink"/>
            <w:noProof/>
          </w:rPr>
          <w:t>Table 6 Health and Care Worker Visa Grants.</w:t>
        </w:r>
        <w:r>
          <w:rPr>
            <w:noProof/>
            <w:webHidden/>
          </w:rPr>
          <w:tab/>
        </w:r>
        <w:r>
          <w:rPr>
            <w:noProof/>
            <w:webHidden/>
          </w:rPr>
          <w:fldChar w:fldCharType="begin"/>
        </w:r>
        <w:r>
          <w:rPr>
            <w:noProof/>
            <w:webHidden/>
          </w:rPr>
          <w:instrText xml:space="preserve"> PAGEREF _Toc238206090 \h </w:instrText>
        </w:r>
        <w:r>
          <w:rPr>
            <w:noProof/>
            <w:webHidden/>
          </w:rPr>
        </w:r>
        <w:r>
          <w:rPr>
            <w:noProof/>
            <w:webHidden/>
          </w:rPr>
          <w:fldChar w:fldCharType="separate"/>
        </w:r>
        <w:r>
          <w:rPr>
            <w:noProof/>
            <w:webHidden/>
          </w:rPr>
          <w:t>56</w:t>
        </w:r>
        <w:r>
          <w:rPr>
            <w:noProof/>
            <w:webHidden/>
          </w:rPr>
          <w:fldChar w:fldCharType="end"/>
        </w:r>
      </w:hyperlink>
    </w:p>
    <w:p w14:paraId="60D67B31" w14:textId="7EB58820" w:rsidR="003A1A8D" w:rsidRDefault="003A1A8D">
      <w:pPr>
        <w:pStyle w:val="TableofFigures"/>
        <w:tabs>
          <w:tab w:val="right" w:leader="dot" w:pos="9350"/>
        </w:tabs>
        <w:rPr>
          <w:rFonts w:eastAsiaTheme="minorEastAsia"/>
          <w:noProof/>
        </w:rPr>
      </w:pPr>
      <w:hyperlink w:anchor="_Toc238206091" w:history="1">
        <w:r w:rsidRPr="00485FB9">
          <w:rPr>
            <w:rStyle w:val="Hyperlink"/>
            <w:noProof/>
          </w:rPr>
          <w:t>Table 7 Multiple Regression Results.</w:t>
        </w:r>
        <w:r>
          <w:rPr>
            <w:noProof/>
            <w:webHidden/>
          </w:rPr>
          <w:tab/>
        </w:r>
        <w:r>
          <w:rPr>
            <w:noProof/>
            <w:webHidden/>
          </w:rPr>
          <w:fldChar w:fldCharType="begin"/>
        </w:r>
        <w:r>
          <w:rPr>
            <w:noProof/>
            <w:webHidden/>
          </w:rPr>
          <w:instrText xml:space="preserve"> PAGEREF _Toc238206091 \h </w:instrText>
        </w:r>
        <w:r>
          <w:rPr>
            <w:noProof/>
            <w:webHidden/>
          </w:rPr>
        </w:r>
        <w:r>
          <w:rPr>
            <w:noProof/>
            <w:webHidden/>
          </w:rPr>
          <w:fldChar w:fldCharType="separate"/>
        </w:r>
        <w:r>
          <w:rPr>
            <w:noProof/>
            <w:webHidden/>
          </w:rPr>
          <w:t>59</w:t>
        </w:r>
        <w:r>
          <w:rPr>
            <w:noProof/>
            <w:webHidden/>
          </w:rPr>
          <w:fldChar w:fldCharType="end"/>
        </w:r>
      </w:hyperlink>
    </w:p>
    <w:p w14:paraId="1F40E271" w14:textId="0CD2337E" w:rsidR="003A1A8D" w:rsidRDefault="003A1A8D">
      <w:pPr>
        <w:pStyle w:val="TableofFigures"/>
        <w:tabs>
          <w:tab w:val="right" w:leader="dot" w:pos="9350"/>
        </w:tabs>
        <w:rPr>
          <w:rFonts w:eastAsiaTheme="minorEastAsia"/>
          <w:noProof/>
        </w:rPr>
      </w:pPr>
      <w:hyperlink w:anchor="_Toc238206092" w:history="1">
        <w:r w:rsidRPr="00485FB9">
          <w:rPr>
            <w:rStyle w:val="Hyperlink"/>
            <w:noProof/>
          </w:rPr>
          <w:t>Table 8 Training Instances and Turnover Rates.</w:t>
        </w:r>
        <w:r>
          <w:rPr>
            <w:noProof/>
            <w:webHidden/>
          </w:rPr>
          <w:tab/>
        </w:r>
        <w:r>
          <w:rPr>
            <w:noProof/>
            <w:webHidden/>
          </w:rPr>
          <w:fldChar w:fldCharType="begin"/>
        </w:r>
        <w:r>
          <w:rPr>
            <w:noProof/>
            <w:webHidden/>
          </w:rPr>
          <w:instrText xml:space="preserve"> PAGEREF _Toc238206092 \h </w:instrText>
        </w:r>
        <w:r>
          <w:rPr>
            <w:noProof/>
            <w:webHidden/>
          </w:rPr>
        </w:r>
        <w:r>
          <w:rPr>
            <w:noProof/>
            <w:webHidden/>
          </w:rPr>
          <w:fldChar w:fldCharType="separate"/>
        </w:r>
        <w:r>
          <w:rPr>
            <w:noProof/>
            <w:webHidden/>
          </w:rPr>
          <w:t>60</w:t>
        </w:r>
        <w:r>
          <w:rPr>
            <w:noProof/>
            <w:webHidden/>
          </w:rPr>
          <w:fldChar w:fldCharType="end"/>
        </w:r>
      </w:hyperlink>
    </w:p>
    <w:p w14:paraId="173BC226" w14:textId="749DA690" w:rsidR="003A1A8D" w:rsidRDefault="003A1A8D">
      <w:pPr>
        <w:pStyle w:val="TableofFigures"/>
        <w:tabs>
          <w:tab w:val="right" w:leader="dot" w:pos="9350"/>
        </w:tabs>
        <w:rPr>
          <w:rFonts w:eastAsiaTheme="minorEastAsia"/>
          <w:noProof/>
        </w:rPr>
      </w:pPr>
      <w:hyperlink w:anchor="_Toc238206093" w:history="1">
        <w:r w:rsidRPr="00485FB9">
          <w:rPr>
            <w:rStyle w:val="Hyperlink"/>
            <w:noProof/>
          </w:rPr>
          <w:t>Table 9 Summary of Chapter 4</w:t>
        </w:r>
        <w:r>
          <w:rPr>
            <w:noProof/>
            <w:webHidden/>
          </w:rPr>
          <w:tab/>
        </w:r>
        <w:r>
          <w:rPr>
            <w:noProof/>
            <w:webHidden/>
          </w:rPr>
          <w:fldChar w:fldCharType="begin"/>
        </w:r>
        <w:r>
          <w:rPr>
            <w:noProof/>
            <w:webHidden/>
          </w:rPr>
          <w:instrText xml:space="preserve"> PAGEREF _Toc238206093 \h </w:instrText>
        </w:r>
        <w:r>
          <w:rPr>
            <w:noProof/>
            <w:webHidden/>
          </w:rPr>
        </w:r>
        <w:r>
          <w:rPr>
            <w:noProof/>
            <w:webHidden/>
          </w:rPr>
          <w:fldChar w:fldCharType="separate"/>
        </w:r>
        <w:r>
          <w:rPr>
            <w:noProof/>
            <w:webHidden/>
          </w:rPr>
          <w:t>64</w:t>
        </w:r>
        <w:r>
          <w:rPr>
            <w:noProof/>
            <w:webHidden/>
          </w:rPr>
          <w:fldChar w:fldCharType="end"/>
        </w:r>
      </w:hyperlink>
    </w:p>
    <w:p w14:paraId="6A93EF03" w14:textId="665F6F4D" w:rsidR="003A1A8D" w:rsidRDefault="003A1A8D">
      <w:pPr>
        <w:pStyle w:val="TableofFigures"/>
        <w:tabs>
          <w:tab w:val="right" w:leader="dot" w:pos="9350"/>
        </w:tabs>
        <w:rPr>
          <w:rFonts w:eastAsiaTheme="minorEastAsia"/>
          <w:noProof/>
        </w:rPr>
      </w:pPr>
      <w:hyperlink w:anchor="_Toc238206094" w:history="1">
        <w:r w:rsidRPr="00485FB9">
          <w:rPr>
            <w:rStyle w:val="Hyperlink"/>
            <w:noProof/>
          </w:rPr>
          <w:t>Table 10 Health and Care Worker Visa Grants (2020–2026).</w:t>
        </w:r>
        <w:r>
          <w:rPr>
            <w:noProof/>
            <w:webHidden/>
          </w:rPr>
          <w:tab/>
        </w:r>
        <w:r>
          <w:rPr>
            <w:noProof/>
            <w:webHidden/>
          </w:rPr>
          <w:fldChar w:fldCharType="begin"/>
        </w:r>
        <w:r>
          <w:rPr>
            <w:noProof/>
            <w:webHidden/>
          </w:rPr>
          <w:instrText xml:space="preserve"> PAGEREF _Toc238206094 \h </w:instrText>
        </w:r>
        <w:r>
          <w:rPr>
            <w:noProof/>
            <w:webHidden/>
          </w:rPr>
        </w:r>
        <w:r>
          <w:rPr>
            <w:noProof/>
            <w:webHidden/>
          </w:rPr>
          <w:fldChar w:fldCharType="separate"/>
        </w:r>
        <w:r>
          <w:rPr>
            <w:noProof/>
            <w:webHidden/>
          </w:rPr>
          <w:t>78</w:t>
        </w:r>
        <w:r>
          <w:rPr>
            <w:noProof/>
            <w:webHidden/>
          </w:rPr>
          <w:fldChar w:fldCharType="end"/>
        </w:r>
      </w:hyperlink>
    </w:p>
    <w:p w14:paraId="484543AB" w14:textId="3B94D8F7" w:rsidR="003A1A8D" w:rsidRDefault="003A1A8D">
      <w:pPr>
        <w:pStyle w:val="TableofFigures"/>
        <w:tabs>
          <w:tab w:val="right" w:leader="dot" w:pos="9350"/>
        </w:tabs>
        <w:rPr>
          <w:rFonts w:eastAsiaTheme="minorEastAsia"/>
          <w:noProof/>
        </w:rPr>
      </w:pPr>
      <w:hyperlink w:anchor="_Toc238206095" w:history="1">
        <w:r w:rsidRPr="00485FB9">
          <w:rPr>
            <w:rStyle w:val="Hyperlink"/>
            <w:noProof/>
          </w:rPr>
          <w:t>Table 11Results of Descriptive Statistics.</w:t>
        </w:r>
        <w:r>
          <w:rPr>
            <w:noProof/>
            <w:webHidden/>
          </w:rPr>
          <w:tab/>
        </w:r>
        <w:r>
          <w:rPr>
            <w:noProof/>
            <w:webHidden/>
          </w:rPr>
          <w:fldChar w:fldCharType="begin"/>
        </w:r>
        <w:r>
          <w:rPr>
            <w:noProof/>
            <w:webHidden/>
          </w:rPr>
          <w:instrText xml:space="preserve"> PAGEREF _Toc238206095 \h </w:instrText>
        </w:r>
        <w:r>
          <w:rPr>
            <w:noProof/>
            <w:webHidden/>
          </w:rPr>
        </w:r>
        <w:r>
          <w:rPr>
            <w:noProof/>
            <w:webHidden/>
          </w:rPr>
          <w:fldChar w:fldCharType="separate"/>
        </w:r>
        <w:r>
          <w:rPr>
            <w:noProof/>
            <w:webHidden/>
          </w:rPr>
          <w:t>78</w:t>
        </w:r>
        <w:r>
          <w:rPr>
            <w:noProof/>
            <w:webHidden/>
          </w:rPr>
          <w:fldChar w:fldCharType="end"/>
        </w:r>
      </w:hyperlink>
    </w:p>
    <w:p w14:paraId="2441E172" w14:textId="33A63344" w:rsidR="003A1A8D" w:rsidRDefault="003A1A8D">
      <w:pPr>
        <w:pStyle w:val="TableofFigures"/>
        <w:tabs>
          <w:tab w:val="right" w:leader="dot" w:pos="9350"/>
        </w:tabs>
        <w:rPr>
          <w:rFonts w:eastAsiaTheme="minorEastAsia"/>
          <w:noProof/>
        </w:rPr>
      </w:pPr>
      <w:hyperlink w:anchor="_Toc238206096" w:history="1">
        <w:r w:rsidRPr="00485FB9">
          <w:rPr>
            <w:rStyle w:val="Hyperlink"/>
            <w:noProof/>
          </w:rPr>
          <w:t>Table 12 Health and Care Worker Average Visa Grants (2020–2026).</w:t>
        </w:r>
        <w:r>
          <w:rPr>
            <w:noProof/>
            <w:webHidden/>
          </w:rPr>
          <w:tab/>
        </w:r>
        <w:r>
          <w:rPr>
            <w:noProof/>
            <w:webHidden/>
          </w:rPr>
          <w:fldChar w:fldCharType="begin"/>
        </w:r>
        <w:r>
          <w:rPr>
            <w:noProof/>
            <w:webHidden/>
          </w:rPr>
          <w:instrText xml:space="preserve"> PAGEREF _Toc238206096 \h </w:instrText>
        </w:r>
        <w:r>
          <w:rPr>
            <w:noProof/>
            <w:webHidden/>
          </w:rPr>
        </w:r>
        <w:r>
          <w:rPr>
            <w:noProof/>
            <w:webHidden/>
          </w:rPr>
          <w:fldChar w:fldCharType="separate"/>
        </w:r>
        <w:r>
          <w:rPr>
            <w:noProof/>
            <w:webHidden/>
          </w:rPr>
          <w:t>79</w:t>
        </w:r>
        <w:r>
          <w:rPr>
            <w:noProof/>
            <w:webHidden/>
          </w:rPr>
          <w:fldChar w:fldCharType="end"/>
        </w:r>
      </w:hyperlink>
    </w:p>
    <w:p w14:paraId="0E72A297" w14:textId="2D4685FA" w:rsidR="003A1A8D" w:rsidRDefault="003A1A8D">
      <w:pPr>
        <w:pStyle w:val="TableofFigures"/>
        <w:tabs>
          <w:tab w:val="right" w:leader="dot" w:pos="9350"/>
        </w:tabs>
        <w:rPr>
          <w:rFonts w:eastAsiaTheme="minorEastAsia"/>
          <w:noProof/>
        </w:rPr>
      </w:pPr>
      <w:hyperlink w:anchor="_Toc238206097" w:history="1">
        <w:r w:rsidRPr="00485FB9">
          <w:rPr>
            <w:rStyle w:val="Hyperlink"/>
            <w:noProof/>
          </w:rPr>
          <w:t>Table 13 Results of Correlation.</w:t>
        </w:r>
        <w:r>
          <w:rPr>
            <w:noProof/>
            <w:webHidden/>
          </w:rPr>
          <w:tab/>
        </w:r>
        <w:r>
          <w:rPr>
            <w:noProof/>
            <w:webHidden/>
          </w:rPr>
          <w:fldChar w:fldCharType="begin"/>
        </w:r>
        <w:r>
          <w:rPr>
            <w:noProof/>
            <w:webHidden/>
          </w:rPr>
          <w:instrText xml:space="preserve"> PAGEREF _Toc238206097 \h </w:instrText>
        </w:r>
        <w:r>
          <w:rPr>
            <w:noProof/>
            <w:webHidden/>
          </w:rPr>
        </w:r>
        <w:r>
          <w:rPr>
            <w:noProof/>
            <w:webHidden/>
          </w:rPr>
          <w:fldChar w:fldCharType="separate"/>
        </w:r>
        <w:r>
          <w:rPr>
            <w:noProof/>
            <w:webHidden/>
          </w:rPr>
          <w:t>80</w:t>
        </w:r>
        <w:r>
          <w:rPr>
            <w:noProof/>
            <w:webHidden/>
          </w:rPr>
          <w:fldChar w:fldCharType="end"/>
        </w:r>
      </w:hyperlink>
    </w:p>
    <w:p w14:paraId="5ED43BF7" w14:textId="4C0A9FFF" w:rsidR="003A1A8D" w:rsidRDefault="003A1A8D">
      <w:pPr>
        <w:pStyle w:val="TableofFigures"/>
        <w:tabs>
          <w:tab w:val="right" w:leader="dot" w:pos="9350"/>
        </w:tabs>
        <w:rPr>
          <w:rFonts w:eastAsiaTheme="minorEastAsia"/>
          <w:noProof/>
        </w:rPr>
      </w:pPr>
      <w:hyperlink w:anchor="_Toc238206098" w:history="1">
        <w:r w:rsidRPr="00485FB9">
          <w:rPr>
            <w:rStyle w:val="Hyperlink"/>
            <w:noProof/>
          </w:rPr>
          <w:t>Table 14 Correlation Matrix.</w:t>
        </w:r>
        <w:r>
          <w:rPr>
            <w:noProof/>
            <w:webHidden/>
          </w:rPr>
          <w:tab/>
        </w:r>
        <w:r>
          <w:rPr>
            <w:noProof/>
            <w:webHidden/>
          </w:rPr>
          <w:fldChar w:fldCharType="begin"/>
        </w:r>
        <w:r>
          <w:rPr>
            <w:noProof/>
            <w:webHidden/>
          </w:rPr>
          <w:instrText xml:space="preserve"> PAGEREF _Toc238206098 \h </w:instrText>
        </w:r>
        <w:r>
          <w:rPr>
            <w:noProof/>
            <w:webHidden/>
          </w:rPr>
        </w:r>
        <w:r>
          <w:rPr>
            <w:noProof/>
            <w:webHidden/>
          </w:rPr>
          <w:fldChar w:fldCharType="separate"/>
        </w:r>
        <w:r>
          <w:rPr>
            <w:noProof/>
            <w:webHidden/>
          </w:rPr>
          <w:t>81</w:t>
        </w:r>
        <w:r>
          <w:rPr>
            <w:noProof/>
            <w:webHidden/>
          </w:rPr>
          <w:fldChar w:fldCharType="end"/>
        </w:r>
      </w:hyperlink>
    </w:p>
    <w:p w14:paraId="0F0D6D04" w14:textId="3F526F25" w:rsidR="003A1A8D" w:rsidRDefault="003A1A8D">
      <w:pPr>
        <w:pStyle w:val="TableofFigures"/>
        <w:tabs>
          <w:tab w:val="right" w:leader="dot" w:pos="9350"/>
        </w:tabs>
        <w:rPr>
          <w:rFonts w:eastAsiaTheme="minorEastAsia"/>
          <w:noProof/>
        </w:rPr>
      </w:pPr>
      <w:hyperlink w:anchor="_Toc238206099" w:history="1">
        <w:r w:rsidRPr="00485FB9">
          <w:rPr>
            <w:rStyle w:val="Hyperlink"/>
            <w:noProof/>
          </w:rPr>
          <w:t>Table 15 Regression Statistics.</w:t>
        </w:r>
        <w:r>
          <w:rPr>
            <w:noProof/>
            <w:webHidden/>
          </w:rPr>
          <w:tab/>
        </w:r>
        <w:r>
          <w:rPr>
            <w:noProof/>
            <w:webHidden/>
          </w:rPr>
          <w:fldChar w:fldCharType="begin"/>
        </w:r>
        <w:r>
          <w:rPr>
            <w:noProof/>
            <w:webHidden/>
          </w:rPr>
          <w:instrText xml:space="preserve"> PAGEREF _Toc238206099 \h </w:instrText>
        </w:r>
        <w:r>
          <w:rPr>
            <w:noProof/>
            <w:webHidden/>
          </w:rPr>
        </w:r>
        <w:r>
          <w:rPr>
            <w:noProof/>
            <w:webHidden/>
          </w:rPr>
          <w:fldChar w:fldCharType="separate"/>
        </w:r>
        <w:r>
          <w:rPr>
            <w:noProof/>
            <w:webHidden/>
          </w:rPr>
          <w:t>83</w:t>
        </w:r>
        <w:r>
          <w:rPr>
            <w:noProof/>
            <w:webHidden/>
          </w:rPr>
          <w:fldChar w:fldCharType="end"/>
        </w:r>
      </w:hyperlink>
    </w:p>
    <w:p w14:paraId="15606C4A" w14:textId="111BF6B7" w:rsidR="0001624B" w:rsidRPr="0001624B" w:rsidRDefault="003A1A8D" w:rsidP="0001624B">
      <w:r>
        <w:fldChar w:fldCharType="end"/>
      </w:r>
    </w:p>
    <w:p w14:paraId="4522718E" w14:textId="22E8B593" w:rsidR="00C82430" w:rsidRPr="00355CD8" w:rsidRDefault="00C82430" w:rsidP="00355CD8">
      <w:pPr>
        <w:spacing w:line="360" w:lineRule="auto"/>
        <w:jc w:val="both"/>
        <w:rPr>
          <w:rFonts w:ascii="Arial" w:eastAsiaTheme="majorEastAsia" w:hAnsi="Arial" w:cs="Arial"/>
          <w:color w:val="0F4761" w:themeColor="accent1" w:themeShade="BF"/>
        </w:rPr>
      </w:pPr>
      <w:r w:rsidRPr="00355CD8">
        <w:rPr>
          <w:rFonts w:ascii="Arial" w:hAnsi="Arial" w:cs="Arial"/>
        </w:rPr>
        <w:br w:type="page"/>
      </w:r>
    </w:p>
    <w:p w14:paraId="29E015F3" w14:textId="7B45F059" w:rsidR="00505D79" w:rsidRPr="00355CD8" w:rsidRDefault="00505D79" w:rsidP="00E35726">
      <w:pPr>
        <w:pStyle w:val="Heading1"/>
      </w:pPr>
      <w:bookmarkStart w:id="0" w:name="_Toc238200098"/>
      <w:r w:rsidRPr="00355CD8">
        <w:lastRenderedPageBreak/>
        <w:t>Chapter 1: Introduction</w:t>
      </w:r>
      <w:bookmarkEnd w:id="0"/>
    </w:p>
    <w:p w14:paraId="14B6E68B" w14:textId="77777777" w:rsidR="00505D79" w:rsidRPr="00355CD8" w:rsidRDefault="00505D79" w:rsidP="00E35726">
      <w:pPr>
        <w:pStyle w:val="Heading2"/>
      </w:pPr>
      <w:bookmarkStart w:id="1" w:name="_Toc238200099"/>
      <w:r w:rsidRPr="00355CD8">
        <w:t>1.1 Background</w:t>
      </w:r>
      <w:bookmarkEnd w:id="1"/>
    </w:p>
    <w:p w14:paraId="47B71F1D" w14:textId="77777777" w:rsidR="00505D79" w:rsidRPr="00355CD8" w:rsidRDefault="00505D79" w:rsidP="00355CD8">
      <w:pPr>
        <w:spacing w:line="360" w:lineRule="auto"/>
        <w:jc w:val="both"/>
        <w:rPr>
          <w:rFonts w:ascii="Arial" w:hAnsi="Arial" w:cs="Arial"/>
        </w:rPr>
      </w:pPr>
      <w:r w:rsidRPr="00355CD8">
        <w:rPr>
          <w:rFonts w:ascii="Arial" w:hAnsi="Arial" w:cs="Arial"/>
        </w:rPr>
        <w:t xml:space="preserve">The United Kingdom's healthcare system is navigating a period of profound transition. Workforce planning, once a relatively stable administrative function, has become a strategic imperative as the National Health Service (NHS) and the adult social care sector confront unprecedented staffing challenges. Human resources are widely </w:t>
      </w:r>
      <w:proofErr w:type="spellStart"/>
      <w:r w:rsidRPr="00355CD8">
        <w:rPr>
          <w:rFonts w:ascii="Arial" w:hAnsi="Arial" w:cs="Arial"/>
        </w:rPr>
        <w:t>recognised</w:t>
      </w:r>
      <w:proofErr w:type="spellEnd"/>
      <w:r w:rsidRPr="00355CD8">
        <w:rPr>
          <w:rFonts w:ascii="Arial" w:hAnsi="Arial" w:cs="Arial"/>
        </w:rPr>
        <w:t xml:space="preserve"> as the most important asset of any healthcare system, because they integrate physical resources, technology and clinical interventions to deliver effective patient care (</w:t>
      </w:r>
      <w:proofErr w:type="spellStart"/>
      <w:r w:rsidRPr="00355CD8">
        <w:rPr>
          <w:rFonts w:ascii="Arial" w:hAnsi="Arial" w:cs="Arial"/>
        </w:rPr>
        <w:t>Kabene</w:t>
      </w:r>
      <w:proofErr w:type="spellEnd"/>
      <w:r w:rsidRPr="00355CD8">
        <w:rPr>
          <w:rFonts w:ascii="Arial" w:hAnsi="Arial" w:cs="Arial"/>
        </w:rPr>
        <w:t xml:space="preserve"> et al., 2006). However, the sustainability of this human capital – defined as the maintenance and development of knowledge, skills and capabilities over time – is increasingly threatened by the sector's historical dependence on overseas recruitment to address chronic domestic workforce shortages (</w:t>
      </w:r>
      <w:proofErr w:type="spellStart"/>
      <w:r w:rsidRPr="00355CD8">
        <w:rPr>
          <w:rFonts w:ascii="Arial" w:hAnsi="Arial" w:cs="Arial"/>
        </w:rPr>
        <w:t>Slaus</w:t>
      </w:r>
      <w:proofErr w:type="spellEnd"/>
      <w:r w:rsidRPr="00355CD8">
        <w:rPr>
          <w:rFonts w:ascii="Arial" w:hAnsi="Arial" w:cs="Arial"/>
        </w:rPr>
        <w:t xml:space="preserve"> and Jacobs, 2011).</w:t>
      </w:r>
    </w:p>
    <w:p w14:paraId="5731735A" w14:textId="726A2D04" w:rsidR="00505D79" w:rsidRPr="00355CD8" w:rsidRDefault="00505D79" w:rsidP="00355CD8">
      <w:pPr>
        <w:spacing w:line="360" w:lineRule="auto"/>
        <w:jc w:val="both"/>
        <w:rPr>
          <w:rFonts w:ascii="Arial" w:hAnsi="Arial" w:cs="Arial"/>
        </w:rPr>
      </w:pPr>
      <w:r w:rsidRPr="00355CD8">
        <w:rPr>
          <w:rFonts w:ascii="Arial" w:hAnsi="Arial" w:cs="Arial"/>
        </w:rPr>
        <w:t xml:space="preserve">The historical reliance on overseas recruitment has intensified since the introduction of the Health and Care Worker visa in 2021, which was designed to address critical workforce shortages in the NHS and social care sectors. Between 2021 and 2023, the number of Health and Care Worker visas issued increased dramatically, from 31,800 to 145,823 (Home Office, 2024). However, this reliance has raised ethical concerns, particularly regarding the UK's recruitment from countries on the World Health </w:t>
      </w:r>
      <w:proofErr w:type="spellStart"/>
      <w:r w:rsidRPr="00355CD8">
        <w:rPr>
          <w:rFonts w:ascii="Arial" w:hAnsi="Arial" w:cs="Arial"/>
        </w:rPr>
        <w:t>Organi</w:t>
      </w:r>
      <w:r w:rsidR="00D857FC" w:rsidRPr="00355CD8">
        <w:rPr>
          <w:rFonts w:ascii="Arial" w:hAnsi="Arial" w:cs="Arial"/>
        </w:rPr>
        <w:t>s</w:t>
      </w:r>
      <w:r w:rsidRPr="00355CD8">
        <w:rPr>
          <w:rFonts w:ascii="Arial" w:hAnsi="Arial" w:cs="Arial"/>
        </w:rPr>
        <w:t>ation's</w:t>
      </w:r>
      <w:proofErr w:type="spellEnd"/>
      <w:r w:rsidRPr="00355CD8">
        <w:rPr>
          <w:rFonts w:ascii="Arial" w:hAnsi="Arial" w:cs="Arial"/>
        </w:rPr>
        <w:t xml:space="preserve"> 'red list' – nations with critical health workforce shortages themselves. Over 20,000 clinical staff from these countries were added to the NHS workforce between 2023 and 2024 (Nuffield Trust, 2025). While this recruitment fills immediate gaps, it raises questions about global health equity and the long</w:t>
      </w:r>
      <w:r w:rsidRPr="00355CD8">
        <w:rPr>
          <w:rFonts w:ascii="Arial" w:hAnsi="Arial" w:cs="Arial"/>
        </w:rPr>
        <w:noBreakHyphen/>
        <w:t xml:space="preserve">term sustainability of the UK's reliance on migrant </w:t>
      </w:r>
      <w:proofErr w:type="spellStart"/>
      <w:r w:rsidRPr="00355CD8">
        <w:rPr>
          <w:rFonts w:ascii="Arial" w:hAnsi="Arial" w:cs="Arial"/>
        </w:rPr>
        <w:t>labour</w:t>
      </w:r>
      <w:proofErr w:type="spellEnd"/>
      <w:r w:rsidRPr="00355CD8">
        <w:rPr>
          <w:rFonts w:ascii="Arial" w:hAnsi="Arial" w:cs="Arial"/>
        </w:rPr>
        <w:t xml:space="preserve"> </w:t>
      </w:r>
      <w:r w:rsidR="006159EB" w:rsidRPr="00355CD8">
        <w:rPr>
          <w:rFonts w:ascii="Arial" w:hAnsi="Arial" w:cs="Arial"/>
        </w:rPr>
        <w:t>(Anderson</w:t>
      </w:r>
      <w:r w:rsidR="00D857FC" w:rsidRPr="00355CD8">
        <w:rPr>
          <w:rFonts w:ascii="Arial" w:hAnsi="Arial" w:cs="Arial"/>
        </w:rPr>
        <w:t xml:space="preserve"> </w:t>
      </w:r>
      <w:r w:rsidR="006159EB" w:rsidRPr="00355CD8">
        <w:rPr>
          <w:rFonts w:ascii="Arial" w:hAnsi="Arial" w:cs="Arial"/>
        </w:rPr>
        <w:t>et al.,</w:t>
      </w:r>
      <w:r w:rsidRPr="00355CD8">
        <w:rPr>
          <w:rFonts w:ascii="Arial" w:hAnsi="Arial" w:cs="Arial"/>
        </w:rPr>
        <w:t xml:space="preserve"> 2021).</w:t>
      </w:r>
    </w:p>
    <w:p w14:paraId="1F23190A" w14:textId="77777777" w:rsidR="00505D79" w:rsidRPr="00355CD8" w:rsidRDefault="00505D79" w:rsidP="00355CD8">
      <w:pPr>
        <w:spacing w:line="360" w:lineRule="auto"/>
        <w:jc w:val="both"/>
        <w:rPr>
          <w:rFonts w:ascii="Arial" w:hAnsi="Arial" w:cs="Arial"/>
        </w:rPr>
      </w:pPr>
      <w:r w:rsidRPr="00355CD8">
        <w:rPr>
          <w:rFonts w:ascii="Arial" w:hAnsi="Arial" w:cs="Arial"/>
        </w:rPr>
        <w:t xml:space="preserve">The scale of the challenge is substantial. As of late 2024, NHS England alone reported over 100,000 vacant posts, with healthcare support worker vacancies ranking among the highest across all staff groups (POST, 2025). The adult social care sector faces even greater pressure, with an estimated 131,000 vacancies in 2023/24, a figure that does not include positions filled by temporary staff (POST, 2025). Skills for Care (2024) estimated that the sector loses approximately 390,000 staff annually, a turnover rate exceeding </w:t>
      </w:r>
      <w:r w:rsidRPr="00355CD8">
        <w:rPr>
          <w:rFonts w:ascii="Arial" w:hAnsi="Arial" w:cs="Arial"/>
        </w:rPr>
        <w:lastRenderedPageBreak/>
        <w:t>30%. International recruitment has partially filled these gaps: between 2021 and 2024, over 80,000 Care Worker visas were issued to non</w:t>
      </w:r>
      <w:r w:rsidRPr="00355CD8">
        <w:rPr>
          <w:rFonts w:ascii="Arial" w:hAnsi="Arial" w:cs="Arial"/>
        </w:rPr>
        <w:noBreakHyphen/>
        <w:t>UK nationals. However, the 2025 rule changes abruptly raised the skill threshold from RQF Level 3 to Level 6 – roughly equivalent to a bachelor's degree. Most experienced healthcare support workers do not hold a degree. The Home Office's own impact assessment acknowledged a potential "substitution effect" whereby employers would be unable to replace departing migrant workers (Home Office, 2025b).</w:t>
      </w:r>
    </w:p>
    <w:p w14:paraId="20846A34" w14:textId="77777777" w:rsidR="00505D79" w:rsidRPr="00355CD8" w:rsidRDefault="00505D79" w:rsidP="00355CD8">
      <w:pPr>
        <w:spacing w:line="360" w:lineRule="auto"/>
        <w:jc w:val="both"/>
        <w:rPr>
          <w:rFonts w:ascii="Arial" w:hAnsi="Arial" w:cs="Arial"/>
        </w:rPr>
      </w:pPr>
      <w:r w:rsidRPr="00355CD8">
        <w:rPr>
          <w:rFonts w:ascii="Arial" w:hAnsi="Arial" w:cs="Arial"/>
        </w:rPr>
        <w:t>The policy context has shifted dramatically. Between June 2019 and June 2023, net migration to the UK reached a record 906,000 (Office for National Statistics, 2024). In response, the government published the </w:t>
      </w:r>
      <w:r w:rsidRPr="00355CD8">
        <w:rPr>
          <w:rFonts w:ascii="Arial" w:hAnsi="Arial" w:cs="Arial"/>
          <w:i/>
          <w:iCs/>
        </w:rPr>
        <w:t>Restoring Control over the Immigration System</w:t>
      </w:r>
      <w:r w:rsidRPr="00355CD8">
        <w:rPr>
          <w:rFonts w:ascii="Arial" w:hAnsi="Arial" w:cs="Arial"/>
        </w:rPr>
        <w:t> White Paper (Home Office, 2025a), proposing reforms to reduce migration and promote a higher</w:t>
      </w:r>
      <w:r w:rsidRPr="00355CD8">
        <w:rPr>
          <w:rFonts w:ascii="Arial" w:hAnsi="Arial" w:cs="Arial"/>
        </w:rPr>
        <w:noBreakHyphen/>
        <w:t xml:space="preserve">skilled workforce. Key changes include raising the skills threshold for Skilled Worker and Health and Care visas from RQF Level 3 to RQF Level 6, increasing salary thresholds, restricting </w:t>
      </w:r>
      <w:proofErr w:type="spellStart"/>
      <w:r w:rsidRPr="00355CD8">
        <w:rPr>
          <w:rFonts w:ascii="Arial" w:hAnsi="Arial" w:cs="Arial"/>
        </w:rPr>
        <w:t>dependant</w:t>
      </w:r>
      <w:proofErr w:type="spellEnd"/>
      <w:r w:rsidRPr="00355CD8">
        <w:rPr>
          <w:rFonts w:ascii="Arial" w:hAnsi="Arial" w:cs="Arial"/>
        </w:rPr>
        <w:t xml:space="preserve"> visas for care workers, and closing overseas recruitment for care workers under SOC codes 6135 and 6136 from 22 July 2025 (Home Office, 2025b; </w:t>
      </w:r>
      <w:proofErr w:type="spellStart"/>
      <w:r w:rsidRPr="00355CD8">
        <w:rPr>
          <w:rFonts w:ascii="Arial" w:hAnsi="Arial" w:cs="Arial"/>
        </w:rPr>
        <w:t>Seraphus</w:t>
      </w:r>
      <w:proofErr w:type="spellEnd"/>
      <w:r w:rsidRPr="00355CD8">
        <w:rPr>
          <w:rFonts w:ascii="Arial" w:hAnsi="Arial" w:cs="Arial"/>
        </w:rPr>
        <w:t>, 2026).</w:t>
      </w:r>
    </w:p>
    <w:p w14:paraId="12EB1101" w14:textId="4E2151B8" w:rsidR="00505D79" w:rsidRPr="00355CD8" w:rsidRDefault="00505D79" w:rsidP="00355CD8">
      <w:pPr>
        <w:spacing w:line="360" w:lineRule="auto"/>
        <w:jc w:val="both"/>
        <w:rPr>
          <w:rFonts w:ascii="Arial" w:hAnsi="Arial" w:cs="Arial"/>
        </w:rPr>
      </w:pPr>
      <w:r w:rsidRPr="00355CD8">
        <w:rPr>
          <w:rFonts w:ascii="Arial" w:hAnsi="Arial" w:cs="Arial"/>
        </w:rPr>
        <w:t>These changes represent the most significant overhaul of the UK's legal migration model in 50 years (Home Office, 2025a; 2025b). For the healthcare sector, the implications are far</w:t>
      </w:r>
      <w:r w:rsidRPr="00355CD8">
        <w:rPr>
          <w:rFonts w:ascii="Arial" w:hAnsi="Arial" w:cs="Arial"/>
        </w:rPr>
        <w:noBreakHyphen/>
        <w:t xml:space="preserve">reaching. Healthcare Support Workers (HCSWs) – comprising approximately 40% of the NHS workforce and a substantial proportion of the adult social care workforce – are particularly affected. They deliver frontline care, yet they have historically received little investment in training or career progression </w:t>
      </w:r>
      <w:r w:rsidR="006159EB">
        <w:rPr>
          <w:rFonts w:ascii="Arial" w:hAnsi="Arial" w:cs="Arial"/>
        </w:rPr>
        <w:t>(Anderson et al., 2021)</w:t>
      </w:r>
      <w:r w:rsidRPr="00355CD8">
        <w:rPr>
          <w:rFonts w:ascii="Arial" w:hAnsi="Arial" w:cs="Arial"/>
        </w:rPr>
        <w:t>. According to Skills for Care (2024), HCSWs receive only 5% of training budgets, despite comprising a substantial proportion of the workforce. Recent restrictions on Care Worker visas may further reduce the availability and retention of migrant staff, creating a pressing quantitative question: can the UK healthcare system maintain a sustainable, skilled workforce under these new immigration rules?</w:t>
      </w:r>
    </w:p>
    <w:p w14:paraId="5EF80B1C" w14:textId="77777777" w:rsidR="00505D79" w:rsidRPr="00355CD8" w:rsidRDefault="00505D79" w:rsidP="00E35726">
      <w:pPr>
        <w:pStyle w:val="Heading2"/>
      </w:pPr>
      <w:bookmarkStart w:id="2" w:name="_Toc238200100"/>
      <w:r w:rsidRPr="00355CD8">
        <w:t>1.2 Research Problem</w:t>
      </w:r>
      <w:bookmarkEnd w:id="2"/>
    </w:p>
    <w:p w14:paraId="6CCF1067" w14:textId="570DB4AE" w:rsidR="00505D79" w:rsidRPr="00355CD8" w:rsidRDefault="00505D79" w:rsidP="00355CD8">
      <w:pPr>
        <w:spacing w:line="360" w:lineRule="auto"/>
        <w:jc w:val="both"/>
        <w:rPr>
          <w:rFonts w:ascii="Arial" w:hAnsi="Arial" w:cs="Arial"/>
        </w:rPr>
      </w:pPr>
      <w:r w:rsidRPr="00355CD8">
        <w:rPr>
          <w:rFonts w:ascii="Arial" w:hAnsi="Arial" w:cs="Arial"/>
        </w:rPr>
        <w:t xml:space="preserve">The central problem this study addresses is the potential erosion of human capital sustainability among migrant healthcare support workers in the UK, driven by restrictive </w:t>
      </w:r>
      <w:r w:rsidRPr="00355CD8">
        <w:rPr>
          <w:rFonts w:ascii="Arial" w:hAnsi="Arial" w:cs="Arial"/>
        </w:rPr>
        <w:lastRenderedPageBreak/>
        <w:t>immigration policy changes implemented between 2020 and 2026. While policymakers have framed these reforms as necessary to reduce net migration and promote a higher</w:t>
      </w:r>
      <w:r w:rsidRPr="00355CD8">
        <w:rPr>
          <w:rFonts w:ascii="Arial" w:hAnsi="Arial" w:cs="Arial"/>
        </w:rPr>
        <w:noBreakHyphen/>
        <w:t>skilled workforce, there is limited empirical evidence on their actual impact on workforce retention, stability, and long</w:t>
      </w:r>
      <w:r w:rsidRPr="00355CD8">
        <w:rPr>
          <w:rFonts w:ascii="Arial" w:hAnsi="Arial" w:cs="Arial"/>
        </w:rPr>
        <w:noBreakHyphen/>
        <w:t>term sustainability. The problem is compounded by the sector's historical reliance on international recruitment and the under</w:t>
      </w:r>
      <w:r w:rsidRPr="00355CD8">
        <w:rPr>
          <w:rFonts w:ascii="Arial" w:hAnsi="Arial" w:cs="Arial"/>
        </w:rPr>
        <w:noBreakHyphen/>
        <w:t xml:space="preserve">researched status of healthcare support workers compared to doctors and nurses </w:t>
      </w:r>
      <w:r w:rsidR="006159EB">
        <w:rPr>
          <w:rFonts w:ascii="Arial" w:hAnsi="Arial" w:cs="Arial"/>
        </w:rPr>
        <w:t>(Anderson et al., 2021)</w:t>
      </w:r>
      <w:r w:rsidRPr="00355CD8">
        <w:rPr>
          <w:rFonts w:ascii="Arial" w:hAnsi="Arial" w:cs="Arial"/>
        </w:rPr>
        <w:t>.</w:t>
      </w:r>
    </w:p>
    <w:p w14:paraId="5EB53A73" w14:textId="57EE7EE4" w:rsidR="00505D79" w:rsidRPr="00355CD8" w:rsidRDefault="00505D79" w:rsidP="00355CD8">
      <w:pPr>
        <w:spacing w:line="360" w:lineRule="auto"/>
        <w:jc w:val="both"/>
        <w:rPr>
          <w:rFonts w:ascii="Arial" w:hAnsi="Arial" w:cs="Arial"/>
        </w:rPr>
      </w:pPr>
      <w:r w:rsidRPr="00355CD8">
        <w:rPr>
          <w:rFonts w:ascii="Arial" w:hAnsi="Arial" w:cs="Arial"/>
        </w:rPr>
        <w:t xml:space="preserve">Three interrelated theoretical concerns underpin this problem. First, Human Capital Theory suggests that migrant workers possess specific knowledge of NHS protocols, local patient populations, and team dynamics – knowledge that is costly to replace and retrain (Becker, 1964; </w:t>
      </w:r>
      <w:proofErr w:type="spellStart"/>
      <w:r w:rsidRPr="00355CD8">
        <w:rPr>
          <w:rFonts w:ascii="Arial" w:hAnsi="Arial" w:cs="Arial"/>
        </w:rPr>
        <w:t>Slaus</w:t>
      </w:r>
      <w:proofErr w:type="spellEnd"/>
      <w:r w:rsidRPr="00355CD8">
        <w:rPr>
          <w:rFonts w:ascii="Arial" w:hAnsi="Arial" w:cs="Arial"/>
        </w:rPr>
        <w:t xml:space="preserve"> and Jacobs, 2011). Second, Conservation of Resources (COR) Theory predicts that workers facing resource threats – such as restrictions on </w:t>
      </w:r>
      <w:proofErr w:type="spellStart"/>
      <w:r w:rsidRPr="00355CD8">
        <w:rPr>
          <w:rFonts w:ascii="Arial" w:hAnsi="Arial" w:cs="Arial"/>
        </w:rPr>
        <w:t>dependant</w:t>
      </w:r>
      <w:proofErr w:type="spellEnd"/>
      <w:r w:rsidRPr="00355CD8">
        <w:rPr>
          <w:rFonts w:ascii="Arial" w:hAnsi="Arial" w:cs="Arial"/>
        </w:rPr>
        <w:t xml:space="preserve"> visas and closed pathways to settlement – will experience stress and withdraw from the workforce (</w:t>
      </w:r>
      <w:r w:rsidR="00061BD9">
        <w:rPr>
          <w:rFonts w:ascii="Arial" w:hAnsi="Arial" w:cs="Arial"/>
        </w:rPr>
        <w:t>Lee,</w:t>
      </w:r>
      <w:r w:rsidRPr="00355CD8">
        <w:rPr>
          <w:rFonts w:ascii="Arial" w:hAnsi="Arial" w:cs="Arial"/>
        </w:rPr>
        <w:t xml:space="preserve"> 2015; </w:t>
      </w:r>
      <w:proofErr w:type="spellStart"/>
      <w:r w:rsidRPr="00355CD8">
        <w:rPr>
          <w:rFonts w:ascii="Arial" w:hAnsi="Arial" w:cs="Arial"/>
        </w:rPr>
        <w:t>Hobfoll</w:t>
      </w:r>
      <w:proofErr w:type="spellEnd"/>
      <w:r w:rsidRPr="00355CD8">
        <w:rPr>
          <w:rFonts w:ascii="Arial" w:hAnsi="Arial" w:cs="Arial"/>
        </w:rPr>
        <w:t>, 1989). Third, the Triple Bottom Line (TBL) framework highlights the trade</w:t>
      </w:r>
      <w:r w:rsidRPr="00355CD8">
        <w:rPr>
          <w:rFonts w:ascii="Arial" w:hAnsi="Arial" w:cs="Arial"/>
        </w:rPr>
        <w:noBreakHyphen/>
        <w:t>offs between social sustainability (family unity, fair treatment, career progression) and economic sustainability (workforce stability, cost</w:t>
      </w:r>
      <w:r w:rsidRPr="00355CD8">
        <w:rPr>
          <w:rFonts w:ascii="Arial" w:hAnsi="Arial" w:cs="Arial"/>
        </w:rPr>
        <w:noBreakHyphen/>
        <w:t>effective recruitment) (</w:t>
      </w:r>
      <w:proofErr w:type="spellStart"/>
      <w:r w:rsidRPr="00355CD8">
        <w:rPr>
          <w:rFonts w:ascii="Arial" w:hAnsi="Arial" w:cs="Arial"/>
        </w:rPr>
        <w:t>Alhaddi</w:t>
      </w:r>
      <w:proofErr w:type="spellEnd"/>
      <w:r w:rsidRPr="00355CD8">
        <w:rPr>
          <w:rFonts w:ascii="Arial" w:hAnsi="Arial" w:cs="Arial"/>
        </w:rPr>
        <w:t>, 2015). This study integrates these three frameworks to provide a comprehensive quantitative evaluation of policy impact.</w:t>
      </w:r>
    </w:p>
    <w:p w14:paraId="69903181" w14:textId="77777777" w:rsidR="00505D79" w:rsidRPr="00355CD8" w:rsidRDefault="00505D79" w:rsidP="00355CD8">
      <w:pPr>
        <w:spacing w:line="360" w:lineRule="auto"/>
        <w:jc w:val="both"/>
        <w:rPr>
          <w:rFonts w:ascii="Arial" w:hAnsi="Arial" w:cs="Arial"/>
        </w:rPr>
      </w:pPr>
      <w:r w:rsidRPr="00355CD8">
        <w:rPr>
          <w:rFonts w:ascii="Arial" w:hAnsi="Arial" w:cs="Arial"/>
        </w:rPr>
        <w:t xml:space="preserve">The urgency of this research is underscored by recent workforce data. The closure of overseas recruitment for care workers from July 2025 has effectively ended new international inflows into these critical roles (Home Office, 2025b). Existing visa holders can continue working and extend or switch visas </w:t>
      </w:r>
      <w:proofErr w:type="gramStart"/>
      <w:r w:rsidRPr="00355CD8">
        <w:rPr>
          <w:rFonts w:ascii="Arial" w:hAnsi="Arial" w:cs="Arial"/>
        </w:rPr>
        <w:t>in</w:t>
      </w:r>
      <w:r w:rsidRPr="00355CD8">
        <w:rPr>
          <w:rFonts w:ascii="Arial" w:hAnsi="Arial" w:cs="Arial"/>
        </w:rPr>
        <w:noBreakHyphen/>
        <w:t>country</w:t>
      </w:r>
      <w:proofErr w:type="gramEnd"/>
      <w:r w:rsidRPr="00355CD8">
        <w:rPr>
          <w:rFonts w:ascii="Arial" w:hAnsi="Arial" w:cs="Arial"/>
        </w:rPr>
        <w:t xml:space="preserve"> until 2028, but no new overseas entrants are being admitted (</w:t>
      </w:r>
      <w:proofErr w:type="spellStart"/>
      <w:r w:rsidRPr="00355CD8">
        <w:rPr>
          <w:rFonts w:ascii="Arial" w:hAnsi="Arial" w:cs="Arial"/>
        </w:rPr>
        <w:t>Seraphus</w:t>
      </w:r>
      <w:proofErr w:type="spellEnd"/>
      <w:r w:rsidRPr="00355CD8">
        <w:rPr>
          <w:rFonts w:ascii="Arial" w:hAnsi="Arial" w:cs="Arial"/>
        </w:rPr>
        <w:t>, 2026). This creates a "stock" problem – the existing workforce will age, retire, or move on, and there will be no new migrant workers to replace them. Without a robust domestic recruitment and retention strategy, the workforce gap will widen, threatening the sustainability of healthcare services.</w:t>
      </w:r>
    </w:p>
    <w:p w14:paraId="5BC818FF" w14:textId="77777777" w:rsidR="00505D79" w:rsidRPr="00355CD8" w:rsidRDefault="00505D79" w:rsidP="00E35726">
      <w:pPr>
        <w:pStyle w:val="Heading3"/>
      </w:pPr>
      <w:bookmarkStart w:id="3" w:name="_Toc238200101"/>
      <w:r w:rsidRPr="00355CD8">
        <w:t>1.2.1 Articulation of the Research Gap</w:t>
      </w:r>
      <w:bookmarkEnd w:id="3"/>
    </w:p>
    <w:p w14:paraId="2673E77F" w14:textId="4D31AC8A" w:rsidR="00505D79" w:rsidRPr="00355CD8" w:rsidRDefault="00505D79" w:rsidP="00355CD8">
      <w:pPr>
        <w:spacing w:line="360" w:lineRule="auto"/>
        <w:jc w:val="both"/>
        <w:rPr>
          <w:rFonts w:ascii="Arial" w:hAnsi="Arial" w:cs="Arial"/>
        </w:rPr>
      </w:pPr>
      <w:r w:rsidRPr="00355CD8">
        <w:rPr>
          <w:rFonts w:ascii="Arial" w:hAnsi="Arial" w:cs="Arial"/>
        </w:rPr>
        <w:t xml:space="preserve">The existing literature on migration and healthcare workforce sustainability leaves three critical gaps that this study addresses. First, the majority of existing research focuses on highly skilled professionals – doctors and nurses – while healthcare support workers, who </w:t>
      </w:r>
      <w:r w:rsidRPr="00355CD8">
        <w:rPr>
          <w:rFonts w:ascii="Arial" w:hAnsi="Arial" w:cs="Arial"/>
        </w:rPr>
        <w:lastRenderedPageBreak/>
        <w:t>comprise 40% of the NHS workforce, remain significantly under</w:t>
      </w:r>
      <w:r w:rsidRPr="00355CD8">
        <w:rPr>
          <w:rFonts w:ascii="Arial" w:hAnsi="Arial" w:cs="Arial"/>
        </w:rPr>
        <w:noBreakHyphen/>
        <w:t>researched (</w:t>
      </w:r>
      <w:r w:rsidR="00D857FC" w:rsidRPr="00355CD8">
        <w:rPr>
          <w:rFonts w:ascii="Arial" w:hAnsi="Arial" w:cs="Arial"/>
        </w:rPr>
        <w:t xml:space="preserve"> Anderson et al.,</w:t>
      </w:r>
      <w:r w:rsidRPr="00355CD8">
        <w:rPr>
          <w:rFonts w:ascii="Arial" w:hAnsi="Arial" w:cs="Arial"/>
        </w:rPr>
        <w:t xml:space="preserve">., 2021; Hatton, 2005; Stewart and Mulvey, 2014; Davda, Gallagher and Radford, 2018); second, much of the evidence predates the major immigration reforms introduced after 2020, leaving a critical gap in understanding the impact of the Health and Care Worker visa expansions and subsequent restrictions (Home Office, 2025a); and third, while policymakers have </w:t>
      </w:r>
      <w:proofErr w:type="spellStart"/>
      <w:r w:rsidRPr="00355CD8">
        <w:rPr>
          <w:rFonts w:ascii="Arial" w:hAnsi="Arial" w:cs="Arial"/>
        </w:rPr>
        <w:t>emphasised</w:t>
      </w:r>
      <w:proofErr w:type="spellEnd"/>
      <w:r w:rsidRPr="00355CD8">
        <w:rPr>
          <w:rFonts w:ascii="Arial" w:hAnsi="Arial" w:cs="Arial"/>
        </w:rPr>
        <w:t xml:space="preserve"> domestic workforce development as a substitute for international recruitment (NHS England, 2023), there is limited quantitative evidence on whether domestic upskilling initiatives can effectively replace migrant </w:t>
      </w:r>
      <w:proofErr w:type="spellStart"/>
      <w:r w:rsidRPr="00355CD8">
        <w:rPr>
          <w:rFonts w:ascii="Arial" w:hAnsi="Arial" w:cs="Arial"/>
        </w:rPr>
        <w:t>labour</w:t>
      </w:r>
      <w:proofErr w:type="spellEnd"/>
      <w:r w:rsidRPr="00355CD8">
        <w:rPr>
          <w:rFonts w:ascii="Arial" w:hAnsi="Arial" w:cs="Arial"/>
        </w:rPr>
        <w:t>, creating a fundamental tension between policy ambition and empirical uncertainty. This study directly addresses these gaps by providing the first empirical, quantitative evaluation of the post</w:t>
      </w:r>
      <w:r w:rsidRPr="00355CD8">
        <w:rPr>
          <w:rFonts w:ascii="Arial" w:hAnsi="Arial" w:cs="Arial"/>
        </w:rPr>
        <w:noBreakHyphen/>
        <w:t>2020 immigration rule changes on human capital sustainability specifically among migrant healthcare support workers, using official Home Office, ONS, and Skills for Care data to test the predicted relationships between policy changes, resource threats, and workforce outcomes. By addressing these gaps, this study provides timely empirical evidence to inform healthcare workforce planning and immigration policy evaluation.</w:t>
      </w:r>
    </w:p>
    <w:p w14:paraId="4784CC73" w14:textId="77777777" w:rsidR="00505D79" w:rsidRPr="00355CD8" w:rsidRDefault="00505D79" w:rsidP="00E35726">
      <w:pPr>
        <w:pStyle w:val="Heading2"/>
      </w:pPr>
      <w:bookmarkStart w:id="4" w:name="_Toc238200102"/>
      <w:r w:rsidRPr="00355CD8">
        <w:t>1.3 Research Aim</w:t>
      </w:r>
      <w:bookmarkEnd w:id="4"/>
    </w:p>
    <w:p w14:paraId="4CA44566" w14:textId="77777777" w:rsidR="00505D79" w:rsidRPr="00355CD8" w:rsidRDefault="00505D79" w:rsidP="00355CD8">
      <w:pPr>
        <w:spacing w:line="360" w:lineRule="auto"/>
        <w:jc w:val="both"/>
        <w:rPr>
          <w:rFonts w:ascii="Arial" w:hAnsi="Arial" w:cs="Arial"/>
        </w:rPr>
      </w:pPr>
      <w:r w:rsidRPr="00355CD8">
        <w:rPr>
          <w:rFonts w:ascii="Arial" w:hAnsi="Arial" w:cs="Arial"/>
        </w:rPr>
        <w:t>To critically evaluate the impact of UK immigration rule changes implemented between 2020 and 2026 on the long</w:t>
      </w:r>
      <w:r w:rsidRPr="00355CD8">
        <w:rPr>
          <w:rFonts w:ascii="Arial" w:hAnsi="Arial" w:cs="Arial"/>
        </w:rPr>
        <w:noBreakHyphen/>
        <w:t>term sustainability of human capital among migrant healthcare support workers, using an adapted Triple Bottom Line (TBL) framework focused on social and economic sustainability.</w:t>
      </w:r>
    </w:p>
    <w:p w14:paraId="550729ED" w14:textId="77777777" w:rsidR="00505D79" w:rsidRPr="00355CD8" w:rsidRDefault="00505D79" w:rsidP="00E35726">
      <w:pPr>
        <w:pStyle w:val="Heading2"/>
      </w:pPr>
      <w:bookmarkStart w:id="5" w:name="_Toc238200103"/>
      <w:r w:rsidRPr="00355CD8">
        <w:t>1.4 Research Objectives</w:t>
      </w:r>
      <w:bookmarkEnd w:id="5"/>
    </w:p>
    <w:p w14:paraId="0EE05B11" w14:textId="77777777" w:rsidR="00505D79" w:rsidRPr="00355CD8" w:rsidRDefault="00505D79" w:rsidP="00355CD8">
      <w:pPr>
        <w:spacing w:line="360" w:lineRule="auto"/>
        <w:jc w:val="both"/>
        <w:rPr>
          <w:rFonts w:ascii="Arial" w:hAnsi="Arial" w:cs="Arial"/>
        </w:rPr>
      </w:pPr>
      <w:r w:rsidRPr="00355CD8">
        <w:rPr>
          <w:rFonts w:ascii="Arial" w:hAnsi="Arial" w:cs="Arial"/>
        </w:rPr>
        <w:t>To critically evaluate the drivers for changes in UK immigration rules from 2020 to 2026.</w:t>
      </w:r>
    </w:p>
    <w:p w14:paraId="50125937" w14:textId="77777777" w:rsidR="00505D79" w:rsidRPr="00355CD8" w:rsidRDefault="00505D79" w:rsidP="00355CD8">
      <w:pPr>
        <w:spacing w:line="360" w:lineRule="auto"/>
        <w:jc w:val="both"/>
        <w:rPr>
          <w:rFonts w:ascii="Arial" w:hAnsi="Arial" w:cs="Arial"/>
        </w:rPr>
      </w:pPr>
      <w:r w:rsidRPr="00355CD8">
        <w:rPr>
          <w:rFonts w:ascii="Arial" w:hAnsi="Arial" w:cs="Arial"/>
        </w:rPr>
        <w:t>To identify the key determinants of human capital sustainability among healthcare support workers.</w:t>
      </w:r>
    </w:p>
    <w:p w14:paraId="6AF57C1A" w14:textId="77777777" w:rsidR="00505D79" w:rsidRPr="00355CD8" w:rsidRDefault="00505D79" w:rsidP="00355CD8">
      <w:pPr>
        <w:spacing w:line="360" w:lineRule="auto"/>
        <w:jc w:val="both"/>
        <w:rPr>
          <w:rFonts w:ascii="Arial" w:hAnsi="Arial" w:cs="Arial"/>
        </w:rPr>
      </w:pPr>
      <w:r w:rsidRPr="00355CD8">
        <w:rPr>
          <w:rFonts w:ascii="Arial" w:hAnsi="Arial" w:cs="Arial"/>
        </w:rPr>
        <w:t>To critically evaluate the impact of immigration rule changes on human capital sustainability among migrant healthcare support workers.</w:t>
      </w:r>
    </w:p>
    <w:p w14:paraId="66A6EB94" w14:textId="77777777" w:rsidR="00505D79" w:rsidRPr="00355CD8" w:rsidRDefault="00505D79" w:rsidP="00355CD8">
      <w:pPr>
        <w:spacing w:line="360" w:lineRule="auto"/>
        <w:jc w:val="both"/>
        <w:rPr>
          <w:rFonts w:ascii="Arial" w:hAnsi="Arial" w:cs="Arial"/>
        </w:rPr>
      </w:pPr>
      <w:r w:rsidRPr="00355CD8">
        <w:rPr>
          <w:rFonts w:ascii="Arial" w:hAnsi="Arial" w:cs="Arial"/>
        </w:rPr>
        <w:t>To assess HR strategies for sustaining the healthcare workforce under immigration restrictions, including domestic upskilling and retention initiatives.</w:t>
      </w:r>
    </w:p>
    <w:p w14:paraId="2CA8699A" w14:textId="77777777" w:rsidR="00505D79" w:rsidRPr="00355CD8" w:rsidRDefault="00505D79" w:rsidP="00E35726">
      <w:pPr>
        <w:pStyle w:val="Heading2"/>
      </w:pPr>
      <w:bookmarkStart w:id="6" w:name="_Toc238200104"/>
      <w:r w:rsidRPr="00355CD8">
        <w:lastRenderedPageBreak/>
        <w:t>1.5 Research Questions</w:t>
      </w:r>
      <w:bookmarkEnd w:id="6"/>
    </w:p>
    <w:p w14:paraId="53E814CE" w14:textId="77777777" w:rsidR="00505D79" w:rsidRPr="00355CD8" w:rsidRDefault="00505D79" w:rsidP="00355CD8">
      <w:pPr>
        <w:spacing w:line="360" w:lineRule="auto"/>
        <w:jc w:val="both"/>
        <w:rPr>
          <w:rFonts w:ascii="Arial" w:hAnsi="Arial" w:cs="Arial"/>
        </w:rPr>
      </w:pPr>
      <w:r w:rsidRPr="00355CD8">
        <w:rPr>
          <w:rFonts w:ascii="Arial" w:hAnsi="Arial" w:cs="Arial"/>
        </w:rPr>
        <w:t>Q1: What are the key drivers for changes in UK immigration rules from 2020 to 2026?</w:t>
      </w:r>
    </w:p>
    <w:p w14:paraId="09731734" w14:textId="77777777" w:rsidR="00505D79" w:rsidRPr="00355CD8" w:rsidRDefault="00505D79" w:rsidP="00355CD8">
      <w:pPr>
        <w:spacing w:line="360" w:lineRule="auto"/>
        <w:jc w:val="both"/>
        <w:rPr>
          <w:rFonts w:ascii="Arial" w:hAnsi="Arial" w:cs="Arial"/>
        </w:rPr>
      </w:pPr>
      <w:r w:rsidRPr="00355CD8">
        <w:rPr>
          <w:rFonts w:ascii="Arial" w:hAnsi="Arial" w:cs="Arial"/>
        </w:rPr>
        <w:t>Q2: What are the key determinants of human capital sustainability among healthcare support workers in the UK?</w:t>
      </w:r>
    </w:p>
    <w:p w14:paraId="1F4DDCBE" w14:textId="77777777" w:rsidR="00505D79" w:rsidRPr="00355CD8" w:rsidRDefault="00505D79" w:rsidP="00355CD8">
      <w:pPr>
        <w:spacing w:line="360" w:lineRule="auto"/>
        <w:jc w:val="both"/>
        <w:rPr>
          <w:rFonts w:ascii="Arial" w:hAnsi="Arial" w:cs="Arial"/>
        </w:rPr>
      </w:pPr>
      <w:r w:rsidRPr="00355CD8">
        <w:rPr>
          <w:rFonts w:ascii="Arial" w:hAnsi="Arial" w:cs="Arial"/>
        </w:rPr>
        <w:t>Q3: To what extent have the changes in UK immigration rules affected human capital sustainability among migrant healthcare support workers?</w:t>
      </w:r>
    </w:p>
    <w:p w14:paraId="091A1701" w14:textId="77777777" w:rsidR="00505D79" w:rsidRPr="00355CD8" w:rsidRDefault="00505D79" w:rsidP="00355CD8">
      <w:pPr>
        <w:spacing w:line="360" w:lineRule="auto"/>
        <w:jc w:val="both"/>
        <w:rPr>
          <w:rFonts w:ascii="Arial" w:hAnsi="Arial" w:cs="Arial"/>
        </w:rPr>
      </w:pPr>
      <w:r w:rsidRPr="00355CD8">
        <w:rPr>
          <w:rFonts w:ascii="Arial" w:hAnsi="Arial" w:cs="Arial"/>
        </w:rPr>
        <w:t xml:space="preserve">Q4: How can healthcare </w:t>
      </w:r>
      <w:proofErr w:type="spellStart"/>
      <w:r w:rsidRPr="00355CD8">
        <w:rPr>
          <w:rFonts w:ascii="Arial" w:hAnsi="Arial" w:cs="Arial"/>
        </w:rPr>
        <w:t>organisations</w:t>
      </w:r>
      <w:proofErr w:type="spellEnd"/>
      <w:r w:rsidRPr="00355CD8">
        <w:rPr>
          <w:rFonts w:ascii="Arial" w:hAnsi="Arial" w:cs="Arial"/>
        </w:rPr>
        <w:t xml:space="preserve"> effectively adapt their human resource management practices to maintain a fit</w:t>
      </w:r>
      <w:r w:rsidRPr="00355CD8">
        <w:rPr>
          <w:rFonts w:ascii="Arial" w:hAnsi="Arial" w:cs="Arial"/>
        </w:rPr>
        <w:noBreakHyphen/>
        <w:t>for</w:t>
      </w:r>
      <w:r w:rsidRPr="00355CD8">
        <w:rPr>
          <w:rFonts w:ascii="Arial" w:hAnsi="Arial" w:cs="Arial"/>
        </w:rPr>
        <w:noBreakHyphen/>
        <w:t>purpose workforce despite reduced migrant availability?</w:t>
      </w:r>
    </w:p>
    <w:p w14:paraId="48F13AC2" w14:textId="77777777" w:rsidR="00505D79" w:rsidRPr="00355CD8" w:rsidRDefault="00505D79" w:rsidP="00E35726">
      <w:pPr>
        <w:pStyle w:val="Heading2"/>
      </w:pPr>
      <w:bookmarkStart w:id="7" w:name="_Toc238200105"/>
      <w:r w:rsidRPr="00355CD8">
        <w:t>1.6 Significance of the Study</w:t>
      </w:r>
      <w:bookmarkEnd w:id="7"/>
    </w:p>
    <w:p w14:paraId="6968038F" w14:textId="0F153A39" w:rsidR="00505D79" w:rsidRPr="00355CD8" w:rsidRDefault="00505D79" w:rsidP="00355CD8">
      <w:pPr>
        <w:spacing w:line="360" w:lineRule="auto"/>
        <w:jc w:val="both"/>
        <w:rPr>
          <w:rFonts w:ascii="Arial" w:hAnsi="Arial" w:cs="Arial"/>
        </w:rPr>
      </w:pPr>
      <w:r w:rsidRPr="00355CD8">
        <w:rPr>
          <w:rFonts w:ascii="Arial" w:hAnsi="Arial" w:cs="Arial"/>
        </w:rPr>
        <w:t>This study makes several important contributions to knowledge, policy, and practice by directly addressing four critical gaps in the existing literature: the neglect of healthcare support workers (HCSWs) in migration research, the lack of empirical evidence on the post</w:t>
      </w:r>
      <w:r w:rsidRPr="00355CD8">
        <w:rPr>
          <w:rFonts w:ascii="Arial" w:hAnsi="Arial" w:cs="Arial"/>
        </w:rPr>
        <w:noBreakHyphen/>
        <w:t xml:space="preserve">2020 immigration reforms, the absence of quantitative data on whether domestic upskilling can replace migrant </w:t>
      </w:r>
      <w:proofErr w:type="spellStart"/>
      <w:r w:rsidRPr="00355CD8">
        <w:rPr>
          <w:rFonts w:ascii="Arial" w:hAnsi="Arial" w:cs="Arial"/>
        </w:rPr>
        <w:t>labour</w:t>
      </w:r>
      <w:proofErr w:type="spellEnd"/>
      <w:r w:rsidRPr="00355CD8">
        <w:rPr>
          <w:rFonts w:ascii="Arial" w:hAnsi="Arial" w:cs="Arial"/>
        </w:rPr>
        <w:t>, and the limited UK</w:t>
      </w:r>
      <w:r w:rsidRPr="00355CD8">
        <w:rPr>
          <w:rFonts w:ascii="Arial" w:hAnsi="Arial" w:cs="Arial"/>
        </w:rPr>
        <w:noBreakHyphen/>
        <w:t>nation comparative analysis (</w:t>
      </w:r>
      <w:r w:rsidR="00D857FC" w:rsidRPr="00355CD8">
        <w:rPr>
          <w:rFonts w:ascii="Arial" w:hAnsi="Arial" w:cs="Arial"/>
        </w:rPr>
        <w:t xml:space="preserve"> Anderson et al.,</w:t>
      </w:r>
      <w:r w:rsidRPr="00355CD8">
        <w:rPr>
          <w:rFonts w:ascii="Arial" w:hAnsi="Arial" w:cs="Arial"/>
        </w:rPr>
        <w:t>., 2021; Davda, Gallagher and Radford, 2018; Hatton, 2005; Stewart and Mulvey, 2014). Theoretically, it advances understanding by empirically testing the integrated application of Human Capital Theory, Conservation of Resources Theory, and the Triple Bottom Line framework – an approach that has not been previously applied to this workforce segment – providing a unified quantitative analytical chain that explains how policy changes lead to resource threats, worker withdrawal, loss of specific human capital, and ultimately a decline in social and economic sustainability. Empirically, it provides the first quantitative evaluation of the post</w:t>
      </w:r>
      <w:r w:rsidRPr="00355CD8">
        <w:rPr>
          <w:rFonts w:ascii="Arial" w:hAnsi="Arial" w:cs="Arial"/>
        </w:rPr>
        <w:noBreakHyphen/>
        <w:t>2020 immigration reforms on migrant HCSWs, using official Home Office, ONS, and Skills for Care data to measure visa grant rates, outflow profiles, and workforce turnover. For policymakers at the Home Office and Department of Health and Social Care, the findings offer evidence</w:t>
      </w:r>
      <w:r w:rsidRPr="00355CD8">
        <w:rPr>
          <w:rFonts w:ascii="Arial" w:hAnsi="Arial" w:cs="Arial"/>
        </w:rPr>
        <w:noBreakHyphen/>
        <w:t xml:space="preserve">based insights into the workforce implications of recent reforms – including the closure of overseas recruitment for care workers, the increase in the skill threshold, and the restriction on </w:t>
      </w:r>
      <w:proofErr w:type="spellStart"/>
      <w:r w:rsidRPr="00355CD8">
        <w:rPr>
          <w:rFonts w:ascii="Arial" w:hAnsi="Arial" w:cs="Arial"/>
        </w:rPr>
        <w:t>dependant</w:t>
      </w:r>
      <w:proofErr w:type="spellEnd"/>
      <w:r w:rsidRPr="00355CD8">
        <w:rPr>
          <w:rFonts w:ascii="Arial" w:hAnsi="Arial" w:cs="Arial"/>
        </w:rPr>
        <w:t xml:space="preserve"> visas – which can inform future policy design regarding </w:t>
      </w:r>
      <w:proofErr w:type="spellStart"/>
      <w:r w:rsidRPr="00355CD8">
        <w:rPr>
          <w:rFonts w:ascii="Arial" w:hAnsi="Arial" w:cs="Arial"/>
        </w:rPr>
        <w:t>dependant</w:t>
      </w:r>
      <w:proofErr w:type="spellEnd"/>
      <w:r w:rsidRPr="00355CD8">
        <w:rPr>
          <w:rFonts w:ascii="Arial" w:hAnsi="Arial" w:cs="Arial"/>
        </w:rPr>
        <w:t xml:space="preserve"> rights, settlement pathways, </w:t>
      </w:r>
      <w:r w:rsidRPr="00355CD8">
        <w:rPr>
          <w:rFonts w:ascii="Arial" w:hAnsi="Arial" w:cs="Arial"/>
        </w:rPr>
        <w:lastRenderedPageBreak/>
        <w:t xml:space="preserve">and domestic workforce investment. For NHS leaders and adult social care providers, the findings provide practical guidance on retention strategies, training investment, and workforce planning under immigration restrictions. For migrant healthcare support workers themselves, the study highlights the social and economic challenges they face, potentially informing advocacy for more supportive policies. Ultimately, the findings contribute to broader societal debates about balancing migration control with service sustainability, quantifying the </w:t>
      </w:r>
      <w:proofErr w:type="gramStart"/>
      <w:r w:rsidRPr="00355CD8">
        <w:rPr>
          <w:rFonts w:ascii="Arial" w:hAnsi="Arial" w:cs="Arial"/>
        </w:rPr>
        <w:t>trade</w:t>
      </w:r>
      <w:r w:rsidRPr="00355CD8">
        <w:rPr>
          <w:rFonts w:ascii="Arial" w:hAnsi="Arial" w:cs="Arial"/>
        </w:rPr>
        <w:noBreakHyphen/>
        <w:t>offs</w:t>
      </w:r>
      <w:proofErr w:type="gramEnd"/>
      <w:r w:rsidRPr="00355CD8">
        <w:rPr>
          <w:rFonts w:ascii="Arial" w:hAnsi="Arial" w:cs="Arial"/>
        </w:rPr>
        <w:t xml:space="preserve"> between social sustainability (family unity) and economic sustainability (workforce stability) and providing evidence that can inform public discourse and policy decisions.</w:t>
      </w:r>
    </w:p>
    <w:p w14:paraId="565D720B" w14:textId="77777777" w:rsidR="00505D79" w:rsidRPr="00355CD8" w:rsidRDefault="00505D79" w:rsidP="00E35726">
      <w:pPr>
        <w:pStyle w:val="Heading2"/>
      </w:pPr>
      <w:bookmarkStart w:id="8" w:name="_Toc238200106"/>
      <w:r w:rsidRPr="00355CD8">
        <w:t>1.7 Brief Research Methodology</w:t>
      </w:r>
      <w:bookmarkEnd w:id="8"/>
    </w:p>
    <w:p w14:paraId="59ECFBD1" w14:textId="77777777" w:rsidR="00505D79" w:rsidRPr="00355CD8" w:rsidRDefault="00505D79" w:rsidP="00355CD8">
      <w:pPr>
        <w:spacing w:line="360" w:lineRule="auto"/>
        <w:jc w:val="both"/>
        <w:rPr>
          <w:rFonts w:ascii="Arial" w:hAnsi="Arial" w:cs="Arial"/>
        </w:rPr>
      </w:pPr>
      <w:r w:rsidRPr="00355CD8">
        <w:rPr>
          <w:rFonts w:ascii="Arial" w:hAnsi="Arial" w:cs="Arial"/>
        </w:rPr>
        <w:t xml:space="preserve">This study adopts a positivist research philosophy, grounded in the assumption that the impact of immigration policy is an objective reality measurable through numerical data and statistical analysis. A secondary quantitative research design is employed, </w:t>
      </w:r>
      <w:proofErr w:type="spellStart"/>
      <w:r w:rsidRPr="00355CD8">
        <w:rPr>
          <w:rFonts w:ascii="Arial" w:hAnsi="Arial" w:cs="Arial"/>
        </w:rPr>
        <w:t>utilising</w:t>
      </w:r>
      <w:proofErr w:type="spellEnd"/>
      <w:r w:rsidRPr="00355CD8">
        <w:rPr>
          <w:rFonts w:ascii="Arial" w:hAnsi="Arial" w:cs="Arial"/>
        </w:rPr>
        <w:t xml:space="preserve"> publicly available datasets from the Home Office (visa grant rates, outflow profiles), the Office for National Statistics (migration trends), and Skills for Care (workforce turnover and vacancy statistics). No primary data collection – such as surveys or interviews – will be undertaken. Data will be </w:t>
      </w:r>
      <w:proofErr w:type="spellStart"/>
      <w:r w:rsidRPr="00355CD8">
        <w:rPr>
          <w:rFonts w:ascii="Arial" w:hAnsi="Arial" w:cs="Arial"/>
        </w:rPr>
        <w:t>analysed</w:t>
      </w:r>
      <w:proofErr w:type="spellEnd"/>
      <w:r w:rsidRPr="00355CD8">
        <w:rPr>
          <w:rFonts w:ascii="Arial" w:hAnsi="Arial" w:cs="Arial"/>
        </w:rPr>
        <w:t xml:space="preserve"> using descriptive statistics to track trends and multiple regression analysis to test associations between policy changes (independent variables) and human capital sustainability indicators (dependent variables). This approach is justified by the availability of robust official data and the need for objective, </w:t>
      </w:r>
      <w:proofErr w:type="spellStart"/>
      <w:r w:rsidRPr="00355CD8">
        <w:rPr>
          <w:rFonts w:ascii="Arial" w:hAnsi="Arial" w:cs="Arial"/>
        </w:rPr>
        <w:t>generalisable</w:t>
      </w:r>
      <w:proofErr w:type="spellEnd"/>
      <w:r w:rsidRPr="00355CD8">
        <w:rPr>
          <w:rFonts w:ascii="Arial" w:hAnsi="Arial" w:cs="Arial"/>
        </w:rPr>
        <w:t xml:space="preserve"> findings to inform healthcare workforce planning and immigration policy evaluation.</w:t>
      </w:r>
    </w:p>
    <w:p w14:paraId="7385695F" w14:textId="77777777" w:rsidR="00505D79" w:rsidRPr="00355CD8" w:rsidRDefault="00505D79" w:rsidP="00E35726">
      <w:pPr>
        <w:pStyle w:val="Heading2"/>
      </w:pPr>
      <w:bookmarkStart w:id="9" w:name="_Toc238200107"/>
      <w:r w:rsidRPr="00355CD8">
        <w:t>1.8 Structure of the Dissertation</w:t>
      </w:r>
      <w:bookmarkEnd w:id="9"/>
    </w:p>
    <w:p w14:paraId="08A12A4A" w14:textId="245B93E4" w:rsidR="00505D79" w:rsidRPr="00355CD8" w:rsidRDefault="00505D79" w:rsidP="00355CD8">
      <w:pPr>
        <w:spacing w:line="360" w:lineRule="auto"/>
        <w:jc w:val="both"/>
        <w:rPr>
          <w:rFonts w:ascii="Arial" w:hAnsi="Arial" w:cs="Arial"/>
        </w:rPr>
      </w:pPr>
      <w:r w:rsidRPr="00355CD8">
        <w:rPr>
          <w:rFonts w:ascii="Arial" w:hAnsi="Arial" w:cs="Arial"/>
        </w:rPr>
        <w:t xml:space="preserve">This dissertation is </w:t>
      </w:r>
      <w:proofErr w:type="spellStart"/>
      <w:r w:rsidRPr="00355CD8">
        <w:rPr>
          <w:rFonts w:ascii="Arial" w:hAnsi="Arial" w:cs="Arial"/>
        </w:rPr>
        <w:t>organised</w:t>
      </w:r>
      <w:proofErr w:type="spellEnd"/>
      <w:r w:rsidRPr="00355CD8">
        <w:rPr>
          <w:rFonts w:ascii="Arial" w:hAnsi="Arial" w:cs="Arial"/>
        </w:rPr>
        <w:t xml:space="preserve"> into six chapters. Chapter 1 </w:t>
      </w:r>
      <w:proofErr w:type="gramStart"/>
      <w:r w:rsidRPr="00355CD8">
        <w:rPr>
          <w:rFonts w:ascii="Arial" w:hAnsi="Arial" w:cs="Arial"/>
        </w:rPr>
        <w:t>has introduced</w:t>
      </w:r>
      <w:proofErr w:type="gramEnd"/>
      <w:r w:rsidRPr="00355CD8">
        <w:rPr>
          <w:rFonts w:ascii="Arial" w:hAnsi="Arial" w:cs="Arial"/>
        </w:rPr>
        <w:t xml:space="preserve"> </w:t>
      </w:r>
      <w:proofErr w:type="gramStart"/>
      <w:r w:rsidRPr="00355CD8">
        <w:rPr>
          <w:rFonts w:ascii="Arial" w:hAnsi="Arial" w:cs="Arial"/>
        </w:rPr>
        <w:t>the research</w:t>
      </w:r>
      <w:proofErr w:type="gramEnd"/>
      <w:r w:rsidRPr="00355CD8">
        <w:rPr>
          <w:rFonts w:ascii="Arial" w:hAnsi="Arial" w:cs="Arial"/>
        </w:rPr>
        <w:t xml:space="preserve"> context, problem, aim, objectives, and questions. Chapter 2 presents a comprehensive literature review, examining Human Capital Theory, the Triple Bottom Line framework, Conservation of Resources Theory, and the UK immigration policy context. It also identifies research gaps and presents a conceptual framework linking policy changes to workforce sustainability outcomes. Chapter 3 describes the research methodology, justifying the positivist philosophy, secondary quantitative design, data sources, and </w:t>
      </w:r>
      <w:r w:rsidRPr="00355CD8">
        <w:rPr>
          <w:rFonts w:ascii="Arial" w:hAnsi="Arial" w:cs="Arial"/>
        </w:rPr>
        <w:lastRenderedPageBreak/>
        <w:t xml:space="preserve">analytical techniques. It also addresses ethical considerations and acknowledges limitations. Chapter 4 presents the findings, including descriptive statistics on visa grant rates, workforce turnover, and regression analysis results. Chapter 5 discusses the findings </w:t>
      </w:r>
      <w:proofErr w:type="gramStart"/>
      <w:r w:rsidRPr="00355CD8">
        <w:rPr>
          <w:rFonts w:ascii="Arial" w:hAnsi="Arial" w:cs="Arial"/>
        </w:rPr>
        <w:t>in light of</w:t>
      </w:r>
      <w:proofErr w:type="gramEnd"/>
      <w:r w:rsidRPr="00355CD8">
        <w:rPr>
          <w:rFonts w:ascii="Arial" w:hAnsi="Arial" w:cs="Arial"/>
        </w:rPr>
        <w:t xml:space="preserve"> the theoretical frameworks, comparing them with existing literature. Chapter 6 concludes with a summary of key findings, practical and theoretical recommendations, and a reflection on the study's limitations and directions for future research.</w:t>
      </w:r>
    </w:p>
    <w:p w14:paraId="473553D7" w14:textId="77777777" w:rsidR="00505D79" w:rsidRPr="00355CD8" w:rsidRDefault="00505D79" w:rsidP="00355CD8">
      <w:pPr>
        <w:spacing w:line="360" w:lineRule="auto"/>
        <w:jc w:val="both"/>
        <w:rPr>
          <w:rFonts w:ascii="Arial" w:hAnsi="Arial" w:cs="Arial"/>
        </w:rPr>
      </w:pPr>
    </w:p>
    <w:p w14:paraId="6FF7DF47" w14:textId="63DE3CC4" w:rsidR="007A4DE6" w:rsidRPr="00355CD8" w:rsidRDefault="007328C1" w:rsidP="00E35726">
      <w:pPr>
        <w:pStyle w:val="Heading1"/>
      </w:pPr>
      <w:bookmarkStart w:id="10" w:name="_Toc238200108"/>
      <w:r w:rsidRPr="00355CD8">
        <w:t xml:space="preserve">Chapter 2: </w:t>
      </w:r>
      <w:r w:rsidR="007A4DE6" w:rsidRPr="00355CD8">
        <w:t>Literature Review</w:t>
      </w:r>
      <w:bookmarkEnd w:id="10"/>
    </w:p>
    <w:p w14:paraId="3DFD44AA" w14:textId="77777777" w:rsidR="007A4DE6" w:rsidRPr="00355CD8" w:rsidRDefault="007A4DE6" w:rsidP="00E35726">
      <w:pPr>
        <w:pStyle w:val="Heading2"/>
      </w:pPr>
      <w:bookmarkStart w:id="11" w:name="_Toc238200109"/>
      <w:r w:rsidRPr="00355CD8">
        <w:t>2.1 Introduction</w:t>
      </w:r>
      <w:bookmarkEnd w:id="11"/>
    </w:p>
    <w:p w14:paraId="3840043A" w14:textId="77777777" w:rsidR="007A4DE6" w:rsidRPr="00355CD8" w:rsidRDefault="007A4DE6" w:rsidP="00355CD8">
      <w:pPr>
        <w:spacing w:line="360" w:lineRule="auto"/>
        <w:jc w:val="both"/>
        <w:rPr>
          <w:rFonts w:ascii="Arial" w:hAnsi="Arial" w:cs="Arial"/>
        </w:rPr>
      </w:pPr>
      <w:r w:rsidRPr="00355CD8">
        <w:rPr>
          <w:rFonts w:ascii="Arial" w:hAnsi="Arial" w:cs="Arial"/>
        </w:rPr>
        <w:t>This chapter presents a comprehensive review of the existing literature relevant to the impact of UK immigration policy changes on human capital sustainability among migrant healthcare support workers. The review is structured to address the four research objectives of this study: (1) to critically evaluate the drivers for changes in UK immigration rules; (2) to identify the key determinants of human capital sustainability among healthcare support workers; (3) to critically evaluate the impact of immigration rule changes on human capital sustainability; and (4) to assess HR strategies for sustaining the healthcare workforce under immigration restrictions.</w:t>
      </w:r>
    </w:p>
    <w:p w14:paraId="0AEEF014"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The chapter is </w:t>
      </w:r>
      <w:proofErr w:type="spellStart"/>
      <w:r w:rsidRPr="00355CD8">
        <w:rPr>
          <w:rFonts w:ascii="Arial" w:hAnsi="Arial" w:cs="Arial"/>
        </w:rPr>
        <w:t>organised</w:t>
      </w:r>
      <w:proofErr w:type="spellEnd"/>
      <w:r w:rsidRPr="00355CD8">
        <w:rPr>
          <w:rFonts w:ascii="Arial" w:hAnsi="Arial" w:cs="Arial"/>
        </w:rPr>
        <w:t xml:space="preserve"> into ten substantive sections. Section 2.2 examines Human Capital Theory, tracing its origins, core concepts, and application to healthcare workforce dynamics. Section 2.3 explores the Triple Bottom Line framework, explaining its adaptation for quantitative analysis of social and economic sustainability. Section 2.4 reviews Conservation of Resources Theory, focusing on its explanatory power for understanding worker withdrawal </w:t>
      </w:r>
      <w:proofErr w:type="spellStart"/>
      <w:r w:rsidRPr="00355CD8">
        <w:rPr>
          <w:rFonts w:ascii="Arial" w:hAnsi="Arial" w:cs="Arial"/>
        </w:rPr>
        <w:t>behaviour</w:t>
      </w:r>
      <w:proofErr w:type="spellEnd"/>
      <w:r w:rsidRPr="00355CD8">
        <w:rPr>
          <w:rFonts w:ascii="Arial" w:hAnsi="Arial" w:cs="Arial"/>
        </w:rPr>
        <w:t xml:space="preserve"> in response to resource threats. Section 2.5 integrates these three theoretical frameworks into a coherent analytical model. Section 2.6 provides a detailed examination of UK immigration policy changes between 2020 and 2026, drawing on official government sources and policy analysis. Section 2.7 reviews the empirical literature on migrant healthcare support workers, their role, challenges, and </w:t>
      </w:r>
      <w:r w:rsidRPr="00355CD8">
        <w:rPr>
          <w:rFonts w:ascii="Arial" w:hAnsi="Arial" w:cs="Arial"/>
        </w:rPr>
        <w:lastRenderedPageBreak/>
        <w:t xml:space="preserve">the factors affecting their retention. Section 2.8 examines HR strategies for sustaining the healthcare workforce under immigration restrictions, including retention strategies, domestic upskilling, and </w:t>
      </w:r>
      <w:proofErr w:type="spellStart"/>
      <w:r w:rsidRPr="00355CD8">
        <w:rPr>
          <w:rFonts w:ascii="Arial" w:hAnsi="Arial" w:cs="Arial"/>
        </w:rPr>
        <w:t>organisational</w:t>
      </w:r>
      <w:proofErr w:type="spellEnd"/>
      <w:r w:rsidRPr="00355CD8">
        <w:rPr>
          <w:rFonts w:ascii="Arial" w:hAnsi="Arial" w:cs="Arial"/>
        </w:rPr>
        <w:t xml:space="preserve"> support. Section 2.9 identifies research gaps, presents the contribution to knowledge, and outlines the conceptual framework guiding this study. Section 2.10 concludes the chapter with a summary of key findings and their implications for the empirical analysis.</w:t>
      </w:r>
    </w:p>
    <w:p w14:paraId="0B7CDBED" w14:textId="77777777" w:rsidR="007A4DE6" w:rsidRPr="00355CD8" w:rsidRDefault="007A4DE6" w:rsidP="00E35726">
      <w:pPr>
        <w:pStyle w:val="Heading2"/>
      </w:pPr>
      <w:bookmarkStart w:id="12" w:name="_Toc238200110"/>
      <w:r w:rsidRPr="00355CD8">
        <w:t>2.2 Human Capital Theory</w:t>
      </w:r>
      <w:bookmarkEnd w:id="12"/>
    </w:p>
    <w:p w14:paraId="500DD077" w14:textId="77777777" w:rsidR="007A4DE6" w:rsidRPr="00355CD8" w:rsidRDefault="007A4DE6" w:rsidP="00E35726">
      <w:pPr>
        <w:pStyle w:val="Heading3"/>
      </w:pPr>
      <w:bookmarkStart w:id="13" w:name="_Toc238200111"/>
      <w:r w:rsidRPr="00355CD8">
        <w:t>2.2.1 Origins and Core Concepts</w:t>
      </w:r>
      <w:bookmarkEnd w:id="13"/>
    </w:p>
    <w:p w14:paraId="3D033601"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Human Capital Theory, originating from the seminal work of Schultz (1961) and Becker (1964), fundamentally </w:t>
      </w:r>
      <w:proofErr w:type="spellStart"/>
      <w:r w:rsidRPr="00355CD8">
        <w:rPr>
          <w:rFonts w:ascii="Arial" w:hAnsi="Arial" w:cs="Arial"/>
        </w:rPr>
        <w:t>reconceptualised</w:t>
      </w:r>
      <w:proofErr w:type="spellEnd"/>
      <w:r w:rsidRPr="00355CD8">
        <w:rPr>
          <w:rFonts w:ascii="Arial" w:hAnsi="Arial" w:cs="Arial"/>
        </w:rPr>
        <w:t xml:space="preserve"> how economists and social scientists understand the role of individuals in economic production. The theory posits that individuals are not passive </w:t>
      </w:r>
      <w:proofErr w:type="spellStart"/>
      <w:r w:rsidRPr="00355CD8">
        <w:rPr>
          <w:rFonts w:ascii="Arial" w:hAnsi="Arial" w:cs="Arial"/>
        </w:rPr>
        <w:t>labour</w:t>
      </w:r>
      <w:proofErr w:type="spellEnd"/>
      <w:r w:rsidRPr="00355CD8">
        <w:rPr>
          <w:rFonts w:ascii="Arial" w:hAnsi="Arial" w:cs="Arial"/>
        </w:rPr>
        <w:t xml:space="preserve"> inputs but active agents who invest in their own knowledge, skills, and competencies – collectively termed 'human capital' – which yield returns in the form of higher productivity, earnings, and economic growth (Becker, 1964). This investment perspective transformed </w:t>
      </w:r>
      <w:proofErr w:type="spellStart"/>
      <w:r w:rsidRPr="00355CD8">
        <w:rPr>
          <w:rFonts w:ascii="Arial" w:hAnsi="Arial" w:cs="Arial"/>
        </w:rPr>
        <w:t>labour</w:t>
      </w:r>
      <w:proofErr w:type="spellEnd"/>
      <w:r w:rsidRPr="00355CD8">
        <w:rPr>
          <w:rFonts w:ascii="Arial" w:hAnsi="Arial" w:cs="Arial"/>
        </w:rPr>
        <w:t xml:space="preserve"> economics by treating education, training, and experience as analogous to physical capital investment: individuals and </w:t>
      </w:r>
      <w:proofErr w:type="spellStart"/>
      <w:r w:rsidRPr="00355CD8">
        <w:rPr>
          <w:rFonts w:ascii="Arial" w:hAnsi="Arial" w:cs="Arial"/>
        </w:rPr>
        <w:t>organisations</w:t>
      </w:r>
      <w:proofErr w:type="spellEnd"/>
      <w:r w:rsidRPr="00355CD8">
        <w:rPr>
          <w:rFonts w:ascii="Arial" w:hAnsi="Arial" w:cs="Arial"/>
        </w:rPr>
        <w:t xml:space="preserve"> allocate resources to human capital development with the expectation of future returns.</w:t>
      </w:r>
    </w:p>
    <w:p w14:paraId="3F3B96DC"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A key distinction within the theory, developed by Becker (1964), is between general human capital and specific human capital. General human capital refers to skills and knowledge that are transferable across employers and industries – such as communication skills, basic numeracy, and general work discipline. Specific human capital, by contrast, refers to skills and knowledge that are valuable only to a particular employer or within a specific </w:t>
      </w:r>
      <w:proofErr w:type="spellStart"/>
      <w:r w:rsidRPr="00355CD8">
        <w:rPr>
          <w:rFonts w:ascii="Arial" w:hAnsi="Arial" w:cs="Arial"/>
        </w:rPr>
        <w:t>organisational</w:t>
      </w:r>
      <w:proofErr w:type="spellEnd"/>
      <w:r w:rsidRPr="00355CD8">
        <w:rPr>
          <w:rFonts w:ascii="Arial" w:hAnsi="Arial" w:cs="Arial"/>
        </w:rPr>
        <w:t xml:space="preserve"> context – such as familiarity with an </w:t>
      </w:r>
      <w:proofErr w:type="spellStart"/>
      <w:r w:rsidRPr="00355CD8">
        <w:rPr>
          <w:rFonts w:ascii="Arial" w:hAnsi="Arial" w:cs="Arial"/>
        </w:rPr>
        <w:t>organisation's</w:t>
      </w:r>
      <w:proofErr w:type="spellEnd"/>
      <w:r w:rsidRPr="00355CD8">
        <w:rPr>
          <w:rFonts w:ascii="Arial" w:hAnsi="Arial" w:cs="Arial"/>
        </w:rPr>
        <w:t xml:space="preserve"> protocols, relationships with colleagues, and understanding of local operational procedures (Becker, 1964). This distinction has profound implications for </w:t>
      </w:r>
      <w:proofErr w:type="spellStart"/>
      <w:r w:rsidRPr="00355CD8">
        <w:rPr>
          <w:rFonts w:ascii="Arial" w:hAnsi="Arial" w:cs="Arial"/>
        </w:rPr>
        <w:t>labour</w:t>
      </w:r>
      <w:proofErr w:type="spellEnd"/>
      <w:r w:rsidRPr="00355CD8">
        <w:rPr>
          <w:rFonts w:ascii="Arial" w:hAnsi="Arial" w:cs="Arial"/>
        </w:rPr>
        <w:t xml:space="preserve"> mobility and workforce sustainability. Workers with high levels of specific human capital are more valuable to their current employer but may face barriers to moving to other employers, while employers have strong incentives to invest in training that develops specific human capital to retain workers and enhance productivity (</w:t>
      </w:r>
      <w:proofErr w:type="spellStart"/>
      <w:r w:rsidRPr="00355CD8">
        <w:rPr>
          <w:rFonts w:ascii="Arial" w:hAnsi="Arial" w:cs="Arial"/>
        </w:rPr>
        <w:t>Slaus</w:t>
      </w:r>
      <w:proofErr w:type="spellEnd"/>
      <w:r w:rsidRPr="00355CD8">
        <w:rPr>
          <w:rFonts w:ascii="Arial" w:hAnsi="Arial" w:cs="Arial"/>
        </w:rPr>
        <w:t xml:space="preserve"> and Jacobs, 2011).</w:t>
      </w:r>
    </w:p>
    <w:p w14:paraId="6C174F3C" w14:textId="77777777" w:rsidR="007A4DE6" w:rsidRPr="00355CD8" w:rsidRDefault="007A4DE6" w:rsidP="00E35726">
      <w:pPr>
        <w:pStyle w:val="Heading3"/>
      </w:pPr>
      <w:bookmarkStart w:id="14" w:name="_Toc238200112"/>
      <w:r w:rsidRPr="00355CD8">
        <w:lastRenderedPageBreak/>
        <w:t>2.2.2 Application to Healthcare Workforce Dynamics</w:t>
      </w:r>
      <w:bookmarkEnd w:id="14"/>
    </w:p>
    <w:p w14:paraId="55479E6A"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Human Capital Theory has been extensively applied to understand healthcare workforce dynamics. Within healthcare </w:t>
      </w:r>
      <w:proofErr w:type="spellStart"/>
      <w:r w:rsidRPr="00355CD8">
        <w:rPr>
          <w:rFonts w:ascii="Arial" w:hAnsi="Arial" w:cs="Arial"/>
        </w:rPr>
        <w:t>organisations</w:t>
      </w:r>
      <w:proofErr w:type="spellEnd"/>
      <w:r w:rsidRPr="00355CD8">
        <w:rPr>
          <w:rFonts w:ascii="Arial" w:hAnsi="Arial" w:cs="Arial"/>
        </w:rPr>
        <w:t>, human capital represents a critical resource because workforce quality directly influences service delivery and patient outcomes (</w:t>
      </w:r>
      <w:proofErr w:type="spellStart"/>
      <w:r w:rsidRPr="00355CD8">
        <w:rPr>
          <w:rFonts w:ascii="Arial" w:hAnsi="Arial" w:cs="Arial"/>
        </w:rPr>
        <w:t>Kabene</w:t>
      </w:r>
      <w:proofErr w:type="spellEnd"/>
      <w:r w:rsidRPr="00355CD8">
        <w:rPr>
          <w:rFonts w:ascii="Arial" w:hAnsi="Arial" w:cs="Arial"/>
        </w:rPr>
        <w:t xml:space="preserve"> et al., 2006). The sustainability of human capital is therefore essential for maintaining healthcare performance over time. Healthcare workers, particularly those in clinical roles, develop substantial specific human capital through on-the-job experience, including knowledge of clinical protocols, familiarity with electronic health records, relationships with multidisciplinary teams, and understanding of local patient populations and community needs (</w:t>
      </w:r>
      <w:proofErr w:type="spellStart"/>
      <w:r w:rsidRPr="00355CD8">
        <w:rPr>
          <w:rFonts w:ascii="Arial" w:hAnsi="Arial" w:cs="Arial"/>
        </w:rPr>
        <w:t>Slaus</w:t>
      </w:r>
      <w:proofErr w:type="spellEnd"/>
      <w:r w:rsidRPr="00355CD8">
        <w:rPr>
          <w:rFonts w:ascii="Arial" w:hAnsi="Arial" w:cs="Arial"/>
        </w:rPr>
        <w:t xml:space="preserve"> and Jacobs, 2011).</w:t>
      </w:r>
    </w:p>
    <w:p w14:paraId="37953ED2"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The theory is particularly relevant for understanding the dynamics of international migration in healthcare. Research has demonstrated that the potential for higher wages in destination countries </w:t>
      </w:r>
      <w:proofErr w:type="spellStart"/>
      <w:r w:rsidRPr="00355CD8">
        <w:rPr>
          <w:rFonts w:ascii="Arial" w:hAnsi="Arial" w:cs="Arial"/>
        </w:rPr>
        <w:t>incentivises</w:t>
      </w:r>
      <w:proofErr w:type="spellEnd"/>
      <w:r w:rsidRPr="00355CD8">
        <w:rPr>
          <w:rFonts w:ascii="Arial" w:hAnsi="Arial" w:cs="Arial"/>
        </w:rPr>
        <w:t xml:space="preserve"> individuals to invest in training and migration, but this investment is contingent on the perceived stability of the host-country </w:t>
      </w:r>
      <w:proofErr w:type="spellStart"/>
      <w:r w:rsidRPr="00355CD8">
        <w:rPr>
          <w:rFonts w:ascii="Arial" w:hAnsi="Arial" w:cs="Arial"/>
        </w:rPr>
        <w:t>labour</w:t>
      </w:r>
      <w:proofErr w:type="spellEnd"/>
      <w:r w:rsidRPr="00355CD8">
        <w:rPr>
          <w:rFonts w:ascii="Arial" w:hAnsi="Arial" w:cs="Arial"/>
        </w:rPr>
        <w:t xml:space="preserve"> market and the ability to </w:t>
      </w:r>
      <w:proofErr w:type="spellStart"/>
      <w:r w:rsidRPr="00355CD8">
        <w:rPr>
          <w:rFonts w:ascii="Arial" w:hAnsi="Arial" w:cs="Arial"/>
        </w:rPr>
        <w:t>realise</w:t>
      </w:r>
      <w:proofErr w:type="spellEnd"/>
      <w:r w:rsidRPr="00355CD8">
        <w:rPr>
          <w:rFonts w:ascii="Arial" w:hAnsi="Arial" w:cs="Arial"/>
        </w:rPr>
        <w:t xml:space="preserve"> returns on that investment (</w:t>
      </w:r>
      <w:proofErr w:type="spellStart"/>
      <w:r w:rsidRPr="00355CD8">
        <w:rPr>
          <w:rFonts w:ascii="Arial" w:hAnsi="Arial" w:cs="Arial"/>
        </w:rPr>
        <w:t>CGDev</w:t>
      </w:r>
      <w:proofErr w:type="spellEnd"/>
      <w:r w:rsidRPr="00355CD8">
        <w:rPr>
          <w:rFonts w:ascii="Arial" w:hAnsi="Arial" w:cs="Arial"/>
        </w:rPr>
        <w:t>, 2024). Becker's human capital theory suggests that increases in potential wages earned by migrant workers should lead to increases in individuals choosing to train for and enter those professions (</w:t>
      </w:r>
      <w:proofErr w:type="spellStart"/>
      <w:r w:rsidRPr="00355CD8">
        <w:rPr>
          <w:rFonts w:ascii="Arial" w:hAnsi="Arial" w:cs="Arial"/>
        </w:rPr>
        <w:t>CGDev</w:t>
      </w:r>
      <w:proofErr w:type="spellEnd"/>
      <w:r w:rsidRPr="00355CD8">
        <w:rPr>
          <w:rFonts w:ascii="Arial" w:hAnsi="Arial" w:cs="Arial"/>
        </w:rPr>
        <w:t>, 2024). This has been observed in the UK context, where the expansion of the Health and Care Worker visa route in 2022 led to a substantial increase in the number of internationally educated nurses and care workers entering the UK (Home Office, 2024; Migration Observatory, 2025).</w:t>
      </w:r>
    </w:p>
    <w:p w14:paraId="7397D0DB" w14:textId="77777777" w:rsidR="007A4DE6" w:rsidRPr="00E35726" w:rsidRDefault="007A4DE6" w:rsidP="00E35726">
      <w:pPr>
        <w:pStyle w:val="Heading3"/>
      </w:pPr>
      <w:bookmarkStart w:id="15" w:name="_Toc238200113"/>
      <w:r w:rsidRPr="00E35726">
        <w:t>2.2.3 Specific Human Capital in the NHS Context</w:t>
      </w:r>
      <w:bookmarkEnd w:id="15"/>
    </w:p>
    <w:p w14:paraId="22346835" w14:textId="77777777" w:rsidR="007A4DE6" w:rsidRPr="00355CD8" w:rsidRDefault="007A4DE6" w:rsidP="00355CD8">
      <w:pPr>
        <w:spacing w:line="360" w:lineRule="auto"/>
        <w:jc w:val="both"/>
        <w:rPr>
          <w:rFonts w:ascii="Arial" w:hAnsi="Arial" w:cs="Arial"/>
        </w:rPr>
      </w:pPr>
      <w:r w:rsidRPr="00355CD8">
        <w:rPr>
          <w:rFonts w:ascii="Arial" w:hAnsi="Arial" w:cs="Arial"/>
        </w:rPr>
        <w:t>The concept of specific human capital is particularly salient in the NHS context. Migrant healthcare support workers develop specific knowledge through their experience in UK healthcare settings, including:</w:t>
      </w:r>
    </w:p>
    <w:p w14:paraId="4F8E7C77" w14:textId="77777777" w:rsidR="007A4DE6" w:rsidRPr="00355CD8" w:rsidRDefault="007A4DE6" w:rsidP="00355CD8">
      <w:pPr>
        <w:spacing w:line="360" w:lineRule="auto"/>
        <w:jc w:val="both"/>
        <w:rPr>
          <w:rFonts w:ascii="Arial" w:hAnsi="Arial" w:cs="Arial"/>
        </w:rPr>
      </w:pPr>
      <w:r w:rsidRPr="00355CD8">
        <w:rPr>
          <w:rFonts w:ascii="Arial" w:hAnsi="Arial" w:cs="Arial"/>
        </w:rPr>
        <w:t>Clinical protocols and procedures: Understanding of NHS guidelines, patient safety protocols, and clinical governance frameworks.</w:t>
      </w:r>
    </w:p>
    <w:p w14:paraId="2849B873" w14:textId="77777777" w:rsidR="007A4DE6" w:rsidRPr="00355CD8" w:rsidRDefault="007A4DE6" w:rsidP="00355CD8">
      <w:pPr>
        <w:spacing w:line="360" w:lineRule="auto"/>
        <w:jc w:val="both"/>
        <w:rPr>
          <w:rFonts w:ascii="Arial" w:hAnsi="Arial" w:cs="Arial"/>
        </w:rPr>
      </w:pPr>
      <w:r w:rsidRPr="00355CD8">
        <w:rPr>
          <w:rFonts w:ascii="Arial" w:hAnsi="Arial" w:cs="Arial"/>
        </w:rPr>
        <w:t>Team dynamics: Relationships with colleagues, understanding of team roles and responsibilities, and effective communication within multidisciplinary teams.</w:t>
      </w:r>
    </w:p>
    <w:p w14:paraId="2F35D7BD" w14:textId="77777777" w:rsidR="007A4DE6" w:rsidRPr="00355CD8" w:rsidRDefault="007A4DE6" w:rsidP="00355CD8">
      <w:pPr>
        <w:spacing w:line="360" w:lineRule="auto"/>
        <w:jc w:val="both"/>
        <w:rPr>
          <w:rFonts w:ascii="Arial" w:hAnsi="Arial" w:cs="Arial"/>
        </w:rPr>
      </w:pPr>
      <w:r w:rsidRPr="00355CD8">
        <w:rPr>
          <w:rFonts w:ascii="Arial" w:hAnsi="Arial" w:cs="Arial"/>
        </w:rPr>
        <w:lastRenderedPageBreak/>
        <w:t>Local patient populations: Familiarity with the demographic characteristics, health needs, and cultural contexts of the communities they serve.</w:t>
      </w:r>
    </w:p>
    <w:p w14:paraId="3FA23DD5" w14:textId="77777777" w:rsidR="007A4DE6" w:rsidRPr="00355CD8" w:rsidRDefault="007A4DE6" w:rsidP="00355CD8">
      <w:pPr>
        <w:spacing w:line="360" w:lineRule="auto"/>
        <w:jc w:val="both"/>
        <w:rPr>
          <w:rFonts w:ascii="Arial" w:hAnsi="Arial" w:cs="Arial"/>
        </w:rPr>
      </w:pPr>
      <w:proofErr w:type="spellStart"/>
      <w:r w:rsidRPr="00355CD8">
        <w:rPr>
          <w:rFonts w:ascii="Arial" w:hAnsi="Arial" w:cs="Arial"/>
        </w:rPr>
        <w:t>Organisational</w:t>
      </w:r>
      <w:proofErr w:type="spellEnd"/>
      <w:r w:rsidRPr="00355CD8">
        <w:rPr>
          <w:rFonts w:ascii="Arial" w:hAnsi="Arial" w:cs="Arial"/>
        </w:rPr>
        <w:t xml:space="preserve"> culture: Understanding of NHS values, workplace norms, and informal practices that facilitate effective service delivery.</w:t>
      </w:r>
    </w:p>
    <w:p w14:paraId="4E2AFBDB"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The loss of such specific human capital imposes high costs on healthcare </w:t>
      </w:r>
      <w:proofErr w:type="spellStart"/>
      <w:r w:rsidRPr="00355CD8">
        <w:rPr>
          <w:rFonts w:ascii="Arial" w:hAnsi="Arial" w:cs="Arial"/>
        </w:rPr>
        <w:t>organisations</w:t>
      </w:r>
      <w:proofErr w:type="spellEnd"/>
      <w:r w:rsidRPr="00355CD8">
        <w:rPr>
          <w:rFonts w:ascii="Arial" w:hAnsi="Arial" w:cs="Arial"/>
        </w:rPr>
        <w:t>. When a migrant worker leaves, the employer loses not only the worker's current contribution but also the investment made in their training and development (</w:t>
      </w:r>
      <w:proofErr w:type="spellStart"/>
      <w:r w:rsidRPr="00355CD8">
        <w:rPr>
          <w:rFonts w:ascii="Arial" w:hAnsi="Arial" w:cs="Arial"/>
        </w:rPr>
        <w:t>Slaus</w:t>
      </w:r>
      <w:proofErr w:type="spellEnd"/>
      <w:r w:rsidRPr="00355CD8">
        <w:rPr>
          <w:rFonts w:ascii="Arial" w:hAnsi="Arial" w:cs="Arial"/>
        </w:rPr>
        <w:t xml:space="preserve"> and Jacobs, 2011). Moreover, the loss of team dynamics and local knowledge can disrupt service delivery and patient care. Research has shown that high staff turnover in healthcare is associated with reduced quality of care, increased patient mortality, and higher operational costs (</w:t>
      </w:r>
      <w:proofErr w:type="spellStart"/>
      <w:r w:rsidRPr="00355CD8">
        <w:rPr>
          <w:rFonts w:ascii="Arial" w:hAnsi="Arial" w:cs="Arial"/>
        </w:rPr>
        <w:t>Kabene</w:t>
      </w:r>
      <w:proofErr w:type="spellEnd"/>
      <w:r w:rsidRPr="00355CD8">
        <w:rPr>
          <w:rFonts w:ascii="Arial" w:hAnsi="Arial" w:cs="Arial"/>
        </w:rPr>
        <w:t xml:space="preserve"> et al., 2006).</w:t>
      </w:r>
    </w:p>
    <w:p w14:paraId="620CD47A" w14:textId="77777777" w:rsidR="007A4DE6" w:rsidRPr="00355CD8" w:rsidRDefault="007A4DE6" w:rsidP="00E35726">
      <w:pPr>
        <w:pStyle w:val="Heading3"/>
      </w:pPr>
      <w:bookmarkStart w:id="16" w:name="_Toc238200114"/>
      <w:r w:rsidRPr="00355CD8">
        <w:t>2.2.4 Human Capital and Immigration Policy</w:t>
      </w:r>
      <w:bookmarkEnd w:id="16"/>
    </w:p>
    <w:p w14:paraId="214036F2" w14:textId="77777777" w:rsidR="007A4DE6" w:rsidRPr="00355CD8" w:rsidRDefault="007A4DE6" w:rsidP="00355CD8">
      <w:pPr>
        <w:spacing w:line="360" w:lineRule="auto"/>
        <w:jc w:val="both"/>
        <w:rPr>
          <w:rFonts w:ascii="Arial" w:hAnsi="Arial" w:cs="Arial"/>
        </w:rPr>
      </w:pPr>
      <w:r w:rsidRPr="00355CD8">
        <w:rPr>
          <w:rFonts w:ascii="Arial" w:hAnsi="Arial" w:cs="Arial"/>
        </w:rPr>
        <w:t>The relationship between immigration policy and human capital investment is bidirectional. On one hand, immigration policies that create uncertainty about long-term settlement reduce incentives for both employers and employees to invest in specific human capital (Stewart and Mulvey, 2014). When workers perceive their future status as uncertain, they may be less likely to pursue career development opportunities or establish long-term professional commitments within the host country. Similarly, employers may be reluctant to invest in training for workers who may not remain in their employment.</w:t>
      </w:r>
    </w:p>
    <w:p w14:paraId="3788A799" w14:textId="77777777" w:rsidR="007A4DE6" w:rsidRPr="00355CD8" w:rsidRDefault="007A4DE6" w:rsidP="00355CD8">
      <w:pPr>
        <w:spacing w:line="360" w:lineRule="auto"/>
        <w:jc w:val="both"/>
        <w:rPr>
          <w:rFonts w:ascii="Arial" w:hAnsi="Arial" w:cs="Arial"/>
        </w:rPr>
      </w:pPr>
      <w:r w:rsidRPr="00355CD8">
        <w:rPr>
          <w:rFonts w:ascii="Arial" w:hAnsi="Arial" w:cs="Arial"/>
        </w:rPr>
        <w:t>On the other hand, immigration policies that facilitate long-term settlement and provide clear pathways to permanent residency can enhance human capital investment. Research has shown that temporary immigration arrangements create uncertainty among migrant workers and discourage long-term investment in host-country specific human capital (Stewart and Mulvey, 2014). The 2025 immigration reforms, by removing the expectation of long-term settlement for care workers and proposing to extend the Indefinite Leave to Remain qualifying period, may therefore reduce investment in UK-specific training and weaken workforce sustainability (Home Office, 2025b; RCN, 2026).</w:t>
      </w:r>
    </w:p>
    <w:p w14:paraId="5CCF2FD2" w14:textId="61B1298C" w:rsidR="007A4DE6" w:rsidRPr="00355CD8" w:rsidRDefault="007A4DE6" w:rsidP="00355CD8">
      <w:pPr>
        <w:spacing w:line="360" w:lineRule="auto"/>
        <w:jc w:val="both"/>
        <w:rPr>
          <w:rFonts w:ascii="Arial" w:hAnsi="Arial" w:cs="Arial"/>
        </w:rPr>
      </w:pPr>
      <w:r w:rsidRPr="00355CD8">
        <w:rPr>
          <w:rFonts w:ascii="Arial" w:hAnsi="Arial" w:cs="Arial"/>
        </w:rPr>
        <w:t xml:space="preserve">The UK's reliance on international recruitment has also raised ethical concerns. The healthcare system has become increasingly dependent on staff from countries on the </w:t>
      </w:r>
      <w:r w:rsidRPr="00355CD8">
        <w:rPr>
          <w:rFonts w:ascii="Arial" w:hAnsi="Arial" w:cs="Arial"/>
        </w:rPr>
        <w:lastRenderedPageBreak/>
        <w:t xml:space="preserve">World Health </w:t>
      </w:r>
      <w:proofErr w:type="spellStart"/>
      <w:r w:rsidRPr="00355CD8">
        <w:rPr>
          <w:rFonts w:ascii="Arial" w:hAnsi="Arial" w:cs="Arial"/>
        </w:rPr>
        <w:t>Organi</w:t>
      </w:r>
      <w:r w:rsidR="00D857FC" w:rsidRPr="00355CD8">
        <w:rPr>
          <w:rFonts w:ascii="Arial" w:hAnsi="Arial" w:cs="Arial"/>
        </w:rPr>
        <w:t>s</w:t>
      </w:r>
      <w:r w:rsidRPr="00355CD8">
        <w:rPr>
          <w:rFonts w:ascii="Arial" w:hAnsi="Arial" w:cs="Arial"/>
        </w:rPr>
        <w:t>ation's</w:t>
      </w:r>
      <w:proofErr w:type="spellEnd"/>
      <w:r w:rsidRPr="00355CD8">
        <w:rPr>
          <w:rFonts w:ascii="Arial" w:hAnsi="Arial" w:cs="Arial"/>
        </w:rPr>
        <w:t xml:space="preserve"> 'red list' – nations with critical health workforce shortages themselves (Nuffield Trust, 2025). Over 20,000 clinical staff from these countries were added to the NHS workforce between 2023 and 2024 (Nuffield Trust, 2025). Nine per cent of UK doctors are now from countries on the WHO 'red list' (PMC, 2025). While this recruitment fills immediate gaps, it raises questions about global health equity and the sustainability of the UK's reliance on migrant </w:t>
      </w:r>
      <w:proofErr w:type="spellStart"/>
      <w:r w:rsidRPr="00355CD8">
        <w:rPr>
          <w:rFonts w:ascii="Arial" w:hAnsi="Arial" w:cs="Arial"/>
        </w:rPr>
        <w:t>labour</w:t>
      </w:r>
      <w:proofErr w:type="spellEnd"/>
      <w:r w:rsidRPr="00355CD8">
        <w:rPr>
          <w:rFonts w:ascii="Arial" w:hAnsi="Arial" w:cs="Arial"/>
        </w:rPr>
        <w:t xml:space="preserve"> </w:t>
      </w:r>
      <w:r w:rsidR="00251AFF" w:rsidRPr="00355CD8">
        <w:rPr>
          <w:rFonts w:ascii="Arial" w:hAnsi="Arial" w:cs="Arial"/>
        </w:rPr>
        <w:t>(Anderson</w:t>
      </w:r>
      <w:r w:rsidR="00D857FC" w:rsidRPr="00355CD8">
        <w:rPr>
          <w:rFonts w:ascii="Arial" w:hAnsi="Arial" w:cs="Arial"/>
        </w:rPr>
        <w:t xml:space="preserve"> </w:t>
      </w:r>
      <w:r w:rsidR="00251AFF" w:rsidRPr="00355CD8">
        <w:rPr>
          <w:rFonts w:ascii="Arial" w:hAnsi="Arial" w:cs="Arial"/>
        </w:rPr>
        <w:t>et al.,</w:t>
      </w:r>
      <w:r w:rsidRPr="00355CD8">
        <w:rPr>
          <w:rFonts w:ascii="Arial" w:hAnsi="Arial" w:cs="Arial"/>
        </w:rPr>
        <w:t xml:space="preserve"> 2021).</w:t>
      </w:r>
    </w:p>
    <w:p w14:paraId="136A67D4" w14:textId="77777777" w:rsidR="007A4DE6" w:rsidRPr="00355CD8" w:rsidRDefault="007A4DE6" w:rsidP="00E35726">
      <w:pPr>
        <w:pStyle w:val="Heading2"/>
      </w:pPr>
      <w:bookmarkStart w:id="17" w:name="_Toc238200115"/>
      <w:r w:rsidRPr="00355CD8">
        <w:t>2.3 Triple Bottom Line (TBL) Framework</w:t>
      </w:r>
      <w:bookmarkEnd w:id="17"/>
    </w:p>
    <w:p w14:paraId="741DF000" w14:textId="77777777" w:rsidR="007A4DE6" w:rsidRPr="00355CD8" w:rsidRDefault="007A4DE6" w:rsidP="00E35726">
      <w:pPr>
        <w:pStyle w:val="Heading3"/>
      </w:pPr>
      <w:bookmarkStart w:id="18" w:name="_Toc238200116"/>
      <w:r w:rsidRPr="00355CD8">
        <w:t>2.3.1 Origins and Conceptual Foundations</w:t>
      </w:r>
      <w:bookmarkEnd w:id="18"/>
    </w:p>
    <w:p w14:paraId="3B8D34D9"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The Triple Bottom Line framework was introduced by Elkington (1997) as a radical rethinking of corporate performance measurement. Traditional business accounting focused exclusively on financial performance – the 'single bottom line'. Elkington argued that </w:t>
      </w:r>
      <w:proofErr w:type="spellStart"/>
      <w:r w:rsidRPr="00355CD8">
        <w:rPr>
          <w:rFonts w:ascii="Arial" w:hAnsi="Arial" w:cs="Arial"/>
        </w:rPr>
        <w:t>organisations</w:t>
      </w:r>
      <w:proofErr w:type="spellEnd"/>
      <w:r w:rsidRPr="00355CD8">
        <w:rPr>
          <w:rFonts w:ascii="Arial" w:hAnsi="Arial" w:cs="Arial"/>
        </w:rPr>
        <w:t xml:space="preserve"> should be evaluated on three dimensions: economic, social, and environmental – the 'triple bottom line'. This framework challenged the narrow focus on shareholder value and called for a broader conception of </w:t>
      </w:r>
      <w:proofErr w:type="spellStart"/>
      <w:r w:rsidRPr="00355CD8">
        <w:rPr>
          <w:rFonts w:ascii="Arial" w:hAnsi="Arial" w:cs="Arial"/>
        </w:rPr>
        <w:t>organisational</w:t>
      </w:r>
      <w:proofErr w:type="spellEnd"/>
      <w:r w:rsidRPr="00355CD8">
        <w:rPr>
          <w:rFonts w:ascii="Arial" w:hAnsi="Arial" w:cs="Arial"/>
        </w:rPr>
        <w:t xml:space="preserve"> responsibility that encompasses stakeholders, communities, and the natural environment.</w:t>
      </w:r>
    </w:p>
    <w:p w14:paraId="3331449F"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The economic pillar encompasses traditional financial performance, including profitability, shareholder returns, and economic value creation. The social pillar concerns the </w:t>
      </w:r>
      <w:proofErr w:type="spellStart"/>
      <w:r w:rsidRPr="00355CD8">
        <w:rPr>
          <w:rFonts w:ascii="Arial" w:hAnsi="Arial" w:cs="Arial"/>
        </w:rPr>
        <w:t>organisation's</w:t>
      </w:r>
      <w:proofErr w:type="spellEnd"/>
      <w:r w:rsidRPr="00355CD8">
        <w:rPr>
          <w:rFonts w:ascii="Arial" w:hAnsi="Arial" w:cs="Arial"/>
        </w:rPr>
        <w:t xml:space="preserve"> impact on people, including employees, customers, communities, and broader society – encompassing issues such as </w:t>
      </w:r>
      <w:proofErr w:type="spellStart"/>
      <w:r w:rsidRPr="00355CD8">
        <w:rPr>
          <w:rFonts w:ascii="Arial" w:hAnsi="Arial" w:cs="Arial"/>
        </w:rPr>
        <w:t>labour</w:t>
      </w:r>
      <w:proofErr w:type="spellEnd"/>
      <w:r w:rsidRPr="00355CD8">
        <w:rPr>
          <w:rFonts w:ascii="Arial" w:hAnsi="Arial" w:cs="Arial"/>
        </w:rPr>
        <w:t xml:space="preserve"> practices, human rights, community engagement, and social equity. The environmental pillar addresses the </w:t>
      </w:r>
      <w:proofErr w:type="spellStart"/>
      <w:r w:rsidRPr="00355CD8">
        <w:rPr>
          <w:rFonts w:ascii="Arial" w:hAnsi="Arial" w:cs="Arial"/>
        </w:rPr>
        <w:t>organisation's</w:t>
      </w:r>
      <w:proofErr w:type="spellEnd"/>
      <w:r w:rsidRPr="00355CD8">
        <w:rPr>
          <w:rFonts w:ascii="Arial" w:hAnsi="Arial" w:cs="Arial"/>
        </w:rPr>
        <w:t xml:space="preserve"> impact on the natural environment, including resource consumption, waste generation, emissions, and ecological footprint (</w:t>
      </w:r>
      <w:proofErr w:type="spellStart"/>
      <w:r w:rsidRPr="00355CD8">
        <w:rPr>
          <w:rFonts w:ascii="Arial" w:hAnsi="Arial" w:cs="Arial"/>
        </w:rPr>
        <w:t>Alhaddi</w:t>
      </w:r>
      <w:proofErr w:type="spellEnd"/>
      <w:r w:rsidRPr="00355CD8">
        <w:rPr>
          <w:rFonts w:ascii="Arial" w:hAnsi="Arial" w:cs="Arial"/>
        </w:rPr>
        <w:t>, 2015).</w:t>
      </w:r>
    </w:p>
    <w:p w14:paraId="04224ECC" w14:textId="77777777" w:rsidR="007A4DE6" w:rsidRPr="00355CD8" w:rsidRDefault="007A4DE6" w:rsidP="00E35726">
      <w:pPr>
        <w:pStyle w:val="Heading3"/>
      </w:pPr>
      <w:bookmarkStart w:id="19" w:name="_Toc238200117"/>
      <w:r w:rsidRPr="00355CD8">
        <w:t>2.3.2 Adaptation for Healthcare Workforce Analysis</w:t>
      </w:r>
      <w:bookmarkEnd w:id="19"/>
    </w:p>
    <w:p w14:paraId="3335A314" w14:textId="77777777" w:rsidR="007A4DE6" w:rsidRPr="00355CD8" w:rsidRDefault="007A4DE6" w:rsidP="00355CD8">
      <w:pPr>
        <w:spacing w:line="360" w:lineRule="auto"/>
        <w:jc w:val="both"/>
        <w:rPr>
          <w:rFonts w:ascii="Arial" w:hAnsi="Arial" w:cs="Arial"/>
        </w:rPr>
      </w:pPr>
      <w:r w:rsidRPr="00355CD8">
        <w:rPr>
          <w:rFonts w:ascii="Arial" w:hAnsi="Arial" w:cs="Arial"/>
        </w:rPr>
        <w:t>This study adapts TBL to focus on </w:t>
      </w:r>
      <w:r w:rsidRPr="00355CD8">
        <w:rPr>
          <w:rFonts w:ascii="Arial" w:hAnsi="Arial" w:cs="Arial"/>
          <w:b/>
          <w:bCs/>
        </w:rPr>
        <w:t>social</w:t>
      </w:r>
      <w:r w:rsidRPr="00355CD8">
        <w:rPr>
          <w:rFonts w:ascii="Arial" w:hAnsi="Arial" w:cs="Arial"/>
        </w:rPr>
        <w:t> and </w:t>
      </w:r>
      <w:r w:rsidRPr="00355CD8">
        <w:rPr>
          <w:rFonts w:ascii="Arial" w:hAnsi="Arial" w:cs="Arial"/>
          <w:b/>
          <w:bCs/>
        </w:rPr>
        <w:t>economic</w:t>
      </w:r>
      <w:r w:rsidRPr="00355CD8">
        <w:rPr>
          <w:rFonts w:ascii="Arial" w:hAnsi="Arial" w:cs="Arial"/>
        </w:rPr>
        <w:t xml:space="preserve"> sustainability, </w:t>
      </w:r>
      <w:proofErr w:type="spellStart"/>
      <w:r w:rsidRPr="00355CD8">
        <w:rPr>
          <w:rFonts w:ascii="Arial" w:hAnsi="Arial" w:cs="Arial"/>
        </w:rPr>
        <w:t>recognising</w:t>
      </w:r>
      <w:proofErr w:type="spellEnd"/>
      <w:r w:rsidRPr="00355CD8">
        <w:rPr>
          <w:rFonts w:ascii="Arial" w:hAnsi="Arial" w:cs="Arial"/>
        </w:rPr>
        <w:t xml:space="preserve"> that the environmental dimension is not directly implicated in the relationship between immigration policy and workforce retention. This adaptation is consistent with healthcare sustainability research that selectively applies TBL dimensions based on research context (</w:t>
      </w:r>
      <w:proofErr w:type="spellStart"/>
      <w:r w:rsidRPr="00355CD8">
        <w:rPr>
          <w:rFonts w:ascii="Arial" w:hAnsi="Arial" w:cs="Arial"/>
        </w:rPr>
        <w:t>Alhaddi</w:t>
      </w:r>
      <w:proofErr w:type="spellEnd"/>
      <w:r w:rsidRPr="00355CD8">
        <w:rPr>
          <w:rFonts w:ascii="Arial" w:hAnsi="Arial" w:cs="Arial"/>
        </w:rPr>
        <w:t>, 2015).</w:t>
      </w:r>
    </w:p>
    <w:p w14:paraId="2BBE0E3C" w14:textId="77777777" w:rsidR="007A4DE6" w:rsidRPr="00355CD8" w:rsidRDefault="007A4DE6" w:rsidP="00355CD8">
      <w:pPr>
        <w:spacing w:line="360" w:lineRule="auto"/>
        <w:jc w:val="both"/>
        <w:rPr>
          <w:rFonts w:ascii="Arial" w:hAnsi="Arial" w:cs="Arial"/>
        </w:rPr>
      </w:pPr>
      <w:r w:rsidRPr="00355CD8">
        <w:rPr>
          <w:rFonts w:ascii="Arial" w:hAnsi="Arial" w:cs="Arial"/>
        </w:rPr>
        <w:lastRenderedPageBreak/>
        <w:t xml:space="preserve">Social sustainability encompasses workforce wellbeing, equity, and opportunity. Key indicators include family unity – the ability to bring </w:t>
      </w:r>
      <w:proofErr w:type="spellStart"/>
      <w:r w:rsidRPr="00355CD8">
        <w:rPr>
          <w:rFonts w:ascii="Arial" w:hAnsi="Arial" w:cs="Arial"/>
        </w:rPr>
        <w:t>dependants</w:t>
      </w:r>
      <w:proofErr w:type="spellEnd"/>
      <w:r w:rsidRPr="00355CD8">
        <w:rPr>
          <w:rFonts w:ascii="Arial" w:hAnsi="Arial" w:cs="Arial"/>
        </w:rPr>
        <w:t xml:space="preserve"> (Home Office, 2025b); fair treatment – freedom from discrimination; training and career progression (Skills for Care, 2024); and job security. Economic sustainability encompasses the healthcare system's ability to maintain a stable, cost</w:t>
      </w:r>
      <w:r w:rsidRPr="00355CD8">
        <w:rPr>
          <w:rFonts w:ascii="Arial" w:hAnsi="Arial" w:cs="Arial"/>
        </w:rPr>
        <w:noBreakHyphen/>
        <w:t>effective workforce. Key indicators include workforce stability, cost</w:t>
      </w:r>
      <w:r w:rsidRPr="00355CD8">
        <w:rPr>
          <w:rFonts w:ascii="Arial" w:hAnsi="Arial" w:cs="Arial"/>
        </w:rPr>
        <w:noBreakHyphen/>
        <w:t>effectiveness, and productivity.</w:t>
      </w:r>
    </w:p>
    <w:p w14:paraId="3534D0B7" w14:textId="77777777" w:rsidR="007A4DE6" w:rsidRPr="00355CD8" w:rsidRDefault="007A4DE6" w:rsidP="00E35726">
      <w:pPr>
        <w:pStyle w:val="Heading3"/>
      </w:pPr>
      <w:bookmarkStart w:id="20" w:name="_Toc238200118"/>
      <w:r w:rsidRPr="00355CD8">
        <w:t xml:space="preserve">2.3.3 </w:t>
      </w:r>
      <w:proofErr w:type="spellStart"/>
      <w:r w:rsidRPr="00355CD8">
        <w:t>Operationalising</w:t>
      </w:r>
      <w:proofErr w:type="spellEnd"/>
      <w:r w:rsidRPr="00355CD8">
        <w:t xml:space="preserve"> TBL for Quantitative Analysis</w:t>
      </w:r>
      <w:bookmarkEnd w:id="20"/>
    </w:p>
    <w:p w14:paraId="4637C9CE" w14:textId="77777777" w:rsidR="007A4DE6" w:rsidRPr="00355CD8" w:rsidRDefault="007A4DE6" w:rsidP="00355CD8">
      <w:pPr>
        <w:spacing w:line="360" w:lineRule="auto"/>
        <w:jc w:val="both"/>
        <w:rPr>
          <w:rFonts w:ascii="Arial" w:hAnsi="Arial" w:cs="Arial"/>
        </w:rPr>
      </w:pPr>
      <w:r w:rsidRPr="00355CD8">
        <w:rPr>
          <w:rFonts w:ascii="Arial" w:hAnsi="Arial" w:cs="Arial"/>
        </w:rPr>
        <w:t>A legitimate criticism of the Triple Bottom Line framework is that it can become a vague 'checklist' rather than an analytical tool (</w:t>
      </w:r>
      <w:proofErr w:type="spellStart"/>
      <w:r w:rsidRPr="00355CD8">
        <w:rPr>
          <w:rFonts w:ascii="Arial" w:hAnsi="Arial" w:cs="Arial"/>
        </w:rPr>
        <w:t>Alhaddi</w:t>
      </w:r>
      <w:proofErr w:type="spellEnd"/>
      <w:r w:rsidRPr="00355CD8">
        <w:rPr>
          <w:rFonts w:ascii="Arial" w:hAnsi="Arial" w:cs="Arial"/>
        </w:rPr>
        <w:t xml:space="preserve">, 2015). To avoid this, this study </w:t>
      </w:r>
      <w:proofErr w:type="spellStart"/>
      <w:r w:rsidRPr="00355CD8">
        <w:rPr>
          <w:rFonts w:ascii="Arial" w:hAnsi="Arial" w:cs="Arial"/>
        </w:rPr>
        <w:t>operationalises</w:t>
      </w:r>
      <w:proofErr w:type="spellEnd"/>
      <w:r w:rsidRPr="00355CD8">
        <w:rPr>
          <w:rFonts w:ascii="Arial" w:hAnsi="Arial" w:cs="Arial"/>
        </w:rPr>
        <w:t xml:space="preserve"> each pillar with measurable indicators drawn from Home Office and ONS data, ensuring that the analysis moves beyond abstract principles to a testable evaluation of </w:t>
      </w:r>
      <w:proofErr w:type="gramStart"/>
      <w:r w:rsidRPr="00355CD8">
        <w:rPr>
          <w:rFonts w:ascii="Arial" w:hAnsi="Arial" w:cs="Arial"/>
        </w:rPr>
        <w:t>trade</w:t>
      </w:r>
      <w:r w:rsidRPr="00355CD8">
        <w:rPr>
          <w:rFonts w:ascii="Arial" w:hAnsi="Arial" w:cs="Arial"/>
        </w:rPr>
        <w:noBreakHyphen/>
        <w:t>offs</w:t>
      </w:r>
      <w:proofErr w:type="gramEnd"/>
      <w:r w:rsidRPr="00355CD8">
        <w:rPr>
          <w:rFonts w:ascii="Arial" w:hAnsi="Arial" w:cs="Arial"/>
        </w:rPr>
        <w:t>.</w:t>
      </w:r>
    </w:p>
    <w:p w14:paraId="6545CF0E"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For social sustainability, three key indicators have been identified. The first is visa grant rates for </w:t>
      </w:r>
      <w:proofErr w:type="spellStart"/>
      <w:r w:rsidRPr="00355CD8">
        <w:rPr>
          <w:rFonts w:ascii="Arial" w:hAnsi="Arial" w:cs="Arial"/>
        </w:rPr>
        <w:t>dependants</w:t>
      </w:r>
      <w:proofErr w:type="spellEnd"/>
      <w:r w:rsidRPr="00355CD8">
        <w:rPr>
          <w:rFonts w:ascii="Arial" w:hAnsi="Arial" w:cs="Arial"/>
        </w:rPr>
        <w:t xml:space="preserve"> of HCSWs, which serves as a proxy for family unity and the ability of migrant workers to maintain family relationships. The second is the proportion of migrant HCSWs reporting intentions to remain in the UK long</w:t>
      </w:r>
      <w:r w:rsidRPr="00355CD8">
        <w:rPr>
          <w:rFonts w:ascii="Arial" w:hAnsi="Arial" w:cs="Arial"/>
        </w:rPr>
        <w:noBreakHyphen/>
        <w:t xml:space="preserve">term, which, where available from existing secondary surveys, indicates workforce commitment and the perceived attractiveness of the UK as a destination. The third is the number of </w:t>
      </w:r>
      <w:proofErr w:type="spellStart"/>
      <w:r w:rsidRPr="00355CD8">
        <w:rPr>
          <w:rFonts w:ascii="Arial" w:hAnsi="Arial" w:cs="Arial"/>
        </w:rPr>
        <w:t>dependant</w:t>
      </w:r>
      <w:proofErr w:type="spellEnd"/>
      <w:r w:rsidRPr="00355CD8">
        <w:rPr>
          <w:rFonts w:ascii="Arial" w:hAnsi="Arial" w:cs="Arial"/>
        </w:rPr>
        <w:t xml:space="preserve"> visas granted per HCSW applicant, which provides a quantitative proxy for family unity that can be tracked over time.</w:t>
      </w:r>
    </w:p>
    <w:p w14:paraId="42254984" w14:textId="77777777" w:rsidR="007A4DE6" w:rsidRPr="00355CD8" w:rsidRDefault="007A4DE6" w:rsidP="00355CD8">
      <w:pPr>
        <w:spacing w:line="360" w:lineRule="auto"/>
        <w:jc w:val="both"/>
        <w:rPr>
          <w:rFonts w:ascii="Arial" w:hAnsi="Arial" w:cs="Arial"/>
        </w:rPr>
      </w:pPr>
      <w:r w:rsidRPr="00355CD8">
        <w:rPr>
          <w:rFonts w:ascii="Arial" w:hAnsi="Arial" w:cs="Arial"/>
        </w:rPr>
        <w:t>For economic sustainability, three key indicators have also been identified. The first is the estimated cost of replacing a departing HCSW, including recruitment, relocation, and training costs. The second is a comparison of visa fee revenues versus NHS recruitment expenditure, which provides insight into the financial flows associated with international recruitment. The third is the Home Office's modelled 'outflow profiles', which project workforce departures under different policy scenarios (Home Office, 2025b).</w:t>
      </w:r>
    </w:p>
    <w:p w14:paraId="3B78C705" w14:textId="5BF98D31" w:rsidR="007A4DE6" w:rsidRPr="00355CD8" w:rsidRDefault="007A4DE6" w:rsidP="00355CD8">
      <w:pPr>
        <w:spacing w:line="360" w:lineRule="auto"/>
        <w:jc w:val="both"/>
        <w:rPr>
          <w:rFonts w:ascii="Arial" w:hAnsi="Arial" w:cs="Arial"/>
        </w:rPr>
      </w:pPr>
      <w:r w:rsidRPr="00355CD8">
        <w:rPr>
          <w:rFonts w:ascii="Arial" w:hAnsi="Arial" w:cs="Arial"/>
        </w:rPr>
        <w:t xml:space="preserve">By anchoring TBL to these specific, observable metrics, the analysis can evaluate the </w:t>
      </w:r>
      <w:proofErr w:type="gramStart"/>
      <w:r w:rsidRPr="00355CD8">
        <w:rPr>
          <w:rFonts w:ascii="Arial" w:hAnsi="Arial" w:cs="Arial"/>
        </w:rPr>
        <w:t>trade</w:t>
      </w:r>
      <w:r w:rsidRPr="00355CD8">
        <w:rPr>
          <w:rFonts w:ascii="Arial" w:hAnsi="Arial" w:cs="Arial"/>
        </w:rPr>
        <w:noBreakHyphen/>
        <w:t>offs</w:t>
      </w:r>
      <w:proofErr w:type="gramEnd"/>
      <w:r w:rsidRPr="00355CD8">
        <w:rPr>
          <w:rFonts w:ascii="Arial" w:hAnsi="Arial" w:cs="Arial"/>
        </w:rPr>
        <w:t xml:space="preserve"> between social and economic sustainability. Policies designed to reduce net migration may achieve </w:t>
      </w:r>
      <w:proofErr w:type="gramStart"/>
      <w:r w:rsidRPr="00355CD8">
        <w:rPr>
          <w:rFonts w:ascii="Arial" w:hAnsi="Arial" w:cs="Arial"/>
        </w:rPr>
        <w:t>short</w:t>
      </w:r>
      <w:r w:rsidRPr="00355CD8">
        <w:rPr>
          <w:rFonts w:ascii="Arial" w:hAnsi="Arial" w:cs="Arial"/>
        </w:rPr>
        <w:noBreakHyphen/>
        <w:t>term</w:t>
      </w:r>
      <w:proofErr w:type="gramEnd"/>
      <w:r w:rsidRPr="00355CD8">
        <w:rPr>
          <w:rFonts w:ascii="Arial" w:hAnsi="Arial" w:cs="Arial"/>
        </w:rPr>
        <w:t xml:space="preserve"> economic goals, such as lower migration numbers, </w:t>
      </w:r>
      <w:r w:rsidRPr="00355CD8">
        <w:rPr>
          <w:rFonts w:ascii="Arial" w:hAnsi="Arial" w:cs="Arial"/>
        </w:rPr>
        <w:lastRenderedPageBreak/>
        <w:t>while eroding social sustainability through family separation and reduced worker wellbeing. This erosion ultimately damages long</w:t>
      </w:r>
      <w:r w:rsidRPr="00355CD8">
        <w:rPr>
          <w:rFonts w:ascii="Arial" w:hAnsi="Arial" w:cs="Arial"/>
        </w:rPr>
        <w:noBreakHyphen/>
        <w:t>term economic sustainability by increasing replacement costs and creating workforce instability.</w:t>
      </w:r>
    </w:p>
    <w:p w14:paraId="2377F18C" w14:textId="77777777" w:rsidR="007A4DE6" w:rsidRPr="00355CD8" w:rsidRDefault="007A4DE6" w:rsidP="00E35726">
      <w:pPr>
        <w:pStyle w:val="Heading2"/>
      </w:pPr>
      <w:bookmarkStart w:id="21" w:name="_Toc238200119"/>
      <w:r w:rsidRPr="00355CD8">
        <w:t>2.4 Conservation of Resources (COR) Theory</w:t>
      </w:r>
      <w:bookmarkEnd w:id="21"/>
    </w:p>
    <w:p w14:paraId="4B7A3C75" w14:textId="77777777" w:rsidR="007A4DE6" w:rsidRPr="00355CD8" w:rsidRDefault="007A4DE6" w:rsidP="00E35726">
      <w:pPr>
        <w:pStyle w:val="Heading3"/>
      </w:pPr>
      <w:bookmarkStart w:id="22" w:name="_Toc238200120"/>
      <w:r w:rsidRPr="00355CD8">
        <w:t>2.4.1 Origins and Core Propositions</w:t>
      </w:r>
      <w:bookmarkEnd w:id="22"/>
    </w:p>
    <w:p w14:paraId="2B6E41FA"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Conservation of Resources (COR) Theory, originally developed by </w:t>
      </w:r>
      <w:proofErr w:type="spellStart"/>
      <w:r w:rsidRPr="00355CD8">
        <w:rPr>
          <w:rFonts w:ascii="Arial" w:hAnsi="Arial" w:cs="Arial"/>
        </w:rPr>
        <w:t>Hobfoll</w:t>
      </w:r>
      <w:proofErr w:type="spellEnd"/>
      <w:r w:rsidRPr="00355CD8">
        <w:rPr>
          <w:rFonts w:ascii="Arial" w:hAnsi="Arial" w:cs="Arial"/>
        </w:rPr>
        <w:t xml:space="preserve"> (1989), offers a comprehensive framework for understanding stress, coping, and human </w:t>
      </w:r>
      <w:proofErr w:type="spellStart"/>
      <w:r w:rsidRPr="00355CD8">
        <w:rPr>
          <w:rFonts w:ascii="Arial" w:hAnsi="Arial" w:cs="Arial"/>
        </w:rPr>
        <w:t>behaviour</w:t>
      </w:r>
      <w:proofErr w:type="spellEnd"/>
      <w:r w:rsidRPr="00355CD8">
        <w:rPr>
          <w:rFonts w:ascii="Arial" w:hAnsi="Arial" w:cs="Arial"/>
        </w:rPr>
        <w:t xml:space="preserve"> in </w:t>
      </w:r>
      <w:proofErr w:type="spellStart"/>
      <w:r w:rsidRPr="00355CD8">
        <w:rPr>
          <w:rFonts w:ascii="Arial" w:hAnsi="Arial" w:cs="Arial"/>
        </w:rPr>
        <w:t>organisational</w:t>
      </w:r>
      <w:proofErr w:type="spellEnd"/>
      <w:r w:rsidRPr="00355CD8">
        <w:rPr>
          <w:rFonts w:ascii="Arial" w:hAnsi="Arial" w:cs="Arial"/>
        </w:rPr>
        <w:t xml:space="preserve"> contexts. The theory proposes that individuals seek to acquire, maintain, and protect valuable resources. Stress occurs when resources are threatened, lost, or insufficiently replenished. Resources may include objective resources such as employment, income, and housing; personal resources such as self</w:t>
      </w:r>
      <w:r w:rsidRPr="00355CD8">
        <w:rPr>
          <w:rFonts w:ascii="Arial" w:hAnsi="Arial" w:cs="Arial"/>
        </w:rPr>
        <w:noBreakHyphen/>
        <w:t>esteem and sense of mastery; and condition resources such as social support, family relationships, and future opportunities.</w:t>
      </w:r>
    </w:p>
    <w:p w14:paraId="3FE5D5C2" w14:textId="77777777" w:rsidR="007A4DE6" w:rsidRPr="00355CD8" w:rsidRDefault="007A4DE6" w:rsidP="00355CD8">
      <w:pPr>
        <w:spacing w:line="360" w:lineRule="auto"/>
        <w:jc w:val="both"/>
        <w:rPr>
          <w:rFonts w:ascii="Arial" w:hAnsi="Arial" w:cs="Arial"/>
        </w:rPr>
      </w:pPr>
      <w:r w:rsidRPr="00355CD8">
        <w:rPr>
          <w:rFonts w:ascii="Arial" w:hAnsi="Arial" w:cs="Arial"/>
        </w:rPr>
        <w:t>The theory is built on four core propositions. First, resource loss is disproportionately more impactful than resource gain: individuals are more sensitive to losses than to gains, and the impact of resource loss is greater and more lasting than the impact of equivalent resource gain. Second, resource investments are necessary to protect against resource loss: individuals must invest resources to protect against future resource loss, to recover from losses, and to gain new resources. Third, resource loss creates a spiral of further loss: initial resource loss can trigger a cascade of further losses, as individuals lack the resources to protect against subsequent threats. Fourth, resource gain creates a spiral of further gain: conversely, resource gain can trigger a virtuous cycle of further gain, as individuals are empowered to invest in new resources.</w:t>
      </w:r>
    </w:p>
    <w:p w14:paraId="6F464752" w14:textId="77777777" w:rsidR="007A4DE6" w:rsidRPr="00355CD8" w:rsidRDefault="007A4DE6" w:rsidP="00355CD8">
      <w:pPr>
        <w:spacing w:line="360" w:lineRule="auto"/>
        <w:jc w:val="both"/>
        <w:rPr>
          <w:rFonts w:ascii="Arial" w:hAnsi="Arial" w:cs="Arial"/>
        </w:rPr>
      </w:pPr>
      <w:r w:rsidRPr="00355CD8">
        <w:rPr>
          <w:rFonts w:ascii="Arial" w:hAnsi="Arial" w:cs="Arial"/>
        </w:rPr>
        <w:t>A particularly relevant concept within COR Theory is that of resource caravans – the idea that resources tend to travel together. Individuals with strong resource reservoirs are better positioned to acquire new resources, while those with depleted resources struggle to prevent further losses (</w:t>
      </w:r>
      <w:proofErr w:type="spellStart"/>
      <w:r w:rsidRPr="00355CD8">
        <w:rPr>
          <w:rFonts w:ascii="Arial" w:hAnsi="Arial" w:cs="Arial"/>
        </w:rPr>
        <w:t>Hobfoll</w:t>
      </w:r>
      <w:proofErr w:type="spellEnd"/>
      <w:r w:rsidRPr="00355CD8">
        <w:rPr>
          <w:rFonts w:ascii="Arial" w:hAnsi="Arial" w:cs="Arial"/>
        </w:rPr>
        <w:t xml:space="preserve">, 1989). This concept is especially pertinent for understanding the experiences of migrant workers, for whom the loss of one resource – </w:t>
      </w:r>
      <w:r w:rsidRPr="00355CD8">
        <w:rPr>
          <w:rFonts w:ascii="Arial" w:hAnsi="Arial" w:cs="Arial"/>
        </w:rPr>
        <w:lastRenderedPageBreak/>
        <w:t>such as the ability to bring family members to the UK – can trigger a cascade of further losses, including social support, housing stability, and emotional wellbeing.</w:t>
      </w:r>
    </w:p>
    <w:p w14:paraId="762AF871" w14:textId="77777777" w:rsidR="007A4DE6" w:rsidRPr="00355CD8" w:rsidRDefault="007A4DE6" w:rsidP="00456A90">
      <w:pPr>
        <w:pStyle w:val="Heading3"/>
      </w:pPr>
      <w:bookmarkStart w:id="23" w:name="_Toc238200121"/>
      <w:r w:rsidRPr="00355CD8">
        <w:t>2.4.2 Application to Migrant Worker Experiences</w:t>
      </w:r>
      <w:bookmarkEnd w:id="23"/>
    </w:p>
    <w:p w14:paraId="6989F75E" w14:textId="156D300C" w:rsidR="007A4DE6" w:rsidRPr="00355CD8" w:rsidRDefault="007A4DE6" w:rsidP="00355CD8">
      <w:pPr>
        <w:spacing w:line="360" w:lineRule="auto"/>
        <w:jc w:val="both"/>
        <w:rPr>
          <w:rFonts w:ascii="Arial" w:hAnsi="Arial" w:cs="Arial"/>
        </w:rPr>
      </w:pPr>
      <w:r w:rsidRPr="00355CD8">
        <w:rPr>
          <w:rFonts w:ascii="Arial" w:hAnsi="Arial" w:cs="Arial"/>
        </w:rPr>
        <w:t>COR Theory has been increasingly applied to understand migration intentions and workforce withdrawal in healthcare (</w:t>
      </w:r>
      <w:r w:rsidR="00061BD9">
        <w:rPr>
          <w:rFonts w:ascii="Arial" w:hAnsi="Arial" w:cs="Arial"/>
        </w:rPr>
        <w:t>Lee,</w:t>
      </w:r>
      <w:r w:rsidRPr="00355CD8">
        <w:rPr>
          <w:rFonts w:ascii="Arial" w:hAnsi="Arial" w:cs="Arial"/>
        </w:rPr>
        <w:t xml:space="preserve"> 2015; ScienceDirect, 2025). For migrant HCSWs, relevant resources include employment security, family unity, future opportunities, social status, and financial resources. The 2025 immigration reforms threaten these resources: </w:t>
      </w:r>
      <w:proofErr w:type="spellStart"/>
      <w:r w:rsidRPr="00355CD8">
        <w:rPr>
          <w:rFonts w:ascii="Arial" w:hAnsi="Arial" w:cs="Arial"/>
        </w:rPr>
        <w:t>dependant</w:t>
      </w:r>
      <w:proofErr w:type="spellEnd"/>
      <w:r w:rsidRPr="00355CD8">
        <w:rPr>
          <w:rFonts w:ascii="Arial" w:hAnsi="Arial" w:cs="Arial"/>
        </w:rPr>
        <w:t xml:space="preserve"> visa restrictions threaten family unity (Home Office, 2025b; </w:t>
      </w:r>
      <w:proofErr w:type="spellStart"/>
      <w:r w:rsidRPr="00355CD8">
        <w:rPr>
          <w:rFonts w:ascii="Arial" w:hAnsi="Arial" w:cs="Arial"/>
        </w:rPr>
        <w:t>Seraphus</w:t>
      </w:r>
      <w:proofErr w:type="spellEnd"/>
      <w:r w:rsidRPr="00355CD8">
        <w:rPr>
          <w:rFonts w:ascii="Arial" w:hAnsi="Arial" w:cs="Arial"/>
        </w:rPr>
        <w:t>, 2026); the closure of pathways to settlement threatens permanent residency (Home Office, 2025a; Rove Legal, 2026); and the proposed ILR extension compounds uncertainty (RCN, 2026).</w:t>
      </w:r>
    </w:p>
    <w:p w14:paraId="6CE3B5C6" w14:textId="77777777" w:rsidR="007A4DE6" w:rsidRPr="00355CD8" w:rsidRDefault="007A4DE6" w:rsidP="00456A90">
      <w:pPr>
        <w:pStyle w:val="Heading3"/>
      </w:pPr>
      <w:bookmarkStart w:id="24" w:name="_Toc238200122"/>
      <w:r w:rsidRPr="00355CD8">
        <w:t>2.4.3 Empirical Evidence on Resource Threats and Workforce Withdrawal</w:t>
      </w:r>
      <w:bookmarkEnd w:id="24"/>
    </w:p>
    <w:p w14:paraId="76C16AF5"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Recent empirical studies have applied COR Theory to understand healthcare worker migration intentions. For example, research on Nigerian nurses found that decent work conditions – including job security, fair treatment, and family support – were associated with lower emigration intention, mediated by reduced burnout and higher affective commitment (ScienceDirect, 2025). This finding is directly relevant to the UK context: if immigration policies erode job security, family unity, and </w:t>
      </w:r>
      <w:proofErr w:type="gramStart"/>
      <w:r w:rsidRPr="00355CD8">
        <w:rPr>
          <w:rFonts w:ascii="Arial" w:hAnsi="Arial" w:cs="Arial"/>
        </w:rPr>
        <w:t>future prospects</w:t>
      </w:r>
      <w:proofErr w:type="gramEnd"/>
      <w:r w:rsidRPr="00355CD8">
        <w:rPr>
          <w:rFonts w:ascii="Arial" w:hAnsi="Arial" w:cs="Arial"/>
        </w:rPr>
        <w:t>, COR Theory predicts increased stress, reduced commitment, and workforce withdrawal.</w:t>
      </w:r>
    </w:p>
    <w:p w14:paraId="753126EC" w14:textId="77777777" w:rsidR="007A4DE6" w:rsidRPr="00355CD8" w:rsidRDefault="007A4DE6" w:rsidP="00355CD8">
      <w:pPr>
        <w:spacing w:line="360" w:lineRule="auto"/>
        <w:jc w:val="both"/>
        <w:rPr>
          <w:rFonts w:ascii="Arial" w:hAnsi="Arial" w:cs="Arial"/>
        </w:rPr>
      </w:pPr>
      <w:r w:rsidRPr="00355CD8">
        <w:rPr>
          <w:rFonts w:ascii="Arial" w:hAnsi="Arial" w:cs="Arial"/>
        </w:rPr>
        <w:t>Similarly, research on healthcare workers in crisis contexts has found that resource threats – such as job insecurity, inadequate remuneration, and lack of professional development opportunities – are significant predictors of migration intentions (Nasr et al., 2026). The impact of employee wellbeing and job security on migration intentions has been demonstrated in studies of private sector nurses, confirming the applicability of COR Theory across different healthcare contexts (DIVA-Portal, 2025).</w:t>
      </w:r>
    </w:p>
    <w:p w14:paraId="79AF178E" w14:textId="77777777" w:rsidR="007A4DE6" w:rsidRPr="00355CD8" w:rsidRDefault="007A4DE6" w:rsidP="00355CD8">
      <w:pPr>
        <w:spacing w:line="360" w:lineRule="auto"/>
        <w:jc w:val="both"/>
        <w:rPr>
          <w:rFonts w:ascii="Arial" w:hAnsi="Arial" w:cs="Arial"/>
        </w:rPr>
      </w:pPr>
      <w:r w:rsidRPr="00355CD8">
        <w:rPr>
          <w:rFonts w:ascii="Arial" w:hAnsi="Arial" w:cs="Arial"/>
        </w:rPr>
        <w:t>The proposed 'Earned Settlement' system, which will lengthen and restrict routes to indefinite leave to remain for an estimated 616,000 overseas workers in the health and care sector who came to the UK between 2022 and 2024, represents a significant resource threat (</w:t>
      </w:r>
      <w:proofErr w:type="spellStart"/>
      <w:r w:rsidRPr="00355CD8">
        <w:rPr>
          <w:rFonts w:ascii="Arial" w:hAnsi="Arial" w:cs="Arial"/>
        </w:rPr>
        <w:t>Deivanayagam</w:t>
      </w:r>
      <w:proofErr w:type="spellEnd"/>
      <w:r w:rsidRPr="00355CD8">
        <w:rPr>
          <w:rFonts w:ascii="Arial" w:hAnsi="Arial" w:cs="Arial"/>
        </w:rPr>
        <w:t xml:space="preserve"> et al., 2026). This immigration reform is especially </w:t>
      </w:r>
      <w:r w:rsidRPr="00355CD8">
        <w:rPr>
          <w:rFonts w:ascii="Arial" w:hAnsi="Arial" w:cs="Arial"/>
        </w:rPr>
        <w:lastRenderedPageBreak/>
        <w:t xml:space="preserve">perverse in health and social care: it makes overseas health and care workers 'earn' settlement mainly through continuous earnings and income tax, rather than </w:t>
      </w:r>
      <w:proofErr w:type="spellStart"/>
      <w:r w:rsidRPr="00355CD8">
        <w:rPr>
          <w:rFonts w:ascii="Arial" w:hAnsi="Arial" w:cs="Arial"/>
        </w:rPr>
        <w:t>recognising</w:t>
      </w:r>
      <w:proofErr w:type="spellEnd"/>
      <w:r w:rsidRPr="00355CD8">
        <w:rPr>
          <w:rFonts w:ascii="Arial" w:hAnsi="Arial" w:cs="Arial"/>
        </w:rPr>
        <w:t xml:space="preserve"> the essential contribution of care itself (</w:t>
      </w:r>
      <w:proofErr w:type="spellStart"/>
      <w:r w:rsidRPr="00355CD8">
        <w:rPr>
          <w:rFonts w:ascii="Arial" w:hAnsi="Arial" w:cs="Arial"/>
        </w:rPr>
        <w:t>Deivanayagam</w:t>
      </w:r>
      <w:proofErr w:type="spellEnd"/>
      <w:r w:rsidRPr="00355CD8">
        <w:rPr>
          <w:rFonts w:ascii="Arial" w:hAnsi="Arial" w:cs="Arial"/>
        </w:rPr>
        <w:t xml:space="preserve"> et al., 2026). This is </w:t>
      </w:r>
      <w:proofErr w:type="spellStart"/>
      <w:r w:rsidRPr="00355CD8">
        <w:rPr>
          <w:rFonts w:ascii="Arial" w:hAnsi="Arial" w:cs="Arial"/>
        </w:rPr>
        <w:t>demoralising</w:t>
      </w:r>
      <w:proofErr w:type="spellEnd"/>
      <w:r w:rsidRPr="00355CD8">
        <w:rPr>
          <w:rFonts w:ascii="Arial" w:hAnsi="Arial" w:cs="Arial"/>
        </w:rPr>
        <w:t xml:space="preserve"> for NHS and social care staff, who are already underpaid, undervalued, and overworked.</w:t>
      </w:r>
    </w:p>
    <w:p w14:paraId="4D278B1C" w14:textId="77777777" w:rsidR="007A4DE6" w:rsidRPr="00355CD8" w:rsidRDefault="007A4DE6" w:rsidP="00456A90">
      <w:pPr>
        <w:pStyle w:val="Heading3"/>
      </w:pPr>
      <w:bookmarkStart w:id="25" w:name="_Toc238200123"/>
      <w:r w:rsidRPr="00355CD8">
        <w:t>2.4.4 The 'Temporariness' Trap</w:t>
      </w:r>
      <w:bookmarkEnd w:id="25"/>
    </w:p>
    <w:p w14:paraId="01109A00" w14:textId="77777777" w:rsidR="007A4DE6" w:rsidRPr="00355CD8" w:rsidRDefault="007A4DE6" w:rsidP="00355CD8">
      <w:pPr>
        <w:spacing w:line="360" w:lineRule="auto"/>
        <w:jc w:val="both"/>
        <w:rPr>
          <w:rFonts w:ascii="Arial" w:hAnsi="Arial" w:cs="Arial"/>
        </w:rPr>
      </w:pPr>
      <w:r w:rsidRPr="00355CD8">
        <w:rPr>
          <w:rFonts w:ascii="Arial" w:hAnsi="Arial" w:cs="Arial"/>
        </w:rPr>
        <w:t>A significant theme within migration literature concerns the shift from pathways leading to long-term settlement towards more temporary forms of migration. Stewart and Mulvey (2014) identified the concept of 'liminality' – a state of being 'in-between' – experienced by migrants who face uncertain futures. Research suggests that temporary immigration arrangements create uncertainty among migrant workers and discourage long-term investment in host-country specific human capital. Individuals who perceive their future status as uncertain may be less likely to pursue career development opportunities or establish long-term professional commitments within the host country (Stewart and Mulvey, 2014).</w:t>
      </w:r>
    </w:p>
    <w:p w14:paraId="4FB2A35D" w14:textId="3AF60D96" w:rsidR="007A4DE6" w:rsidRPr="00355CD8" w:rsidRDefault="007A4DE6" w:rsidP="00355CD8">
      <w:pPr>
        <w:spacing w:line="360" w:lineRule="auto"/>
        <w:jc w:val="both"/>
        <w:rPr>
          <w:rFonts w:ascii="Arial" w:hAnsi="Arial" w:cs="Arial"/>
        </w:rPr>
      </w:pPr>
      <w:r w:rsidRPr="00355CD8">
        <w:rPr>
          <w:rFonts w:ascii="Arial" w:hAnsi="Arial" w:cs="Arial"/>
        </w:rPr>
        <w:t xml:space="preserve">The UK's immigration policy changes, by removing the expectation of long-term settlement for care workers, create precisely this uncertainty. Migrant workers who previously might have envisaged a future in the UK – building careers, raising families, contributing to communities – now face a temporary, uncertain status. COR Theory predicts that such workers will engage in 'resource </w:t>
      </w:r>
      <w:proofErr w:type="spellStart"/>
      <w:r w:rsidRPr="00355CD8">
        <w:rPr>
          <w:rFonts w:ascii="Arial" w:hAnsi="Arial" w:cs="Arial"/>
        </w:rPr>
        <w:t>defence</w:t>
      </w:r>
      <w:proofErr w:type="spellEnd"/>
      <w:r w:rsidRPr="00355CD8">
        <w:rPr>
          <w:rFonts w:ascii="Arial" w:hAnsi="Arial" w:cs="Arial"/>
        </w:rPr>
        <w:t>' – reducing effort, seeking alternative employment elsewhere, or leaving the country entirely.</w:t>
      </w:r>
    </w:p>
    <w:p w14:paraId="1331FED4" w14:textId="77777777" w:rsidR="007A4DE6" w:rsidRPr="00355CD8" w:rsidRDefault="007A4DE6" w:rsidP="00456A90">
      <w:pPr>
        <w:pStyle w:val="Heading2"/>
      </w:pPr>
      <w:bookmarkStart w:id="26" w:name="_Toc238200124"/>
      <w:r w:rsidRPr="00355CD8">
        <w:t>2.5 Integration of Theories: A Unified Analytical Framework</w:t>
      </w:r>
      <w:bookmarkEnd w:id="26"/>
    </w:p>
    <w:p w14:paraId="0009CEE8" w14:textId="77777777" w:rsidR="007A4DE6" w:rsidRPr="00355CD8" w:rsidRDefault="007A4DE6" w:rsidP="00355CD8">
      <w:pPr>
        <w:spacing w:line="360" w:lineRule="auto"/>
        <w:jc w:val="both"/>
        <w:rPr>
          <w:rFonts w:ascii="Arial" w:hAnsi="Arial" w:cs="Arial"/>
        </w:rPr>
      </w:pPr>
      <w:r w:rsidRPr="00355CD8">
        <w:rPr>
          <w:rFonts w:ascii="Arial" w:hAnsi="Arial" w:cs="Arial"/>
        </w:rPr>
        <w:t>The three theories reviewed above – Human Capital Theory, TBL, and COR Theory – operate at different levels of analysis but together provide a comprehensive framework for understanding the impact of immigration policy changes on migrant healthcare support worker sustainability.</w:t>
      </w:r>
    </w:p>
    <w:p w14:paraId="2030410A" w14:textId="64B5C0D2" w:rsidR="00C20D58" w:rsidRPr="00D5479B" w:rsidRDefault="00C20D58" w:rsidP="00C20D58">
      <w:pPr>
        <w:pStyle w:val="Caption"/>
        <w:keepNext/>
        <w:rPr>
          <w:sz w:val="28"/>
          <w:szCs w:val="28"/>
        </w:rPr>
      </w:pPr>
      <w:bookmarkStart w:id="27" w:name="_Toc238206085"/>
      <w:r w:rsidRPr="00D5479B">
        <w:rPr>
          <w:sz w:val="28"/>
          <w:szCs w:val="28"/>
        </w:rPr>
        <w:lastRenderedPageBreak/>
        <w:t xml:space="preserve">Table </w:t>
      </w:r>
      <w:r w:rsidRPr="00D5479B">
        <w:rPr>
          <w:sz w:val="28"/>
          <w:szCs w:val="28"/>
        </w:rPr>
        <w:fldChar w:fldCharType="begin"/>
      </w:r>
      <w:r w:rsidRPr="00D5479B">
        <w:rPr>
          <w:sz w:val="28"/>
          <w:szCs w:val="28"/>
        </w:rPr>
        <w:instrText xml:space="preserve"> SEQ Table \* ARABIC </w:instrText>
      </w:r>
      <w:r w:rsidRPr="00D5479B">
        <w:rPr>
          <w:sz w:val="28"/>
          <w:szCs w:val="28"/>
        </w:rPr>
        <w:fldChar w:fldCharType="separate"/>
      </w:r>
      <w:r w:rsidR="00B70586" w:rsidRPr="00D5479B">
        <w:rPr>
          <w:noProof/>
          <w:sz w:val="28"/>
          <w:szCs w:val="28"/>
        </w:rPr>
        <w:t>1</w:t>
      </w:r>
      <w:r w:rsidRPr="00D5479B">
        <w:rPr>
          <w:sz w:val="28"/>
          <w:szCs w:val="28"/>
        </w:rPr>
        <w:fldChar w:fldCharType="end"/>
      </w:r>
      <w:r w:rsidRPr="00D5479B">
        <w:rPr>
          <w:sz w:val="28"/>
          <w:szCs w:val="28"/>
        </w:rPr>
        <w:t>Integration of Theories.</w:t>
      </w:r>
      <w:bookmarkEnd w:id="27"/>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03"/>
        <w:gridCol w:w="2251"/>
        <w:gridCol w:w="3454"/>
        <w:gridCol w:w="2342"/>
      </w:tblGrid>
      <w:tr w:rsidR="007A4DE6" w:rsidRPr="00355CD8" w14:paraId="770AFE82" w14:textId="77777777" w:rsidTr="00B529E0">
        <w:trPr>
          <w:tblHeader/>
        </w:trPr>
        <w:tc>
          <w:tcPr>
            <w:tcW w:w="0" w:type="auto"/>
            <w:tcMar>
              <w:top w:w="150" w:type="dxa"/>
              <w:left w:w="0" w:type="dxa"/>
              <w:bottom w:w="150" w:type="dxa"/>
              <w:right w:w="240" w:type="dxa"/>
            </w:tcMar>
            <w:vAlign w:val="center"/>
            <w:hideMark/>
          </w:tcPr>
          <w:p w14:paraId="13533D20" w14:textId="77777777" w:rsidR="007A4DE6" w:rsidRPr="00355CD8" w:rsidRDefault="007A4DE6" w:rsidP="00355CD8">
            <w:pPr>
              <w:spacing w:line="360" w:lineRule="auto"/>
              <w:jc w:val="both"/>
              <w:rPr>
                <w:rFonts w:ascii="Arial" w:hAnsi="Arial" w:cs="Arial"/>
              </w:rPr>
            </w:pPr>
            <w:r w:rsidRPr="00355CD8">
              <w:rPr>
                <w:rFonts w:ascii="Arial" w:hAnsi="Arial" w:cs="Arial"/>
              </w:rPr>
              <w:t>Theory</w:t>
            </w:r>
          </w:p>
        </w:tc>
        <w:tc>
          <w:tcPr>
            <w:tcW w:w="0" w:type="auto"/>
            <w:tcMar>
              <w:top w:w="150" w:type="dxa"/>
              <w:left w:w="240" w:type="dxa"/>
              <w:bottom w:w="150" w:type="dxa"/>
              <w:right w:w="240" w:type="dxa"/>
            </w:tcMar>
            <w:vAlign w:val="center"/>
            <w:hideMark/>
          </w:tcPr>
          <w:p w14:paraId="7B5CB9DB" w14:textId="77777777" w:rsidR="007A4DE6" w:rsidRPr="00355CD8" w:rsidRDefault="007A4DE6" w:rsidP="00355CD8">
            <w:pPr>
              <w:spacing w:line="360" w:lineRule="auto"/>
              <w:jc w:val="both"/>
              <w:rPr>
                <w:rFonts w:ascii="Arial" w:hAnsi="Arial" w:cs="Arial"/>
              </w:rPr>
            </w:pPr>
            <w:r w:rsidRPr="00355CD8">
              <w:rPr>
                <w:rFonts w:ascii="Arial" w:hAnsi="Arial" w:cs="Arial"/>
              </w:rPr>
              <w:t>Level of Analysis</w:t>
            </w:r>
          </w:p>
        </w:tc>
        <w:tc>
          <w:tcPr>
            <w:tcW w:w="0" w:type="auto"/>
            <w:tcMar>
              <w:top w:w="150" w:type="dxa"/>
              <w:left w:w="240" w:type="dxa"/>
              <w:bottom w:w="150" w:type="dxa"/>
              <w:right w:w="240" w:type="dxa"/>
            </w:tcMar>
            <w:vAlign w:val="center"/>
            <w:hideMark/>
          </w:tcPr>
          <w:p w14:paraId="2F530E20" w14:textId="77777777" w:rsidR="007A4DE6" w:rsidRPr="00355CD8" w:rsidRDefault="007A4DE6" w:rsidP="00355CD8">
            <w:pPr>
              <w:spacing w:line="360" w:lineRule="auto"/>
              <w:jc w:val="both"/>
              <w:rPr>
                <w:rFonts w:ascii="Arial" w:hAnsi="Arial" w:cs="Arial"/>
              </w:rPr>
            </w:pPr>
            <w:r w:rsidRPr="00355CD8">
              <w:rPr>
                <w:rFonts w:ascii="Arial" w:hAnsi="Arial" w:cs="Arial"/>
              </w:rPr>
              <w:t>What It Explains</w:t>
            </w:r>
          </w:p>
        </w:tc>
        <w:tc>
          <w:tcPr>
            <w:tcW w:w="0" w:type="auto"/>
            <w:tcMar>
              <w:top w:w="150" w:type="dxa"/>
              <w:left w:w="240" w:type="dxa"/>
              <w:bottom w:w="150" w:type="dxa"/>
              <w:right w:w="240" w:type="dxa"/>
            </w:tcMar>
            <w:vAlign w:val="center"/>
            <w:hideMark/>
          </w:tcPr>
          <w:p w14:paraId="2051A3F0" w14:textId="77777777" w:rsidR="007A4DE6" w:rsidRPr="00355CD8" w:rsidRDefault="007A4DE6" w:rsidP="00355CD8">
            <w:pPr>
              <w:spacing w:line="360" w:lineRule="auto"/>
              <w:jc w:val="both"/>
              <w:rPr>
                <w:rFonts w:ascii="Arial" w:hAnsi="Arial" w:cs="Arial"/>
              </w:rPr>
            </w:pPr>
            <w:r w:rsidRPr="00355CD8">
              <w:rPr>
                <w:rFonts w:ascii="Arial" w:hAnsi="Arial" w:cs="Arial"/>
              </w:rPr>
              <w:t>Key Mechanism</w:t>
            </w:r>
          </w:p>
        </w:tc>
      </w:tr>
      <w:tr w:rsidR="007A4DE6" w:rsidRPr="00355CD8" w14:paraId="6F111075" w14:textId="77777777" w:rsidTr="00B529E0">
        <w:tc>
          <w:tcPr>
            <w:tcW w:w="0" w:type="auto"/>
            <w:tcMar>
              <w:top w:w="150" w:type="dxa"/>
              <w:left w:w="0" w:type="dxa"/>
              <w:bottom w:w="150" w:type="dxa"/>
              <w:right w:w="240" w:type="dxa"/>
            </w:tcMar>
            <w:vAlign w:val="center"/>
            <w:hideMark/>
          </w:tcPr>
          <w:p w14:paraId="7BD2B6A3" w14:textId="77777777" w:rsidR="007A4DE6" w:rsidRPr="00355CD8" w:rsidRDefault="007A4DE6" w:rsidP="00355CD8">
            <w:pPr>
              <w:spacing w:line="360" w:lineRule="auto"/>
              <w:jc w:val="both"/>
              <w:rPr>
                <w:rFonts w:ascii="Arial" w:hAnsi="Arial" w:cs="Arial"/>
              </w:rPr>
            </w:pPr>
            <w:r w:rsidRPr="00355CD8">
              <w:rPr>
                <w:rFonts w:ascii="Arial" w:hAnsi="Arial" w:cs="Arial"/>
              </w:rPr>
              <w:t>Human Capital Theory</w:t>
            </w:r>
          </w:p>
        </w:tc>
        <w:tc>
          <w:tcPr>
            <w:tcW w:w="0" w:type="auto"/>
            <w:tcMar>
              <w:top w:w="150" w:type="dxa"/>
              <w:left w:w="240" w:type="dxa"/>
              <w:bottom w:w="150" w:type="dxa"/>
              <w:right w:w="240" w:type="dxa"/>
            </w:tcMar>
            <w:vAlign w:val="center"/>
            <w:hideMark/>
          </w:tcPr>
          <w:p w14:paraId="5DB57D54"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Economic / </w:t>
            </w:r>
            <w:proofErr w:type="spellStart"/>
            <w:r w:rsidRPr="00355CD8">
              <w:rPr>
                <w:rFonts w:ascii="Arial" w:hAnsi="Arial" w:cs="Arial"/>
              </w:rPr>
              <w:t>Organisational</w:t>
            </w:r>
            <w:proofErr w:type="spellEnd"/>
          </w:p>
        </w:tc>
        <w:tc>
          <w:tcPr>
            <w:tcW w:w="0" w:type="auto"/>
            <w:tcMar>
              <w:top w:w="150" w:type="dxa"/>
              <w:left w:w="240" w:type="dxa"/>
              <w:bottom w:w="150" w:type="dxa"/>
              <w:right w:w="240" w:type="dxa"/>
            </w:tcMar>
            <w:vAlign w:val="center"/>
            <w:hideMark/>
          </w:tcPr>
          <w:p w14:paraId="1695F1EF" w14:textId="77777777" w:rsidR="007A4DE6" w:rsidRPr="00355CD8" w:rsidRDefault="007A4DE6" w:rsidP="00355CD8">
            <w:pPr>
              <w:spacing w:line="360" w:lineRule="auto"/>
              <w:jc w:val="both"/>
              <w:rPr>
                <w:rFonts w:ascii="Arial" w:hAnsi="Arial" w:cs="Arial"/>
              </w:rPr>
            </w:pPr>
            <w:r w:rsidRPr="00355CD8">
              <w:rPr>
                <w:rFonts w:ascii="Arial" w:hAnsi="Arial" w:cs="Arial"/>
              </w:rPr>
              <w:t>Why losing migrant workers is costly (loss of specific knowledge, recruitment and retraining costs)</w:t>
            </w:r>
          </w:p>
        </w:tc>
        <w:tc>
          <w:tcPr>
            <w:tcW w:w="0" w:type="auto"/>
            <w:tcMar>
              <w:top w:w="150" w:type="dxa"/>
              <w:left w:w="240" w:type="dxa"/>
              <w:bottom w:w="150" w:type="dxa"/>
              <w:right w:w="0" w:type="dxa"/>
            </w:tcMar>
            <w:vAlign w:val="center"/>
            <w:hideMark/>
          </w:tcPr>
          <w:p w14:paraId="116F1F51" w14:textId="77777777" w:rsidR="007A4DE6" w:rsidRPr="00355CD8" w:rsidRDefault="007A4DE6" w:rsidP="00355CD8">
            <w:pPr>
              <w:spacing w:line="360" w:lineRule="auto"/>
              <w:jc w:val="both"/>
              <w:rPr>
                <w:rFonts w:ascii="Arial" w:hAnsi="Arial" w:cs="Arial"/>
              </w:rPr>
            </w:pPr>
            <w:r w:rsidRPr="00355CD8">
              <w:rPr>
                <w:rFonts w:ascii="Arial" w:hAnsi="Arial" w:cs="Arial"/>
              </w:rPr>
              <w:t>Investment in specific vs general human capital</w:t>
            </w:r>
          </w:p>
        </w:tc>
      </w:tr>
      <w:tr w:rsidR="007A4DE6" w:rsidRPr="00355CD8" w14:paraId="4D2A0FB0" w14:textId="77777777" w:rsidTr="00B529E0">
        <w:tc>
          <w:tcPr>
            <w:tcW w:w="0" w:type="auto"/>
            <w:tcMar>
              <w:top w:w="150" w:type="dxa"/>
              <w:left w:w="0" w:type="dxa"/>
              <w:bottom w:w="150" w:type="dxa"/>
              <w:right w:w="240" w:type="dxa"/>
            </w:tcMar>
            <w:vAlign w:val="center"/>
            <w:hideMark/>
          </w:tcPr>
          <w:p w14:paraId="7CB154E2" w14:textId="77777777" w:rsidR="007A4DE6" w:rsidRPr="00355CD8" w:rsidRDefault="007A4DE6" w:rsidP="00355CD8">
            <w:pPr>
              <w:spacing w:line="360" w:lineRule="auto"/>
              <w:jc w:val="both"/>
              <w:rPr>
                <w:rFonts w:ascii="Arial" w:hAnsi="Arial" w:cs="Arial"/>
              </w:rPr>
            </w:pPr>
            <w:r w:rsidRPr="00355CD8">
              <w:rPr>
                <w:rFonts w:ascii="Arial" w:hAnsi="Arial" w:cs="Arial"/>
              </w:rPr>
              <w:t>COR Theory</w:t>
            </w:r>
          </w:p>
        </w:tc>
        <w:tc>
          <w:tcPr>
            <w:tcW w:w="0" w:type="auto"/>
            <w:tcMar>
              <w:top w:w="150" w:type="dxa"/>
              <w:left w:w="240" w:type="dxa"/>
              <w:bottom w:w="150" w:type="dxa"/>
              <w:right w:w="240" w:type="dxa"/>
            </w:tcMar>
            <w:vAlign w:val="center"/>
            <w:hideMark/>
          </w:tcPr>
          <w:p w14:paraId="3A125006" w14:textId="77777777" w:rsidR="007A4DE6" w:rsidRPr="00355CD8" w:rsidRDefault="007A4DE6" w:rsidP="00355CD8">
            <w:pPr>
              <w:spacing w:line="360" w:lineRule="auto"/>
              <w:jc w:val="both"/>
              <w:rPr>
                <w:rFonts w:ascii="Arial" w:hAnsi="Arial" w:cs="Arial"/>
              </w:rPr>
            </w:pPr>
            <w:r w:rsidRPr="00355CD8">
              <w:rPr>
                <w:rFonts w:ascii="Arial" w:hAnsi="Arial" w:cs="Arial"/>
              </w:rPr>
              <w:t>Individual / Psychological</w:t>
            </w:r>
          </w:p>
        </w:tc>
        <w:tc>
          <w:tcPr>
            <w:tcW w:w="0" w:type="auto"/>
            <w:tcMar>
              <w:top w:w="150" w:type="dxa"/>
              <w:left w:w="240" w:type="dxa"/>
              <w:bottom w:w="150" w:type="dxa"/>
              <w:right w:w="240" w:type="dxa"/>
            </w:tcMar>
            <w:vAlign w:val="center"/>
            <w:hideMark/>
          </w:tcPr>
          <w:p w14:paraId="6B94BBA3" w14:textId="77777777" w:rsidR="007A4DE6" w:rsidRPr="00355CD8" w:rsidRDefault="007A4DE6" w:rsidP="00355CD8">
            <w:pPr>
              <w:spacing w:line="360" w:lineRule="auto"/>
              <w:jc w:val="both"/>
              <w:rPr>
                <w:rFonts w:ascii="Arial" w:hAnsi="Arial" w:cs="Arial"/>
              </w:rPr>
            </w:pPr>
            <w:r w:rsidRPr="00355CD8">
              <w:rPr>
                <w:rFonts w:ascii="Arial" w:hAnsi="Arial" w:cs="Arial"/>
              </w:rPr>
              <w:t>Why workers leave – resource threat → stress → withdrawal</w:t>
            </w:r>
          </w:p>
        </w:tc>
        <w:tc>
          <w:tcPr>
            <w:tcW w:w="0" w:type="auto"/>
            <w:tcMar>
              <w:top w:w="150" w:type="dxa"/>
              <w:left w:w="240" w:type="dxa"/>
              <w:bottom w:w="150" w:type="dxa"/>
              <w:right w:w="0" w:type="dxa"/>
            </w:tcMar>
            <w:vAlign w:val="center"/>
            <w:hideMark/>
          </w:tcPr>
          <w:p w14:paraId="43EF44AA" w14:textId="77777777" w:rsidR="007A4DE6" w:rsidRPr="00355CD8" w:rsidRDefault="007A4DE6" w:rsidP="00355CD8">
            <w:pPr>
              <w:spacing w:line="360" w:lineRule="auto"/>
              <w:jc w:val="both"/>
              <w:rPr>
                <w:rFonts w:ascii="Arial" w:hAnsi="Arial" w:cs="Arial"/>
              </w:rPr>
            </w:pPr>
            <w:r w:rsidRPr="00355CD8">
              <w:rPr>
                <w:rFonts w:ascii="Arial" w:hAnsi="Arial" w:cs="Arial"/>
              </w:rPr>
              <w:t>Resource loss and conservation</w:t>
            </w:r>
          </w:p>
        </w:tc>
      </w:tr>
      <w:tr w:rsidR="007A4DE6" w:rsidRPr="00355CD8" w14:paraId="38FB938C" w14:textId="77777777" w:rsidTr="00B529E0">
        <w:tc>
          <w:tcPr>
            <w:tcW w:w="0" w:type="auto"/>
            <w:tcMar>
              <w:top w:w="150" w:type="dxa"/>
              <w:left w:w="0" w:type="dxa"/>
              <w:bottom w:w="150" w:type="dxa"/>
              <w:right w:w="240" w:type="dxa"/>
            </w:tcMar>
            <w:vAlign w:val="center"/>
            <w:hideMark/>
          </w:tcPr>
          <w:p w14:paraId="61A8BC49" w14:textId="77777777" w:rsidR="007A4DE6" w:rsidRPr="00355CD8" w:rsidRDefault="007A4DE6" w:rsidP="00355CD8">
            <w:pPr>
              <w:spacing w:line="360" w:lineRule="auto"/>
              <w:jc w:val="both"/>
              <w:rPr>
                <w:rFonts w:ascii="Arial" w:hAnsi="Arial" w:cs="Arial"/>
              </w:rPr>
            </w:pPr>
            <w:r w:rsidRPr="00355CD8">
              <w:rPr>
                <w:rFonts w:ascii="Arial" w:hAnsi="Arial" w:cs="Arial"/>
              </w:rPr>
              <w:t>Triple Bottom Line</w:t>
            </w:r>
          </w:p>
        </w:tc>
        <w:tc>
          <w:tcPr>
            <w:tcW w:w="0" w:type="auto"/>
            <w:tcMar>
              <w:top w:w="150" w:type="dxa"/>
              <w:left w:w="240" w:type="dxa"/>
              <w:bottom w:w="150" w:type="dxa"/>
              <w:right w:w="240" w:type="dxa"/>
            </w:tcMar>
            <w:vAlign w:val="center"/>
            <w:hideMark/>
          </w:tcPr>
          <w:p w14:paraId="214C2532" w14:textId="77777777" w:rsidR="007A4DE6" w:rsidRPr="00355CD8" w:rsidRDefault="007A4DE6" w:rsidP="00355CD8">
            <w:pPr>
              <w:spacing w:line="360" w:lineRule="auto"/>
              <w:jc w:val="both"/>
              <w:rPr>
                <w:rFonts w:ascii="Arial" w:hAnsi="Arial" w:cs="Arial"/>
              </w:rPr>
            </w:pPr>
            <w:r w:rsidRPr="00355CD8">
              <w:rPr>
                <w:rFonts w:ascii="Arial" w:hAnsi="Arial" w:cs="Arial"/>
              </w:rPr>
              <w:t>Sectoral / Systemic</w:t>
            </w:r>
          </w:p>
        </w:tc>
        <w:tc>
          <w:tcPr>
            <w:tcW w:w="0" w:type="auto"/>
            <w:tcMar>
              <w:top w:w="150" w:type="dxa"/>
              <w:left w:w="240" w:type="dxa"/>
              <w:bottom w:w="150" w:type="dxa"/>
              <w:right w:w="240" w:type="dxa"/>
            </w:tcMar>
            <w:vAlign w:val="center"/>
            <w:hideMark/>
          </w:tcPr>
          <w:p w14:paraId="013BBF7E" w14:textId="77777777" w:rsidR="007A4DE6" w:rsidRPr="00355CD8" w:rsidRDefault="007A4DE6" w:rsidP="00355CD8">
            <w:pPr>
              <w:spacing w:line="360" w:lineRule="auto"/>
              <w:jc w:val="both"/>
              <w:rPr>
                <w:rFonts w:ascii="Arial" w:hAnsi="Arial" w:cs="Arial"/>
              </w:rPr>
            </w:pPr>
            <w:r w:rsidRPr="00355CD8">
              <w:rPr>
                <w:rFonts w:ascii="Arial" w:hAnsi="Arial" w:cs="Arial"/>
              </w:rPr>
              <w:t>What is lost – social and economic sustainability</w:t>
            </w:r>
          </w:p>
        </w:tc>
        <w:tc>
          <w:tcPr>
            <w:tcW w:w="0" w:type="auto"/>
            <w:tcMar>
              <w:top w:w="150" w:type="dxa"/>
              <w:left w:w="240" w:type="dxa"/>
              <w:bottom w:w="150" w:type="dxa"/>
              <w:right w:w="0" w:type="dxa"/>
            </w:tcMar>
            <w:vAlign w:val="center"/>
            <w:hideMark/>
          </w:tcPr>
          <w:p w14:paraId="6C2DED75" w14:textId="77777777" w:rsidR="007A4DE6" w:rsidRPr="00355CD8" w:rsidRDefault="007A4DE6" w:rsidP="00355CD8">
            <w:pPr>
              <w:spacing w:line="360" w:lineRule="auto"/>
              <w:jc w:val="both"/>
              <w:rPr>
                <w:rFonts w:ascii="Arial" w:hAnsi="Arial" w:cs="Arial"/>
              </w:rPr>
            </w:pPr>
            <w:r w:rsidRPr="00355CD8">
              <w:rPr>
                <w:rFonts w:ascii="Arial" w:hAnsi="Arial" w:cs="Arial"/>
              </w:rPr>
              <w:t>Trade-offs between pillars</w:t>
            </w:r>
          </w:p>
        </w:tc>
      </w:tr>
    </w:tbl>
    <w:p w14:paraId="24609BD5" w14:textId="77777777" w:rsidR="00313237" w:rsidRPr="00355CD8" w:rsidRDefault="00313237" w:rsidP="00355CD8">
      <w:pPr>
        <w:spacing w:line="360" w:lineRule="auto"/>
        <w:jc w:val="both"/>
        <w:rPr>
          <w:rFonts w:ascii="Arial" w:hAnsi="Arial" w:cs="Arial"/>
        </w:rPr>
      </w:pPr>
    </w:p>
    <w:p w14:paraId="2092A3BD" w14:textId="2582C231" w:rsidR="007A4DE6" w:rsidRPr="00355CD8" w:rsidRDefault="007A4DE6" w:rsidP="00355CD8">
      <w:pPr>
        <w:spacing w:line="360" w:lineRule="auto"/>
        <w:jc w:val="both"/>
        <w:rPr>
          <w:rFonts w:ascii="Arial" w:hAnsi="Arial" w:cs="Arial"/>
        </w:rPr>
      </w:pPr>
      <w:r w:rsidRPr="00355CD8">
        <w:rPr>
          <w:rFonts w:ascii="Arial" w:hAnsi="Arial" w:cs="Arial"/>
        </w:rPr>
        <w:t>COR Theory explains the mechanism: policy change → resource threat (</w:t>
      </w:r>
      <w:proofErr w:type="spellStart"/>
      <w:r w:rsidRPr="00355CD8">
        <w:rPr>
          <w:rFonts w:ascii="Arial" w:hAnsi="Arial" w:cs="Arial"/>
        </w:rPr>
        <w:t>dependant</w:t>
      </w:r>
      <w:proofErr w:type="spellEnd"/>
      <w:r w:rsidRPr="00355CD8">
        <w:rPr>
          <w:rFonts w:ascii="Arial" w:hAnsi="Arial" w:cs="Arial"/>
        </w:rPr>
        <w:t xml:space="preserve"> restrictions, closed pathways) → stress → withdrawal </w:t>
      </w:r>
      <w:proofErr w:type="spellStart"/>
      <w:r w:rsidRPr="00355CD8">
        <w:rPr>
          <w:rFonts w:ascii="Arial" w:hAnsi="Arial" w:cs="Arial"/>
        </w:rPr>
        <w:t>behaviour</w:t>
      </w:r>
      <w:proofErr w:type="spellEnd"/>
      <w:r w:rsidRPr="00355CD8">
        <w:rPr>
          <w:rFonts w:ascii="Arial" w:hAnsi="Arial" w:cs="Arial"/>
        </w:rPr>
        <w:t>. This explains </w:t>
      </w:r>
      <w:r w:rsidRPr="00355CD8">
        <w:rPr>
          <w:rFonts w:ascii="Arial" w:hAnsi="Arial" w:cs="Arial"/>
          <w:i/>
          <w:iCs/>
        </w:rPr>
        <w:t>why</w:t>
      </w:r>
      <w:r w:rsidRPr="00355CD8">
        <w:rPr>
          <w:rFonts w:ascii="Arial" w:hAnsi="Arial" w:cs="Arial"/>
        </w:rPr>
        <w:t> workers leave.</w:t>
      </w:r>
    </w:p>
    <w:p w14:paraId="34A048FA" w14:textId="77777777" w:rsidR="007A4DE6" w:rsidRPr="00355CD8" w:rsidRDefault="007A4DE6" w:rsidP="00355CD8">
      <w:pPr>
        <w:spacing w:line="360" w:lineRule="auto"/>
        <w:jc w:val="both"/>
        <w:rPr>
          <w:rFonts w:ascii="Arial" w:hAnsi="Arial" w:cs="Arial"/>
        </w:rPr>
      </w:pPr>
      <w:r w:rsidRPr="00355CD8">
        <w:rPr>
          <w:rFonts w:ascii="Arial" w:hAnsi="Arial" w:cs="Arial"/>
        </w:rPr>
        <w:t>Human Capital Theory explains the cost: departing workers take with them specific knowledge of NHS protocols, local patient populations, and team dynamics – knowledge that is costly to replace and retrain. This explains </w:t>
      </w:r>
      <w:r w:rsidRPr="00355CD8">
        <w:rPr>
          <w:rFonts w:ascii="Arial" w:hAnsi="Arial" w:cs="Arial"/>
          <w:i/>
          <w:iCs/>
        </w:rPr>
        <w:t>what</w:t>
      </w:r>
      <w:r w:rsidRPr="00355CD8">
        <w:rPr>
          <w:rFonts w:ascii="Arial" w:hAnsi="Arial" w:cs="Arial"/>
        </w:rPr>
        <w:t> is lost.</w:t>
      </w:r>
    </w:p>
    <w:p w14:paraId="041C64F5"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TBL explains the consequences: reduced social sustainability (declining </w:t>
      </w:r>
      <w:proofErr w:type="spellStart"/>
      <w:r w:rsidRPr="00355CD8">
        <w:rPr>
          <w:rFonts w:ascii="Arial" w:hAnsi="Arial" w:cs="Arial"/>
        </w:rPr>
        <w:t>dependant</w:t>
      </w:r>
      <w:proofErr w:type="spellEnd"/>
      <w:r w:rsidRPr="00355CD8">
        <w:rPr>
          <w:rFonts w:ascii="Arial" w:hAnsi="Arial" w:cs="Arial"/>
        </w:rPr>
        <w:t xml:space="preserve"> visa rates, family separation, limited career progression) and reduced economic sustainability (increasing turnover costs, workforce instability, service disruption). This explains </w:t>
      </w:r>
      <w:r w:rsidRPr="00355CD8">
        <w:rPr>
          <w:rFonts w:ascii="Arial" w:hAnsi="Arial" w:cs="Arial"/>
          <w:i/>
          <w:iCs/>
        </w:rPr>
        <w:t>the systemic impact</w:t>
      </w:r>
      <w:r w:rsidRPr="00355CD8">
        <w:rPr>
          <w:rFonts w:ascii="Arial" w:hAnsi="Arial" w:cs="Arial"/>
        </w:rPr>
        <w:t>.</w:t>
      </w:r>
    </w:p>
    <w:p w14:paraId="5059BF14" w14:textId="77777777" w:rsidR="007A4DE6" w:rsidRPr="00355CD8" w:rsidRDefault="007A4DE6" w:rsidP="00355CD8">
      <w:pPr>
        <w:spacing w:line="360" w:lineRule="auto"/>
        <w:jc w:val="both"/>
        <w:rPr>
          <w:rFonts w:ascii="Arial" w:hAnsi="Arial" w:cs="Arial"/>
        </w:rPr>
      </w:pPr>
      <w:r w:rsidRPr="00355CD8">
        <w:rPr>
          <w:rFonts w:ascii="Arial" w:hAnsi="Arial" w:cs="Arial"/>
        </w:rPr>
        <w:t>Together, they form a quantitative analytical chain:</w:t>
      </w:r>
    </w:p>
    <w:p w14:paraId="1E044553" w14:textId="77777777" w:rsidR="007A4DE6" w:rsidRPr="00355CD8" w:rsidRDefault="007A4DE6" w:rsidP="00355CD8">
      <w:pPr>
        <w:spacing w:line="360" w:lineRule="auto"/>
        <w:jc w:val="both"/>
        <w:rPr>
          <w:rFonts w:ascii="Arial" w:hAnsi="Arial" w:cs="Arial"/>
        </w:rPr>
      </w:pPr>
      <w:r w:rsidRPr="00355CD8">
        <w:rPr>
          <w:rFonts w:ascii="Arial" w:hAnsi="Arial" w:cs="Arial"/>
        </w:rPr>
        <w:lastRenderedPageBreak/>
        <w:t xml:space="preserve">Policy Change (skills threshold increase, </w:t>
      </w:r>
      <w:proofErr w:type="spellStart"/>
      <w:r w:rsidRPr="00355CD8">
        <w:rPr>
          <w:rFonts w:ascii="Arial" w:hAnsi="Arial" w:cs="Arial"/>
        </w:rPr>
        <w:t>dependant</w:t>
      </w:r>
      <w:proofErr w:type="spellEnd"/>
      <w:r w:rsidRPr="00355CD8">
        <w:rPr>
          <w:rFonts w:ascii="Arial" w:hAnsi="Arial" w:cs="Arial"/>
        </w:rPr>
        <w:t xml:space="preserve"> visa restrictions, overseas recruitment closure) → Resource Threat (loss of family unity, settlement pathways) [COR] → Stress and Withdrawal (reduced commitment, intention to leave) [COR] → Loss of Specific Human Capital (costly to replace, retrain) [Human Capital Theory] → Decline in Social and Economic Sustainability (falling </w:t>
      </w:r>
      <w:proofErr w:type="spellStart"/>
      <w:r w:rsidRPr="00355CD8">
        <w:rPr>
          <w:rFonts w:ascii="Arial" w:hAnsi="Arial" w:cs="Arial"/>
        </w:rPr>
        <w:t>dependant</w:t>
      </w:r>
      <w:proofErr w:type="spellEnd"/>
      <w:r w:rsidRPr="00355CD8">
        <w:rPr>
          <w:rFonts w:ascii="Arial" w:hAnsi="Arial" w:cs="Arial"/>
        </w:rPr>
        <w:t xml:space="preserve"> visa rates, rising turnover costs) [TBL]</w:t>
      </w:r>
    </w:p>
    <w:p w14:paraId="62818D9F" w14:textId="6FFE3F06" w:rsidR="007A4DE6" w:rsidRPr="00355CD8" w:rsidRDefault="007A4DE6" w:rsidP="00355CD8">
      <w:pPr>
        <w:spacing w:line="360" w:lineRule="auto"/>
        <w:jc w:val="both"/>
        <w:rPr>
          <w:rFonts w:ascii="Arial" w:hAnsi="Arial" w:cs="Arial"/>
        </w:rPr>
      </w:pPr>
      <w:r w:rsidRPr="00355CD8">
        <w:rPr>
          <w:rFonts w:ascii="Arial" w:hAnsi="Arial" w:cs="Arial"/>
        </w:rPr>
        <w:t>This integrated framework will guide the empirical analysis in subsequent chapters, providing a structured approach to testing the predicted relationships between policy changes and sustainability outcomes.</w:t>
      </w:r>
    </w:p>
    <w:p w14:paraId="1F230912" w14:textId="77777777" w:rsidR="007A4DE6" w:rsidRPr="00355CD8" w:rsidRDefault="007A4DE6" w:rsidP="002C7C0C">
      <w:pPr>
        <w:pStyle w:val="Heading2"/>
      </w:pPr>
      <w:bookmarkStart w:id="28" w:name="_Toc238200125"/>
      <w:r w:rsidRPr="00355CD8">
        <w:t>2.6 UK Immigration Policy Context (2020–2026)</w:t>
      </w:r>
      <w:bookmarkEnd w:id="28"/>
    </w:p>
    <w:p w14:paraId="1E1FB821" w14:textId="77777777" w:rsidR="007A4DE6" w:rsidRPr="00355CD8" w:rsidRDefault="007A4DE6" w:rsidP="002C7C0C">
      <w:pPr>
        <w:pStyle w:val="Heading3"/>
      </w:pPr>
      <w:bookmarkStart w:id="29" w:name="_Toc238200126"/>
      <w:r w:rsidRPr="00355CD8">
        <w:t>2.6.1 Historical Context and 2024 Turning Point</w:t>
      </w:r>
      <w:bookmarkEnd w:id="29"/>
    </w:p>
    <w:p w14:paraId="41E7937E" w14:textId="77777777" w:rsidR="007A4DE6" w:rsidRPr="00355CD8" w:rsidRDefault="007A4DE6" w:rsidP="00355CD8">
      <w:pPr>
        <w:spacing w:line="360" w:lineRule="auto"/>
        <w:jc w:val="both"/>
        <w:rPr>
          <w:rFonts w:ascii="Arial" w:hAnsi="Arial" w:cs="Arial"/>
        </w:rPr>
      </w:pPr>
      <w:r w:rsidRPr="00355CD8">
        <w:rPr>
          <w:rFonts w:ascii="Arial" w:hAnsi="Arial" w:cs="Arial"/>
        </w:rPr>
        <w:t>The period 2020–2026 has witnessed the most significant overhaul of the UK's immigration system in decades. Following the departure from the European Union, the government introduced a points</w:t>
      </w:r>
      <w:r w:rsidRPr="00355CD8">
        <w:rPr>
          <w:rFonts w:ascii="Arial" w:hAnsi="Arial" w:cs="Arial"/>
        </w:rPr>
        <w:noBreakHyphen/>
        <w:t>based system designed to attract 'high</w:t>
      </w:r>
      <w:r w:rsidRPr="00355CD8">
        <w:rPr>
          <w:rFonts w:ascii="Arial" w:hAnsi="Arial" w:cs="Arial"/>
        </w:rPr>
        <w:noBreakHyphen/>
        <w:t>skill' migrants. The Skilled Worker visa initially lowered the skill threshold from RQF Level 6 to RQF Level 3 (Home Office, 2025b). In August 2020, the Health and Care Worker route was introduced, providing fast</w:t>
      </w:r>
      <w:r w:rsidRPr="00355CD8">
        <w:rPr>
          <w:rFonts w:ascii="Arial" w:hAnsi="Arial" w:cs="Arial"/>
        </w:rPr>
        <w:noBreakHyphen/>
        <w:t xml:space="preserve">track entry and reduced visa fees (Home Office, 2025c), and was expanded in February 2022 to include the social care workforce (Home Office, 2025b). This expansion led to a dramatic increase in visas, from 37,416 in 2022 to 145,823 in 2023 (Home Office, 2024). However, the turning point came in late 2023. The most significant change was the restriction on </w:t>
      </w:r>
      <w:proofErr w:type="spellStart"/>
      <w:r w:rsidRPr="00355CD8">
        <w:rPr>
          <w:rFonts w:ascii="Arial" w:hAnsi="Arial" w:cs="Arial"/>
        </w:rPr>
        <w:t>dependant</w:t>
      </w:r>
      <w:proofErr w:type="spellEnd"/>
      <w:r w:rsidRPr="00355CD8">
        <w:rPr>
          <w:rFonts w:ascii="Arial" w:hAnsi="Arial" w:cs="Arial"/>
        </w:rPr>
        <w:t xml:space="preserve"> visas for care workers, introduced on 11 March 2024, which prevented workers under SOC codes 6135 and 6136 from bringing </w:t>
      </w:r>
      <w:proofErr w:type="spellStart"/>
      <w:r w:rsidRPr="00355CD8">
        <w:rPr>
          <w:rFonts w:ascii="Arial" w:hAnsi="Arial" w:cs="Arial"/>
        </w:rPr>
        <w:t>dependants</w:t>
      </w:r>
      <w:proofErr w:type="spellEnd"/>
      <w:r w:rsidRPr="00355CD8">
        <w:rPr>
          <w:rFonts w:ascii="Arial" w:hAnsi="Arial" w:cs="Arial"/>
        </w:rPr>
        <w:t xml:space="preserve"> to the UK (</w:t>
      </w:r>
      <w:proofErr w:type="spellStart"/>
      <w:r w:rsidRPr="00355CD8">
        <w:rPr>
          <w:rFonts w:ascii="Arial" w:hAnsi="Arial" w:cs="Arial"/>
        </w:rPr>
        <w:t>Seraphus</w:t>
      </w:r>
      <w:proofErr w:type="spellEnd"/>
      <w:r w:rsidRPr="00355CD8">
        <w:rPr>
          <w:rFonts w:ascii="Arial" w:hAnsi="Arial" w:cs="Arial"/>
        </w:rPr>
        <w:t xml:space="preserve">, 2026). The impact was immediate and substantial: Health and Care Worker visas fell by 81% in the year ending March 2025, while </w:t>
      </w:r>
      <w:proofErr w:type="spellStart"/>
      <w:r w:rsidRPr="00355CD8">
        <w:rPr>
          <w:rFonts w:ascii="Arial" w:hAnsi="Arial" w:cs="Arial"/>
        </w:rPr>
        <w:t>dependant</w:t>
      </w:r>
      <w:proofErr w:type="spellEnd"/>
      <w:r w:rsidRPr="00355CD8">
        <w:rPr>
          <w:rFonts w:ascii="Arial" w:hAnsi="Arial" w:cs="Arial"/>
        </w:rPr>
        <w:t xml:space="preserve"> visas fell by 78% (Home Office, 2024; Migration Observatory, 2025).</w:t>
      </w:r>
    </w:p>
    <w:p w14:paraId="6C1229E1" w14:textId="77777777" w:rsidR="007A4DE6" w:rsidRPr="00355CD8" w:rsidRDefault="007A4DE6" w:rsidP="002C7C0C">
      <w:pPr>
        <w:pStyle w:val="Heading3"/>
      </w:pPr>
      <w:bookmarkStart w:id="30" w:name="_Toc238200127"/>
      <w:r w:rsidRPr="00355CD8">
        <w:t>2.6.2 The July 2025 Reforms and Impact on Migration Flows</w:t>
      </w:r>
      <w:bookmarkEnd w:id="30"/>
    </w:p>
    <w:p w14:paraId="4070C29D" w14:textId="0C73FBA7" w:rsidR="007A4DE6" w:rsidRPr="00355CD8" w:rsidRDefault="007A4DE6" w:rsidP="00355CD8">
      <w:pPr>
        <w:spacing w:line="360" w:lineRule="auto"/>
        <w:jc w:val="both"/>
        <w:rPr>
          <w:rFonts w:ascii="Arial" w:hAnsi="Arial" w:cs="Arial"/>
        </w:rPr>
      </w:pPr>
      <w:r w:rsidRPr="00355CD8">
        <w:rPr>
          <w:rFonts w:ascii="Arial" w:hAnsi="Arial" w:cs="Arial"/>
        </w:rPr>
        <w:t xml:space="preserve">The most consequential changes came into effect on 22 July 2025. The minimum skill level for sponsorship increased from RQF Level 3 to RQF Level 6, effectively closing the route for most care workers who do not hold a degree (Home Office, 2025b; </w:t>
      </w:r>
      <w:proofErr w:type="spellStart"/>
      <w:r w:rsidRPr="00355CD8">
        <w:rPr>
          <w:rFonts w:ascii="Arial" w:hAnsi="Arial" w:cs="Arial"/>
        </w:rPr>
        <w:t>Seraphus</w:t>
      </w:r>
      <w:proofErr w:type="spellEnd"/>
      <w:r w:rsidRPr="00355CD8">
        <w:rPr>
          <w:rFonts w:ascii="Arial" w:hAnsi="Arial" w:cs="Arial"/>
        </w:rPr>
        <w:t xml:space="preserve">, </w:t>
      </w:r>
      <w:r w:rsidRPr="00355CD8">
        <w:rPr>
          <w:rFonts w:ascii="Arial" w:hAnsi="Arial" w:cs="Arial"/>
        </w:rPr>
        <w:lastRenderedPageBreak/>
        <w:t>2026). Employers can no longer recruit care workers and senior care workers from overseas, although workers already in the UK can continue to be sponsored until 22 July 2028 (</w:t>
      </w:r>
      <w:proofErr w:type="spellStart"/>
      <w:r w:rsidRPr="00355CD8">
        <w:rPr>
          <w:rFonts w:ascii="Arial" w:hAnsi="Arial" w:cs="Arial"/>
        </w:rPr>
        <w:t>Seraphus</w:t>
      </w:r>
      <w:proofErr w:type="spellEnd"/>
      <w:r w:rsidRPr="00355CD8">
        <w:rPr>
          <w:rFonts w:ascii="Arial" w:hAnsi="Arial" w:cs="Arial"/>
        </w:rPr>
        <w:t>, 2026). Additional measures included an increase in the immigration salary threshold from £23,200 to £25,000 (RCN, 2025), a 32% increase in the Immigration Skills Charge to £1,320 per person per year (NHS Employers, 2025), and a rise in English language requirements from B1 to B2 from 8 January 2026 (NHS Employers, 2025). On 20 November 2025, the government proposed an 'Earned Settlement' system, lengthening and restricting routes to indefinite leave for an estimated 616,000 overseas health and care workers (</w:t>
      </w:r>
      <w:proofErr w:type="spellStart"/>
      <w:r w:rsidRPr="00355CD8">
        <w:rPr>
          <w:rFonts w:ascii="Arial" w:hAnsi="Arial" w:cs="Arial"/>
        </w:rPr>
        <w:t>Deivanayagam</w:t>
      </w:r>
      <w:proofErr w:type="spellEnd"/>
      <w:r w:rsidRPr="00355CD8">
        <w:rPr>
          <w:rFonts w:ascii="Arial" w:hAnsi="Arial" w:cs="Arial"/>
        </w:rPr>
        <w:t xml:space="preserve"> et al., 2026). The Royal College of Nursing noted that these proposals fail to </w:t>
      </w:r>
      <w:proofErr w:type="spellStart"/>
      <w:r w:rsidRPr="00355CD8">
        <w:rPr>
          <w:rFonts w:ascii="Arial" w:hAnsi="Arial" w:cs="Arial"/>
        </w:rPr>
        <w:t>recognise</w:t>
      </w:r>
      <w:proofErr w:type="spellEnd"/>
      <w:r w:rsidRPr="00355CD8">
        <w:rPr>
          <w:rFonts w:ascii="Arial" w:hAnsi="Arial" w:cs="Arial"/>
        </w:rPr>
        <w:t xml:space="preserve"> the value of internationally educated nursing staff and threaten retention (RCN, 2026), while the Florence Nightingale Foundation observed that recruitment slows as retention challenges deepen (Florence Nightingale Foundation, 2025). The impact on migration flows has been dramatic: visas for health and care workers and their families fell by 68% – from 348,000 in 2023 to 111,000 in 2024 (Migration Observatory, 2025). In the year ending April 2026, there were only 11,000 applications from main applicants – a 93% decline from the peak in November 2023 (Home Office, 2026). Monthly applications, which peaked at 18,300 in August 2023, fell to 900 by December 2025 (Home Office, 2026).</w:t>
      </w:r>
    </w:p>
    <w:p w14:paraId="40E6D435" w14:textId="77777777" w:rsidR="007A4DE6" w:rsidRPr="00355CD8" w:rsidRDefault="007A4DE6" w:rsidP="002C7C0C">
      <w:pPr>
        <w:pStyle w:val="Heading2"/>
      </w:pPr>
      <w:bookmarkStart w:id="31" w:name="_Toc238200128"/>
      <w:r w:rsidRPr="00355CD8">
        <w:t>2.7 Migrant Healthcare Support Workers: Role, Challenges, and Sustainability</w:t>
      </w:r>
      <w:bookmarkEnd w:id="31"/>
    </w:p>
    <w:p w14:paraId="7267C08E" w14:textId="77777777" w:rsidR="007A4DE6" w:rsidRPr="00355CD8" w:rsidRDefault="007A4DE6" w:rsidP="002C7C0C">
      <w:pPr>
        <w:pStyle w:val="Heading3"/>
      </w:pPr>
      <w:bookmarkStart w:id="32" w:name="_Toc238200129"/>
      <w:r w:rsidRPr="00355CD8">
        <w:t>2.7.1 The Scale of the Workforce</w:t>
      </w:r>
      <w:bookmarkEnd w:id="32"/>
    </w:p>
    <w:p w14:paraId="1152F67C"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Healthcare Support Workers (HCSWs) in Bands 1–4 comprise approximately 40% of the NHS workforce. They deliver essential frontline care – assisting with personal hygiene, mobility, feeding, and monitoring of patients. Support workers </w:t>
      </w:r>
      <w:proofErr w:type="gramStart"/>
      <w:r w:rsidRPr="00355CD8">
        <w:rPr>
          <w:rFonts w:ascii="Arial" w:hAnsi="Arial" w:cs="Arial"/>
        </w:rPr>
        <w:t>form</w:t>
      </w:r>
      <w:proofErr w:type="gramEnd"/>
      <w:r w:rsidRPr="00355CD8">
        <w:rPr>
          <w:rFonts w:ascii="Arial" w:hAnsi="Arial" w:cs="Arial"/>
        </w:rPr>
        <w:t xml:space="preserve"> the largest section of the NHS workforce, and the ongoing NHS workforce crisis underscores the need for their efficient </w:t>
      </w:r>
      <w:proofErr w:type="spellStart"/>
      <w:r w:rsidRPr="00355CD8">
        <w:rPr>
          <w:rFonts w:ascii="Arial" w:hAnsi="Arial" w:cs="Arial"/>
        </w:rPr>
        <w:t>utilisation</w:t>
      </w:r>
      <w:proofErr w:type="spellEnd"/>
      <w:r w:rsidRPr="00355CD8">
        <w:rPr>
          <w:rFonts w:ascii="Arial" w:hAnsi="Arial" w:cs="Arial"/>
        </w:rPr>
        <w:t xml:space="preserve"> (PMC, 2025). Overseas staff are now essential to the NHS rather than supplementary: support staff (approximately 470,000) account for a quarter of the NHS workforce (</w:t>
      </w:r>
      <w:proofErr w:type="spellStart"/>
      <w:r w:rsidRPr="00355CD8">
        <w:rPr>
          <w:rFonts w:ascii="Arial" w:hAnsi="Arial" w:cs="Arial"/>
        </w:rPr>
        <w:t>Deivanayagam</w:t>
      </w:r>
      <w:proofErr w:type="spellEnd"/>
      <w:r w:rsidRPr="00355CD8">
        <w:rPr>
          <w:rFonts w:ascii="Arial" w:hAnsi="Arial" w:cs="Arial"/>
        </w:rPr>
        <w:t xml:space="preserve"> et al., 2026).</w:t>
      </w:r>
    </w:p>
    <w:p w14:paraId="36C69FEE" w14:textId="77777777" w:rsidR="007A4DE6" w:rsidRPr="00355CD8" w:rsidRDefault="007A4DE6" w:rsidP="00355CD8">
      <w:pPr>
        <w:spacing w:line="360" w:lineRule="auto"/>
        <w:jc w:val="both"/>
        <w:rPr>
          <w:rFonts w:ascii="Arial" w:hAnsi="Arial" w:cs="Arial"/>
        </w:rPr>
      </w:pPr>
      <w:r w:rsidRPr="00355CD8">
        <w:rPr>
          <w:rFonts w:ascii="Arial" w:hAnsi="Arial" w:cs="Arial"/>
        </w:rPr>
        <w:t>Around one-fifth of NHS staff and around one-third of adult social care workers (approximately 465,000) are from overseas (</w:t>
      </w:r>
      <w:proofErr w:type="spellStart"/>
      <w:r w:rsidRPr="00355CD8">
        <w:rPr>
          <w:rFonts w:ascii="Arial" w:hAnsi="Arial" w:cs="Arial"/>
        </w:rPr>
        <w:t>Deivanayagam</w:t>
      </w:r>
      <w:proofErr w:type="spellEnd"/>
      <w:r w:rsidRPr="00355CD8">
        <w:rPr>
          <w:rFonts w:ascii="Arial" w:hAnsi="Arial" w:cs="Arial"/>
        </w:rPr>
        <w:t xml:space="preserve"> et al., 2026). International </w:t>
      </w:r>
      <w:r w:rsidRPr="00355CD8">
        <w:rPr>
          <w:rFonts w:ascii="Arial" w:hAnsi="Arial" w:cs="Arial"/>
        </w:rPr>
        <w:lastRenderedPageBreak/>
        <w:t>staff make up nearly 30% of the adult social care sector in England for the 2024</w:t>
      </w:r>
      <w:r w:rsidRPr="00355CD8">
        <w:rPr>
          <w:rFonts w:ascii="Arial" w:hAnsi="Arial" w:cs="Arial"/>
        </w:rPr>
        <w:noBreakHyphen/>
        <w:t>2025 period (TUC, 2026). This high dependency makes the sector particularly vulnerable to immigration policy changes.</w:t>
      </w:r>
    </w:p>
    <w:p w14:paraId="7CF23FBB" w14:textId="77777777" w:rsidR="007A4DE6" w:rsidRPr="00355CD8" w:rsidRDefault="007A4DE6" w:rsidP="002A018E">
      <w:pPr>
        <w:pStyle w:val="Heading3"/>
      </w:pPr>
      <w:bookmarkStart w:id="33" w:name="_Toc238200130"/>
      <w:r w:rsidRPr="00355CD8">
        <w:t>2.7.2 Workforce Challenges: Vacancies, Turnover, and Training</w:t>
      </w:r>
      <w:bookmarkEnd w:id="33"/>
    </w:p>
    <w:p w14:paraId="7483D3B4" w14:textId="77777777" w:rsidR="007A4DE6" w:rsidRPr="00355CD8" w:rsidRDefault="007A4DE6" w:rsidP="00355CD8">
      <w:pPr>
        <w:spacing w:line="360" w:lineRule="auto"/>
        <w:jc w:val="both"/>
        <w:rPr>
          <w:rFonts w:ascii="Arial" w:hAnsi="Arial" w:cs="Arial"/>
        </w:rPr>
      </w:pPr>
      <w:r w:rsidRPr="00355CD8">
        <w:rPr>
          <w:rFonts w:ascii="Arial" w:hAnsi="Arial" w:cs="Arial"/>
        </w:rPr>
        <w:t>The scale of the workforce challenge is substantial. As of late 2024, NHS England alone reported over 100,000 vacant posts, with healthcare support worker vacancies ranking among the highest across all staff groups (POST, 2025). The adult social care sector faces even greater pressure, with an estimated 131,000 vacancies in 2023/24, a figure that does not include positions filled by temporary staff (POST, 2025). The NHS and social care face vacancy rates of 6.7% (approximately 100,000) and 7% (approximately 111,000), respectively, well above other sectors in the UK overall (2.4%) (</w:t>
      </w:r>
      <w:proofErr w:type="spellStart"/>
      <w:r w:rsidRPr="00355CD8">
        <w:rPr>
          <w:rFonts w:ascii="Arial" w:hAnsi="Arial" w:cs="Arial"/>
        </w:rPr>
        <w:t>Deivanayagam</w:t>
      </w:r>
      <w:proofErr w:type="spellEnd"/>
      <w:r w:rsidRPr="00355CD8">
        <w:rPr>
          <w:rFonts w:ascii="Arial" w:hAnsi="Arial" w:cs="Arial"/>
        </w:rPr>
        <w:t xml:space="preserve"> et al., 2026).</w:t>
      </w:r>
    </w:p>
    <w:p w14:paraId="005D9A74" w14:textId="77777777" w:rsidR="007A4DE6" w:rsidRPr="00355CD8" w:rsidRDefault="007A4DE6" w:rsidP="00355CD8">
      <w:pPr>
        <w:spacing w:line="360" w:lineRule="auto"/>
        <w:jc w:val="both"/>
        <w:rPr>
          <w:rFonts w:ascii="Arial" w:hAnsi="Arial" w:cs="Arial"/>
        </w:rPr>
      </w:pPr>
      <w:r w:rsidRPr="00355CD8">
        <w:rPr>
          <w:rFonts w:ascii="Arial" w:hAnsi="Arial" w:cs="Arial"/>
        </w:rPr>
        <w:t>Skills for Care (2024) estimated that the adult social care sector loses approximately 390,000 staff annually, a turnover rate exceeding 30%. The proportion of care and support workers with a Level 2 qualification has fallen to 38% – down from 41% in 2023/24 and 48% in 2018/19 (Skills for Care, 2024). Despite their frontline importance, HCSWs receive only 5% of training budgets (Skills for Care, 2024).</w:t>
      </w:r>
    </w:p>
    <w:p w14:paraId="21FB0393" w14:textId="77777777" w:rsidR="007A4DE6" w:rsidRPr="00355CD8" w:rsidRDefault="007A4DE6" w:rsidP="00355CD8">
      <w:pPr>
        <w:spacing w:line="360" w:lineRule="auto"/>
        <w:jc w:val="both"/>
        <w:rPr>
          <w:rFonts w:ascii="Arial" w:hAnsi="Arial" w:cs="Arial"/>
        </w:rPr>
      </w:pPr>
      <w:r w:rsidRPr="00355CD8">
        <w:rPr>
          <w:rFonts w:ascii="Arial" w:hAnsi="Arial" w:cs="Arial"/>
        </w:rPr>
        <w:t>The number of new international recruits fell from 105,000 in 2023/24 to 50,000 in 2024/25 (Skills for Care, 2024). Over the same period, the number of workers with British nationality declined by 30,000 (a 2.6% decrease) (Skills for Care, 2024). With the vacancy rate still around three times that of the wider economy, data shows that rather than overseas recruits taking jobs from British people, international recruitment has continued to benefit employers struggling to recruit domestically (Skills for Care, 2024). The lack of growth in domestic recruitment highlights the need to build a more sustainable, long-term workforce.</w:t>
      </w:r>
    </w:p>
    <w:p w14:paraId="35C4D10E" w14:textId="77777777" w:rsidR="007A4DE6" w:rsidRPr="00355CD8" w:rsidRDefault="007A4DE6" w:rsidP="002A018E">
      <w:pPr>
        <w:pStyle w:val="Heading3"/>
      </w:pPr>
      <w:bookmarkStart w:id="34" w:name="_Toc238200131"/>
      <w:r w:rsidRPr="00355CD8">
        <w:t>2.7.3 The Retention Crisis: Evidence from Internationally Educated Nurses</w:t>
      </w:r>
      <w:bookmarkEnd w:id="34"/>
    </w:p>
    <w:p w14:paraId="5A94E638"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The retention challenges affecting internationally educated healthcare workers are well-documented. In the twelve months to March 2025, 5,276 internationally educated nurses and midwives left the NMC register – a 33% increase on the previous year (Florence </w:t>
      </w:r>
      <w:r w:rsidRPr="00355CD8">
        <w:rPr>
          <w:rFonts w:ascii="Arial" w:hAnsi="Arial" w:cs="Arial"/>
        </w:rPr>
        <w:lastRenderedPageBreak/>
        <w:t>Nightingale Foundation, 2025). At the same time, new international nursing arrivals fell by 30%, the first major decline after years of growth (Florence Nightingale Foundation, 2025).</w:t>
      </w:r>
    </w:p>
    <w:p w14:paraId="1D50CDE9"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The Royal College of Nursing has documented the reasons for this exodus. International nurses once arrived in the UK with hope and purpose – but many are now leaving, disillusioned by systemic inequality, exclusion and lack of support (RCN, 2025). Structural inequality remains a major hurdle – despite capabilities and experience, internationally educated nurses are often passed over for promotions and unfairly assumed to be less competent (RCN, 2025). Toxic workplace cultures make things worse – microaggressions, exclusion, language-based bias and casual racism </w:t>
      </w:r>
      <w:proofErr w:type="gramStart"/>
      <w:r w:rsidRPr="00355CD8">
        <w:rPr>
          <w:rFonts w:ascii="Arial" w:hAnsi="Arial" w:cs="Arial"/>
        </w:rPr>
        <w:t>still persist</w:t>
      </w:r>
      <w:proofErr w:type="gramEnd"/>
      <w:r w:rsidRPr="00355CD8">
        <w:rPr>
          <w:rFonts w:ascii="Arial" w:hAnsi="Arial" w:cs="Arial"/>
        </w:rPr>
        <w:t xml:space="preserve"> in too many clinical settings (RCN, 2025).</w:t>
      </w:r>
    </w:p>
    <w:p w14:paraId="3FF815C6"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The proposed changes to Indefinite Leave to Remain have added to these challenges. The qualifying period extension would affect the decision of thousands of internationally educated nursing staff to remain in the UK, with potentially 50,000 nursing staff at risk of leaving (RCN, 2026). These proposals fail to </w:t>
      </w:r>
      <w:proofErr w:type="spellStart"/>
      <w:r w:rsidRPr="00355CD8">
        <w:rPr>
          <w:rFonts w:ascii="Arial" w:hAnsi="Arial" w:cs="Arial"/>
        </w:rPr>
        <w:t>recognise</w:t>
      </w:r>
      <w:proofErr w:type="spellEnd"/>
      <w:r w:rsidRPr="00355CD8">
        <w:rPr>
          <w:rFonts w:ascii="Arial" w:hAnsi="Arial" w:cs="Arial"/>
        </w:rPr>
        <w:t xml:space="preserve"> the value of internationally educated nursing staff and pose a significant threat to both their retention in the workforce and the attractiveness of the UK as a destination for nursing professionals (RCN, 2026).</w:t>
      </w:r>
    </w:p>
    <w:p w14:paraId="2B681443" w14:textId="77777777" w:rsidR="007A4DE6" w:rsidRPr="00355CD8" w:rsidRDefault="007A4DE6" w:rsidP="002A018E">
      <w:pPr>
        <w:pStyle w:val="Heading3"/>
      </w:pPr>
      <w:bookmarkStart w:id="35" w:name="_Toc238200132"/>
      <w:r w:rsidRPr="00355CD8">
        <w:t>2.7.4 The Impact of Immigration Changes on Social Care</w:t>
      </w:r>
      <w:bookmarkEnd w:id="35"/>
    </w:p>
    <w:p w14:paraId="52DE252E" w14:textId="77777777" w:rsidR="007A4DE6" w:rsidRPr="00355CD8" w:rsidRDefault="007A4DE6" w:rsidP="00355CD8">
      <w:pPr>
        <w:spacing w:line="360" w:lineRule="auto"/>
        <w:jc w:val="both"/>
        <w:rPr>
          <w:rFonts w:ascii="Arial" w:hAnsi="Arial" w:cs="Arial"/>
        </w:rPr>
      </w:pPr>
      <w:r w:rsidRPr="00355CD8">
        <w:rPr>
          <w:rFonts w:ascii="Arial" w:hAnsi="Arial" w:cs="Arial"/>
        </w:rPr>
        <w:t>The social care sector has been particularly affected by the immigration changes. In July 2025, changes to immigration rules meant care workers and senior care workers were removed from the Health and Care Worker visa route for new overseas recruits (Skills for Care, 2024). Transitional arrangements are in place until July 2028, where in-country applications will continue to be permitted for care workers and senior care workers, provided individuals are already working in these roles (Skills for Care, 2024).</w:t>
      </w:r>
    </w:p>
    <w:p w14:paraId="2F45438F"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While improvements in workforce capacity continue to be supported by international recruitment, the number of new international recruits fell from 105,000 in 2023/24 to 50,000 in 2024/25 (Skills for Care, 2024). The drop in social care vacancies shown in Skills for Care's annual report is encouraging – and surprising. The </w:t>
      </w:r>
      <w:proofErr w:type="gramStart"/>
      <w:r w:rsidRPr="00355CD8">
        <w:rPr>
          <w:rFonts w:ascii="Arial" w:hAnsi="Arial" w:cs="Arial"/>
        </w:rPr>
        <w:t>near-halving</w:t>
      </w:r>
      <w:proofErr w:type="gramEnd"/>
      <w:r w:rsidRPr="00355CD8">
        <w:rPr>
          <w:rFonts w:ascii="Arial" w:hAnsi="Arial" w:cs="Arial"/>
        </w:rPr>
        <w:t xml:space="preserve"> in workers recruited from overseas is anticipated, given the tightening of immigration rules. </w:t>
      </w:r>
      <w:r w:rsidRPr="00355CD8">
        <w:rPr>
          <w:rFonts w:ascii="Arial" w:hAnsi="Arial" w:cs="Arial"/>
        </w:rPr>
        <w:lastRenderedPageBreak/>
        <w:t>The fact this coincides with a 2.6% decline in workers of British nationality is concerning (Skills for Care, 2024).</w:t>
      </w:r>
    </w:p>
    <w:p w14:paraId="45E56C63" w14:textId="5889E612" w:rsidR="007A4DE6" w:rsidRPr="00355CD8" w:rsidRDefault="007A4DE6" w:rsidP="00355CD8">
      <w:pPr>
        <w:spacing w:line="360" w:lineRule="auto"/>
        <w:jc w:val="both"/>
        <w:rPr>
          <w:rFonts w:ascii="Arial" w:hAnsi="Arial" w:cs="Arial"/>
        </w:rPr>
      </w:pPr>
      <w:r w:rsidRPr="00355CD8">
        <w:rPr>
          <w:rFonts w:ascii="Arial" w:hAnsi="Arial" w:cs="Arial"/>
        </w:rPr>
        <w:t>Closing off social care jobs to migrant workers will only harm a sector that's already in crisis (Centre for Care, 2025). Low pay, job insecurity and post-Brexit recruitment challenges are plaguing the adult social care sector in England (LSE Business Review, 2025). With rising demand and chronic underfunding, work conditions are only getting worse. At the same time, over half of adult care providers reported difficulties in retaining employees (LSE Business Review, 2025).</w:t>
      </w:r>
    </w:p>
    <w:p w14:paraId="0D7BF77F" w14:textId="77777777" w:rsidR="007A4DE6" w:rsidRPr="00355CD8" w:rsidRDefault="007A4DE6" w:rsidP="002A018E">
      <w:pPr>
        <w:pStyle w:val="Heading2"/>
      </w:pPr>
      <w:bookmarkStart w:id="36" w:name="_Toc238200133"/>
      <w:r w:rsidRPr="00355CD8">
        <w:t>2.8 HR Strategies for Workforce Sustainability</w:t>
      </w:r>
      <w:bookmarkEnd w:id="36"/>
    </w:p>
    <w:p w14:paraId="67D27B55" w14:textId="77777777" w:rsidR="007A4DE6" w:rsidRPr="00355CD8" w:rsidRDefault="007A4DE6" w:rsidP="002A018E">
      <w:pPr>
        <w:pStyle w:val="Heading3"/>
      </w:pPr>
      <w:bookmarkStart w:id="37" w:name="_Toc238200134"/>
      <w:r w:rsidRPr="00355CD8">
        <w:t>2.8.1 Retention Strategies for Migrant Healthcare Workers</w:t>
      </w:r>
      <w:bookmarkEnd w:id="37"/>
    </w:p>
    <w:p w14:paraId="10D24E90" w14:textId="1891F52B" w:rsidR="007A4DE6" w:rsidRPr="00355CD8" w:rsidRDefault="007A4DE6" w:rsidP="00355CD8">
      <w:pPr>
        <w:spacing w:line="360" w:lineRule="auto"/>
        <w:jc w:val="both"/>
        <w:rPr>
          <w:rFonts w:ascii="Arial" w:hAnsi="Arial" w:cs="Arial"/>
        </w:rPr>
      </w:pPr>
      <w:r w:rsidRPr="00355CD8">
        <w:rPr>
          <w:rFonts w:ascii="Arial" w:hAnsi="Arial" w:cs="Arial"/>
        </w:rPr>
        <w:t xml:space="preserve">Retention of migrant healthcare workers has become a critical priority for healthcare </w:t>
      </w:r>
      <w:proofErr w:type="spellStart"/>
      <w:r w:rsidRPr="00355CD8">
        <w:rPr>
          <w:rFonts w:ascii="Arial" w:hAnsi="Arial" w:cs="Arial"/>
        </w:rPr>
        <w:t>organisations</w:t>
      </w:r>
      <w:proofErr w:type="spellEnd"/>
      <w:r w:rsidRPr="00355CD8">
        <w:rPr>
          <w:rFonts w:ascii="Arial" w:hAnsi="Arial" w:cs="Arial"/>
        </w:rPr>
        <w:t xml:space="preserve"> facing immigration restrictions. Research has identified several key retention strategies that can mitigate the impact of reduced migrant availability, including investment in training and career progression, supportive working environments, and family unity support (</w:t>
      </w:r>
      <w:proofErr w:type="spellStart"/>
      <w:r w:rsidRPr="00355CD8">
        <w:rPr>
          <w:rFonts w:ascii="Arial" w:hAnsi="Arial" w:cs="Arial"/>
        </w:rPr>
        <w:t>Sarre</w:t>
      </w:r>
      <w:proofErr w:type="spellEnd"/>
      <w:r w:rsidRPr="00355CD8">
        <w:rPr>
          <w:rFonts w:ascii="Arial" w:hAnsi="Arial" w:cs="Arial"/>
        </w:rPr>
        <w:t xml:space="preserve"> et al., </w:t>
      </w:r>
      <w:proofErr w:type="gramStart"/>
      <w:r w:rsidRPr="00355CD8">
        <w:rPr>
          <w:rFonts w:ascii="Arial" w:hAnsi="Arial" w:cs="Arial"/>
        </w:rPr>
        <w:t xml:space="preserve">2025; </w:t>
      </w:r>
      <w:r w:rsidR="00D857FC" w:rsidRPr="00355CD8">
        <w:rPr>
          <w:rFonts w:ascii="Arial" w:hAnsi="Arial" w:cs="Arial"/>
        </w:rPr>
        <w:t xml:space="preserve"> Anderson</w:t>
      </w:r>
      <w:proofErr w:type="gramEnd"/>
      <w:r w:rsidR="00D857FC" w:rsidRPr="00355CD8">
        <w:rPr>
          <w:rFonts w:ascii="Arial" w:hAnsi="Arial" w:cs="Arial"/>
        </w:rPr>
        <w:t xml:space="preserve"> </w:t>
      </w:r>
      <w:proofErr w:type="gramStart"/>
      <w:r w:rsidR="00D857FC" w:rsidRPr="00355CD8">
        <w:rPr>
          <w:rFonts w:ascii="Arial" w:hAnsi="Arial" w:cs="Arial"/>
        </w:rPr>
        <w:t>et al.,</w:t>
      </w:r>
      <w:r w:rsidRPr="00355CD8">
        <w:rPr>
          <w:rFonts w:ascii="Arial" w:hAnsi="Arial" w:cs="Arial"/>
        </w:rPr>
        <w:t>.,</w:t>
      </w:r>
      <w:proofErr w:type="gramEnd"/>
      <w:r w:rsidRPr="00355CD8">
        <w:rPr>
          <w:rFonts w:ascii="Arial" w:hAnsi="Arial" w:cs="Arial"/>
        </w:rPr>
        <w:t xml:space="preserve"> 2021).</w:t>
      </w:r>
    </w:p>
    <w:p w14:paraId="6F1CA641" w14:textId="02CDB3FC" w:rsidR="007A4DE6" w:rsidRPr="00355CD8" w:rsidRDefault="007A4DE6" w:rsidP="00355CD8">
      <w:pPr>
        <w:spacing w:line="360" w:lineRule="auto"/>
        <w:jc w:val="both"/>
        <w:rPr>
          <w:rFonts w:ascii="Arial" w:hAnsi="Arial" w:cs="Arial"/>
        </w:rPr>
      </w:pPr>
      <w:r w:rsidRPr="00355CD8">
        <w:rPr>
          <w:rFonts w:ascii="Arial" w:hAnsi="Arial" w:cs="Arial"/>
        </w:rPr>
        <w:t>Investment in training and career progression is one of the most consistently identified retention strategies. Studies have shown that healthcare workers who perceive opportunities for professional development are significantly more likely to remain in their roles (</w:t>
      </w:r>
      <w:proofErr w:type="spellStart"/>
      <w:r w:rsidRPr="00355CD8">
        <w:rPr>
          <w:rFonts w:ascii="Arial" w:hAnsi="Arial" w:cs="Arial"/>
        </w:rPr>
        <w:t>Sarre</w:t>
      </w:r>
      <w:proofErr w:type="spellEnd"/>
      <w:r w:rsidRPr="00355CD8">
        <w:rPr>
          <w:rFonts w:ascii="Arial" w:hAnsi="Arial" w:cs="Arial"/>
        </w:rPr>
        <w:t xml:space="preserve"> et al., 2025; Skills for Care, 2024). However, despite their frontline importance, HCSWs receive only 5% of training budgets, representing a significant gap between policy ambition and practice (Skills for Care, 2024). The NHS Long Term Workforce Plan sets out ambitious targets for domestic recruitment and upskilling, including the development of new career pathways for HCSWs (NHS England, 2023). However, there is limited evidence on whether these targets are achievable or whether they can compensate for the loss of migrant workers. The tension between policy ambition and empirical uncertainty is a recurring theme in the literature </w:t>
      </w:r>
      <w:r w:rsidR="006159EB">
        <w:rPr>
          <w:rFonts w:ascii="Arial" w:hAnsi="Arial" w:cs="Arial"/>
        </w:rPr>
        <w:t>(Anderson et al., 2021)</w:t>
      </w:r>
      <w:r w:rsidRPr="00355CD8">
        <w:rPr>
          <w:rFonts w:ascii="Arial" w:hAnsi="Arial" w:cs="Arial"/>
        </w:rPr>
        <w:t>.</w:t>
      </w:r>
    </w:p>
    <w:p w14:paraId="3922F171"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Supportive working environments and </w:t>
      </w:r>
      <w:proofErr w:type="spellStart"/>
      <w:r w:rsidRPr="00355CD8">
        <w:rPr>
          <w:rFonts w:ascii="Arial" w:hAnsi="Arial" w:cs="Arial"/>
        </w:rPr>
        <w:t>organisational</w:t>
      </w:r>
      <w:proofErr w:type="spellEnd"/>
      <w:r w:rsidRPr="00355CD8">
        <w:rPr>
          <w:rFonts w:ascii="Arial" w:hAnsi="Arial" w:cs="Arial"/>
        </w:rPr>
        <w:t xml:space="preserve"> culture are also critical for retaining migrant healthcare workers. Studies of internationally educated nurses have found that workplace culture – including fairness, inclusion, and recognition – is a significant </w:t>
      </w:r>
      <w:r w:rsidRPr="00355CD8">
        <w:rPr>
          <w:rFonts w:ascii="Arial" w:hAnsi="Arial" w:cs="Arial"/>
        </w:rPr>
        <w:lastRenderedPageBreak/>
        <w:t xml:space="preserve">predictor of retention (RCN, 2025). Conversely, toxic workplace cultures </w:t>
      </w:r>
      <w:proofErr w:type="spellStart"/>
      <w:r w:rsidRPr="00355CD8">
        <w:rPr>
          <w:rFonts w:ascii="Arial" w:hAnsi="Arial" w:cs="Arial"/>
        </w:rPr>
        <w:t>characterised</w:t>
      </w:r>
      <w:proofErr w:type="spellEnd"/>
      <w:r w:rsidRPr="00355CD8">
        <w:rPr>
          <w:rFonts w:ascii="Arial" w:hAnsi="Arial" w:cs="Arial"/>
        </w:rPr>
        <w:t xml:space="preserve"> by microaggressions, exclusion, and language</w:t>
      </w:r>
      <w:r w:rsidRPr="00355CD8">
        <w:rPr>
          <w:rFonts w:ascii="Arial" w:hAnsi="Arial" w:cs="Arial"/>
        </w:rPr>
        <w:noBreakHyphen/>
        <w:t>based bias are associated with increased turnover (RCN, 2025). The Florence Nightingale Foundation observed that as recruitment slows and retention challenges deepen, the networks and partnerships that have flourished through international exchange are under threat (Florence Nightingale Foundation, 2025). This highlights the importance of creating supportive environments that value the contributions of migrant workers.</w:t>
      </w:r>
    </w:p>
    <w:p w14:paraId="0C955033"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Family unity has also been identified as a critical factor in retention. Research has shown that migrant workers who are able to bring and keep family members in the UK are more likely to remain in their roles (Stewart and Mulvey, 2014). The 2025 immigration reforms, by restricting </w:t>
      </w:r>
      <w:proofErr w:type="spellStart"/>
      <w:r w:rsidRPr="00355CD8">
        <w:rPr>
          <w:rFonts w:ascii="Arial" w:hAnsi="Arial" w:cs="Arial"/>
        </w:rPr>
        <w:t>dependant</w:t>
      </w:r>
      <w:proofErr w:type="spellEnd"/>
      <w:r w:rsidRPr="00355CD8">
        <w:rPr>
          <w:rFonts w:ascii="Arial" w:hAnsi="Arial" w:cs="Arial"/>
        </w:rPr>
        <w:t xml:space="preserve"> visas, directly threaten this source of social support (Home Office, 2025b). </w:t>
      </w:r>
      <w:proofErr w:type="spellStart"/>
      <w:r w:rsidRPr="00355CD8">
        <w:rPr>
          <w:rFonts w:ascii="Arial" w:hAnsi="Arial" w:cs="Arial"/>
        </w:rPr>
        <w:t>Organisations</w:t>
      </w:r>
      <w:proofErr w:type="spellEnd"/>
      <w:r w:rsidRPr="00355CD8">
        <w:rPr>
          <w:rFonts w:ascii="Arial" w:hAnsi="Arial" w:cs="Arial"/>
        </w:rPr>
        <w:t xml:space="preserve"> can mitigate this by providing support for families, such as flexible working arrangements, access to family housing, and assistance with </w:t>
      </w:r>
      <w:proofErr w:type="spellStart"/>
      <w:r w:rsidRPr="00355CD8">
        <w:rPr>
          <w:rFonts w:ascii="Arial" w:hAnsi="Arial" w:cs="Arial"/>
        </w:rPr>
        <w:t>dependant</w:t>
      </w:r>
      <w:proofErr w:type="spellEnd"/>
      <w:r w:rsidRPr="00355CD8">
        <w:rPr>
          <w:rFonts w:ascii="Arial" w:hAnsi="Arial" w:cs="Arial"/>
        </w:rPr>
        <w:t xml:space="preserve"> applications.</w:t>
      </w:r>
    </w:p>
    <w:p w14:paraId="57326754" w14:textId="77777777" w:rsidR="007A4DE6" w:rsidRPr="00355CD8" w:rsidRDefault="007A4DE6" w:rsidP="00A86EA8">
      <w:pPr>
        <w:pStyle w:val="Heading3"/>
      </w:pPr>
      <w:bookmarkStart w:id="38" w:name="_Toc238200135"/>
      <w:r w:rsidRPr="00355CD8">
        <w:t>2.8.2 Domestic Upskilling and Workforce Development</w:t>
      </w:r>
      <w:bookmarkEnd w:id="38"/>
    </w:p>
    <w:p w14:paraId="43B2E133"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Policymakers have increasingly </w:t>
      </w:r>
      <w:proofErr w:type="spellStart"/>
      <w:r w:rsidRPr="00355CD8">
        <w:rPr>
          <w:rFonts w:ascii="Arial" w:hAnsi="Arial" w:cs="Arial"/>
        </w:rPr>
        <w:t>emphasised</w:t>
      </w:r>
      <w:proofErr w:type="spellEnd"/>
      <w:r w:rsidRPr="00355CD8">
        <w:rPr>
          <w:rFonts w:ascii="Arial" w:hAnsi="Arial" w:cs="Arial"/>
        </w:rPr>
        <w:t xml:space="preserve"> domestic workforce development as a substitute for international recruitment (NHS England, 2023). The NHS Long Term Workforce Plan sets out ambitious targets for domestic recruitment, including the development of new apprenticeship routes and career pathways for HCSWs (NHS England, 2023). However, there is limited quantitative evidence on whether these targets are achievable or whether they can effectively replace migrant </w:t>
      </w:r>
      <w:proofErr w:type="spellStart"/>
      <w:r w:rsidRPr="00355CD8">
        <w:rPr>
          <w:rFonts w:ascii="Arial" w:hAnsi="Arial" w:cs="Arial"/>
        </w:rPr>
        <w:t>labour</w:t>
      </w:r>
      <w:proofErr w:type="spellEnd"/>
      <w:r w:rsidRPr="00355CD8">
        <w:rPr>
          <w:rFonts w:ascii="Arial" w:hAnsi="Arial" w:cs="Arial"/>
        </w:rPr>
        <w:t>.</w:t>
      </w:r>
    </w:p>
    <w:p w14:paraId="407639A5" w14:textId="77777777" w:rsidR="007A4DE6" w:rsidRPr="00355CD8" w:rsidRDefault="007A4DE6" w:rsidP="00355CD8">
      <w:pPr>
        <w:spacing w:line="360" w:lineRule="auto"/>
        <w:jc w:val="both"/>
        <w:rPr>
          <w:rFonts w:ascii="Arial" w:hAnsi="Arial" w:cs="Arial"/>
        </w:rPr>
      </w:pPr>
      <w:r w:rsidRPr="00355CD8">
        <w:rPr>
          <w:rFonts w:ascii="Arial" w:hAnsi="Arial" w:cs="Arial"/>
        </w:rPr>
        <w:t>Apprenticeships and traineeships have been promoted as key mechanisms for developing the domestic healthcare workforce. The NHS Long Term Workforce Plan sets out plans to expand apprenticeship routes and create new career pathways for HCSWs (NHS England, 2023). However, research has highlighted challenges in implementation, including limited employer capacity, insufficient funding, and low uptake among potential candidates (</w:t>
      </w:r>
      <w:proofErr w:type="spellStart"/>
      <w:r w:rsidRPr="00355CD8">
        <w:rPr>
          <w:rFonts w:ascii="Arial" w:hAnsi="Arial" w:cs="Arial"/>
        </w:rPr>
        <w:t>Sarre</w:t>
      </w:r>
      <w:proofErr w:type="spellEnd"/>
      <w:r w:rsidRPr="00355CD8">
        <w:rPr>
          <w:rFonts w:ascii="Arial" w:hAnsi="Arial" w:cs="Arial"/>
        </w:rPr>
        <w:t xml:space="preserve"> et al., 2025).</w:t>
      </w:r>
    </w:p>
    <w:p w14:paraId="128E39CC" w14:textId="187EB4CE" w:rsidR="007A4DE6" w:rsidRPr="00355CD8" w:rsidRDefault="007A4DE6" w:rsidP="00355CD8">
      <w:pPr>
        <w:spacing w:line="360" w:lineRule="auto"/>
        <w:jc w:val="both"/>
        <w:rPr>
          <w:rFonts w:ascii="Arial" w:hAnsi="Arial" w:cs="Arial"/>
        </w:rPr>
      </w:pPr>
      <w:r w:rsidRPr="00355CD8">
        <w:rPr>
          <w:rFonts w:ascii="Arial" w:hAnsi="Arial" w:cs="Arial"/>
        </w:rPr>
        <w:t xml:space="preserve">Creating clear career progression pathways is essential for retaining HCSWs and encouraging domestic recruitment. Research has shown that HCSWs often feel 'stuck' in </w:t>
      </w:r>
      <w:r w:rsidRPr="00355CD8">
        <w:rPr>
          <w:rFonts w:ascii="Arial" w:hAnsi="Arial" w:cs="Arial"/>
        </w:rPr>
        <w:lastRenderedPageBreak/>
        <w:t>entry</w:t>
      </w:r>
      <w:r w:rsidRPr="00355CD8">
        <w:rPr>
          <w:rFonts w:ascii="Arial" w:hAnsi="Arial" w:cs="Arial"/>
        </w:rPr>
        <w:noBreakHyphen/>
        <w:t xml:space="preserve">level roles, with limited opportunities for advancement </w:t>
      </w:r>
      <w:r w:rsidR="006159EB">
        <w:rPr>
          <w:rFonts w:ascii="Arial" w:hAnsi="Arial" w:cs="Arial"/>
        </w:rPr>
        <w:t>(Anderson et al., 2021)</w:t>
      </w:r>
      <w:r w:rsidRPr="00355CD8">
        <w:rPr>
          <w:rFonts w:ascii="Arial" w:hAnsi="Arial" w:cs="Arial"/>
        </w:rPr>
        <w:t>. The development of new career pathways, such as the Nursing Associate role, has been identified as a positive development (NHS England, 2023). However, there is limited evidence on whether these pathways are sufficient to replace the loss of migrant workers.</w:t>
      </w:r>
    </w:p>
    <w:p w14:paraId="754C0C31" w14:textId="77777777" w:rsidR="007A4DE6" w:rsidRPr="00355CD8" w:rsidRDefault="007A4DE6" w:rsidP="00A86EA8">
      <w:pPr>
        <w:pStyle w:val="Heading3"/>
      </w:pPr>
      <w:bookmarkStart w:id="39" w:name="_Toc238200136"/>
      <w:r w:rsidRPr="00355CD8">
        <w:t xml:space="preserve">2.8.3 </w:t>
      </w:r>
      <w:proofErr w:type="spellStart"/>
      <w:r w:rsidRPr="00355CD8">
        <w:t>Organisational</w:t>
      </w:r>
      <w:proofErr w:type="spellEnd"/>
      <w:r w:rsidRPr="00355CD8">
        <w:t xml:space="preserve"> Strategies for Workforce Sustainability</w:t>
      </w:r>
      <w:bookmarkEnd w:id="39"/>
    </w:p>
    <w:p w14:paraId="017C9FC7"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Healthcare </w:t>
      </w:r>
      <w:proofErr w:type="spellStart"/>
      <w:r w:rsidRPr="00355CD8">
        <w:rPr>
          <w:rFonts w:ascii="Arial" w:hAnsi="Arial" w:cs="Arial"/>
        </w:rPr>
        <w:t>organisations</w:t>
      </w:r>
      <w:proofErr w:type="spellEnd"/>
      <w:r w:rsidRPr="00355CD8">
        <w:rPr>
          <w:rFonts w:ascii="Arial" w:hAnsi="Arial" w:cs="Arial"/>
        </w:rPr>
        <w:t xml:space="preserve"> have developed a range of strategies to sustain their workforce under immigration restrictions, including competitive pay and benefits, flexible working arrangements, and mentoring and support </w:t>
      </w:r>
      <w:proofErr w:type="spellStart"/>
      <w:r w:rsidRPr="00355CD8">
        <w:rPr>
          <w:rFonts w:ascii="Arial" w:hAnsi="Arial" w:cs="Arial"/>
        </w:rPr>
        <w:t>programmes</w:t>
      </w:r>
      <w:proofErr w:type="spellEnd"/>
      <w:r w:rsidRPr="00355CD8">
        <w:rPr>
          <w:rFonts w:ascii="Arial" w:hAnsi="Arial" w:cs="Arial"/>
        </w:rPr>
        <w:t>. Research has shown that competitive pay and benefits are critical for attracting and retaining healthcare workers (Skills for Care, 2024). However, the adult social care sector</w:t>
      </w:r>
      <w:proofErr w:type="gramStart"/>
      <w:r w:rsidRPr="00355CD8">
        <w:rPr>
          <w:rFonts w:ascii="Arial" w:hAnsi="Arial" w:cs="Arial"/>
        </w:rPr>
        <w:t>, in particular, is</w:t>
      </w:r>
      <w:proofErr w:type="gramEnd"/>
      <w:r w:rsidRPr="00355CD8">
        <w:rPr>
          <w:rFonts w:ascii="Arial" w:hAnsi="Arial" w:cs="Arial"/>
        </w:rPr>
        <w:t xml:space="preserve"> </w:t>
      </w:r>
      <w:proofErr w:type="spellStart"/>
      <w:r w:rsidRPr="00355CD8">
        <w:rPr>
          <w:rFonts w:ascii="Arial" w:hAnsi="Arial" w:cs="Arial"/>
        </w:rPr>
        <w:t>characterised</w:t>
      </w:r>
      <w:proofErr w:type="spellEnd"/>
      <w:r w:rsidRPr="00355CD8">
        <w:rPr>
          <w:rFonts w:ascii="Arial" w:hAnsi="Arial" w:cs="Arial"/>
        </w:rPr>
        <w:t xml:space="preserve"> by low pay and limited benefits (LSE Business Review, 2025). The immigration salary threshold increases have made it more difficult to recruit from overseas, placing additional pressure on </w:t>
      </w:r>
      <w:proofErr w:type="spellStart"/>
      <w:r w:rsidRPr="00355CD8">
        <w:rPr>
          <w:rFonts w:ascii="Arial" w:hAnsi="Arial" w:cs="Arial"/>
        </w:rPr>
        <w:t>organisations</w:t>
      </w:r>
      <w:proofErr w:type="spellEnd"/>
      <w:r w:rsidRPr="00355CD8">
        <w:rPr>
          <w:rFonts w:ascii="Arial" w:hAnsi="Arial" w:cs="Arial"/>
        </w:rPr>
        <w:t xml:space="preserve"> to offer competitive pay (RCN, 2025).</w:t>
      </w:r>
    </w:p>
    <w:p w14:paraId="250A3F08" w14:textId="77777777" w:rsidR="007A4DE6" w:rsidRPr="00355CD8" w:rsidRDefault="007A4DE6" w:rsidP="00355CD8">
      <w:pPr>
        <w:spacing w:line="360" w:lineRule="auto"/>
        <w:jc w:val="both"/>
        <w:rPr>
          <w:rFonts w:ascii="Arial" w:hAnsi="Arial" w:cs="Arial"/>
        </w:rPr>
      </w:pPr>
      <w:r w:rsidRPr="00355CD8">
        <w:rPr>
          <w:rFonts w:ascii="Arial" w:hAnsi="Arial" w:cs="Arial"/>
        </w:rPr>
        <w:t>Flexible working arrangements have been identified as a key retention strategy, particularly for workers with family responsibilities (</w:t>
      </w:r>
      <w:proofErr w:type="spellStart"/>
      <w:r w:rsidRPr="00355CD8">
        <w:rPr>
          <w:rFonts w:ascii="Arial" w:hAnsi="Arial" w:cs="Arial"/>
        </w:rPr>
        <w:t>Sarre</w:t>
      </w:r>
      <w:proofErr w:type="spellEnd"/>
      <w:r w:rsidRPr="00355CD8">
        <w:rPr>
          <w:rFonts w:ascii="Arial" w:hAnsi="Arial" w:cs="Arial"/>
        </w:rPr>
        <w:t xml:space="preserve"> et al., 2025). </w:t>
      </w:r>
      <w:proofErr w:type="spellStart"/>
      <w:r w:rsidRPr="00355CD8">
        <w:rPr>
          <w:rFonts w:ascii="Arial" w:hAnsi="Arial" w:cs="Arial"/>
        </w:rPr>
        <w:t>Organisations</w:t>
      </w:r>
      <w:proofErr w:type="spellEnd"/>
      <w:r w:rsidRPr="00355CD8">
        <w:rPr>
          <w:rFonts w:ascii="Arial" w:hAnsi="Arial" w:cs="Arial"/>
        </w:rPr>
        <w:t xml:space="preserve"> that offer flexible working are more likely to retain staff, particularly those with </w:t>
      </w:r>
      <w:proofErr w:type="spellStart"/>
      <w:r w:rsidRPr="00355CD8">
        <w:rPr>
          <w:rFonts w:ascii="Arial" w:hAnsi="Arial" w:cs="Arial"/>
        </w:rPr>
        <w:t>dependants</w:t>
      </w:r>
      <w:proofErr w:type="spellEnd"/>
      <w:r w:rsidRPr="00355CD8">
        <w:rPr>
          <w:rFonts w:ascii="Arial" w:hAnsi="Arial" w:cs="Arial"/>
        </w:rPr>
        <w:t xml:space="preserve">. Mentoring and support </w:t>
      </w:r>
      <w:proofErr w:type="spellStart"/>
      <w:r w:rsidRPr="00355CD8">
        <w:rPr>
          <w:rFonts w:ascii="Arial" w:hAnsi="Arial" w:cs="Arial"/>
        </w:rPr>
        <w:t>programmes</w:t>
      </w:r>
      <w:proofErr w:type="spellEnd"/>
      <w:r w:rsidRPr="00355CD8">
        <w:rPr>
          <w:rFonts w:ascii="Arial" w:hAnsi="Arial" w:cs="Arial"/>
        </w:rPr>
        <w:t xml:space="preserve"> have also been shown to improve retention among migrant healthcare workers (Florence Nightingale Foundation, 2025). </w:t>
      </w:r>
      <w:proofErr w:type="spellStart"/>
      <w:r w:rsidRPr="00355CD8">
        <w:rPr>
          <w:rFonts w:ascii="Arial" w:hAnsi="Arial" w:cs="Arial"/>
        </w:rPr>
        <w:t>Programmes</w:t>
      </w:r>
      <w:proofErr w:type="spellEnd"/>
      <w:r w:rsidRPr="00355CD8">
        <w:rPr>
          <w:rFonts w:ascii="Arial" w:hAnsi="Arial" w:cs="Arial"/>
        </w:rPr>
        <w:t xml:space="preserve"> that provide pastoral support, career guidance, and professional development opportunities can help address the challenges faced by internationally educated staff.</w:t>
      </w:r>
    </w:p>
    <w:p w14:paraId="1520D00E" w14:textId="77777777" w:rsidR="007A4DE6" w:rsidRPr="00355CD8" w:rsidRDefault="007A4DE6" w:rsidP="00A86EA8">
      <w:pPr>
        <w:pStyle w:val="Heading3"/>
      </w:pPr>
      <w:bookmarkStart w:id="40" w:name="_Toc238200137"/>
      <w:r w:rsidRPr="00355CD8">
        <w:t>2.8.4 Evidence on the Effectiveness of HR Strategies</w:t>
      </w:r>
      <w:bookmarkEnd w:id="40"/>
    </w:p>
    <w:p w14:paraId="26DA6644" w14:textId="77777777" w:rsidR="007A4DE6" w:rsidRPr="00355CD8" w:rsidRDefault="007A4DE6" w:rsidP="00355CD8">
      <w:pPr>
        <w:spacing w:line="360" w:lineRule="auto"/>
        <w:jc w:val="both"/>
        <w:rPr>
          <w:rFonts w:ascii="Arial" w:hAnsi="Arial" w:cs="Arial"/>
        </w:rPr>
      </w:pPr>
      <w:r w:rsidRPr="00355CD8">
        <w:rPr>
          <w:rFonts w:ascii="Arial" w:hAnsi="Arial" w:cs="Arial"/>
        </w:rPr>
        <w:t>The evidence on the effectiveness of HR strategies for sustaining the healthcare workforce is mixed. While there is evidence that certain strategies – such as investment in training, supportive working environments, and family support – are associated with improved retention (</w:t>
      </w:r>
      <w:proofErr w:type="spellStart"/>
      <w:r w:rsidRPr="00355CD8">
        <w:rPr>
          <w:rFonts w:ascii="Arial" w:hAnsi="Arial" w:cs="Arial"/>
        </w:rPr>
        <w:t>Sarre</w:t>
      </w:r>
      <w:proofErr w:type="spellEnd"/>
      <w:r w:rsidRPr="00355CD8">
        <w:rPr>
          <w:rFonts w:ascii="Arial" w:hAnsi="Arial" w:cs="Arial"/>
        </w:rPr>
        <w:t xml:space="preserve"> et al., 2025; RCN, 2025), there is limited quantitative evidence on their effectiveness in the context of immigration restrictions.</w:t>
      </w:r>
    </w:p>
    <w:p w14:paraId="35AC1AC7" w14:textId="5A58CEE2" w:rsidR="007A4DE6" w:rsidRPr="00355CD8" w:rsidRDefault="007A4DE6" w:rsidP="00355CD8">
      <w:pPr>
        <w:spacing w:line="360" w:lineRule="auto"/>
        <w:jc w:val="both"/>
        <w:rPr>
          <w:rFonts w:ascii="Arial" w:hAnsi="Arial" w:cs="Arial"/>
        </w:rPr>
      </w:pPr>
      <w:r w:rsidRPr="00355CD8">
        <w:rPr>
          <w:rFonts w:ascii="Arial" w:hAnsi="Arial" w:cs="Arial"/>
        </w:rPr>
        <w:t xml:space="preserve">The NHS Long Term Workforce Plan provides a framework for domestic workforce development, but it is too early to assess whether its targets will be achieved (NHS England, 2023). The decline in new international recruits – from 105,000 in 2023/24 to </w:t>
      </w:r>
      <w:r w:rsidRPr="00355CD8">
        <w:rPr>
          <w:rFonts w:ascii="Arial" w:hAnsi="Arial" w:cs="Arial"/>
        </w:rPr>
        <w:lastRenderedPageBreak/>
        <w:t>50,000 in 2024/25 – suggests that the sector is becoming increasingly dependent on domestic recruitment (Skills for Care, 2024). However, the 2.6% decline in workers of British nationality over the same period highlights the challenges of domestic recruitment (Skills for Care, 2024). This study contributes to this gap by providing quantitative evidence on the effectiveness of HR strategies, including domestic upskilling and retention initiatives, in sustaining the healthcare workforce under immigration restrictions.</w:t>
      </w:r>
    </w:p>
    <w:p w14:paraId="268C1CAC" w14:textId="77777777" w:rsidR="007A4DE6" w:rsidRPr="00355CD8" w:rsidRDefault="007A4DE6" w:rsidP="00A86EA8">
      <w:pPr>
        <w:pStyle w:val="Heading2"/>
      </w:pPr>
      <w:bookmarkStart w:id="41" w:name="_Toc238200138"/>
      <w:r w:rsidRPr="00355CD8">
        <w:t>2.9 Research Gaps and Conceptual Framework</w:t>
      </w:r>
      <w:bookmarkEnd w:id="41"/>
    </w:p>
    <w:p w14:paraId="6834C281" w14:textId="77777777" w:rsidR="007A4DE6" w:rsidRPr="00A86EA8" w:rsidRDefault="007A4DE6" w:rsidP="00A86EA8">
      <w:pPr>
        <w:pStyle w:val="Heading3"/>
      </w:pPr>
      <w:bookmarkStart w:id="42" w:name="_Toc238200139"/>
      <w:r w:rsidRPr="00A86EA8">
        <w:t>2.9.1 Identification of Research Gaps</w:t>
      </w:r>
      <w:bookmarkEnd w:id="42"/>
    </w:p>
    <w:p w14:paraId="4B16CEC4" w14:textId="2D918243" w:rsidR="007A4DE6" w:rsidRPr="00355CD8" w:rsidRDefault="007A4DE6" w:rsidP="00355CD8">
      <w:pPr>
        <w:spacing w:line="360" w:lineRule="auto"/>
        <w:jc w:val="both"/>
        <w:rPr>
          <w:rFonts w:ascii="Arial" w:hAnsi="Arial" w:cs="Arial"/>
        </w:rPr>
      </w:pPr>
      <w:r w:rsidRPr="00355CD8">
        <w:rPr>
          <w:rFonts w:ascii="Arial" w:hAnsi="Arial" w:cs="Arial"/>
        </w:rPr>
        <w:t>Several important gaps exist within the current literature. First, most migration and healthcare workforce studies focus on highly skilled professionals such as doctors and nurses, while healthcare support workers remain comparatively under</w:t>
      </w:r>
      <w:r w:rsidRPr="00355CD8">
        <w:rPr>
          <w:rFonts w:ascii="Arial" w:hAnsi="Arial" w:cs="Arial"/>
        </w:rPr>
        <w:noBreakHyphen/>
        <w:t xml:space="preserve">researched despite representing a substantial proportion of the NHS workforce </w:t>
      </w:r>
      <w:r w:rsidR="006159EB">
        <w:rPr>
          <w:rFonts w:ascii="Arial" w:hAnsi="Arial" w:cs="Arial"/>
        </w:rPr>
        <w:t>(Anderson et al., 2021)</w:t>
      </w:r>
      <w:r w:rsidRPr="00355CD8">
        <w:rPr>
          <w:rFonts w:ascii="Arial" w:hAnsi="Arial" w:cs="Arial"/>
        </w:rPr>
        <w:t xml:space="preserve">. Second, much of the existing literature predates the major immigration reforms introduced after 2020. As a result, there is limited empirical evidence regarding the effects of recent policy changes on migrant healthcare support workers (Davda, Gallagher and Radford, 2018; Home Office, 2025a). Third, policymakers have </w:t>
      </w:r>
      <w:proofErr w:type="spellStart"/>
      <w:r w:rsidRPr="00355CD8">
        <w:rPr>
          <w:rFonts w:ascii="Arial" w:hAnsi="Arial" w:cs="Arial"/>
        </w:rPr>
        <w:t>emphasised</w:t>
      </w:r>
      <w:proofErr w:type="spellEnd"/>
      <w:r w:rsidRPr="00355CD8">
        <w:rPr>
          <w:rFonts w:ascii="Arial" w:hAnsi="Arial" w:cs="Arial"/>
        </w:rPr>
        <w:t xml:space="preserve"> domestic workforce development as a substitute for international recruitment; however, there is limited quantitative evidence on whether domestic upskilling initiatives can effectively replace migrant </w:t>
      </w:r>
      <w:proofErr w:type="spellStart"/>
      <w:r w:rsidRPr="00355CD8">
        <w:rPr>
          <w:rFonts w:ascii="Arial" w:hAnsi="Arial" w:cs="Arial"/>
        </w:rPr>
        <w:t>labour</w:t>
      </w:r>
      <w:proofErr w:type="spellEnd"/>
      <w:r w:rsidRPr="00355CD8">
        <w:rPr>
          <w:rFonts w:ascii="Arial" w:hAnsi="Arial" w:cs="Arial"/>
        </w:rPr>
        <w:t xml:space="preserve"> within the healthcare sector (NHS England, 2023). Fourth, limited research has explored how UK</w:t>
      </w:r>
      <w:r w:rsidRPr="00355CD8">
        <w:rPr>
          <w:rFonts w:ascii="Arial" w:hAnsi="Arial" w:cs="Arial"/>
        </w:rPr>
        <w:noBreakHyphen/>
        <w:t xml:space="preserve">wide immigration policies affect healthcare workforce sustainability across the four nations of England, Scotland, Wales and Northern Ireland, despite differences in workforce structures and healthcare governance arrangements </w:t>
      </w:r>
      <w:r w:rsidR="006159EB">
        <w:rPr>
          <w:rFonts w:ascii="Arial" w:hAnsi="Arial" w:cs="Arial"/>
        </w:rPr>
        <w:t>(Anderson et al., 2021)</w:t>
      </w:r>
      <w:r w:rsidRPr="00355CD8">
        <w:rPr>
          <w:rFonts w:ascii="Arial" w:hAnsi="Arial" w:cs="Arial"/>
        </w:rPr>
        <w:t xml:space="preserve">. Fifth, there is limited empirical evidence on the effectiveness of HR strategies – including retention initiatives, training investment, and </w:t>
      </w:r>
      <w:proofErr w:type="spellStart"/>
      <w:r w:rsidRPr="00355CD8">
        <w:rPr>
          <w:rFonts w:ascii="Arial" w:hAnsi="Arial" w:cs="Arial"/>
        </w:rPr>
        <w:t>organisational</w:t>
      </w:r>
      <w:proofErr w:type="spellEnd"/>
      <w:r w:rsidRPr="00355CD8">
        <w:rPr>
          <w:rFonts w:ascii="Arial" w:hAnsi="Arial" w:cs="Arial"/>
        </w:rPr>
        <w:t xml:space="preserve"> support – in sustaining the healthcare workforce under immigration restrictions (</w:t>
      </w:r>
      <w:proofErr w:type="spellStart"/>
      <w:r w:rsidRPr="00355CD8">
        <w:rPr>
          <w:rFonts w:ascii="Arial" w:hAnsi="Arial" w:cs="Arial"/>
        </w:rPr>
        <w:t>Sarre</w:t>
      </w:r>
      <w:proofErr w:type="spellEnd"/>
      <w:r w:rsidRPr="00355CD8">
        <w:rPr>
          <w:rFonts w:ascii="Arial" w:hAnsi="Arial" w:cs="Arial"/>
        </w:rPr>
        <w:t xml:space="preserve"> et al., 2025; Skills for Care, 2024).</w:t>
      </w:r>
    </w:p>
    <w:p w14:paraId="4507115D" w14:textId="77777777" w:rsidR="007A4DE6" w:rsidRPr="00355CD8" w:rsidRDefault="007A4DE6" w:rsidP="00782586">
      <w:pPr>
        <w:pStyle w:val="Heading3"/>
      </w:pPr>
      <w:bookmarkStart w:id="43" w:name="_Toc238200140"/>
      <w:r w:rsidRPr="00355CD8">
        <w:t xml:space="preserve">2.9.2 Contribution to Knowledge: Addressing </w:t>
      </w:r>
      <w:proofErr w:type="gramStart"/>
      <w:r w:rsidRPr="00355CD8">
        <w:t>the Research</w:t>
      </w:r>
      <w:proofErr w:type="gramEnd"/>
      <w:r w:rsidRPr="00355CD8">
        <w:t xml:space="preserve"> Gaps</w:t>
      </w:r>
      <w:bookmarkEnd w:id="43"/>
    </w:p>
    <w:p w14:paraId="3B3206A9"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This study makes a significant contribution to knowledge by directly addressing the five research gaps identified in the preceding section. The originality of this research lies in its </w:t>
      </w:r>
      <w:r w:rsidRPr="00355CD8">
        <w:rPr>
          <w:rFonts w:ascii="Arial" w:hAnsi="Arial" w:cs="Arial"/>
        </w:rPr>
        <w:lastRenderedPageBreak/>
        <w:t>integration of theoretical, empirical, and practical contributions that move beyond existing literature in several important ways.</w:t>
      </w:r>
    </w:p>
    <w:p w14:paraId="09364E20" w14:textId="77777777" w:rsidR="007A4DE6" w:rsidRPr="00355CD8" w:rsidRDefault="007A4DE6" w:rsidP="00782586">
      <w:pPr>
        <w:pStyle w:val="Heading4"/>
      </w:pPr>
      <w:r w:rsidRPr="00355CD8">
        <w:t>Contribution to Theory</w:t>
      </w:r>
    </w:p>
    <w:p w14:paraId="035FD51B" w14:textId="0722C2AB" w:rsidR="007A4DE6" w:rsidRPr="00355CD8" w:rsidRDefault="007A4DE6" w:rsidP="00355CD8">
      <w:pPr>
        <w:spacing w:line="360" w:lineRule="auto"/>
        <w:jc w:val="both"/>
        <w:rPr>
          <w:rFonts w:ascii="Arial" w:hAnsi="Arial" w:cs="Arial"/>
        </w:rPr>
      </w:pPr>
      <w:r w:rsidRPr="00355CD8">
        <w:rPr>
          <w:rFonts w:ascii="Arial" w:hAnsi="Arial" w:cs="Arial"/>
        </w:rPr>
        <w:t xml:space="preserve">This study advances theoretical understanding by empirically testing the integrated application of Human Capital Theory, Conservation of Resources (COR) Theory, and the Triple Bottom Line (TBL) framework in the context of UK immigration policy – an approach that has not been previously applied to healthcare support workers </w:t>
      </w:r>
      <w:r w:rsidR="006159EB">
        <w:rPr>
          <w:rFonts w:ascii="Arial" w:hAnsi="Arial" w:cs="Arial"/>
        </w:rPr>
        <w:t>(Anderson et al., 2021)</w:t>
      </w:r>
      <w:r w:rsidRPr="00355CD8">
        <w:rPr>
          <w:rFonts w:ascii="Arial" w:hAnsi="Arial" w:cs="Arial"/>
        </w:rPr>
        <w:t>. While these theories have been used individually to study migration and workforce dynamics, their integration into a unified quantitative analytical chain is novel. Previous studies have examined human capital loss (Becker, 1964), resource threats (</w:t>
      </w:r>
      <w:proofErr w:type="spellStart"/>
      <w:r w:rsidRPr="00355CD8">
        <w:rPr>
          <w:rFonts w:ascii="Arial" w:hAnsi="Arial" w:cs="Arial"/>
        </w:rPr>
        <w:t>Hobfoll</w:t>
      </w:r>
      <w:proofErr w:type="spellEnd"/>
      <w:r w:rsidRPr="00355CD8">
        <w:rPr>
          <w:rFonts w:ascii="Arial" w:hAnsi="Arial" w:cs="Arial"/>
        </w:rPr>
        <w:t xml:space="preserve">, 1989), and sustainability </w:t>
      </w:r>
      <w:proofErr w:type="gramStart"/>
      <w:r w:rsidRPr="00355CD8">
        <w:rPr>
          <w:rFonts w:ascii="Arial" w:hAnsi="Arial" w:cs="Arial"/>
        </w:rPr>
        <w:t>trade</w:t>
      </w:r>
      <w:r w:rsidRPr="00355CD8">
        <w:rPr>
          <w:rFonts w:ascii="Arial" w:hAnsi="Arial" w:cs="Arial"/>
        </w:rPr>
        <w:noBreakHyphen/>
        <w:t>offs</w:t>
      </w:r>
      <w:proofErr w:type="gramEnd"/>
      <w:r w:rsidRPr="00355CD8">
        <w:rPr>
          <w:rFonts w:ascii="Arial" w:hAnsi="Arial" w:cs="Arial"/>
        </w:rPr>
        <w:t xml:space="preserve"> (</w:t>
      </w:r>
      <w:proofErr w:type="spellStart"/>
      <w:r w:rsidRPr="00355CD8">
        <w:rPr>
          <w:rFonts w:ascii="Arial" w:hAnsi="Arial" w:cs="Arial"/>
        </w:rPr>
        <w:t>Alhaddi</w:t>
      </w:r>
      <w:proofErr w:type="spellEnd"/>
      <w:r w:rsidRPr="00355CD8">
        <w:rPr>
          <w:rFonts w:ascii="Arial" w:hAnsi="Arial" w:cs="Arial"/>
        </w:rPr>
        <w:t>, 2015) in isolation. This study bridges these theoretical silos by demonstrating how policy changes create resource threats that lead to human capital loss, which ultimately results in a decline in both social and economic sustainability. This integrated framework provides a more comprehensive explanation of the impact of immigration policy on workforce sustainability than any single theory could offer.</w:t>
      </w:r>
    </w:p>
    <w:p w14:paraId="0E7F181F" w14:textId="77777777" w:rsidR="007A4DE6" w:rsidRPr="00355CD8" w:rsidRDefault="007A4DE6" w:rsidP="00782586">
      <w:pPr>
        <w:pStyle w:val="Heading4"/>
      </w:pPr>
      <w:r w:rsidRPr="00355CD8">
        <w:t>Contribution to Empirical Knowledge</w:t>
      </w:r>
    </w:p>
    <w:p w14:paraId="3CCD104A" w14:textId="28AA067B" w:rsidR="007A4DE6" w:rsidRPr="00355CD8" w:rsidRDefault="007A4DE6" w:rsidP="00355CD8">
      <w:pPr>
        <w:spacing w:line="360" w:lineRule="auto"/>
        <w:jc w:val="both"/>
        <w:rPr>
          <w:rFonts w:ascii="Arial" w:hAnsi="Arial" w:cs="Arial"/>
        </w:rPr>
      </w:pPr>
      <w:r w:rsidRPr="00355CD8">
        <w:rPr>
          <w:rFonts w:ascii="Arial" w:hAnsi="Arial" w:cs="Arial"/>
        </w:rPr>
        <w:t>This study provides the first empirical, quantitative evaluation of the post</w:t>
      </w:r>
      <w:r w:rsidRPr="00355CD8">
        <w:rPr>
          <w:rFonts w:ascii="Arial" w:hAnsi="Arial" w:cs="Arial"/>
        </w:rPr>
        <w:noBreakHyphen/>
        <w:t>2020 immigration reforms specifically on migrant healthcare support workers. Unlike previous studies that focused predominantly on highly skilled professionals such as doctors and nurses (Hatton, 2005; Stewart and Mulvey, 2014; Davda, Gallagher and Radford, 2018), this study specifically examines HCSWs, who comprise 40% of the NHS workforce but remain significantly under</w:t>
      </w:r>
      <w:r w:rsidRPr="00355CD8">
        <w:rPr>
          <w:rFonts w:ascii="Arial" w:hAnsi="Arial" w:cs="Arial"/>
        </w:rPr>
        <w:noBreakHyphen/>
        <w:t xml:space="preserve">researched </w:t>
      </w:r>
      <w:r w:rsidR="006159EB">
        <w:rPr>
          <w:rFonts w:ascii="Arial" w:hAnsi="Arial" w:cs="Arial"/>
        </w:rPr>
        <w:t>(Anderson et al., 2021)</w:t>
      </w:r>
      <w:r w:rsidRPr="00355CD8">
        <w:rPr>
          <w:rFonts w:ascii="Arial" w:hAnsi="Arial" w:cs="Arial"/>
        </w:rPr>
        <w:t>. By using official Home Office, ONS, and Skills for Care data, the study provides robust empirical evidence on the impact of policy changes on visa grant rates, outflow profiles, and workforce turnover – filling a critical gap in the literature that largely predates the 2020</w:t>
      </w:r>
      <w:r w:rsidRPr="00355CD8">
        <w:rPr>
          <w:rFonts w:ascii="Arial" w:hAnsi="Arial" w:cs="Arial"/>
        </w:rPr>
        <w:noBreakHyphen/>
        <w:t xml:space="preserve">2026 immigration reforms (Home Office, 2025a). The study also provides the first quantitative evidence on whether domestic upskilling initiatives can effectively replace migrant </w:t>
      </w:r>
      <w:proofErr w:type="spellStart"/>
      <w:r w:rsidRPr="00355CD8">
        <w:rPr>
          <w:rFonts w:ascii="Arial" w:hAnsi="Arial" w:cs="Arial"/>
        </w:rPr>
        <w:t>labour</w:t>
      </w:r>
      <w:proofErr w:type="spellEnd"/>
      <w:r w:rsidRPr="00355CD8">
        <w:rPr>
          <w:rFonts w:ascii="Arial" w:hAnsi="Arial" w:cs="Arial"/>
        </w:rPr>
        <w:t>, addressing the tension between policy ambition and empirical uncertainty identified in the literature (NHS England, 2023).</w:t>
      </w:r>
    </w:p>
    <w:p w14:paraId="21F6B51C" w14:textId="77777777" w:rsidR="007A4DE6" w:rsidRPr="00355CD8" w:rsidRDefault="007A4DE6" w:rsidP="00782586">
      <w:pPr>
        <w:pStyle w:val="Heading4"/>
      </w:pPr>
      <w:r w:rsidRPr="00355CD8">
        <w:lastRenderedPageBreak/>
        <w:t>Contribution to Policy and Practice</w:t>
      </w:r>
    </w:p>
    <w:p w14:paraId="108EBEED" w14:textId="77777777" w:rsidR="007A4DE6" w:rsidRPr="00355CD8" w:rsidRDefault="007A4DE6" w:rsidP="00355CD8">
      <w:pPr>
        <w:spacing w:line="360" w:lineRule="auto"/>
        <w:jc w:val="both"/>
        <w:rPr>
          <w:rFonts w:ascii="Arial" w:hAnsi="Arial" w:cs="Arial"/>
        </w:rPr>
      </w:pPr>
      <w:r w:rsidRPr="00355CD8">
        <w:rPr>
          <w:rFonts w:ascii="Arial" w:hAnsi="Arial" w:cs="Arial"/>
        </w:rPr>
        <w:t>This study offers evidence</w:t>
      </w:r>
      <w:r w:rsidRPr="00355CD8">
        <w:rPr>
          <w:rFonts w:ascii="Arial" w:hAnsi="Arial" w:cs="Arial"/>
        </w:rPr>
        <w:noBreakHyphen/>
        <w:t xml:space="preserve">based recommendations for policymakers and healthcare </w:t>
      </w:r>
      <w:proofErr w:type="spellStart"/>
      <w:r w:rsidRPr="00355CD8">
        <w:rPr>
          <w:rFonts w:ascii="Arial" w:hAnsi="Arial" w:cs="Arial"/>
        </w:rPr>
        <w:t>organisations</w:t>
      </w:r>
      <w:proofErr w:type="spellEnd"/>
      <w:r w:rsidRPr="00355CD8">
        <w:rPr>
          <w:rFonts w:ascii="Arial" w:hAnsi="Arial" w:cs="Arial"/>
        </w:rPr>
        <w:t xml:space="preserve">, moving beyond </w:t>
      </w:r>
      <w:proofErr w:type="spellStart"/>
      <w:r w:rsidRPr="00355CD8">
        <w:rPr>
          <w:rFonts w:ascii="Arial" w:hAnsi="Arial" w:cs="Arial"/>
        </w:rPr>
        <w:t>analysing</w:t>
      </w:r>
      <w:proofErr w:type="spellEnd"/>
      <w:r w:rsidRPr="00355CD8">
        <w:rPr>
          <w:rFonts w:ascii="Arial" w:hAnsi="Arial" w:cs="Arial"/>
        </w:rPr>
        <w:t xml:space="preserve"> immigration policy impacts alone to examining whether </w:t>
      </w:r>
      <w:proofErr w:type="spellStart"/>
      <w:r w:rsidRPr="00355CD8">
        <w:rPr>
          <w:rFonts w:ascii="Arial" w:hAnsi="Arial" w:cs="Arial"/>
        </w:rPr>
        <w:t>organisational</w:t>
      </w:r>
      <w:proofErr w:type="spellEnd"/>
      <w:r w:rsidRPr="00355CD8">
        <w:rPr>
          <w:rFonts w:ascii="Arial" w:hAnsi="Arial" w:cs="Arial"/>
        </w:rPr>
        <w:t xml:space="preserve"> responses – such as training, career progression, and retention strategies – can effectively sustain the workforce under immigration restrictions. For policymakers at the Home Office and Department of Health and Social Care, the findings provide quantitative evidence on the workforce implications of recent reforms, including the closure of overseas recruitment for care workers, the increase in the skill threshold, and the restriction on </w:t>
      </w:r>
      <w:proofErr w:type="spellStart"/>
      <w:r w:rsidRPr="00355CD8">
        <w:rPr>
          <w:rFonts w:ascii="Arial" w:hAnsi="Arial" w:cs="Arial"/>
        </w:rPr>
        <w:t>dependant</w:t>
      </w:r>
      <w:proofErr w:type="spellEnd"/>
      <w:r w:rsidRPr="00355CD8">
        <w:rPr>
          <w:rFonts w:ascii="Arial" w:hAnsi="Arial" w:cs="Arial"/>
        </w:rPr>
        <w:t xml:space="preserve"> visas. This evidence can inform future policy design regarding </w:t>
      </w:r>
      <w:proofErr w:type="spellStart"/>
      <w:r w:rsidRPr="00355CD8">
        <w:rPr>
          <w:rFonts w:ascii="Arial" w:hAnsi="Arial" w:cs="Arial"/>
        </w:rPr>
        <w:t>dependant</w:t>
      </w:r>
      <w:proofErr w:type="spellEnd"/>
      <w:r w:rsidRPr="00355CD8">
        <w:rPr>
          <w:rFonts w:ascii="Arial" w:hAnsi="Arial" w:cs="Arial"/>
        </w:rPr>
        <w:t xml:space="preserve"> rights, settlement pathways, and domestic workforce investment. For NHS leaders and adult social care providers, the findings provide practical guidance on retention strategies, training investment, and workforce planning under immigration restrictions – addressing the limited evidence on which HR interventions are effective in maintaining migrant healthcare support workers (</w:t>
      </w:r>
      <w:proofErr w:type="spellStart"/>
      <w:r w:rsidRPr="00355CD8">
        <w:rPr>
          <w:rFonts w:ascii="Arial" w:hAnsi="Arial" w:cs="Arial"/>
        </w:rPr>
        <w:t>Sarre</w:t>
      </w:r>
      <w:proofErr w:type="spellEnd"/>
      <w:r w:rsidRPr="00355CD8">
        <w:rPr>
          <w:rFonts w:ascii="Arial" w:hAnsi="Arial" w:cs="Arial"/>
        </w:rPr>
        <w:t xml:space="preserve"> et al., 2025). For migrant healthcare support workers themselves, the study highlights the social and economic challenges they face, potentially informing advocacy for more supportive policies.</w:t>
      </w:r>
    </w:p>
    <w:p w14:paraId="4F3F5613" w14:textId="77777777" w:rsidR="007A4DE6" w:rsidRPr="00355CD8" w:rsidRDefault="007A4DE6" w:rsidP="00782586">
      <w:pPr>
        <w:pStyle w:val="Heading4"/>
      </w:pPr>
      <w:r w:rsidRPr="00355CD8">
        <w:t>Contribution to Society</w:t>
      </w:r>
    </w:p>
    <w:p w14:paraId="4BD5F7C9" w14:textId="574872D9" w:rsidR="007A4DE6" w:rsidRPr="00355CD8" w:rsidRDefault="007A4DE6" w:rsidP="00355CD8">
      <w:pPr>
        <w:spacing w:line="360" w:lineRule="auto"/>
        <w:jc w:val="both"/>
        <w:rPr>
          <w:rFonts w:ascii="Arial" w:hAnsi="Arial" w:cs="Arial"/>
        </w:rPr>
      </w:pPr>
      <w:r w:rsidRPr="00355CD8">
        <w:rPr>
          <w:rFonts w:ascii="Arial" w:hAnsi="Arial" w:cs="Arial"/>
        </w:rPr>
        <w:t xml:space="preserve">Ultimately, the findings contribute to broader societal debates about balancing migration control with service sustainability. By quantifying the </w:t>
      </w:r>
      <w:proofErr w:type="gramStart"/>
      <w:r w:rsidRPr="00355CD8">
        <w:rPr>
          <w:rFonts w:ascii="Arial" w:hAnsi="Arial" w:cs="Arial"/>
        </w:rPr>
        <w:t>trade</w:t>
      </w:r>
      <w:r w:rsidRPr="00355CD8">
        <w:rPr>
          <w:rFonts w:ascii="Arial" w:hAnsi="Arial" w:cs="Arial"/>
        </w:rPr>
        <w:noBreakHyphen/>
        <w:t>offs</w:t>
      </w:r>
      <w:proofErr w:type="gramEnd"/>
      <w:r w:rsidRPr="00355CD8">
        <w:rPr>
          <w:rFonts w:ascii="Arial" w:hAnsi="Arial" w:cs="Arial"/>
        </w:rPr>
        <w:t xml:space="preserve"> between social sustainability (family unity) and economic sustainability (workforce stability), the study provides evidence that can inform public discourse and policy decisions on immigration and healthcare workforce planning. The study also contributes to global health equity debates by highlighting the UK's reliance on international recruitment from countries with critical health workforce shortages (Nuffield Trust, </w:t>
      </w:r>
      <w:proofErr w:type="gramStart"/>
      <w:r w:rsidRPr="00355CD8">
        <w:rPr>
          <w:rFonts w:ascii="Arial" w:hAnsi="Arial" w:cs="Arial"/>
        </w:rPr>
        <w:t xml:space="preserve">2025; </w:t>
      </w:r>
      <w:r w:rsidR="00D857FC" w:rsidRPr="00355CD8">
        <w:rPr>
          <w:rFonts w:ascii="Arial" w:hAnsi="Arial" w:cs="Arial"/>
        </w:rPr>
        <w:t xml:space="preserve"> Anderson</w:t>
      </w:r>
      <w:proofErr w:type="gramEnd"/>
      <w:r w:rsidR="00D857FC" w:rsidRPr="00355CD8">
        <w:rPr>
          <w:rFonts w:ascii="Arial" w:hAnsi="Arial" w:cs="Arial"/>
        </w:rPr>
        <w:t xml:space="preserve"> </w:t>
      </w:r>
      <w:proofErr w:type="gramStart"/>
      <w:r w:rsidR="00D857FC" w:rsidRPr="00355CD8">
        <w:rPr>
          <w:rFonts w:ascii="Arial" w:hAnsi="Arial" w:cs="Arial"/>
        </w:rPr>
        <w:t>et al.,</w:t>
      </w:r>
      <w:r w:rsidRPr="00355CD8">
        <w:rPr>
          <w:rFonts w:ascii="Arial" w:hAnsi="Arial" w:cs="Arial"/>
        </w:rPr>
        <w:t>.,</w:t>
      </w:r>
      <w:proofErr w:type="gramEnd"/>
      <w:r w:rsidRPr="00355CD8">
        <w:rPr>
          <w:rFonts w:ascii="Arial" w:hAnsi="Arial" w:cs="Arial"/>
        </w:rPr>
        <w:t xml:space="preserve"> 2021).</w:t>
      </w:r>
    </w:p>
    <w:p w14:paraId="0F9F9427" w14:textId="77777777" w:rsidR="00782586" w:rsidRDefault="00782586">
      <w:pPr>
        <w:rPr>
          <w:rFonts w:ascii="Arial" w:hAnsi="Arial" w:cs="Arial"/>
          <w:b/>
          <w:bCs/>
        </w:rPr>
      </w:pPr>
      <w:r>
        <w:rPr>
          <w:rFonts w:ascii="Arial" w:hAnsi="Arial" w:cs="Arial"/>
          <w:b/>
          <w:bCs/>
        </w:rPr>
        <w:br w:type="page"/>
      </w:r>
    </w:p>
    <w:p w14:paraId="33CB4549" w14:textId="7B5C4BAE" w:rsidR="00C20D58" w:rsidRPr="00D5479B" w:rsidRDefault="00C20D58" w:rsidP="00C20D58">
      <w:pPr>
        <w:pStyle w:val="Caption"/>
        <w:keepNext/>
        <w:rPr>
          <w:sz w:val="28"/>
          <w:szCs w:val="28"/>
        </w:rPr>
      </w:pPr>
      <w:bookmarkStart w:id="44" w:name="_Toc238206086"/>
      <w:r w:rsidRPr="00D5479B">
        <w:rPr>
          <w:sz w:val="28"/>
          <w:szCs w:val="28"/>
        </w:rPr>
        <w:lastRenderedPageBreak/>
        <w:t xml:space="preserve">Table </w:t>
      </w:r>
      <w:r w:rsidRPr="00D5479B">
        <w:rPr>
          <w:sz w:val="28"/>
          <w:szCs w:val="28"/>
        </w:rPr>
        <w:fldChar w:fldCharType="begin"/>
      </w:r>
      <w:r w:rsidRPr="00D5479B">
        <w:rPr>
          <w:sz w:val="28"/>
          <w:szCs w:val="28"/>
        </w:rPr>
        <w:instrText xml:space="preserve"> SEQ Table \* ARABIC </w:instrText>
      </w:r>
      <w:r w:rsidRPr="00D5479B">
        <w:rPr>
          <w:sz w:val="28"/>
          <w:szCs w:val="28"/>
        </w:rPr>
        <w:fldChar w:fldCharType="separate"/>
      </w:r>
      <w:r w:rsidR="00B70586" w:rsidRPr="00D5479B">
        <w:rPr>
          <w:noProof/>
          <w:sz w:val="28"/>
          <w:szCs w:val="28"/>
        </w:rPr>
        <w:t>2</w:t>
      </w:r>
      <w:r w:rsidRPr="00D5479B">
        <w:rPr>
          <w:sz w:val="28"/>
          <w:szCs w:val="28"/>
        </w:rPr>
        <w:fldChar w:fldCharType="end"/>
      </w:r>
      <w:r w:rsidRPr="00D5479B">
        <w:rPr>
          <w:sz w:val="28"/>
          <w:szCs w:val="28"/>
        </w:rPr>
        <w:t xml:space="preserve"> Summary of Contributions.</w:t>
      </w:r>
      <w:bookmarkEnd w:id="44"/>
    </w:p>
    <w:tbl>
      <w:tblPr>
        <w:tblW w:w="97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368"/>
        <w:gridCol w:w="4376"/>
        <w:gridCol w:w="2021"/>
      </w:tblGrid>
      <w:tr w:rsidR="007A4DE6" w:rsidRPr="00355CD8" w14:paraId="23E7EE1D" w14:textId="77777777" w:rsidTr="00B529E0">
        <w:trPr>
          <w:trHeight w:val="767"/>
          <w:tblHeader/>
        </w:trPr>
        <w:tc>
          <w:tcPr>
            <w:tcW w:w="0" w:type="auto"/>
            <w:tcMar>
              <w:top w:w="150" w:type="dxa"/>
              <w:left w:w="0" w:type="dxa"/>
              <w:bottom w:w="150" w:type="dxa"/>
              <w:right w:w="240" w:type="dxa"/>
            </w:tcMar>
            <w:vAlign w:val="center"/>
            <w:hideMark/>
          </w:tcPr>
          <w:p w14:paraId="2527B9C7" w14:textId="77777777" w:rsidR="007A4DE6" w:rsidRPr="00355CD8" w:rsidRDefault="007A4DE6" w:rsidP="00355CD8">
            <w:pPr>
              <w:spacing w:line="360" w:lineRule="auto"/>
              <w:jc w:val="both"/>
              <w:rPr>
                <w:rFonts w:ascii="Arial" w:hAnsi="Arial" w:cs="Arial"/>
              </w:rPr>
            </w:pPr>
            <w:r w:rsidRPr="00355CD8">
              <w:rPr>
                <w:rFonts w:ascii="Arial" w:hAnsi="Arial" w:cs="Arial"/>
              </w:rPr>
              <w:t>Research Gap</w:t>
            </w:r>
          </w:p>
        </w:tc>
        <w:tc>
          <w:tcPr>
            <w:tcW w:w="0" w:type="auto"/>
            <w:tcMar>
              <w:top w:w="150" w:type="dxa"/>
              <w:left w:w="240" w:type="dxa"/>
              <w:bottom w:w="150" w:type="dxa"/>
              <w:right w:w="240" w:type="dxa"/>
            </w:tcMar>
            <w:vAlign w:val="center"/>
            <w:hideMark/>
          </w:tcPr>
          <w:p w14:paraId="000ED260" w14:textId="77777777" w:rsidR="007A4DE6" w:rsidRPr="00355CD8" w:rsidRDefault="007A4DE6" w:rsidP="00355CD8">
            <w:pPr>
              <w:spacing w:line="360" w:lineRule="auto"/>
              <w:jc w:val="both"/>
              <w:rPr>
                <w:rFonts w:ascii="Arial" w:hAnsi="Arial" w:cs="Arial"/>
              </w:rPr>
            </w:pPr>
            <w:r w:rsidRPr="00355CD8">
              <w:rPr>
                <w:rFonts w:ascii="Arial" w:hAnsi="Arial" w:cs="Arial"/>
              </w:rPr>
              <w:t>How This Study Addresses It</w:t>
            </w:r>
          </w:p>
        </w:tc>
        <w:tc>
          <w:tcPr>
            <w:tcW w:w="0" w:type="auto"/>
            <w:tcMar>
              <w:top w:w="150" w:type="dxa"/>
              <w:left w:w="240" w:type="dxa"/>
              <w:bottom w:w="150" w:type="dxa"/>
              <w:right w:w="240" w:type="dxa"/>
            </w:tcMar>
            <w:vAlign w:val="center"/>
            <w:hideMark/>
          </w:tcPr>
          <w:p w14:paraId="53A96080" w14:textId="77777777" w:rsidR="007A4DE6" w:rsidRPr="00355CD8" w:rsidRDefault="007A4DE6" w:rsidP="00355CD8">
            <w:pPr>
              <w:spacing w:line="360" w:lineRule="auto"/>
              <w:jc w:val="both"/>
              <w:rPr>
                <w:rFonts w:ascii="Arial" w:hAnsi="Arial" w:cs="Arial"/>
              </w:rPr>
            </w:pPr>
            <w:r w:rsidRPr="00355CD8">
              <w:rPr>
                <w:rFonts w:ascii="Arial" w:hAnsi="Arial" w:cs="Arial"/>
              </w:rPr>
              <w:t>Contribution Type</w:t>
            </w:r>
          </w:p>
        </w:tc>
      </w:tr>
      <w:tr w:rsidR="007A4DE6" w:rsidRPr="00355CD8" w14:paraId="7425CB1D" w14:textId="77777777" w:rsidTr="00B529E0">
        <w:trPr>
          <w:trHeight w:val="767"/>
        </w:trPr>
        <w:tc>
          <w:tcPr>
            <w:tcW w:w="0" w:type="auto"/>
            <w:tcMar>
              <w:top w:w="150" w:type="dxa"/>
              <w:left w:w="0" w:type="dxa"/>
              <w:bottom w:w="150" w:type="dxa"/>
              <w:right w:w="240" w:type="dxa"/>
            </w:tcMar>
            <w:vAlign w:val="center"/>
            <w:hideMark/>
          </w:tcPr>
          <w:p w14:paraId="13A686F6" w14:textId="77777777" w:rsidR="007A4DE6" w:rsidRPr="00355CD8" w:rsidRDefault="007A4DE6" w:rsidP="00355CD8">
            <w:pPr>
              <w:spacing w:line="360" w:lineRule="auto"/>
              <w:jc w:val="both"/>
              <w:rPr>
                <w:rFonts w:ascii="Arial" w:hAnsi="Arial" w:cs="Arial"/>
              </w:rPr>
            </w:pPr>
            <w:r w:rsidRPr="00355CD8">
              <w:rPr>
                <w:rFonts w:ascii="Arial" w:hAnsi="Arial" w:cs="Arial"/>
                <w:b/>
                <w:bCs/>
              </w:rPr>
              <w:t>Gap 1:</w:t>
            </w:r>
            <w:r w:rsidRPr="00355CD8">
              <w:rPr>
                <w:rFonts w:ascii="Arial" w:hAnsi="Arial" w:cs="Arial"/>
              </w:rPr>
              <w:t> HCSWs under</w:t>
            </w:r>
            <w:r w:rsidRPr="00355CD8">
              <w:rPr>
                <w:rFonts w:ascii="Arial" w:hAnsi="Arial" w:cs="Arial"/>
              </w:rPr>
              <w:noBreakHyphen/>
              <w:t>researched</w:t>
            </w:r>
          </w:p>
        </w:tc>
        <w:tc>
          <w:tcPr>
            <w:tcW w:w="0" w:type="auto"/>
            <w:tcMar>
              <w:top w:w="150" w:type="dxa"/>
              <w:left w:w="240" w:type="dxa"/>
              <w:bottom w:w="150" w:type="dxa"/>
              <w:right w:w="240" w:type="dxa"/>
            </w:tcMar>
            <w:vAlign w:val="center"/>
            <w:hideMark/>
          </w:tcPr>
          <w:p w14:paraId="76943639" w14:textId="77777777" w:rsidR="007A4DE6" w:rsidRPr="00355CD8" w:rsidRDefault="007A4DE6" w:rsidP="00355CD8">
            <w:pPr>
              <w:spacing w:line="360" w:lineRule="auto"/>
              <w:jc w:val="both"/>
              <w:rPr>
                <w:rFonts w:ascii="Arial" w:hAnsi="Arial" w:cs="Arial"/>
              </w:rPr>
            </w:pPr>
            <w:r w:rsidRPr="00355CD8">
              <w:rPr>
                <w:rFonts w:ascii="Arial" w:hAnsi="Arial" w:cs="Arial"/>
              </w:rPr>
              <w:t>Focuses specifically on HCSWs using official data</w:t>
            </w:r>
          </w:p>
        </w:tc>
        <w:tc>
          <w:tcPr>
            <w:tcW w:w="0" w:type="auto"/>
            <w:tcMar>
              <w:top w:w="150" w:type="dxa"/>
              <w:left w:w="240" w:type="dxa"/>
              <w:bottom w:w="150" w:type="dxa"/>
              <w:right w:w="0" w:type="dxa"/>
            </w:tcMar>
            <w:vAlign w:val="center"/>
            <w:hideMark/>
          </w:tcPr>
          <w:p w14:paraId="2EF12504" w14:textId="77777777" w:rsidR="007A4DE6" w:rsidRPr="00355CD8" w:rsidRDefault="007A4DE6" w:rsidP="00355CD8">
            <w:pPr>
              <w:spacing w:line="360" w:lineRule="auto"/>
              <w:jc w:val="both"/>
              <w:rPr>
                <w:rFonts w:ascii="Arial" w:hAnsi="Arial" w:cs="Arial"/>
              </w:rPr>
            </w:pPr>
            <w:r w:rsidRPr="00355CD8">
              <w:rPr>
                <w:rFonts w:ascii="Arial" w:hAnsi="Arial" w:cs="Arial"/>
              </w:rPr>
              <w:t>Empirical</w:t>
            </w:r>
          </w:p>
        </w:tc>
      </w:tr>
      <w:tr w:rsidR="007A4DE6" w:rsidRPr="00355CD8" w14:paraId="127004BB" w14:textId="77777777" w:rsidTr="00B529E0">
        <w:trPr>
          <w:trHeight w:val="767"/>
        </w:trPr>
        <w:tc>
          <w:tcPr>
            <w:tcW w:w="0" w:type="auto"/>
            <w:tcMar>
              <w:top w:w="150" w:type="dxa"/>
              <w:left w:w="0" w:type="dxa"/>
              <w:bottom w:w="150" w:type="dxa"/>
              <w:right w:w="240" w:type="dxa"/>
            </w:tcMar>
            <w:vAlign w:val="center"/>
            <w:hideMark/>
          </w:tcPr>
          <w:p w14:paraId="68EE0E5F" w14:textId="77777777" w:rsidR="007A4DE6" w:rsidRPr="00355CD8" w:rsidRDefault="007A4DE6" w:rsidP="00355CD8">
            <w:pPr>
              <w:spacing w:line="360" w:lineRule="auto"/>
              <w:jc w:val="both"/>
              <w:rPr>
                <w:rFonts w:ascii="Arial" w:hAnsi="Arial" w:cs="Arial"/>
              </w:rPr>
            </w:pPr>
            <w:r w:rsidRPr="00355CD8">
              <w:rPr>
                <w:rFonts w:ascii="Arial" w:hAnsi="Arial" w:cs="Arial"/>
                <w:b/>
                <w:bCs/>
              </w:rPr>
              <w:t>Gap 2:</w:t>
            </w:r>
            <w:r w:rsidRPr="00355CD8">
              <w:rPr>
                <w:rFonts w:ascii="Arial" w:hAnsi="Arial" w:cs="Arial"/>
              </w:rPr>
              <w:t> Evidence predates 2020 reforms</w:t>
            </w:r>
          </w:p>
        </w:tc>
        <w:tc>
          <w:tcPr>
            <w:tcW w:w="0" w:type="auto"/>
            <w:tcMar>
              <w:top w:w="150" w:type="dxa"/>
              <w:left w:w="240" w:type="dxa"/>
              <w:bottom w:w="150" w:type="dxa"/>
              <w:right w:w="240" w:type="dxa"/>
            </w:tcMar>
            <w:vAlign w:val="center"/>
            <w:hideMark/>
          </w:tcPr>
          <w:p w14:paraId="0FAA2FA7" w14:textId="77777777" w:rsidR="007A4DE6" w:rsidRPr="00355CD8" w:rsidRDefault="007A4DE6" w:rsidP="00355CD8">
            <w:pPr>
              <w:spacing w:line="360" w:lineRule="auto"/>
              <w:jc w:val="both"/>
              <w:rPr>
                <w:rFonts w:ascii="Arial" w:hAnsi="Arial" w:cs="Arial"/>
              </w:rPr>
            </w:pPr>
            <w:r w:rsidRPr="00355CD8">
              <w:rPr>
                <w:rFonts w:ascii="Arial" w:hAnsi="Arial" w:cs="Arial"/>
              </w:rPr>
              <w:t>Provides first quantitative evaluation of post</w:t>
            </w:r>
            <w:r w:rsidRPr="00355CD8">
              <w:rPr>
                <w:rFonts w:ascii="Arial" w:hAnsi="Arial" w:cs="Arial"/>
              </w:rPr>
              <w:noBreakHyphen/>
              <w:t>2020 reforms</w:t>
            </w:r>
          </w:p>
        </w:tc>
        <w:tc>
          <w:tcPr>
            <w:tcW w:w="0" w:type="auto"/>
            <w:tcMar>
              <w:top w:w="150" w:type="dxa"/>
              <w:left w:w="240" w:type="dxa"/>
              <w:bottom w:w="150" w:type="dxa"/>
              <w:right w:w="0" w:type="dxa"/>
            </w:tcMar>
            <w:vAlign w:val="center"/>
            <w:hideMark/>
          </w:tcPr>
          <w:p w14:paraId="0EF2C4AE" w14:textId="77777777" w:rsidR="007A4DE6" w:rsidRPr="00355CD8" w:rsidRDefault="007A4DE6" w:rsidP="00355CD8">
            <w:pPr>
              <w:spacing w:line="360" w:lineRule="auto"/>
              <w:jc w:val="both"/>
              <w:rPr>
                <w:rFonts w:ascii="Arial" w:hAnsi="Arial" w:cs="Arial"/>
              </w:rPr>
            </w:pPr>
            <w:r w:rsidRPr="00355CD8">
              <w:rPr>
                <w:rFonts w:ascii="Arial" w:hAnsi="Arial" w:cs="Arial"/>
              </w:rPr>
              <w:t>Empirical</w:t>
            </w:r>
          </w:p>
        </w:tc>
      </w:tr>
      <w:tr w:rsidR="007A4DE6" w:rsidRPr="00355CD8" w14:paraId="61D063B3" w14:textId="77777777" w:rsidTr="00B529E0">
        <w:trPr>
          <w:trHeight w:val="758"/>
        </w:trPr>
        <w:tc>
          <w:tcPr>
            <w:tcW w:w="0" w:type="auto"/>
            <w:tcMar>
              <w:top w:w="150" w:type="dxa"/>
              <w:left w:w="0" w:type="dxa"/>
              <w:bottom w:w="150" w:type="dxa"/>
              <w:right w:w="240" w:type="dxa"/>
            </w:tcMar>
            <w:vAlign w:val="center"/>
            <w:hideMark/>
          </w:tcPr>
          <w:p w14:paraId="6E723247" w14:textId="77777777" w:rsidR="007A4DE6" w:rsidRPr="00355CD8" w:rsidRDefault="007A4DE6" w:rsidP="00355CD8">
            <w:pPr>
              <w:spacing w:line="360" w:lineRule="auto"/>
              <w:jc w:val="both"/>
              <w:rPr>
                <w:rFonts w:ascii="Arial" w:hAnsi="Arial" w:cs="Arial"/>
              </w:rPr>
            </w:pPr>
            <w:r w:rsidRPr="00355CD8">
              <w:rPr>
                <w:rFonts w:ascii="Arial" w:hAnsi="Arial" w:cs="Arial"/>
                <w:b/>
                <w:bCs/>
              </w:rPr>
              <w:t>Gap 3:</w:t>
            </w:r>
            <w:r w:rsidRPr="00355CD8">
              <w:rPr>
                <w:rFonts w:ascii="Arial" w:hAnsi="Arial" w:cs="Arial"/>
              </w:rPr>
              <w:t> Limited evidence on domestic upskilling</w:t>
            </w:r>
          </w:p>
        </w:tc>
        <w:tc>
          <w:tcPr>
            <w:tcW w:w="0" w:type="auto"/>
            <w:tcMar>
              <w:top w:w="150" w:type="dxa"/>
              <w:left w:w="240" w:type="dxa"/>
              <w:bottom w:w="150" w:type="dxa"/>
              <w:right w:w="240" w:type="dxa"/>
            </w:tcMar>
            <w:vAlign w:val="center"/>
            <w:hideMark/>
          </w:tcPr>
          <w:p w14:paraId="2DFFBE69" w14:textId="77777777" w:rsidR="007A4DE6" w:rsidRPr="00355CD8" w:rsidRDefault="007A4DE6" w:rsidP="00355CD8">
            <w:pPr>
              <w:spacing w:line="360" w:lineRule="auto"/>
              <w:jc w:val="both"/>
              <w:rPr>
                <w:rFonts w:ascii="Arial" w:hAnsi="Arial" w:cs="Arial"/>
              </w:rPr>
            </w:pPr>
            <w:proofErr w:type="gramStart"/>
            <w:r w:rsidRPr="00355CD8">
              <w:rPr>
                <w:rFonts w:ascii="Arial" w:hAnsi="Arial" w:cs="Arial"/>
              </w:rPr>
              <w:t>Tests</w:t>
            </w:r>
            <w:proofErr w:type="gramEnd"/>
            <w:r w:rsidRPr="00355CD8">
              <w:rPr>
                <w:rFonts w:ascii="Arial" w:hAnsi="Arial" w:cs="Arial"/>
              </w:rPr>
              <w:t xml:space="preserve"> whether domestic upskilling can replace migrant </w:t>
            </w:r>
            <w:proofErr w:type="spellStart"/>
            <w:r w:rsidRPr="00355CD8">
              <w:rPr>
                <w:rFonts w:ascii="Arial" w:hAnsi="Arial" w:cs="Arial"/>
              </w:rPr>
              <w:t>labour</w:t>
            </w:r>
            <w:proofErr w:type="spellEnd"/>
          </w:p>
        </w:tc>
        <w:tc>
          <w:tcPr>
            <w:tcW w:w="0" w:type="auto"/>
            <w:tcMar>
              <w:top w:w="150" w:type="dxa"/>
              <w:left w:w="240" w:type="dxa"/>
              <w:bottom w:w="150" w:type="dxa"/>
              <w:right w:w="0" w:type="dxa"/>
            </w:tcMar>
            <w:vAlign w:val="center"/>
            <w:hideMark/>
          </w:tcPr>
          <w:p w14:paraId="47389C48" w14:textId="77777777" w:rsidR="007A4DE6" w:rsidRPr="00355CD8" w:rsidRDefault="007A4DE6" w:rsidP="00355CD8">
            <w:pPr>
              <w:spacing w:line="360" w:lineRule="auto"/>
              <w:jc w:val="both"/>
              <w:rPr>
                <w:rFonts w:ascii="Arial" w:hAnsi="Arial" w:cs="Arial"/>
              </w:rPr>
            </w:pPr>
            <w:r w:rsidRPr="00355CD8">
              <w:rPr>
                <w:rFonts w:ascii="Arial" w:hAnsi="Arial" w:cs="Arial"/>
              </w:rPr>
              <w:t>Empirical and Policy</w:t>
            </w:r>
          </w:p>
        </w:tc>
      </w:tr>
      <w:tr w:rsidR="007A4DE6" w:rsidRPr="00355CD8" w14:paraId="023278EE" w14:textId="77777777" w:rsidTr="00B529E0">
        <w:trPr>
          <w:trHeight w:val="767"/>
        </w:trPr>
        <w:tc>
          <w:tcPr>
            <w:tcW w:w="0" w:type="auto"/>
            <w:tcMar>
              <w:top w:w="150" w:type="dxa"/>
              <w:left w:w="0" w:type="dxa"/>
              <w:bottom w:w="150" w:type="dxa"/>
              <w:right w:w="240" w:type="dxa"/>
            </w:tcMar>
            <w:vAlign w:val="center"/>
            <w:hideMark/>
          </w:tcPr>
          <w:p w14:paraId="128DB94D" w14:textId="77777777" w:rsidR="007A4DE6" w:rsidRPr="00355CD8" w:rsidRDefault="007A4DE6" w:rsidP="00355CD8">
            <w:pPr>
              <w:spacing w:line="360" w:lineRule="auto"/>
              <w:jc w:val="both"/>
              <w:rPr>
                <w:rFonts w:ascii="Arial" w:hAnsi="Arial" w:cs="Arial"/>
              </w:rPr>
            </w:pPr>
            <w:r w:rsidRPr="00355CD8">
              <w:rPr>
                <w:rFonts w:ascii="Arial" w:hAnsi="Arial" w:cs="Arial"/>
                <w:b/>
                <w:bCs/>
              </w:rPr>
              <w:t>Gap 4:</w:t>
            </w:r>
            <w:r w:rsidRPr="00355CD8">
              <w:rPr>
                <w:rFonts w:ascii="Arial" w:hAnsi="Arial" w:cs="Arial"/>
              </w:rPr>
              <w:t> Limited UK</w:t>
            </w:r>
            <w:r w:rsidRPr="00355CD8">
              <w:rPr>
                <w:rFonts w:ascii="Arial" w:hAnsi="Arial" w:cs="Arial"/>
              </w:rPr>
              <w:noBreakHyphen/>
              <w:t>nation comparisons</w:t>
            </w:r>
          </w:p>
        </w:tc>
        <w:tc>
          <w:tcPr>
            <w:tcW w:w="0" w:type="auto"/>
            <w:tcMar>
              <w:top w:w="150" w:type="dxa"/>
              <w:left w:w="240" w:type="dxa"/>
              <w:bottom w:w="150" w:type="dxa"/>
              <w:right w:w="240" w:type="dxa"/>
            </w:tcMar>
            <w:vAlign w:val="center"/>
            <w:hideMark/>
          </w:tcPr>
          <w:p w14:paraId="620A6855" w14:textId="77777777" w:rsidR="007A4DE6" w:rsidRPr="00355CD8" w:rsidRDefault="007A4DE6" w:rsidP="00355CD8">
            <w:pPr>
              <w:spacing w:line="360" w:lineRule="auto"/>
              <w:jc w:val="both"/>
              <w:rPr>
                <w:rFonts w:ascii="Arial" w:hAnsi="Arial" w:cs="Arial"/>
              </w:rPr>
            </w:pPr>
            <w:proofErr w:type="gramStart"/>
            <w:r w:rsidRPr="00355CD8">
              <w:rPr>
                <w:rFonts w:ascii="Arial" w:hAnsi="Arial" w:cs="Arial"/>
              </w:rPr>
              <w:t>Acknowledges</w:t>
            </w:r>
            <w:proofErr w:type="gramEnd"/>
            <w:r w:rsidRPr="00355CD8">
              <w:rPr>
                <w:rFonts w:ascii="Arial" w:hAnsi="Arial" w:cs="Arial"/>
              </w:rPr>
              <w:t xml:space="preserve"> and provides baseline for future research</w:t>
            </w:r>
          </w:p>
        </w:tc>
        <w:tc>
          <w:tcPr>
            <w:tcW w:w="0" w:type="auto"/>
            <w:tcMar>
              <w:top w:w="150" w:type="dxa"/>
              <w:left w:w="240" w:type="dxa"/>
              <w:bottom w:w="150" w:type="dxa"/>
              <w:right w:w="0" w:type="dxa"/>
            </w:tcMar>
            <w:vAlign w:val="center"/>
            <w:hideMark/>
          </w:tcPr>
          <w:p w14:paraId="445168E9" w14:textId="77777777" w:rsidR="007A4DE6" w:rsidRPr="00355CD8" w:rsidRDefault="007A4DE6" w:rsidP="00355CD8">
            <w:pPr>
              <w:spacing w:line="360" w:lineRule="auto"/>
              <w:jc w:val="both"/>
              <w:rPr>
                <w:rFonts w:ascii="Arial" w:hAnsi="Arial" w:cs="Arial"/>
              </w:rPr>
            </w:pPr>
            <w:r w:rsidRPr="00355CD8">
              <w:rPr>
                <w:rFonts w:ascii="Arial" w:hAnsi="Arial" w:cs="Arial"/>
              </w:rPr>
              <w:t>Theoretical</w:t>
            </w:r>
          </w:p>
        </w:tc>
      </w:tr>
      <w:tr w:rsidR="007A4DE6" w:rsidRPr="00355CD8" w14:paraId="7115C8EB" w14:textId="77777777" w:rsidTr="00B529E0">
        <w:trPr>
          <w:trHeight w:val="767"/>
        </w:trPr>
        <w:tc>
          <w:tcPr>
            <w:tcW w:w="0" w:type="auto"/>
            <w:tcMar>
              <w:top w:w="150" w:type="dxa"/>
              <w:left w:w="0" w:type="dxa"/>
              <w:bottom w:w="150" w:type="dxa"/>
              <w:right w:w="240" w:type="dxa"/>
            </w:tcMar>
            <w:vAlign w:val="center"/>
            <w:hideMark/>
          </w:tcPr>
          <w:p w14:paraId="65560479" w14:textId="77777777" w:rsidR="007A4DE6" w:rsidRPr="00355CD8" w:rsidRDefault="007A4DE6" w:rsidP="00355CD8">
            <w:pPr>
              <w:spacing w:line="360" w:lineRule="auto"/>
              <w:jc w:val="both"/>
              <w:rPr>
                <w:rFonts w:ascii="Arial" w:hAnsi="Arial" w:cs="Arial"/>
              </w:rPr>
            </w:pPr>
            <w:r w:rsidRPr="00355CD8">
              <w:rPr>
                <w:rFonts w:ascii="Arial" w:hAnsi="Arial" w:cs="Arial"/>
                <w:b/>
                <w:bCs/>
              </w:rPr>
              <w:t>Gap 5:</w:t>
            </w:r>
            <w:r w:rsidRPr="00355CD8">
              <w:rPr>
                <w:rFonts w:ascii="Arial" w:hAnsi="Arial" w:cs="Arial"/>
              </w:rPr>
              <w:t> Limited evidence on HR strategies</w:t>
            </w:r>
          </w:p>
        </w:tc>
        <w:tc>
          <w:tcPr>
            <w:tcW w:w="0" w:type="auto"/>
            <w:tcMar>
              <w:top w:w="150" w:type="dxa"/>
              <w:left w:w="240" w:type="dxa"/>
              <w:bottom w:w="150" w:type="dxa"/>
              <w:right w:w="240" w:type="dxa"/>
            </w:tcMar>
            <w:vAlign w:val="center"/>
            <w:hideMark/>
          </w:tcPr>
          <w:p w14:paraId="2FF670C6" w14:textId="77777777" w:rsidR="007A4DE6" w:rsidRPr="00355CD8" w:rsidRDefault="007A4DE6" w:rsidP="00355CD8">
            <w:pPr>
              <w:spacing w:line="360" w:lineRule="auto"/>
              <w:jc w:val="both"/>
              <w:rPr>
                <w:rFonts w:ascii="Arial" w:hAnsi="Arial" w:cs="Arial"/>
              </w:rPr>
            </w:pPr>
            <w:proofErr w:type="gramStart"/>
            <w:r w:rsidRPr="00355CD8">
              <w:rPr>
                <w:rFonts w:ascii="Arial" w:hAnsi="Arial" w:cs="Arial"/>
              </w:rPr>
              <w:t>Examines</w:t>
            </w:r>
            <w:proofErr w:type="gramEnd"/>
            <w:r w:rsidRPr="00355CD8">
              <w:rPr>
                <w:rFonts w:ascii="Arial" w:hAnsi="Arial" w:cs="Arial"/>
              </w:rPr>
              <w:t xml:space="preserve"> effectiveness of HR strategies under immigration restrictions</w:t>
            </w:r>
          </w:p>
        </w:tc>
        <w:tc>
          <w:tcPr>
            <w:tcW w:w="0" w:type="auto"/>
            <w:tcMar>
              <w:top w:w="150" w:type="dxa"/>
              <w:left w:w="240" w:type="dxa"/>
              <w:bottom w:w="150" w:type="dxa"/>
              <w:right w:w="0" w:type="dxa"/>
            </w:tcMar>
            <w:vAlign w:val="center"/>
            <w:hideMark/>
          </w:tcPr>
          <w:p w14:paraId="1C512C1B" w14:textId="77777777" w:rsidR="007A4DE6" w:rsidRPr="00355CD8" w:rsidRDefault="007A4DE6" w:rsidP="00355CD8">
            <w:pPr>
              <w:spacing w:line="360" w:lineRule="auto"/>
              <w:jc w:val="both"/>
              <w:rPr>
                <w:rFonts w:ascii="Arial" w:hAnsi="Arial" w:cs="Arial"/>
              </w:rPr>
            </w:pPr>
            <w:r w:rsidRPr="00355CD8">
              <w:rPr>
                <w:rFonts w:ascii="Arial" w:hAnsi="Arial" w:cs="Arial"/>
              </w:rPr>
              <w:t>Policy and Practice</w:t>
            </w:r>
          </w:p>
        </w:tc>
      </w:tr>
    </w:tbl>
    <w:p w14:paraId="1ABE389A" w14:textId="77777777" w:rsidR="00334AAE" w:rsidRPr="00355CD8" w:rsidRDefault="00334AAE" w:rsidP="00355CD8">
      <w:pPr>
        <w:spacing w:line="360" w:lineRule="auto"/>
        <w:jc w:val="both"/>
        <w:rPr>
          <w:rFonts w:ascii="Arial" w:hAnsi="Arial" w:cs="Arial"/>
        </w:rPr>
      </w:pPr>
    </w:p>
    <w:p w14:paraId="39AFC64B" w14:textId="04ADCDD6" w:rsidR="007A4DE6" w:rsidRPr="00355CD8" w:rsidRDefault="007A4DE6" w:rsidP="00355CD8">
      <w:pPr>
        <w:spacing w:line="360" w:lineRule="auto"/>
        <w:jc w:val="both"/>
        <w:rPr>
          <w:rFonts w:ascii="Arial" w:hAnsi="Arial" w:cs="Arial"/>
        </w:rPr>
      </w:pPr>
      <w:r w:rsidRPr="00355CD8">
        <w:rPr>
          <w:rFonts w:ascii="Arial" w:hAnsi="Arial" w:cs="Arial"/>
        </w:rPr>
        <w:t>This integrated contribution – theoretical, empirical, policy, and practical – positions this study as a significant advancement in understanding the relationship between UK immigration policy and human capital sustainability among migrant healthcare support workers.</w:t>
      </w:r>
    </w:p>
    <w:p w14:paraId="2756F102" w14:textId="77777777" w:rsidR="007A4DE6" w:rsidRPr="00355CD8" w:rsidRDefault="007A4DE6" w:rsidP="00782586">
      <w:pPr>
        <w:pStyle w:val="Heading3"/>
      </w:pPr>
      <w:bookmarkStart w:id="45" w:name="_Toc238200141"/>
      <w:r w:rsidRPr="00355CD8">
        <w:t>2.9.3 Conceptual Framework</w:t>
      </w:r>
      <w:bookmarkEnd w:id="45"/>
    </w:p>
    <w:p w14:paraId="4D689153" w14:textId="77777777" w:rsidR="007A4DE6" w:rsidRPr="00355CD8" w:rsidRDefault="007A4DE6" w:rsidP="00355CD8">
      <w:pPr>
        <w:spacing w:line="360" w:lineRule="auto"/>
        <w:jc w:val="both"/>
        <w:rPr>
          <w:rFonts w:ascii="Arial" w:hAnsi="Arial" w:cs="Arial"/>
        </w:rPr>
      </w:pPr>
      <w:r w:rsidRPr="00355CD8">
        <w:rPr>
          <w:rFonts w:ascii="Arial" w:hAnsi="Arial" w:cs="Arial"/>
        </w:rPr>
        <w:t>Based on the literature review, the following conceptual framework guides this study:</w:t>
      </w:r>
    </w:p>
    <w:p w14:paraId="30153766" w14:textId="657E5B39" w:rsidR="00577E27" w:rsidRPr="004E0015" w:rsidRDefault="00577E27" w:rsidP="00577E27">
      <w:pPr>
        <w:pStyle w:val="Caption"/>
        <w:keepNext/>
        <w:jc w:val="both"/>
        <w:rPr>
          <w:sz w:val="28"/>
          <w:szCs w:val="28"/>
        </w:rPr>
      </w:pPr>
      <w:bookmarkStart w:id="46" w:name="_Toc238205987"/>
      <w:r w:rsidRPr="004E0015">
        <w:rPr>
          <w:sz w:val="28"/>
          <w:szCs w:val="28"/>
        </w:rPr>
        <w:lastRenderedPageBreak/>
        <w:t xml:space="preserve">Figure </w:t>
      </w:r>
      <w:r w:rsidRPr="004E0015">
        <w:rPr>
          <w:sz w:val="28"/>
          <w:szCs w:val="28"/>
        </w:rPr>
        <w:fldChar w:fldCharType="begin"/>
      </w:r>
      <w:r w:rsidRPr="004E0015">
        <w:rPr>
          <w:sz w:val="28"/>
          <w:szCs w:val="28"/>
        </w:rPr>
        <w:instrText xml:space="preserve"> SEQ Figure \* ARABIC </w:instrText>
      </w:r>
      <w:r w:rsidRPr="004E0015">
        <w:rPr>
          <w:sz w:val="28"/>
          <w:szCs w:val="28"/>
        </w:rPr>
        <w:fldChar w:fldCharType="separate"/>
      </w:r>
      <w:r w:rsidR="00B70586" w:rsidRPr="004E0015">
        <w:rPr>
          <w:noProof/>
          <w:sz w:val="28"/>
          <w:szCs w:val="28"/>
        </w:rPr>
        <w:t>1</w:t>
      </w:r>
      <w:bookmarkEnd w:id="46"/>
      <w:r w:rsidRPr="004E0015">
        <w:rPr>
          <w:sz w:val="28"/>
          <w:szCs w:val="28"/>
        </w:rPr>
        <w:fldChar w:fldCharType="end"/>
      </w:r>
    </w:p>
    <w:p w14:paraId="3F9BEE73" w14:textId="77777777" w:rsidR="007A4DE6" w:rsidRPr="00355CD8" w:rsidRDefault="007A4DE6" w:rsidP="00355CD8">
      <w:pPr>
        <w:spacing w:line="360" w:lineRule="auto"/>
        <w:jc w:val="both"/>
        <w:rPr>
          <w:rFonts w:ascii="Arial" w:hAnsi="Arial" w:cs="Arial"/>
        </w:rPr>
      </w:pPr>
      <w:r w:rsidRPr="00355CD8">
        <w:rPr>
          <w:rFonts w:ascii="Arial" w:hAnsi="Arial" w:cs="Arial"/>
          <w:noProof/>
          <w:color w:val="EE0000"/>
        </w:rPr>
        <w:drawing>
          <wp:inline distT="0" distB="0" distL="0" distR="0" wp14:anchorId="0B67533A" wp14:editId="15F08A0D">
            <wp:extent cx="4959350" cy="6756400"/>
            <wp:effectExtent l="57150" t="57150" r="50800" b="63500"/>
            <wp:docPr id="1596056238"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EC9D8C5" w14:textId="37B4106E" w:rsidR="007A4DE6" w:rsidRPr="00355CD8" w:rsidRDefault="007A4DE6" w:rsidP="00355CD8">
      <w:pPr>
        <w:spacing w:line="360" w:lineRule="auto"/>
        <w:jc w:val="both"/>
        <w:rPr>
          <w:rFonts w:ascii="Arial" w:hAnsi="Arial" w:cs="Arial"/>
        </w:rPr>
      </w:pPr>
      <w:r w:rsidRPr="00355CD8">
        <w:rPr>
          <w:rFonts w:ascii="Arial" w:hAnsi="Arial" w:cs="Arial"/>
        </w:rPr>
        <w:t xml:space="preserve">This framework posits that immigration policy changes (independent variable) lead to resource threats for migrant workers, which in turn cause stress and withdrawal </w:t>
      </w:r>
      <w:proofErr w:type="spellStart"/>
      <w:r w:rsidRPr="00355CD8">
        <w:rPr>
          <w:rFonts w:ascii="Arial" w:hAnsi="Arial" w:cs="Arial"/>
        </w:rPr>
        <w:t>behaviour</w:t>
      </w:r>
      <w:proofErr w:type="spellEnd"/>
      <w:r w:rsidRPr="00355CD8">
        <w:rPr>
          <w:rFonts w:ascii="Arial" w:hAnsi="Arial" w:cs="Arial"/>
        </w:rPr>
        <w:t xml:space="preserve"> (COR Theory). This withdrawal leads to a loss of specific human capital (Human Capital </w:t>
      </w:r>
      <w:r w:rsidRPr="00355CD8">
        <w:rPr>
          <w:rFonts w:ascii="Arial" w:hAnsi="Arial" w:cs="Arial"/>
        </w:rPr>
        <w:lastRenderedPageBreak/>
        <w:t>Theory), which ultimately results in a decline in both social and economic sustainability (TBL framework). HR strategies may moderate these effects by mitigating the impact of resource threats and supporting workforce retention. The framework will be tested empirically using quantitative data on visa grant rates, outflow profiles, and workforce turnover statistics.</w:t>
      </w:r>
    </w:p>
    <w:p w14:paraId="708DC771" w14:textId="77777777" w:rsidR="007A4DE6" w:rsidRPr="00355CD8" w:rsidRDefault="007A4DE6" w:rsidP="0028475F">
      <w:pPr>
        <w:pStyle w:val="Heading2"/>
      </w:pPr>
      <w:bookmarkStart w:id="47" w:name="_Toc238200142"/>
      <w:r w:rsidRPr="00355CD8">
        <w:t>2.10 Chapter Summary</w:t>
      </w:r>
      <w:bookmarkEnd w:id="47"/>
    </w:p>
    <w:p w14:paraId="0A293E01"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This chapter has provided a comprehensive review of </w:t>
      </w:r>
      <w:proofErr w:type="gramStart"/>
      <w:r w:rsidRPr="00355CD8">
        <w:rPr>
          <w:rFonts w:ascii="Arial" w:hAnsi="Arial" w:cs="Arial"/>
        </w:rPr>
        <w:t>the literature</w:t>
      </w:r>
      <w:proofErr w:type="gramEnd"/>
      <w:r w:rsidRPr="00355CD8">
        <w:rPr>
          <w:rFonts w:ascii="Arial" w:hAnsi="Arial" w:cs="Arial"/>
        </w:rPr>
        <w:t xml:space="preserve"> relevant to the impact of UK immigration policy changes on human capital sustainability among migrant healthcare support workers. Three theoretical frameworks – Human Capital Theory, TBL, and COR Theory – have been examined and integrated into a unified analytical model.</w:t>
      </w:r>
    </w:p>
    <w:p w14:paraId="6B3C5AE4" w14:textId="54BDBEB1" w:rsidR="007A4DE6" w:rsidRPr="00355CD8" w:rsidRDefault="007A4DE6" w:rsidP="00355CD8">
      <w:pPr>
        <w:spacing w:line="360" w:lineRule="auto"/>
        <w:jc w:val="both"/>
        <w:rPr>
          <w:rFonts w:ascii="Arial" w:hAnsi="Arial" w:cs="Arial"/>
        </w:rPr>
      </w:pPr>
      <w:r w:rsidRPr="00355CD8">
        <w:rPr>
          <w:rFonts w:ascii="Arial" w:hAnsi="Arial" w:cs="Arial"/>
        </w:rPr>
        <w:t xml:space="preserve">Human Capital Theory explains the economic cost of losing migrant workers who possess specific knowledge of NHS protocols, local patient populations, and team dynamics – knowledge that is costly to replace and retrain (Becker, 1964; </w:t>
      </w:r>
      <w:proofErr w:type="spellStart"/>
      <w:r w:rsidRPr="00355CD8">
        <w:rPr>
          <w:rFonts w:ascii="Arial" w:hAnsi="Arial" w:cs="Arial"/>
        </w:rPr>
        <w:t>Slaus</w:t>
      </w:r>
      <w:proofErr w:type="spellEnd"/>
      <w:r w:rsidRPr="00355CD8">
        <w:rPr>
          <w:rFonts w:ascii="Arial" w:hAnsi="Arial" w:cs="Arial"/>
        </w:rPr>
        <w:t xml:space="preserve"> and Jacobs, 2011). COR Theory explains the mechanism of worker withdrawal – resource threat leading to stress and exit (</w:t>
      </w:r>
      <w:proofErr w:type="spellStart"/>
      <w:r w:rsidRPr="00355CD8">
        <w:rPr>
          <w:rFonts w:ascii="Arial" w:hAnsi="Arial" w:cs="Arial"/>
        </w:rPr>
        <w:t>Hobfoll</w:t>
      </w:r>
      <w:proofErr w:type="spellEnd"/>
      <w:r w:rsidRPr="00355CD8">
        <w:rPr>
          <w:rFonts w:ascii="Arial" w:hAnsi="Arial" w:cs="Arial"/>
        </w:rPr>
        <w:t xml:space="preserve">, 1989; </w:t>
      </w:r>
      <w:r w:rsidR="00061BD9">
        <w:rPr>
          <w:rFonts w:ascii="Arial" w:hAnsi="Arial" w:cs="Arial"/>
        </w:rPr>
        <w:t>Lee,</w:t>
      </w:r>
      <w:r w:rsidRPr="00355CD8">
        <w:rPr>
          <w:rFonts w:ascii="Arial" w:hAnsi="Arial" w:cs="Arial"/>
        </w:rPr>
        <w:t xml:space="preserve"> 2015). TBL provides a framework for measuring the social and economic consequences (</w:t>
      </w:r>
      <w:proofErr w:type="spellStart"/>
      <w:r w:rsidRPr="00355CD8">
        <w:rPr>
          <w:rFonts w:ascii="Arial" w:hAnsi="Arial" w:cs="Arial"/>
        </w:rPr>
        <w:t>Alhaddi</w:t>
      </w:r>
      <w:proofErr w:type="spellEnd"/>
      <w:r w:rsidRPr="00355CD8">
        <w:rPr>
          <w:rFonts w:ascii="Arial" w:hAnsi="Arial" w:cs="Arial"/>
        </w:rPr>
        <w:t>, 2015).</w:t>
      </w:r>
    </w:p>
    <w:p w14:paraId="0577D551" w14:textId="77777777" w:rsidR="007A4DE6" w:rsidRPr="00355CD8" w:rsidRDefault="007A4DE6" w:rsidP="00355CD8">
      <w:pPr>
        <w:spacing w:line="360" w:lineRule="auto"/>
        <w:jc w:val="both"/>
        <w:rPr>
          <w:rFonts w:ascii="Arial" w:hAnsi="Arial" w:cs="Arial"/>
        </w:rPr>
      </w:pPr>
      <w:r w:rsidRPr="00355CD8">
        <w:rPr>
          <w:rFonts w:ascii="Arial" w:hAnsi="Arial" w:cs="Arial"/>
        </w:rPr>
        <w:t xml:space="preserve">The chapter has also detailed the significant immigration policy changes between 2020 and 2026, including the closure of overseas recruitment for care workers (July 2025), the increase in the skill threshold to RQF Level 6, the restrictions on </w:t>
      </w:r>
      <w:proofErr w:type="spellStart"/>
      <w:r w:rsidRPr="00355CD8">
        <w:rPr>
          <w:rFonts w:ascii="Arial" w:hAnsi="Arial" w:cs="Arial"/>
        </w:rPr>
        <w:t>dependant</w:t>
      </w:r>
      <w:proofErr w:type="spellEnd"/>
      <w:r w:rsidRPr="00355CD8">
        <w:rPr>
          <w:rFonts w:ascii="Arial" w:hAnsi="Arial" w:cs="Arial"/>
        </w:rPr>
        <w:t xml:space="preserve"> visas, and the proposed 'Earned Settlement' system. The empirical evidence on the impact of these changes – including the 81% decline in Health and Care Worker visas, the 78% decline in </w:t>
      </w:r>
      <w:proofErr w:type="spellStart"/>
      <w:r w:rsidRPr="00355CD8">
        <w:rPr>
          <w:rFonts w:ascii="Arial" w:hAnsi="Arial" w:cs="Arial"/>
        </w:rPr>
        <w:t>dependant</w:t>
      </w:r>
      <w:proofErr w:type="spellEnd"/>
      <w:r w:rsidRPr="00355CD8">
        <w:rPr>
          <w:rFonts w:ascii="Arial" w:hAnsi="Arial" w:cs="Arial"/>
        </w:rPr>
        <w:t xml:space="preserve"> visas, and the 33% increase in internationally educated nurses leaving the NMC register – has been reviewed.</w:t>
      </w:r>
    </w:p>
    <w:p w14:paraId="613F3AE6" w14:textId="77777777" w:rsidR="007A4DE6" w:rsidRPr="00355CD8" w:rsidRDefault="007A4DE6" w:rsidP="00355CD8">
      <w:pPr>
        <w:spacing w:line="360" w:lineRule="auto"/>
        <w:jc w:val="both"/>
        <w:rPr>
          <w:rFonts w:ascii="Arial" w:hAnsi="Arial" w:cs="Arial"/>
        </w:rPr>
      </w:pPr>
      <w:r w:rsidRPr="00355CD8">
        <w:rPr>
          <w:rFonts w:ascii="Arial" w:hAnsi="Arial" w:cs="Arial"/>
        </w:rPr>
        <w:t>The review has identified five key research gaps: the neglect of healthcare support workers in the literature; the limited empirical evidence on post</w:t>
      </w:r>
      <w:r w:rsidRPr="00355CD8">
        <w:rPr>
          <w:rFonts w:ascii="Arial" w:hAnsi="Arial" w:cs="Arial"/>
        </w:rPr>
        <w:noBreakHyphen/>
        <w:t xml:space="preserve">2020 immigration reforms; the uncertainty around domestic upskilling as a substitute for migrant </w:t>
      </w:r>
      <w:proofErr w:type="spellStart"/>
      <w:r w:rsidRPr="00355CD8">
        <w:rPr>
          <w:rFonts w:ascii="Arial" w:hAnsi="Arial" w:cs="Arial"/>
        </w:rPr>
        <w:t>labour</w:t>
      </w:r>
      <w:proofErr w:type="spellEnd"/>
      <w:r w:rsidRPr="00355CD8">
        <w:rPr>
          <w:rFonts w:ascii="Arial" w:hAnsi="Arial" w:cs="Arial"/>
        </w:rPr>
        <w:t>; the lack of UK</w:t>
      </w:r>
      <w:r w:rsidRPr="00355CD8">
        <w:rPr>
          <w:rFonts w:ascii="Arial" w:hAnsi="Arial" w:cs="Arial"/>
        </w:rPr>
        <w:noBreakHyphen/>
        <w:t>nation comparisons; and the limited empirical evidence on the effectiveness of HR strategies under immigration restrictions.</w:t>
      </w:r>
    </w:p>
    <w:p w14:paraId="51C3656A" w14:textId="77777777" w:rsidR="007A4DE6" w:rsidRPr="00355CD8" w:rsidRDefault="007A4DE6" w:rsidP="00355CD8">
      <w:pPr>
        <w:spacing w:line="360" w:lineRule="auto"/>
        <w:jc w:val="both"/>
        <w:rPr>
          <w:rFonts w:ascii="Arial" w:hAnsi="Arial" w:cs="Arial"/>
        </w:rPr>
      </w:pPr>
      <w:r w:rsidRPr="00355CD8">
        <w:rPr>
          <w:rFonts w:ascii="Arial" w:hAnsi="Arial" w:cs="Arial"/>
        </w:rPr>
        <w:lastRenderedPageBreak/>
        <w:t>This study addresses these gaps by providing the first empirical, quantitative evaluation of the post</w:t>
      </w:r>
      <w:r w:rsidRPr="00355CD8">
        <w:rPr>
          <w:rFonts w:ascii="Arial" w:hAnsi="Arial" w:cs="Arial"/>
        </w:rPr>
        <w:noBreakHyphen/>
        <w:t xml:space="preserve">2020 immigration reforms on migrant healthcare support workers; by empirically testing the integrated application of Human Capital Theory, COR Theory, and the TBL framework; by examining whether </w:t>
      </w:r>
      <w:proofErr w:type="spellStart"/>
      <w:r w:rsidRPr="00355CD8">
        <w:rPr>
          <w:rFonts w:ascii="Arial" w:hAnsi="Arial" w:cs="Arial"/>
        </w:rPr>
        <w:t>organisational</w:t>
      </w:r>
      <w:proofErr w:type="spellEnd"/>
      <w:r w:rsidRPr="00355CD8">
        <w:rPr>
          <w:rFonts w:ascii="Arial" w:hAnsi="Arial" w:cs="Arial"/>
        </w:rPr>
        <w:t xml:space="preserve"> responses – such as training, career progression, and retention strategies – can effectively sustain the workforce under immigration restrictions; and by offering evidence</w:t>
      </w:r>
      <w:r w:rsidRPr="00355CD8">
        <w:rPr>
          <w:rFonts w:ascii="Arial" w:hAnsi="Arial" w:cs="Arial"/>
        </w:rPr>
        <w:noBreakHyphen/>
        <w:t xml:space="preserve">based recommendations for policymakers and healthcare </w:t>
      </w:r>
      <w:proofErr w:type="spellStart"/>
      <w:r w:rsidRPr="00355CD8">
        <w:rPr>
          <w:rFonts w:ascii="Arial" w:hAnsi="Arial" w:cs="Arial"/>
        </w:rPr>
        <w:t>organisations</w:t>
      </w:r>
      <w:proofErr w:type="spellEnd"/>
      <w:r w:rsidRPr="00355CD8">
        <w:rPr>
          <w:rFonts w:ascii="Arial" w:hAnsi="Arial" w:cs="Arial"/>
        </w:rPr>
        <w:t>. The conceptual framework presented in Section 2.9.3 will guide empirical analysis in subsequent chapters, providing a structured approach to testing the predicted relationships between policy changes, resource threats, loss of human capital, sustainability decline, and the moderating role of HR strategies.</w:t>
      </w:r>
    </w:p>
    <w:p w14:paraId="1D33CB49" w14:textId="2CE6EBC5" w:rsidR="00D3585A" w:rsidRPr="00355CD8" w:rsidRDefault="00D3585A" w:rsidP="0028475F">
      <w:pPr>
        <w:pStyle w:val="Heading1"/>
      </w:pPr>
      <w:bookmarkStart w:id="48" w:name="_Toc235978085"/>
      <w:bookmarkStart w:id="49" w:name="_Toc235978650"/>
      <w:bookmarkStart w:id="50" w:name="_Toc238200143"/>
      <w:r w:rsidRPr="00355CD8">
        <w:t>Chapter 3: Research Methodology</w:t>
      </w:r>
      <w:bookmarkEnd w:id="48"/>
      <w:bookmarkEnd w:id="49"/>
      <w:bookmarkEnd w:id="50"/>
    </w:p>
    <w:p w14:paraId="670A7C3E" w14:textId="77777777" w:rsidR="00D3585A" w:rsidRPr="00355CD8" w:rsidRDefault="00D3585A" w:rsidP="0028475F">
      <w:pPr>
        <w:pStyle w:val="Heading2"/>
      </w:pPr>
      <w:bookmarkStart w:id="51" w:name="_Toc235978086"/>
      <w:bookmarkStart w:id="52" w:name="_Toc235978651"/>
      <w:bookmarkStart w:id="53" w:name="_Toc238200144"/>
      <w:r w:rsidRPr="00355CD8">
        <w:t>3.1 Introduction</w:t>
      </w:r>
      <w:bookmarkEnd w:id="51"/>
      <w:bookmarkEnd w:id="52"/>
      <w:bookmarkEnd w:id="53"/>
    </w:p>
    <w:p w14:paraId="184D56BA" w14:textId="77777777" w:rsidR="00D3585A" w:rsidRPr="00355CD8" w:rsidRDefault="00D3585A" w:rsidP="00355CD8">
      <w:pPr>
        <w:spacing w:line="360" w:lineRule="auto"/>
        <w:jc w:val="both"/>
        <w:rPr>
          <w:rFonts w:ascii="Arial" w:hAnsi="Arial" w:cs="Arial"/>
        </w:rPr>
      </w:pPr>
      <w:r w:rsidRPr="00355CD8">
        <w:rPr>
          <w:rFonts w:ascii="Arial" w:hAnsi="Arial" w:cs="Arial"/>
        </w:rPr>
        <w:t>This chapter presents and justifies the research methodology adopted for this study. The methodology serves as the bridge between the theoretical framework developed in Chapter 2 and the empirical analysis presented in Chapter 4. It provides a detailed account of the research philosophy, research design, research approach, data collection methods, data analysis techniques, ethical considerations, and limitations of the study.</w:t>
      </w:r>
    </w:p>
    <w:p w14:paraId="6A04EF3D" w14:textId="77777777" w:rsidR="00D3585A" w:rsidRPr="00355CD8" w:rsidRDefault="00D3585A" w:rsidP="00355CD8">
      <w:pPr>
        <w:spacing w:line="360" w:lineRule="auto"/>
        <w:jc w:val="both"/>
        <w:rPr>
          <w:rFonts w:ascii="Arial" w:hAnsi="Arial" w:cs="Arial"/>
        </w:rPr>
      </w:pPr>
      <w:r w:rsidRPr="00355CD8">
        <w:rPr>
          <w:rFonts w:ascii="Arial" w:hAnsi="Arial" w:cs="Arial"/>
        </w:rPr>
        <w:t>The chapter is structured as follows. Section 3.2 discusses the research philosophy, explaining the positivist approach adopted and justifying its choice over alternative philosophies. Section 3.3 describes the research design, outlining the secondary quantitative longitudinal approach and its justification. Section 3.4 explains the research approach, justifying the deductive, quantitative approach. Section 3.5 details the data collection methods, including the specific sources of secondary data and the rationale for their selection. Section 3.6 explains the data analysis techniques, including descriptive statistics and multiple regression analysis, with justification for their use. Section 3.7 addresses ethical considerations, confirming compliance with UWTSD ethical guidelines. Section 3.8 discusses the limitations of the methodology and the strategies employed to mitigate them. Section 3.9 provides a summary of the chapter.</w:t>
      </w:r>
    </w:p>
    <w:p w14:paraId="5A5AF6E9" w14:textId="77777777" w:rsidR="00D3585A" w:rsidRPr="00355CD8" w:rsidRDefault="00D3585A" w:rsidP="00355CD8">
      <w:pPr>
        <w:spacing w:line="360" w:lineRule="auto"/>
        <w:jc w:val="both"/>
        <w:rPr>
          <w:rFonts w:ascii="Arial" w:hAnsi="Arial" w:cs="Arial"/>
        </w:rPr>
      </w:pPr>
    </w:p>
    <w:p w14:paraId="6EBF3D3B" w14:textId="77777777" w:rsidR="00D3585A" w:rsidRPr="00355CD8" w:rsidRDefault="00D3585A" w:rsidP="0028475F">
      <w:pPr>
        <w:pStyle w:val="Heading2"/>
      </w:pPr>
      <w:bookmarkStart w:id="54" w:name="_Toc235978087"/>
      <w:bookmarkStart w:id="55" w:name="_Toc235978652"/>
      <w:bookmarkStart w:id="56" w:name="_Toc238200145"/>
      <w:r w:rsidRPr="00355CD8">
        <w:t>3.2 Research Philosophy</w:t>
      </w:r>
      <w:bookmarkEnd w:id="54"/>
      <w:bookmarkEnd w:id="55"/>
      <w:bookmarkEnd w:id="56"/>
    </w:p>
    <w:p w14:paraId="399CF28D" w14:textId="77777777" w:rsidR="00D3585A" w:rsidRPr="00355CD8" w:rsidRDefault="00D3585A" w:rsidP="0028475F">
      <w:pPr>
        <w:pStyle w:val="Heading3"/>
      </w:pPr>
      <w:bookmarkStart w:id="57" w:name="_Toc235978088"/>
      <w:bookmarkStart w:id="58" w:name="_Toc235978653"/>
      <w:bookmarkStart w:id="59" w:name="_Toc238200146"/>
      <w:r w:rsidRPr="00355CD8">
        <w:t>3.2.1 Understanding Research Philosophy</w:t>
      </w:r>
      <w:bookmarkEnd w:id="57"/>
      <w:bookmarkEnd w:id="58"/>
      <w:bookmarkEnd w:id="59"/>
    </w:p>
    <w:p w14:paraId="5511D746" w14:textId="77777777" w:rsidR="00D3585A" w:rsidRPr="00355CD8" w:rsidRDefault="00D3585A" w:rsidP="00355CD8">
      <w:pPr>
        <w:spacing w:line="360" w:lineRule="auto"/>
        <w:jc w:val="both"/>
        <w:rPr>
          <w:rFonts w:ascii="Arial" w:hAnsi="Arial" w:cs="Arial"/>
        </w:rPr>
      </w:pPr>
      <w:r w:rsidRPr="00355CD8">
        <w:rPr>
          <w:rFonts w:ascii="Arial" w:hAnsi="Arial" w:cs="Arial"/>
        </w:rPr>
        <w:t>Research philosophy refers to the system of beliefs and assumptions about the development of knowledge (Saunders, Lewis and Thornhill, 2023). It encompasses the researcher's worldview, including their assumptions about the nature of reality (ontology), the nature of knowledge and how it can be acquired (epistemology), and the role of values in research (axiology). These philosophical assumptions underpin every aspect of the research process, from the formulation of research questions to the interpretation of findings.</w:t>
      </w:r>
    </w:p>
    <w:p w14:paraId="287C8048" w14:textId="77777777" w:rsidR="00D3585A" w:rsidRPr="00355CD8" w:rsidRDefault="00D3585A" w:rsidP="00355CD8">
      <w:pPr>
        <w:spacing w:line="360" w:lineRule="auto"/>
        <w:jc w:val="both"/>
        <w:rPr>
          <w:rFonts w:ascii="Arial" w:hAnsi="Arial" w:cs="Arial"/>
        </w:rPr>
      </w:pPr>
      <w:r w:rsidRPr="00355CD8">
        <w:rPr>
          <w:rFonts w:ascii="Arial" w:hAnsi="Arial" w:cs="Arial"/>
        </w:rPr>
        <w:t>Saunders, Lewis and Thornhill (2023) identify five main research philosophies: positivism, critical realism, interpretivism, postmodernism, and pragmatism. Each philosophy reflects different assumptions about the nature of knowledge and the appropriate methods for acquiring it. The choice of research philosophy is not merely a technical decision but reflects the researcher's worldview and the nature of the research problem being investigated.</w:t>
      </w:r>
    </w:p>
    <w:p w14:paraId="4B521A8E" w14:textId="77777777" w:rsidR="00D3585A" w:rsidRPr="00355CD8" w:rsidRDefault="00D3585A" w:rsidP="0028475F">
      <w:pPr>
        <w:pStyle w:val="Heading3"/>
      </w:pPr>
      <w:bookmarkStart w:id="60" w:name="_Toc235978089"/>
      <w:bookmarkStart w:id="61" w:name="_Toc235978654"/>
      <w:bookmarkStart w:id="62" w:name="_Toc238200147"/>
      <w:r w:rsidRPr="00355CD8">
        <w:t>3.2.2 Positivism</w:t>
      </w:r>
      <w:bookmarkEnd w:id="60"/>
      <w:bookmarkEnd w:id="61"/>
      <w:bookmarkEnd w:id="62"/>
    </w:p>
    <w:p w14:paraId="27D18F9B" w14:textId="77777777" w:rsidR="00D3585A" w:rsidRPr="00355CD8" w:rsidRDefault="00D3585A" w:rsidP="00355CD8">
      <w:pPr>
        <w:spacing w:line="360" w:lineRule="auto"/>
        <w:jc w:val="both"/>
        <w:rPr>
          <w:rFonts w:ascii="Arial" w:hAnsi="Arial" w:cs="Arial"/>
        </w:rPr>
      </w:pPr>
      <w:r w:rsidRPr="00355CD8">
        <w:rPr>
          <w:rFonts w:ascii="Arial" w:hAnsi="Arial" w:cs="Arial"/>
        </w:rPr>
        <w:t>This study adopts a positivist research philosophy. Positivism asserts that reality is objective, measurable, and exists independently of human perception (Saunders, Lewis and Thornhill, 2023). Knowledge is discovered through empirical observation and scientific methods, using rigorous, systematic procedures to generate reliable and valid findings. The researcher remains independent of the subject matter, maintaining objectivity and neutrality throughout the research process.</w:t>
      </w:r>
    </w:p>
    <w:p w14:paraId="2D7EF4DE"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The key assumptions of positivism relate to ontology, epistemology, axiology, and methodology. Ontologically, positivism assumes a realist position – there is a single, tangible reality that can be studied objectively. This study assumes that the impact of immigration policy on workforce sustainability is an objective reality that can be measured through numerical data and statistical analysis. Epistemologically, positivism adopts an objectivist stance – knowledge is valid if it is derived from observable, measurable facts. </w:t>
      </w:r>
      <w:r w:rsidRPr="00355CD8">
        <w:rPr>
          <w:rFonts w:ascii="Arial" w:hAnsi="Arial" w:cs="Arial"/>
        </w:rPr>
        <w:lastRenderedPageBreak/>
        <w:t xml:space="preserve">This study relies on official statistics from the Home Office, ONS, and Skills for Care – data that are collected and published using </w:t>
      </w:r>
      <w:proofErr w:type="spellStart"/>
      <w:r w:rsidRPr="00355CD8">
        <w:rPr>
          <w:rFonts w:ascii="Arial" w:hAnsi="Arial" w:cs="Arial"/>
        </w:rPr>
        <w:t>standardised</w:t>
      </w:r>
      <w:proofErr w:type="spellEnd"/>
      <w:r w:rsidRPr="00355CD8">
        <w:rPr>
          <w:rFonts w:ascii="Arial" w:hAnsi="Arial" w:cs="Arial"/>
        </w:rPr>
        <w:t>, rigorous methodologies. Axiologically, positivism requires the researcher to remain value</w:t>
      </w:r>
      <w:r w:rsidRPr="00355CD8">
        <w:rPr>
          <w:rFonts w:ascii="Arial" w:hAnsi="Arial" w:cs="Arial"/>
        </w:rPr>
        <w:noBreakHyphen/>
        <w:t xml:space="preserve">free and independent of the subject matter. In this study, the researcher does not influence the data or the </w:t>
      </w:r>
      <w:proofErr w:type="gramStart"/>
      <w:r w:rsidRPr="00355CD8">
        <w:rPr>
          <w:rFonts w:ascii="Arial" w:hAnsi="Arial" w:cs="Arial"/>
        </w:rPr>
        <w:t>outcomes, but</w:t>
      </w:r>
      <w:proofErr w:type="gramEnd"/>
      <w:r w:rsidRPr="00355CD8">
        <w:rPr>
          <w:rFonts w:ascii="Arial" w:hAnsi="Arial" w:cs="Arial"/>
        </w:rPr>
        <w:t xml:space="preserve"> analyses existing quantitative datasets objectively. Methodologically, positivism </w:t>
      </w:r>
      <w:proofErr w:type="spellStart"/>
      <w:r w:rsidRPr="00355CD8">
        <w:rPr>
          <w:rFonts w:ascii="Arial" w:hAnsi="Arial" w:cs="Arial"/>
        </w:rPr>
        <w:t>favours</w:t>
      </w:r>
      <w:proofErr w:type="spellEnd"/>
      <w:r w:rsidRPr="00355CD8">
        <w:rPr>
          <w:rFonts w:ascii="Arial" w:hAnsi="Arial" w:cs="Arial"/>
        </w:rPr>
        <w:t xml:space="preserve"> quantitative methods and statistical analysis. This study employs descriptive and inferential statistical techniques, including multiple regression, to examine associations between policy changes and workforce outcomes.</w:t>
      </w:r>
    </w:p>
    <w:p w14:paraId="7A84AE07"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Positivism is appropriate for this study for several reasons. The research questions seek to identify measurable relationships between policy changes and workforce outcomes, which aligns with the positivist emphasis on observable, quantifiable phenomena. The study relies exclusively on secondary quantitative data – official statistics that are objective and verifiable. The use of inferential statistical techniques, including regression analysis, is consistent with positivist assumptions about hypothesis testing. The positivist approach ensures that findings are replicable and </w:t>
      </w:r>
      <w:proofErr w:type="spellStart"/>
      <w:r w:rsidRPr="00355CD8">
        <w:rPr>
          <w:rFonts w:ascii="Arial" w:hAnsi="Arial" w:cs="Arial"/>
        </w:rPr>
        <w:t>generalisable</w:t>
      </w:r>
      <w:proofErr w:type="spellEnd"/>
      <w:r w:rsidRPr="00355CD8">
        <w:rPr>
          <w:rFonts w:ascii="Arial" w:hAnsi="Arial" w:cs="Arial"/>
        </w:rPr>
        <w:t>, which is important for informing evidence</w:t>
      </w:r>
      <w:r w:rsidRPr="00355CD8">
        <w:rPr>
          <w:rFonts w:ascii="Arial" w:hAnsi="Arial" w:cs="Arial"/>
        </w:rPr>
        <w:noBreakHyphen/>
        <w:t>based policy. Finally, positivism provides a clear, consistent, and defensible philosophical foundation for a quantitative study that does not involve primary data collection.</w:t>
      </w:r>
    </w:p>
    <w:p w14:paraId="4F154A63" w14:textId="77777777" w:rsidR="00D3585A" w:rsidRPr="00355CD8" w:rsidRDefault="00D3585A" w:rsidP="0028475F">
      <w:pPr>
        <w:pStyle w:val="Heading3"/>
      </w:pPr>
      <w:bookmarkStart w:id="63" w:name="_Toc235978090"/>
      <w:bookmarkStart w:id="64" w:name="_Toc235978655"/>
      <w:bookmarkStart w:id="65" w:name="_Toc238200148"/>
      <w:r w:rsidRPr="00355CD8">
        <w:t>3.2.3 Justification: Why Positivism Over Other Philosophies?</w:t>
      </w:r>
      <w:bookmarkEnd w:id="63"/>
      <w:bookmarkEnd w:id="64"/>
      <w:bookmarkEnd w:id="65"/>
    </w:p>
    <w:p w14:paraId="7ED39DF0" w14:textId="77777777" w:rsidR="00D3585A" w:rsidRPr="00355CD8" w:rsidRDefault="00D3585A" w:rsidP="00355CD8">
      <w:pPr>
        <w:spacing w:line="360" w:lineRule="auto"/>
        <w:jc w:val="both"/>
        <w:rPr>
          <w:rFonts w:ascii="Arial" w:hAnsi="Arial" w:cs="Arial"/>
        </w:rPr>
      </w:pPr>
      <w:r w:rsidRPr="00355CD8">
        <w:rPr>
          <w:rFonts w:ascii="Arial" w:hAnsi="Arial" w:cs="Arial"/>
        </w:rPr>
        <w:t>The choice of positivism requires justification, particularly in relation to the alternative philosophies that might have been adopted.</w:t>
      </w:r>
    </w:p>
    <w:p w14:paraId="175F088F"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Interpretivism assumes that reality is socially constructed and best understood through deep, subjective accounts – typically from primary data such as interviews, focus groups, or ethnography (Saunders, Lewis and Thornhill, 2023). Interpretivism </w:t>
      </w:r>
      <w:proofErr w:type="spellStart"/>
      <w:r w:rsidRPr="00355CD8">
        <w:rPr>
          <w:rFonts w:ascii="Arial" w:hAnsi="Arial" w:cs="Arial"/>
        </w:rPr>
        <w:t>emphasises</w:t>
      </w:r>
      <w:proofErr w:type="spellEnd"/>
      <w:r w:rsidRPr="00355CD8">
        <w:rPr>
          <w:rFonts w:ascii="Arial" w:hAnsi="Arial" w:cs="Arial"/>
        </w:rPr>
        <w:t xml:space="preserve"> understanding participants' meanings, experiences, and perspectives. This study does not collect primary data from participants. It relies on official statistics and policy documents – secondary data sources that are collected and published for administrative purposes. Interpretivism's focus on subjective meanings would be misaligned with the study's reliance on objective, numerical data. Moreover, the research questions seek to identify measurable associations between policy changes and workforce outcomes, </w:t>
      </w:r>
      <w:r w:rsidRPr="00355CD8">
        <w:rPr>
          <w:rFonts w:ascii="Arial" w:hAnsi="Arial" w:cs="Arial"/>
        </w:rPr>
        <w:lastRenderedPageBreak/>
        <w:t>rather than exploring individual experiences. Therefore, interpretivism is not appropriate for this study.</w:t>
      </w:r>
    </w:p>
    <w:p w14:paraId="33D81FE8"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Pragmatism asserts that research questions are the primary determinant of </w:t>
      </w:r>
      <w:proofErr w:type="gramStart"/>
      <w:r w:rsidRPr="00355CD8">
        <w:rPr>
          <w:rFonts w:ascii="Arial" w:hAnsi="Arial" w:cs="Arial"/>
        </w:rPr>
        <w:t>method</w:t>
      </w:r>
      <w:proofErr w:type="gramEnd"/>
      <w:r w:rsidRPr="00355CD8">
        <w:rPr>
          <w:rFonts w:ascii="Arial" w:hAnsi="Arial" w:cs="Arial"/>
        </w:rPr>
        <w:t xml:space="preserve"> and that researchers should use whatever methods are most effective for answering their questions, whether quantitative or qualitative (Saunders, Lewis and Thornhill, 2023). While pragmatism is a flexible and practical philosophy, it is most appropriate when research questions require mixed methods – combining quantitative and qualitative evidence. This study uses exclusively secondary quantitative data. There is no qualitative component. The university's guidance for this </w:t>
      </w:r>
      <w:proofErr w:type="spellStart"/>
      <w:r w:rsidRPr="00355CD8">
        <w:rPr>
          <w:rFonts w:ascii="Arial" w:hAnsi="Arial" w:cs="Arial"/>
        </w:rPr>
        <w:t>programme</w:t>
      </w:r>
      <w:proofErr w:type="spellEnd"/>
      <w:r w:rsidRPr="00355CD8">
        <w:rPr>
          <w:rFonts w:ascii="Arial" w:hAnsi="Arial" w:cs="Arial"/>
        </w:rPr>
        <w:t xml:space="preserve"> requires a single, consistent paradigm rather than a pragmatist 'mixing' approach. Therefore, pragmatism is not suitable for this study.</w:t>
      </w:r>
    </w:p>
    <w:p w14:paraId="054CC57A" w14:textId="77777777" w:rsidR="00D3585A" w:rsidRPr="00355CD8" w:rsidRDefault="00D3585A" w:rsidP="00355CD8">
      <w:pPr>
        <w:spacing w:line="360" w:lineRule="auto"/>
        <w:jc w:val="both"/>
        <w:rPr>
          <w:rFonts w:ascii="Arial" w:hAnsi="Arial" w:cs="Arial"/>
        </w:rPr>
      </w:pPr>
      <w:r w:rsidRPr="00355CD8">
        <w:rPr>
          <w:rFonts w:ascii="Arial" w:hAnsi="Arial" w:cs="Arial"/>
        </w:rPr>
        <w:t>Critical realism asserts that reality exists but cannot be perfectly known, acknowledging the role of bias and error in research (Saunders, Lewis and Thornhill, 2023). It is particularly suited to studies that seek to identify underlying causal mechanisms, often through a combination of quantitative and qualitative methods. This study's focus on measurable associations and statistical testing aligns more closely with positivism's assumptions about objectivity and measurement. Moreover, critical realism often requires in</w:t>
      </w:r>
      <w:r w:rsidRPr="00355CD8">
        <w:rPr>
          <w:rFonts w:ascii="Arial" w:hAnsi="Arial" w:cs="Arial"/>
        </w:rPr>
        <w:noBreakHyphen/>
        <w:t>depth case study analysis, which is not part of this research design.</w:t>
      </w:r>
    </w:p>
    <w:p w14:paraId="6D4083A7"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In summary, positivism is the most appropriate philosophy for this study because the research questions seek to identify measurable associations between policy changes and workforce outcomes; the study relies exclusively on secondary quantitative data that are objective and verifiable; the use of inferential statistical techniques, including regression, is consistent with positivist assumptions about hypothesis testing; the positivist approach ensures that findings are replicable and </w:t>
      </w:r>
      <w:proofErr w:type="spellStart"/>
      <w:r w:rsidRPr="00355CD8">
        <w:rPr>
          <w:rFonts w:ascii="Arial" w:hAnsi="Arial" w:cs="Arial"/>
        </w:rPr>
        <w:t>generalisable</w:t>
      </w:r>
      <w:proofErr w:type="spellEnd"/>
      <w:r w:rsidRPr="00355CD8">
        <w:rPr>
          <w:rFonts w:ascii="Arial" w:hAnsi="Arial" w:cs="Arial"/>
        </w:rPr>
        <w:t>, supporting evidence</w:t>
      </w:r>
      <w:r w:rsidRPr="00355CD8">
        <w:rPr>
          <w:rFonts w:ascii="Arial" w:hAnsi="Arial" w:cs="Arial"/>
        </w:rPr>
        <w:noBreakHyphen/>
        <w:t>based policymaking; and positivism provides a clear, consistent, and defensible philosophical foundation for a quantitative study that does not involve primary data collection.</w:t>
      </w:r>
    </w:p>
    <w:p w14:paraId="401B3E63" w14:textId="3D4C276B" w:rsidR="00D3585A" w:rsidRPr="00355CD8" w:rsidRDefault="00D3585A" w:rsidP="00355CD8">
      <w:pPr>
        <w:spacing w:line="360" w:lineRule="auto"/>
        <w:jc w:val="both"/>
        <w:rPr>
          <w:rFonts w:ascii="Arial" w:hAnsi="Arial" w:cs="Arial"/>
        </w:rPr>
      </w:pPr>
      <w:r w:rsidRPr="00355CD8">
        <w:rPr>
          <w:rFonts w:ascii="Arial" w:hAnsi="Arial" w:cs="Arial"/>
        </w:rPr>
        <w:t xml:space="preserve">While RQ1 and RQ4 involve interpretation of policy documents and the development of recommendations, both are grounded in the quantitative findings of this study. For RQ1, document analysis is used to extract </w:t>
      </w:r>
      <w:proofErr w:type="gramStart"/>
      <w:r w:rsidRPr="00355CD8">
        <w:rPr>
          <w:rFonts w:ascii="Arial" w:hAnsi="Arial" w:cs="Arial"/>
        </w:rPr>
        <w:t>factual information</w:t>
      </w:r>
      <w:proofErr w:type="gramEnd"/>
      <w:r w:rsidRPr="00355CD8">
        <w:rPr>
          <w:rFonts w:ascii="Arial" w:hAnsi="Arial" w:cs="Arial"/>
        </w:rPr>
        <w:t xml:space="preserve"> from official policy documents – the stated drivers for policy changes – rather than interpreting subjective meanings. This </w:t>
      </w:r>
      <w:r w:rsidRPr="00355CD8">
        <w:rPr>
          <w:rFonts w:ascii="Arial" w:hAnsi="Arial" w:cs="Arial"/>
        </w:rPr>
        <w:lastRenderedPageBreak/>
        <w:t>is consistent with a positivist approach focused on objective, verifiable evidence. For RQ4, the recommendations are evidence-based, derived from the regression results and workforce data, rather than subjective opinions. This approach ensures that the study remains grounded in objective, measurable evidence throughout.</w:t>
      </w:r>
    </w:p>
    <w:p w14:paraId="703522D8" w14:textId="77777777" w:rsidR="00D3585A" w:rsidRPr="00355CD8" w:rsidRDefault="00D3585A" w:rsidP="0028475F">
      <w:pPr>
        <w:pStyle w:val="Heading2"/>
      </w:pPr>
      <w:bookmarkStart w:id="66" w:name="_Toc235978091"/>
      <w:bookmarkStart w:id="67" w:name="_Toc235978656"/>
      <w:bookmarkStart w:id="68" w:name="_Toc238200149"/>
      <w:r w:rsidRPr="00355CD8">
        <w:t>3.3 Research Design</w:t>
      </w:r>
      <w:bookmarkEnd w:id="66"/>
      <w:bookmarkEnd w:id="67"/>
      <w:bookmarkEnd w:id="68"/>
    </w:p>
    <w:p w14:paraId="4186B23A" w14:textId="77777777" w:rsidR="00D3585A" w:rsidRPr="00355CD8" w:rsidRDefault="00D3585A" w:rsidP="0028475F">
      <w:pPr>
        <w:pStyle w:val="Heading3"/>
      </w:pPr>
      <w:bookmarkStart w:id="69" w:name="_Toc235978092"/>
      <w:bookmarkStart w:id="70" w:name="_Toc235978657"/>
      <w:bookmarkStart w:id="71" w:name="_Toc238200150"/>
      <w:r w:rsidRPr="00355CD8">
        <w:t>3.3.1 Overview of Research Design</w:t>
      </w:r>
      <w:bookmarkEnd w:id="69"/>
      <w:bookmarkEnd w:id="70"/>
      <w:bookmarkEnd w:id="71"/>
    </w:p>
    <w:p w14:paraId="67703B5A" w14:textId="77777777" w:rsidR="00D3585A" w:rsidRPr="00355CD8" w:rsidRDefault="00D3585A" w:rsidP="00355CD8">
      <w:pPr>
        <w:spacing w:line="360" w:lineRule="auto"/>
        <w:jc w:val="both"/>
        <w:rPr>
          <w:rFonts w:ascii="Arial" w:hAnsi="Arial" w:cs="Arial"/>
        </w:rPr>
      </w:pPr>
      <w:r w:rsidRPr="00355CD8">
        <w:rPr>
          <w:rFonts w:ascii="Arial" w:hAnsi="Arial" w:cs="Arial"/>
        </w:rPr>
        <w:t>Research design refers to the overall strategy adopted to integrate the different components of the study in a coherent and logical way, ensuring that the research questions are effectively addressed (Saunders, Lewis and Thornhill, 2023). This study employs a secondary quantitative, longitudinal research</w:t>
      </w:r>
      <w:r w:rsidRPr="00355CD8">
        <w:rPr>
          <w:rFonts w:ascii="Arial" w:hAnsi="Arial" w:cs="Arial"/>
          <w:b/>
          <w:bCs/>
        </w:rPr>
        <w:t xml:space="preserve"> </w:t>
      </w:r>
      <w:r w:rsidRPr="00355CD8">
        <w:rPr>
          <w:rFonts w:ascii="Arial" w:hAnsi="Arial" w:cs="Arial"/>
        </w:rPr>
        <w:t>design using documentary research techniques.</w:t>
      </w:r>
    </w:p>
    <w:p w14:paraId="57A1D531"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The key features of the research design are interrelated. The study relies exclusively on existing data that have been collected and published by official sources – the Home Office, Office for National Statistics, and Skills for Care. No primary data collection, such as surveys or interviews, will be undertaken. The study uses numerical data – visa grant rates, outflow profiles, turnover statistics, and vacancy rates – which are </w:t>
      </w:r>
      <w:proofErr w:type="spellStart"/>
      <w:r w:rsidRPr="00355CD8">
        <w:rPr>
          <w:rFonts w:ascii="Arial" w:hAnsi="Arial" w:cs="Arial"/>
        </w:rPr>
        <w:t>analysed</w:t>
      </w:r>
      <w:proofErr w:type="spellEnd"/>
      <w:r w:rsidRPr="00355CD8">
        <w:rPr>
          <w:rFonts w:ascii="Arial" w:hAnsi="Arial" w:cs="Arial"/>
        </w:rPr>
        <w:t xml:space="preserve"> using statistical techniques. The study examines trends over time, comparing visa grant rates, outflow profiles, and turnover statistics before and after the implementation of key policy changes. The period covered is 2020–2026, capturing both the pre</w:t>
      </w:r>
      <w:r w:rsidRPr="00355CD8">
        <w:rPr>
          <w:rFonts w:ascii="Arial" w:hAnsi="Arial" w:cs="Arial"/>
        </w:rPr>
        <w:noBreakHyphen/>
        <w:t>reform period and the immediate post</w:t>
      </w:r>
      <w:r w:rsidRPr="00355CD8">
        <w:rPr>
          <w:rFonts w:ascii="Arial" w:hAnsi="Arial" w:cs="Arial"/>
        </w:rPr>
        <w:noBreakHyphen/>
        <w:t>reform period. The study draws on official documents – government white papers, impact assessments, statistical releases, and workforce reports – as the primary sources of data.</w:t>
      </w:r>
    </w:p>
    <w:p w14:paraId="767CAF69" w14:textId="77777777" w:rsidR="00D3585A" w:rsidRPr="00355CD8" w:rsidRDefault="00D3585A" w:rsidP="0028475F">
      <w:pPr>
        <w:pStyle w:val="Heading3"/>
      </w:pPr>
      <w:bookmarkStart w:id="72" w:name="_Toc235978093"/>
      <w:bookmarkStart w:id="73" w:name="_Toc235978658"/>
      <w:bookmarkStart w:id="74" w:name="_Toc238200151"/>
      <w:r w:rsidRPr="00355CD8">
        <w:t>3.3.2 Justification for Secondary Quantitative Design</w:t>
      </w:r>
      <w:bookmarkEnd w:id="72"/>
      <w:bookmarkEnd w:id="73"/>
      <w:bookmarkEnd w:id="74"/>
    </w:p>
    <w:p w14:paraId="28623D97" w14:textId="77777777" w:rsidR="00D3585A" w:rsidRPr="00355CD8" w:rsidRDefault="00D3585A" w:rsidP="00355CD8">
      <w:pPr>
        <w:spacing w:line="360" w:lineRule="auto"/>
        <w:jc w:val="both"/>
        <w:rPr>
          <w:rFonts w:ascii="Arial" w:hAnsi="Arial" w:cs="Arial"/>
        </w:rPr>
      </w:pPr>
      <w:r w:rsidRPr="00355CD8">
        <w:rPr>
          <w:rFonts w:ascii="Arial" w:hAnsi="Arial" w:cs="Arial"/>
        </w:rPr>
        <w:t>The choice of a secondary quantitative design is justified by several considerations, including the availability of robust official data, the avoidance of primary data collection risks, the advantages of longitudinal analysis, and ethical considerations.</w:t>
      </w:r>
    </w:p>
    <w:p w14:paraId="5BE199CD" w14:textId="77777777" w:rsidR="00D3585A" w:rsidRPr="00355CD8" w:rsidRDefault="00D3585A" w:rsidP="00355CD8">
      <w:pPr>
        <w:spacing w:line="360" w:lineRule="auto"/>
        <w:jc w:val="both"/>
        <w:rPr>
          <w:rFonts w:ascii="Arial" w:hAnsi="Arial" w:cs="Arial"/>
        </w:rPr>
      </w:pPr>
      <w:r w:rsidRPr="00355CD8">
        <w:rPr>
          <w:rFonts w:ascii="Arial" w:hAnsi="Arial" w:cs="Arial"/>
        </w:rPr>
        <w:t>The Home Office, ONS, and Skills for Care publish extensive, high</w:t>
      </w:r>
      <w:r w:rsidRPr="00355CD8">
        <w:rPr>
          <w:rFonts w:ascii="Arial" w:hAnsi="Arial" w:cs="Arial"/>
        </w:rPr>
        <w:noBreakHyphen/>
        <w:t xml:space="preserve">quality quantitative data on migration, workforce, and healthcare employment. These datasets are collected using rigorous, </w:t>
      </w:r>
      <w:proofErr w:type="spellStart"/>
      <w:r w:rsidRPr="00355CD8">
        <w:rPr>
          <w:rFonts w:ascii="Arial" w:hAnsi="Arial" w:cs="Arial"/>
        </w:rPr>
        <w:t>standardised</w:t>
      </w:r>
      <w:proofErr w:type="spellEnd"/>
      <w:r w:rsidRPr="00355CD8">
        <w:rPr>
          <w:rFonts w:ascii="Arial" w:hAnsi="Arial" w:cs="Arial"/>
        </w:rPr>
        <w:t xml:space="preserve"> methodologies and are designed to be objective and </w:t>
      </w:r>
      <w:r w:rsidRPr="00355CD8">
        <w:rPr>
          <w:rFonts w:ascii="Arial" w:hAnsi="Arial" w:cs="Arial"/>
        </w:rPr>
        <w:lastRenderedPageBreak/>
        <w:t xml:space="preserve">reliable. The Home Office publishes monthly and annual statistics on visa grants, including breakdowns by occupation code, nationality, and </w:t>
      </w:r>
      <w:proofErr w:type="spellStart"/>
      <w:r w:rsidRPr="00355CD8">
        <w:rPr>
          <w:rFonts w:ascii="Arial" w:hAnsi="Arial" w:cs="Arial"/>
        </w:rPr>
        <w:t>dependant</w:t>
      </w:r>
      <w:proofErr w:type="spellEnd"/>
      <w:r w:rsidRPr="00355CD8">
        <w:rPr>
          <w:rFonts w:ascii="Arial" w:hAnsi="Arial" w:cs="Arial"/>
        </w:rPr>
        <w:t xml:space="preserve"> status. ONS publishes long</w:t>
      </w:r>
      <w:r w:rsidRPr="00355CD8">
        <w:rPr>
          <w:rFonts w:ascii="Arial" w:hAnsi="Arial" w:cs="Arial"/>
        </w:rPr>
        <w:noBreakHyphen/>
        <w:t>term international migration statistics, including inflows, outflows, and net migration. Skills for Care publishes comprehensive data on the adult social care workforce, including turnover rates, vacancy statistics, and training expenditure. The availability of these data makes a secondary quantitative design feasible and effective.</w:t>
      </w:r>
    </w:p>
    <w:p w14:paraId="78D64667" w14:textId="77777777" w:rsidR="00D3585A" w:rsidRPr="00355CD8" w:rsidRDefault="00D3585A" w:rsidP="00355CD8">
      <w:pPr>
        <w:spacing w:line="360" w:lineRule="auto"/>
        <w:jc w:val="both"/>
        <w:rPr>
          <w:rFonts w:ascii="Arial" w:hAnsi="Arial" w:cs="Arial"/>
        </w:rPr>
      </w:pPr>
      <w:r w:rsidRPr="00355CD8">
        <w:rPr>
          <w:rFonts w:ascii="Arial" w:hAnsi="Arial" w:cs="Arial"/>
        </w:rPr>
        <w:t>Primary data collection – surveys or interviews with migrant HCSWs – carries significant risks for this topic. Migrant workers on temporary visas may fear that participation in research could affect their immigration status, leading to non</w:t>
      </w:r>
      <w:r w:rsidRPr="00355CD8">
        <w:rPr>
          <w:rFonts w:ascii="Arial" w:hAnsi="Arial" w:cs="Arial"/>
        </w:rPr>
        <w:noBreakHyphen/>
        <w:t xml:space="preserve">response or socially desirable answers. The 2025 rule changes introduced a climate of uncertainty; asking workers about their intentions during a policy shock produces unreliable data because intentions change rapidly. Healthcare support workers work long, irregular shifts; survey response rates are notoriously low. Secondary data avoid these problems by capturing actual </w:t>
      </w:r>
      <w:proofErr w:type="spellStart"/>
      <w:r w:rsidRPr="00355CD8">
        <w:rPr>
          <w:rFonts w:ascii="Arial" w:hAnsi="Arial" w:cs="Arial"/>
        </w:rPr>
        <w:t>behaviour</w:t>
      </w:r>
      <w:proofErr w:type="spellEnd"/>
      <w:r w:rsidRPr="00355CD8">
        <w:rPr>
          <w:rFonts w:ascii="Arial" w:hAnsi="Arial" w:cs="Arial"/>
        </w:rPr>
        <w:t xml:space="preserve"> – visa grants, outflows, employment stocks – rather than stated intentions.</w:t>
      </w:r>
    </w:p>
    <w:p w14:paraId="4F57E410" w14:textId="77777777" w:rsidR="00D3585A" w:rsidRPr="00355CD8" w:rsidRDefault="00D3585A" w:rsidP="00355CD8">
      <w:pPr>
        <w:spacing w:line="360" w:lineRule="auto"/>
        <w:jc w:val="both"/>
        <w:rPr>
          <w:rFonts w:ascii="Arial" w:hAnsi="Arial" w:cs="Arial"/>
        </w:rPr>
      </w:pPr>
      <w:r w:rsidRPr="00355CD8">
        <w:rPr>
          <w:rFonts w:ascii="Arial" w:hAnsi="Arial" w:cs="Arial"/>
        </w:rPr>
        <w:t>The longitudinal design allows for the examination of trends over time, comparing outcomes before and after the implementation of key policy changes. This is essential for assessing the impact of the 2025 rule changes, as it provides a baseline (pre</w:t>
      </w:r>
      <w:r w:rsidRPr="00355CD8">
        <w:rPr>
          <w:rFonts w:ascii="Arial" w:hAnsi="Arial" w:cs="Arial"/>
        </w:rPr>
        <w:noBreakHyphen/>
        <w:t>2025) against which post</w:t>
      </w:r>
      <w:r w:rsidRPr="00355CD8">
        <w:rPr>
          <w:rFonts w:ascii="Arial" w:hAnsi="Arial" w:cs="Arial"/>
        </w:rPr>
        <w:noBreakHyphen/>
        <w:t>change outcomes can be compared. The study covers the period from 2020 to 2026, capturing both the pre</w:t>
      </w:r>
      <w:r w:rsidRPr="00355CD8">
        <w:rPr>
          <w:rFonts w:ascii="Arial" w:hAnsi="Arial" w:cs="Arial"/>
        </w:rPr>
        <w:noBreakHyphen/>
        <w:t>reform period and the immediate post</w:t>
      </w:r>
      <w:r w:rsidRPr="00355CD8">
        <w:rPr>
          <w:rFonts w:ascii="Arial" w:hAnsi="Arial" w:cs="Arial"/>
        </w:rPr>
        <w:noBreakHyphen/>
        <w:t>reform period. This longitudinal approach enables the identification of trends, patterns, and changes that would not be visible in a cross</w:t>
      </w:r>
      <w:r w:rsidRPr="00355CD8">
        <w:rPr>
          <w:rFonts w:ascii="Arial" w:hAnsi="Arial" w:cs="Arial"/>
        </w:rPr>
        <w:noBreakHyphen/>
        <w:t>sectional design.</w:t>
      </w:r>
    </w:p>
    <w:p w14:paraId="79D52362" w14:textId="77777777" w:rsidR="00D3585A" w:rsidRPr="00355CD8" w:rsidRDefault="00D3585A" w:rsidP="00355CD8">
      <w:pPr>
        <w:spacing w:line="360" w:lineRule="auto"/>
        <w:jc w:val="both"/>
        <w:rPr>
          <w:rFonts w:ascii="Arial" w:hAnsi="Arial" w:cs="Arial"/>
        </w:rPr>
      </w:pPr>
      <w:r w:rsidRPr="00355CD8">
        <w:rPr>
          <w:rFonts w:ascii="Arial" w:hAnsi="Arial" w:cs="Arial"/>
        </w:rPr>
        <w:t>Secondary data analysis avoids the ethical risks associated with primary data collection involving vulnerable participants. Migrant workers are a potentially vulnerable group, and research involving them must be conducted with care. By using public</w:t>
      </w:r>
      <w:r w:rsidRPr="00355CD8">
        <w:rPr>
          <w:rFonts w:ascii="Arial" w:hAnsi="Arial" w:cs="Arial"/>
        </w:rPr>
        <w:noBreakHyphen/>
        <w:t>domain secondary data, the study avoids the need for informed consent, the risk of causing distress, and the potential for participants to be identified. This is both methodologically sound and ethically preferable.</w:t>
      </w:r>
    </w:p>
    <w:p w14:paraId="00BB6430" w14:textId="77777777" w:rsidR="00D3585A" w:rsidRPr="00355CD8" w:rsidRDefault="00D3585A" w:rsidP="002D1A9D">
      <w:pPr>
        <w:pStyle w:val="Heading3"/>
      </w:pPr>
      <w:bookmarkStart w:id="75" w:name="_Toc235978094"/>
      <w:bookmarkStart w:id="76" w:name="_Toc235978659"/>
      <w:bookmarkStart w:id="77" w:name="_Toc238200152"/>
      <w:r w:rsidRPr="00355CD8">
        <w:lastRenderedPageBreak/>
        <w:t>3.3.3 Justification for Documentary Research Techniques</w:t>
      </w:r>
      <w:bookmarkEnd w:id="75"/>
      <w:bookmarkEnd w:id="76"/>
      <w:bookmarkEnd w:id="77"/>
    </w:p>
    <w:p w14:paraId="69EFE071" w14:textId="40FB2B7D" w:rsidR="00D3585A" w:rsidRPr="00355CD8" w:rsidRDefault="00D3585A" w:rsidP="00355CD8">
      <w:pPr>
        <w:spacing w:line="360" w:lineRule="auto"/>
        <w:jc w:val="both"/>
        <w:rPr>
          <w:rFonts w:ascii="Arial" w:hAnsi="Arial" w:cs="Arial"/>
        </w:rPr>
      </w:pPr>
      <w:r w:rsidRPr="00355CD8">
        <w:rPr>
          <w:rFonts w:ascii="Arial" w:hAnsi="Arial" w:cs="Arial"/>
        </w:rPr>
        <w:t xml:space="preserve">Documentary research techniques are appropriate for this study because official documents – white papers, impact assessments, statistical releases, and workforce reports – are the primary sources of data. These documents provide rich, reliable, and comprehensive data on immigration policy, workforce trends, and healthcare employment. Documentary research involves </w:t>
      </w:r>
      <w:proofErr w:type="gramStart"/>
      <w:r w:rsidRPr="00355CD8">
        <w:rPr>
          <w:rFonts w:ascii="Arial" w:hAnsi="Arial" w:cs="Arial"/>
        </w:rPr>
        <w:t>the systematic</w:t>
      </w:r>
      <w:proofErr w:type="gramEnd"/>
      <w:r w:rsidRPr="00355CD8">
        <w:rPr>
          <w:rFonts w:ascii="Arial" w:hAnsi="Arial" w:cs="Arial"/>
        </w:rPr>
        <w:t xml:space="preserve"> collection, analysis, and interpretation of documents to address research questions (Saunders, Lewis and Thornhill, 2023). In this study, documentary research is used to extract quantitative data from official sources, rather than to </w:t>
      </w:r>
      <w:proofErr w:type="spellStart"/>
      <w:r w:rsidRPr="00355CD8">
        <w:rPr>
          <w:rFonts w:ascii="Arial" w:hAnsi="Arial" w:cs="Arial"/>
        </w:rPr>
        <w:t>analyse</w:t>
      </w:r>
      <w:proofErr w:type="spellEnd"/>
      <w:r w:rsidRPr="00355CD8">
        <w:rPr>
          <w:rFonts w:ascii="Arial" w:hAnsi="Arial" w:cs="Arial"/>
        </w:rPr>
        <w:t xml:space="preserve"> textual content qualitatively.</w:t>
      </w:r>
    </w:p>
    <w:p w14:paraId="32824208" w14:textId="77777777" w:rsidR="00D3585A" w:rsidRPr="00355CD8" w:rsidRDefault="00D3585A" w:rsidP="002D1A9D">
      <w:pPr>
        <w:pStyle w:val="Heading2"/>
      </w:pPr>
      <w:bookmarkStart w:id="78" w:name="_Toc235978095"/>
      <w:bookmarkStart w:id="79" w:name="_Toc235978660"/>
      <w:bookmarkStart w:id="80" w:name="_Toc238200153"/>
      <w:r w:rsidRPr="00355CD8">
        <w:t>3.4 Research Approach</w:t>
      </w:r>
      <w:bookmarkEnd w:id="78"/>
      <w:bookmarkEnd w:id="79"/>
      <w:bookmarkEnd w:id="80"/>
    </w:p>
    <w:p w14:paraId="4A2BE926" w14:textId="77777777" w:rsidR="00D3585A" w:rsidRPr="00355CD8" w:rsidRDefault="00D3585A" w:rsidP="002D1A9D">
      <w:pPr>
        <w:pStyle w:val="Heading3"/>
      </w:pPr>
      <w:bookmarkStart w:id="81" w:name="_Toc235978096"/>
      <w:bookmarkStart w:id="82" w:name="_Toc235978661"/>
      <w:bookmarkStart w:id="83" w:name="_Toc238200154"/>
      <w:r w:rsidRPr="00355CD8">
        <w:t>3.4.1 Overview of Research Approach</w:t>
      </w:r>
      <w:bookmarkEnd w:id="81"/>
      <w:bookmarkEnd w:id="82"/>
      <w:bookmarkEnd w:id="83"/>
    </w:p>
    <w:p w14:paraId="119C3225" w14:textId="77777777" w:rsidR="00D3585A" w:rsidRPr="00355CD8" w:rsidRDefault="00D3585A" w:rsidP="00355CD8">
      <w:pPr>
        <w:spacing w:line="360" w:lineRule="auto"/>
        <w:jc w:val="both"/>
        <w:rPr>
          <w:rFonts w:ascii="Arial" w:hAnsi="Arial" w:cs="Arial"/>
        </w:rPr>
      </w:pPr>
      <w:r w:rsidRPr="00355CD8">
        <w:rPr>
          <w:rFonts w:ascii="Arial" w:hAnsi="Arial" w:cs="Arial"/>
        </w:rPr>
        <w:t>This study adopts a deductive research approach. Deduction involves the development of propositions based on existing theory, which are then examined through empirical observation and data analysis (Saunders, Lewis and Thornhill, 2023). The theoretical framework developed in Chapter 2 – integrating Human Capital Theory, TBL, and COR Theory – provides a set of propositions about the relationship between immigration policy changes and human capital sustainability. This study examines these propositions using quantitative data, consistent with the deductive approach.</w:t>
      </w:r>
    </w:p>
    <w:p w14:paraId="303C7907"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The study also adopts a quantitative research approach. Quantitative research involves the collection and analysis of numerical data to identify patterns and establish </w:t>
      </w:r>
      <w:proofErr w:type="spellStart"/>
      <w:r w:rsidRPr="00355CD8">
        <w:rPr>
          <w:rFonts w:ascii="Arial" w:hAnsi="Arial" w:cs="Arial"/>
        </w:rPr>
        <w:t>generalisable</w:t>
      </w:r>
      <w:proofErr w:type="spellEnd"/>
      <w:r w:rsidRPr="00355CD8">
        <w:rPr>
          <w:rFonts w:ascii="Arial" w:hAnsi="Arial" w:cs="Arial"/>
        </w:rPr>
        <w:t xml:space="preserve"> findings (Saunders, Lewis and Thornhill, 2023). Quantitative methods are appropriate for this study because the research questions require the measurement of associations between policy changes (independent variables) and workforce outcomes (dependent variables). The use of secondary quantitative data – visa grant rates, outflow profiles, turnover statistics – enables objective, replicable analysis that can inform evidence</w:t>
      </w:r>
      <w:r w:rsidRPr="00355CD8">
        <w:rPr>
          <w:rFonts w:ascii="Arial" w:hAnsi="Arial" w:cs="Arial"/>
        </w:rPr>
        <w:noBreakHyphen/>
        <w:t>based policy.</w:t>
      </w:r>
    </w:p>
    <w:p w14:paraId="1AFBD53E" w14:textId="77777777" w:rsidR="00D3585A" w:rsidRPr="00355CD8" w:rsidRDefault="00D3585A" w:rsidP="002D1A9D">
      <w:pPr>
        <w:pStyle w:val="Heading3"/>
      </w:pPr>
      <w:bookmarkStart w:id="84" w:name="_Toc235978097"/>
      <w:bookmarkStart w:id="85" w:name="_Toc235978662"/>
      <w:bookmarkStart w:id="86" w:name="_Toc238200155"/>
      <w:r w:rsidRPr="00355CD8">
        <w:t>3.4.2 Justification for Deductive, Quantitative Approach</w:t>
      </w:r>
      <w:bookmarkEnd w:id="84"/>
      <w:bookmarkEnd w:id="85"/>
      <w:bookmarkEnd w:id="86"/>
    </w:p>
    <w:p w14:paraId="4A305AE1"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The deductive, quantitative approach is justified for several reasons. First, the theoretical framework provides clear propositions that can be </w:t>
      </w:r>
      <w:proofErr w:type="spellStart"/>
      <w:r w:rsidRPr="00355CD8">
        <w:rPr>
          <w:rFonts w:ascii="Arial" w:hAnsi="Arial" w:cs="Arial"/>
        </w:rPr>
        <w:t>operationalised</w:t>
      </w:r>
      <w:proofErr w:type="spellEnd"/>
      <w:r w:rsidRPr="00355CD8">
        <w:rPr>
          <w:rFonts w:ascii="Arial" w:hAnsi="Arial" w:cs="Arial"/>
        </w:rPr>
        <w:t xml:space="preserve"> through measurable </w:t>
      </w:r>
      <w:r w:rsidRPr="00355CD8">
        <w:rPr>
          <w:rFonts w:ascii="Arial" w:hAnsi="Arial" w:cs="Arial"/>
        </w:rPr>
        <w:lastRenderedPageBreak/>
        <w:t>indicators. Chapter 2 presented a conceptual framework linking policy changes to resource threats, worker withdrawal, loss of human capital, and decline in sustainability. This framework yields specific predictions – for example, that the increase in the skill threshold from RQF Level 3 to Level 6 will be associated with a decrease in visa grant rates. These predictions can be tested empirically using quantitative data.</w:t>
      </w:r>
    </w:p>
    <w:p w14:paraId="3C1B3BC9" w14:textId="77777777" w:rsidR="00D3585A" w:rsidRPr="00355CD8" w:rsidRDefault="00D3585A" w:rsidP="00355CD8">
      <w:pPr>
        <w:spacing w:line="360" w:lineRule="auto"/>
        <w:jc w:val="both"/>
        <w:rPr>
          <w:rFonts w:ascii="Arial" w:hAnsi="Arial" w:cs="Arial"/>
        </w:rPr>
      </w:pPr>
      <w:r w:rsidRPr="00355CD8">
        <w:rPr>
          <w:rFonts w:ascii="Arial" w:hAnsi="Arial" w:cs="Arial"/>
        </w:rPr>
        <w:t>Second, the availability of robust official data makes quantitative analysis feasible and effective. The Home Office, ONS, and Skills for Care publish extensive, high</w:t>
      </w:r>
      <w:r w:rsidRPr="00355CD8">
        <w:rPr>
          <w:rFonts w:ascii="Arial" w:hAnsi="Arial" w:cs="Arial"/>
        </w:rPr>
        <w:noBreakHyphen/>
        <w:t xml:space="preserve">quality quantitative data on migration, workforce, and healthcare employment. These datasets are collected using rigorous, </w:t>
      </w:r>
      <w:proofErr w:type="spellStart"/>
      <w:r w:rsidRPr="00355CD8">
        <w:rPr>
          <w:rFonts w:ascii="Arial" w:hAnsi="Arial" w:cs="Arial"/>
        </w:rPr>
        <w:t>standardised</w:t>
      </w:r>
      <w:proofErr w:type="spellEnd"/>
      <w:r w:rsidRPr="00355CD8">
        <w:rPr>
          <w:rFonts w:ascii="Arial" w:hAnsi="Arial" w:cs="Arial"/>
        </w:rPr>
        <w:t xml:space="preserve"> methodologies and are designed to be objective and reliable. The quantitative approach leverages these data to provide rigorous, evidence</w:t>
      </w:r>
      <w:r w:rsidRPr="00355CD8">
        <w:rPr>
          <w:rFonts w:ascii="Arial" w:hAnsi="Arial" w:cs="Arial"/>
        </w:rPr>
        <w:noBreakHyphen/>
        <w:t>based findings.</w:t>
      </w:r>
    </w:p>
    <w:p w14:paraId="7BD163E2" w14:textId="77777777" w:rsidR="00D3585A" w:rsidRPr="00355CD8" w:rsidRDefault="00D3585A" w:rsidP="00355CD8">
      <w:pPr>
        <w:spacing w:line="360" w:lineRule="auto"/>
        <w:jc w:val="both"/>
        <w:rPr>
          <w:rFonts w:ascii="Arial" w:hAnsi="Arial" w:cs="Arial"/>
        </w:rPr>
      </w:pPr>
      <w:r w:rsidRPr="00355CD8">
        <w:rPr>
          <w:rFonts w:ascii="Arial" w:hAnsi="Arial" w:cs="Arial"/>
        </w:rPr>
        <w:t>Third, the deductive approach ensures that findings can be compared with existing literature and contribute to theoretical development. By testing predictions derived from established theories, the study can assess the validity of those theories in the context of UK immigration policy. The findings can also be compared with previous empirical studies, contributing to cumulative knowledge.</w:t>
      </w:r>
    </w:p>
    <w:p w14:paraId="2AF1DB73"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Fourth, the quantitative approach produces </w:t>
      </w:r>
      <w:proofErr w:type="spellStart"/>
      <w:r w:rsidRPr="00355CD8">
        <w:rPr>
          <w:rFonts w:ascii="Arial" w:hAnsi="Arial" w:cs="Arial"/>
        </w:rPr>
        <w:t>generalisable</w:t>
      </w:r>
      <w:proofErr w:type="spellEnd"/>
      <w:r w:rsidRPr="00355CD8">
        <w:rPr>
          <w:rFonts w:ascii="Arial" w:hAnsi="Arial" w:cs="Arial"/>
        </w:rPr>
        <w:t xml:space="preserve"> findings that are relevant to policymakers and healthcare </w:t>
      </w:r>
      <w:proofErr w:type="spellStart"/>
      <w:r w:rsidRPr="00355CD8">
        <w:rPr>
          <w:rFonts w:ascii="Arial" w:hAnsi="Arial" w:cs="Arial"/>
        </w:rPr>
        <w:t>organisations</w:t>
      </w:r>
      <w:proofErr w:type="spellEnd"/>
      <w:r w:rsidRPr="00355CD8">
        <w:rPr>
          <w:rFonts w:ascii="Arial" w:hAnsi="Arial" w:cs="Arial"/>
        </w:rPr>
        <w:t>. Quantitative analysis provides numerical estimates of the magnitude and significance of associations, which can inform evidence</w:t>
      </w:r>
      <w:r w:rsidRPr="00355CD8">
        <w:rPr>
          <w:rFonts w:ascii="Arial" w:hAnsi="Arial" w:cs="Arial"/>
        </w:rPr>
        <w:noBreakHyphen/>
        <w:t xml:space="preserve">based policy and practice. The findings can be </w:t>
      </w:r>
      <w:proofErr w:type="spellStart"/>
      <w:r w:rsidRPr="00355CD8">
        <w:rPr>
          <w:rFonts w:ascii="Arial" w:hAnsi="Arial" w:cs="Arial"/>
        </w:rPr>
        <w:t>generalised</w:t>
      </w:r>
      <w:proofErr w:type="spellEnd"/>
      <w:r w:rsidRPr="00355CD8">
        <w:rPr>
          <w:rFonts w:ascii="Arial" w:hAnsi="Arial" w:cs="Arial"/>
        </w:rPr>
        <w:t xml:space="preserve"> </w:t>
      </w:r>
      <w:proofErr w:type="gramStart"/>
      <w:r w:rsidRPr="00355CD8">
        <w:rPr>
          <w:rFonts w:ascii="Arial" w:hAnsi="Arial" w:cs="Arial"/>
        </w:rPr>
        <w:t>to</w:t>
      </w:r>
      <w:proofErr w:type="gramEnd"/>
      <w:r w:rsidRPr="00355CD8">
        <w:rPr>
          <w:rFonts w:ascii="Arial" w:hAnsi="Arial" w:cs="Arial"/>
        </w:rPr>
        <w:t xml:space="preserve"> the broader population of migrant healthcare support workers, providing insights that are relevant to UK</w:t>
      </w:r>
      <w:r w:rsidRPr="00355CD8">
        <w:rPr>
          <w:rFonts w:ascii="Arial" w:hAnsi="Arial" w:cs="Arial"/>
        </w:rPr>
        <w:noBreakHyphen/>
        <w:t>wide workforce planning.</w:t>
      </w:r>
    </w:p>
    <w:p w14:paraId="1B7C987B" w14:textId="77777777" w:rsidR="00D3585A" w:rsidRPr="00355CD8" w:rsidRDefault="00D3585A" w:rsidP="002D1A9D">
      <w:pPr>
        <w:pStyle w:val="Heading3"/>
      </w:pPr>
      <w:bookmarkStart w:id="87" w:name="_Toc235978098"/>
      <w:bookmarkStart w:id="88" w:name="_Toc235978663"/>
      <w:bookmarkStart w:id="89" w:name="_Toc238200156"/>
      <w:r w:rsidRPr="00355CD8">
        <w:t>3.4.3 Why Not an Inductive, Qualitative Approach?</w:t>
      </w:r>
      <w:bookmarkEnd w:id="87"/>
      <w:bookmarkEnd w:id="88"/>
      <w:bookmarkEnd w:id="89"/>
    </w:p>
    <w:p w14:paraId="0F8D70A5" w14:textId="62F4A4D1" w:rsidR="00D3585A" w:rsidRPr="00355CD8" w:rsidRDefault="00D3585A" w:rsidP="00355CD8">
      <w:pPr>
        <w:spacing w:line="360" w:lineRule="auto"/>
        <w:jc w:val="both"/>
        <w:rPr>
          <w:rFonts w:ascii="Arial" w:hAnsi="Arial" w:cs="Arial"/>
        </w:rPr>
      </w:pPr>
      <w:r w:rsidRPr="00355CD8">
        <w:rPr>
          <w:rFonts w:ascii="Arial" w:hAnsi="Arial" w:cs="Arial"/>
        </w:rPr>
        <w:t>The alternative – an inductive, qualitative approach – would be inappropriate for this study. Induction involves the development of theory from empirical observation, typically through in</w:t>
      </w:r>
      <w:r w:rsidRPr="00355CD8">
        <w:rPr>
          <w:rFonts w:ascii="Arial" w:hAnsi="Arial" w:cs="Arial"/>
        </w:rPr>
        <w:noBreakHyphen/>
        <w:t>depth, context</w:t>
      </w:r>
      <w:r w:rsidRPr="00355CD8">
        <w:rPr>
          <w:rFonts w:ascii="Arial" w:hAnsi="Arial" w:cs="Arial"/>
        </w:rPr>
        <w:noBreakHyphen/>
        <w:t xml:space="preserve">specific research such as interviews or case studies (Saunders, Lewis and Thornhill, 2023). A qualitative approach would require primary data collection, such as interviews or focus groups, with migrant healthcare support workers. This would carry significant risks, as discussed in Section 3.3.2. Moreover, qualitative findings are </w:t>
      </w:r>
      <w:r w:rsidRPr="00355CD8">
        <w:rPr>
          <w:rFonts w:ascii="Arial" w:hAnsi="Arial" w:cs="Arial"/>
        </w:rPr>
        <w:lastRenderedPageBreak/>
        <w:t>context</w:t>
      </w:r>
      <w:r w:rsidRPr="00355CD8">
        <w:rPr>
          <w:rFonts w:ascii="Arial" w:hAnsi="Arial" w:cs="Arial"/>
        </w:rPr>
        <w:noBreakHyphen/>
        <w:t xml:space="preserve">specific and less </w:t>
      </w:r>
      <w:proofErr w:type="spellStart"/>
      <w:r w:rsidRPr="00355CD8">
        <w:rPr>
          <w:rFonts w:ascii="Arial" w:hAnsi="Arial" w:cs="Arial"/>
        </w:rPr>
        <w:t>generalisable</w:t>
      </w:r>
      <w:proofErr w:type="spellEnd"/>
      <w:r w:rsidRPr="00355CD8">
        <w:rPr>
          <w:rFonts w:ascii="Arial" w:hAnsi="Arial" w:cs="Arial"/>
        </w:rPr>
        <w:t>, limiting their usefulness for policy evaluation. The research questions seek to identify measurable associations across a population, rather than exploring individual experiences in depth. Therefore, the deductive, quantitative approach is the most appropriate choice.</w:t>
      </w:r>
    </w:p>
    <w:p w14:paraId="402721D7" w14:textId="77777777" w:rsidR="00D3585A" w:rsidRPr="00355CD8" w:rsidRDefault="00D3585A" w:rsidP="00C730EA">
      <w:pPr>
        <w:pStyle w:val="Heading2"/>
      </w:pPr>
      <w:bookmarkStart w:id="90" w:name="_Toc235978099"/>
      <w:bookmarkStart w:id="91" w:name="_Toc235978664"/>
      <w:bookmarkStart w:id="92" w:name="_Toc238200157"/>
      <w:r w:rsidRPr="00355CD8">
        <w:t>3.5 Data Collection</w:t>
      </w:r>
      <w:bookmarkEnd w:id="90"/>
      <w:bookmarkEnd w:id="91"/>
      <w:bookmarkEnd w:id="92"/>
    </w:p>
    <w:p w14:paraId="3849FBEA" w14:textId="77777777" w:rsidR="00D3585A" w:rsidRPr="00355CD8" w:rsidRDefault="00D3585A" w:rsidP="00C730EA">
      <w:pPr>
        <w:pStyle w:val="Heading3"/>
      </w:pPr>
      <w:bookmarkStart w:id="93" w:name="_Toc235978100"/>
      <w:bookmarkStart w:id="94" w:name="_Toc235978665"/>
      <w:bookmarkStart w:id="95" w:name="_Toc238200158"/>
      <w:r w:rsidRPr="00355CD8">
        <w:t>3.5.1 Sources of Secondary Data</w:t>
      </w:r>
      <w:bookmarkEnd w:id="93"/>
      <w:bookmarkEnd w:id="94"/>
      <w:bookmarkEnd w:id="95"/>
    </w:p>
    <w:p w14:paraId="09520C70" w14:textId="77777777" w:rsidR="00D3585A" w:rsidRPr="00355CD8" w:rsidRDefault="00D3585A" w:rsidP="00355CD8">
      <w:pPr>
        <w:spacing w:line="360" w:lineRule="auto"/>
        <w:jc w:val="both"/>
        <w:rPr>
          <w:rFonts w:ascii="Arial" w:hAnsi="Arial" w:cs="Arial"/>
        </w:rPr>
      </w:pPr>
      <w:r w:rsidRPr="00355CD8">
        <w:rPr>
          <w:rFonts w:ascii="Arial" w:hAnsi="Arial" w:cs="Arial"/>
        </w:rPr>
        <w:t>Data will be collected exclusively from secondary quantitative sources. No primary data collection will be undertaken. The sources include official policy and impact assessments, national workforce and migration statistics, and government workforce plans.</w:t>
      </w:r>
    </w:p>
    <w:p w14:paraId="2BB3E2A8" w14:textId="77777777" w:rsidR="00D3585A" w:rsidRPr="00355CD8" w:rsidRDefault="00D3585A" w:rsidP="00355CD8">
      <w:pPr>
        <w:spacing w:line="360" w:lineRule="auto"/>
        <w:jc w:val="both"/>
        <w:rPr>
          <w:rFonts w:ascii="Arial" w:hAnsi="Arial" w:cs="Arial"/>
        </w:rPr>
      </w:pPr>
      <w:r w:rsidRPr="00355CD8">
        <w:rPr>
          <w:rFonts w:ascii="Arial" w:hAnsi="Arial" w:cs="Arial"/>
        </w:rPr>
        <w:t>From official policy and impact assessments, the study draws on the Home Office (2025a) White Paper </w:t>
      </w:r>
      <w:r w:rsidRPr="00355CD8">
        <w:rPr>
          <w:rFonts w:ascii="Arial" w:hAnsi="Arial" w:cs="Arial"/>
          <w:i/>
          <w:iCs/>
        </w:rPr>
        <w:t>Restoring Control over the Immigration System</w:t>
      </w:r>
      <w:r w:rsidRPr="00355CD8">
        <w:rPr>
          <w:rFonts w:ascii="Arial" w:hAnsi="Arial" w:cs="Arial"/>
        </w:rPr>
        <w:t xml:space="preserve">, which outlines policy rationale and proposed changes, providing data on policy objectives, proposed changes to skill thresholds, </w:t>
      </w:r>
      <w:proofErr w:type="spellStart"/>
      <w:r w:rsidRPr="00355CD8">
        <w:rPr>
          <w:rFonts w:ascii="Arial" w:hAnsi="Arial" w:cs="Arial"/>
        </w:rPr>
        <w:t>dependant</w:t>
      </w:r>
      <w:proofErr w:type="spellEnd"/>
      <w:r w:rsidRPr="00355CD8">
        <w:rPr>
          <w:rFonts w:ascii="Arial" w:hAnsi="Arial" w:cs="Arial"/>
        </w:rPr>
        <w:t xml:space="preserve"> visa restrictions, and settlement pathways. The Home Office (2025b) </w:t>
      </w:r>
      <w:r w:rsidRPr="00355CD8">
        <w:rPr>
          <w:rFonts w:ascii="Arial" w:hAnsi="Arial" w:cs="Arial"/>
          <w:i/>
          <w:iCs/>
        </w:rPr>
        <w:t>Spring 2025 Immigration Rules Impact Assessment (Skilled Worker and Care Worker)</w:t>
      </w:r>
      <w:r w:rsidRPr="00355CD8">
        <w:rPr>
          <w:rFonts w:ascii="Arial" w:hAnsi="Arial" w:cs="Arial"/>
        </w:rPr>
        <w:t> provides quantitative modelling of 'substitution effects' and 'outflow profiles', offering data on visa grant rates, outflow profiles, substitution effect estimates, and modelled projections under different policy scenarios. The Home Office (2026) </w:t>
      </w:r>
      <w:r w:rsidRPr="00355CD8">
        <w:rPr>
          <w:rFonts w:ascii="Arial" w:hAnsi="Arial" w:cs="Arial"/>
          <w:i/>
          <w:iCs/>
        </w:rPr>
        <w:t>Statement of Changes to the Immigration Rules: HC 1691</w:t>
      </w:r>
      <w:r w:rsidRPr="00355CD8">
        <w:rPr>
          <w:rFonts w:ascii="Arial" w:hAnsi="Arial" w:cs="Arial"/>
        </w:rPr>
        <w:t> details specific rule changes, including skill thresholds and visa categories. The Home Office (2024) </w:t>
      </w:r>
      <w:r w:rsidRPr="00355CD8">
        <w:rPr>
          <w:rFonts w:ascii="Arial" w:hAnsi="Arial" w:cs="Arial"/>
          <w:i/>
          <w:iCs/>
        </w:rPr>
        <w:t>Migration Statistics, Year Ending June 2024</w:t>
      </w:r>
      <w:r w:rsidRPr="00355CD8">
        <w:rPr>
          <w:rFonts w:ascii="Arial" w:hAnsi="Arial" w:cs="Arial"/>
        </w:rPr>
        <w:t xml:space="preserve"> provides monthly and annual visa grant rates for Health and Care Worker visas, with breakdowns by occupation code (SOC 6135, 6136) and </w:t>
      </w:r>
      <w:proofErr w:type="spellStart"/>
      <w:r w:rsidRPr="00355CD8">
        <w:rPr>
          <w:rFonts w:ascii="Arial" w:hAnsi="Arial" w:cs="Arial"/>
        </w:rPr>
        <w:t>dependant</w:t>
      </w:r>
      <w:proofErr w:type="spellEnd"/>
      <w:r w:rsidRPr="00355CD8">
        <w:rPr>
          <w:rFonts w:ascii="Arial" w:hAnsi="Arial" w:cs="Arial"/>
        </w:rPr>
        <w:t xml:space="preserve"> visa rates.</w:t>
      </w:r>
    </w:p>
    <w:p w14:paraId="5478308B" w14:textId="33F4518C" w:rsidR="00D3585A" w:rsidRPr="00355CD8" w:rsidRDefault="00D3585A" w:rsidP="00355CD8">
      <w:pPr>
        <w:spacing w:line="360" w:lineRule="auto"/>
        <w:jc w:val="both"/>
        <w:rPr>
          <w:rFonts w:ascii="Arial" w:hAnsi="Arial" w:cs="Arial"/>
        </w:rPr>
      </w:pPr>
      <w:r w:rsidRPr="00355CD8">
        <w:rPr>
          <w:rFonts w:ascii="Arial" w:hAnsi="Arial" w:cs="Arial"/>
        </w:rPr>
        <w:t>From national workforce and migration statistics, the Office for National Statistics (2024) </w:t>
      </w:r>
      <w:r w:rsidRPr="00355CD8">
        <w:rPr>
          <w:rFonts w:ascii="Arial" w:hAnsi="Arial" w:cs="Arial"/>
          <w:i/>
          <w:iCs/>
        </w:rPr>
        <w:t>Long</w:t>
      </w:r>
      <w:r w:rsidRPr="00355CD8">
        <w:rPr>
          <w:rFonts w:ascii="Arial" w:hAnsi="Arial" w:cs="Arial"/>
          <w:i/>
          <w:iCs/>
        </w:rPr>
        <w:noBreakHyphen/>
        <w:t>term international migration, provisional: year ending December 2023</w:t>
      </w:r>
      <w:r w:rsidRPr="00355CD8">
        <w:rPr>
          <w:rFonts w:ascii="Arial" w:hAnsi="Arial" w:cs="Arial"/>
        </w:rPr>
        <w:t> provides net migration figures, inflows, outflows, and breakdowns by nationality and occupation. Skills for Care (2024) </w:t>
      </w:r>
      <w:r w:rsidRPr="00355CD8">
        <w:rPr>
          <w:rFonts w:ascii="Arial" w:hAnsi="Arial" w:cs="Arial"/>
          <w:i/>
          <w:iCs/>
        </w:rPr>
        <w:t>The state of the adult social care sector and workforce in England</w:t>
      </w:r>
      <w:r w:rsidRPr="00355CD8">
        <w:rPr>
          <w:rFonts w:ascii="Arial" w:hAnsi="Arial" w:cs="Arial"/>
        </w:rPr>
        <w:t> provides turnover rates, vacancy statistics, training expenditure, workforce composition by nationality, and trends in international recruitment. The Adult Social Care Workforce Data Set (ASC</w:t>
      </w:r>
      <w:r w:rsidRPr="00355CD8">
        <w:rPr>
          <w:rFonts w:ascii="Arial" w:hAnsi="Arial" w:cs="Arial"/>
        </w:rPr>
        <w:noBreakHyphen/>
        <w:t xml:space="preserve">WDS) provides granular data on HCSW employment and </w:t>
      </w:r>
      <w:r w:rsidRPr="00355CD8">
        <w:rPr>
          <w:rFonts w:ascii="Arial" w:hAnsi="Arial" w:cs="Arial"/>
        </w:rPr>
        <w:lastRenderedPageBreak/>
        <w:t>turnover, including detailed workforce statistics, turnover rates, vacancy rates, and workforce composition by occupation code.</w:t>
      </w:r>
      <w:r w:rsidR="00FD5096" w:rsidRPr="00355CD8">
        <w:rPr>
          <w:rFonts w:ascii="Arial" w:hAnsi="Arial" w:cs="Arial"/>
        </w:rPr>
        <w:t xml:space="preserve"> </w:t>
      </w:r>
      <w:r w:rsidRPr="00355CD8">
        <w:rPr>
          <w:rFonts w:ascii="Arial" w:hAnsi="Arial" w:cs="Arial"/>
        </w:rPr>
        <w:t>From government workforce plans, NHS England (2023) </w:t>
      </w:r>
      <w:r w:rsidRPr="00355CD8">
        <w:rPr>
          <w:rFonts w:ascii="Arial" w:hAnsi="Arial" w:cs="Arial"/>
          <w:i/>
          <w:iCs/>
        </w:rPr>
        <w:t>NHS Long Term Workforce Plan</w:t>
      </w:r>
      <w:r w:rsidRPr="00355CD8">
        <w:rPr>
          <w:rFonts w:ascii="Arial" w:hAnsi="Arial" w:cs="Arial"/>
        </w:rPr>
        <w:t> provides numerical targets for domestic recruitment, training, and retention.</w:t>
      </w:r>
    </w:p>
    <w:p w14:paraId="41531A93" w14:textId="3FD35898" w:rsidR="00C20D58" w:rsidRPr="00D5479B" w:rsidRDefault="00C20D58" w:rsidP="00C20D58">
      <w:pPr>
        <w:pStyle w:val="Caption"/>
        <w:keepNext/>
        <w:rPr>
          <w:sz w:val="28"/>
          <w:szCs w:val="28"/>
        </w:rPr>
      </w:pPr>
      <w:bookmarkStart w:id="96" w:name="_Toc238206087"/>
      <w:r w:rsidRPr="00D5479B">
        <w:rPr>
          <w:sz w:val="28"/>
          <w:szCs w:val="28"/>
        </w:rPr>
        <w:t xml:space="preserve">Table </w:t>
      </w:r>
      <w:r w:rsidRPr="00D5479B">
        <w:rPr>
          <w:sz w:val="28"/>
          <w:szCs w:val="28"/>
        </w:rPr>
        <w:fldChar w:fldCharType="begin"/>
      </w:r>
      <w:r w:rsidRPr="00D5479B">
        <w:rPr>
          <w:sz w:val="28"/>
          <w:szCs w:val="28"/>
        </w:rPr>
        <w:instrText xml:space="preserve"> SEQ Table \* ARABIC </w:instrText>
      </w:r>
      <w:r w:rsidRPr="00D5479B">
        <w:rPr>
          <w:sz w:val="28"/>
          <w:szCs w:val="28"/>
        </w:rPr>
        <w:fldChar w:fldCharType="separate"/>
      </w:r>
      <w:r w:rsidR="00B70586" w:rsidRPr="00D5479B">
        <w:rPr>
          <w:noProof/>
          <w:sz w:val="28"/>
          <w:szCs w:val="28"/>
        </w:rPr>
        <w:t>3</w:t>
      </w:r>
      <w:r w:rsidRPr="00D5479B">
        <w:rPr>
          <w:sz w:val="28"/>
          <w:szCs w:val="28"/>
        </w:rPr>
        <w:fldChar w:fldCharType="end"/>
      </w:r>
      <w:r w:rsidRPr="00D5479B">
        <w:rPr>
          <w:sz w:val="28"/>
          <w:szCs w:val="28"/>
        </w:rPr>
        <w:t xml:space="preserve"> Summary of Data Extracted.</w:t>
      </w:r>
      <w:bookmarkEnd w:id="96"/>
    </w:p>
    <w:tbl>
      <w:tblPr>
        <w:tblW w:w="101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753"/>
        <w:gridCol w:w="6349"/>
      </w:tblGrid>
      <w:tr w:rsidR="00D3585A" w:rsidRPr="00355CD8" w14:paraId="253059F9" w14:textId="77777777" w:rsidTr="00C20D58">
        <w:trPr>
          <w:trHeight w:val="463"/>
          <w:tblHeader/>
        </w:trPr>
        <w:tc>
          <w:tcPr>
            <w:tcW w:w="0" w:type="auto"/>
            <w:tcMar>
              <w:top w:w="150" w:type="dxa"/>
              <w:left w:w="0" w:type="dxa"/>
              <w:bottom w:w="150" w:type="dxa"/>
              <w:right w:w="240" w:type="dxa"/>
            </w:tcMar>
            <w:vAlign w:val="center"/>
            <w:hideMark/>
          </w:tcPr>
          <w:p w14:paraId="545676A5" w14:textId="77777777" w:rsidR="00D3585A" w:rsidRPr="00355CD8" w:rsidRDefault="00D3585A" w:rsidP="00355CD8">
            <w:pPr>
              <w:spacing w:line="360" w:lineRule="auto"/>
              <w:jc w:val="both"/>
              <w:rPr>
                <w:rFonts w:ascii="Arial" w:hAnsi="Arial" w:cs="Arial"/>
              </w:rPr>
            </w:pPr>
            <w:r w:rsidRPr="00355CD8">
              <w:rPr>
                <w:rFonts w:ascii="Arial" w:hAnsi="Arial" w:cs="Arial"/>
              </w:rPr>
              <w:t>Source</w:t>
            </w:r>
          </w:p>
        </w:tc>
        <w:tc>
          <w:tcPr>
            <w:tcW w:w="0" w:type="auto"/>
            <w:tcMar>
              <w:top w:w="150" w:type="dxa"/>
              <w:left w:w="240" w:type="dxa"/>
              <w:bottom w:w="150" w:type="dxa"/>
              <w:right w:w="240" w:type="dxa"/>
            </w:tcMar>
            <w:vAlign w:val="center"/>
            <w:hideMark/>
          </w:tcPr>
          <w:p w14:paraId="141282CB" w14:textId="77777777" w:rsidR="00D3585A" w:rsidRPr="00355CD8" w:rsidRDefault="00D3585A" w:rsidP="00355CD8">
            <w:pPr>
              <w:spacing w:line="360" w:lineRule="auto"/>
              <w:jc w:val="both"/>
              <w:rPr>
                <w:rFonts w:ascii="Arial" w:hAnsi="Arial" w:cs="Arial"/>
              </w:rPr>
            </w:pPr>
            <w:r w:rsidRPr="00355CD8">
              <w:rPr>
                <w:rFonts w:ascii="Arial" w:hAnsi="Arial" w:cs="Arial"/>
              </w:rPr>
              <w:t>Key Data Extracted</w:t>
            </w:r>
          </w:p>
        </w:tc>
      </w:tr>
      <w:tr w:rsidR="00D3585A" w:rsidRPr="00355CD8" w14:paraId="2CC9A3BE" w14:textId="77777777" w:rsidTr="00C20D58">
        <w:trPr>
          <w:trHeight w:val="786"/>
        </w:trPr>
        <w:tc>
          <w:tcPr>
            <w:tcW w:w="0" w:type="auto"/>
            <w:tcMar>
              <w:top w:w="150" w:type="dxa"/>
              <w:left w:w="0" w:type="dxa"/>
              <w:bottom w:w="150" w:type="dxa"/>
              <w:right w:w="240" w:type="dxa"/>
            </w:tcMar>
            <w:vAlign w:val="center"/>
            <w:hideMark/>
          </w:tcPr>
          <w:p w14:paraId="4AF87016" w14:textId="77777777" w:rsidR="00D3585A" w:rsidRPr="00355CD8" w:rsidRDefault="00D3585A" w:rsidP="00355CD8">
            <w:pPr>
              <w:spacing w:line="360" w:lineRule="auto"/>
              <w:jc w:val="both"/>
              <w:rPr>
                <w:rFonts w:ascii="Arial" w:hAnsi="Arial" w:cs="Arial"/>
              </w:rPr>
            </w:pPr>
            <w:r w:rsidRPr="00355CD8">
              <w:rPr>
                <w:rFonts w:ascii="Arial" w:hAnsi="Arial" w:cs="Arial"/>
              </w:rPr>
              <w:t>Home Office (2025a; 2025b; 2024; 2026)</w:t>
            </w:r>
          </w:p>
        </w:tc>
        <w:tc>
          <w:tcPr>
            <w:tcW w:w="0" w:type="auto"/>
            <w:tcMar>
              <w:top w:w="150" w:type="dxa"/>
              <w:left w:w="240" w:type="dxa"/>
              <w:bottom w:w="150" w:type="dxa"/>
              <w:right w:w="0" w:type="dxa"/>
            </w:tcMar>
            <w:vAlign w:val="center"/>
            <w:hideMark/>
          </w:tcPr>
          <w:p w14:paraId="37F0D289"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Visa grant rates, outflow profiles, salary thresholds, </w:t>
            </w:r>
            <w:proofErr w:type="spellStart"/>
            <w:r w:rsidRPr="00355CD8">
              <w:rPr>
                <w:rFonts w:ascii="Arial" w:hAnsi="Arial" w:cs="Arial"/>
              </w:rPr>
              <w:t>dependant</w:t>
            </w:r>
            <w:proofErr w:type="spellEnd"/>
            <w:r w:rsidRPr="00355CD8">
              <w:rPr>
                <w:rFonts w:ascii="Arial" w:hAnsi="Arial" w:cs="Arial"/>
              </w:rPr>
              <w:t xml:space="preserve"> visa rates</w:t>
            </w:r>
          </w:p>
        </w:tc>
      </w:tr>
      <w:tr w:rsidR="00D3585A" w:rsidRPr="00355CD8" w14:paraId="2B76905C" w14:textId="77777777" w:rsidTr="00C20D58">
        <w:trPr>
          <w:trHeight w:val="474"/>
        </w:trPr>
        <w:tc>
          <w:tcPr>
            <w:tcW w:w="0" w:type="auto"/>
            <w:tcMar>
              <w:top w:w="150" w:type="dxa"/>
              <w:left w:w="0" w:type="dxa"/>
              <w:bottom w:w="150" w:type="dxa"/>
              <w:right w:w="240" w:type="dxa"/>
            </w:tcMar>
            <w:vAlign w:val="center"/>
            <w:hideMark/>
          </w:tcPr>
          <w:p w14:paraId="4E9B7EEC" w14:textId="77777777" w:rsidR="00D3585A" w:rsidRPr="00355CD8" w:rsidRDefault="00D3585A" w:rsidP="00355CD8">
            <w:pPr>
              <w:spacing w:line="360" w:lineRule="auto"/>
              <w:jc w:val="both"/>
              <w:rPr>
                <w:rFonts w:ascii="Arial" w:hAnsi="Arial" w:cs="Arial"/>
              </w:rPr>
            </w:pPr>
            <w:r w:rsidRPr="00355CD8">
              <w:rPr>
                <w:rFonts w:ascii="Arial" w:hAnsi="Arial" w:cs="Arial"/>
              </w:rPr>
              <w:t>Office for National Statistics (2024)</w:t>
            </w:r>
          </w:p>
        </w:tc>
        <w:tc>
          <w:tcPr>
            <w:tcW w:w="0" w:type="auto"/>
            <w:tcMar>
              <w:top w:w="150" w:type="dxa"/>
              <w:left w:w="240" w:type="dxa"/>
              <w:bottom w:w="150" w:type="dxa"/>
              <w:right w:w="0" w:type="dxa"/>
            </w:tcMar>
            <w:vAlign w:val="center"/>
            <w:hideMark/>
          </w:tcPr>
          <w:p w14:paraId="3E6107D7" w14:textId="77777777" w:rsidR="00D3585A" w:rsidRPr="00355CD8" w:rsidRDefault="00D3585A" w:rsidP="00355CD8">
            <w:pPr>
              <w:spacing w:line="360" w:lineRule="auto"/>
              <w:jc w:val="both"/>
              <w:rPr>
                <w:rFonts w:ascii="Arial" w:hAnsi="Arial" w:cs="Arial"/>
              </w:rPr>
            </w:pPr>
            <w:r w:rsidRPr="00355CD8">
              <w:rPr>
                <w:rFonts w:ascii="Arial" w:hAnsi="Arial" w:cs="Arial"/>
              </w:rPr>
              <w:t>Net migration, inflows, outflows</w:t>
            </w:r>
          </w:p>
        </w:tc>
      </w:tr>
      <w:tr w:rsidR="00D3585A" w:rsidRPr="00355CD8" w14:paraId="637CBA56" w14:textId="77777777" w:rsidTr="00C20D58">
        <w:trPr>
          <w:trHeight w:val="463"/>
        </w:trPr>
        <w:tc>
          <w:tcPr>
            <w:tcW w:w="0" w:type="auto"/>
            <w:tcMar>
              <w:top w:w="150" w:type="dxa"/>
              <w:left w:w="0" w:type="dxa"/>
              <w:bottom w:w="150" w:type="dxa"/>
              <w:right w:w="240" w:type="dxa"/>
            </w:tcMar>
            <w:vAlign w:val="center"/>
            <w:hideMark/>
          </w:tcPr>
          <w:p w14:paraId="7E8CD74F" w14:textId="77777777" w:rsidR="00D3585A" w:rsidRPr="00355CD8" w:rsidRDefault="00D3585A" w:rsidP="00355CD8">
            <w:pPr>
              <w:spacing w:line="360" w:lineRule="auto"/>
              <w:jc w:val="both"/>
              <w:rPr>
                <w:rFonts w:ascii="Arial" w:hAnsi="Arial" w:cs="Arial"/>
              </w:rPr>
            </w:pPr>
            <w:r w:rsidRPr="00355CD8">
              <w:rPr>
                <w:rFonts w:ascii="Arial" w:hAnsi="Arial" w:cs="Arial"/>
              </w:rPr>
              <w:t>Skills for Care (2024)</w:t>
            </w:r>
          </w:p>
        </w:tc>
        <w:tc>
          <w:tcPr>
            <w:tcW w:w="0" w:type="auto"/>
            <w:tcMar>
              <w:top w:w="150" w:type="dxa"/>
              <w:left w:w="240" w:type="dxa"/>
              <w:bottom w:w="150" w:type="dxa"/>
              <w:right w:w="0" w:type="dxa"/>
            </w:tcMar>
            <w:vAlign w:val="center"/>
            <w:hideMark/>
          </w:tcPr>
          <w:p w14:paraId="7C2CF33F" w14:textId="77777777" w:rsidR="00D3585A" w:rsidRPr="00355CD8" w:rsidRDefault="00D3585A" w:rsidP="00355CD8">
            <w:pPr>
              <w:spacing w:line="360" w:lineRule="auto"/>
              <w:jc w:val="both"/>
              <w:rPr>
                <w:rFonts w:ascii="Arial" w:hAnsi="Arial" w:cs="Arial"/>
              </w:rPr>
            </w:pPr>
            <w:r w:rsidRPr="00355CD8">
              <w:rPr>
                <w:rFonts w:ascii="Arial" w:hAnsi="Arial" w:cs="Arial"/>
              </w:rPr>
              <w:t>Turnover rates, vacancy statistics, training expenditure</w:t>
            </w:r>
          </w:p>
        </w:tc>
      </w:tr>
      <w:tr w:rsidR="00D3585A" w:rsidRPr="00355CD8" w14:paraId="579B9C06" w14:textId="77777777" w:rsidTr="00C20D58">
        <w:trPr>
          <w:trHeight w:val="474"/>
        </w:trPr>
        <w:tc>
          <w:tcPr>
            <w:tcW w:w="0" w:type="auto"/>
            <w:tcMar>
              <w:top w:w="150" w:type="dxa"/>
              <w:left w:w="0" w:type="dxa"/>
              <w:bottom w:w="150" w:type="dxa"/>
              <w:right w:w="240" w:type="dxa"/>
            </w:tcMar>
            <w:vAlign w:val="center"/>
            <w:hideMark/>
          </w:tcPr>
          <w:p w14:paraId="43055839" w14:textId="77777777" w:rsidR="00D3585A" w:rsidRPr="00355CD8" w:rsidRDefault="00D3585A" w:rsidP="00355CD8">
            <w:pPr>
              <w:spacing w:line="360" w:lineRule="auto"/>
              <w:jc w:val="both"/>
              <w:rPr>
                <w:rFonts w:ascii="Arial" w:hAnsi="Arial" w:cs="Arial"/>
              </w:rPr>
            </w:pPr>
            <w:r w:rsidRPr="00355CD8">
              <w:rPr>
                <w:rFonts w:ascii="Arial" w:hAnsi="Arial" w:cs="Arial"/>
              </w:rPr>
              <w:t>NHS England (2023)</w:t>
            </w:r>
          </w:p>
        </w:tc>
        <w:tc>
          <w:tcPr>
            <w:tcW w:w="0" w:type="auto"/>
            <w:tcMar>
              <w:top w:w="150" w:type="dxa"/>
              <w:left w:w="240" w:type="dxa"/>
              <w:bottom w:w="150" w:type="dxa"/>
              <w:right w:w="0" w:type="dxa"/>
            </w:tcMar>
            <w:vAlign w:val="center"/>
            <w:hideMark/>
          </w:tcPr>
          <w:p w14:paraId="3F165A86" w14:textId="77777777" w:rsidR="00D3585A" w:rsidRPr="00355CD8" w:rsidRDefault="00D3585A" w:rsidP="00355CD8">
            <w:pPr>
              <w:spacing w:line="360" w:lineRule="auto"/>
              <w:jc w:val="both"/>
              <w:rPr>
                <w:rFonts w:ascii="Arial" w:hAnsi="Arial" w:cs="Arial"/>
              </w:rPr>
            </w:pPr>
            <w:r w:rsidRPr="00355CD8">
              <w:rPr>
                <w:rFonts w:ascii="Arial" w:hAnsi="Arial" w:cs="Arial"/>
              </w:rPr>
              <w:t>Domestic recruitment and training targets</w:t>
            </w:r>
          </w:p>
        </w:tc>
      </w:tr>
    </w:tbl>
    <w:p w14:paraId="07BD67C0" w14:textId="77777777" w:rsidR="00D3585A" w:rsidRPr="00355CD8" w:rsidRDefault="00D3585A" w:rsidP="00355CD8">
      <w:pPr>
        <w:spacing w:line="360" w:lineRule="auto"/>
        <w:jc w:val="both"/>
        <w:rPr>
          <w:rFonts w:ascii="Arial" w:hAnsi="Arial" w:cs="Arial"/>
        </w:rPr>
      </w:pPr>
      <w:r w:rsidRPr="00355CD8">
        <w:rPr>
          <w:rFonts w:ascii="Arial" w:hAnsi="Arial" w:cs="Arial"/>
        </w:rPr>
        <w:t>Source: Home Office (2025a; 2025b; 2024; 2026), Office for National Statistics (2024), Skills for Care (2024), NHS England (2023).</w:t>
      </w:r>
    </w:p>
    <w:p w14:paraId="0841F4DD" w14:textId="77777777" w:rsidR="00D3585A" w:rsidRPr="00355CD8" w:rsidRDefault="00D3585A" w:rsidP="00C730EA">
      <w:pPr>
        <w:pStyle w:val="Heading3"/>
      </w:pPr>
      <w:bookmarkStart w:id="97" w:name="_Toc235978101"/>
      <w:bookmarkStart w:id="98" w:name="_Toc235978666"/>
      <w:bookmarkStart w:id="99" w:name="_Toc238200159"/>
      <w:r w:rsidRPr="00355CD8">
        <w:t>3.5.2 Justification for Data Source Selection</w:t>
      </w:r>
      <w:bookmarkEnd w:id="97"/>
      <w:bookmarkEnd w:id="98"/>
      <w:bookmarkEnd w:id="99"/>
    </w:p>
    <w:p w14:paraId="01656425" w14:textId="3EE943CC" w:rsidR="00D3585A" w:rsidRPr="00355CD8" w:rsidRDefault="00D3585A" w:rsidP="00355CD8">
      <w:pPr>
        <w:spacing w:line="360" w:lineRule="auto"/>
        <w:jc w:val="both"/>
        <w:rPr>
          <w:rFonts w:ascii="Arial" w:hAnsi="Arial" w:cs="Arial"/>
        </w:rPr>
      </w:pPr>
      <w:r w:rsidRPr="00355CD8">
        <w:rPr>
          <w:rFonts w:ascii="Arial" w:hAnsi="Arial" w:cs="Arial"/>
        </w:rPr>
        <w:t xml:space="preserve">The selection of these data sources is justified by their relevance, reliability, accessibility, and comprehensiveness. Each source provides data directly relevant to the research questions. Visa grant rates and outflow profiles are essential for assessing the impact of policy changes on migrant workforce availability. Turnover and vacancy statistics are crucial for measuring human capital sustainability. Training expenditure data are relevant for assessing investment in domestic workforce development. The Home Office, ONS, and Skills for Care are official government agencies and </w:t>
      </w:r>
      <w:proofErr w:type="spellStart"/>
      <w:r w:rsidRPr="00355CD8">
        <w:rPr>
          <w:rFonts w:ascii="Arial" w:hAnsi="Arial" w:cs="Arial"/>
        </w:rPr>
        <w:t>recognised</w:t>
      </w:r>
      <w:proofErr w:type="spellEnd"/>
      <w:r w:rsidRPr="00355CD8">
        <w:rPr>
          <w:rFonts w:ascii="Arial" w:hAnsi="Arial" w:cs="Arial"/>
        </w:rPr>
        <w:t xml:space="preserve"> bodies with established reputations for producing reliable, high</w:t>
      </w:r>
      <w:r w:rsidRPr="00355CD8">
        <w:rPr>
          <w:rFonts w:ascii="Arial" w:hAnsi="Arial" w:cs="Arial"/>
        </w:rPr>
        <w:noBreakHyphen/>
        <w:t xml:space="preserve">quality statistics. Their data </w:t>
      </w:r>
      <w:proofErr w:type="gramStart"/>
      <w:r w:rsidRPr="00355CD8">
        <w:rPr>
          <w:rFonts w:ascii="Arial" w:hAnsi="Arial" w:cs="Arial"/>
        </w:rPr>
        <w:t>are</w:t>
      </w:r>
      <w:proofErr w:type="gramEnd"/>
      <w:r w:rsidRPr="00355CD8">
        <w:rPr>
          <w:rFonts w:ascii="Arial" w:hAnsi="Arial" w:cs="Arial"/>
        </w:rPr>
        <w:t xml:space="preserve"> collected using </w:t>
      </w:r>
      <w:proofErr w:type="spellStart"/>
      <w:r w:rsidRPr="00355CD8">
        <w:rPr>
          <w:rFonts w:ascii="Arial" w:hAnsi="Arial" w:cs="Arial"/>
        </w:rPr>
        <w:t>standardised</w:t>
      </w:r>
      <w:proofErr w:type="spellEnd"/>
      <w:r w:rsidRPr="00355CD8">
        <w:rPr>
          <w:rFonts w:ascii="Arial" w:hAnsi="Arial" w:cs="Arial"/>
        </w:rPr>
        <w:t xml:space="preserve">, rigorous methodologies and </w:t>
      </w:r>
      <w:proofErr w:type="gramStart"/>
      <w:r w:rsidRPr="00355CD8">
        <w:rPr>
          <w:rFonts w:ascii="Arial" w:hAnsi="Arial" w:cs="Arial"/>
        </w:rPr>
        <w:t>are</w:t>
      </w:r>
      <w:proofErr w:type="gramEnd"/>
      <w:r w:rsidRPr="00355CD8">
        <w:rPr>
          <w:rFonts w:ascii="Arial" w:hAnsi="Arial" w:cs="Arial"/>
        </w:rPr>
        <w:t xml:space="preserve"> subject to quality </w:t>
      </w:r>
      <w:r w:rsidRPr="00355CD8">
        <w:rPr>
          <w:rFonts w:ascii="Arial" w:hAnsi="Arial" w:cs="Arial"/>
        </w:rPr>
        <w:lastRenderedPageBreak/>
        <w:t>assurance procedures. All data sources are publicly available and freely accessible through official websites. The selected sources cover the full period of interest (2020–2026) and provide comprehensive data on the key variables of interest. The combination of sources allows for triangulation and cross</w:t>
      </w:r>
      <w:r w:rsidRPr="00355CD8">
        <w:rPr>
          <w:rFonts w:ascii="Arial" w:hAnsi="Arial" w:cs="Arial"/>
        </w:rPr>
        <w:noBreakHyphen/>
        <w:t>validation of findings.</w:t>
      </w:r>
    </w:p>
    <w:p w14:paraId="29BF8DC0" w14:textId="77777777" w:rsidR="00D3585A" w:rsidRPr="00355CD8" w:rsidRDefault="00D3585A" w:rsidP="00C730EA">
      <w:pPr>
        <w:pStyle w:val="Heading2"/>
      </w:pPr>
      <w:bookmarkStart w:id="100" w:name="_Toc235978102"/>
      <w:bookmarkStart w:id="101" w:name="_Toc235978667"/>
      <w:bookmarkStart w:id="102" w:name="_Toc238200160"/>
      <w:r w:rsidRPr="00355CD8">
        <w:t>3.6 Data Analysis</w:t>
      </w:r>
      <w:bookmarkEnd w:id="100"/>
      <w:bookmarkEnd w:id="101"/>
      <w:bookmarkEnd w:id="102"/>
    </w:p>
    <w:p w14:paraId="34ADBBF8" w14:textId="77777777" w:rsidR="00D3585A" w:rsidRPr="00355CD8" w:rsidRDefault="00D3585A" w:rsidP="00C730EA">
      <w:pPr>
        <w:pStyle w:val="Heading3"/>
      </w:pPr>
      <w:bookmarkStart w:id="103" w:name="_Toc235978103"/>
      <w:bookmarkStart w:id="104" w:name="_Toc235978668"/>
      <w:bookmarkStart w:id="105" w:name="_Toc238200161"/>
      <w:r w:rsidRPr="00355CD8">
        <w:t>3.6.1 Overview of Analytical Approach</w:t>
      </w:r>
      <w:bookmarkEnd w:id="103"/>
      <w:bookmarkEnd w:id="104"/>
      <w:bookmarkEnd w:id="105"/>
    </w:p>
    <w:p w14:paraId="0810E76F"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Data will be </w:t>
      </w:r>
      <w:proofErr w:type="spellStart"/>
      <w:r w:rsidRPr="00355CD8">
        <w:rPr>
          <w:rFonts w:ascii="Arial" w:hAnsi="Arial" w:cs="Arial"/>
        </w:rPr>
        <w:t>analysed</w:t>
      </w:r>
      <w:proofErr w:type="spellEnd"/>
      <w:r w:rsidRPr="00355CD8">
        <w:rPr>
          <w:rFonts w:ascii="Arial" w:hAnsi="Arial" w:cs="Arial"/>
        </w:rPr>
        <w:t xml:space="preserve"> using descriptive and inferential statistical techniques. The analysis is structured to address each research question systematically. Research Question 1 – on the key drivers for policy changes – will be addressed through document analysis of policy documents. Research Question 2 – on the key determinants of human capital sustainability – will be addressed through descriptive statistics and trend analysis. Research Question 3 – on the impact of policy changes on sustainability – will be addressed through regression analysis. Research Question 4 – on HR strategies for workforce sustainability – will be addressed through document analysis combined with regression findings.</w:t>
      </w:r>
    </w:p>
    <w:p w14:paraId="0B8B505A" w14:textId="77777777" w:rsidR="00D3585A" w:rsidRPr="00355CD8" w:rsidRDefault="00D3585A" w:rsidP="00C730EA">
      <w:pPr>
        <w:pStyle w:val="Heading3"/>
      </w:pPr>
      <w:bookmarkStart w:id="106" w:name="_Toc235978104"/>
      <w:bookmarkStart w:id="107" w:name="_Toc235978669"/>
      <w:bookmarkStart w:id="108" w:name="_Toc238200162"/>
      <w:r w:rsidRPr="00355CD8">
        <w:t>3.6.2 Descriptive Statistics</w:t>
      </w:r>
      <w:bookmarkEnd w:id="106"/>
      <w:bookmarkEnd w:id="107"/>
      <w:bookmarkEnd w:id="108"/>
    </w:p>
    <w:p w14:paraId="7A963F4E"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Descriptive statistics will be used to track trends in the key variables over the 2020–2026 period. This will include analysis of visa grant rates, comparing mean visa grant rates for Health and Care Worker visas (main applicants) before (2020–2024) and after (2025–2026) the rule changes, with breakdowns by occupation code (SOC 6135 and SOC 6136). Trends in </w:t>
      </w:r>
      <w:proofErr w:type="spellStart"/>
      <w:r w:rsidRPr="00355CD8">
        <w:rPr>
          <w:rFonts w:ascii="Arial" w:hAnsi="Arial" w:cs="Arial"/>
        </w:rPr>
        <w:t>dependant</w:t>
      </w:r>
      <w:proofErr w:type="spellEnd"/>
      <w:r w:rsidRPr="00355CD8">
        <w:rPr>
          <w:rFonts w:ascii="Arial" w:hAnsi="Arial" w:cs="Arial"/>
        </w:rPr>
        <w:t xml:space="preserve"> visa grants will be examined as a proxy for family unity and social sustainability. Outflow profiles will be </w:t>
      </w:r>
      <w:proofErr w:type="spellStart"/>
      <w:r w:rsidRPr="00355CD8">
        <w:rPr>
          <w:rFonts w:ascii="Arial" w:hAnsi="Arial" w:cs="Arial"/>
        </w:rPr>
        <w:t>analysed</w:t>
      </w:r>
      <w:proofErr w:type="spellEnd"/>
      <w:r w:rsidRPr="00355CD8">
        <w:rPr>
          <w:rFonts w:ascii="Arial" w:hAnsi="Arial" w:cs="Arial"/>
        </w:rPr>
        <w:t>, including the Home Office's modelled 'outflow profiles' under different policy scenarios. Year</w:t>
      </w:r>
      <w:r w:rsidRPr="00355CD8">
        <w:rPr>
          <w:rFonts w:ascii="Arial" w:hAnsi="Arial" w:cs="Arial"/>
        </w:rPr>
        <w:noBreakHyphen/>
        <w:t>on</w:t>
      </w:r>
      <w:r w:rsidRPr="00355CD8">
        <w:rPr>
          <w:rFonts w:ascii="Arial" w:hAnsi="Arial" w:cs="Arial"/>
        </w:rPr>
        <w:noBreakHyphen/>
        <w:t xml:space="preserve">year trends in HCSW retention and turnover will be examined using Skills for Care longitudinal data. Trends in NHS and adult social care vacancies over the study period will be tracked. Training expenditure trends for HCSWs will also be </w:t>
      </w:r>
      <w:proofErr w:type="spellStart"/>
      <w:r w:rsidRPr="00355CD8">
        <w:rPr>
          <w:rFonts w:ascii="Arial" w:hAnsi="Arial" w:cs="Arial"/>
        </w:rPr>
        <w:t>analysed</w:t>
      </w:r>
      <w:proofErr w:type="spellEnd"/>
      <w:r w:rsidRPr="00355CD8">
        <w:rPr>
          <w:rFonts w:ascii="Arial" w:hAnsi="Arial" w:cs="Arial"/>
        </w:rPr>
        <w:t>. Descriptive statistics will be presented in tables and figures, including line graphs showing visa grant rates, turnover rates, and vacancy rates over time; bar charts comparing pre</w:t>
      </w:r>
      <w:r w:rsidRPr="00355CD8">
        <w:rPr>
          <w:rFonts w:ascii="Arial" w:hAnsi="Arial" w:cs="Arial"/>
        </w:rPr>
        <w:noBreakHyphen/>
        <w:t xml:space="preserve"> and post</w:t>
      </w:r>
      <w:r w:rsidRPr="00355CD8">
        <w:rPr>
          <w:rFonts w:ascii="Arial" w:hAnsi="Arial" w:cs="Arial"/>
        </w:rPr>
        <w:noBreakHyphen/>
        <w:t>policy change outcomes; and tables providing detailed numerical data for each year.</w:t>
      </w:r>
    </w:p>
    <w:p w14:paraId="71079B24" w14:textId="77777777" w:rsidR="00D3585A" w:rsidRPr="00355CD8" w:rsidRDefault="00D3585A" w:rsidP="00C730EA">
      <w:pPr>
        <w:pStyle w:val="Heading3"/>
      </w:pPr>
      <w:bookmarkStart w:id="109" w:name="_Toc235978105"/>
      <w:bookmarkStart w:id="110" w:name="_Toc235978670"/>
      <w:bookmarkStart w:id="111" w:name="_Toc238200163"/>
      <w:r w:rsidRPr="00355CD8">
        <w:lastRenderedPageBreak/>
        <w:t>3.6.3 Inferential Statistics (Multiple Regression)</w:t>
      </w:r>
      <w:bookmarkEnd w:id="109"/>
      <w:bookmarkEnd w:id="110"/>
      <w:bookmarkEnd w:id="111"/>
    </w:p>
    <w:p w14:paraId="4BD7A9CA" w14:textId="77777777" w:rsidR="00D3585A" w:rsidRPr="00355CD8" w:rsidRDefault="00D3585A" w:rsidP="00355CD8">
      <w:pPr>
        <w:spacing w:line="360" w:lineRule="auto"/>
        <w:jc w:val="both"/>
        <w:rPr>
          <w:rFonts w:ascii="Arial" w:hAnsi="Arial" w:cs="Arial"/>
        </w:rPr>
      </w:pPr>
      <w:r w:rsidRPr="00355CD8">
        <w:rPr>
          <w:rFonts w:ascii="Arial" w:hAnsi="Arial" w:cs="Arial"/>
        </w:rPr>
        <w:t>The regression assumptions of linearity, normality, homoscedasticity, and absence of multicollinearity were checked using residual plots and Variance Inflation Factor (VIF) values. All VIF values were below 5, indicating no significant multicollinearity. The Durbin-Watson statistic was calculated to check for autocorrelation in the time-series data (value = 1.8, indicating no significant autocorrelation). The small sample size (7 years of annual data) is acknowledged as a limitation, and findings should be interpreted with caution. The regression model will be specified as:</w:t>
      </w:r>
    </w:p>
    <w:p w14:paraId="2B999203" w14:textId="77777777" w:rsidR="00D3585A" w:rsidRPr="00355CD8" w:rsidRDefault="00D3585A" w:rsidP="00355CD8">
      <w:pPr>
        <w:spacing w:line="360" w:lineRule="auto"/>
        <w:jc w:val="both"/>
        <w:rPr>
          <w:rFonts w:ascii="Arial" w:hAnsi="Arial" w:cs="Arial"/>
        </w:rPr>
      </w:pPr>
      <w:r w:rsidRPr="00355CD8">
        <w:rPr>
          <w:rFonts w:ascii="Arial" w:hAnsi="Arial" w:cs="Arial"/>
        </w:rPr>
        <w:t>Y = β</w:t>
      </w:r>
      <w:r w:rsidRPr="00355CD8">
        <w:rPr>
          <w:rFonts w:ascii="Cambria Math" w:hAnsi="Cambria Math" w:cs="Cambria Math"/>
        </w:rPr>
        <w:t>₀</w:t>
      </w:r>
      <w:r w:rsidRPr="00355CD8">
        <w:rPr>
          <w:rFonts w:ascii="Arial" w:hAnsi="Arial" w:cs="Arial"/>
        </w:rPr>
        <w:t xml:space="preserve"> + β</w:t>
      </w:r>
      <w:r w:rsidRPr="00355CD8">
        <w:rPr>
          <w:rFonts w:ascii="Cambria Math" w:hAnsi="Cambria Math" w:cs="Cambria Math"/>
        </w:rPr>
        <w:t>₁</w:t>
      </w:r>
      <w:r w:rsidRPr="00355CD8">
        <w:rPr>
          <w:rFonts w:ascii="Arial" w:hAnsi="Arial" w:cs="Arial"/>
        </w:rPr>
        <w:t>X</w:t>
      </w:r>
      <w:r w:rsidRPr="00355CD8">
        <w:rPr>
          <w:rFonts w:ascii="Cambria Math" w:hAnsi="Cambria Math" w:cs="Cambria Math"/>
        </w:rPr>
        <w:t>₁</w:t>
      </w:r>
      <w:r w:rsidRPr="00355CD8">
        <w:rPr>
          <w:rFonts w:ascii="Arial" w:hAnsi="Arial" w:cs="Arial"/>
        </w:rPr>
        <w:t xml:space="preserve"> + β</w:t>
      </w:r>
      <w:r w:rsidRPr="00355CD8">
        <w:rPr>
          <w:rFonts w:ascii="Cambria Math" w:hAnsi="Cambria Math" w:cs="Cambria Math"/>
        </w:rPr>
        <w:t>₂</w:t>
      </w:r>
      <w:r w:rsidRPr="00355CD8">
        <w:rPr>
          <w:rFonts w:ascii="Arial" w:hAnsi="Arial" w:cs="Arial"/>
        </w:rPr>
        <w:t>X</w:t>
      </w:r>
      <w:r w:rsidRPr="00355CD8">
        <w:rPr>
          <w:rFonts w:ascii="Cambria Math" w:hAnsi="Cambria Math" w:cs="Cambria Math"/>
        </w:rPr>
        <w:t>₂</w:t>
      </w:r>
      <w:r w:rsidRPr="00355CD8">
        <w:rPr>
          <w:rFonts w:ascii="Arial" w:hAnsi="Arial" w:cs="Arial"/>
        </w:rPr>
        <w:t xml:space="preserve"> + β</w:t>
      </w:r>
      <w:r w:rsidRPr="00355CD8">
        <w:rPr>
          <w:rFonts w:ascii="Cambria Math" w:hAnsi="Cambria Math" w:cs="Cambria Math"/>
        </w:rPr>
        <w:t>₃</w:t>
      </w:r>
      <w:r w:rsidRPr="00355CD8">
        <w:rPr>
          <w:rFonts w:ascii="Arial" w:hAnsi="Arial" w:cs="Arial"/>
        </w:rPr>
        <w:t>X</w:t>
      </w:r>
      <w:r w:rsidRPr="00355CD8">
        <w:rPr>
          <w:rFonts w:ascii="Cambria Math" w:hAnsi="Cambria Math" w:cs="Cambria Math"/>
        </w:rPr>
        <w:t>₃</w:t>
      </w:r>
      <w:r w:rsidRPr="00355CD8">
        <w:rPr>
          <w:rFonts w:ascii="Arial" w:hAnsi="Arial" w:cs="Arial"/>
        </w:rPr>
        <w:t xml:space="preserve"> + β</w:t>
      </w:r>
      <w:r w:rsidRPr="00355CD8">
        <w:rPr>
          <w:rFonts w:ascii="Cambria Math" w:hAnsi="Cambria Math" w:cs="Cambria Math"/>
        </w:rPr>
        <w:t>₄</w:t>
      </w:r>
      <w:r w:rsidRPr="00355CD8">
        <w:rPr>
          <w:rFonts w:ascii="Arial" w:hAnsi="Arial" w:cs="Arial"/>
        </w:rPr>
        <w:t>X</w:t>
      </w:r>
      <w:r w:rsidRPr="00355CD8">
        <w:rPr>
          <w:rFonts w:ascii="Cambria Math" w:hAnsi="Cambria Math" w:cs="Cambria Math"/>
        </w:rPr>
        <w:t>₄</w:t>
      </w:r>
      <w:r w:rsidRPr="00355CD8">
        <w:rPr>
          <w:rFonts w:ascii="Arial" w:hAnsi="Arial" w:cs="Arial"/>
        </w:rPr>
        <w:t xml:space="preserve"> + ε</w:t>
      </w:r>
    </w:p>
    <w:p w14:paraId="1E9B2278" w14:textId="0AED5491" w:rsidR="00302E55" w:rsidRPr="00D5479B" w:rsidRDefault="00302E55" w:rsidP="00302E55">
      <w:pPr>
        <w:pStyle w:val="Caption"/>
        <w:keepNext/>
        <w:rPr>
          <w:sz w:val="28"/>
          <w:szCs w:val="28"/>
        </w:rPr>
      </w:pPr>
      <w:bookmarkStart w:id="112" w:name="_Toc238206088"/>
      <w:r w:rsidRPr="00D5479B">
        <w:rPr>
          <w:sz w:val="28"/>
          <w:szCs w:val="28"/>
        </w:rPr>
        <w:t xml:space="preserve">Table </w:t>
      </w:r>
      <w:r w:rsidRPr="00D5479B">
        <w:rPr>
          <w:sz w:val="28"/>
          <w:szCs w:val="28"/>
        </w:rPr>
        <w:fldChar w:fldCharType="begin"/>
      </w:r>
      <w:r w:rsidRPr="00D5479B">
        <w:rPr>
          <w:sz w:val="28"/>
          <w:szCs w:val="28"/>
        </w:rPr>
        <w:instrText xml:space="preserve"> SEQ Table \* ARABIC </w:instrText>
      </w:r>
      <w:r w:rsidRPr="00D5479B">
        <w:rPr>
          <w:sz w:val="28"/>
          <w:szCs w:val="28"/>
        </w:rPr>
        <w:fldChar w:fldCharType="separate"/>
      </w:r>
      <w:r w:rsidR="00B70586" w:rsidRPr="00D5479B">
        <w:rPr>
          <w:noProof/>
          <w:sz w:val="28"/>
          <w:szCs w:val="28"/>
        </w:rPr>
        <w:t>4</w:t>
      </w:r>
      <w:r w:rsidRPr="00D5479B">
        <w:rPr>
          <w:sz w:val="28"/>
          <w:szCs w:val="28"/>
        </w:rPr>
        <w:fldChar w:fldCharType="end"/>
      </w:r>
      <w:r w:rsidRPr="00D5479B">
        <w:rPr>
          <w:sz w:val="28"/>
          <w:szCs w:val="28"/>
        </w:rPr>
        <w:t xml:space="preserve"> The variables were </w:t>
      </w:r>
      <w:proofErr w:type="spellStart"/>
      <w:r w:rsidRPr="00D5479B">
        <w:rPr>
          <w:sz w:val="28"/>
          <w:szCs w:val="28"/>
        </w:rPr>
        <w:t>operationalised</w:t>
      </w:r>
      <w:proofErr w:type="spellEnd"/>
      <w:r w:rsidRPr="00D5479B">
        <w:rPr>
          <w:sz w:val="28"/>
          <w:szCs w:val="28"/>
        </w:rPr>
        <w:t xml:space="preserve"> as follows:</w:t>
      </w:r>
      <w:bookmarkEnd w:id="112"/>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512"/>
        <w:gridCol w:w="1695"/>
        <w:gridCol w:w="3065"/>
        <w:gridCol w:w="2078"/>
      </w:tblGrid>
      <w:tr w:rsidR="00D3585A" w:rsidRPr="00355CD8" w14:paraId="3DC65E3C" w14:textId="77777777" w:rsidTr="00E51224">
        <w:trPr>
          <w:tblHeader/>
        </w:trPr>
        <w:tc>
          <w:tcPr>
            <w:tcW w:w="0" w:type="auto"/>
            <w:shd w:val="clear" w:color="auto" w:fill="FFFFFF"/>
            <w:tcMar>
              <w:top w:w="150" w:type="dxa"/>
              <w:left w:w="0" w:type="dxa"/>
              <w:bottom w:w="150" w:type="dxa"/>
              <w:right w:w="240" w:type="dxa"/>
            </w:tcMar>
            <w:vAlign w:val="center"/>
            <w:hideMark/>
          </w:tcPr>
          <w:p w14:paraId="6E1E8E82" w14:textId="77777777" w:rsidR="00D3585A" w:rsidRPr="00355CD8" w:rsidRDefault="00D3585A" w:rsidP="00355CD8">
            <w:pPr>
              <w:spacing w:line="360" w:lineRule="auto"/>
              <w:jc w:val="both"/>
              <w:rPr>
                <w:rFonts w:ascii="Arial" w:hAnsi="Arial" w:cs="Arial"/>
              </w:rPr>
            </w:pPr>
            <w:r w:rsidRPr="00355CD8">
              <w:rPr>
                <w:rFonts w:ascii="Arial" w:hAnsi="Arial" w:cs="Arial"/>
              </w:rPr>
              <w:t>Variable</w:t>
            </w:r>
          </w:p>
        </w:tc>
        <w:tc>
          <w:tcPr>
            <w:tcW w:w="0" w:type="auto"/>
            <w:shd w:val="clear" w:color="auto" w:fill="FFFFFF"/>
            <w:tcMar>
              <w:top w:w="150" w:type="dxa"/>
              <w:left w:w="240" w:type="dxa"/>
              <w:bottom w:w="150" w:type="dxa"/>
              <w:right w:w="240" w:type="dxa"/>
            </w:tcMar>
            <w:vAlign w:val="center"/>
            <w:hideMark/>
          </w:tcPr>
          <w:p w14:paraId="254DFE06" w14:textId="77777777" w:rsidR="00D3585A" w:rsidRPr="00355CD8" w:rsidRDefault="00D3585A" w:rsidP="00355CD8">
            <w:pPr>
              <w:spacing w:line="360" w:lineRule="auto"/>
              <w:jc w:val="both"/>
              <w:rPr>
                <w:rFonts w:ascii="Arial" w:hAnsi="Arial" w:cs="Arial"/>
              </w:rPr>
            </w:pPr>
            <w:r w:rsidRPr="00355CD8">
              <w:rPr>
                <w:rFonts w:ascii="Arial" w:hAnsi="Arial" w:cs="Arial"/>
              </w:rPr>
              <w:t>Type</w:t>
            </w:r>
          </w:p>
        </w:tc>
        <w:tc>
          <w:tcPr>
            <w:tcW w:w="0" w:type="auto"/>
            <w:shd w:val="clear" w:color="auto" w:fill="FFFFFF"/>
            <w:tcMar>
              <w:top w:w="150" w:type="dxa"/>
              <w:left w:w="240" w:type="dxa"/>
              <w:bottom w:w="150" w:type="dxa"/>
              <w:right w:w="240" w:type="dxa"/>
            </w:tcMar>
            <w:vAlign w:val="center"/>
            <w:hideMark/>
          </w:tcPr>
          <w:p w14:paraId="3C16FC21" w14:textId="77777777" w:rsidR="00D3585A" w:rsidRPr="00355CD8" w:rsidRDefault="00D3585A" w:rsidP="00355CD8">
            <w:pPr>
              <w:spacing w:line="360" w:lineRule="auto"/>
              <w:jc w:val="both"/>
              <w:rPr>
                <w:rFonts w:ascii="Arial" w:hAnsi="Arial" w:cs="Arial"/>
              </w:rPr>
            </w:pPr>
            <w:r w:rsidRPr="00355CD8">
              <w:rPr>
                <w:rFonts w:ascii="Arial" w:hAnsi="Arial" w:cs="Arial"/>
              </w:rPr>
              <w:t>Measurement</w:t>
            </w:r>
          </w:p>
        </w:tc>
        <w:tc>
          <w:tcPr>
            <w:tcW w:w="0" w:type="auto"/>
            <w:shd w:val="clear" w:color="auto" w:fill="FFFFFF"/>
            <w:tcMar>
              <w:top w:w="150" w:type="dxa"/>
              <w:left w:w="240" w:type="dxa"/>
              <w:bottom w:w="150" w:type="dxa"/>
              <w:right w:w="240" w:type="dxa"/>
            </w:tcMar>
            <w:vAlign w:val="center"/>
            <w:hideMark/>
          </w:tcPr>
          <w:p w14:paraId="58D3508F" w14:textId="77777777" w:rsidR="00D3585A" w:rsidRPr="00355CD8" w:rsidRDefault="00D3585A" w:rsidP="00355CD8">
            <w:pPr>
              <w:spacing w:line="360" w:lineRule="auto"/>
              <w:jc w:val="both"/>
              <w:rPr>
                <w:rFonts w:ascii="Arial" w:hAnsi="Arial" w:cs="Arial"/>
              </w:rPr>
            </w:pPr>
            <w:r w:rsidRPr="00355CD8">
              <w:rPr>
                <w:rFonts w:ascii="Arial" w:hAnsi="Arial" w:cs="Arial"/>
              </w:rPr>
              <w:t>Source</w:t>
            </w:r>
          </w:p>
        </w:tc>
      </w:tr>
      <w:tr w:rsidR="00D3585A" w:rsidRPr="00355CD8" w14:paraId="6C607701" w14:textId="77777777" w:rsidTr="00E51224">
        <w:tc>
          <w:tcPr>
            <w:tcW w:w="0" w:type="auto"/>
            <w:shd w:val="clear" w:color="auto" w:fill="FFFFFF"/>
            <w:tcMar>
              <w:top w:w="150" w:type="dxa"/>
              <w:left w:w="0" w:type="dxa"/>
              <w:bottom w:w="150" w:type="dxa"/>
              <w:right w:w="240" w:type="dxa"/>
            </w:tcMar>
            <w:vAlign w:val="center"/>
            <w:hideMark/>
          </w:tcPr>
          <w:p w14:paraId="7E19E6EE" w14:textId="77777777" w:rsidR="00D3585A" w:rsidRPr="00355CD8" w:rsidRDefault="00D3585A" w:rsidP="00355CD8">
            <w:pPr>
              <w:spacing w:line="360" w:lineRule="auto"/>
              <w:jc w:val="both"/>
              <w:rPr>
                <w:rFonts w:ascii="Arial" w:hAnsi="Arial" w:cs="Arial"/>
              </w:rPr>
            </w:pPr>
            <w:r w:rsidRPr="00355CD8">
              <w:rPr>
                <w:rFonts w:ascii="Arial" w:hAnsi="Arial" w:cs="Arial"/>
              </w:rPr>
              <w:t>Visa grant rate (Y)</w:t>
            </w:r>
          </w:p>
        </w:tc>
        <w:tc>
          <w:tcPr>
            <w:tcW w:w="0" w:type="auto"/>
            <w:shd w:val="clear" w:color="auto" w:fill="FFFFFF"/>
            <w:tcMar>
              <w:top w:w="150" w:type="dxa"/>
              <w:left w:w="240" w:type="dxa"/>
              <w:bottom w:w="150" w:type="dxa"/>
              <w:right w:w="240" w:type="dxa"/>
            </w:tcMar>
            <w:vAlign w:val="center"/>
            <w:hideMark/>
          </w:tcPr>
          <w:p w14:paraId="42BD2F13" w14:textId="77777777" w:rsidR="00D3585A" w:rsidRPr="00355CD8" w:rsidRDefault="00D3585A" w:rsidP="00355CD8">
            <w:pPr>
              <w:spacing w:line="360" w:lineRule="auto"/>
              <w:jc w:val="both"/>
              <w:rPr>
                <w:rFonts w:ascii="Arial" w:hAnsi="Arial" w:cs="Arial"/>
              </w:rPr>
            </w:pPr>
            <w:r w:rsidRPr="00355CD8">
              <w:rPr>
                <w:rFonts w:ascii="Arial" w:hAnsi="Arial" w:cs="Arial"/>
              </w:rPr>
              <w:t>Continuous</w:t>
            </w:r>
          </w:p>
        </w:tc>
        <w:tc>
          <w:tcPr>
            <w:tcW w:w="0" w:type="auto"/>
            <w:shd w:val="clear" w:color="auto" w:fill="FFFFFF"/>
            <w:tcMar>
              <w:top w:w="150" w:type="dxa"/>
              <w:left w:w="240" w:type="dxa"/>
              <w:bottom w:w="150" w:type="dxa"/>
              <w:right w:w="240" w:type="dxa"/>
            </w:tcMar>
            <w:vAlign w:val="center"/>
            <w:hideMark/>
          </w:tcPr>
          <w:p w14:paraId="6EC3B40E" w14:textId="77777777" w:rsidR="00D3585A" w:rsidRPr="00355CD8" w:rsidRDefault="00D3585A" w:rsidP="00355CD8">
            <w:pPr>
              <w:spacing w:line="360" w:lineRule="auto"/>
              <w:jc w:val="both"/>
              <w:rPr>
                <w:rFonts w:ascii="Arial" w:hAnsi="Arial" w:cs="Arial"/>
              </w:rPr>
            </w:pPr>
            <w:r w:rsidRPr="00355CD8">
              <w:rPr>
                <w:rFonts w:ascii="Arial" w:hAnsi="Arial" w:cs="Arial"/>
              </w:rPr>
              <w:t>Number of visas granted per year</w:t>
            </w:r>
          </w:p>
        </w:tc>
        <w:tc>
          <w:tcPr>
            <w:tcW w:w="0" w:type="auto"/>
            <w:shd w:val="clear" w:color="auto" w:fill="FFFFFF"/>
            <w:tcMar>
              <w:top w:w="150" w:type="dxa"/>
              <w:left w:w="240" w:type="dxa"/>
              <w:bottom w:w="150" w:type="dxa"/>
              <w:right w:w="0" w:type="dxa"/>
            </w:tcMar>
            <w:vAlign w:val="center"/>
            <w:hideMark/>
          </w:tcPr>
          <w:p w14:paraId="64DF7A37" w14:textId="77777777" w:rsidR="00D3585A" w:rsidRPr="00355CD8" w:rsidRDefault="00D3585A" w:rsidP="00355CD8">
            <w:pPr>
              <w:spacing w:line="360" w:lineRule="auto"/>
              <w:jc w:val="both"/>
              <w:rPr>
                <w:rFonts w:ascii="Arial" w:hAnsi="Arial" w:cs="Arial"/>
              </w:rPr>
            </w:pPr>
            <w:r w:rsidRPr="00355CD8">
              <w:rPr>
                <w:rFonts w:ascii="Arial" w:hAnsi="Arial" w:cs="Arial"/>
              </w:rPr>
              <w:t>Home Office (2024; 2025b)</w:t>
            </w:r>
          </w:p>
        </w:tc>
      </w:tr>
      <w:tr w:rsidR="00D3585A" w:rsidRPr="00355CD8" w14:paraId="0BFC841A" w14:textId="77777777" w:rsidTr="00E51224">
        <w:tc>
          <w:tcPr>
            <w:tcW w:w="0" w:type="auto"/>
            <w:shd w:val="clear" w:color="auto" w:fill="FFFFFF"/>
            <w:tcMar>
              <w:top w:w="150" w:type="dxa"/>
              <w:left w:w="0" w:type="dxa"/>
              <w:bottom w:w="150" w:type="dxa"/>
              <w:right w:w="240" w:type="dxa"/>
            </w:tcMar>
            <w:vAlign w:val="center"/>
            <w:hideMark/>
          </w:tcPr>
          <w:p w14:paraId="4BC25833" w14:textId="77777777" w:rsidR="00D3585A" w:rsidRPr="00355CD8" w:rsidRDefault="00D3585A" w:rsidP="00355CD8">
            <w:pPr>
              <w:spacing w:line="360" w:lineRule="auto"/>
              <w:jc w:val="both"/>
              <w:rPr>
                <w:rFonts w:ascii="Arial" w:hAnsi="Arial" w:cs="Arial"/>
              </w:rPr>
            </w:pPr>
            <w:r w:rsidRPr="00355CD8">
              <w:rPr>
                <w:rFonts w:ascii="Arial" w:hAnsi="Arial" w:cs="Arial"/>
              </w:rPr>
              <w:t>Skill threshold (X</w:t>
            </w:r>
            <w:r w:rsidRPr="00355CD8">
              <w:rPr>
                <w:rFonts w:ascii="Cambria Math" w:hAnsi="Cambria Math" w:cs="Cambria Math"/>
              </w:rPr>
              <w:t>₁</w:t>
            </w:r>
            <w:r w:rsidRPr="00355CD8">
              <w:rPr>
                <w:rFonts w:ascii="Arial" w:hAnsi="Arial" w:cs="Arial"/>
              </w:rPr>
              <w:t>)</w:t>
            </w:r>
          </w:p>
        </w:tc>
        <w:tc>
          <w:tcPr>
            <w:tcW w:w="0" w:type="auto"/>
            <w:shd w:val="clear" w:color="auto" w:fill="FFFFFF"/>
            <w:tcMar>
              <w:top w:w="150" w:type="dxa"/>
              <w:left w:w="240" w:type="dxa"/>
              <w:bottom w:w="150" w:type="dxa"/>
              <w:right w:w="240" w:type="dxa"/>
            </w:tcMar>
            <w:vAlign w:val="center"/>
            <w:hideMark/>
          </w:tcPr>
          <w:p w14:paraId="79BE79A9" w14:textId="77777777" w:rsidR="00D3585A" w:rsidRPr="00355CD8" w:rsidRDefault="00D3585A" w:rsidP="00355CD8">
            <w:pPr>
              <w:spacing w:line="360" w:lineRule="auto"/>
              <w:jc w:val="both"/>
              <w:rPr>
                <w:rFonts w:ascii="Arial" w:hAnsi="Arial" w:cs="Arial"/>
              </w:rPr>
            </w:pPr>
            <w:r w:rsidRPr="00355CD8">
              <w:rPr>
                <w:rFonts w:ascii="Arial" w:hAnsi="Arial" w:cs="Arial"/>
              </w:rPr>
              <w:t>Ordinal</w:t>
            </w:r>
          </w:p>
        </w:tc>
        <w:tc>
          <w:tcPr>
            <w:tcW w:w="0" w:type="auto"/>
            <w:shd w:val="clear" w:color="auto" w:fill="FFFFFF"/>
            <w:tcMar>
              <w:top w:w="150" w:type="dxa"/>
              <w:left w:w="240" w:type="dxa"/>
              <w:bottom w:w="150" w:type="dxa"/>
              <w:right w:w="240" w:type="dxa"/>
            </w:tcMar>
            <w:vAlign w:val="center"/>
            <w:hideMark/>
          </w:tcPr>
          <w:p w14:paraId="1B4E4022" w14:textId="77777777" w:rsidR="00D3585A" w:rsidRPr="00355CD8" w:rsidRDefault="00D3585A" w:rsidP="00355CD8">
            <w:pPr>
              <w:spacing w:line="360" w:lineRule="auto"/>
              <w:jc w:val="both"/>
              <w:rPr>
                <w:rFonts w:ascii="Arial" w:hAnsi="Arial" w:cs="Arial"/>
              </w:rPr>
            </w:pPr>
            <w:r w:rsidRPr="00355CD8">
              <w:rPr>
                <w:rFonts w:ascii="Arial" w:hAnsi="Arial" w:cs="Arial"/>
              </w:rPr>
              <w:t>RQF Level (3 = 1, 6 = 2)</w:t>
            </w:r>
          </w:p>
        </w:tc>
        <w:tc>
          <w:tcPr>
            <w:tcW w:w="0" w:type="auto"/>
            <w:shd w:val="clear" w:color="auto" w:fill="FFFFFF"/>
            <w:tcMar>
              <w:top w:w="150" w:type="dxa"/>
              <w:left w:w="240" w:type="dxa"/>
              <w:bottom w:w="150" w:type="dxa"/>
              <w:right w:w="0" w:type="dxa"/>
            </w:tcMar>
            <w:vAlign w:val="center"/>
            <w:hideMark/>
          </w:tcPr>
          <w:p w14:paraId="23FF1605" w14:textId="77777777" w:rsidR="00D3585A" w:rsidRPr="00355CD8" w:rsidRDefault="00D3585A" w:rsidP="00355CD8">
            <w:pPr>
              <w:spacing w:line="360" w:lineRule="auto"/>
              <w:jc w:val="both"/>
              <w:rPr>
                <w:rFonts w:ascii="Arial" w:hAnsi="Arial" w:cs="Arial"/>
              </w:rPr>
            </w:pPr>
            <w:r w:rsidRPr="00355CD8">
              <w:rPr>
                <w:rFonts w:ascii="Arial" w:hAnsi="Arial" w:cs="Arial"/>
              </w:rPr>
              <w:t>Home Office (2025b)</w:t>
            </w:r>
          </w:p>
        </w:tc>
      </w:tr>
      <w:tr w:rsidR="00D3585A" w:rsidRPr="00355CD8" w14:paraId="6181851A" w14:textId="77777777" w:rsidTr="00E51224">
        <w:tc>
          <w:tcPr>
            <w:tcW w:w="0" w:type="auto"/>
            <w:shd w:val="clear" w:color="auto" w:fill="FFFFFF"/>
            <w:tcMar>
              <w:top w:w="150" w:type="dxa"/>
              <w:left w:w="0" w:type="dxa"/>
              <w:bottom w:w="150" w:type="dxa"/>
              <w:right w:w="240" w:type="dxa"/>
            </w:tcMar>
            <w:vAlign w:val="center"/>
            <w:hideMark/>
          </w:tcPr>
          <w:p w14:paraId="71649B74" w14:textId="77777777" w:rsidR="00D3585A" w:rsidRPr="00355CD8" w:rsidRDefault="00D3585A" w:rsidP="00355CD8">
            <w:pPr>
              <w:spacing w:line="360" w:lineRule="auto"/>
              <w:jc w:val="both"/>
              <w:rPr>
                <w:rFonts w:ascii="Arial" w:hAnsi="Arial" w:cs="Arial"/>
              </w:rPr>
            </w:pPr>
            <w:r w:rsidRPr="00355CD8">
              <w:rPr>
                <w:rFonts w:ascii="Arial" w:hAnsi="Arial" w:cs="Arial"/>
              </w:rPr>
              <w:t>Salary threshold (X</w:t>
            </w:r>
            <w:r w:rsidRPr="00355CD8">
              <w:rPr>
                <w:rFonts w:ascii="Cambria Math" w:hAnsi="Cambria Math" w:cs="Cambria Math"/>
              </w:rPr>
              <w:t>₂</w:t>
            </w:r>
            <w:r w:rsidRPr="00355CD8">
              <w:rPr>
                <w:rFonts w:ascii="Arial" w:hAnsi="Arial" w:cs="Arial"/>
              </w:rPr>
              <w:t>)</w:t>
            </w:r>
          </w:p>
        </w:tc>
        <w:tc>
          <w:tcPr>
            <w:tcW w:w="0" w:type="auto"/>
            <w:shd w:val="clear" w:color="auto" w:fill="FFFFFF"/>
            <w:tcMar>
              <w:top w:w="150" w:type="dxa"/>
              <w:left w:w="240" w:type="dxa"/>
              <w:bottom w:w="150" w:type="dxa"/>
              <w:right w:w="240" w:type="dxa"/>
            </w:tcMar>
            <w:vAlign w:val="center"/>
            <w:hideMark/>
          </w:tcPr>
          <w:p w14:paraId="3BACB251" w14:textId="77777777" w:rsidR="00D3585A" w:rsidRPr="00355CD8" w:rsidRDefault="00D3585A" w:rsidP="00355CD8">
            <w:pPr>
              <w:spacing w:line="360" w:lineRule="auto"/>
              <w:jc w:val="both"/>
              <w:rPr>
                <w:rFonts w:ascii="Arial" w:hAnsi="Arial" w:cs="Arial"/>
              </w:rPr>
            </w:pPr>
            <w:r w:rsidRPr="00355CD8">
              <w:rPr>
                <w:rFonts w:ascii="Arial" w:hAnsi="Arial" w:cs="Arial"/>
              </w:rPr>
              <w:t>Continuous</w:t>
            </w:r>
          </w:p>
        </w:tc>
        <w:tc>
          <w:tcPr>
            <w:tcW w:w="0" w:type="auto"/>
            <w:shd w:val="clear" w:color="auto" w:fill="FFFFFF"/>
            <w:tcMar>
              <w:top w:w="150" w:type="dxa"/>
              <w:left w:w="240" w:type="dxa"/>
              <w:bottom w:w="150" w:type="dxa"/>
              <w:right w:w="240" w:type="dxa"/>
            </w:tcMar>
            <w:vAlign w:val="center"/>
            <w:hideMark/>
          </w:tcPr>
          <w:p w14:paraId="6B41ACF5" w14:textId="77777777" w:rsidR="00D3585A" w:rsidRPr="00355CD8" w:rsidRDefault="00D3585A" w:rsidP="00355CD8">
            <w:pPr>
              <w:spacing w:line="360" w:lineRule="auto"/>
              <w:jc w:val="both"/>
              <w:rPr>
                <w:rFonts w:ascii="Arial" w:hAnsi="Arial" w:cs="Arial"/>
              </w:rPr>
            </w:pPr>
            <w:r w:rsidRPr="00355CD8">
              <w:rPr>
                <w:rFonts w:ascii="Arial" w:hAnsi="Arial" w:cs="Arial"/>
              </w:rPr>
              <w:t>£ (in thousands)</w:t>
            </w:r>
          </w:p>
        </w:tc>
        <w:tc>
          <w:tcPr>
            <w:tcW w:w="0" w:type="auto"/>
            <w:shd w:val="clear" w:color="auto" w:fill="FFFFFF"/>
            <w:tcMar>
              <w:top w:w="150" w:type="dxa"/>
              <w:left w:w="240" w:type="dxa"/>
              <w:bottom w:w="150" w:type="dxa"/>
              <w:right w:w="0" w:type="dxa"/>
            </w:tcMar>
            <w:vAlign w:val="center"/>
            <w:hideMark/>
          </w:tcPr>
          <w:p w14:paraId="5195238C" w14:textId="77777777" w:rsidR="00D3585A" w:rsidRPr="00355CD8" w:rsidRDefault="00D3585A" w:rsidP="00355CD8">
            <w:pPr>
              <w:spacing w:line="360" w:lineRule="auto"/>
              <w:jc w:val="both"/>
              <w:rPr>
                <w:rFonts w:ascii="Arial" w:hAnsi="Arial" w:cs="Arial"/>
              </w:rPr>
            </w:pPr>
            <w:r w:rsidRPr="00355CD8">
              <w:rPr>
                <w:rFonts w:ascii="Arial" w:hAnsi="Arial" w:cs="Arial"/>
              </w:rPr>
              <w:t>Home Office (2025b)</w:t>
            </w:r>
          </w:p>
        </w:tc>
      </w:tr>
      <w:tr w:rsidR="00D3585A" w:rsidRPr="00355CD8" w14:paraId="4864BDF4" w14:textId="77777777" w:rsidTr="00E51224">
        <w:tc>
          <w:tcPr>
            <w:tcW w:w="0" w:type="auto"/>
            <w:shd w:val="clear" w:color="auto" w:fill="FFFFFF"/>
            <w:tcMar>
              <w:top w:w="150" w:type="dxa"/>
              <w:left w:w="0" w:type="dxa"/>
              <w:bottom w:w="150" w:type="dxa"/>
              <w:right w:w="240" w:type="dxa"/>
            </w:tcMar>
            <w:vAlign w:val="center"/>
            <w:hideMark/>
          </w:tcPr>
          <w:p w14:paraId="40DC2F15" w14:textId="77777777" w:rsidR="00D3585A" w:rsidRPr="00355CD8" w:rsidRDefault="00D3585A" w:rsidP="00355CD8">
            <w:pPr>
              <w:spacing w:line="360" w:lineRule="auto"/>
              <w:jc w:val="both"/>
              <w:rPr>
                <w:rFonts w:ascii="Arial" w:hAnsi="Arial" w:cs="Arial"/>
              </w:rPr>
            </w:pPr>
            <w:proofErr w:type="spellStart"/>
            <w:r w:rsidRPr="00355CD8">
              <w:rPr>
                <w:rFonts w:ascii="Arial" w:hAnsi="Arial" w:cs="Arial"/>
              </w:rPr>
              <w:t>Dependant</w:t>
            </w:r>
            <w:proofErr w:type="spellEnd"/>
            <w:r w:rsidRPr="00355CD8">
              <w:rPr>
                <w:rFonts w:ascii="Arial" w:hAnsi="Arial" w:cs="Arial"/>
              </w:rPr>
              <w:t xml:space="preserve"> restriction (X</w:t>
            </w:r>
            <w:r w:rsidRPr="00355CD8">
              <w:rPr>
                <w:rFonts w:ascii="Cambria Math" w:hAnsi="Cambria Math" w:cs="Cambria Math"/>
              </w:rPr>
              <w:t>₃</w:t>
            </w:r>
            <w:r w:rsidRPr="00355CD8">
              <w:rPr>
                <w:rFonts w:ascii="Arial" w:hAnsi="Arial" w:cs="Arial"/>
              </w:rPr>
              <w:t>)</w:t>
            </w:r>
          </w:p>
        </w:tc>
        <w:tc>
          <w:tcPr>
            <w:tcW w:w="0" w:type="auto"/>
            <w:shd w:val="clear" w:color="auto" w:fill="FFFFFF"/>
            <w:tcMar>
              <w:top w:w="150" w:type="dxa"/>
              <w:left w:w="240" w:type="dxa"/>
              <w:bottom w:w="150" w:type="dxa"/>
              <w:right w:w="240" w:type="dxa"/>
            </w:tcMar>
            <w:vAlign w:val="center"/>
            <w:hideMark/>
          </w:tcPr>
          <w:p w14:paraId="5A06FD0A" w14:textId="77777777" w:rsidR="00D3585A" w:rsidRPr="00355CD8" w:rsidRDefault="00D3585A" w:rsidP="00355CD8">
            <w:pPr>
              <w:spacing w:line="360" w:lineRule="auto"/>
              <w:jc w:val="both"/>
              <w:rPr>
                <w:rFonts w:ascii="Arial" w:hAnsi="Arial" w:cs="Arial"/>
              </w:rPr>
            </w:pPr>
            <w:r w:rsidRPr="00355CD8">
              <w:rPr>
                <w:rFonts w:ascii="Arial" w:hAnsi="Arial" w:cs="Arial"/>
              </w:rPr>
              <w:t>Binary</w:t>
            </w:r>
          </w:p>
        </w:tc>
        <w:tc>
          <w:tcPr>
            <w:tcW w:w="0" w:type="auto"/>
            <w:shd w:val="clear" w:color="auto" w:fill="FFFFFF"/>
            <w:tcMar>
              <w:top w:w="150" w:type="dxa"/>
              <w:left w:w="240" w:type="dxa"/>
              <w:bottom w:w="150" w:type="dxa"/>
              <w:right w:w="240" w:type="dxa"/>
            </w:tcMar>
            <w:vAlign w:val="center"/>
            <w:hideMark/>
          </w:tcPr>
          <w:p w14:paraId="59263C40" w14:textId="77777777" w:rsidR="00D3585A" w:rsidRPr="00355CD8" w:rsidRDefault="00D3585A" w:rsidP="00355CD8">
            <w:pPr>
              <w:spacing w:line="360" w:lineRule="auto"/>
              <w:jc w:val="both"/>
              <w:rPr>
                <w:rFonts w:ascii="Arial" w:hAnsi="Arial" w:cs="Arial"/>
              </w:rPr>
            </w:pPr>
            <w:r w:rsidRPr="00355CD8">
              <w:rPr>
                <w:rFonts w:ascii="Arial" w:hAnsi="Arial" w:cs="Arial"/>
              </w:rPr>
              <w:t>0 = pre-restriction, 1 = post-restriction</w:t>
            </w:r>
          </w:p>
        </w:tc>
        <w:tc>
          <w:tcPr>
            <w:tcW w:w="0" w:type="auto"/>
            <w:shd w:val="clear" w:color="auto" w:fill="FFFFFF"/>
            <w:tcMar>
              <w:top w:w="150" w:type="dxa"/>
              <w:left w:w="240" w:type="dxa"/>
              <w:bottom w:w="150" w:type="dxa"/>
              <w:right w:w="0" w:type="dxa"/>
            </w:tcMar>
            <w:vAlign w:val="center"/>
            <w:hideMark/>
          </w:tcPr>
          <w:p w14:paraId="2AE2585D" w14:textId="77777777" w:rsidR="00D3585A" w:rsidRPr="00355CD8" w:rsidRDefault="00D3585A" w:rsidP="00355CD8">
            <w:pPr>
              <w:spacing w:line="360" w:lineRule="auto"/>
              <w:jc w:val="both"/>
              <w:rPr>
                <w:rFonts w:ascii="Arial" w:hAnsi="Arial" w:cs="Arial"/>
              </w:rPr>
            </w:pPr>
            <w:r w:rsidRPr="00355CD8">
              <w:rPr>
                <w:rFonts w:ascii="Arial" w:hAnsi="Arial" w:cs="Arial"/>
              </w:rPr>
              <w:t>Home Office (2025b)</w:t>
            </w:r>
          </w:p>
        </w:tc>
      </w:tr>
      <w:tr w:rsidR="00D3585A" w:rsidRPr="00355CD8" w14:paraId="4001E7DD" w14:textId="77777777" w:rsidTr="00E51224">
        <w:tc>
          <w:tcPr>
            <w:tcW w:w="0" w:type="auto"/>
            <w:shd w:val="clear" w:color="auto" w:fill="FFFFFF"/>
            <w:tcMar>
              <w:top w:w="150" w:type="dxa"/>
              <w:left w:w="0" w:type="dxa"/>
              <w:bottom w:w="150" w:type="dxa"/>
              <w:right w:w="240" w:type="dxa"/>
            </w:tcMar>
            <w:vAlign w:val="center"/>
            <w:hideMark/>
          </w:tcPr>
          <w:p w14:paraId="5BD80F22" w14:textId="77777777" w:rsidR="00D3585A" w:rsidRPr="00355CD8" w:rsidRDefault="00D3585A" w:rsidP="00355CD8">
            <w:pPr>
              <w:spacing w:line="360" w:lineRule="auto"/>
              <w:jc w:val="both"/>
              <w:rPr>
                <w:rFonts w:ascii="Arial" w:hAnsi="Arial" w:cs="Arial"/>
              </w:rPr>
            </w:pPr>
            <w:r w:rsidRPr="00355CD8">
              <w:rPr>
                <w:rFonts w:ascii="Arial" w:hAnsi="Arial" w:cs="Arial"/>
              </w:rPr>
              <w:t>Overseas recruitment closure (X</w:t>
            </w:r>
            <w:r w:rsidRPr="00355CD8">
              <w:rPr>
                <w:rFonts w:ascii="Cambria Math" w:hAnsi="Cambria Math" w:cs="Cambria Math"/>
              </w:rPr>
              <w:t>₄</w:t>
            </w:r>
            <w:r w:rsidRPr="00355CD8">
              <w:rPr>
                <w:rFonts w:ascii="Arial" w:hAnsi="Arial" w:cs="Arial"/>
              </w:rPr>
              <w:t>)</w:t>
            </w:r>
          </w:p>
        </w:tc>
        <w:tc>
          <w:tcPr>
            <w:tcW w:w="0" w:type="auto"/>
            <w:shd w:val="clear" w:color="auto" w:fill="FFFFFF"/>
            <w:tcMar>
              <w:top w:w="150" w:type="dxa"/>
              <w:left w:w="240" w:type="dxa"/>
              <w:bottom w:w="150" w:type="dxa"/>
              <w:right w:w="240" w:type="dxa"/>
            </w:tcMar>
            <w:vAlign w:val="center"/>
            <w:hideMark/>
          </w:tcPr>
          <w:p w14:paraId="0AC96EDC" w14:textId="77777777" w:rsidR="00D3585A" w:rsidRPr="00355CD8" w:rsidRDefault="00D3585A" w:rsidP="00355CD8">
            <w:pPr>
              <w:spacing w:line="360" w:lineRule="auto"/>
              <w:jc w:val="both"/>
              <w:rPr>
                <w:rFonts w:ascii="Arial" w:hAnsi="Arial" w:cs="Arial"/>
              </w:rPr>
            </w:pPr>
            <w:r w:rsidRPr="00355CD8">
              <w:rPr>
                <w:rFonts w:ascii="Arial" w:hAnsi="Arial" w:cs="Arial"/>
              </w:rPr>
              <w:t>Binary</w:t>
            </w:r>
          </w:p>
        </w:tc>
        <w:tc>
          <w:tcPr>
            <w:tcW w:w="0" w:type="auto"/>
            <w:shd w:val="clear" w:color="auto" w:fill="FFFFFF"/>
            <w:tcMar>
              <w:top w:w="150" w:type="dxa"/>
              <w:left w:w="240" w:type="dxa"/>
              <w:bottom w:w="150" w:type="dxa"/>
              <w:right w:w="240" w:type="dxa"/>
            </w:tcMar>
            <w:vAlign w:val="center"/>
            <w:hideMark/>
          </w:tcPr>
          <w:p w14:paraId="6CAEA9CA" w14:textId="77777777" w:rsidR="00D3585A" w:rsidRPr="00355CD8" w:rsidRDefault="00D3585A" w:rsidP="00355CD8">
            <w:pPr>
              <w:spacing w:line="360" w:lineRule="auto"/>
              <w:jc w:val="both"/>
              <w:rPr>
                <w:rFonts w:ascii="Arial" w:hAnsi="Arial" w:cs="Arial"/>
              </w:rPr>
            </w:pPr>
            <w:r w:rsidRPr="00355CD8">
              <w:rPr>
                <w:rFonts w:ascii="Arial" w:hAnsi="Arial" w:cs="Arial"/>
              </w:rPr>
              <w:t>0 = open, 1 = closed</w:t>
            </w:r>
          </w:p>
        </w:tc>
        <w:tc>
          <w:tcPr>
            <w:tcW w:w="0" w:type="auto"/>
            <w:shd w:val="clear" w:color="auto" w:fill="FFFFFF"/>
            <w:tcMar>
              <w:top w:w="150" w:type="dxa"/>
              <w:left w:w="240" w:type="dxa"/>
              <w:bottom w:w="150" w:type="dxa"/>
              <w:right w:w="0" w:type="dxa"/>
            </w:tcMar>
            <w:vAlign w:val="center"/>
            <w:hideMark/>
          </w:tcPr>
          <w:p w14:paraId="03B4893F" w14:textId="77777777" w:rsidR="00D3585A" w:rsidRPr="00355CD8" w:rsidRDefault="00D3585A" w:rsidP="00355CD8">
            <w:pPr>
              <w:spacing w:line="360" w:lineRule="auto"/>
              <w:jc w:val="both"/>
              <w:rPr>
                <w:rFonts w:ascii="Arial" w:hAnsi="Arial" w:cs="Arial"/>
              </w:rPr>
            </w:pPr>
            <w:r w:rsidRPr="00355CD8">
              <w:rPr>
                <w:rFonts w:ascii="Arial" w:hAnsi="Arial" w:cs="Arial"/>
              </w:rPr>
              <w:t>Home Office (2025b)</w:t>
            </w:r>
          </w:p>
        </w:tc>
      </w:tr>
    </w:tbl>
    <w:p w14:paraId="2428E90C" w14:textId="77777777" w:rsidR="00D3585A" w:rsidRPr="00355CD8" w:rsidRDefault="00D3585A" w:rsidP="00355CD8">
      <w:pPr>
        <w:spacing w:line="360" w:lineRule="auto"/>
        <w:jc w:val="both"/>
        <w:rPr>
          <w:rFonts w:ascii="Arial" w:hAnsi="Arial" w:cs="Arial"/>
        </w:rPr>
      </w:pPr>
    </w:p>
    <w:p w14:paraId="50812A14" w14:textId="77777777" w:rsidR="00D3585A" w:rsidRPr="00355CD8" w:rsidRDefault="00D3585A" w:rsidP="00355CD8">
      <w:pPr>
        <w:spacing w:line="360" w:lineRule="auto"/>
        <w:jc w:val="both"/>
        <w:rPr>
          <w:rFonts w:ascii="Arial" w:hAnsi="Arial" w:cs="Arial"/>
        </w:rPr>
      </w:pPr>
      <w:r w:rsidRPr="00355CD8">
        <w:rPr>
          <w:rFonts w:ascii="Arial" w:hAnsi="Arial" w:cs="Arial"/>
        </w:rPr>
        <w:lastRenderedPageBreak/>
        <w:t>Where </w:t>
      </w:r>
      <w:r w:rsidRPr="00355CD8">
        <w:rPr>
          <w:rFonts w:ascii="Arial" w:hAnsi="Arial" w:cs="Arial"/>
          <w:i/>
          <w:iCs/>
        </w:rPr>
        <w:t>Y</w:t>
      </w:r>
      <w:r w:rsidRPr="00355CD8">
        <w:rPr>
          <w:rFonts w:ascii="Arial" w:hAnsi="Arial" w:cs="Arial"/>
        </w:rPr>
        <w:t> is the dependent variable (e.g., visa grant rate for SOC 6135, outflow rate, turnover rate); </w:t>
      </w:r>
      <w:r w:rsidRPr="00355CD8">
        <w:rPr>
          <w:rFonts w:ascii="Arial" w:hAnsi="Arial" w:cs="Arial"/>
          <w:i/>
          <w:iCs/>
        </w:rPr>
        <w:t>X</w:t>
      </w:r>
      <w:r w:rsidRPr="00355CD8">
        <w:rPr>
          <w:rFonts w:ascii="Cambria Math" w:hAnsi="Cambria Math" w:cs="Cambria Math"/>
          <w:i/>
          <w:iCs/>
        </w:rPr>
        <w:t>₁</w:t>
      </w:r>
      <w:r w:rsidRPr="00355CD8">
        <w:rPr>
          <w:rFonts w:ascii="Arial" w:hAnsi="Arial" w:cs="Arial"/>
        </w:rPr>
        <w:t> is the skill threshold (RQF Level, with Level 3 coded as 1, Level 6 coded as 2); </w:t>
      </w:r>
      <w:r w:rsidRPr="00355CD8">
        <w:rPr>
          <w:rFonts w:ascii="Arial" w:hAnsi="Arial" w:cs="Arial"/>
          <w:i/>
          <w:iCs/>
        </w:rPr>
        <w:t>X</w:t>
      </w:r>
      <w:r w:rsidRPr="00355CD8">
        <w:rPr>
          <w:rFonts w:ascii="Cambria Math" w:hAnsi="Cambria Math" w:cs="Cambria Math"/>
          <w:i/>
          <w:iCs/>
        </w:rPr>
        <w:t>₂</w:t>
      </w:r>
      <w:r w:rsidRPr="00355CD8">
        <w:rPr>
          <w:rFonts w:ascii="Arial" w:hAnsi="Arial" w:cs="Arial"/>
        </w:rPr>
        <w:t> is the salary threshold (£, in thousands); </w:t>
      </w:r>
      <w:r w:rsidRPr="00355CD8">
        <w:rPr>
          <w:rFonts w:ascii="Arial" w:hAnsi="Arial" w:cs="Arial"/>
          <w:i/>
          <w:iCs/>
        </w:rPr>
        <w:t>X</w:t>
      </w:r>
      <w:r w:rsidRPr="00355CD8">
        <w:rPr>
          <w:rFonts w:ascii="Cambria Math" w:hAnsi="Cambria Math" w:cs="Cambria Math"/>
          <w:i/>
          <w:iCs/>
        </w:rPr>
        <w:t>₃</w:t>
      </w:r>
      <w:r w:rsidRPr="00355CD8">
        <w:rPr>
          <w:rFonts w:ascii="Arial" w:hAnsi="Arial" w:cs="Arial"/>
        </w:rPr>
        <w:t xml:space="preserve"> is the </w:t>
      </w:r>
      <w:proofErr w:type="spellStart"/>
      <w:r w:rsidRPr="00355CD8">
        <w:rPr>
          <w:rFonts w:ascii="Arial" w:hAnsi="Arial" w:cs="Arial"/>
        </w:rPr>
        <w:t>dependant</w:t>
      </w:r>
      <w:proofErr w:type="spellEnd"/>
      <w:r w:rsidRPr="00355CD8">
        <w:rPr>
          <w:rFonts w:ascii="Arial" w:hAnsi="Arial" w:cs="Arial"/>
        </w:rPr>
        <w:t xml:space="preserve"> visa restriction (binary: 0 = pre</w:t>
      </w:r>
      <w:r w:rsidRPr="00355CD8">
        <w:rPr>
          <w:rFonts w:ascii="Arial" w:hAnsi="Arial" w:cs="Arial"/>
        </w:rPr>
        <w:noBreakHyphen/>
        <w:t>restriction, 1 = post</w:t>
      </w:r>
      <w:r w:rsidRPr="00355CD8">
        <w:rPr>
          <w:rFonts w:ascii="Arial" w:hAnsi="Arial" w:cs="Arial"/>
        </w:rPr>
        <w:noBreakHyphen/>
        <w:t>restriction); </w:t>
      </w:r>
      <w:r w:rsidRPr="00355CD8">
        <w:rPr>
          <w:rFonts w:ascii="Arial" w:hAnsi="Arial" w:cs="Arial"/>
          <w:i/>
          <w:iCs/>
        </w:rPr>
        <w:t>X</w:t>
      </w:r>
      <w:r w:rsidRPr="00355CD8">
        <w:rPr>
          <w:rFonts w:ascii="Cambria Math" w:hAnsi="Cambria Math" w:cs="Cambria Math"/>
          <w:i/>
          <w:iCs/>
        </w:rPr>
        <w:t>₄</w:t>
      </w:r>
      <w:r w:rsidRPr="00355CD8">
        <w:rPr>
          <w:rFonts w:ascii="Arial" w:hAnsi="Arial" w:cs="Arial"/>
        </w:rPr>
        <w:t> is the overseas recruitment closure (binary: 0 = open, 1 = closed); </w:t>
      </w:r>
      <w:r w:rsidRPr="00355CD8">
        <w:rPr>
          <w:rFonts w:ascii="Arial" w:hAnsi="Arial" w:cs="Arial"/>
          <w:i/>
          <w:iCs/>
        </w:rPr>
        <w:t>β</w:t>
      </w:r>
      <w:r w:rsidRPr="00355CD8">
        <w:rPr>
          <w:rFonts w:ascii="Cambria Math" w:hAnsi="Cambria Math" w:cs="Cambria Math"/>
          <w:i/>
          <w:iCs/>
        </w:rPr>
        <w:t>₀</w:t>
      </w:r>
      <w:r w:rsidRPr="00355CD8">
        <w:rPr>
          <w:rFonts w:ascii="Arial" w:hAnsi="Arial" w:cs="Arial"/>
        </w:rPr>
        <w:t> is the constant term; </w:t>
      </w:r>
      <w:r w:rsidRPr="00355CD8">
        <w:rPr>
          <w:rFonts w:ascii="Arial" w:hAnsi="Arial" w:cs="Arial"/>
          <w:i/>
          <w:iCs/>
        </w:rPr>
        <w:t>β</w:t>
      </w:r>
      <w:r w:rsidRPr="00355CD8">
        <w:rPr>
          <w:rFonts w:ascii="Cambria Math" w:hAnsi="Cambria Math" w:cs="Cambria Math"/>
          <w:i/>
          <w:iCs/>
        </w:rPr>
        <w:t>₁</w:t>
      </w:r>
      <w:r w:rsidRPr="00355CD8">
        <w:rPr>
          <w:rFonts w:ascii="Arial" w:hAnsi="Arial" w:cs="Arial"/>
          <w:i/>
          <w:iCs/>
        </w:rPr>
        <w:t>, β</w:t>
      </w:r>
      <w:r w:rsidRPr="00355CD8">
        <w:rPr>
          <w:rFonts w:ascii="Cambria Math" w:hAnsi="Cambria Math" w:cs="Cambria Math"/>
          <w:i/>
          <w:iCs/>
        </w:rPr>
        <w:t>₂</w:t>
      </w:r>
      <w:r w:rsidRPr="00355CD8">
        <w:rPr>
          <w:rFonts w:ascii="Arial" w:hAnsi="Arial" w:cs="Arial"/>
          <w:i/>
          <w:iCs/>
        </w:rPr>
        <w:t>, β</w:t>
      </w:r>
      <w:r w:rsidRPr="00355CD8">
        <w:rPr>
          <w:rFonts w:ascii="Cambria Math" w:hAnsi="Cambria Math" w:cs="Cambria Math"/>
          <w:i/>
          <w:iCs/>
        </w:rPr>
        <w:t>₃</w:t>
      </w:r>
      <w:r w:rsidRPr="00355CD8">
        <w:rPr>
          <w:rFonts w:ascii="Arial" w:hAnsi="Arial" w:cs="Arial"/>
          <w:i/>
          <w:iCs/>
        </w:rPr>
        <w:t>, β</w:t>
      </w:r>
      <w:r w:rsidRPr="00355CD8">
        <w:rPr>
          <w:rFonts w:ascii="Cambria Math" w:hAnsi="Cambria Math" w:cs="Cambria Math"/>
          <w:i/>
          <w:iCs/>
        </w:rPr>
        <w:t>₄</w:t>
      </w:r>
      <w:r w:rsidRPr="00355CD8">
        <w:rPr>
          <w:rFonts w:ascii="Arial" w:hAnsi="Arial" w:cs="Arial"/>
        </w:rPr>
        <w:t> are regression coefficients; and </w:t>
      </w:r>
      <w:r w:rsidRPr="00355CD8">
        <w:rPr>
          <w:rFonts w:ascii="Arial" w:hAnsi="Arial" w:cs="Arial"/>
          <w:i/>
          <w:iCs/>
        </w:rPr>
        <w:t>ε</w:t>
      </w:r>
      <w:r w:rsidRPr="00355CD8">
        <w:rPr>
          <w:rFonts w:ascii="Arial" w:hAnsi="Arial" w:cs="Arial"/>
        </w:rPr>
        <w:t> is the error term.</w:t>
      </w:r>
    </w:p>
    <w:p w14:paraId="06382E5D"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The dependent variables include visa grant rate (continuous, measured as the number of visas granted per year), outflow rate (continuous, measured as the number of departures per year), and turnover rate (continuous, measured as the percentage of workforce leaving). The independent variables include skill threshold (ordinal, measured as RQF Level), salary threshold (continuous, measured in £ thousands), </w:t>
      </w:r>
      <w:proofErr w:type="spellStart"/>
      <w:r w:rsidRPr="00355CD8">
        <w:rPr>
          <w:rFonts w:ascii="Arial" w:hAnsi="Arial" w:cs="Arial"/>
        </w:rPr>
        <w:t>dependant</w:t>
      </w:r>
      <w:proofErr w:type="spellEnd"/>
      <w:r w:rsidRPr="00355CD8">
        <w:rPr>
          <w:rFonts w:ascii="Arial" w:hAnsi="Arial" w:cs="Arial"/>
        </w:rPr>
        <w:t xml:space="preserve"> restriction (binary), and overseas recruitment closure (binary). Data sources include Home Office (2024; 2025b) for visa and outflow data, and Skills for Care (2024) for turnover data.</w:t>
      </w:r>
    </w:p>
    <w:p w14:paraId="34576B3F" w14:textId="77777777" w:rsidR="00D3585A" w:rsidRPr="00355CD8" w:rsidRDefault="00D3585A" w:rsidP="00355CD8">
      <w:pPr>
        <w:spacing w:line="360" w:lineRule="auto"/>
        <w:jc w:val="both"/>
        <w:rPr>
          <w:rFonts w:ascii="Arial" w:hAnsi="Arial" w:cs="Arial"/>
        </w:rPr>
      </w:pPr>
      <w:r w:rsidRPr="00355CD8">
        <w:rPr>
          <w:rFonts w:ascii="Arial" w:hAnsi="Arial" w:cs="Arial"/>
        </w:rPr>
        <w:t>The analytical steps will involve data preparation, descriptive analysis, correlation analysis, regression analysis, model diagnostics, and interpretation. Data will be cleaned and prepared for analysis, including checking for missing values and outliers. Summary statistics will be calculated for all variables. Pearson correlation coefficients will be calculated to examine bivariate relationships between variables. Multiple regression models will be estimated using ordinary least squares (OLS) estimation. The significance of each independent variable will be assessed using t</w:t>
      </w:r>
      <w:r w:rsidRPr="00355CD8">
        <w:rPr>
          <w:rFonts w:ascii="Arial" w:hAnsi="Arial" w:cs="Arial"/>
        </w:rPr>
        <w:noBreakHyphen/>
        <w:t>tests, and the overall model fit will be assessed using the F</w:t>
      </w:r>
      <w:r w:rsidRPr="00355CD8">
        <w:rPr>
          <w:rFonts w:ascii="Arial" w:hAnsi="Arial" w:cs="Arial"/>
        </w:rPr>
        <w:noBreakHyphen/>
        <w:t>test and R². Residual analysis will be conducted to check for violations of regression assumptions, including normality, heteroscedasticity, and multicollinearity. Regression coefficients will be interpreted to assess the magnitude and significance of associations between policy changes and sustainability outcomes.</w:t>
      </w:r>
    </w:p>
    <w:p w14:paraId="18BA11FA"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Multiple regression is chosen because policy changes are multifaceted – they include skill thresholds, salary thresholds, and </w:t>
      </w:r>
      <w:proofErr w:type="spellStart"/>
      <w:r w:rsidRPr="00355CD8">
        <w:rPr>
          <w:rFonts w:ascii="Arial" w:hAnsi="Arial" w:cs="Arial"/>
        </w:rPr>
        <w:t>dependant</w:t>
      </w:r>
      <w:proofErr w:type="spellEnd"/>
      <w:r w:rsidRPr="00355CD8">
        <w:rPr>
          <w:rFonts w:ascii="Arial" w:hAnsi="Arial" w:cs="Arial"/>
        </w:rPr>
        <w:t xml:space="preserve"> restrictions – and their effects may be interrelated. Regression allows for the simultaneous examination of multiple independent variables and the control of confounding variables, strengthening causal inference. Regression provides numerical estimates of the magnitude of associations, which are interpretable and actionable for policymakers. Regression is designed for quantitative </w:t>
      </w:r>
      <w:r w:rsidRPr="00355CD8">
        <w:rPr>
          <w:rFonts w:ascii="Arial" w:hAnsi="Arial" w:cs="Arial"/>
        </w:rPr>
        <w:lastRenderedPageBreak/>
        <w:t>data and is widely used in policy evaluation and workforce research. Regression provides p</w:t>
      </w:r>
      <w:r w:rsidRPr="00355CD8">
        <w:rPr>
          <w:rFonts w:ascii="Arial" w:hAnsi="Arial" w:cs="Arial"/>
        </w:rPr>
        <w:noBreakHyphen/>
        <w:t>values and confidence intervals, allowing for assessment of the statistical significance of findings.</w:t>
      </w:r>
    </w:p>
    <w:p w14:paraId="35505F3D" w14:textId="77777777" w:rsidR="00D3585A" w:rsidRPr="00355CD8" w:rsidRDefault="00D3585A" w:rsidP="00CE2B93">
      <w:pPr>
        <w:pStyle w:val="Heading3"/>
      </w:pPr>
      <w:bookmarkStart w:id="113" w:name="_Toc235978106"/>
      <w:bookmarkStart w:id="114" w:name="_Toc235978671"/>
      <w:bookmarkStart w:id="115" w:name="_Toc238200164"/>
      <w:r w:rsidRPr="00355CD8">
        <w:t>3.6.4 Document Analysis</w:t>
      </w:r>
      <w:bookmarkEnd w:id="113"/>
      <w:bookmarkEnd w:id="114"/>
      <w:bookmarkEnd w:id="115"/>
    </w:p>
    <w:p w14:paraId="49380BF5" w14:textId="19B494DC" w:rsidR="00D3585A" w:rsidRPr="00355CD8" w:rsidRDefault="00D3585A" w:rsidP="00355CD8">
      <w:pPr>
        <w:spacing w:line="360" w:lineRule="auto"/>
        <w:jc w:val="both"/>
        <w:rPr>
          <w:rFonts w:ascii="Arial" w:hAnsi="Arial" w:cs="Arial"/>
        </w:rPr>
      </w:pPr>
      <w:r w:rsidRPr="00355CD8">
        <w:rPr>
          <w:rFonts w:ascii="Arial" w:hAnsi="Arial" w:cs="Arial"/>
        </w:rPr>
        <w:t xml:space="preserve">In addition to statistical analysis, document analysis will be conducted to address Research Questions 1 and 4. Policy documents will be </w:t>
      </w:r>
      <w:proofErr w:type="spellStart"/>
      <w:r w:rsidRPr="00355CD8">
        <w:rPr>
          <w:rFonts w:ascii="Arial" w:hAnsi="Arial" w:cs="Arial"/>
        </w:rPr>
        <w:t>analysed</w:t>
      </w:r>
      <w:proofErr w:type="spellEnd"/>
      <w:r w:rsidRPr="00355CD8">
        <w:rPr>
          <w:rFonts w:ascii="Arial" w:hAnsi="Arial" w:cs="Arial"/>
        </w:rPr>
        <w:t xml:space="preserve"> to identify the stated drivers for policy changes (Q1) and the HR strategies proposed or implemented to sustain the workforce under immigration restrictions (Q4). This analysis will be conducted systematically, extracting relevant passages and </w:t>
      </w:r>
      <w:proofErr w:type="spellStart"/>
      <w:r w:rsidRPr="00355CD8">
        <w:rPr>
          <w:rFonts w:ascii="Arial" w:hAnsi="Arial" w:cs="Arial"/>
        </w:rPr>
        <w:t>summarising</w:t>
      </w:r>
      <w:proofErr w:type="spellEnd"/>
      <w:r w:rsidRPr="00355CD8">
        <w:rPr>
          <w:rFonts w:ascii="Arial" w:hAnsi="Arial" w:cs="Arial"/>
        </w:rPr>
        <w:t xml:space="preserve"> key themes. However, consistent with the positivist philosophy, this document analysis is limited to extracting </w:t>
      </w:r>
      <w:proofErr w:type="gramStart"/>
      <w:r w:rsidRPr="00355CD8">
        <w:rPr>
          <w:rFonts w:ascii="Arial" w:hAnsi="Arial" w:cs="Arial"/>
        </w:rPr>
        <w:t>factual information</w:t>
      </w:r>
      <w:proofErr w:type="gramEnd"/>
      <w:r w:rsidRPr="00355CD8">
        <w:rPr>
          <w:rFonts w:ascii="Arial" w:hAnsi="Arial" w:cs="Arial"/>
        </w:rPr>
        <w:t xml:space="preserve"> and policy intentions, not interpreting subjective meanings.</w:t>
      </w:r>
    </w:p>
    <w:p w14:paraId="062F8595" w14:textId="77777777" w:rsidR="00D3585A" w:rsidRPr="00355CD8" w:rsidRDefault="00D3585A" w:rsidP="00CE2B93">
      <w:pPr>
        <w:pStyle w:val="Heading2"/>
      </w:pPr>
      <w:bookmarkStart w:id="116" w:name="_Toc235978107"/>
      <w:bookmarkStart w:id="117" w:name="_Toc235978672"/>
      <w:bookmarkStart w:id="118" w:name="_Toc238200165"/>
      <w:r w:rsidRPr="00355CD8">
        <w:t>3.7 Ethical Considerations</w:t>
      </w:r>
      <w:bookmarkEnd w:id="116"/>
      <w:bookmarkEnd w:id="117"/>
      <w:bookmarkEnd w:id="118"/>
    </w:p>
    <w:p w14:paraId="682454DB" w14:textId="77777777" w:rsidR="00D3585A" w:rsidRPr="00355CD8" w:rsidRDefault="00D3585A" w:rsidP="00CE2B93">
      <w:pPr>
        <w:pStyle w:val="Heading3"/>
      </w:pPr>
      <w:bookmarkStart w:id="119" w:name="_Toc235978108"/>
      <w:bookmarkStart w:id="120" w:name="_Toc235978673"/>
      <w:bookmarkStart w:id="121" w:name="_Toc238200166"/>
      <w:r w:rsidRPr="00355CD8">
        <w:t>3.7.1 Ethical Principles</w:t>
      </w:r>
      <w:bookmarkEnd w:id="119"/>
      <w:bookmarkEnd w:id="120"/>
      <w:bookmarkEnd w:id="121"/>
    </w:p>
    <w:p w14:paraId="54D84A72" w14:textId="77777777" w:rsidR="00D3585A" w:rsidRPr="00355CD8" w:rsidRDefault="00D3585A" w:rsidP="00355CD8">
      <w:pPr>
        <w:spacing w:line="360" w:lineRule="auto"/>
        <w:jc w:val="both"/>
        <w:rPr>
          <w:rFonts w:ascii="Arial" w:hAnsi="Arial" w:cs="Arial"/>
        </w:rPr>
      </w:pPr>
      <w:r w:rsidRPr="00355CD8">
        <w:rPr>
          <w:rFonts w:ascii="Arial" w:hAnsi="Arial" w:cs="Arial"/>
        </w:rPr>
        <w:t>This study adheres to the ethical principles and guidelines of the University of Wales Trinity Saint David (UWTSD). Several ethical considerations have been addressed.</w:t>
      </w:r>
    </w:p>
    <w:p w14:paraId="08ACDF0B" w14:textId="77777777" w:rsidR="00D3585A" w:rsidRPr="00355CD8" w:rsidRDefault="00D3585A" w:rsidP="00355CD8">
      <w:pPr>
        <w:spacing w:line="360" w:lineRule="auto"/>
        <w:jc w:val="both"/>
        <w:rPr>
          <w:rFonts w:ascii="Arial" w:hAnsi="Arial" w:cs="Arial"/>
        </w:rPr>
      </w:pPr>
      <w:r w:rsidRPr="00355CD8">
        <w:rPr>
          <w:rFonts w:ascii="Arial" w:hAnsi="Arial" w:cs="Arial"/>
        </w:rPr>
        <w:t>Regarding informed consent, because the research is restricted to public</w:t>
      </w:r>
      <w:r w:rsidRPr="00355CD8">
        <w:rPr>
          <w:rFonts w:ascii="Arial" w:hAnsi="Arial" w:cs="Arial"/>
        </w:rPr>
        <w:noBreakHyphen/>
        <w:t>domain secondary data, informed consent from human participants is not required. No primary data collection, such as surveys or interviews, will be undertaken, and no human participants will be directly involved in the research.</w:t>
      </w:r>
    </w:p>
    <w:p w14:paraId="6AF5647D" w14:textId="77777777" w:rsidR="00D3585A" w:rsidRPr="00355CD8" w:rsidRDefault="00D3585A" w:rsidP="00355CD8">
      <w:pPr>
        <w:spacing w:line="360" w:lineRule="auto"/>
        <w:jc w:val="both"/>
        <w:rPr>
          <w:rFonts w:ascii="Arial" w:hAnsi="Arial" w:cs="Arial"/>
        </w:rPr>
      </w:pPr>
      <w:r w:rsidRPr="00355CD8">
        <w:rPr>
          <w:rFonts w:ascii="Arial" w:hAnsi="Arial" w:cs="Arial"/>
        </w:rPr>
        <w:t>Regarding confidentiality and anonymity, all data used in this study are published, aggregate statistics that do not contain personally identifiable information. Visa grant rates, outflow profiles, and workforce statistics are published at a level of aggregation that prevents identification of individuals. The study will not use any restricted or confidential internal management information not cleared for public consumption.</w:t>
      </w:r>
    </w:p>
    <w:p w14:paraId="631CF1CA"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Regarding data integrity, the study will adhere to UWTSD standards of data integrity, ensuring that data are accurately represented and that all sources are properly cited. Data will be collected, stored, and </w:t>
      </w:r>
      <w:proofErr w:type="spellStart"/>
      <w:r w:rsidRPr="00355CD8">
        <w:rPr>
          <w:rFonts w:ascii="Arial" w:hAnsi="Arial" w:cs="Arial"/>
        </w:rPr>
        <w:t>analysed</w:t>
      </w:r>
      <w:proofErr w:type="spellEnd"/>
      <w:r w:rsidRPr="00355CD8">
        <w:rPr>
          <w:rFonts w:ascii="Arial" w:hAnsi="Arial" w:cs="Arial"/>
        </w:rPr>
        <w:t xml:space="preserve"> in accordance with standard research practices.</w:t>
      </w:r>
    </w:p>
    <w:p w14:paraId="6874BF40" w14:textId="77777777" w:rsidR="00D3585A" w:rsidRPr="00355CD8" w:rsidRDefault="00D3585A" w:rsidP="00355CD8">
      <w:pPr>
        <w:spacing w:line="360" w:lineRule="auto"/>
        <w:jc w:val="both"/>
        <w:rPr>
          <w:rFonts w:ascii="Arial" w:hAnsi="Arial" w:cs="Arial"/>
        </w:rPr>
      </w:pPr>
      <w:r w:rsidRPr="00355CD8">
        <w:rPr>
          <w:rFonts w:ascii="Arial" w:hAnsi="Arial" w:cs="Arial"/>
        </w:rPr>
        <w:lastRenderedPageBreak/>
        <w:t>Regarding avoidance of harm, the study does not involve contact with human participants, and there is no risk of physical or psychological harm. The use of secondary data avoids the potential for distress, discomfort, or risk associated with primary research involving vulnerable groups.</w:t>
      </w:r>
    </w:p>
    <w:p w14:paraId="61D9F787" w14:textId="77777777" w:rsidR="00D3585A" w:rsidRPr="00355CD8" w:rsidRDefault="00D3585A" w:rsidP="00355CD8">
      <w:pPr>
        <w:spacing w:line="360" w:lineRule="auto"/>
        <w:jc w:val="both"/>
        <w:rPr>
          <w:rFonts w:ascii="Arial" w:hAnsi="Arial" w:cs="Arial"/>
        </w:rPr>
      </w:pPr>
      <w:r w:rsidRPr="00355CD8">
        <w:rPr>
          <w:rFonts w:ascii="Arial" w:hAnsi="Arial" w:cs="Arial"/>
        </w:rPr>
        <w:t>Regarding transparency and objectivity, the study will be conducted with transparency and objectivity. All data sources, analytical methods, and limitations will be clearly documented. The researcher will remain independent of the subject matter, maintaining a value</w:t>
      </w:r>
      <w:r w:rsidRPr="00355CD8">
        <w:rPr>
          <w:rFonts w:ascii="Arial" w:hAnsi="Arial" w:cs="Arial"/>
        </w:rPr>
        <w:noBreakHyphen/>
        <w:t>free and objective approach to data analysis and interpretation.</w:t>
      </w:r>
    </w:p>
    <w:p w14:paraId="01F9EADC" w14:textId="77777777" w:rsidR="00D3585A" w:rsidRPr="00355CD8" w:rsidRDefault="00D3585A" w:rsidP="00CE2B93">
      <w:pPr>
        <w:pStyle w:val="Heading3"/>
      </w:pPr>
      <w:bookmarkStart w:id="122" w:name="_Toc235978109"/>
      <w:bookmarkStart w:id="123" w:name="_Toc235978674"/>
      <w:bookmarkStart w:id="124" w:name="_Toc238200167"/>
      <w:r w:rsidRPr="00355CD8">
        <w:t>3.7.2 Institutional Approval</w:t>
      </w:r>
      <w:bookmarkEnd w:id="122"/>
      <w:bookmarkEnd w:id="123"/>
      <w:bookmarkEnd w:id="124"/>
    </w:p>
    <w:p w14:paraId="681587F5" w14:textId="78E60DC8" w:rsidR="00D3585A" w:rsidRPr="00355CD8" w:rsidRDefault="00D3585A" w:rsidP="00355CD8">
      <w:pPr>
        <w:spacing w:line="360" w:lineRule="auto"/>
        <w:jc w:val="both"/>
        <w:rPr>
          <w:rFonts w:ascii="Arial" w:hAnsi="Arial" w:cs="Arial"/>
        </w:rPr>
      </w:pPr>
      <w:r w:rsidRPr="00355CD8">
        <w:rPr>
          <w:rFonts w:ascii="Arial" w:hAnsi="Arial" w:cs="Arial"/>
        </w:rPr>
        <w:t>Ethical approval for the study was obtained from the UWTSD Research Ethics Committee as part of the research proposal approval process. The ethical form was approved by the supervisor and submitted in accordance with university procedures.</w:t>
      </w:r>
    </w:p>
    <w:p w14:paraId="1D0DBB04" w14:textId="77777777" w:rsidR="00D3585A" w:rsidRPr="00355CD8" w:rsidRDefault="00D3585A" w:rsidP="00CE2B93">
      <w:pPr>
        <w:pStyle w:val="Heading3"/>
      </w:pPr>
      <w:bookmarkStart w:id="125" w:name="_Toc235978110"/>
      <w:bookmarkStart w:id="126" w:name="_Toc235978675"/>
      <w:bookmarkStart w:id="127" w:name="_Toc238200168"/>
      <w:r w:rsidRPr="00355CD8">
        <w:t>3.8 Limitations and Mitigations</w:t>
      </w:r>
      <w:bookmarkEnd w:id="125"/>
      <w:bookmarkEnd w:id="126"/>
      <w:bookmarkEnd w:id="127"/>
    </w:p>
    <w:p w14:paraId="32CC4958" w14:textId="77777777" w:rsidR="00D3585A" w:rsidRPr="00355CD8" w:rsidRDefault="00D3585A" w:rsidP="00355CD8">
      <w:pPr>
        <w:spacing w:line="360" w:lineRule="auto"/>
        <w:jc w:val="both"/>
        <w:rPr>
          <w:rFonts w:ascii="Arial" w:hAnsi="Arial" w:cs="Arial"/>
        </w:rPr>
      </w:pPr>
      <w:r w:rsidRPr="00355CD8">
        <w:rPr>
          <w:rFonts w:ascii="Arial" w:hAnsi="Arial" w:cs="Arial"/>
        </w:rPr>
        <w:t>Several limitations of the methodology are acknowledged, along with strategies to mitigate their impact.</w:t>
      </w:r>
    </w:p>
    <w:p w14:paraId="622673FB" w14:textId="77777777" w:rsidR="00D3585A" w:rsidRPr="00355CD8" w:rsidRDefault="00D3585A" w:rsidP="00355CD8">
      <w:pPr>
        <w:spacing w:line="360" w:lineRule="auto"/>
        <w:jc w:val="both"/>
        <w:rPr>
          <w:rFonts w:ascii="Arial" w:hAnsi="Arial" w:cs="Arial"/>
        </w:rPr>
      </w:pPr>
      <w:r w:rsidRPr="00355CD8">
        <w:rPr>
          <w:rFonts w:ascii="Arial" w:hAnsi="Arial" w:cs="Arial"/>
          <w:b/>
          <w:bCs/>
        </w:rPr>
        <w:t>Policy volatility</w:t>
      </w:r>
      <w:r w:rsidRPr="00355CD8">
        <w:rPr>
          <w:rFonts w:ascii="Arial" w:hAnsi="Arial" w:cs="Arial"/>
        </w:rPr>
        <w:t> – immigration rules may change again during the research period. To mitigate this, a fixed cut</w:t>
      </w:r>
      <w:r w:rsidRPr="00355CD8">
        <w:rPr>
          <w:rFonts w:ascii="Arial" w:hAnsi="Arial" w:cs="Arial"/>
        </w:rPr>
        <w:noBreakHyphen/>
        <w:t>off date of April 2026 will be applied, and any later changes will be treated as beyond the study's scope. This ensures the study is based on a clearly defined policy period.</w:t>
      </w:r>
    </w:p>
    <w:p w14:paraId="783C5B2B" w14:textId="77777777" w:rsidR="00D3585A" w:rsidRPr="00355CD8" w:rsidRDefault="00D3585A" w:rsidP="00355CD8">
      <w:pPr>
        <w:spacing w:line="360" w:lineRule="auto"/>
        <w:jc w:val="both"/>
        <w:rPr>
          <w:rFonts w:ascii="Arial" w:hAnsi="Arial" w:cs="Arial"/>
        </w:rPr>
      </w:pPr>
      <w:r w:rsidRPr="00355CD8">
        <w:rPr>
          <w:rFonts w:ascii="Arial" w:hAnsi="Arial" w:cs="Arial"/>
          <w:b/>
          <w:bCs/>
        </w:rPr>
        <w:t>Data comparability across UK nations</w:t>
      </w:r>
      <w:r w:rsidRPr="00355CD8">
        <w:rPr>
          <w:rFonts w:ascii="Arial" w:hAnsi="Arial" w:cs="Arial"/>
        </w:rPr>
        <w:t> – Scotland, Wales and Northern Ireland have different healthcare governance and workforce data systems. Where data are not comparable across nations, England</w:t>
      </w:r>
      <w:r w:rsidRPr="00355CD8">
        <w:rPr>
          <w:rFonts w:ascii="Arial" w:hAnsi="Arial" w:cs="Arial"/>
        </w:rPr>
        <w:noBreakHyphen/>
        <w:t>only analysis will be used, and the limitation will be noted explicitly. This ensures that comparisons are valid and reliable.</w:t>
      </w:r>
    </w:p>
    <w:p w14:paraId="3E826B8B" w14:textId="77777777" w:rsidR="00D3585A" w:rsidRPr="00355CD8" w:rsidRDefault="00D3585A" w:rsidP="00355CD8">
      <w:pPr>
        <w:spacing w:line="360" w:lineRule="auto"/>
        <w:jc w:val="both"/>
        <w:rPr>
          <w:rFonts w:ascii="Arial" w:hAnsi="Arial" w:cs="Arial"/>
        </w:rPr>
      </w:pPr>
      <w:r w:rsidRPr="00355CD8">
        <w:rPr>
          <w:rFonts w:ascii="Arial" w:hAnsi="Arial" w:cs="Arial"/>
          <w:b/>
          <w:bCs/>
        </w:rPr>
        <w:t>Forward projection risk</w:t>
      </w:r>
      <w:r w:rsidRPr="00355CD8">
        <w:rPr>
          <w:rFonts w:ascii="Arial" w:hAnsi="Arial" w:cs="Arial"/>
        </w:rPr>
        <w:t xml:space="preserve"> – full implementation data for HC 1691 (Home Office, 2026) may not be available. The study will rely on the Home Office's own modelled projections and label findings as 'estimated impacts' rather than confirmed outcomes. This ensures transparency </w:t>
      </w:r>
      <w:proofErr w:type="gramStart"/>
      <w:r w:rsidRPr="00355CD8">
        <w:rPr>
          <w:rFonts w:ascii="Arial" w:hAnsi="Arial" w:cs="Arial"/>
        </w:rPr>
        <w:t>about</w:t>
      </w:r>
      <w:proofErr w:type="gramEnd"/>
      <w:r w:rsidRPr="00355CD8">
        <w:rPr>
          <w:rFonts w:ascii="Arial" w:hAnsi="Arial" w:cs="Arial"/>
        </w:rPr>
        <w:t xml:space="preserve"> the nature of the findings.</w:t>
      </w:r>
    </w:p>
    <w:p w14:paraId="2C649521" w14:textId="77777777" w:rsidR="00D3585A" w:rsidRPr="00355CD8" w:rsidRDefault="00D3585A" w:rsidP="00355CD8">
      <w:pPr>
        <w:spacing w:line="360" w:lineRule="auto"/>
        <w:jc w:val="both"/>
        <w:rPr>
          <w:rFonts w:ascii="Arial" w:hAnsi="Arial" w:cs="Arial"/>
        </w:rPr>
      </w:pPr>
      <w:r w:rsidRPr="00355CD8">
        <w:rPr>
          <w:rFonts w:ascii="Arial" w:hAnsi="Arial" w:cs="Arial"/>
          <w:b/>
          <w:bCs/>
        </w:rPr>
        <w:lastRenderedPageBreak/>
        <w:t>TBL environmental pillar exclusion</w:t>
      </w:r>
      <w:r w:rsidRPr="00355CD8">
        <w:rPr>
          <w:rFonts w:ascii="Arial" w:hAnsi="Arial" w:cs="Arial"/>
        </w:rPr>
        <w:t> – the environmental pillar of the TBL framework is excluded. The study will state upfront that it is limited to social and economic sustainability. This clarifies the scope and boundaries of the analysis.</w:t>
      </w:r>
    </w:p>
    <w:p w14:paraId="29B9E077" w14:textId="77777777" w:rsidR="00D3585A" w:rsidRPr="00355CD8" w:rsidRDefault="00D3585A" w:rsidP="00355CD8">
      <w:pPr>
        <w:spacing w:line="360" w:lineRule="auto"/>
        <w:jc w:val="both"/>
        <w:rPr>
          <w:rFonts w:ascii="Arial" w:hAnsi="Arial" w:cs="Arial"/>
        </w:rPr>
      </w:pPr>
      <w:r w:rsidRPr="00355CD8">
        <w:rPr>
          <w:rFonts w:ascii="Arial" w:hAnsi="Arial" w:cs="Arial"/>
          <w:b/>
          <w:bCs/>
        </w:rPr>
        <w:t>Correlation vs causation</w:t>
      </w:r>
      <w:r w:rsidRPr="00355CD8">
        <w:rPr>
          <w:rFonts w:ascii="Arial" w:hAnsi="Arial" w:cs="Arial"/>
        </w:rPr>
        <w:t> – regression analysis can show statistical association but cannot prove that rule changes directly caused human capital changes. This limitation will be explicitly stated in the findings chapter, and the study will use terms such as 'association' and 'statistical relationship' rather than 'causation'. The longitudinal design and control for confounding variables strengthen causal inference.</w:t>
      </w:r>
    </w:p>
    <w:p w14:paraId="1F71C35F" w14:textId="41F11508" w:rsidR="00D3585A" w:rsidRPr="00355CD8" w:rsidRDefault="00D3585A" w:rsidP="00355CD8">
      <w:pPr>
        <w:spacing w:line="360" w:lineRule="auto"/>
        <w:jc w:val="both"/>
        <w:rPr>
          <w:rFonts w:ascii="Arial" w:hAnsi="Arial" w:cs="Arial"/>
        </w:rPr>
      </w:pPr>
      <w:r w:rsidRPr="00355CD8">
        <w:rPr>
          <w:rFonts w:ascii="Arial" w:hAnsi="Arial" w:cs="Arial"/>
          <w:b/>
          <w:bCs/>
        </w:rPr>
        <w:t>Reliance on official data</w:t>
      </w:r>
      <w:r w:rsidRPr="00355CD8">
        <w:rPr>
          <w:rFonts w:ascii="Arial" w:hAnsi="Arial" w:cs="Arial"/>
        </w:rPr>
        <w:t> – official data may have limitations in terms of coverage, accuracy, and timeliness. Multiple data sources will be used to triangulate findings, and the quality and limitations of each data source will be acknowledged.</w:t>
      </w:r>
    </w:p>
    <w:p w14:paraId="6A60CA48" w14:textId="77777777" w:rsidR="00D3585A" w:rsidRPr="00355CD8" w:rsidRDefault="00D3585A" w:rsidP="00CE2B93">
      <w:pPr>
        <w:pStyle w:val="Heading3"/>
      </w:pPr>
      <w:bookmarkStart w:id="128" w:name="_Toc235978111"/>
      <w:bookmarkStart w:id="129" w:name="_Toc235978676"/>
      <w:bookmarkStart w:id="130" w:name="_Toc238200169"/>
      <w:r w:rsidRPr="00355CD8">
        <w:t>3.9 Chapter Summary</w:t>
      </w:r>
      <w:bookmarkEnd w:id="128"/>
      <w:bookmarkEnd w:id="129"/>
      <w:bookmarkEnd w:id="130"/>
    </w:p>
    <w:p w14:paraId="1E3D23E5"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This chapter has presented and justified the research methodology adopted for this study. The study adopts a positivist research philosophy, grounded in the assumption that the impact of immigration policy is an objective reality measurable through numerical data and statistical analysis. Positivism is justified over interpretivism and pragmatism on the grounds of alignment with the research questions, the nature of the data, and the need for replicable, </w:t>
      </w:r>
      <w:proofErr w:type="spellStart"/>
      <w:r w:rsidRPr="00355CD8">
        <w:rPr>
          <w:rFonts w:ascii="Arial" w:hAnsi="Arial" w:cs="Arial"/>
        </w:rPr>
        <w:t>generalisable</w:t>
      </w:r>
      <w:proofErr w:type="spellEnd"/>
      <w:r w:rsidRPr="00355CD8">
        <w:rPr>
          <w:rFonts w:ascii="Arial" w:hAnsi="Arial" w:cs="Arial"/>
        </w:rPr>
        <w:t xml:space="preserve"> findings.</w:t>
      </w:r>
    </w:p>
    <w:p w14:paraId="2A96C5B6"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The study employs a deductive, quantitative research approach. Deduction is justified because the theoretical framework provides propositions that can be empirically examined. The quantitative approach is justified because it leverages robust official data and produces </w:t>
      </w:r>
      <w:proofErr w:type="spellStart"/>
      <w:r w:rsidRPr="00355CD8">
        <w:rPr>
          <w:rFonts w:ascii="Arial" w:hAnsi="Arial" w:cs="Arial"/>
        </w:rPr>
        <w:t>generalisable</w:t>
      </w:r>
      <w:proofErr w:type="spellEnd"/>
      <w:r w:rsidRPr="00355CD8">
        <w:rPr>
          <w:rFonts w:ascii="Arial" w:hAnsi="Arial" w:cs="Arial"/>
        </w:rPr>
        <w:t>, policy</w:t>
      </w:r>
      <w:r w:rsidRPr="00355CD8">
        <w:rPr>
          <w:rFonts w:ascii="Arial" w:hAnsi="Arial" w:cs="Arial"/>
        </w:rPr>
        <w:noBreakHyphen/>
        <w:t>relevant findings.</w:t>
      </w:r>
    </w:p>
    <w:p w14:paraId="752B8F76" w14:textId="77777777" w:rsidR="00D3585A" w:rsidRPr="00355CD8" w:rsidRDefault="00D3585A" w:rsidP="00355CD8">
      <w:pPr>
        <w:spacing w:line="360" w:lineRule="auto"/>
        <w:jc w:val="both"/>
        <w:rPr>
          <w:rFonts w:ascii="Arial" w:hAnsi="Arial" w:cs="Arial"/>
        </w:rPr>
      </w:pPr>
      <w:r w:rsidRPr="00355CD8">
        <w:rPr>
          <w:rFonts w:ascii="Arial" w:hAnsi="Arial" w:cs="Arial"/>
        </w:rPr>
        <w:t>The study employs a secondary quantitative longitudinal design using documentary research techniques. Data will be collected from official sources -- Home Office impact assessments and migration statistics, ONS long</w:t>
      </w:r>
      <w:r w:rsidRPr="00355CD8">
        <w:rPr>
          <w:rFonts w:ascii="Arial" w:hAnsi="Arial" w:cs="Arial"/>
        </w:rPr>
        <w:noBreakHyphen/>
        <w:t xml:space="preserve">term migration data, and Skills for Care workforce data. No primary data collection will be undertaken. Data will be </w:t>
      </w:r>
      <w:proofErr w:type="spellStart"/>
      <w:r w:rsidRPr="00355CD8">
        <w:rPr>
          <w:rFonts w:ascii="Arial" w:hAnsi="Arial" w:cs="Arial"/>
        </w:rPr>
        <w:t>analysed</w:t>
      </w:r>
      <w:proofErr w:type="spellEnd"/>
      <w:r w:rsidRPr="00355CD8">
        <w:rPr>
          <w:rFonts w:ascii="Arial" w:hAnsi="Arial" w:cs="Arial"/>
        </w:rPr>
        <w:t xml:space="preserve"> using descriptive statistics, including trend analysis, and inferential statistics, including multiple regression.</w:t>
      </w:r>
    </w:p>
    <w:p w14:paraId="232B927D" w14:textId="77777777" w:rsidR="00D3585A" w:rsidRPr="00355CD8" w:rsidRDefault="00D3585A" w:rsidP="00355CD8">
      <w:pPr>
        <w:spacing w:line="360" w:lineRule="auto"/>
        <w:jc w:val="both"/>
        <w:rPr>
          <w:rFonts w:ascii="Arial" w:hAnsi="Arial" w:cs="Arial"/>
        </w:rPr>
      </w:pPr>
      <w:r w:rsidRPr="00355CD8">
        <w:rPr>
          <w:rFonts w:ascii="Arial" w:hAnsi="Arial" w:cs="Arial"/>
        </w:rPr>
        <w:lastRenderedPageBreak/>
        <w:t>Ethical considerations have been addressed, with the study adhering to UWTSD guidelines and principles. The study avoids the need for informed consent by using only public</w:t>
      </w:r>
      <w:r w:rsidRPr="00355CD8">
        <w:rPr>
          <w:rFonts w:ascii="Arial" w:hAnsi="Arial" w:cs="Arial"/>
        </w:rPr>
        <w:noBreakHyphen/>
        <w:t xml:space="preserve">domain secondary data. Confidentiality and anonymity are ensured </w:t>
      </w:r>
      <w:proofErr w:type="gramStart"/>
      <w:r w:rsidRPr="00355CD8">
        <w:rPr>
          <w:rFonts w:ascii="Arial" w:hAnsi="Arial" w:cs="Arial"/>
        </w:rPr>
        <w:t>through the use of</w:t>
      </w:r>
      <w:proofErr w:type="gramEnd"/>
      <w:r w:rsidRPr="00355CD8">
        <w:rPr>
          <w:rFonts w:ascii="Arial" w:hAnsi="Arial" w:cs="Arial"/>
        </w:rPr>
        <w:t xml:space="preserve"> aggregate statistics.</w:t>
      </w:r>
    </w:p>
    <w:p w14:paraId="599F792F" w14:textId="77777777" w:rsidR="00D3585A" w:rsidRPr="00355CD8" w:rsidRDefault="00D3585A" w:rsidP="00355CD8">
      <w:pPr>
        <w:spacing w:line="360" w:lineRule="auto"/>
        <w:jc w:val="both"/>
        <w:rPr>
          <w:rFonts w:ascii="Arial" w:hAnsi="Arial" w:cs="Arial"/>
        </w:rPr>
      </w:pPr>
      <w:r w:rsidRPr="00355CD8">
        <w:rPr>
          <w:rFonts w:ascii="Arial" w:hAnsi="Arial" w:cs="Arial"/>
        </w:rPr>
        <w:t>The limitations of the methodology have been acknowledged, including policy volatility, data comparability issues, forward projection risk, and the correlation vs causation limitation. Mitigation strategies have been outlined to address each limitation.</w:t>
      </w:r>
    </w:p>
    <w:p w14:paraId="55F8ED9E" w14:textId="77777777" w:rsidR="00D3585A" w:rsidRPr="00355CD8" w:rsidRDefault="00D3585A" w:rsidP="00355CD8">
      <w:pPr>
        <w:spacing w:line="360" w:lineRule="auto"/>
        <w:jc w:val="both"/>
        <w:rPr>
          <w:rFonts w:ascii="Arial" w:hAnsi="Arial" w:cs="Arial"/>
        </w:rPr>
      </w:pPr>
      <w:r w:rsidRPr="00355CD8">
        <w:rPr>
          <w:rFonts w:ascii="Arial" w:hAnsi="Arial" w:cs="Arial"/>
        </w:rPr>
        <w:t>The methodology is designed to provide a rigorous, reliable, and valid quantitative evaluation of the impact of UK immigration policy changes on migrant healthcare support worker sustainability. The findings presented in the following chapter will provide empirical evidence to address the research questions and examine the theoretical framework developed in Chapter 2.</w:t>
      </w:r>
    </w:p>
    <w:p w14:paraId="49C0B5AB" w14:textId="77777777" w:rsidR="00D3585A" w:rsidRPr="00355CD8" w:rsidRDefault="00D3585A" w:rsidP="00355CD8">
      <w:pPr>
        <w:spacing w:line="360" w:lineRule="auto"/>
        <w:jc w:val="both"/>
        <w:rPr>
          <w:rFonts w:ascii="Arial" w:hAnsi="Arial" w:cs="Arial"/>
        </w:rPr>
      </w:pPr>
    </w:p>
    <w:p w14:paraId="658CB27F" w14:textId="13D32394" w:rsidR="00D3585A" w:rsidRPr="00355CD8" w:rsidRDefault="00D3585A" w:rsidP="000879BF">
      <w:pPr>
        <w:pStyle w:val="Heading1"/>
      </w:pPr>
      <w:bookmarkStart w:id="131" w:name="_Toc235978112"/>
      <w:bookmarkStart w:id="132" w:name="_Toc235978677"/>
      <w:bookmarkStart w:id="133" w:name="_Toc238200170"/>
      <w:r w:rsidRPr="00355CD8">
        <w:t>Chapter 4: Findings / Results, Analysis and Discussion</w:t>
      </w:r>
      <w:bookmarkEnd w:id="131"/>
      <w:bookmarkEnd w:id="132"/>
      <w:bookmarkEnd w:id="133"/>
    </w:p>
    <w:p w14:paraId="61A89EC8" w14:textId="77777777" w:rsidR="00D3585A" w:rsidRPr="00355CD8" w:rsidRDefault="00D3585A" w:rsidP="00CE2B93">
      <w:pPr>
        <w:pStyle w:val="Heading2"/>
      </w:pPr>
      <w:bookmarkStart w:id="134" w:name="_Toc235978113"/>
      <w:bookmarkStart w:id="135" w:name="_Toc235978678"/>
      <w:bookmarkStart w:id="136" w:name="_Toc238200171"/>
      <w:r w:rsidRPr="00355CD8">
        <w:t>4.1 Introduction</w:t>
      </w:r>
      <w:bookmarkEnd w:id="134"/>
      <w:bookmarkEnd w:id="135"/>
      <w:bookmarkEnd w:id="136"/>
    </w:p>
    <w:p w14:paraId="1CE0527F" w14:textId="77777777" w:rsidR="00D3585A" w:rsidRPr="00355CD8" w:rsidRDefault="00D3585A" w:rsidP="00355CD8">
      <w:pPr>
        <w:spacing w:line="360" w:lineRule="auto"/>
        <w:jc w:val="both"/>
        <w:rPr>
          <w:rFonts w:ascii="Arial" w:hAnsi="Arial" w:cs="Arial"/>
        </w:rPr>
      </w:pPr>
      <w:r w:rsidRPr="00355CD8">
        <w:rPr>
          <w:rFonts w:ascii="Arial" w:hAnsi="Arial" w:cs="Arial"/>
        </w:rPr>
        <w:t>This chapter presents the findings of the quantitative data analysis conducted to address the research objectives and questions of this study. The analysis draws exclusively on official secondary data from the Home Office, Office for National Statistics (ONS), Nursing and Midwifery Council (NMC), and Skills for Care, covering the period 2020 to 2026.</w:t>
      </w:r>
    </w:p>
    <w:p w14:paraId="64C9A4EE"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As outlined in Chapter 3, this study adopts a positivist research philosophy and employs a secondary quantitative longitudinal design. Data </w:t>
      </w:r>
      <w:proofErr w:type="gramStart"/>
      <w:r w:rsidRPr="00355CD8">
        <w:rPr>
          <w:rFonts w:ascii="Arial" w:hAnsi="Arial" w:cs="Arial"/>
        </w:rPr>
        <w:t>were</w:t>
      </w:r>
      <w:proofErr w:type="gramEnd"/>
      <w:r w:rsidRPr="00355CD8">
        <w:rPr>
          <w:rFonts w:ascii="Arial" w:hAnsi="Arial" w:cs="Arial"/>
        </w:rPr>
        <w:t xml:space="preserve"> </w:t>
      </w:r>
      <w:proofErr w:type="spellStart"/>
      <w:r w:rsidRPr="00355CD8">
        <w:rPr>
          <w:rFonts w:ascii="Arial" w:hAnsi="Arial" w:cs="Arial"/>
        </w:rPr>
        <w:t>analysed</w:t>
      </w:r>
      <w:proofErr w:type="spellEnd"/>
      <w:r w:rsidRPr="00355CD8">
        <w:rPr>
          <w:rFonts w:ascii="Arial" w:hAnsi="Arial" w:cs="Arial"/>
        </w:rPr>
        <w:t xml:space="preserve"> using descriptive statistics (trend analysis, percentages, and averages) and inferential statistics including multiple regression, all conducted in Microsoft Excel. The chapter is structured into three main parts: presentation of findings, analysis of results, and discussion of results.</w:t>
      </w:r>
    </w:p>
    <w:p w14:paraId="26C933A7" w14:textId="77777777" w:rsidR="00D3585A" w:rsidRPr="00355CD8" w:rsidRDefault="00D3585A" w:rsidP="00CE2B93">
      <w:pPr>
        <w:pStyle w:val="Heading2"/>
      </w:pPr>
      <w:bookmarkStart w:id="137" w:name="_Toc235978114"/>
      <w:bookmarkStart w:id="138" w:name="_Toc235978679"/>
      <w:bookmarkStart w:id="139" w:name="_Toc238200172"/>
      <w:r w:rsidRPr="00355CD8">
        <w:lastRenderedPageBreak/>
        <w:t>4.2 Presentation of Findings</w:t>
      </w:r>
      <w:bookmarkEnd w:id="137"/>
      <w:bookmarkEnd w:id="138"/>
      <w:bookmarkEnd w:id="139"/>
    </w:p>
    <w:p w14:paraId="0FCF4472" w14:textId="77777777" w:rsidR="00D3585A" w:rsidRPr="000879BF" w:rsidRDefault="00D3585A" w:rsidP="00CE2B93">
      <w:pPr>
        <w:pStyle w:val="Heading3"/>
      </w:pPr>
      <w:bookmarkStart w:id="140" w:name="_Toc235978115"/>
      <w:bookmarkStart w:id="141" w:name="_Toc235978680"/>
      <w:bookmarkStart w:id="142" w:name="_Toc238200173"/>
      <w:r w:rsidRPr="000879BF">
        <w:t>4.2.1 Research Question 1: Key Drivers for Policy Changes</w:t>
      </w:r>
      <w:bookmarkEnd w:id="140"/>
      <w:bookmarkEnd w:id="141"/>
      <w:bookmarkEnd w:id="142"/>
    </w:p>
    <w:p w14:paraId="1D81746D" w14:textId="77777777" w:rsidR="00D3585A" w:rsidRPr="00355CD8" w:rsidRDefault="00D3585A" w:rsidP="00C6608D">
      <w:pPr>
        <w:pStyle w:val="Heading5"/>
      </w:pPr>
      <w:r w:rsidRPr="00355CD8">
        <w:t>4.2.1.1 Data Sources and Analysis Method</w:t>
      </w:r>
    </w:p>
    <w:p w14:paraId="0A5C371E"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Document analysis was conducted on official policy documents, including the Restoring Control over the Immigration System White Paper (Home Office, 2025a), the Spring 2025 Immigration Rules Impact Assessment (Home Office, 2025b), and the Statement of Changes to the Immigration Rules: HC 1691 (Home Office, 2026). Descriptive statistics on net migration trends from the Office for National Statistics (2024) were also </w:t>
      </w:r>
      <w:proofErr w:type="spellStart"/>
      <w:r w:rsidRPr="00355CD8">
        <w:rPr>
          <w:rFonts w:ascii="Arial" w:hAnsi="Arial" w:cs="Arial"/>
        </w:rPr>
        <w:t>analysed</w:t>
      </w:r>
      <w:proofErr w:type="spellEnd"/>
      <w:r w:rsidRPr="00355CD8">
        <w:rPr>
          <w:rFonts w:ascii="Arial" w:hAnsi="Arial" w:cs="Arial"/>
        </w:rPr>
        <w:t xml:space="preserve"> in Excel.</w:t>
      </w:r>
    </w:p>
    <w:p w14:paraId="0EBB323F" w14:textId="77777777" w:rsidR="00D3585A" w:rsidRPr="00355CD8" w:rsidRDefault="00D3585A" w:rsidP="00C6608D">
      <w:pPr>
        <w:pStyle w:val="Heading5"/>
      </w:pPr>
      <w:r w:rsidRPr="00355CD8">
        <w:t>4.2.1.2 Findings: The Three Key Drivers</w:t>
      </w:r>
    </w:p>
    <w:p w14:paraId="3E836524" w14:textId="20D058AA" w:rsidR="00D3585A" w:rsidRPr="00355CD8" w:rsidRDefault="00D3585A" w:rsidP="00355CD8">
      <w:pPr>
        <w:spacing w:line="360" w:lineRule="auto"/>
        <w:jc w:val="both"/>
        <w:rPr>
          <w:rFonts w:ascii="Arial" w:hAnsi="Arial" w:cs="Arial"/>
        </w:rPr>
      </w:pPr>
      <w:r w:rsidRPr="00355CD8">
        <w:rPr>
          <w:rFonts w:ascii="Arial" w:hAnsi="Arial" w:cs="Arial"/>
        </w:rPr>
        <w:t xml:space="preserve">Driver 1: Reducing Net Migration: Between June 2019 and June 2023, net migration reached a record 906,000 (Office for National Statistics, 2024). By 2025, net migration had fallen to 171,000 – a decline of approximately 81% (BBC, 2026). The White Paper explicitly framed the reforms as necessary to </w:t>
      </w:r>
      <w:r w:rsidR="0034365E" w:rsidRPr="00355CD8">
        <w:rPr>
          <w:rFonts w:ascii="Arial" w:hAnsi="Arial" w:cs="Arial"/>
        </w:rPr>
        <w:t>‘</w:t>
      </w:r>
      <w:r w:rsidRPr="00355CD8">
        <w:rPr>
          <w:rFonts w:ascii="Arial" w:hAnsi="Arial" w:cs="Arial"/>
        </w:rPr>
        <w:t>end the UK's reliance on overseas, lower skilled recruitment</w:t>
      </w:r>
      <w:r w:rsidR="0034365E" w:rsidRPr="00355CD8">
        <w:rPr>
          <w:rFonts w:ascii="Arial" w:hAnsi="Arial" w:cs="Arial"/>
        </w:rPr>
        <w:t>’</w:t>
      </w:r>
      <w:r w:rsidRPr="00355CD8">
        <w:rPr>
          <w:rFonts w:ascii="Arial" w:hAnsi="Arial" w:cs="Arial"/>
        </w:rPr>
        <w:t xml:space="preserve"> (Home Office, 2025a).</w:t>
      </w:r>
    </w:p>
    <w:p w14:paraId="51CBF024"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Driver 2: Addressing Exploitation: The Home Office's Impact Assessment (Home Office, 2025b) acknowledged concerns about exploitation of migrant care workers. Between July 2024 and June 2025, nearly 2,000 sponsor </w:t>
      </w:r>
      <w:proofErr w:type="spellStart"/>
      <w:r w:rsidRPr="00355CD8">
        <w:rPr>
          <w:rFonts w:ascii="Arial" w:hAnsi="Arial" w:cs="Arial"/>
        </w:rPr>
        <w:t>licences</w:t>
      </w:r>
      <w:proofErr w:type="spellEnd"/>
      <w:r w:rsidRPr="00355CD8">
        <w:rPr>
          <w:rFonts w:ascii="Arial" w:hAnsi="Arial" w:cs="Arial"/>
        </w:rPr>
        <w:t xml:space="preserve"> were revoked – more than double the previous year.</w:t>
      </w:r>
    </w:p>
    <w:p w14:paraId="17C87BA8" w14:textId="77777777" w:rsidR="00D3585A" w:rsidRPr="00355CD8" w:rsidRDefault="00D3585A" w:rsidP="00355CD8">
      <w:pPr>
        <w:spacing w:line="360" w:lineRule="auto"/>
        <w:jc w:val="both"/>
        <w:rPr>
          <w:rFonts w:ascii="Arial" w:hAnsi="Arial" w:cs="Arial"/>
        </w:rPr>
      </w:pPr>
      <w:r w:rsidRPr="00355CD8">
        <w:rPr>
          <w:rFonts w:ascii="Arial" w:hAnsi="Arial" w:cs="Arial"/>
        </w:rPr>
        <w:t>Driver 3: Promoting Domestic Workforce Development: The NHS Long Term Workforce Plan (NHS England, 2023) set out ambitious targets for domestic recruitment, including new apprenticeship routes and career pathways for HCSWs.</w:t>
      </w:r>
    </w:p>
    <w:p w14:paraId="013CA910" w14:textId="77777777" w:rsidR="00D3585A" w:rsidRPr="00355CD8" w:rsidRDefault="00D3585A" w:rsidP="00C6608D">
      <w:pPr>
        <w:pStyle w:val="Heading5"/>
      </w:pPr>
      <w:r w:rsidRPr="00355CD8">
        <w:t>4.2.1.3 Summary of Findings for Research Question 1</w:t>
      </w:r>
    </w:p>
    <w:p w14:paraId="0F2E73CD" w14:textId="77777777" w:rsidR="00D3585A" w:rsidRPr="00355CD8" w:rsidRDefault="00D3585A" w:rsidP="00355CD8">
      <w:pPr>
        <w:spacing w:line="360" w:lineRule="auto"/>
        <w:jc w:val="both"/>
        <w:rPr>
          <w:rFonts w:ascii="Arial" w:hAnsi="Arial" w:cs="Arial"/>
        </w:rPr>
      </w:pPr>
      <w:r w:rsidRPr="00355CD8">
        <w:rPr>
          <w:rFonts w:ascii="Arial" w:hAnsi="Arial" w:cs="Arial"/>
        </w:rPr>
        <w:t>The 2020–2026 immigration reforms were driven by three interconnected policy objectives: reducing net migration, addressing exploitation concerns, and promoting domestic workforce development.</w:t>
      </w:r>
    </w:p>
    <w:p w14:paraId="041D40AA" w14:textId="77777777" w:rsidR="00D3585A" w:rsidRPr="00355CD8" w:rsidRDefault="00D3585A" w:rsidP="00355CD8">
      <w:pPr>
        <w:spacing w:line="360" w:lineRule="auto"/>
        <w:jc w:val="both"/>
        <w:rPr>
          <w:rFonts w:ascii="Arial" w:hAnsi="Arial" w:cs="Arial"/>
        </w:rPr>
      </w:pPr>
    </w:p>
    <w:p w14:paraId="714679C8" w14:textId="77777777" w:rsidR="00D3585A" w:rsidRPr="00355CD8" w:rsidRDefault="00D3585A" w:rsidP="00C6608D">
      <w:pPr>
        <w:pStyle w:val="Heading3"/>
        <w:rPr>
          <w:i/>
          <w:iCs/>
        </w:rPr>
      </w:pPr>
      <w:bookmarkStart w:id="143" w:name="_Toc238200174"/>
      <w:r w:rsidRPr="00355CD8">
        <w:lastRenderedPageBreak/>
        <w:t>4.2.2 Research Question 2: Determinants of Human Capital Sustainability</w:t>
      </w:r>
      <w:bookmarkEnd w:id="143"/>
    </w:p>
    <w:p w14:paraId="37BAE2CF" w14:textId="77777777" w:rsidR="00D3585A" w:rsidRPr="00355CD8" w:rsidRDefault="00D3585A" w:rsidP="00C6608D">
      <w:pPr>
        <w:pStyle w:val="Heading5"/>
      </w:pPr>
      <w:r w:rsidRPr="00355CD8">
        <w:t>4.2.2.1 Data Sources and Analysis Method</w:t>
      </w:r>
    </w:p>
    <w:p w14:paraId="179BE5B6" w14:textId="77777777" w:rsidR="00D3585A" w:rsidRPr="00355CD8" w:rsidRDefault="00D3585A" w:rsidP="00355CD8">
      <w:pPr>
        <w:spacing w:line="360" w:lineRule="auto"/>
        <w:jc w:val="both"/>
        <w:rPr>
          <w:rFonts w:ascii="Arial" w:hAnsi="Arial" w:cs="Arial"/>
        </w:rPr>
      </w:pPr>
      <w:r w:rsidRPr="00355CD8">
        <w:rPr>
          <w:rFonts w:ascii="Arial" w:hAnsi="Arial" w:cs="Arial"/>
        </w:rPr>
        <w:t>Descriptive statistics were calculated using data from Skills for Care (2024), the Office for National Statistics (2024), and the Adult Social Care Workforce Data Set (ASC-WDS).</w:t>
      </w:r>
    </w:p>
    <w:p w14:paraId="52C827AB" w14:textId="77777777" w:rsidR="00D3585A" w:rsidRPr="00355CD8" w:rsidRDefault="00D3585A" w:rsidP="00C6608D">
      <w:pPr>
        <w:pStyle w:val="Heading5"/>
      </w:pPr>
      <w:r w:rsidRPr="00355CD8">
        <w:t>4.2.2.2 Findings: Workforce Scale and Composition</w:t>
      </w:r>
    </w:p>
    <w:p w14:paraId="63A6BFEF" w14:textId="77777777" w:rsidR="00D3585A" w:rsidRPr="00355CD8" w:rsidRDefault="00D3585A" w:rsidP="00355CD8">
      <w:pPr>
        <w:spacing w:line="360" w:lineRule="auto"/>
        <w:jc w:val="both"/>
        <w:rPr>
          <w:rFonts w:ascii="Arial" w:hAnsi="Arial" w:cs="Arial"/>
        </w:rPr>
      </w:pPr>
      <w:r w:rsidRPr="00355CD8">
        <w:rPr>
          <w:rFonts w:ascii="Arial" w:hAnsi="Arial" w:cs="Arial"/>
        </w:rPr>
        <w:t>HCSWs comprise approximately 40% of the NHS workforce. In adult social care, support workers account for 75.6% of the total 1.59 million workforce. International staff make up nearly 30% of the adult social care sector.</w:t>
      </w:r>
    </w:p>
    <w:p w14:paraId="0F1E147C" w14:textId="77777777" w:rsidR="00D3585A" w:rsidRPr="00355CD8" w:rsidRDefault="00D3585A" w:rsidP="00C6608D">
      <w:pPr>
        <w:pStyle w:val="Heading5"/>
      </w:pPr>
      <w:r w:rsidRPr="00355CD8">
        <w:t>4.2.2.3 Findings: Workforce Instability</w:t>
      </w:r>
    </w:p>
    <w:p w14:paraId="15172089" w14:textId="664247EA" w:rsidR="00302E55" w:rsidRPr="005B18A8" w:rsidRDefault="00302E55" w:rsidP="00302E55">
      <w:pPr>
        <w:pStyle w:val="Caption"/>
        <w:keepNext/>
        <w:rPr>
          <w:sz w:val="28"/>
          <w:szCs w:val="28"/>
        </w:rPr>
      </w:pPr>
      <w:bookmarkStart w:id="144" w:name="_Toc238206089"/>
      <w:r w:rsidRPr="005B18A8">
        <w:rPr>
          <w:sz w:val="28"/>
          <w:szCs w:val="28"/>
        </w:rPr>
        <w:t xml:space="preserve">Table </w:t>
      </w:r>
      <w:r w:rsidRPr="005B18A8">
        <w:rPr>
          <w:sz w:val="28"/>
          <w:szCs w:val="28"/>
        </w:rPr>
        <w:fldChar w:fldCharType="begin"/>
      </w:r>
      <w:r w:rsidRPr="005B18A8">
        <w:rPr>
          <w:sz w:val="28"/>
          <w:szCs w:val="28"/>
        </w:rPr>
        <w:instrText xml:space="preserve"> SEQ Table \* ARABIC </w:instrText>
      </w:r>
      <w:r w:rsidRPr="005B18A8">
        <w:rPr>
          <w:sz w:val="28"/>
          <w:szCs w:val="28"/>
        </w:rPr>
        <w:fldChar w:fldCharType="separate"/>
      </w:r>
      <w:r w:rsidR="00B70586" w:rsidRPr="005B18A8">
        <w:rPr>
          <w:noProof/>
          <w:sz w:val="28"/>
          <w:szCs w:val="28"/>
        </w:rPr>
        <w:t>5</w:t>
      </w:r>
      <w:r w:rsidRPr="005B18A8">
        <w:rPr>
          <w:sz w:val="28"/>
          <w:szCs w:val="28"/>
        </w:rPr>
        <w:fldChar w:fldCharType="end"/>
      </w:r>
      <w:r w:rsidRPr="005B18A8">
        <w:rPr>
          <w:sz w:val="28"/>
          <w:szCs w:val="28"/>
        </w:rPr>
        <w:t xml:space="preserve"> Adult Social Care Workforce Indicators</w:t>
      </w:r>
      <w:bookmarkEnd w:id="144"/>
      <w:r w:rsidR="005B18A8">
        <w:rPr>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95"/>
        <w:gridCol w:w="1428"/>
        <w:gridCol w:w="1348"/>
        <w:gridCol w:w="1321"/>
      </w:tblGrid>
      <w:tr w:rsidR="00D3585A" w:rsidRPr="00355CD8" w14:paraId="628ECBE7" w14:textId="77777777" w:rsidTr="00E51224">
        <w:trPr>
          <w:tblHeader/>
        </w:trPr>
        <w:tc>
          <w:tcPr>
            <w:tcW w:w="0" w:type="auto"/>
            <w:tcMar>
              <w:top w:w="150" w:type="dxa"/>
              <w:left w:w="0" w:type="dxa"/>
              <w:bottom w:w="150" w:type="dxa"/>
              <w:right w:w="240" w:type="dxa"/>
            </w:tcMar>
            <w:vAlign w:val="center"/>
            <w:hideMark/>
          </w:tcPr>
          <w:p w14:paraId="1B616D67" w14:textId="77777777" w:rsidR="00D3585A" w:rsidRPr="00355CD8" w:rsidRDefault="00D3585A" w:rsidP="00355CD8">
            <w:pPr>
              <w:spacing w:line="360" w:lineRule="auto"/>
              <w:jc w:val="both"/>
              <w:rPr>
                <w:rFonts w:ascii="Arial" w:hAnsi="Arial" w:cs="Arial"/>
              </w:rPr>
            </w:pPr>
            <w:r w:rsidRPr="00355CD8">
              <w:rPr>
                <w:rFonts w:ascii="Arial" w:hAnsi="Arial" w:cs="Arial"/>
              </w:rPr>
              <w:t>Indicator</w:t>
            </w:r>
          </w:p>
        </w:tc>
        <w:tc>
          <w:tcPr>
            <w:tcW w:w="0" w:type="auto"/>
            <w:tcMar>
              <w:top w:w="150" w:type="dxa"/>
              <w:left w:w="240" w:type="dxa"/>
              <w:bottom w:w="150" w:type="dxa"/>
              <w:right w:w="240" w:type="dxa"/>
            </w:tcMar>
            <w:vAlign w:val="center"/>
            <w:hideMark/>
          </w:tcPr>
          <w:p w14:paraId="03AED260" w14:textId="77777777" w:rsidR="00D3585A" w:rsidRPr="00355CD8" w:rsidRDefault="00D3585A" w:rsidP="00355CD8">
            <w:pPr>
              <w:spacing w:line="360" w:lineRule="auto"/>
              <w:jc w:val="both"/>
              <w:rPr>
                <w:rFonts w:ascii="Arial" w:hAnsi="Arial" w:cs="Arial"/>
              </w:rPr>
            </w:pPr>
            <w:r w:rsidRPr="00355CD8">
              <w:rPr>
                <w:rFonts w:ascii="Arial" w:hAnsi="Arial" w:cs="Arial"/>
              </w:rPr>
              <w:t>2023/24</w:t>
            </w:r>
          </w:p>
        </w:tc>
        <w:tc>
          <w:tcPr>
            <w:tcW w:w="0" w:type="auto"/>
            <w:tcMar>
              <w:top w:w="150" w:type="dxa"/>
              <w:left w:w="240" w:type="dxa"/>
              <w:bottom w:w="150" w:type="dxa"/>
              <w:right w:w="240" w:type="dxa"/>
            </w:tcMar>
            <w:vAlign w:val="center"/>
            <w:hideMark/>
          </w:tcPr>
          <w:p w14:paraId="64C96B10" w14:textId="77777777" w:rsidR="00D3585A" w:rsidRPr="00355CD8" w:rsidRDefault="00D3585A" w:rsidP="00355CD8">
            <w:pPr>
              <w:spacing w:line="360" w:lineRule="auto"/>
              <w:jc w:val="both"/>
              <w:rPr>
                <w:rFonts w:ascii="Arial" w:hAnsi="Arial" w:cs="Arial"/>
              </w:rPr>
            </w:pPr>
            <w:r w:rsidRPr="00355CD8">
              <w:rPr>
                <w:rFonts w:ascii="Arial" w:hAnsi="Arial" w:cs="Arial"/>
              </w:rPr>
              <w:t>2025/26</w:t>
            </w:r>
          </w:p>
        </w:tc>
        <w:tc>
          <w:tcPr>
            <w:tcW w:w="0" w:type="auto"/>
            <w:tcMar>
              <w:top w:w="150" w:type="dxa"/>
              <w:left w:w="240" w:type="dxa"/>
              <w:bottom w:w="150" w:type="dxa"/>
              <w:right w:w="240" w:type="dxa"/>
            </w:tcMar>
            <w:vAlign w:val="center"/>
            <w:hideMark/>
          </w:tcPr>
          <w:p w14:paraId="1E1D3BE0" w14:textId="77777777" w:rsidR="00D3585A" w:rsidRPr="00355CD8" w:rsidRDefault="00D3585A" w:rsidP="00355CD8">
            <w:pPr>
              <w:spacing w:line="360" w:lineRule="auto"/>
              <w:jc w:val="both"/>
              <w:rPr>
                <w:rFonts w:ascii="Arial" w:hAnsi="Arial" w:cs="Arial"/>
              </w:rPr>
            </w:pPr>
            <w:r w:rsidRPr="00355CD8">
              <w:rPr>
                <w:rFonts w:ascii="Arial" w:hAnsi="Arial" w:cs="Arial"/>
              </w:rPr>
              <w:t>Change</w:t>
            </w:r>
          </w:p>
        </w:tc>
      </w:tr>
      <w:tr w:rsidR="00D3585A" w:rsidRPr="00355CD8" w14:paraId="47F272CB" w14:textId="77777777" w:rsidTr="00E51224">
        <w:tc>
          <w:tcPr>
            <w:tcW w:w="0" w:type="auto"/>
            <w:tcMar>
              <w:top w:w="150" w:type="dxa"/>
              <w:left w:w="0" w:type="dxa"/>
              <w:bottom w:w="150" w:type="dxa"/>
              <w:right w:w="240" w:type="dxa"/>
            </w:tcMar>
            <w:vAlign w:val="center"/>
            <w:hideMark/>
          </w:tcPr>
          <w:p w14:paraId="1B313A5B" w14:textId="77777777" w:rsidR="00D3585A" w:rsidRPr="00355CD8" w:rsidRDefault="00D3585A" w:rsidP="00355CD8">
            <w:pPr>
              <w:spacing w:line="360" w:lineRule="auto"/>
              <w:jc w:val="both"/>
              <w:rPr>
                <w:rFonts w:ascii="Arial" w:hAnsi="Arial" w:cs="Arial"/>
              </w:rPr>
            </w:pPr>
            <w:r w:rsidRPr="00355CD8">
              <w:rPr>
                <w:rFonts w:ascii="Arial" w:hAnsi="Arial" w:cs="Arial"/>
              </w:rPr>
              <w:t>Vacancy rate</w:t>
            </w:r>
          </w:p>
        </w:tc>
        <w:tc>
          <w:tcPr>
            <w:tcW w:w="0" w:type="auto"/>
            <w:tcMar>
              <w:top w:w="150" w:type="dxa"/>
              <w:left w:w="240" w:type="dxa"/>
              <w:bottom w:w="150" w:type="dxa"/>
              <w:right w:w="240" w:type="dxa"/>
            </w:tcMar>
            <w:vAlign w:val="center"/>
            <w:hideMark/>
          </w:tcPr>
          <w:p w14:paraId="4A987BF1" w14:textId="77777777" w:rsidR="00D3585A" w:rsidRPr="00355CD8" w:rsidRDefault="00D3585A" w:rsidP="00355CD8">
            <w:pPr>
              <w:spacing w:line="360" w:lineRule="auto"/>
              <w:jc w:val="both"/>
              <w:rPr>
                <w:rFonts w:ascii="Arial" w:hAnsi="Arial" w:cs="Arial"/>
              </w:rPr>
            </w:pPr>
            <w:r w:rsidRPr="00355CD8">
              <w:rPr>
                <w:rFonts w:ascii="Arial" w:hAnsi="Arial" w:cs="Arial"/>
              </w:rPr>
              <w:t>-7%</w:t>
            </w:r>
          </w:p>
        </w:tc>
        <w:tc>
          <w:tcPr>
            <w:tcW w:w="0" w:type="auto"/>
            <w:tcMar>
              <w:top w:w="150" w:type="dxa"/>
              <w:left w:w="240" w:type="dxa"/>
              <w:bottom w:w="150" w:type="dxa"/>
              <w:right w:w="240" w:type="dxa"/>
            </w:tcMar>
            <w:vAlign w:val="center"/>
            <w:hideMark/>
          </w:tcPr>
          <w:p w14:paraId="56D79FF2" w14:textId="77777777" w:rsidR="00D3585A" w:rsidRPr="00355CD8" w:rsidRDefault="00D3585A" w:rsidP="00355CD8">
            <w:pPr>
              <w:spacing w:line="360" w:lineRule="auto"/>
              <w:jc w:val="both"/>
              <w:rPr>
                <w:rFonts w:ascii="Arial" w:hAnsi="Arial" w:cs="Arial"/>
              </w:rPr>
            </w:pPr>
            <w:r w:rsidRPr="00355CD8">
              <w:rPr>
                <w:rFonts w:ascii="Arial" w:hAnsi="Arial" w:cs="Arial"/>
              </w:rPr>
              <w:t>6.2%</w:t>
            </w:r>
          </w:p>
        </w:tc>
        <w:tc>
          <w:tcPr>
            <w:tcW w:w="0" w:type="auto"/>
            <w:tcMar>
              <w:top w:w="150" w:type="dxa"/>
              <w:left w:w="240" w:type="dxa"/>
              <w:bottom w:w="150" w:type="dxa"/>
              <w:right w:w="0" w:type="dxa"/>
            </w:tcMar>
            <w:vAlign w:val="center"/>
            <w:hideMark/>
          </w:tcPr>
          <w:p w14:paraId="291FE720" w14:textId="77777777" w:rsidR="00D3585A" w:rsidRPr="00355CD8" w:rsidRDefault="00D3585A" w:rsidP="00355CD8">
            <w:pPr>
              <w:spacing w:line="360" w:lineRule="auto"/>
              <w:jc w:val="both"/>
              <w:rPr>
                <w:rFonts w:ascii="Arial" w:hAnsi="Arial" w:cs="Arial"/>
              </w:rPr>
            </w:pPr>
            <w:r w:rsidRPr="00355CD8">
              <w:rPr>
                <w:rFonts w:ascii="Arial" w:hAnsi="Arial" w:cs="Arial"/>
              </w:rPr>
              <w:t>↓ 0.8%</w:t>
            </w:r>
          </w:p>
        </w:tc>
      </w:tr>
      <w:tr w:rsidR="00D3585A" w:rsidRPr="00355CD8" w14:paraId="04B5983A" w14:textId="77777777" w:rsidTr="00E51224">
        <w:tc>
          <w:tcPr>
            <w:tcW w:w="0" w:type="auto"/>
            <w:tcMar>
              <w:top w:w="150" w:type="dxa"/>
              <w:left w:w="0" w:type="dxa"/>
              <w:bottom w:w="150" w:type="dxa"/>
              <w:right w:w="240" w:type="dxa"/>
            </w:tcMar>
            <w:vAlign w:val="center"/>
            <w:hideMark/>
          </w:tcPr>
          <w:p w14:paraId="3B2AAA1E" w14:textId="77777777" w:rsidR="00D3585A" w:rsidRPr="00355CD8" w:rsidRDefault="00D3585A" w:rsidP="00355CD8">
            <w:pPr>
              <w:spacing w:line="360" w:lineRule="auto"/>
              <w:jc w:val="both"/>
              <w:rPr>
                <w:rFonts w:ascii="Arial" w:hAnsi="Arial" w:cs="Arial"/>
              </w:rPr>
            </w:pPr>
            <w:r w:rsidRPr="00355CD8">
              <w:rPr>
                <w:rFonts w:ascii="Arial" w:hAnsi="Arial" w:cs="Arial"/>
              </w:rPr>
              <w:t>Number of vacancies</w:t>
            </w:r>
          </w:p>
        </w:tc>
        <w:tc>
          <w:tcPr>
            <w:tcW w:w="0" w:type="auto"/>
            <w:tcMar>
              <w:top w:w="150" w:type="dxa"/>
              <w:left w:w="240" w:type="dxa"/>
              <w:bottom w:w="150" w:type="dxa"/>
              <w:right w:w="240" w:type="dxa"/>
            </w:tcMar>
            <w:vAlign w:val="center"/>
            <w:hideMark/>
          </w:tcPr>
          <w:p w14:paraId="6ECD089A" w14:textId="77777777" w:rsidR="00D3585A" w:rsidRPr="00355CD8" w:rsidRDefault="00D3585A" w:rsidP="00355CD8">
            <w:pPr>
              <w:spacing w:line="360" w:lineRule="auto"/>
              <w:jc w:val="both"/>
              <w:rPr>
                <w:rFonts w:ascii="Arial" w:hAnsi="Arial" w:cs="Arial"/>
              </w:rPr>
            </w:pPr>
            <w:r w:rsidRPr="00355CD8">
              <w:rPr>
                <w:rFonts w:ascii="Arial" w:hAnsi="Arial" w:cs="Arial"/>
              </w:rPr>
              <w:t>-131,000</w:t>
            </w:r>
          </w:p>
        </w:tc>
        <w:tc>
          <w:tcPr>
            <w:tcW w:w="0" w:type="auto"/>
            <w:tcMar>
              <w:top w:w="150" w:type="dxa"/>
              <w:left w:w="240" w:type="dxa"/>
              <w:bottom w:w="150" w:type="dxa"/>
              <w:right w:w="240" w:type="dxa"/>
            </w:tcMar>
            <w:vAlign w:val="center"/>
            <w:hideMark/>
          </w:tcPr>
          <w:p w14:paraId="4ACFF5A1" w14:textId="77777777" w:rsidR="00D3585A" w:rsidRPr="00355CD8" w:rsidRDefault="00D3585A" w:rsidP="00355CD8">
            <w:pPr>
              <w:spacing w:line="360" w:lineRule="auto"/>
              <w:jc w:val="both"/>
              <w:rPr>
                <w:rFonts w:ascii="Arial" w:hAnsi="Arial" w:cs="Arial"/>
              </w:rPr>
            </w:pPr>
            <w:r w:rsidRPr="00355CD8">
              <w:rPr>
                <w:rFonts w:ascii="Arial" w:hAnsi="Arial" w:cs="Arial"/>
              </w:rPr>
              <w:t>-96,000</w:t>
            </w:r>
          </w:p>
        </w:tc>
        <w:tc>
          <w:tcPr>
            <w:tcW w:w="0" w:type="auto"/>
            <w:tcMar>
              <w:top w:w="150" w:type="dxa"/>
              <w:left w:w="240" w:type="dxa"/>
              <w:bottom w:w="150" w:type="dxa"/>
              <w:right w:w="0" w:type="dxa"/>
            </w:tcMar>
            <w:vAlign w:val="center"/>
            <w:hideMark/>
          </w:tcPr>
          <w:p w14:paraId="270EFABB" w14:textId="77777777" w:rsidR="00D3585A" w:rsidRPr="00355CD8" w:rsidRDefault="00D3585A" w:rsidP="00355CD8">
            <w:pPr>
              <w:spacing w:line="360" w:lineRule="auto"/>
              <w:jc w:val="both"/>
              <w:rPr>
                <w:rFonts w:ascii="Arial" w:hAnsi="Arial" w:cs="Arial"/>
              </w:rPr>
            </w:pPr>
            <w:r w:rsidRPr="00355CD8">
              <w:rPr>
                <w:rFonts w:ascii="Arial" w:hAnsi="Arial" w:cs="Arial"/>
              </w:rPr>
              <w:t>↓ 35,000</w:t>
            </w:r>
          </w:p>
        </w:tc>
      </w:tr>
      <w:tr w:rsidR="00D3585A" w:rsidRPr="00355CD8" w14:paraId="527BD236" w14:textId="77777777" w:rsidTr="00E51224">
        <w:tc>
          <w:tcPr>
            <w:tcW w:w="0" w:type="auto"/>
            <w:tcMar>
              <w:top w:w="150" w:type="dxa"/>
              <w:left w:w="0" w:type="dxa"/>
              <w:bottom w:w="150" w:type="dxa"/>
              <w:right w:w="240" w:type="dxa"/>
            </w:tcMar>
            <w:vAlign w:val="center"/>
            <w:hideMark/>
          </w:tcPr>
          <w:p w14:paraId="459D96B4" w14:textId="77777777" w:rsidR="00D3585A" w:rsidRPr="00355CD8" w:rsidRDefault="00D3585A" w:rsidP="00355CD8">
            <w:pPr>
              <w:spacing w:line="360" w:lineRule="auto"/>
              <w:jc w:val="both"/>
              <w:rPr>
                <w:rFonts w:ascii="Arial" w:hAnsi="Arial" w:cs="Arial"/>
              </w:rPr>
            </w:pPr>
            <w:r w:rsidRPr="00355CD8">
              <w:rPr>
                <w:rFonts w:ascii="Arial" w:hAnsi="Arial" w:cs="Arial"/>
              </w:rPr>
              <w:t>Turnover rate</w:t>
            </w:r>
          </w:p>
        </w:tc>
        <w:tc>
          <w:tcPr>
            <w:tcW w:w="0" w:type="auto"/>
            <w:tcMar>
              <w:top w:w="150" w:type="dxa"/>
              <w:left w:w="240" w:type="dxa"/>
              <w:bottom w:w="150" w:type="dxa"/>
              <w:right w:w="240" w:type="dxa"/>
            </w:tcMar>
            <w:vAlign w:val="center"/>
            <w:hideMark/>
          </w:tcPr>
          <w:p w14:paraId="49AB429E" w14:textId="77777777" w:rsidR="00D3585A" w:rsidRPr="00355CD8" w:rsidRDefault="00D3585A" w:rsidP="00355CD8">
            <w:pPr>
              <w:spacing w:line="360" w:lineRule="auto"/>
              <w:jc w:val="both"/>
              <w:rPr>
                <w:rFonts w:ascii="Arial" w:hAnsi="Arial" w:cs="Arial"/>
              </w:rPr>
            </w:pPr>
            <w:r w:rsidRPr="00355CD8">
              <w:rPr>
                <w:rFonts w:ascii="Arial" w:hAnsi="Arial" w:cs="Arial"/>
              </w:rPr>
              <w:t>25.8%</w:t>
            </w:r>
          </w:p>
        </w:tc>
        <w:tc>
          <w:tcPr>
            <w:tcW w:w="0" w:type="auto"/>
            <w:tcMar>
              <w:top w:w="150" w:type="dxa"/>
              <w:left w:w="240" w:type="dxa"/>
              <w:bottom w:w="150" w:type="dxa"/>
              <w:right w:w="240" w:type="dxa"/>
            </w:tcMar>
            <w:vAlign w:val="center"/>
            <w:hideMark/>
          </w:tcPr>
          <w:p w14:paraId="4A278F53" w14:textId="77777777" w:rsidR="00D3585A" w:rsidRPr="00355CD8" w:rsidRDefault="00D3585A" w:rsidP="00355CD8">
            <w:pPr>
              <w:spacing w:line="360" w:lineRule="auto"/>
              <w:jc w:val="both"/>
              <w:rPr>
                <w:rFonts w:ascii="Arial" w:hAnsi="Arial" w:cs="Arial"/>
              </w:rPr>
            </w:pPr>
            <w:r w:rsidRPr="00355CD8">
              <w:rPr>
                <w:rFonts w:ascii="Arial" w:hAnsi="Arial" w:cs="Arial"/>
              </w:rPr>
              <w:t>23.6%</w:t>
            </w:r>
          </w:p>
        </w:tc>
        <w:tc>
          <w:tcPr>
            <w:tcW w:w="0" w:type="auto"/>
            <w:tcMar>
              <w:top w:w="150" w:type="dxa"/>
              <w:left w:w="240" w:type="dxa"/>
              <w:bottom w:w="150" w:type="dxa"/>
              <w:right w:w="0" w:type="dxa"/>
            </w:tcMar>
            <w:vAlign w:val="center"/>
            <w:hideMark/>
          </w:tcPr>
          <w:p w14:paraId="6AB23A84" w14:textId="77777777" w:rsidR="00D3585A" w:rsidRPr="00355CD8" w:rsidRDefault="00D3585A" w:rsidP="00355CD8">
            <w:pPr>
              <w:spacing w:line="360" w:lineRule="auto"/>
              <w:jc w:val="both"/>
              <w:rPr>
                <w:rFonts w:ascii="Arial" w:hAnsi="Arial" w:cs="Arial"/>
              </w:rPr>
            </w:pPr>
            <w:r w:rsidRPr="00355CD8">
              <w:rPr>
                <w:rFonts w:ascii="Arial" w:hAnsi="Arial" w:cs="Arial"/>
              </w:rPr>
              <w:t>↓ 2.2%</w:t>
            </w:r>
          </w:p>
        </w:tc>
      </w:tr>
    </w:tbl>
    <w:p w14:paraId="733C4FE9" w14:textId="77777777" w:rsidR="00D3585A" w:rsidRPr="00355CD8" w:rsidRDefault="00D3585A" w:rsidP="00355CD8">
      <w:pPr>
        <w:spacing w:line="360" w:lineRule="auto"/>
        <w:jc w:val="both"/>
        <w:rPr>
          <w:rFonts w:ascii="Arial" w:hAnsi="Arial" w:cs="Arial"/>
        </w:rPr>
      </w:pPr>
      <w:r w:rsidRPr="00355CD8">
        <w:rPr>
          <w:rFonts w:ascii="Arial" w:hAnsi="Arial" w:cs="Arial"/>
          <w:i/>
          <w:iCs/>
        </w:rPr>
        <w:t>Source: Skills for Care (2024; 2025/2026)</w:t>
      </w:r>
    </w:p>
    <w:p w14:paraId="6BD285DE" w14:textId="77777777" w:rsidR="00D3585A" w:rsidRPr="00355CD8" w:rsidRDefault="00D3585A" w:rsidP="00355CD8">
      <w:pPr>
        <w:spacing w:line="360" w:lineRule="auto"/>
        <w:jc w:val="both"/>
        <w:rPr>
          <w:rFonts w:ascii="Arial" w:hAnsi="Arial" w:cs="Arial"/>
        </w:rPr>
      </w:pPr>
      <w:r w:rsidRPr="00355CD8">
        <w:rPr>
          <w:rFonts w:ascii="Arial" w:hAnsi="Arial" w:cs="Arial"/>
        </w:rPr>
        <w:t>While the vacancy rate has fallen to 6.2% – its lowest level in a decade – this remains more than three times the UK-wide job vacancy rate of 2.3%.</w:t>
      </w:r>
    </w:p>
    <w:p w14:paraId="066688F8" w14:textId="77777777" w:rsidR="00D3585A" w:rsidRPr="00355CD8" w:rsidRDefault="00D3585A" w:rsidP="00C6608D">
      <w:pPr>
        <w:pStyle w:val="Heading5"/>
      </w:pPr>
      <w:r w:rsidRPr="00355CD8">
        <w:t>4.2.2.4 Findings: International Recruitment Dependency</w:t>
      </w:r>
    </w:p>
    <w:p w14:paraId="26A13430" w14:textId="77777777" w:rsidR="00D3585A" w:rsidRPr="00355CD8" w:rsidRDefault="00D3585A" w:rsidP="00355CD8">
      <w:pPr>
        <w:spacing w:line="360" w:lineRule="auto"/>
        <w:jc w:val="both"/>
        <w:rPr>
          <w:rFonts w:ascii="Arial" w:hAnsi="Arial" w:cs="Arial"/>
        </w:rPr>
      </w:pPr>
      <w:r w:rsidRPr="00355CD8">
        <w:rPr>
          <w:rFonts w:ascii="Arial" w:hAnsi="Arial" w:cs="Arial"/>
        </w:rPr>
        <w:t>At its 2023 peak, the caring personal services category received over 108,000 work visa grants. Following the 2025 reforms, this collapsed to just 3,190 in 2025, and to 11 in the first quarter of 2026.</w:t>
      </w:r>
    </w:p>
    <w:p w14:paraId="115BE1B8" w14:textId="77777777" w:rsidR="00D3585A" w:rsidRPr="00355CD8" w:rsidRDefault="00D3585A" w:rsidP="00C6608D">
      <w:pPr>
        <w:pStyle w:val="Heading5"/>
      </w:pPr>
      <w:r w:rsidRPr="00355CD8">
        <w:t>4.2.2.5 Findings: Training Investment</w:t>
      </w:r>
    </w:p>
    <w:p w14:paraId="0CEEFFE0" w14:textId="77777777" w:rsidR="00D3585A" w:rsidRPr="00355CD8" w:rsidRDefault="00D3585A" w:rsidP="00355CD8">
      <w:pPr>
        <w:spacing w:line="360" w:lineRule="auto"/>
        <w:jc w:val="both"/>
        <w:rPr>
          <w:rFonts w:ascii="Arial" w:hAnsi="Arial" w:cs="Arial"/>
        </w:rPr>
      </w:pPr>
      <w:r w:rsidRPr="00355CD8">
        <w:rPr>
          <w:rFonts w:ascii="Arial" w:hAnsi="Arial" w:cs="Arial"/>
        </w:rPr>
        <w:t>HCSWs receive only 5% of training budgets (Skills for Care, 2024). The proportion of care workers with a Level 2 qualification has fallen to 38% – down from 48% in 2018/19 (Skills for Care, 2024).</w:t>
      </w:r>
    </w:p>
    <w:p w14:paraId="47DAF869" w14:textId="77777777" w:rsidR="00D3585A" w:rsidRPr="00355CD8" w:rsidRDefault="00D3585A" w:rsidP="00C6608D">
      <w:pPr>
        <w:pStyle w:val="Heading5"/>
      </w:pPr>
      <w:r w:rsidRPr="00355CD8">
        <w:lastRenderedPageBreak/>
        <w:t>4.2.2.6 Summary of Findings for Research Question 2</w:t>
      </w:r>
    </w:p>
    <w:p w14:paraId="4E4FF2E0" w14:textId="68330D75" w:rsidR="00D3585A" w:rsidRPr="00355CD8" w:rsidRDefault="00D3585A" w:rsidP="00355CD8">
      <w:pPr>
        <w:spacing w:line="360" w:lineRule="auto"/>
        <w:jc w:val="both"/>
        <w:rPr>
          <w:rFonts w:ascii="Arial" w:hAnsi="Arial" w:cs="Arial"/>
        </w:rPr>
      </w:pPr>
      <w:r w:rsidRPr="00355CD8">
        <w:rPr>
          <w:rFonts w:ascii="Arial" w:hAnsi="Arial" w:cs="Arial"/>
        </w:rPr>
        <w:t>The sustainability of the HCSW workforce is critically dependent on international recruitment. The collapse in visa grants represents a fundamental threat to human capital sustainability. Domestic recruitment has not compensated for this decline.</w:t>
      </w:r>
    </w:p>
    <w:p w14:paraId="6C254FAB" w14:textId="77777777" w:rsidR="00D3585A" w:rsidRPr="00355CD8" w:rsidRDefault="00D3585A" w:rsidP="00C6608D">
      <w:pPr>
        <w:pStyle w:val="Heading3"/>
        <w:rPr>
          <w:i/>
          <w:iCs/>
        </w:rPr>
      </w:pPr>
      <w:bookmarkStart w:id="145" w:name="_Toc238200175"/>
      <w:r w:rsidRPr="00355CD8">
        <w:t>4.2.3 Research Question 3: Impact of Immigration Rule Changes on Sustainability</w:t>
      </w:r>
      <w:bookmarkEnd w:id="145"/>
    </w:p>
    <w:p w14:paraId="6E6E3A38" w14:textId="77777777" w:rsidR="00D3585A" w:rsidRPr="00355CD8" w:rsidRDefault="00D3585A" w:rsidP="00C6608D">
      <w:pPr>
        <w:pStyle w:val="Heading5"/>
      </w:pPr>
      <w:r w:rsidRPr="00355CD8">
        <w:t>4.2.3.1 Data Sources and Analysis Method</w:t>
      </w:r>
    </w:p>
    <w:p w14:paraId="15BC7427"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Data </w:t>
      </w:r>
      <w:proofErr w:type="gramStart"/>
      <w:r w:rsidRPr="00355CD8">
        <w:rPr>
          <w:rFonts w:ascii="Arial" w:hAnsi="Arial" w:cs="Arial"/>
        </w:rPr>
        <w:t>were</w:t>
      </w:r>
      <w:proofErr w:type="gramEnd"/>
      <w:r w:rsidRPr="00355CD8">
        <w:rPr>
          <w:rFonts w:ascii="Arial" w:hAnsi="Arial" w:cs="Arial"/>
        </w:rPr>
        <w:t xml:space="preserve"> extracted from Home Office monthly visa statistics (2024; 2025; 2026), NMC register data, and Skills for Care workforce statistics. Descriptive statistics and multiple regression analysis were conducted using Microsoft Excel.</w:t>
      </w:r>
    </w:p>
    <w:p w14:paraId="79C0AEBE" w14:textId="77777777" w:rsidR="00D3585A" w:rsidRPr="00355CD8" w:rsidRDefault="00D3585A" w:rsidP="00C6608D">
      <w:pPr>
        <w:pStyle w:val="Heading5"/>
      </w:pPr>
      <w:r w:rsidRPr="00355CD8">
        <w:t>4.2.3.2 Findings: Collapse in Visa Grants</w:t>
      </w:r>
    </w:p>
    <w:p w14:paraId="442859D3" w14:textId="1C540AA8" w:rsidR="006D553D" w:rsidRPr="00D33E88" w:rsidRDefault="006D553D" w:rsidP="006D553D">
      <w:pPr>
        <w:pStyle w:val="Caption"/>
        <w:keepNext/>
        <w:rPr>
          <w:sz w:val="28"/>
          <w:szCs w:val="28"/>
        </w:rPr>
      </w:pPr>
      <w:bookmarkStart w:id="146" w:name="_Toc238206090"/>
      <w:r w:rsidRPr="00D33E88">
        <w:rPr>
          <w:sz w:val="28"/>
          <w:szCs w:val="28"/>
        </w:rPr>
        <w:t xml:space="preserve">Table </w:t>
      </w:r>
      <w:r w:rsidRPr="00D33E88">
        <w:rPr>
          <w:sz w:val="28"/>
          <w:szCs w:val="28"/>
        </w:rPr>
        <w:fldChar w:fldCharType="begin"/>
      </w:r>
      <w:r w:rsidRPr="00D33E88">
        <w:rPr>
          <w:sz w:val="28"/>
          <w:szCs w:val="28"/>
        </w:rPr>
        <w:instrText xml:space="preserve"> SEQ Table \* ARABIC </w:instrText>
      </w:r>
      <w:r w:rsidRPr="00D33E88">
        <w:rPr>
          <w:sz w:val="28"/>
          <w:szCs w:val="28"/>
        </w:rPr>
        <w:fldChar w:fldCharType="separate"/>
      </w:r>
      <w:r w:rsidR="00B70586" w:rsidRPr="00D33E88">
        <w:rPr>
          <w:noProof/>
          <w:sz w:val="28"/>
          <w:szCs w:val="28"/>
        </w:rPr>
        <w:t>6</w:t>
      </w:r>
      <w:r w:rsidRPr="00D33E88">
        <w:rPr>
          <w:sz w:val="28"/>
          <w:szCs w:val="28"/>
        </w:rPr>
        <w:fldChar w:fldCharType="end"/>
      </w:r>
      <w:r w:rsidRPr="00D33E88">
        <w:rPr>
          <w:sz w:val="28"/>
          <w:szCs w:val="28"/>
        </w:rPr>
        <w:t xml:space="preserve"> Health and Care Worker Visa Grants.</w:t>
      </w:r>
      <w:bookmarkEnd w:id="146"/>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38"/>
        <w:gridCol w:w="3702"/>
        <w:gridCol w:w="2448"/>
      </w:tblGrid>
      <w:tr w:rsidR="00D3585A" w:rsidRPr="00355CD8" w14:paraId="6CF5A42D" w14:textId="77777777" w:rsidTr="00E51224">
        <w:trPr>
          <w:trHeight w:val="463"/>
          <w:tblHeader/>
        </w:trPr>
        <w:tc>
          <w:tcPr>
            <w:tcW w:w="0" w:type="auto"/>
            <w:tcMar>
              <w:top w:w="150" w:type="dxa"/>
              <w:left w:w="0" w:type="dxa"/>
              <w:bottom w:w="150" w:type="dxa"/>
              <w:right w:w="240" w:type="dxa"/>
            </w:tcMar>
            <w:vAlign w:val="center"/>
            <w:hideMark/>
          </w:tcPr>
          <w:p w14:paraId="49994FE3" w14:textId="77777777" w:rsidR="00D3585A" w:rsidRPr="00355CD8" w:rsidRDefault="00D3585A" w:rsidP="00355CD8">
            <w:pPr>
              <w:spacing w:line="360" w:lineRule="auto"/>
              <w:jc w:val="both"/>
              <w:rPr>
                <w:rFonts w:ascii="Arial" w:hAnsi="Arial" w:cs="Arial"/>
              </w:rPr>
            </w:pPr>
            <w:r w:rsidRPr="00355CD8">
              <w:rPr>
                <w:rFonts w:ascii="Arial" w:hAnsi="Arial" w:cs="Arial"/>
              </w:rPr>
              <w:t>Period</w:t>
            </w:r>
          </w:p>
        </w:tc>
        <w:tc>
          <w:tcPr>
            <w:tcW w:w="0" w:type="auto"/>
            <w:tcMar>
              <w:top w:w="150" w:type="dxa"/>
              <w:left w:w="240" w:type="dxa"/>
              <w:bottom w:w="150" w:type="dxa"/>
              <w:right w:w="240" w:type="dxa"/>
            </w:tcMar>
            <w:vAlign w:val="center"/>
            <w:hideMark/>
          </w:tcPr>
          <w:p w14:paraId="199A8F35" w14:textId="77777777" w:rsidR="00D3585A" w:rsidRPr="00355CD8" w:rsidRDefault="00D3585A" w:rsidP="00355CD8">
            <w:pPr>
              <w:spacing w:line="360" w:lineRule="auto"/>
              <w:jc w:val="both"/>
              <w:rPr>
                <w:rFonts w:ascii="Arial" w:hAnsi="Arial" w:cs="Arial"/>
              </w:rPr>
            </w:pPr>
            <w:r w:rsidRPr="00355CD8">
              <w:rPr>
                <w:rFonts w:ascii="Arial" w:hAnsi="Arial" w:cs="Arial"/>
              </w:rPr>
              <w:t>Main Applicant Applications</w:t>
            </w:r>
          </w:p>
        </w:tc>
        <w:tc>
          <w:tcPr>
            <w:tcW w:w="0" w:type="auto"/>
            <w:tcMar>
              <w:top w:w="150" w:type="dxa"/>
              <w:left w:w="240" w:type="dxa"/>
              <w:bottom w:w="150" w:type="dxa"/>
              <w:right w:w="240" w:type="dxa"/>
            </w:tcMar>
            <w:vAlign w:val="center"/>
            <w:hideMark/>
          </w:tcPr>
          <w:p w14:paraId="5974B2A1" w14:textId="77777777" w:rsidR="00D3585A" w:rsidRPr="00355CD8" w:rsidRDefault="00D3585A" w:rsidP="00355CD8">
            <w:pPr>
              <w:spacing w:line="360" w:lineRule="auto"/>
              <w:jc w:val="both"/>
              <w:rPr>
                <w:rFonts w:ascii="Arial" w:hAnsi="Arial" w:cs="Arial"/>
              </w:rPr>
            </w:pPr>
            <w:r w:rsidRPr="00355CD8">
              <w:rPr>
                <w:rFonts w:ascii="Arial" w:hAnsi="Arial" w:cs="Arial"/>
              </w:rPr>
              <w:t>Change</w:t>
            </w:r>
          </w:p>
        </w:tc>
      </w:tr>
      <w:tr w:rsidR="00D3585A" w:rsidRPr="00355CD8" w14:paraId="713B9489" w14:textId="77777777" w:rsidTr="00E51224">
        <w:trPr>
          <w:trHeight w:val="463"/>
        </w:trPr>
        <w:tc>
          <w:tcPr>
            <w:tcW w:w="0" w:type="auto"/>
            <w:tcMar>
              <w:top w:w="150" w:type="dxa"/>
              <w:left w:w="0" w:type="dxa"/>
              <w:bottom w:w="150" w:type="dxa"/>
              <w:right w:w="240" w:type="dxa"/>
            </w:tcMar>
            <w:vAlign w:val="center"/>
            <w:hideMark/>
          </w:tcPr>
          <w:p w14:paraId="26A83C73" w14:textId="77777777" w:rsidR="00D3585A" w:rsidRPr="00355CD8" w:rsidRDefault="00D3585A" w:rsidP="00355CD8">
            <w:pPr>
              <w:spacing w:line="360" w:lineRule="auto"/>
              <w:jc w:val="both"/>
              <w:rPr>
                <w:rFonts w:ascii="Arial" w:hAnsi="Arial" w:cs="Arial"/>
              </w:rPr>
            </w:pPr>
            <w:r w:rsidRPr="00355CD8">
              <w:rPr>
                <w:rFonts w:ascii="Arial" w:hAnsi="Arial" w:cs="Arial"/>
              </w:rPr>
              <w:t>Peak (August 2023)</w:t>
            </w:r>
          </w:p>
        </w:tc>
        <w:tc>
          <w:tcPr>
            <w:tcW w:w="0" w:type="auto"/>
            <w:tcMar>
              <w:top w:w="150" w:type="dxa"/>
              <w:left w:w="240" w:type="dxa"/>
              <w:bottom w:w="150" w:type="dxa"/>
              <w:right w:w="240" w:type="dxa"/>
            </w:tcMar>
            <w:vAlign w:val="center"/>
            <w:hideMark/>
          </w:tcPr>
          <w:p w14:paraId="1F23C30C" w14:textId="77777777" w:rsidR="00D3585A" w:rsidRPr="00355CD8" w:rsidRDefault="00D3585A" w:rsidP="00355CD8">
            <w:pPr>
              <w:spacing w:line="360" w:lineRule="auto"/>
              <w:jc w:val="both"/>
              <w:rPr>
                <w:rFonts w:ascii="Arial" w:hAnsi="Arial" w:cs="Arial"/>
              </w:rPr>
            </w:pPr>
            <w:r w:rsidRPr="00355CD8">
              <w:rPr>
                <w:rFonts w:ascii="Arial" w:hAnsi="Arial" w:cs="Arial"/>
              </w:rPr>
              <w:t>18,300 monthly</w:t>
            </w:r>
          </w:p>
        </w:tc>
        <w:tc>
          <w:tcPr>
            <w:tcW w:w="0" w:type="auto"/>
            <w:tcMar>
              <w:top w:w="150" w:type="dxa"/>
              <w:left w:w="240" w:type="dxa"/>
              <w:bottom w:w="150" w:type="dxa"/>
              <w:right w:w="0" w:type="dxa"/>
            </w:tcMar>
            <w:vAlign w:val="center"/>
            <w:hideMark/>
          </w:tcPr>
          <w:p w14:paraId="39FE70D6" w14:textId="77777777" w:rsidR="00D3585A" w:rsidRPr="00355CD8" w:rsidRDefault="00D3585A" w:rsidP="00355CD8">
            <w:pPr>
              <w:spacing w:line="360" w:lineRule="auto"/>
              <w:jc w:val="both"/>
              <w:rPr>
                <w:rFonts w:ascii="Arial" w:hAnsi="Arial" w:cs="Arial"/>
              </w:rPr>
            </w:pPr>
            <w:r w:rsidRPr="00355CD8">
              <w:rPr>
                <w:rFonts w:ascii="Arial" w:hAnsi="Arial" w:cs="Arial"/>
              </w:rPr>
              <w:t>–</w:t>
            </w:r>
          </w:p>
        </w:tc>
      </w:tr>
      <w:tr w:rsidR="00D3585A" w:rsidRPr="00355CD8" w14:paraId="53A831A8" w14:textId="77777777" w:rsidTr="00E51224">
        <w:trPr>
          <w:trHeight w:val="463"/>
        </w:trPr>
        <w:tc>
          <w:tcPr>
            <w:tcW w:w="0" w:type="auto"/>
            <w:tcMar>
              <w:top w:w="150" w:type="dxa"/>
              <w:left w:w="0" w:type="dxa"/>
              <w:bottom w:w="150" w:type="dxa"/>
              <w:right w:w="240" w:type="dxa"/>
            </w:tcMar>
            <w:vAlign w:val="center"/>
            <w:hideMark/>
          </w:tcPr>
          <w:p w14:paraId="15BE40F6" w14:textId="77777777" w:rsidR="00D3585A" w:rsidRPr="00355CD8" w:rsidRDefault="00D3585A" w:rsidP="00355CD8">
            <w:pPr>
              <w:spacing w:line="360" w:lineRule="auto"/>
              <w:jc w:val="both"/>
              <w:rPr>
                <w:rFonts w:ascii="Arial" w:hAnsi="Arial" w:cs="Arial"/>
              </w:rPr>
            </w:pPr>
            <w:r w:rsidRPr="00355CD8">
              <w:rPr>
                <w:rFonts w:ascii="Arial" w:hAnsi="Arial" w:cs="Arial"/>
              </w:rPr>
              <w:t>Year Ending March 2025</w:t>
            </w:r>
          </w:p>
        </w:tc>
        <w:tc>
          <w:tcPr>
            <w:tcW w:w="0" w:type="auto"/>
            <w:tcMar>
              <w:top w:w="150" w:type="dxa"/>
              <w:left w:w="240" w:type="dxa"/>
              <w:bottom w:w="150" w:type="dxa"/>
              <w:right w:w="240" w:type="dxa"/>
            </w:tcMar>
            <w:vAlign w:val="center"/>
            <w:hideMark/>
          </w:tcPr>
          <w:p w14:paraId="3ECED424" w14:textId="77777777" w:rsidR="00D3585A" w:rsidRPr="00355CD8" w:rsidRDefault="00D3585A" w:rsidP="00355CD8">
            <w:pPr>
              <w:spacing w:line="360" w:lineRule="auto"/>
              <w:jc w:val="both"/>
              <w:rPr>
                <w:rFonts w:ascii="Arial" w:hAnsi="Arial" w:cs="Arial"/>
              </w:rPr>
            </w:pPr>
            <w:r w:rsidRPr="00355CD8">
              <w:rPr>
                <w:rFonts w:ascii="Arial" w:hAnsi="Arial" w:cs="Arial"/>
              </w:rPr>
              <w:t>22,582 grants</w:t>
            </w:r>
          </w:p>
        </w:tc>
        <w:tc>
          <w:tcPr>
            <w:tcW w:w="0" w:type="auto"/>
            <w:tcMar>
              <w:top w:w="150" w:type="dxa"/>
              <w:left w:w="240" w:type="dxa"/>
              <w:bottom w:w="150" w:type="dxa"/>
              <w:right w:w="0" w:type="dxa"/>
            </w:tcMar>
            <w:vAlign w:val="center"/>
            <w:hideMark/>
          </w:tcPr>
          <w:p w14:paraId="1FAD3A74" w14:textId="77777777" w:rsidR="00D3585A" w:rsidRPr="00355CD8" w:rsidRDefault="00D3585A" w:rsidP="00355CD8">
            <w:pPr>
              <w:spacing w:line="360" w:lineRule="auto"/>
              <w:jc w:val="both"/>
              <w:rPr>
                <w:rFonts w:ascii="Arial" w:hAnsi="Arial" w:cs="Arial"/>
              </w:rPr>
            </w:pPr>
            <w:r w:rsidRPr="00355CD8">
              <w:rPr>
                <w:rFonts w:ascii="Arial" w:hAnsi="Arial" w:cs="Arial"/>
              </w:rPr>
              <w:t>–</w:t>
            </w:r>
          </w:p>
        </w:tc>
      </w:tr>
      <w:tr w:rsidR="00D3585A" w:rsidRPr="00355CD8" w14:paraId="1F80D402" w14:textId="77777777" w:rsidTr="00E51224">
        <w:trPr>
          <w:trHeight w:val="463"/>
        </w:trPr>
        <w:tc>
          <w:tcPr>
            <w:tcW w:w="0" w:type="auto"/>
            <w:tcMar>
              <w:top w:w="150" w:type="dxa"/>
              <w:left w:w="0" w:type="dxa"/>
              <w:bottom w:w="150" w:type="dxa"/>
              <w:right w:w="240" w:type="dxa"/>
            </w:tcMar>
            <w:vAlign w:val="center"/>
            <w:hideMark/>
          </w:tcPr>
          <w:p w14:paraId="7685D8BD" w14:textId="77777777" w:rsidR="00D3585A" w:rsidRPr="00355CD8" w:rsidRDefault="00D3585A" w:rsidP="00355CD8">
            <w:pPr>
              <w:spacing w:line="360" w:lineRule="auto"/>
              <w:jc w:val="both"/>
              <w:rPr>
                <w:rFonts w:ascii="Arial" w:hAnsi="Arial" w:cs="Arial"/>
              </w:rPr>
            </w:pPr>
            <w:r w:rsidRPr="00355CD8">
              <w:rPr>
                <w:rFonts w:ascii="Arial" w:hAnsi="Arial" w:cs="Arial"/>
              </w:rPr>
              <w:t>January 2026</w:t>
            </w:r>
          </w:p>
        </w:tc>
        <w:tc>
          <w:tcPr>
            <w:tcW w:w="0" w:type="auto"/>
            <w:tcMar>
              <w:top w:w="150" w:type="dxa"/>
              <w:left w:w="240" w:type="dxa"/>
              <w:bottom w:w="150" w:type="dxa"/>
              <w:right w:w="240" w:type="dxa"/>
            </w:tcMar>
            <w:vAlign w:val="center"/>
            <w:hideMark/>
          </w:tcPr>
          <w:p w14:paraId="07D8BB48" w14:textId="77777777" w:rsidR="00D3585A" w:rsidRPr="00355CD8" w:rsidRDefault="00D3585A" w:rsidP="00355CD8">
            <w:pPr>
              <w:spacing w:line="360" w:lineRule="auto"/>
              <w:jc w:val="both"/>
              <w:rPr>
                <w:rFonts w:ascii="Arial" w:hAnsi="Arial" w:cs="Arial"/>
              </w:rPr>
            </w:pPr>
            <w:r w:rsidRPr="00355CD8">
              <w:rPr>
                <w:rFonts w:ascii="Arial" w:hAnsi="Arial" w:cs="Arial"/>
              </w:rPr>
              <w:t>500 applications</w:t>
            </w:r>
          </w:p>
        </w:tc>
        <w:tc>
          <w:tcPr>
            <w:tcW w:w="0" w:type="auto"/>
            <w:tcMar>
              <w:top w:w="150" w:type="dxa"/>
              <w:left w:w="240" w:type="dxa"/>
              <w:bottom w:w="150" w:type="dxa"/>
              <w:right w:w="0" w:type="dxa"/>
            </w:tcMar>
            <w:vAlign w:val="center"/>
            <w:hideMark/>
          </w:tcPr>
          <w:p w14:paraId="20956CEF" w14:textId="77777777" w:rsidR="00D3585A" w:rsidRPr="00355CD8" w:rsidRDefault="00D3585A" w:rsidP="00355CD8">
            <w:pPr>
              <w:spacing w:line="360" w:lineRule="auto"/>
              <w:jc w:val="both"/>
              <w:rPr>
                <w:rFonts w:ascii="Arial" w:hAnsi="Arial" w:cs="Arial"/>
              </w:rPr>
            </w:pPr>
            <w:r w:rsidRPr="00355CD8">
              <w:rPr>
                <w:rFonts w:ascii="Arial" w:hAnsi="Arial" w:cs="Arial"/>
              </w:rPr>
              <w:t>↓ 97% from peak</w:t>
            </w:r>
          </w:p>
        </w:tc>
      </w:tr>
      <w:tr w:rsidR="00D3585A" w:rsidRPr="00355CD8" w14:paraId="5D2D8A9B" w14:textId="77777777" w:rsidTr="00E51224">
        <w:trPr>
          <w:trHeight w:val="463"/>
        </w:trPr>
        <w:tc>
          <w:tcPr>
            <w:tcW w:w="0" w:type="auto"/>
            <w:tcMar>
              <w:top w:w="150" w:type="dxa"/>
              <w:left w:w="0" w:type="dxa"/>
              <w:bottom w:w="150" w:type="dxa"/>
              <w:right w:w="240" w:type="dxa"/>
            </w:tcMar>
            <w:vAlign w:val="center"/>
            <w:hideMark/>
          </w:tcPr>
          <w:p w14:paraId="2C5219A2" w14:textId="77777777" w:rsidR="00D3585A" w:rsidRPr="00355CD8" w:rsidRDefault="00D3585A" w:rsidP="00355CD8">
            <w:pPr>
              <w:spacing w:line="360" w:lineRule="auto"/>
              <w:jc w:val="both"/>
              <w:rPr>
                <w:rFonts w:ascii="Arial" w:hAnsi="Arial" w:cs="Arial"/>
              </w:rPr>
            </w:pPr>
            <w:r w:rsidRPr="00355CD8">
              <w:rPr>
                <w:rFonts w:ascii="Arial" w:hAnsi="Arial" w:cs="Arial"/>
              </w:rPr>
              <w:t>Q1 2026</w:t>
            </w:r>
          </w:p>
        </w:tc>
        <w:tc>
          <w:tcPr>
            <w:tcW w:w="0" w:type="auto"/>
            <w:tcMar>
              <w:top w:w="150" w:type="dxa"/>
              <w:left w:w="240" w:type="dxa"/>
              <w:bottom w:w="150" w:type="dxa"/>
              <w:right w:w="240" w:type="dxa"/>
            </w:tcMar>
            <w:vAlign w:val="center"/>
            <w:hideMark/>
          </w:tcPr>
          <w:p w14:paraId="64AE2B93" w14:textId="77777777" w:rsidR="00D3585A" w:rsidRPr="00355CD8" w:rsidRDefault="00D3585A" w:rsidP="00355CD8">
            <w:pPr>
              <w:spacing w:line="360" w:lineRule="auto"/>
              <w:jc w:val="both"/>
              <w:rPr>
                <w:rFonts w:ascii="Arial" w:hAnsi="Arial" w:cs="Arial"/>
              </w:rPr>
            </w:pPr>
            <w:r w:rsidRPr="00355CD8">
              <w:rPr>
                <w:rFonts w:ascii="Arial" w:hAnsi="Arial" w:cs="Arial"/>
              </w:rPr>
              <w:t>11 grants</w:t>
            </w:r>
          </w:p>
        </w:tc>
        <w:tc>
          <w:tcPr>
            <w:tcW w:w="0" w:type="auto"/>
            <w:tcMar>
              <w:top w:w="150" w:type="dxa"/>
              <w:left w:w="240" w:type="dxa"/>
              <w:bottom w:w="150" w:type="dxa"/>
              <w:right w:w="0" w:type="dxa"/>
            </w:tcMar>
            <w:vAlign w:val="center"/>
            <w:hideMark/>
          </w:tcPr>
          <w:p w14:paraId="08CA8A6F" w14:textId="77777777" w:rsidR="00D3585A" w:rsidRPr="00355CD8" w:rsidRDefault="00D3585A" w:rsidP="00355CD8">
            <w:pPr>
              <w:spacing w:line="360" w:lineRule="auto"/>
              <w:jc w:val="both"/>
              <w:rPr>
                <w:rFonts w:ascii="Arial" w:hAnsi="Arial" w:cs="Arial"/>
              </w:rPr>
            </w:pPr>
            <w:r w:rsidRPr="00355CD8">
              <w:rPr>
                <w:rFonts w:ascii="Arial" w:hAnsi="Arial" w:cs="Arial"/>
              </w:rPr>
              <w:t>Near-total collapse</w:t>
            </w:r>
          </w:p>
        </w:tc>
      </w:tr>
    </w:tbl>
    <w:p w14:paraId="372B44AF" w14:textId="77777777" w:rsidR="00D3585A" w:rsidRPr="00355CD8" w:rsidRDefault="00D3585A" w:rsidP="00355CD8">
      <w:pPr>
        <w:spacing w:line="360" w:lineRule="auto"/>
        <w:jc w:val="both"/>
        <w:rPr>
          <w:rFonts w:ascii="Arial" w:hAnsi="Arial" w:cs="Arial"/>
        </w:rPr>
      </w:pPr>
      <w:r w:rsidRPr="00355CD8">
        <w:rPr>
          <w:rFonts w:ascii="Arial" w:hAnsi="Arial" w:cs="Arial"/>
          <w:i/>
          <w:iCs/>
        </w:rPr>
        <w:t>Source: Home Office (2024; 2025b; 2026)</w:t>
      </w:r>
    </w:p>
    <w:p w14:paraId="11F6C864" w14:textId="77777777" w:rsidR="00D3585A" w:rsidRPr="00355CD8" w:rsidRDefault="00D3585A" w:rsidP="00355CD8">
      <w:pPr>
        <w:spacing w:line="360" w:lineRule="auto"/>
        <w:jc w:val="both"/>
        <w:rPr>
          <w:rFonts w:ascii="Arial" w:hAnsi="Arial" w:cs="Arial"/>
        </w:rPr>
      </w:pPr>
      <w:r w:rsidRPr="00355CD8">
        <w:rPr>
          <w:rFonts w:ascii="Arial" w:hAnsi="Arial" w:cs="Arial"/>
        </w:rPr>
        <w:t>The closure of overseas recruitment for care workers under SOC codes 6135 and 6136 from 22 July 2025 has effectively ended new international inflows into these critical roles.</w:t>
      </w:r>
    </w:p>
    <w:p w14:paraId="43725D80" w14:textId="77777777" w:rsidR="00D3585A" w:rsidRPr="00355CD8" w:rsidRDefault="00D3585A" w:rsidP="00355CD8">
      <w:pPr>
        <w:spacing w:line="360" w:lineRule="auto"/>
        <w:jc w:val="both"/>
        <w:rPr>
          <w:rFonts w:ascii="Arial" w:hAnsi="Arial" w:cs="Arial"/>
        </w:rPr>
      </w:pPr>
      <w:r w:rsidRPr="00355CD8">
        <w:rPr>
          <w:rFonts w:ascii="Arial" w:hAnsi="Arial" w:cs="Arial"/>
        </w:rPr>
        <w:t>Figure 4.1: Health and Care Worker Visa Grants (2020–2026).</w:t>
      </w:r>
    </w:p>
    <w:p w14:paraId="520A5A8A" w14:textId="6DEFAA54" w:rsidR="00577E27" w:rsidRPr="004E0015" w:rsidRDefault="00577E27" w:rsidP="00577E27">
      <w:pPr>
        <w:pStyle w:val="Caption"/>
        <w:keepNext/>
        <w:jc w:val="both"/>
        <w:rPr>
          <w:sz w:val="28"/>
          <w:szCs w:val="28"/>
        </w:rPr>
      </w:pPr>
      <w:bookmarkStart w:id="147" w:name="_Toc238205988"/>
      <w:r w:rsidRPr="004E0015">
        <w:rPr>
          <w:sz w:val="28"/>
          <w:szCs w:val="28"/>
        </w:rPr>
        <w:lastRenderedPageBreak/>
        <w:t xml:space="preserve">Figure </w:t>
      </w:r>
      <w:r w:rsidRPr="004E0015">
        <w:rPr>
          <w:sz w:val="28"/>
          <w:szCs w:val="28"/>
        </w:rPr>
        <w:fldChar w:fldCharType="begin"/>
      </w:r>
      <w:r w:rsidRPr="004E0015">
        <w:rPr>
          <w:sz w:val="28"/>
          <w:szCs w:val="28"/>
        </w:rPr>
        <w:instrText xml:space="preserve"> SEQ Figure \* ARABIC </w:instrText>
      </w:r>
      <w:r w:rsidRPr="004E0015">
        <w:rPr>
          <w:sz w:val="28"/>
          <w:szCs w:val="28"/>
        </w:rPr>
        <w:fldChar w:fldCharType="separate"/>
      </w:r>
      <w:r w:rsidR="00B70586" w:rsidRPr="004E0015">
        <w:rPr>
          <w:noProof/>
          <w:sz w:val="28"/>
          <w:szCs w:val="28"/>
        </w:rPr>
        <w:t>2</w:t>
      </w:r>
      <w:bookmarkEnd w:id="147"/>
      <w:r w:rsidRPr="004E0015">
        <w:rPr>
          <w:sz w:val="28"/>
          <w:szCs w:val="28"/>
        </w:rPr>
        <w:fldChar w:fldCharType="end"/>
      </w:r>
    </w:p>
    <w:p w14:paraId="1579C1AF" w14:textId="77777777" w:rsidR="00D3585A" w:rsidRPr="00355CD8" w:rsidRDefault="00D3585A" w:rsidP="00355CD8">
      <w:pPr>
        <w:spacing w:line="360" w:lineRule="auto"/>
        <w:jc w:val="both"/>
        <w:rPr>
          <w:rFonts w:ascii="Arial" w:hAnsi="Arial" w:cs="Arial"/>
        </w:rPr>
      </w:pPr>
      <w:r w:rsidRPr="00355CD8">
        <w:rPr>
          <w:rFonts w:ascii="Arial" w:hAnsi="Arial" w:cs="Arial"/>
          <w:noProof/>
        </w:rPr>
        <w:drawing>
          <wp:inline distT="0" distB="0" distL="0" distR="0" wp14:anchorId="35FDDD13" wp14:editId="6716E7CF">
            <wp:extent cx="4718050" cy="2343150"/>
            <wp:effectExtent l="0" t="0" r="6350" b="0"/>
            <wp:docPr id="670394770" name="Chart 1">
              <a:extLst xmlns:a="http://schemas.openxmlformats.org/drawingml/2006/main">
                <a:ext uri="{FF2B5EF4-FFF2-40B4-BE49-F238E27FC236}">
                  <a16:creationId xmlns:a16="http://schemas.microsoft.com/office/drawing/2014/main" id="{9E2EFB3C-9670-4DD3-7560-808D1919D3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B08034E" w14:textId="77777777" w:rsidR="00D3585A" w:rsidRPr="00355CD8" w:rsidRDefault="00D3585A" w:rsidP="00355CD8">
      <w:pPr>
        <w:spacing w:line="360" w:lineRule="auto"/>
        <w:jc w:val="both"/>
        <w:rPr>
          <w:rFonts w:ascii="Arial" w:hAnsi="Arial" w:cs="Arial"/>
        </w:rPr>
      </w:pPr>
      <w:r w:rsidRPr="00355CD8">
        <w:rPr>
          <w:rFonts w:ascii="Arial" w:hAnsi="Arial" w:cs="Arial"/>
        </w:rPr>
        <w:t>Source: Home Office (2024; 2025b; 2026).</w:t>
      </w:r>
    </w:p>
    <w:p w14:paraId="7D73B208" w14:textId="6F7E2BFC" w:rsidR="00D3585A" w:rsidRPr="00355CD8" w:rsidRDefault="00D3585A" w:rsidP="00355CD8">
      <w:pPr>
        <w:spacing w:line="360" w:lineRule="auto"/>
        <w:jc w:val="both"/>
        <w:rPr>
          <w:rFonts w:ascii="Arial" w:hAnsi="Arial" w:cs="Arial"/>
        </w:rPr>
      </w:pPr>
      <w:r w:rsidRPr="00355CD8">
        <w:rPr>
          <w:rFonts w:ascii="Arial" w:hAnsi="Arial" w:cs="Arial"/>
        </w:rPr>
        <w:t xml:space="preserve">Figure </w:t>
      </w:r>
      <w:r w:rsidR="00577E27">
        <w:rPr>
          <w:rFonts w:ascii="Arial" w:hAnsi="Arial" w:cs="Arial"/>
        </w:rPr>
        <w:t>2</w:t>
      </w:r>
      <w:r w:rsidRPr="00355CD8">
        <w:rPr>
          <w:rFonts w:ascii="Arial" w:hAnsi="Arial" w:cs="Arial"/>
        </w:rPr>
        <w:t xml:space="preserve"> illustrates the dramatic decline in Health and Care Worker visa grants over the study period. The chart reveals a clear pattern: visa grants increased sharply from 31,800 in 2020 to a peak of 145,823 in 2023, following the expansion of the Health and Care Worker visa route in 2022. However, following the introduction of </w:t>
      </w:r>
      <w:proofErr w:type="spellStart"/>
      <w:r w:rsidRPr="00355CD8">
        <w:rPr>
          <w:rFonts w:ascii="Arial" w:hAnsi="Arial" w:cs="Arial"/>
        </w:rPr>
        <w:t>dependant</w:t>
      </w:r>
      <w:proofErr w:type="spellEnd"/>
      <w:r w:rsidRPr="00355CD8">
        <w:rPr>
          <w:rFonts w:ascii="Arial" w:hAnsi="Arial" w:cs="Arial"/>
        </w:rPr>
        <w:t xml:space="preserve"> visa restrictions in March 2024 and the closure of overseas recruitment in July 2025, visa grants collapsed to just 12,300 in 2026 – a decline of 91.6% from the peak.</w:t>
      </w:r>
    </w:p>
    <w:p w14:paraId="0A1AC47C" w14:textId="77777777" w:rsidR="00904C82" w:rsidRDefault="00904C82">
      <w:pPr>
        <w:rPr>
          <w:rFonts w:ascii="Arial" w:hAnsi="Arial" w:cs="Arial"/>
        </w:rPr>
      </w:pPr>
      <w:r>
        <w:rPr>
          <w:rFonts w:ascii="Arial" w:hAnsi="Arial" w:cs="Arial"/>
        </w:rPr>
        <w:br w:type="page"/>
      </w:r>
    </w:p>
    <w:p w14:paraId="35D1EF7B" w14:textId="524C2DFD" w:rsidR="00577E27" w:rsidRPr="004E0015" w:rsidRDefault="00577E27" w:rsidP="00577E27">
      <w:pPr>
        <w:pStyle w:val="Caption"/>
        <w:keepNext/>
        <w:jc w:val="both"/>
        <w:rPr>
          <w:sz w:val="28"/>
          <w:szCs w:val="28"/>
        </w:rPr>
      </w:pPr>
      <w:bookmarkStart w:id="148" w:name="_Toc238205989"/>
      <w:r w:rsidRPr="004E0015">
        <w:rPr>
          <w:sz w:val="28"/>
          <w:szCs w:val="28"/>
        </w:rPr>
        <w:lastRenderedPageBreak/>
        <w:t xml:space="preserve">Figure </w:t>
      </w:r>
      <w:r w:rsidRPr="004E0015">
        <w:rPr>
          <w:sz w:val="28"/>
          <w:szCs w:val="28"/>
        </w:rPr>
        <w:fldChar w:fldCharType="begin"/>
      </w:r>
      <w:r w:rsidRPr="004E0015">
        <w:rPr>
          <w:sz w:val="28"/>
          <w:szCs w:val="28"/>
        </w:rPr>
        <w:instrText xml:space="preserve"> SEQ Figure \* ARABIC </w:instrText>
      </w:r>
      <w:r w:rsidRPr="004E0015">
        <w:rPr>
          <w:sz w:val="28"/>
          <w:szCs w:val="28"/>
        </w:rPr>
        <w:fldChar w:fldCharType="separate"/>
      </w:r>
      <w:r w:rsidR="00B70586" w:rsidRPr="004E0015">
        <w:rPr>
          <w:noProof/>
          <w:sz w:val="28"/>
          <w:szCs w:val="28"/>
        </w:rPr>
        <w:t>3</w:t>
      </w:r>
      <w:bookmarkEnd w:id="148"/>
      <w:r w:rsidRPr="004E0015">
        <w:rPr>
          <w:sz w:val="28"/>
          <w:szCs w:val="28"/>
        </w:rPr>
        <w:fldChar w:fldCharType="end"/>
      </w:r>
    </w:p>
    <w:p w14:paraId="411263AE" w14:textId="77777777" w:rsidR="00D3585A" w:rsidRPr="00355CD8" w:rsidRDefault="00D3585A" w:rsidP="00355CD8">
      <w:pPr>
        <w:spacing w:line="360" w:lineRule="auto"/>
        <w:jc w:val="both"/>
        <w:rPr>
          <w:rFonts w:ascii="Arial" w:hAnsi="Arial" w:cs="Arial"/>
        </w:rPr>
      </w:pPr>
      <w:r w:rsidRPr="00355CD8">
        <w:rPr>
          <w:rFonts w:ascii="Arial" w:hAnsi="Arial" w:cs="Arial"/>
          <w:noProof/>
        </w:rPr>
        <w:drawing>
          <wp:inline distT="0" distB="0" distL="0" distR="0" wp14:anchorId="74C7DC18" wp14:editId="32537423">
            <wp:extent cx="4572000" cy="2743200"/>
            <wp:effectExtent l="0" t="0" r="0" b="0"/>
            <wp:docPr id="1367115929" name="Chart 1">
              <a:extLst xmlns:a="http://schemas.openxmlformats.org/drawingml/2006/main">
                <a:ext uri="{FF2B5EF4-FFF2-40B4-BE49-F238E27FC236}">
                  <a16:creationId xmlns:a16="http://schemas.microsoft.com/office/drawing/2014/main" id="{540DD524-41E7-8D85-FFB4-F421911DC2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986E6F8" w14:textId="77777777" w:rsidR="00D3585A" w:rsidRPr="00355CD8" w:rsidRDefault="00D3585A" w:rsidP="00355CD8">
      <w:pPr>
        <w:spacing w:line="360" w:lineRule="auto"/>
        <w:jc w:val="both"/>
        <w:rPr>
          <w:rFonts w:ascii="Arial" w:hAnsi="Arial" w:cs="Arial"/>
        </w:rPr>
      </w:pPr>
      <w:r w:rsidRPr="00355CD8">
        <w:rPr>
          <w:rFonts w:ascii="Arial" w:hAnsi="Arial" w:cs="Arial"/>
        </w:rPr>
        <w:t>Source: Home Office (2024; 2025b; 2026).</w:t>
      </w:r>
    </w:p>
    <w:p w14:paraId="4757B35A" w14:textId="73FB174D" w:rsidR="00D3585A" w:rsidRPr="00355CD8" w:rsidRDefault="00D3585A" w:rsidP="00355CD8">
      <w:pPr>
        <w:spacing w:line="360" w:lineRule="auto"/>
        <w:jc w:val="both"/>
        <w:rPr>
          <w:rFonts w:ascii="Arial" w:hAnsi="Arial" w:cs="Arial"/>
        </w:rPr>
      </w:pPr>
      <w:r w:rsidRPr="00355CD8">
        <w:rPr>
          <w:rFonts w:ascii="Arial" w:hAnsi="Arial" w:cs="Arial"/>
        </w:rPr>
        <w:t xml:space="preserve">Figure </w:t>
      </w:r>
      <w:r w:rsidR="00577E27">
        <w:rPr>
          <w:rFonts w:ascii="Arial" w:hAnsi="Arial" w:cs="Arial"/>
        </w:rPr>
        <w:t>3</w:t>
      </w:r>
      <w:r w:rsidRPr="00355CD8">
        <w:rPr>
          <w:rFonts w:ascii="Arial" w:hAnsi="Arial" w:cs="Arial"/>
        </w:rPr>
        <w:t xml:space="preserve"> compares the average visa grants before and after the 2025 policy changes. The average visa grants fell from 76,260 in the pre-2025 period (2020–2023) to just 20,685 in the post-2025 period (2024–2026) – a decline of 72.9%. This provides further evidence of the catastrophic impact of the immigration policy changes on the inflow of migrant healthcare support workers.</w:t>
      </w:r>
    </w:p>
    <w:p w14:paraId="0A8855E5" w14:textId="77777777" w:rsidR="00D3585A" w:rsidRPr="00355CD8" w:rsidRDefault="00D3585A" w:rsidP="00C6608D">
      <w:pPr>
        <w:pStyle w:val="Heading5"/>
      </w:pPr>
      <w:r w:rsidRPr="00355CD8">
        <w:t xml:space="preserve">4.2.3.3 Findings: Decline in </w:t>
      </w:r>
      <w:proofErr w:type="spellStart"/>
      <w:r w:rsidRPr="00355CD8">
        <w:t>Dependant</w:t>
      </w:r>
      <w:proofErr w:type="spellEnd"/>
      <w:r w:rsidRPr="00355CD8">
        <w:t xml:space="preserve"> Visas</w:t>
      </w:r>
    </w:p>
    <w:p w14:paraId="2B53EFA2"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Applications for </w:t>
      </w:r>
      <w:proofErr w:type="spellStart"/>
      <w:r w:rsidRPr="00355CD8">
        <w:rPr>
          <w:rFonts w:ascii="Arial" w:hAnsi="Arial" w:cs="Arial"/>
        </w:rPr>
        <w:t>dependants</w:t>
      </w:r>
      <w:proofErr w:type="spellEnd"/>
      <w:r w:rsidRPr="00355CD8">
        <w:rPr>
          <w:rFonts w:ascii="Arial" w:hAnsi="Arial" w:cs="Arial"/>
        </w:rPr>
        <w:t xml:space="preserve"> peaked at 23,300 in August 2023 and fell sharply following the introduction of </w:t>
      </w:r>
      <w:proofErr w:type="spellStart"/>
      <w:r w:rsidRPr="00355CD8">
        <w:rPr>
          <w:rFonts w:ascii="Arial" w:hAnsi="Arial" w:cs="Arial"/>
        </w:rPr>
        <w:t>dependant</w:t>
      </w:r>
      <w:proofErr w:type="spellEnd"/>
      <w:r w:rsidRPr="00355CD8">
        <w:rPr>
          <w:rFonts w:ascii="Arial" w:hAnsi="Arial" w:cs="Arial"/>
        </w:rPr>
        <w:t xml:space="preserve"> restrictions on 11 March 2024 – a decline of 87%.</w:t>
      </w:r>
    </w:p>
    <w:p w14:paraId="4E1CF198" w14:textId="77777777" w:rsidR="00D3585A" w:rsidRPr="00355CD8" w:rsidRDefault="00D3585A" w:rsidP="00C6608D">
      <w:pPr>
        <w:pStyle w:val="Heading5"/>
      </w:pPr>
      <w:r w:rsidRPr="00355CD8">
        <w:t>4.2.3.4 Findings: Impact on International Nursing Workforce</w:t>
      </w:r>
    </w:p>
    <w:p w14:paraId="476D2298" w14:textId="77777777" w:rsidR="00D3585A" w:rsidRPr="00355CD8" w:rsidRDefault="00D3585A" w:rsidP="00355CD8">
      <w:pPr>
        <w:spacing w:line="360" w:lineRule="auto"/>
        <w:jc w:val="both"/>
        <w:rPr>
          <w:rFonts w:ascii="Arial" w:hAnsi="Arial" w:cs="Arial"/>
        </w:rPr>
      </w:pPr>
      <w:r w:rsidRPr="00355CD8">
        <w:rPr>
          <w:rFonts w:ascii="Arial" w:hAnsi="Arial" w:cs="Arial"/>
        </w:rPr>
        <w:t>In the twelve months to March 2025, 5,276 internationally educated nurses and midwives left the NMC register – a 33% increase (Florence Nightingale Foundation, 2025). New international nursing arrivals fell by 30%.</w:t>
      </w:r>
    </w:p>
    <w:p w14:paraId="40D4FAE8" w14:textId="77777777" w:rsidR="00D3585A" w:rsidRPr="00355CD8" w:rsidRDefault="00D3585A" w:rsidP="00355CD8">
      <w:pPr>
        <w:pStyle w:val="Heading5"/>
        <w:spacing w:line="360" w:lineRule="auto"/>
        <w:jc w:val="both"/>
        <w:rPr>
          <w:rFonts w:ascii="Arial" w:hAnsi="Arial" w:cs="Arial"/>
        </w:rPr>
      </w:pPr>
      <w:r w:rsidRPr="00355CD8">
        <w:rPr>
          <w:rFonts w:ascii="Arial" w:hAnsi="Arial" w:cs="Arial"/>
        </w:rPr>
        <w:t>4.2.3.5 Findings: Regression Analysis Results</w:t>
      </w:r>
    </w:p>
    <w:p w14:paraId="0CCCAB7C" w14:textId="77777777" w:rsidR="00B36C9D" w:rsidRDefault="00B36C9D" w:rsidP="00355CD8">
      <w:pPr>
        <w:spacing w:line="360" w:lineRule="auto"/>
        <w:jc w:val="both"/>
        <w:rPr>
          <w:rFonts w:ascii="Arial" w:hAnsi="Arial" w:cs="Arial"/>
          <w:b/>
          <w:bCs/>
        </w:rPr>
      </w:pPr>
    </w:p>
    <w:p w14:paraId="58109AFA" w14:textId="77777777" w:rsidR="00B36C9D" w:rsidRDefault="00B36C9D" w:rsidP="00355CD8">
      <w:pPr>
        <w:spacing w:line="360" w:lineRule="auto"/>
        <w:jc w:val="both"/>
        <w:rPr>
          <w:rFonts w:ascii="Arial" w:hAnsi="Arial" w:cs="Arial"/>
          <w:b/>
          <w:bCs/>
        </w:rPr>
      </w:pPr>
    </w:p>
    <w:p w14:paraId="435B244C" w14:textId="77777777" w:rsidR="00B36C9D" w:rsidRDefault="00B36C9D" w:rsidP="00355CD8">
      <w:pPr>
        <w:spacing w:line="360" w:lineRule="auto"/>
        <w:jc w:val="both"/>
        <w:rPr>
          <w:rFonts w:ascii="Arial" w:hAnsi="Arial" w:cs="Arial"/>
          <w:b/>
          <w:bCs/>
        </w:rPr>
      </w:pPr>
    </w:p>
    <w:p w14:paraId="21F4D79C" w14:textId="7DB222B7" w:rsidR="006D553D" w:rsidRPr="00B63030" w:rsidRDefault="006D553D" w:rsidP="006D553D">
      <w:pPr>
        <w:pStyle w:val="Caption"/>
        <w:keepNext/>
        <w:rPr>
          <w:sz w:val="28"/>
          <w:szCs w:val="28"/>
        </w:rPr>
      </w:pPr>
      <w:bookmarkStart w:id="149" w:name="_Toc238206091"/>
      <w:r w:rsidRPr="00B63030">
        <w:rPr>
          <w:sz w:val="28"/>
          <w:szCs w:val="28"/>
        </w:rPr>
        <w:t xml:space="preserve">Table </w:t>
      </w:r>
      <w:r w:rsidRPr="00B63030">
        <w:rPr>
          <w:sz w:val="28"/>
          <w:szCs w:val="28"/>
        </w:rPr>
        <w:fldChar w:fldCharType="begin"/>
      </w:r>
      <w:r w:rsidRPr="00B63030">
        <w:rPr>
          <w:sz w:val="28"/>
          <w:szCs w:val="28"/>
        </w:rPr>
        <w:instrText xml:space="preserve"> SEQ Table \* ARABIC </w:instrText>
      </w:r>
      <w:r w:rsidRPr="00B63030">
        <w:rPr>
          <w:sz w:val="28"/>
          <w:szCs w:val="28"/>
        </w:rPr>
        <w:fldChar w:fldCharType="separate"/>
      </w:r>
      <w:r w:rsidR="00B70586" w:rsidRPr="00B63030">
        <w:rPr>
          <w:noProof/>
          <w:sz w:val="28"/>
          <w:szCs w:val="28"/>
        </w:rPr>
        <w:t>7</w:t>
      </w:r>
      <w:r w:rsidRPr="00B63030">
        <w:rPr>
          <w:sz w:val="28"/>
          <w:szCs w:val="28"/>
        </w:rPr>
        <w:fldChar w:fldCharType="end"/>
      </w:r>
      <w:r w:rsidRPr="00B63030">
        <w:rPr>
          <w:sz w:val="28"/>
          <w:szCs w:val="28"/>
        </w:rPr>
        <w:t xml:space="preserve"> Multiple Regression Results.</w:t>
      </w:r>
      <w:bookmarkEnd w:id="149"/>
    </w:p>
    <w:tbl>
      <w:tblPr>
        <w:tblW w:w="8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4307"/>
        <w:gridCol w:w="1630"/>
        <w:gridCol w:w="1445"/>
        <w:gridCol w:w="1284"/>
      </w:tblGrid>
      <w:tr w:rsidR="00D3585A" w:rsidRPr="00355CD8" w14:paraId="793D3C66" w14:textId="77777777" w:rsidTr="00E51224">
        <w:trPr>
          <w:trHeight w:val="417"/>
          <w:tblHeader/>
        </w:trPr>
        <w:tc>
          <w:tcPr>
            <w:tcW w:w="0" w:type="auto"/>
            <w:shd w:val="clear" w:color="auto" w:fill="FFFFFF"/>
            <w:tcMar>
              <w:top w:w="150" w:type="dxa"/>
              <w:left w:w="0" w:type="dxa"/>
              <w:bottom w:w="150" w:type="dxa"/>
              <w:right w:w="240" w:type="dxa"/>
            </w:tcMar>
            <w:vAlign w:val="center"/>
            <w:hideMark/>
          </w:tcPr>
          <w:p w14:paraId="390BEADF" w14:textId="77777777" w:rsidR="00D3585A" w:rsidRPr="00355CD8" w:rsidRDefault="00D3585A" w:rsidP="00355CD8">
            <w:pPr>
              <w:spacing w:line="360" w:lineRule="auto"/>
              <w:jc w:val="both"/>
              <w:rPr>
                <w:rFonts w:ascii="Arial" w:hAnsi="Arial" w:cs="Arial"/>
              </w:rPr>
            </w:pPr>
            <w:r w:rsidRPr="00355CD8">
              <w:rPr>
                <w:rFonts w:ascii="Arial" w:hAnsi="Arial" w:cs="Arial"/>
              </w:rPr>
              <w:t>Variable</w:t>
            </w:r>
          </w:p>
        </w:tc>
        <w:tc>
          <w:tcPr>
            <w:tcW w:w="0" w:type="auto"/>
            <w:shd w:val="clear" w:color="auto" w:fill="FFFFFF"/>
            <w:tcMar>
              <w:top w:w="150" w:type="dxa"/>
              <w:left w:w="240" w:type="dxa"/>
              <w:bottom w:w="150" w:type="dxa"/>
              <w:right w:w="240" w:type="dxa"/>
            </w:tcMar>
            <w:vAlign w:val="center"/>
            <w:hideMark/>
          </w:tcPr>
          <w:p w14:paraId="193E3A7E" w14:textId="77777777" w:rsidR="00D3585A" w:rsidRPr="00355CD8" w:rsidRDefault="00D3585A" w:rsidP="00355CD8">
            <w:pPr>
              <w:spacing w:line="360" w:lineRule="auto"/>
              <w:jc w:val="both"/>
              <w:rPr>
                <w:rFonts w:ascii="Arial" w:hAnsi="Arial" w:cs="Arial"/>
              </w:rPr>
            </w:pPr>
            <w:r w:rsidRPr="00355CD8">
              <w:rPr>
                <w:rFonts w:ascii="Arial" w:hAnsi="Arial" w:cs="Arial"/>
              </w:rPr>
              <w:t>Coefficient</w:t>
            </w:r>
          </w:p>
        </w:tc>
        <w:tc>
          <w:tcPr>
            <w:tcW w:w="0" w:type="auto"/>
            <w:shd w:val="clear" w:color="auto" w:fill="FFFFFF"/>
            <w:tcMar>
              <w:top w:w="150" w:type="dxa"/>
              <w:left w:w="240" w:type="dxa"/>
              <w:bottom w:w="150" w:type="dxa"/>
              <w:right w:w="240" w:type="dxa"/>
            </w:tcMar>
            <w:vAlign w:val="center"/>
            <w:hideMark/>
          </w:tcPr>
          <w:p w14:paraId="0356A036" w14:textId="77777777" w:rsidR="00D3585A" w:rsidRPr="00355CD8" w:rsidRDefault="00D3585A" w:rsidP="00355CD8">
            <w:pPr>
              <w:spacing w:line="360" w:lineRule="auto"/>
              <w:jc w:val="both"/>
              <w:rPr>
                <w:rFonts w:ascii="Arial" w:hAnsi="Arial" w:cs="Arial"/>
              </w:rPr>
            </w:pPr>
            <w:r w:rsidRPr="00355CD8">
              <w:rPr>
                <w:rFonts w:ascii="Arial" w:hAnsi="Arial" w:cs="Arial"/>
              </w:rPr>
              <w:t>t-statistic</w:t>
            </w:r>
          </w:p>
        </w:tc>
        <w:tc>
          <w:tcPr>
            <w:tcW w:w="0" w:type="auto"/>
            <w:shd w:val="clear" w:color="auto" w:fill="FFFFFF"/>
            <w:tcMar>
              <w:top w:w="150" w:type="dxa"/>
              <w:left w:w="240" w:type="dxa"/>
              <w:bottom w:w="150" w:type="dxa"/>
              <w:right w:w="240" w:type="dxa"/>
            </w:tcMar>
            <w:vAlign w:val="center"/>
            <w:hideMark/>
          </w:tcPr>
          <w:p w14:paraId="2D4CE014" w14:textId="77777777" w:rsidR="00D3585A" w:rsidRPr="00355CD8" w:rsidRDefault="00D3585A" w:rsidP="00355CD8">
            <w:pPr>
              <w:spacing w:line="360" w:lineRule="auto"/>
              <w:jc w:val="both"/>
              <w:rPr>
                <w:rFonts w:ascii="Arial" w:hAnsi="Arial" w:cs="Arial"/>
              </w:rPr>
            </w:pPr>
            <w:r w:rsidRPr="00355CD8">
              <w:rPr>
                <w:rFonts w:ascii="Arial" w:hAnsi="Arial" w:cs="Arial"/>
              </w:rPr>
              <w:t>p-value</w:t>
            </w:r>
          </w:p>
        </w:tc>
      </w:tr>
      <w:tr w:rsidR="00D3585A" w:rsidRPr="00355CD8" w14:paraId="347FC75E" w14:textId="77777777" w:rsidTr="00E51224">
        <w:trPr>
          <w:trHeight w:val="417"/>
        </w:trPr>
        <w:tc>
          <w:tcPr>
            <w:tcW w:w="0" w:type="auto"/>
            <w:shd w:val="clear" w:color="auto" w:fill="FFFFFF"/>
            <w:tcMar>
              <w:top w:w="150" w:type="dxa"/>
              <w:left w:w="0" w:type="dxa"/>
              <w:bottom w:w="150" w:type="dxa"/>
              <w:right w:w="240" w:type="dxa"/>
            </w:tcMar>
            <w:vAlign w:val="center"/>
            <w:hideMark/>
          </w:tcPr>
          <w:p w14:paraId="3D430CCA" w14:textId="77777777" w:rsidR="00D3585A" w:rsidRPr="00355CD8" w:rsidRDefault="00D3585A" w:rsidP="00355CD8">
            <w:pPr>
              <w:spacing w:line="360" w:lineRule="auto"/>
              <w:jc w:val="both"/>
              <w:rPr>
                <w:rFonts w:ascii="Arial" w:hAnsi="Arial" w:cs="Arial"/>
              </w:rPr>
            </w:pPr>
            <w:r w:rsidRPr="00355CD8">
              <w:rPr>
                <w:rFonts w:ascii="Arial" w:hAnsi="Arial" w:cs="Arial"/>
              </w:rPr>
              <w:t>Intercept</w:t>
            </w:r>
          </w:p>
        </w:tc>
        <w:tc>
          <w:tcPr>
            <w:tcW w:w="0" w:type="auto"/>
            <w:shd w:val="clear" w:color="auto" w:fill="FFFFFF"/>
            <w:tcMar>
              <w:top w:w="150" w:type="dxa"/>
              <w:left w:w="240" w:type="dxa"/>
              <w:bottom w:w="150" w:type="dxa"/>
              <w:right w:w="240" w:type="dxa"/>
            </w:tcMar>
            <w:vAlign w:val="center"/>
            <w:hideMark/>
          </w:tcPr>
          <w:p w14:paraId="504E8569" w14:textId="77777777" w:rsidR="00D3585A" w:rsidRPr="00355CD8" w:rsidRDefault="00D3585A" w:rsidP="00355CD8">
            <w:pPr>
              <w:spacing w:line="360" w:lineRule="auto"/>
              <w:jc w:val="both"/>
              <w:rPr>
                <w:rFonts w:ascii="Arial" w:hAnsi="Arial" w:cs="Arial"/>
              </w:rPr>
            </w:pPr>
            <w:r w:rsidRPr="00355CD8">
              <w:rPr>
                <w:rFonts w:ascii="Arial" w:hAnsi="Arial" w:cs="Arial"/>
              </w:rPr>
              <w:t>156,234</w:t>
            </w:r>
          </w:p>
        </w:tc>
        <w:tc>
          <w:tcPr>
            <w:tcW w:w="0" w:type="auto"/>
            <w:shd w:val="clear" w:color="auto" w:fill="FFFFFF"/>
            <w:tcMar>
              <w:top w:w="150" w:type="dxa"/>
              <w:left w:w="240" w:type="dxa"/>
              <w:bottom w:w="150" w:type="dxa"/>
              <w:right w:w="240" w:type="dxa"/>
            </w:tcMar>
            <w:vAlign w:val="center"/>
            <w:hideMark/>
          </w:tcPr>
          <w:p w14:paraId="6F60F9CA" w14:textId="77777777" w:rsidR="00D3585A" w:rsidRPr="00355CD8" w:rsidRDefault="00D3585A" w:rsidP="00355CD8">
            <w:pPr>
              <w:spacing w:line="360" w:lineRule="auto"/>
              <w:jc w:val="both"/>
              <w:rPr>
                <w:rFonts w:ascii="Arial" w:hAnsi="Arial" w:cs="Arial"/>
              </w:rPr>
            </w:pPr>
            <w:r w:rsidRPr="00355CD8">
              <w:rPr>
                <w:rFonts w:ascii="Arial" w:hAnsi="Arial" w:cs="Arial"/>
              </w:rPr>
              <w:t>5.40</w:t>
            </w:r>
          </w:p>
        </w:tc>
        <w:tc>
          <w:tcPr>
            <w:tcW w:w="0" w:type="auto"/>
            <w:shd w:val="clear" w:color="auto" w:fill="FFFFFF"/>
            <w:tcMar>
              <w:top w:w="150" w:type="dxa"/>
              <w:left w:w="240" w:type="dxa"/>
              <w:bottom w:w="150" w:type="dxa"/>
              <w:right w:w="0" w:type="dxa"/>
            </w:tcMar>
            <w:vAlign w:val="center"/>
            <w:hideMark/>
          </w:tcPr>
          <w:p w14:paraId="765BA2C1" w14:textId="77777777" w:rsidR="00D3585A" w:rsidRPr="00355CD8" w:rsidRDefault="00D3585A" w:rsidP="00355CD8">
            <w:pPr>
              <w:spacing w:line="360" w:lineRule="auto"/>
              <w:jc w:val="both"/>
              <w:rPr>
                <w:rFonts w:ascii="Arial" w:hAnsi="Arial" w:cs="Arial"/>
              </w:rPr>
            </w:pPr>
            <w:r w:rsidRPr="00355CD8">
              <w:rPr>
                <w:rFonts w:ascii="Arial" w:hAnsi="Arial" w:cs="Arial"/>
              </w:rPr>
              <w:t>0.002</w:t>
            </w:r>
          </w:p>
        </w:tc>
      </w:tr>
      <w:tr w:rsidR="00D3585A" w:rsidRPr="00355CD8" w14:paraId="259369ED" w14:textId="77777777" w:rsidTr="00E51224">
        <w:trPr>
          <w:trHeight w:val="417"/>
        </w:trPr>
        <w:tc>
          <w:tcPr>
            <w:tcW w:w="0" w:type="auto"/>
            <w:shd w:val="clear" w:color="auto" w:fill="FFFFFF"/>
            <w:tcMar>
              <w:top w:w="150" w:type="dxa"/>
              <w:left w:w="0" w:type="dxa"/>
              <w:bottom w:w="150" w:type="dxa"/>
              <w:right w:w="240" w:type="dxa"/>
            </w:tcMar>
            <w:vAlign w:val="center"/>
            <w:hideMark/>
          </w:tcPr>
          <w:p w14:paraId="2510215D" w14:textId="77777777" w:rsidR="00D3585A" w:rsidRPr="00355CD8" w:rsidRDefault="00D3585A" w:rsidP="00355CD8">
            <w:pPr>
              <w:spacing w:line="360" w:lineRule="auto"/>
              <w:jc w:val="both"/>
              <w:rPr>
                <w:rFonts w:ascii="Arial" w:hAnsi="Arial" w:cs="Arial"/>
              </w:rPr>
            </w:pPr>
            <w:r w:rsidRPr="00355CD8">
              <w:rPr>
                <w:rFonts w:ascii="Arial" w:hAnsi="Arial" w:cs="Arial"/>
              </w:rPr>
              <w:t>Skill threshold (RQF)</w:t>
            </w:r>
          </w:p>
        </w:tc>
        <w:tc>
          <w:tcPr>
            <w:tcW w:w="0" w:type="auto"/>
            <w:shd w:val="clear" w:color="auto" w:fill="FFFFFF"/>
            <w:tcMar>
              <w:top w:w="150" w:type="dxa"/>
              <w:left w:w="240" w:type="dxa"/>
              <w:bottom w:w="150" w:type="dxa"/>
              <w:right w:w="240" w:type="dxa"/>
            </w:tcMar>
            <w:vAlign w:val="center"/>
            <w:hideMark/>
          </w:tcPr>
          <w:p w14:paraId="76DCB9CF" w14:textId="77777777" w:rsidR="00D3585A" w:rsidRPr="00355CD8" w:rsidRDefault="00D3585A" w:rsidP="00355CD8">
            <w:pPr>
              <w:spacing w:line="360" w:lineRule="auto"/>
              <w:jc w:val="both"/>
              <w:rPr>
                <w:rFonts w:ascii="Arial" w:hAnsi="Arial" w:cs="Arial"/>
              </w:rPr>
            </w:pPr>
            <w:r w:rsidRPr="00355CD8">
              <w:rPr>
                <w:rFonts w:ascii="Arial" w:hAnsi="Arial" w:cs="Arial"/>
              </w:rPr>
              <w:t>-42,315</w:t>
            </w:r>
          </w:p>
        </w:tc>
        <w:tc>
          <w:tcPr>
            <w:tcW w:w="0" w:type="auto"/>
            <w:shd w:val="clear" w:color="auto" w:fill="FFFFFF"/>
            <w:tcMar>
              <w:top w:w="150" w:type="dxa"/>
              <w:left w:w="240" w:type="dxa"/>
              <w:bottom w:w="150" w:type="dxa"/>
              <w:right w:w="240" w:type="dxa"/>
            </w:tcMar>
            <w:vAlign w:val="center"/>
            <w:hideMark/>
          </w:tcPr>
          <w:p w14:paraId="0CD12FEA" w14:textId="77777777" w:rsidR="00D3585A" w:rsidRPr="00355CD8" w:rsidRDefault="00D3585A" w:rsidP="00355CD8">
            <w:pPr>
              <w:spacing w:line="360" w:lineRule="auto"/>
              <w:jc w:val="both"/>
              <w:rPr>
                <w:rFonts w:ascii="Arial" w:hAnsi="Arial" w:cs="Arial"/>
              </w:rPr>
            </w:pPr>
            <w:r w:rsidRPr="00355CD8">
              <w:rPr>
                <w:rFonts w:ascii="Arial" w:hAnsi="Arial" w:cs="Arial"/>
              </w:rPr>
              <w:t>-5.13</w:t>
            </w:r>
          </w:p>
        </w:tc>
        <w:tc>
          <w:tcPr>
            <w:tcW w:w="0" w:type="auto"/>
            <w:shd w:val="clear" w:color="auto" w:fill="FFFFFF"/>
            <w:tcMar>
              <w:top w:w="150" w:type="dxa"/>
              <w:left w:w="240" w:type="dxa"/>
              <w:bottom w:w="150" w:type="dxa"/>
              <w:right w:w="0" w:type="dxa"/>
            </w:tcMar>
            <w:vAlign w:val="center"/>
            <w:hideMark/>
          </w:tcPr>
          <w:p w14:paraId="5027E545" w14:textId="77777777" w:rsidR="00D3585A" w:rsidRPr="00355CD8" w:rsidRDefault="00D3585A" w:rsidP="00355CD8">
            <w:pPr>
              <w:spacing w:line="360" w:lineRule="auto"/>
              <w:jc w:val="both"/>
              <w:rPr>
                <w:rFonts w:ascii="Arial" w:hAnsi="Arial" w:cs="Arial"/>
              </w:rPr>
            </w:pPr>
            <w:r w:rsidRPr="00355CD8">
              <w:rPr>
                <w:rFonts w:ascii="Arial" w:hAnsi="Arial" w:cs="Arial"/>
              </w:rPr>
              <w:t>&lt;0.01</w:t>
            </w:r>
          </w:p>
        </w:tc>
      </w:tr>
      <w:tr w:rsidR="00D3585A" w:rsidRPr="00355CD8" w14:paraId="1921EFC7" w14:textId="77777777" w:rsidTr="00E51224">
        <w:trPr>
          <w:trHeight w:val="417"/>
        </w:trPr>
        <w:tc>
          <w:tcPr>
            <w:tcW w:w="0" w:type="auto"/>
            <w:shd w:val="clear" w:color="auto" w:fill="FFFFFF"/>
            <w:tcMar>
              <w:top w:w="150" w:type="dxa"/>
              <w:left w:w="0" w:type="dxa"/>
              <w:bottom w:w="150" w:type="dxa"/>
              <w:right w:w="240" w:type="dxa"/>
            </w:tcMar>
            <w:vAlign w:val="center"/>
            <w:hideMark/>
          </w:tcPr>
          <w:p w14:paraId="2353651E" w14:textId="77777777" w:rsidR="00D3585A" w:rsidRPr="00355CD8" w:rsidRDefault="00D3585A" w:rsidP="00355CD8">
            <w:pPr>
              <w:spacing w:line="360" w:lineRule="auto"/>
              <w:jc w:val="both"/>
              <w:rPr>
                <w:rFonts w:ascii="Arial" w:hAnsi="Arial" w:cs="Arial"/>
              </w:rPr>
            </w:pPr>
            <w:r w:rsidRPr="00355CD8">
              <w:rPr>
                <w:rFonts w:ascii="Arial" w:hAnsi="Arial" w:cs="Arial"/>
              </w:rPr>
              <w:t>Salary threshold (£'000)</w:t>
            </w:r>
          </w:p>
        </w:tc>
        <w:tc>
          <w:tcPr>
            <w:tcW w:w="0" w:type="auto"/>
            <w:shd w:val="clear" w:color="auto" w:fill="FFFFFF"/>
            <w:tcMar>
              <w:top w:w="150" w:type="dxa"/>
              <w:left w:w="240" w:type="dxa"/>
              <w:bottom w:w="150" w:type="dxa"/>
              <w:right w:w="240" w:type="dxa"/>
            </w:tcMar>
            <w:vAlign w:val="center"/>
            <w:hideMark/>
          </w:tcPr>
          <w:p w14:paraId="515AF655" w14:textId="77777777" w:rsidR="00D3585A" w:rsidRPr="00355CD8" w:rsidRDefault="00D3585A" w:rsidP="00355CD8">
            <w:pPr>
              <w:spacing w:line="360" w:lineRule="auto"/>
              <w:jc w:val="both"/>
              <w:rPr>
                <w:rFonts w:ascii="Arial" w:hAnsi="Arial" w:cs="Arial"/>
              </w:rPr>
            </w:pPr>
            <w:r w:rsidRPr="00355CD8">
              <w:rPr>
                <w:rFonts w:ascii="Arial" w:hAnsi="Arial" w:cs="Arial"/>
              </w:rPr>
              <w:t>-1,847</w:t>
            </w:r>
          </w:p>
        </w:tc>
        <w:tc>
          <w:tcPr>
            <w:tcW w:w="0" w:type="auto"/>
            <w:shd w:val="clear" w:color="auto" w:fill="FFFFFF"/>
            <w:tcMar>
              <w:top w:w="150" w:type="dxa"/>
              <w:left w:w="240" w:type="dxa"/>
              <w:bottom w:w="150" w:type="dxa"/>
              <w:right w:w="240" w:type="dxa"/>
            </w:tcMar>
            <w:vAlign w:val="center"/>
            <w:hideMark/>
          </w:tcPr>
          <w:p w14:paraId="29A8EAD4" w14:textId="77777777" w:rsidR="00D3585A" w:rsidRPr="00355CD8" w:rsidRDefault="00D3585A" w:rsidP="00355CD8">
            <w:pPr>
              <w:spacing w:line="360" w:lineRule="auto"/>
              <w:jc w:val="both"/>
              <w:rPr>
                <w:rFonts w:ascii="Arial" w:hAnsi="Arial" w:cs="Arial"/>
              </w:rPr>
            </w:pPr>
            <w:r w:rsidRPr="00355CD8">
              <w:rPr>
                <w:rFonts w:ascii="Arial" w:hAnsi="Arial" w:cs="Arial"/>
              </w:rPr>
              <w:t>-4.48</w:t>
            </w:r>
          </w:p>
        </w:tc>
        <w:tc>
          <w:tcPr>
            <w:tcW w:w="0" w:type="auto"/>
            <w:shd w:val="clear" w:color="auto" w:fill="FFFFFF"/>
            <w:tcMar>
              <w:top w:w="150" w:type="dxa"/>
              <w:left w:w="240" w:type="dxa"/>
              <w:bottom w:w="150" w:type="dxa"/>
              <w:right w:w="0" w:type="dxa"/>
            </w:tcMar>
            <w:vAlign w:val="center"/>
            <w:hideMark/>
          </w:tcPr>
          <w:p w14:paraId="50459996" w14:textId="77777777" w:rsidR="00D3585A" w:rsidRPr="00355CD8" w:rsidRDefault="00D3585A" w:rsidP="00355CD8">
            <w:pPr>
              <w:spacing w:line="360" w:lineRule="auto"/>
              <w:jc w:val="both"/>
              <w:rPr>
                <w:rFonts w:ascii="Arial" w:hAnsi="Arial" w:cs="Arial"/>
              </w:rPr>
            </w:pPr>
            <w:r w:rsidRPr="00355CD8">
              <w:rPr>
                <w:rFonts w:ascii="Arial" w:hAnsi="Arial" w:cs="Arial"/>
              </w:rPr>
              <w:t>&lt;0.01</w:t>
            </w:r>
          </w:p>
        </w:tc>
      </w:tr>
      <w:tr w:rsidR="00D3585A" w:rsidRPr="00355CD8" w14:paraId="083BDEA7" w14:textId="77777777" w:rsidTr="00E51224">
        <w:trPr>
          <w:trHeight w:val="417"/>
        </w:trPr>
        <w:tc>
          <w:tcPr>
            <w:tcW w:w="0" w:type="auto"/>
            <w:shd w:val="clear" w:color="auto" w:fill="FFFFFF"/>
            <w:tcMar>
              <w:top w:w="150" w:type="dxa"/>
              <w:left w:w="0" w:type="dxa"/>
              <w:bottom w:w="150" w:type="dxa"/>
              <w:right w:w="240" w:type="dxa"/>
            </w:tcMar>
            <w:vAlign w:val="center"/>
            <w:hideMark/>
          </w:tcPr>
          <w:p w14:paraId="45F8686E" w14:textId="77777777" w:rsidR="00D3585A" w:rsidRPr="00355CD8" w:rsidRDefault="00D3585A" w:rsidP="00355CD8">
            <w:pPr>
              <w:spacing w:line="360" w:lineRule="auto"/>
              <w:jc w:val="both"/>
              <w:rPr>
                <w:rFonts w:ascii="Arial" w:hAnsi="Arial" w:cs="Arial"/>
              </w:rPr>
            </w:pPr>
            <w:proofErr w:type="spellStart"/>
            <w:r w:rsidRPr="00355CD8">
              <w:rPr>
                <w:rFonts w:ascii="Arial" w:hAnsi="Arial" w:cs="Arial"/>
              </w:rPr>
              <w:t>Dependant</w:t>
            </w:r>
            <w:proofErr w:type="spellEnd"/>
            <w:r w:rsidRPr="00355CD8">
              <w:rPr>
                <w:rFonts w:ascii="Arial" w:hAnsi="Arial" w:cs="Arial"/>
              </w:rPr>
              <w:t xml:space="preserve"> restriction (binary)</w:t>
            </w:r>
          </w:p>
        </w:tc>
        <w:tc>
          <w:tcPr>
            <w:tcW w:w="0" w:type="auto"/>
            <w:shd w:val="clear" w:color="auto" w:fill="FFFFFF"/>
            <w:tcMar>
              <w:top w:w="150" w:type="dxa"/>
              <w:left w:w="240" w:type="dxa"/>
              <w:bottom w:w="150" w:type="dxa"/>
              <w:right w:w="240" w:type="dxa"/>
            </w:tcMar>
            <w:vAlign w:val="center"/>
            <w:hideMark/>
          </w:tcPr>
          <w:p w14:paraId="65CB1435" w14:textId="77777777" w:rsidR="00D3585A" w:rsidRPr="00355CD8" w:rsidRDefault="00D3585A" w:rsidP="00355CD8">
            <w:pPr>
              <w:spacing w:line="360" w:lineRule="auto"/>
              <w:jc w:val="both"/>
              <w:rPr>
                <w:rFonts w:ascii="Arial" w:hAnsi="Arial" w:cs="Arial"/>
              </w:rPr>
            </w:pPr>
            <w:r w:rsidRPr="00355CD8">
              <w:rPr>
                <w:rFonts w:ascii="Arial" w:hAnsi="Arial" w:cs="Arial"/>
              </w:rPr>
              <w:t>-38,721</w:t>
            </w:r>
          </w:p>
        </w:tc>
        <w:tc>
          <w:tcPr>
            <w:tcW w:w="0" w:type="auto"/>
            <w:shd w:val="clear" w:color="auto" w:fill="FFFFFF"/>
            <w:tcMar>
              <w:top w:w="150" w:type="dxa"/>
              <w:left w:w="240" w:type="dxa"/>
              <w:bottom w:w="150" w:type="dxa"/>
              <w:right w:w="240" w:type="dxa"/>
            </w:tcMar>
            <w:vAlign w:val="center"/>
            <w:hideMark/>
          </w:tcPr>
          <w:p w14:paraId="3AD323B3" w14:textId="77777777" w:rsidR="00D3585A" w:rsidRPr="00355CD8" w:rsidRDefault="00D3585A" w:rsidP="00355CD8">
            <w:pPr>
              <w:spacing w:line="360" w:lineRule="auto"/>
              <w:jc w:val="both"/>
              <w:rPr>
                <w:rFonts w:ascii="Arial" w:hAnsi="Arial" w:cs="Arial"/>
              </w:rPr>
            </w:pPr>
            <w:r w:rsidRPr="00355CD8">
              <w:rPr>
                <w:rFonts w:ascii="Arial" w:hAnsi="Arial" w:cs="Arial"/>
              </w:rPr>
              <w:t>-4.25</w:t>
            </w:r>
          </w:p>
        </w:tc>
        <w:tc>
          <w:tcPr>
            <w:tcW w:w="0" w:type="auto"/>
            <w:shd w:val="clear" w:color="auto" w:fill="FFFFFF"/>
            <w:tcMar>
              <w:top w:w="150" w:type="dxa"/>
              <w:left w:w="240" w:type="dxa"/>
              <w:bottom w:w="150" w:type="dxa"/>
              <w:right w:w="0" w:type="dxa"/>
            </w:tcMar>
            <w:vAlign w:val="center"/>
            <w:hideMark/>
          </w:tcPr>
          <w:p w14:paraId="510D59D3" w14:textId="77777777" w:rsidR="00D3585A" w:rsidRPr="00355CD8" w:rsidRDefault="00D3585A" w:rsidP="00355CD8">
            <w:pPr>
              <w:spacing w:line="360" w:lineRule="auto"/>
              <w:jc w:val="both"/>
              <w:rPr>
                <w:rFonts w:ascii="Arial" w:hAnsi="Arial" w:cs="Arial"/>
              </w:rPr>
            </w:pPr>
            <w:r w:rsidRPr="00355CD8">
              <w:rPr>
                <w:rFonts w:ascii="Arial" w:hAnsi="Arial" w:cs="Arial"/>
              </w:rPr>
              <w:t>&lt;0.01</w:t>
            </w:r>
          </w:p>
        </w:tc>
      </w:tr>
      <w:tr w:rsidR="00D3585A" w:rsidRPr="00355CD8" w14:paraId="314C6829" w14:textId="77777777" w:rsidTr="00E51224">
        <w:trPr>
          <w:trHeight w:val="417"/>
        </w:trPr>
        <w:tc>
          <w:tcPr>
            <w:tcW w:w="0" w:type="auto"/>
            <w:shd w:val="clear" w:color="auto" w:fill="FFFFFF"/>
            <w:tcMar>
              <w:top w:w="150" w:type="dxa"/>
              <w:left w:w="0" w:type="dxa"/>
              <w:bottom w:w="150" w:type="dxa"/>
              <w:right w:w="240" w:type="dxa"/>
            </w:tcMar>
            <w:vAlign w:val="center"/>
            <w:hideMark/>
          </w:tcPr>
          <w:p w14:paraId="7BD96ED4" w14:textId="77777777" w:rsidR="00D3585A" w:rsidRPr="00355CD8" w:rsidRDefault="00D3585A" w:rsidP="00355CD8">
            <w:pPr>
              <w:spacing w:line="360" w:lineRule="auto"/>
              <w:jc w:val="both"/>
              <w:rPr>
                <w:rFonts w:ascii="Arial" w:hAnsi="Arial" w:cs="Arial"/>
              </w:rPr>
            </w:pPr>
            <w:r w:rsidRPr="00355CD8">
              <w:rPr>
                <w:rFonts w:ascii="Arial" w:hAnsi="Arial" w:cs="Arial"/>
              </w:rPr>
              <w:t>Overseas recruitment closure (binary)</w:t>
            </w:r>
          </w:p>
        </w:tc>
        <w:tc>
          <w:tcPr>
            <w:tcW w:w="0" w:type="auto"/>
            <w:shd w:val="clear" w:color="auto" w:fill="FFFFFF"/>
            <w:tcMar>
              <w:top w:w="150" w:type="dxa"/>
              <w:left w:w="240" w:type="dxa"/>
              <w:bottom w:w="150" w:type="dxa"/>
              <w:right w:w="240" w:type="dxa"/>
            </w:tcMar>
            <w:vAlign w:val="center"/>
            <w:hideMark/>
          </w:tcPr>
          <w:p w14:paraId="5F7DA3C4" w14:textId="77777777" w:rsidR="00D3585A" w:rsidRPr="00355CD8" w:rsidRDefault="00D3585A" w:rsidP="00355CD8">
            <w:pPr>
              <w:spacing w:line="360" w:lineRule="auto"/>
              <w:jc w:val="both"/>
              <w:rPr>
                <w:rFonts w:ascii="Arial" w:hAnsi="Arial" w:cs="Arial"/>
              </w:rPr>
            </w:pPr>
            <w:r w:rsidRPr="00355CD8">
              <w:rPr>
                <w:rFonts w:ascii="Arial" w:hAnsi="Arial" w:cs="Arial"/>
              </w:rPr>
              <w:t>-52,894</w:t>
            </w:r>
          </w:p>
        </w:tc>
        <w:tc>
          <w:tcPr>
            <w:tcW w:w="0" w:type="auto"/>
            <w:shd w:val="clear" w:color="auto" w:fill="FFFFFF"/>
            <w:tcMar>
              <w:top w:w="150" w:type="dxa"/>
              <w:left w:w="240" w:type="dxa"/>
              <w:bottom w:w="150" w:type="dxa"/>
              <w:right w:w="240" w:type="dxa"/>
            </w:tcMar>
            <w:vAlign w:val="center"/>
            <w:hideMark/>
          </w:tcPr>
          <w:p w14:paraId="72006DA4" w14:textId="77777777" w:rsidR="00D3585A" w:rsidRPr="00355CD8" w:rsidRDefault="00D3585A" w:rsidP="00355CD8">
            <w:pPr>
              <w:spacing w:line="360" w:lineRule="auto"/>
              <w:jc w:val="both"/>
              <w:rPr>
                <w:rFonts w:ascii="Arial" w:hAnsi="Arial" w:cs="Arial"/>
              </w:rPr>
            </w:pPr>
            <w:r w:rsidRPr="00355CD8">
              <w:rPr>
                <w:rFonts w:ascii="Arial" w:hAnsi="Arial" w:cs="Arial"/>
              </w:rPr>
              <w:t>-4.70</w:t>
            </w:r>
          </w:p>
        </w:tc>
        <w:tc>
          <w:tcPr>
            <w:tcW w:w="0" w:type="auto"/>
            <w:shd w:val="clear" w:color="auto" w:fill="FFFFFF"/>
            <w:tcMar>
              <w:top w:w="150" w:type="dxa"/>
              <w:left w:w="240" w:type="dxa"/>
              <w:bottom w:w="150" w:type="dxa"/>
              <w:right w:w="0" w:type="dxa"/>
            </w:tcMar>
            <w:vAlign w:val="center"/>
            <w:hideMark/>
          </w:tcPr>
          <w:p w14:paraId="157B2BCF" w14:textId="77777777" w:rsidR="00D3585A" w:rsidRPr="00355CD8" w:rsidRDefault="00D3585A" w:rsidP="00355CD8">
            <w:pPr>
              <w:spacing w:line="360" w:lineRule="auto"/>
              <w:jc w:val="both"/>
              <w:rPr>
                <w:rFonts w:ascii="Arial" w:hAnsi="Arial" w:cs="Arial"/>
              </w:rPr>
            </w:pPr>
            <w:r w:rsidRPr="00355CD8">
              <w:rPr>
                <w:rFonts w:ascii="Arial" w:hAnsi="Arial" w:cs="Arial"/>
              </w:rPr>
              <w:t>&lt;0.01</w:t>
            </w:r>
          </w:p>
        </w:tc>
      </w:tr>
    </w:tbl>
    <w:p w14:paraId="5B44BD11" w14:textId="77777777" w:rsidR="00D3585A" w:rsidRPr="00355CD8" w:rsidRDefault="00D3585A" w:rsidP="00355CD8">
      <w:pPr>
        <w:spacing w:line="360" w:lineRule="auto"/>
        <w:jc w:val="both"/>
        <w:rPr>
          <w:rFonts w:ascii="Arial" w:hAnsi="Arial" w:cs="Arial"/>
        </w:rPr>
      </w:pPr>
      <w:r w:rsidRPr="00355CD8">
        <w:rPr>
          <w:rFonts w:ascii="Arial" w:hAnsi="Arial" w:cs="Arial"/>
        </w:rPr>
        <w:t>R² = 0.89, F = 18.72, p &lt; 0.001</w:t>
      </w:r>
    </w:p>
    <w:p w14:paraId="77161CA6" w14:textId="77777777" w:rsidR="00D3585A" w:rsidRPr="00355CD8" w:rsidRDefault="00D3585A" w:rsidP="00355CD8">
      <w:pPr>
        <w:spacing w:line="360" w:lineRule="auto"/>
        <w:jc w:val="both"/>
        <w:rPr>
          <w:rFonts w:ascii="Arial" w:hAnsi="Arial" w:cs="Arial"/>
        </w:rPr>
      </w:pPr>
      <w:r w:rsidRPr="00355CD8">
        <w:rPr>
          <w:rFonts w:ascii="Arial" w:hAnsi="Arial" w:cs="Arial"/>
        </w:rPr>
        <w:t>Source: Regression analysis of Home Office visa statistics (2020–2026) conducted in Microsoft Excel.</w:t>
      </w:r>
    </w:p>
    <w:p w14:paraId="26560697"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The regression coefficients provide valuable insights into the relative impact of each policy change. The closure of overseas recruitment has the strongest negative impact (-52,894), meaning that this policy change alone is associated with a reduction of approximately 52,894 visa grants per year. The increase in the skill threshold from RQF Level 3 to Level 6 has the second strongest impact (-42,315), indicating that the shift to a degree-level requirement has significantly reduced the inflow of migrant workers. The </w:t>
      </w:r>
      <w:proofErr w:type="spellStart"/>
      <w:r w:rsidRPr="00355CD8">
        <w:rPr>
          <w:rFonts w:ascii="Arial" w:hAnsi="Arial" w:cs="Arial"/>
        </w:rPr>
        <w:t>dependant</w:t>
      </w:r>
      <w:proofErr w:type="spellEnd"/>
      <w:r w:rsidRPr="00355CD8">
        <w:rPr>
          <w:rFonts w:ascii="Arial" w:hAnsi="Arial" w:cs="Arial"/>
        </w:rPr>
        <w:t xml:space="preserve"> visa restriction (-38,721) and salary threshold increase (-1,847) also have significant negative impacts, but to a lesser extent. The model explains 89% of the variance in visa grant rates. All four policy variables are statistically significant at p &lt; 0.01.</w:t>
      </w:r>
    </w:p>
    <w:p w14:paraId="4D47931D"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However, it is important to note that correlation does not imply causation. While the regression analysis shows a strong association between policy changes and visa grant </w:t>
      </w:r>
      <w:r w:rsidRPr="00355CD8">
        <w:rPr>
          <w:rFonts w:ascii="Arial" w:hAnsi="Arial" w:cs="Arial"/>
        </w:rPr>
        <w:lastRenderedPageBreak/>
        <w:t>rates, other factors – such as changes in NHS funding, economic conditions, and employer recruitment strategies – may also have contributed to the decline. Future research should explore these factors to establish a more complete understanding of the drivers of workforce decline.</w:t>
      </w:r>
    </w:p>
    <w:p w14:paraId="4DE3AB95" w14:textId="77777777" w:rsidR="00D3585A" w:rsidRPr="00355CD8" w:rsidRDefault="00D3585A" w:rsidP="00C6608D">
      <w:pPr>
        <w:pStyle w:val="Heading5"/>
      </w:pPr>
      <w:r w:rsidRPr="00355CD8">
        <w:t>4.2.3.6 Summary of Findings for Research Question 3</w:t>
      </w:r>
    </w:p>
    <w:p w14:paraId="013A5CAF" w14:textId="5527DF26" w:rsidR="00D3585A" w:rsidRPr="00355CD8" w:rsidRDefault="00D3585A" w:rsidP="00355CD8">
      <w:pPr>
        <w:spacing w:line="360" w:lineRule="auto"/>
        <w:jc w:val="both"/>
        <w:rPr>
          <w:rFonts w:ascii="Arial" w:hAnsi="Arial" w:cs="Arial"/>
        </w:rPr>
      </w:pPr>
      <w:r w:rsidRPr="00355CD8">
        <w:rPr>
          <w:rFonts w:ascii="Arial" w:hAnsi="Arial" w:cs="Arial"/>
        </w:rPr>
        <w:t>The immigration rule changes have had a catastrophic impact. The near-total collapse of the care worker visa route – from over 108,000 at peak to 11 in Q1 2026 – combined with the 33% increase in internationally educated nurses leaving, represents a fundamental threat to human capital sustainability.</w:t>
      </w:r>
    </w:p>
    <w:p w14:paraId="37025BC0" w14:textId="77777777" w:rsidR="00D3585A" w:rsidRPr="00355CD8" w:rsidRDefault="00D3585A" w:rsidP="00C6608D">
      <w:pPr>
        <w:pStyle w:val="Heading3"/>
      </w:pPr>
      <w:bookmarkStart w:id="150" w:name="_Toc235978116"/>
      <w:bookmarkStart w:id="151" w:name="_Toc235978681"/>
      <w:bookmarkStart w:id="152" w:name="_Toc238200176"/>
      <w:r w:rsidRPr="00355CD8">
        <w:t>4.2.4 Research Question 4: HR Strategies for Workforce Sustainability</w:t>
      </w:r>
      <w:bookmarkEnd w:id="150"/>
      <w:bookmarkEnd w:id="151"/>
      <w:bookmarkEnd w:id="152"/>
    </w:p>
    <w:p w14:paraId="708694BD" w14:textId="77777777" w:rsidR="00D3585A" w:rsidRPr="00355CD8" w:rsidRDefault="00D3585A" w:rsidP="00C6608D">
      <w:pPr>
        <w:pStyle w:val="Heading5"/>
        <w:rPr>
          <w:i/>
          <w:iCs/>
        </w:rPr>
      </w:pPr>
      <w:r w:rsidRPr="00355CD8">
        <w:t>4.2.4.1 Data Sources and Analysis Method</w:t>
      </w:r>
    </w:p>
    <w:p w14:paraId="7605009B" w14:textId="77777777" w:rsidR="00D3585A" w:rsidRPr="00355CD8" w:rsidRDefault="00D3585A" w:rsidP="00355CD8">
      <w:pPr>
        <w:spacing w:line="360" w:lineRule="auto"/>
        <w:jc w:val="both"/>
        <w:rPr>
          <w:rFonts w:ascii="Arial" w:hAnsi="Arial" w:cs="Arial"/>
        </w:rPr>
      </w:pPr>
      <w:r w:rsidRPr="00355CD8">
        <w:rPr>
          <w:rFonts w:ascii="Arial" w:hAnsi="Arial" w:cs="Arial"/>
        </w:rPr>
        <w:t>Document analysis was conducted on the NHS Long Term Workforce Plan (NHS England, 2023), Skills for Care workforce reports (2024), and the literature review from Chapter 2.</w:t>
      </w:r>
    </w:p>
    <w:p w14:paraId="38F53484" w14:textId="77777777" w:rsidR="00D3585A" w:rsidRPr="00355CD8" w:rsidRDefault="00D3585A" w:rsidP="00C6608D">
      <w:pPr>
        <w:pStyle w:val="Heading5"/>
        <w:rPr>
          <w:i/>
          <w:iCs/>
        </w:rPr>
      </w:pPr>
      <w:r w:rsidRPr="00355CD8">
        <w:t>4.2.4.2 Findings: Domestic Upskilling</w:t>
      </w:r>
    </w:p>
    <w:p w14:paraId="31EC8FAF" w14:textId="77777777" w:rsidR="00D3585A" w:rsidRPr="00355CD8" w:rsidRDefault="00D3585A" w:rsidP="00355CD8">
      <w:pPr>
        <w:spacing w:line="360" w:lineRule="auto"/>
        <w:jc w:val="both"/>
        <w:rPr>
          <w:rFonts w:ascii="Arial" w:hAnsi="Arial" w:cs="Arial"/>
        </w:rPr>
      </w:pPr>
      <w:r w:rsidRPr="00355CD8">
        <w:rPr>
          <w:rFonts w:ascii="Arial" w:hAnsi="Arial" w:cs="Arial"/>
        </w:rPr>
        <w:t>The NHS Long Term Workforce Plan sets out ambitious targets for domestic recruitment. Research by Skills for Care shows that training reduces turnover:</w:t>
      </w:r>
    </w:p>
    <w:p w14:paraId="74A7802F" w14:textId="0BC043D1" w:rsidR="006D553D" w:rsidRPr="00B63030" w:rsidRDefault="006D553D" w:rsidP="006D553D">
      <w:pPr>
        <w:pStyle w:val="Caption"/>
        <w:keepNext/>
        <w:rPr>
          <w:sz w:val="28"/>
          <w:szCs w:val="28"/>
        </w:rPr>
      </w:pPr>
      <w:bookmarkStart w:id="153" w:name="_Toc238206092"/>
      <w:r w:rsidRPr="00B63030">
        <w:rPr>
          <w:sz w:val="28"/>
          <w:szCs w:val="28"/>
        </w:rPr>
        <w:t xml:space="preserve">Table </w:t>
      </w:r>
      <w:r w:rsidRPr="00B63030">
        <w:rPr>
          <w:sz w:val="28"/>
          <w:szCs w:val="28"/>
        </w:rPr>
        <w:fldChar w:fldCharType="begin"/>
      </w:r>
      <w:r w:rsidRPr="00B63030">
        <w:rPr>
          <w:sz w:val="28"/>
          <w:szCs w:val="28"/>
        </w:rPr>
        <w:instrText xml:space="preserve"> SEQ Table \* ARABIC </w:instrText>
      </w:r>
      <w:r w:rsidRPr="00B63030">
        <w:rPr>
          <w:sz w:val="28"/>
          <w:szCs w:val="28"/>
        </w:rPr>
        <w:fldChar w:fldCharType="separate"/>
      </w:r>
      <w:r w:rsidR="00B70586" w:rsidRPr="00B63030">
        <w:rPr>
          <w:noProof/>
          <w:sz w:val="28"/>
          <w:szCs w:val="28"/>
        </w:rPr>
        <w:t>8</w:t>
      </w:r>
      <w:r w:rsidRPr="00B63030">
        <w:rPr>
          <w:sz w:val="28"/>
          <w:szCs w:val="28"/>
        </w:rPr>
        <w:fldChar w:fldCharType="end"/>
      </w:r>
      <w:r w:rsidRPr="00B63030">
        <w:rPr>
          <w:sz w:val="28"/>
          <w:szCs w:val="28"/>
        </w:rPr>
        <w:t xml:space="preserve"> Training Instances and Turnover Rates.</w:t>
      </w:r>
      <w:bookmarkEnd w:id="153"/>
    </w:p>
    <w:tbl>
      <w:tblPr>
        <w:tblW w:w="8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615"/>
        <w:gridCol w:w="3385"/>
      </w:tblGrid>
      <w:tr w:rsidR="00D3585A" w:rsidRPr="00355CD8" w14:paraId="1E114323" w14:textId="77777777" w:rsidTr="00E51224">
        <w:trPr>
          <w:trHeight w:val="438"/>
          <w:tblHeader/>
        </w:trPr>
        <w:tc>
          <w:tcPr>
            <w:tcW w:w="0" w:type="auto"/>
            <w:tcMar>
              <w:top w:w="150" w:type="dxa"/>
              <w:left w:w="0" w:type="dxa"/>
              <w:bottom w:w="150" w:type="dxa"/>
              <w:right w:w="240" w:type="dxa"/>
            </w:tcMar>
            <w:vAlign w:val="center"/>
            <w:hideMark/>
          </w:tcPr>
          <w:p w14:paraId="4D1411D4" w14:textId="77777777" w:rsidR="00D3585A" w:rsidRPr="00355CD8" w:rsidRDefault="00D3585A" w:rsidP="00355CD8">
            <w:pPr>
              <w:spacing w:line="360" w:lineRule="auto"/>
              <w:jc w:val="both"/>
              <w:rPr>
                <w:rFonts w:ascii="Arial" w:hAnsi="Arial" w:cs="Arial"/>
              </w:rPr>
            </w:pPr>
            <w:r w:rsidRPr="00355CD8">
              <w:rPr>
                <w:rFonts w:ascii="Arial" w:hAnsi="Arial" w:cs="Arial"/>
              </w:rPr>
              <w:t>Training Instances</w:t>
            </w:r>
          </w:p>
        </w:tc>
        <w:tc>
          <w:tcPr>
            <w:tcW w:w="0" w:type="auto"/>
            <w:tcMar>
              <w:top w:w="150" w:type="dxa"/>
              <w:left w:w="240" w:type="dxa"/>
              <w:bottom w:w="150" w:type="dxa"/>
              <w:right w:w="240" w:type="dxa"/>
            </w:tcMar>
            <w:vAlign w:val="center"/>
            <w:hideMark/>
          </w:tcPr>
          <w:p w14:paraId="15FCCB55" w14:textId="77777777" w:rsidR="00D3585A" w:rsidRPr="00355CD8" w:rsidRDefault="00D3585A" w:rsidP="00355CD8">
            <w:pPr>
              <w:spacing w:line="360" w:lineRule="auto"/>
              <w:jc w:val="both"/>
              <w:rPr>
                <w:rFonts w:ascii="Arial" w:hAnsi="Arial" w:cs="Arial"/>
              </w:rPr>
            </w:pPr>
            <w:r w:rsidRPr="00355CD8">
              <w:rPr>
                <w:rFonts w:ascii="Arial" w:hAnsi="Arial" w:cs="Arial"/>
              </w:rPr>
              <w:t>Turnover Rate</w:t>
            </w:r>
          </w:p>
        </w:tc>
      </w:tr>
      <w:tr w:rsidR="00D3585A" w:rsidRPr="00355CD8" w14:paraId="0C35F5E9" w14:textId="77777777" w:rsidTr="00E51224">
        <w:trPr>
          <w:trHeight w:val="438"/>
        </w:trPr>
        <w:tc>
          <w:tcPr>
            <w:tcW w:w="0" w:type="auto"/>
            <w:tcMar>
              <w:top w:w="150" w:type="dxa"/>
              <w:left w:w="0" w:type="dxa"/>
              <w:bottom w:w="150" w:type="dxa"/>
              <w:right w:w="240" w:type="dxa"/>
            </w:tcMar>
            <w:vAlign w:val="center"/>
            <w:hideMark/>
          </w:tcPr>
          <w:p w14:paraId="17496597" w14:textId="77777777" w:rsidR="00D3585A" w:rsidRPr="00355CD8" w:rsidRDefault="00D3585A" w:rsidP="00355CD8">
            <w:pPr>
              <w:spacing w:line="360" w:lineRule="auto"/>
              <w:jc w:val="both"/>
              <w:rPr>
                <w:rFonts w:ascii="Arial" w:hAnsi="Arial" w:cs="Arial"/>
              </w:rPr>
            </w:pPr>
            <w:r w:rsidRPr="00355CD8">
              <w:rPr>
                <w:rFonts w:ascii="Arial" w:hAnsi="Arial" w:cs="Arial"/>
              </w:rPr>
              <w:t>1–5 instances</w:t>
            </w:r>
          </w:p>
        </w:tc>
        <w:tc>
          <w:tcPr>
            <w:tcW w:w="0" w:type="auto"/>
            <w:tcMar>
              <w:top w:w="150" w:type="dxa"/>
              <w:left w:w="240" w:type="dxa"/>
              <w:bottom w:w="150" w:type="dxa"/>
              <w:right w:w="0" w:type="dxa"/>
            </w:tcMar>
            <w:vAlign w:val="center"/>
            <w:hideMark/>
          </w:tcPr>
          <w:p w14:paraId="75CB1D75" w14:textId="77777777" w:rsidR="00D3585A" w:rsidRPr="00355CD8" w:rsidRDefault="00D3585A" w:rsidP="00355CD8">
            <w:pPr>
              <w:spacing w:line="360" w:lineRule="auto"/>
              <w:jc w:val="both"/>
              <w:rPr>
                <w:rFonts w:ascii="Arial" w:hAnsi="Arial" w:cs="Arial"/>
              </w:rPr>
            </w:pPr>
            <w:r w:rsidRPr="00355CD8">
              <w:rPr>
                <w:rFonts w:ascii="Arial" w:hAnsi="Arial" w:cs="Arial"/>
              </w:rPr>
              <w:t>26.3%</w:t>
            </w:r>
          </w:p>
        </w:tc>
      </w:tr>
      <w:tr w:rsidR="00D3585A" w:rsidRPr="00355CD8" w14:paraId="1DA7C0E9" w14:textId="77777777" w:rsidTr="00E51224">
        <w:trPr>
          <w:trHeight w:val="438"/>
        </w:trPr>
        <w:tc>
          <w:tcPr>
            <w:tcW w:w="0" w:type="auto"/>
            <w:tcMar>
              <w:top w:w="150" w:type="dxa"/>
              <w:left w:w="0" w:type="dxa"/>
              <w:bottom w:w="150" w:type="dxa"/>
              <w:right w:w="240" w:type="dxa"/>
            </w:tcMar>
            <w:vAlign w:val="center"/>
            <w:hideMark/>
          </w:tcPr>
          <w:p w14:paraId="0D27AE69" w14:textId="77777777" w:rsidR="00D3585A" w:rsidRPr="00355CD8" w:rsidRDefault="00D3585A" w:rsidP="00355CD8">
            <w:pPr>
              <w:spacing w:line="360" w:lineRule="auto"/>
              <w:jc w:val="both"/>
              <w:rPr>
                <w:rFonts w:ascii="Arial" w:hAnsi="Arial" w:cs="Arial"/>
              </w:rPr>
            </w:pPr>
            <w:r w:rsidRPr="00355CD8">
              <w:rPr>
                <w:rFonts w:ascii="Arial" w:hAnsi="Arial" w:cs="Arial"/>
              </w:rPr>
              <w:t>6–10 instances</w:t>
            </w:r>
          </w:p>
        </w:tc>
        <w:tc>
          <w:tcPr>
            <w:tcW w:w="0" w:type="auto"/>
            <w:tcMar>
              <w:top w:w="150" w:type="dxa"/>
              <w:left w:w="240" w:type="dxa"/>
              <w:bottom w:w="150" w:type="dxa"/>
              <w:right w:w="0" w:type="dxa"/>
            </w:tcMar>
            <w:vAlign w:val="center"/>
            <w:hideMark/>
          </w:tcPr>
          <w:p w14:paraId="465A9F8D" w14:textId="77777777" w:rsidR="00D3585A" w:rsidRPr="00355CD8" w:rsidRDefault="00D3585A" w:rsidP="00355CD8">
            <w:pPr>
              <w:spacing w:line="360" w:lineRule="auto"/>
              <w:jc w:val="both"/>
              <w:rPr>
                <w:rFonts w:ascii="Arial" w:hAnsi="Arial" w:cs="Arial"/>
              </w:rPr>
            </w:pPr>
            <w:r w:rsidRPr="00355CD8">
              <w:rPr>
                <w:rFonts w:ascii="Arial" w:hAnsi="Arial" w:cs="Arial"/>
              </w:rPr>
              <w:t>25.1%</w:t>
            </w:r>
          </w:p>
        </w:tc>
      </w:tr>
      <w:tr w:rsidR="00D3585A" w:rsidRPr="00355CD8" w14:paraId="5B74599E" w14:textId="77777777" w:rsidTr="00E51224">
        <w:trPr>
          <w:trHeight w:val="438"/>
        </w:trPr>
        <w:tc>
          <w:tcPr>
            <w:tcW w:w="0" w:type="auto"/>
            <w:tcMar>
              <w:top w:w="150" w:type="dxa"/>
              <w:left w:w="0" w:type="dxa"/>
              <w:bottom w:w="150" w:type="dxa"/>
              <w:right w:w="240" w:type="dxa"/>
            </w:tcMar>
            <w:vAlign w:val="center"/>
            <w:hideMark/>
          </w:tcPr>
          <w:p w14:paraId="47A07892" w14:textId="77777777" w:rsidR="00D3585A" w:rsidRPr="00355CD8" w:rsidRDefault="00D3585A" w:rsidP="00355CD8">
            <w:pPr>
              <w:spacing w:line="360" w:lineRule="auto"/>
              <w:jc w:val="both"/>
              <w:rPr>
                <w:rFonts w:ascii="Arial" w:hAnsi="Arial" w:cs="Arial"/>
              </w:rPr>
            </w:pPr>
            <w:r w:rsidRPr="00355CD8">
              <w:rPr>
                <w:rFonts w:ascii="Arial" w:hAnsi="Arial" w:cs="Arial"/>
              </w:rPr>
              <w:t>11–20 instances</w:t>
            </w:r>
          </w:p>
        </w:tc>
        <w:tc>
          <w:tcPr>
            <w:tcW w:w="0" w:type="auto"/>
            <w:tcMar>
              <w:top w:w="150" w:type="dxa"/>
              <w:left w:w="240" w:type="dxa"/>
              <w:bottom w:w="150" w:type="dxa"/>
              <w:right w:w="0" w:type="dxa"/>
            </w:tcMar>
            <w:vAlign w:val="center"/>
            <w:hideMark/>
          </w:tcPr>
          <w:p w14:paraId="723E4F47" w14:textId="77777777" w:rsidR="00D3585A" w:rsidRPr="00355CD8" w:rsidRDefault="00D3585A" w:rsidP="00355CD8">
            <w:pPr>
              <w:spacing w:line="360" w:lineRule="auto"/>
              <w:jc w:val="both"/>
              <w:rPr>
                <w:rFonts w:ascii="Arial" w:hAnsi="Arial" w:cs="Arial"/>
              </w:rPr>
            </w:pPr>
            <w:r w:rsidRPr="00355CD8">
              <w:rPr>
                <w:rFonts w:ascii="Arial" w:hAnsi="Arial" w:cs="Arial"/>
              </w:rPr>
              <w:t>24.2%</w:t>
            </w:r>
          </w:p>
        </w:tc>
      </w:tr>
      <w:tr w:rsidR="00D3585A" w:rsidRPr="00355CD8" w14:paraId="7B92F175" w14:textId="77777777" w:rsidTr="00E51224">
        <w:trPr>
          <w:trHeight w:val="438"/>
        </w:trPr>
        <w:tc>
          <w:tcPr>
            <w:tcW w:w="0" w:type="auto"/>
            <w:tcMar>
              <w:top w:w="150" w:type="dxa"/>
              <w:left w:w="0" w:type="dxa"/>
              <w:bottom w:w="150" w:type="dxa"/>
              <w:right w:w="240" w:type="dxa"/>
            </w:tcMar>
            <w:vAlign w:val="center"/>
            <w:hideMark/>
          </w:tcPr>
          <w:p w14:paraId="199EE1EF" w14:textId="77777777" w:rsidR="00D3585A" w:rsidRPr="00355CD8" w:rsidRDefault="00D3585A" w:rsidP="00355CD8">
            <w:pPr>
              <w:spacing w:line="360" w:lineRule="auto"/>
              <w:jc w:val="both"/>
              <w:rPr>
                <w:rFonts w:ascii="Arial" w:hAnsi="Arial" w:cs="Arial"/>
              </w:rPr>
            </w:pPr>
            <w:r w:rsidRPr="00355CD8">
              <w:rPr>
                <w:rFonts w:ascii="Arial" w:hAnsi="Arial" w:cs="Arial"/>
              </w:rPr>
              <w:t>21–30 instances</w:t>
            </w:r>
          </w:p>
        </w:tc>
        <w:tc>
          <w:tcPr>
            <w:tcW w:w="0" w:type="auto"/>
            <w:tcMar>
              <w:top w:w="150" w:type="dxa"/>
              <w:left w:w="240" w:type="dxa"/>
              <w:bottom w:w="150" w:type="dxa"/>
              <w:right w:w="0" w:type="dxa"/>
            </w:tcMar>
            <w:vAlign w:val="center"/>
            <w:hideMark/>
          </w:tcPr>
          <w:p w14:paraId="7F4E5800" w14:textId="77777777" w:rsidR="00D3585A" w:rsidRPr="00355CD8" w:rsidRDefault="00D3585A" w:rsidP="00355CD8">
            <w:pPr>
              <w:spacing w:line="360" w:lineRule="auto"/>
              <w:jc w:val="both"/>
              <w:rPr>
                <w:rFonts w:ascii="Arial" w:hAnsi="Arial" w:cs="Arial"/>
              </w:rPr>
            </w:pPr>
            <w:r w:rsidRPr="00355CD8">
              <w:rPr>
                <w:rFonts w:ascii="Arial" w:hAnsi="Arial" w:cs="Arial"/>
              </w:rPr>
              <w:t>23.4%</w:t>
            </w:r>
          </w:p>
        </w:tc>
      </w:tr>
      <w:tr w:rsidR="00D3585A" w:rsidRPr="00355CD8" w14:paraId="5A45CC20" w14:textId="77777777" w:rsidTr="00E51224">
        <w:trPr>
          <w:trHeight w:val="438"/>
        </w:trPr>
        <w:tc>
          <w:tcPr>
            <w:tcW w:w="0" w:type="auto"/>
            <w:tcMar>
              <w:top w:w="150" w:type="dxa"/>
              <w:left w:w="0" w:type="dxa"/>
              <w:bottom w:w="150" w:type="dxa"/>
              <w:right w:w="240" w:type="dxa"/>
            </w:tcMar>
            <w:vAlign w:val="center"/>
            <w:hideMark/>
          </w:tcPr>
          <w:p w14:paraId="4F460047" w14:textId="77777777" w:rsidR="00D3585A" w:rsidRPr="00355CD8" w:rsidRDefault="00D3585A" w:rsidP="00355CD8">
            <w:pPr>
              <w:spacing w:line="360" w:lineRule="auto"/>
              <w:jc w:val="both"/>
              <w:rPr>
                <w:rFonts w:ascii="Arial" w:hAnsi="Arial" w:cs="Arial"/>
              </w:rPr>
            </w:pPr>
            <w:r w:rsidRPr="00355CD8">
              <w:rPr>
                <w:rFonts w:ascii="Arial" w:hAnsi="Arial" w:cs="Arial"/>
              </w:rPr>
              <w:lastRenderedPageBreak/>
              <w:t>More than 30 instances</w:t>
            </w:r>
          </w:p>
        </w:tc>
        <w:tc>
          <w:tcPr>
            <w:tcW w:w="0" w:type="auto"/>
            <w:tcMar>
              <w:top w:w="150" w:type="dxa"/>
              <w:left w:w="240" w:type="dxa"/>
              <w:bottom w:w="150" w:type="dxa"/>
              <w:right w:w="0" w:type="dxa"/>
            </w:tcMar>
            <w:vAlign w:val="center"/>
            <w:hideMark/>
          </w:tcPr>
          <w:p w14:paraId="4B85777D" w14:textId="77777777" w:rsidR="00D3585A" w:rsidRPr="00355CD8" w:rsidRDefault="00D3585A" w:rsidP="00355CD8">
            <w:pPr>
              <w:spacing w:line="360" w:lineRule="auto"/>
              <w:jc w:val="both"/>
              <w:rPr>
                <w:rFonts w:ascii="Arial" w:hAnsi="Arial" w:cs="Arial"/>
              </w:rPr>
            </w:pPr>
            <w:r w:rsidRPr="00355CD8">
              <w:rPr>
                <w:rFonts w:ascii="Arial" w:hAnsi="Arial" w:cs="Arial"/>
              </w:rPr>
              <w:t>22.9%</w:t>
            </w:r>
          </w:p>
        </w:tc>
      </w:tr>
    </w:tbl>
    <w:p w14:paraId="42B4E009" w14:textId="77777777" w:rsidR="00D3585A" w:rsidRPr="00355CD8" w:rsidRDefault="00D3585A" w:rsidP="00355CD8">
      <w:pPr>
        <w:spacing w:line="360" w:lineRule="auto"/>
        <w:jc w:val="both"/>
        <w:rPr>
          <w:rFonts w:ascii="Arial" w:hAnsi="Arial" w:cs="Arial"/>
        </w:rPr>
      </w:pPr>
      <w:r w:rsidRPr="00355CD8">
        <w:rPr>
          <w:rFonts w:ascii="Arial" w:hAnsi="Arial" w:cs="Arial"/>
        </w:rPr>
        <w:t>Source: Skills for Care (2024).</w:t>
      </w:r>
    </w:p>
    <w:p w14:paraId="30038F23" w14:textId="77777777" w:rsidR="00D3585A" w:rsidRPr="00355CD8" w:rsidRDefault="00D3585A" w:rsidP="00355CD8">
      <w:pPr>
        <w:spacing w:line="360" w:lineRule="auto"/>
        <w:jc w:val="both"/>
        <w:rPr>
          <w:rFonts w:ascii="Arial" w:hAnsi="Arial" w:cs="Arial"/>
        </w:rPr>
      </w:pPr>
      <w:r w:rsidRPr="00355CD8">
        <w:rPr>
          <w:rFonts w:ascii="Arial" w:hAnsi="Arial" w:cs="Arial"/>
        </w:rPr>
        <w:t>The average turnover rate amongst care workers with 1–5 instances of training was 26.3%, decreasing to 22.9% for those with more than 30 instances. This suggests that investment in training can improve retention.</w:t>
      </w:r>
    </w:p>
    <w:p w14:paraId="139711B3" w14:textId="77777777" w:rsidR="00D3585A" w:rsidRPr="00355CD8" w:rsidRDefault="00D3585A" w:rsidP="00355CD8">
      <w:pPr>
        <w:pStyle w:val="Heading4"/>
        <w:spacing w:line="360" w:lineRule="auto"/>
        <w:jc w:val="both"/>
        <w:rPr>
          <w:rFonts w:ascii="Arial" w:hAnsi="Arial" w:cs="Arial"/>
          <w:i w:val="0"/>
          <w:iCs w:val="0"/>
        </w:rPr>
      </w:pPr>
      <w:r w:rsidRPr="00355CD8">
        <w:rPr>
          <w:rFonts w:ascii="Arial" w:hAnsi="Arial" w:cs="Arial"/>
          <w:i w:val="0"/>
          <w:iCs w:val="0"/>
        </w:rPr>
        <w:t>4.2.4.3 Findings: Domestic Recruitment Challenges</w:t>
      </w:r>
    </w:p>
    <w:p w14:paraId="258ECDA8" w14:textId="77777777" w:rsidR="00D3585A" w:rsidRPr="00355CD8" w:rsidRDefault="00D3585A" w:rsidP="00355CD8">
      <w:pPr>
        <w:spacing w:line="360" w:lineRule="auto"/>
        <w:jc w:val="both"/>
        <w:rPr>
          <w:rFonts w:ascii="Arial" w:hAnsi="Arial" w:cs="Arial"/>
        </w:rPr>
      </w:pPr>
      <w:r w:rsidRPr="00355CD8">
        <w:rPr>
          <w:rFonts w:ascii="Arial" w:hAnsi="Arial" w:cs="Arial"/>
        </w:rPr>
        <w:t>The 2.6% decline in workers of British nationality over the 2023/24 period highlights the challenges of domestic recruitment.</w:t>
      </w:r>
    </w:p>
    <w:p w14:paraId="72746066" w14:textId="77777777" w:rsidR="00D3585A" w:rsidRPr="00355CD8" w:rsidRDefault="00D3585A" w:rsidP="00C6608D">
      <w:pPr>
        <w:pStyle w:val="Heading5"/>
      </w:pPr>
      <w:r w:rsidRPr="00355CD8">
        <w:t>4.2.4.4 Findings: Retention Strategies</w:t>
      </w:r>
    </w:p>
    <w:p w14:paraId="75A315FF" w14:textId="44F263D9" w:rsidR="00D3585A" w:rsidRPr="00355CD8" w:rsidRDefault="00D3585A" w:rsidP="00355CD8">
      <w:pPr>
        <w:spacing w:line="360" w:lineRule="auto"/>
        <w:jc w:val="both"/>
        <w:rPr>
          <w:rFonts w:ascii="Arial" w:hAnsi="Arial" w:cs="Arial"/>
        </w:rPr>
      </w:pPr>
      <w:r w:rsidRPr="00355CD8">
        <w:rPr>
          <w:rFonts w:ascii="Arial" w:hAnsi="Arial" w:cs="Arial"/>
        </w:rPr>
        <w:t>Key strategies include investment in training, supportive working environments, and family unity support (</w:t>
      </w:r>
      <w:proofErr w:type="spellStart"/>
      <w:r w:rsidRPr="00355CD8">
        <w:rPr>
          <w:rFonts w:ascii="Arial" w:hAnsi="Arial" w:cs="Arial"/>
        </w:rPr>
        <w:t>Sarre</w:t>
      </w:r>
      <w:proofErr w:type="spellEnd"/>
      <w:r w:rsidRPr="00355CD8">
        <w:rPr>
          <w:rFonts w:ascii="Arial" w:hAnsi="Arial" w:cs="Arial"/>
        </w:rPr>
        <w:t xml:space="preserve"> et al., 2025;</w:t>
      </w:r>
      <w:r w:rsidR="00D857FC" w:rsidRPr="00355CD8">
        <w:rPr>
          <w:rFonts w:ascii="Arial" w:hAnsi="Arial" w:cs="Arial"/>
        </w:rPr>
        <w:t xml:space="preserve"> Anderson et al.,</w:t>
      </w:r>
      <w:r w:rsidR="006D553D">
        <w:rPr>
          <w:rFonts w:ascii="Arial" w:hAnsi="Arial" w:cs="Arial"/>
        </w:rPr>
        <w:t xml:space="preserve"> </w:t>
      </w:r>
      <w:r w:rsidRPr="00355CD8">
        <w:rPr>
          <w:rFonts w:ascii="Arial" w:hAnsi="Arial" w:cs="Arial"/>
        </w:rPr>
        <w:t>2021).</w:t>
      </w:r>
    </w:p>
    <w:p w14:paraId="0C8FDC0A" w14:textId="77777777" w:rsidR="00D3585A" w:rsidRPr="00355CD8" w:rsidRDefault="00D3585A" w:rsidP="00C6608D">
      <w:pPr>
        <w:pStyle w:val="Heading5"/>
      </w:pPr>
      <w:r w:rsidRPr="00355CD8">
        <w:t>4.2.4.5 Summary of Findings for Research Question 4</w:t>
      </w:r>
    </w:p>
    <w:p w14:paraId="40F1C96E" w14:textId="62B2F3F1" w:rsidR="00D3585A" w:rsidRPr="00355CD8" w:rsidRDefault="00D3585A" w:rsidP="00355CD8">
      <w:pPr>
        <w:spacing w:line="360" w:lineRule="auto"/>
        <w:jc w:val="both"/>
        <w:rPr>
          <w:rFonts w:ascii="Arial" w:hAnsi="Arial" w:cs="Arial"/>
        </w:rPr>
      </w:pPr>
      <w:r w:rsidRPr="00355CD8">
        <w:rPr>
          <w:rFonts w:ascii="Arial" w:hAnsi="Arial" w:cs="Arial"/>
        </w:rPr>
        <w:t xml:space="preserve">While HR strategies have been proposed, there is limited evidence </w:t>
      </w:r>
      <w:proofErr w:type="gramStart"/>
      <w:r w:rsidRPr="00355CD8">
        <w:rPr>
          <w:rFonts w:ascii="Arial" w:hAnsi="Arial" w:cs="Arial"/>
        </w:rPr>
        <w:t>on</w:t>
      </w:r>
      <w:proofErr w:type="gramEnd"/>
      <w:r w:rsidRPr="00355CD8">
        <w:rPr>
          <w:rFonts w:ascii="Arial" w:hAnsi="Arial" w:cs="Arial"/>
        </w:rPr>
        <w:t xml:space="preserve"> their effectiveness. Training reduces turnover, but domestic recruitment faces significant challenges. The near-total collapse of the care worker visa route cannot be </w:t>
      </w:r>
      <w:proofErr w:type="gramStart"/>
      <w:r w:rsidRPr="00355CD8">
        <w:rPr>
          <w:rFonts w:ascii="Arial" w:hAnsi="Arial" w:cs="Arial"/>
        </w:rPr>
        <w:t>compensated</w:t>
      </w:r>
      <w:proofErr w:type="gramEnd"/>
      <w:r w:rsidRPr="00355CD8">
        <w:rPr>
          <w:rFonts w:ascii="Arial" w:hAnsi="Arial" w:cs="Arial"/>
        </w:rPr>
        <w:t xml:space="preserve"> by domestic recruitment alone. The findings have several practical implications for healthcare </w:t>
      </w:r>
      <w:proofErr w:type="spellStart"/>
      <w:r w:rsidRPr="00355CD8">
        <w:rPr>
          <w:rFonts w:ascii="Arial" w:hAnsi="Arial" w:cs="Arial"/>
        </w:rPr>
        <w:t>organisations</w:t>
      </w:r>
      <w:proofErr w:type="spellEnd"/>
      <w:r w:rsidRPr="00355CD8">
        <w:rPr>
          <w:rFonts w:ascii="Arial" w:hAnsi="Arial" w:cs="Arial"/>
        </w:rPr>
        <w:t xml:space="preserve">. First, investment in training and career progression is essential – the evidence shows that training reduces turnover from 26.3% to 22.9%. Second, supportive working environments are critical – research has shown that workplace culture is a significant predictor of retention (RCN, 2025). Third, family unity support is important – workers who can bring family members to the UK are more likely to remain (Stewart and Mulvey, 2014). </w:t>
      </w:r>
      <w:proofErr w:type="spellStart"/>
      <w:r w:rsidRPr="00355CD8">
        <w:rPr>
          <w:rFonts w:ascii="Arial" w:hAnsi="Arial" w:cs="Arial"/>
        </w:rPr>
        <w:t>Organisations</w:t>
      </w:r>
      <w:proofErr w:type="spellEnd"/>
      <w:r w:rsidRPr="00355CD8">
        <w:rPr>
          <w:rFonts w:ascii="Arial" w:hAnsi="Arial" w:cs="Arial"/>
        </w:rPr>
        <w:t xml:space="preserve"> should consider flexible working arrangements, access to family housing, and assistance with </w:t>
      </w:r>
      <w:proofErr w:type="spellStart"/>
      <w:r w:rsidRPr="00355CD8">
        <w:rPr>
          <w:rFonts w:ascii="Arial" w:hAnsi="Arial" w:cs="Arial"/>
        </w:rPr>
        <w:t>dependant</w:t>
      </w:r>
      <w:proofErr w:type="spellEnd"/>
      <w:r w:rsidRPr="00355CD8">
        <w:rPr>
          <w:rFonts w:ascii="Arial" w:hAnsi="Arial" w:cs="Arial"/>
        </w:rPr>
        <w:t xml:space="preserve"> applications. These strategies, combined with advocacy for policy change, can help mitigate the impact of immigration restrictions.</w:t>
      </w:r>
    </w:p>
    <w:p w14:paraId="16C9600C" w14:textId="77777777" w:rsidR="00D3585A" w:rsidRPr="00355CD8" w:rsidRDefault="00D3585A" w:rsidP="00C6608D">
      <w:pPr>
        <w:pStyle w:val="Heading2"/>
      </w:pPr>
      <w:bookmarkStart w:id="154" w:name="_Toc235978117"/>
      <w:bookmarkStart w:id="155" w:name="_Toc235978682"/>
      <w:bookmarkStart w:id="156" w:name="_Toc238200177"/>
      <w:r w:rsidRPr="00355CD8">
        <w:lastRenderedPageBreak/>
        <w:t>4.3 Analysis of Results</w:t>
      </w:r>
      <w:bookmarkEnd w:id="154"/>
      <w:bookmarkEnd w:id="155"/>
      <w:bookmarkEnd w:id="156"/>
    </w:p>
    <w:p w14:paraId="46767317" w14:textId="77777777" w:rsidR="00D3585A" w:rsidRPr="00355CD8" w:rsidRDefault="00D3585A" w:rsidP="00C6608D">
      <w:pPr>
        <w:pStyle w:val="Heading3"/>
        <w:rPr>
          <w:i/>
          <w:iCs/>
        </w:rPr>
      </w:pPr>
      <w:bookmarkStart w:id="157" w:name="_Toc238200178"/>
      <w:r w:rsidRPr="00355CD8">
        <w:t>4.3.1 Statistical Analysis</w:t>
      </w:r>
      <w:bookmarkEnd w:id="157"/>
    </w:p>
    <w:p w14:paraId="492A252D"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The multiple regression analysis demonstrates that all four policy variables – skill threshold, salary threshold, </w:t>
      </w:r>
      <w:proofErr w:type="spellStart"/>
      <w:r w:rsidRPr="00355CD8">
        <w:rPr>
          <w:rFonts w:ascii="Arial" w:hAnsi="Arial" w:cs="Arial"/>
        </w:rPr>
        <w:t>dependant</w:t>
      </w:r>
      <w:proofErr w:type="spellEnd"/>
      <w:r w:rsidRPr="00355CD8">
        <w:rPr>
          <w:rFonts w:ascii="Arial" w:hAnsi="Arial" w:cs="Arial"/>
        </w:rPr>
        <w:t xml:space="preserve"> restriction, and overseas recruitment closure – are statistically significant predictors of visa grant rates. The model explains 89% of the variance, indicating that these policy changes are the primary drivers of the decline in migrant healthcare worker inflows.</w:t>
      </w:r>
    </w:p>
    <w:p w14:paraId="70E117CC" w14:textId="77777777" w:rsidR="00D3585A" w:rsidRPr="00355CD8" w:rsidRDefault="00D3585A" w:rsidP="00355CD8">
      <w:pPr>
        <w:spacing w:line="360" w:lineRule="auto"/>
        <w:jc w:val="both"/>
        <w:rPr>
          <w:rFonts w:ascii="Arial" w:hAnsi="Arial" w:cs="Arial"/>
        </w:rPr>
      </w:pPr>
      <w:r w:rsidRPr="00355CD8">
        <w:rPr>
          <w:rFonts w:ascii="Arial" w:hAnsi="Arial" w:cs="Arial"/>
        </w:rPr>
        <w:t>However, it is important to note that correlation does not imply causation. While the regression analysis shows a strong association between policy changes and visa grant rates, other factors – such as changes in NHS funding, economic conditions, and employer recruitment strategies – may also have contributed to the decline. Future research should explore these factors to establish a more complete understanding of the drivers of workforce decline.</w:t>
      </w:r>
    </w:p>
    <w:p w14:paraId="065ACEE5" w14:textId="77777777" w:rsidR="00D3585A" w:rsidRPr="00355CD8" w:rsidRDefault="00D3585A" w:rsidP="00C6608D">
      <w:pPr>
        <w:pStyle w:val="Heading3"/>
        <w:rPr>
          <w:i/>
          <w:iCs/>
        </w:rPr>
      </w:pPr>
      <w:bookmarkStart w:id="158" w:name="_Toc238200179"/>
      <w:r w:rsidRPr="00355CD8">
        <w:t>4.3.2 Trend Analysis</w:t>
      </w:r>
      <w:bookmarkEnd w:id="158"/>
    </w:p>
    <w:p w14:paraId="2F73E0F3" w14:textId="51025CE7" w:rsidR="00D3585A" w:rsidRPr="00355CD8" w:rsidRDefault="00D3585A" w:rsidP="00355CD8">
      <w:pPr>
        <w:spacing w:line="360" w:lineRule="auto"/>
        <w:jc w:val="both"/>
        <w:rPr>
          <w:rFonts w:ascii="Arial" w:hAnsi="Arial" w:cs="Arial"/>
        </w:rPr>
      </w:pPr>
      <w:r w:rsidRPr="00355CD8">
        <w:rPr>
          <w:rFonts w:ascii="Arial" w:hAnsi="Arial" w:cs="Arial"/>
        </w:rPr>
        <w:t xml:space="preserve">The trend analysis reveals a clear pattern: visa grants increased sharply following the 2022 expansion of the Health and Care Worker route, </w:t>
      </w:r>
      <w:proofErr w:type="gramStart"/>
      <w:r w:rsidRPr="00355CD8">
        <w:rPr>
          <w:rFonts w:ascii="Arial" w:hAnsi="Arial" w:cs="Arial"/>
        </w:rPr>
        <w:t>peaked</w:t>
      </w:r>
      <w:proofErr w:type="gramEnd"/>
      <w:r w:rsidRPr="00355CD8">
        <w:rPr>
          <w:rFonts w:ascii="Arial" w:hAnsi="Arial" w:cs="Arial"/>
        </w:rPr>
        <w:t xml:space="preserve"> in mid-2023, and then collapsed following the 2024 and 2025 policy changes. The near-total collapse in Q1 2026 confirms that the policy changes have been effective in reducing inflows – but at a catastrophic cost to workforce sustainability.</w:t>
      </w:r>
    </w:p>
    <w:p w14:paraId="0B8995BC" w14:textId="77777777" w:rsidR="00D3585A" w:rsidRPr="00355CD8" w:rsidRDefault="00D3585A" w:rsidP="00C6608D">
      <w:pPr>
        <w:pStyle w:val="Heading2"/>
      </w:pPr>
      <w:bookmarkStart w:id="159" w:name="_Toc235978118"/>
      <w:bookmarkStart w:id="160" w:name="_Toc235978683"/>
      <w:bookmarkStart w:id="161" w:name="_Toc238200180"/>
      <w:r w:rsidRPr="00355CD8">
        <w:t>4.4 Discussion of Results</w:t>
      </w:r>
      <w:bookmarkEnd w:id="159"/>
      <w:bookmarkEnd w:id="160"/>
      <w:bookmarkEnd w:id="161"/>
    </w:p>
    <w:p w14:paraId="3841FD67" w14:textId="77777777" w:rsidR="00D3585A" w:rsidRPr="00355CD8" w:rsidRDefault="00D3585A" w:rsidP="00C6608D">
      <w:pPr>
        <w:pStyle w:val="Heading3"/>
      </w:pPr>
      <w:bookmarkStart w:id="162" w:name="_Toc235978119"/>
      <w:bookmarkStart w:id="163" w:name="_Toc235978684"/>
      <w:bookmarkStart w:id="164" w:name="_Toc238200181"/>
      <w:r w:rsidRPr="00355CD8">
        <w:t>4.4.1 Discussion in Relation to Research Questions</w:t>
      </w:r>
      <w:bookmarkEnd w:id="162"/>
      <w:bookmarkEnd w:id="163"/>
      <w:bookmarkEnd w:id="164"/>
    </w:p>
    <w:p w14:paraId="56A3236C" w14:textId="77777777" w:rsidR="00D3585A" w:rsidRPr="00355CD8" w:rsidRDefault="00D3585A" w:rsidP="00C6608D">
      <w:pPr>
        <w:pStyle w:val="Heading5"/>
        <w:rPr>
          <w:i/>
          <w:iCs/>
        </w:rPr>
      </w:pPr>
      <w:r w:rsidRPr="00355CD8">
        <w:t>4.4.1.1 Research Question 1: Drivers for Policy Changes</w:t>
      </w:r>
    </w:p>
    <w:p w14:paraId="4B92B941"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The findings confirm that the reforms were driven by the government's stated objectives of reducing net migration, addressing exploitation, and promoting domestic workforce development (Home Office, 2025a). However, the findings also reveal a fundamental tension: while the government has </w:t>
      </w:r>
      <w:proofErr w:type="spellStart"/>
      <w:r w:rsidRPr="00355CD8">
        <w:rPr>
          <w:rFonts w:ascii="Arial" w:hAnsi="Arial" w:cs="Arial"/>
        </w:rPr>
        <w:t>emphasised</w:t>
      </w:r>
      <w:proofErr w:type="spellEnd"/>
      <w:r w:rsidRPr="00355CD8">
        <w:rPr>
          <w:rFonts w:ascii="Arial" w:hAnsi="Arial" w:cs="Arial"/>
        </w:rPr>
        <w:t xml:space="preserve"> domestic workforce development, domestic recruitment alone cannot compensate for the loss of migrant workers.</w:t>
      </w:r>
    </w:p>
    <w:p w14:paraId="56D9D657" w14:textId="77777777" w:rsidR="00D3585A" w:rsidRPr="00355CD8" w:rsidRDefault="00D3585A" w:rsidP="00355CD8">
      <w:pPr>
        <w:pStyle w:val="Heading4"/>
        <w:spacing w:line="360" w:lineRule="auto"/>
        <w:jc w:val="both"/>
        <w:rPr>
          <w:rFonts w:ascii="Arial" w:hAnsi="Arial" w:cs="Arial"/>
          <w:i w:val="0"/>
          <w:iCs w:val="0"/>
        </w:rPr>
      </w:pPr>
      <w:r w:rsidRPr="00355CD8">
        <w:rPr>
          <w:rFonts w:ascii="Arial" w:hAnsi="Arial" w:cs="Arial"/>
          <w:i w:val="0"/>
          <w:iCs w:val="0"/>
        </w:rPr>
        <w:lastRenderedPageBreak/>
        <w:t>4.4.1.2 Research Question 2: Determinants of Sustainability</w:t>
      </w:r>
    </w:p>
    <w:p w14:paraId="7E00BEBD" w14:textId="77777777" w:rsidR="00D3585A" w:rsidRPr="00355CD8" w:rsidRDefault="00D3585A" w:rsidP="00355CD8">
      <w:pPr>
        <w:spacing w:line="360" w:lineRule="auto"/>
        <w:jc w:val="both"/>
        <w:rPr>
          <w:rFonts w:ascii="Arial" w:hAnsi="Arial" w:cs="Arial"/>
        </w:rPr>
      </w:pPr>
      <w:r w:rsidRPr="00355CD8">
        <w:rPr>
          <w:rFonts w:ascii="Arial" w:hAnsi="Arial" w:cs="Arial"/>
        </w:rPr>
        <w:t>The findings confirm that workforce sustainability is critically dependent on international recruitment. The high vacancy rates and turnover rates, combined with the collapse of the care worker visa route, indicate that the sector is facing a sustainability crisis.</w:t>
      </w:r>
    </w:p>
    <w:p w14:paraId="7DA25184" w14:textId="77777777" w:rsidR="00D3585A" w:rsidRPr="00355CD8" w:rsidRDefault="00D3585A" w:rsidP="00C6608D">
      <w:pPr>
        <w:pStyle w:val="Heading5"/>
        <w:rPr>
          <w:i/>
          <w:iCs/>
        </w:rPr>
      </w:pPr>
      <w:r w:rsidRPr="00355CD8">
        <w:t>4.4.1.3 Research Question 3: Impact of Immigration Rule Changes</w:t>
      </w:r>
    </w:p>
    <w:p w14:paraId="571E34B4" w14:textId="77777777" w:rsidR="00D3585A" w:rsidRPr="00355CD8" w:rsidRDefault="00D3585A" w:rsidP="00355CD8">
      <w:pPr>
        <w:spacing w:line="360" w:lineRule="auto"/>
        <w:jc w:val="both"/>
        <w:rPr>
          <w:rFonts w:ascii="Arial" w:hAnsi="Arial" w:cs="Arial"/>
        </w:rPr>
      </w:pPr>
      <w:r w:rsidRPr="00355CD8">
        <w:rPr>
          <w:rFonts w:ascii="Arial" w:hAnsi="Arial" w:cs="Arial"/>
        </w:rPr>
        <w:t>The findings provide quantitative evidence that the policy changes have had a catastrophic impact on human capital sustainability. The near-total collapse of the care worker visa route and the 33% increase in internationally educated nurses leaving represent a fundamental threat to workforce sustainability.</w:t>
      </w:r>
    </w:p>
    <w:p w14:paraId="3CD8D20E" w14:textId="77777777" w:rsidR="00D3585A" w:rsidRPr="00355CD8" w:rsidRDefault="00D3585A" w:rsidP="00355CD8">
      <w:pPr>
        <w:pStyle w:val="Heading4"/>
        <w:spacing w:line="360" w:lineRule="auto"/>
        <w:jc w:val="both"/>
        <w:rPr>
          <w:rFonts w:ascii="Arial" w:hAnsi="Arial" w:cs="Arial"/>
          <w:i w:val="0"/>
          <w:iCs w:val="0"/>
        </w:rPr>
      </w:pPr>
      <w:r w:rsidRPr="00355CD8">
        <w:rPr>
          <w:rFonts w:ascii="Arial" w:hAnsi="Arial" w:cs="Arial"/>
          <w:i w:val="0"/>
          <w:iCs w:val="0"/>
        </w:rPr>
        <w:t>4.4.1.4 Research Question 4: HR Strategies</w:t>
      </w:r>
    </w:p>
    <w:p w14:paraId="2DC00E0F" w14:textId="7984A79D" w:rsidR="00D3585A" w:rsidRPr="00355CD8" w:rsidRDefault="00D3585A" w:rsidP="00355CD8">
      <w:pPr>
        <w:spacing w:line="360" w:lineRule="auto"/>
        <w:jc w:val="both"/>
        <w:rPr>
          <w:rFonts w:ascii="Arial" w:hAnsi="Arial" w:cs="Arial"/>
        </w:rPr>
      </w:pPr>
      <w:r w:rsidRPr="00355CD8">
        <w:rPr>
          <w:rFonts w:ascii="Arial" w:hAnsi="Arial" w:cs="Arial"/>
        </w:rPr>
        <w:t xml:space="preserve">The findings reveal that while HR strategies have been proposed, there is limited evidence </w:t>
      </w:r>
      <w:proofErr w:type="gramStart"/>
      <w:r w:rsidRPr="00355CD8">
        <w:rPr>
          <w:rFonts w:ascii="Arial" w:hAnsi="Arial" w:cs="Arial"/>
        </w:rPr>
        <w:t>on</w:t>
      </w:r>
      <w:proofErr w:type="gramEnd"/>
      <w:r w:rsidRPr="00355CD8">
        <w:rPr>
          <w:rFonts w:ascii="Arial" w:hAnsi="Arial" w:cs="Arial"/>
        </w:rPr>
        <w:t xml:space="preserve"> their effectiveness. The 2.6% decline in British workers suggests that domestic recruitment faces significant challenges.</w:t>
      </w:r>
    </w:p>
    <w:p w14:paraId="3BE81058" w14:textId="77777777" w:rsidR="00D3585A" w:rsidRPr="00904C82" w:rsidRDefault="00D3585A" w:rsidP="00743A8D">
      <w:pPr>
        <w:pStyle w:val="Heading3"/>
      </w:pPr>
      <w:bookmarkStart w:id="165" w:name="_Toc235978120"/>
      <w:bookmarkStart w:id="166" w:name="_Toc235978685"/>
      <w:bookmarkStart w:id="167" w:name="_Toc238200182"/>
      <w:r w:rsidRPr="00904C82">
        <w:t>4.4.2 Linking Results Back to Literature</w:t>
      </w:r>
      <w:bookmarkEnd w:id="165"/>
      <w:bookmarkEnd w:id="166"/>
      <w:bookmarkEnd w:id="167"/>
    </w:p>
    <w:p w14:paraId="50C7D0F7" w14:textId="77777777" w:rsidR="00D3585A" w:rsidRPr="00355CD8" w:rsidRDefault="00D3585A" w:rsidP="00743A8D">
      <w:pPr>
        <w:pStyle w:val="Heading5"/>
        <w:rPr>
          <w:i/>
          <w:iCs/>
        </w:rPr>
      </w:pPr>
      <w:r w:rsidRPr="00355CD8">
        <w:t>4.4.2.1 Human Capital Theory</w:t>
      </w:r>
    </w:p>
    <w:p w14:paraId="1CA87B22"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The findings are consistent with Human Capital Theory (Becker, 1964; </w:t>
      </w:r>
      <w:proofErr w:type="spellStart"/>
      <w:r w:rsidRPr="00355CD8">
        <w:rPr>
          <w:rFonts w:ascii="Arial" w:hAnsi="Arial" w:cs="Arial"/>
        </w:rPr>
        <w:t>Slaus</w:t>
      </w:r>
      <w:proofErr w:type="spellEnd"/>
      <w:r w:rsidRPr="00355CD8">
        <w:rPr>
          <w:rFonts w:ascii="Arial" w:hAnsi="Arial" w:cs="Arial"/>
        </w:rPr>
        <w:t xml:space="preserve"> and Jacobs, 2011). The loss of migrant workers represents a loss of specific human capital – knowledge of NHS protocols, local patient populations, and team dynamics – that is costly to replace and retrain. The near-total collapse of the care worker visa route means that this specific human capital is not being replenished.</w:t>
      </w:r>
    </w:p>
    <w:p w14:paraId="0688944F" w14:textId="77777777" w:rsidR="00D3585A" w:rsidRPr="00355CD8" w:rsidRDefault="00D3585A" w:rsidP="00743A8D">
      <w:pPr>
        <w:pStyle w:val="Heading5"/>
      </w:pPr>
      <w:bookmarkStart w:id="168" w:name="_Toc235978121"/>
      <w:bookmarkStart w:id="169" w:name="_Toc235978686"/>
      <w:r w:rsidRPr="00355CD8">
        <w:t>4.4.2.2 Conservation of Resources (COR) Theory</w:t>
      </w:r>
      <w:bookmarkEnd w:id="168"/>
      <w:bookmarkEnd w:id="169"/>
    </w:p>
    <w:p w14:paraId="40AE3CB8" w14:textId="30170DCE" w:rsidR="00D3585A" w:rsidRPr="00355CD8" w:rsidRDefault="00D3585A" w:rsidP="00355CD8">
      <w:pPr>
        <w:spacing w:line="360" w:lineRule="auto"/>
        <w:jc w:val="both"/>
        <w:rPr>
          <w:rFonts w:ascii="Arial" w:hAnsi="Arial" w:cs="Arial"/>
        </w:rPr>
      </w:pPr>
      <w:r w:rsidRPr="00355CD8">
        <w:rPr>
          <w:rFonts w:ascii="Arial" w:hAnsi="Arial" w:cs="Arial"/>
        </w:rPr>
        <w:t>The findings are consistent with COR Theory (</w:t>
      </w:r>
      <w:proofErr w:type="spellStart"/>
      <w:r w:rsidRPr="00355CD8">
        <w:rPr>
          <w:rFonts w:ascii="Arial" w:hAnsi="Arial" w:cs="Arial"/>
        </w:rPr>
        <w:t>Hobfoll</w:t>
      </w:r>
      <w:proofErr w:type="spellEnd"/>
      <w:r w:rsidRPr="00355CD8">
        <w:rPr>
          <w:rFonts w:ascii="Arial" w:hAnsi="Arial" w:cs="Arial"/>
        </w:rPr>
        <w:t xml:space="preserve">, 1989; </w:t>
      </w:r>
      <w:r w:rsidR="00061BD9">
        <w:rPr>
          <w:rFonts w:ascii="Arial" w:hAnsi="Arial" w:cs="Arial"/>
        </w:rPr>
        <w:t>Lee,</w:t>
      </w:r>
      <w:r w:rsidRPr="00355CD8">
        <w:rPr>
          <w:rFonts w:ascii="Arial" w:hAnsi="Arial" w:cs="Arial"/>
        </w:rPr>
        <w:t xml:space="preserve"> 2015). The 2025 immigration reforms threaten precisely the resources that migrant workers value: family unity (through </w:t>
      </w:r>
      <w:proofErr w:type="spellStart"/>
      <w:r w:rsidRPr="00355CD8">
        <w:rPr>
          <w:rFonts w:ascii="Arial" w:hAnsi="Arial" w:cs="Arial"/>
        </w:rPr>
        <w:t>dependant</w:t>
      </w:r>
      <w:proofErr w:type="spellEnd"/>
      <w:r w:rsidRPr="00355CD8">
        <w:rPr>
          <w:rFonts w:ascii="Arial" w:hAnsi="Arial" w:cs="Arial"/>
        </w:rPr>
        <w:t xml:space="preserve"> visa restrictions) and permanent residency (through the closure of pathways to settlement). The 33% increase in internationally educated nurses leaving provides empirical evidence of withdrawal </w:t>
      </w:r>
      <w:proofErr w:type="spellStart"/>
      <w:r w:rsidRPr="00355CD8">
        <w:rPr>
          <w:rFonts w:ascii="Arial" w:hAnsi="Arial" w:cs="Arial"/>
        </w:rPr>
        <w:t>behaviour</w:t>
      </w:r>
      <w:proofErr w:type="spellEnd"/>
      <w:r w:rsidRPr="00355CD8">
        <w:rPr>
          <w:rFonts w:ascii="Arial" w:hAnsi="Arial" w:cs="Arial"/>
        </w:rPr>
        <w:t>.</w:t>
      </w:r>
    </w:p>
    <w:p w14:paraId="775C2426" w14:textId="77777777" w:rsidR="00D3585A" w:rsidRPr="00355CD8" w:rsidRDefault="00D3585A" w:rsidP="00743A8D">
      <w:pPr>
        <w:pStyle w:val="Heading5"/>
      </w:pPr>
      <w:bookmarkStart w:id="170" w:name="_Toc235978122"/>
      <w:bookmarkStart w:id="171" w:name="_Toc235978687"/>
      <w:r w:rsidRPr="00355CD8">
        <w:lastRenderedPageBreak/>
        <w:t>4.4.2.3 Triple Bottom Line (TBL) Framework</w:t>
      </w:r>
      <w:bookmarkEnd w:id="170"/>
      <w:bookmarkEnd w:id="171"/>
    </w:p>
    <w:p w14:paraId="24E3C6AF" w14:textId="77777777" w:rsidR="00D3585A" w:rsidRPr="00355CD8" w:rsidRDefault="00D3585A" w:rsidP="00355CD8">
      <w:pPr>
        <w:spacing w:line="360" w:lineRule="auto"/>
        <w:jc w:val="both"/>
        <w:rPr>
          <w:rFonts w:ascii="Arial" w:hAnsi="Arial" w:cs="Arial"/>
        </w:rPr>
      </w:pPr>
      <w:r w:rsidRPr="00355CD8">
        <w:rPr>
          <w:rFonts w:ascii="Arial" w:hAnsi="Arial" w:cs="Arial"/>
        </w:rPr>
        <w:t>The findings reveal clear trade-offs between social and economic sustainability (</w:t>
      </w:r>
      <w:proofErr w:type="spellStart"/>
      <w:r w:rsidRPr="00355CD8">
        <w:rPr>
          <w:rFonts w:ascii="Arial" w:hAnsi="Arial" w:cs="Arial"/>
        </w:rPr>
        <w:t>Alhaddi</w:t>
      </w:r>
      <w:proofErr w:type="spellEnd"/>
      <w:r w:rsidRPr="00355CD8">
        <w:rPr>
          <w:rFonts w:ascii="Arial" w:hAnsi="Arial" w:cs="Arial"/>
        </w:rPr>
        <w:t xml:space="preserve">, 2015). The decline in </w:t>
      </w:r>
      <w:proofErr w:type="spellStart"/>
      <w:r w:rsidRPr="00355CD8">
        <w:rPr>
          <w:rFonts w:ascii="Arial" w:hAnsi="Arial" w:cs="Arial"/>
        </w:rPr>
        <w:t>dependant</w:t>
      </w:r>
      <w:proofErr w:type="spellEnd"/>
      <w:r w:rsidRPr="00355CD8">
        <w:rPr>
          <w:rFonts w:ascii="Arial" w:hAnsi="Arial" w:cs="Arial"/>
        </w:rPr>
        <w:t xml:space="preserve"> visas represents a loss of social sustainability, while the collapse of the care worker visa route represents a loss of economic sustainability.</w:t>
      </w:r>
    </w:p>
    <w:p w14:paraId="5149EB3C" w14:textId="77777777" w:rsidR="00D3585A" w:rsidRPr="00355CD8" w:rsidRDefault="00D3585A" w:rsidP="00743A8D">
      <w:pPr>
        <w:pStyle w:val="Heading5"/>
      </w:pPr>
      <w:bookmarkStart w:id="172" w:name="_Toc235978123"/>
      <w:bookmarkStart w:id="173" w:name="_Toc235978688"/>
      <w:r w:rsidRPr="00355CD8">
        <w:t>4.4.2.4 Comparison with Existing Literature</w:t>
      </w:r>
      <w:bookmarkEnd w:id="172"/>
      <w:bookmarkEnd w:id="173"/>
    </w:p>
    <w:p w14:paraId="6AA67B76" w14:textId="24D7D7FE" w:rsidR="00D3585A" w:rsidRPr="00355CD8" w:rsidRDefault="00D3585A" w:rsidP="00355CD8">
      <w:pPr>
        <w:spacing w:line="360" w:lineRule="auto"/>
        <w:jc w:val="both"/>
        <w:rPr>
          <w:rFonts w:ascii="Arial" w:hAnsi="Arial" w:cs="Arial"/>
        </w:rPr>
      </w:pPr>
      <w:r w:rsidRPr="00355CD8">
        <w:rPr>
          <w:rFonts w:ascii="Arial" w:hAnsi="Arial" w:cs="Arial"/>
        </w:rPr>
        <w:t xml:space="preserve">The findings confirm and extend the work </w:t>
      </w:r>
      <w:proofErr w:type="gramStart"/>
      <w:r w:rsidRPr="00355CD8">
        <w:rPr>
          <w:rFonts w:ascii="Arial" w:hAnsi="Arial" w:cs="Arial"/>
        </w:rPr>
        <w:t xml:space="preserve">of </w:t>
      </w:r>
      <w:r w:rsidR="00D857FC" w:rsidRPr="00355CD8">
        <w:rPr>
          <w:rFonts w:ascii="Arial" w:hAnsi="Arial" w:cs="Arial"/>
        </w:rPr>
        <w:t xml:space="preserve"> Anderson</w:t>
      </w:r>
      <w:proofErr w:type="gramEnd"/>
      <w:r w:rsidR="00D857FC" w:rsidRPr="00355CD8">
        <w:rPr>
          <w:rFonts w:ascii="Arial" w:hAnsi="Arial" w:cs="Arial"/>
        </w:rPr>
        <w:t xml:space="preserve"> </w:t>
      </w:r>
      <w:proofErr w:type="gramStart"/>
      <w:r w:rsidR="00D857FC" w:rsidRPr="00355CD8">
        <w:rPr>
          <w:rFonts w:ascii="Arial" w:hAnsi="Arial" w:cs="Arial"/>
        </w:rPr>
        <w:t>et al.,</w:t>
      </w:r>
      <w:r w:rsidRPr="00355CD8">
        <w:rPr>
          <w:rFonts w:ascii="Arial" w:hAnsi="Arial" w:cs="Arial"/>
        </w:rPr>
        <w:t>.</w:t>
      </w:r>
      <w:proofErr w:type="gramEnd"/>
      <w:r w:rsidRPr="00355CD8">
        <w:rPr>
          <w:rFonts w:ascii="Arial" w:hAnsi="Arial" w:cs="Arial"/>
        </w:rPr>
        <w:t xml:space="preserve"> (2021), who highlighted the under-researched status of healthcare support workers. They extend the work of Davda, Gallagher and Radford (2018) by quantifying the impact of specific policy changes. They confirm Hatton's (2005) </w:t>
      </w:r>
      <w:proofErr w:type="gramStart"/>
      <w:r w:rsidRPr="00355CD8">
        <w:rPr>
          <w:rFonts w:ascii="Arial" w:hAnsi="Arial" w:cs="Arial"/>
        </w:rPr>
        <w:t>finding</w:t>
      </w:r>
      <w:proofErr w:type="gramEnd"/>
      <w:r w:rsidRPr="00355CD8">
        <w:rPr>
          <w:rFonts w:ascii="Arial" w:hAnsi="Arial" w:cs="Arial"/>
        </w:rPr>
        <w:t xml:space="preserve"> that government policy interventions play a major role in shaping migration decisions. They extend Stewart and Mulvey's (2014) analysis of 'liminality' to the healthcare support worker context.</w:t>
      </w:r>
    </w:p>
    <w:p w14:paraId="4BF029D9" w14:textId="703C2AEB" w:rsidR="00A2543F" w:rsidRPr="00E458B3" w:rsidRDefault="00A2543F" w:rsidP="00A2543F">
      <w:pPr>
        <w:pStyle w:val="Caption"/>
        <w:keepNext/>
        <w:rPr>
          <w:sz w:val="28"/>
          <w:szCs w:val="28"/>
        </w:rPr>
      </w:pPr>
      <w:bookmarkStart w:id="174" w:name="_Toc238206093"/>
      <w:r w:rsidRPr="00E458B3">
        <w:rPr>
          <w:sz w:val="28"/>
          <w:szCs w:val="28"/>
        </w:rPr>
        <w:t xml:space="preserve">Table </w:t>
      </w:r>
      <w:r w:rsidRPr="00E458B3">
        <w:rPr>
          <w:sz w:val="28"/>
          <w:szCs w:val="28"/>
        </w:rPr>
        <w:fldChar w:fldCharType="begin"/>
      </w:r>
      <w:r w:rsidRPr="00E458B3">
        <w:rPr>
          <w:sz w:val="28"/>
          <w:szCs w:val="28"/>
        </w:rPr>
        <w:instrText xml:space="preserve"> SEQ Table \* ARABIC </w:instrText>
      </w:r>
      <w:r w:rsidRPr="00E458B3">
        <w:rPr>
          <w:sz w:val="28"/>
          <w:szCs w:val="28"/>
        </w:rPr>
        <w:fldChar w:fldCharType="separate"/>
      </w:r>
      <w:r w:rsidR="00B70586" w:rsidRPr="00E458B3">
        <w:rPr>
          <w:noProof/>
          <w:sz w:val="28"/>
          <w:szCs w:val="28"/>
        </w:rPr>
        <w:t>9</w:t>
      </w:r>
      <w:r w:rsidRPr="00E458B3">
        <w:rPr>
          <w:sz w:val="28"/>
          <w:szCs w:val="28"/>
        </w:rPr>
        <w:fldChar w:fldCharType="end"/>
      </w:r>
      <w:r w:rsidRPr="00E458B3">
        <w:rPr>
          <w:sz w:val="28"/>
          <w:szCs w:val="28"/>
        </w:rPr>
        <w:t xml:space="preserve"> Summary of Chapter 4</w:t>
      </w:r>
      <w:bookmarkEnd w:id="174"/>
    </w:p>
    <w:tbl>
      <w:tblPr>
        <w:tblW w:w="101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65"/>
        <w:gridCol w:w="7345"/>
      </w:tblGrid>
      <w:tr w:rsidR="00D3585A" w:rsidRPr="00355CD8" w14:paraId="21471E08" w14:textId="77777777" w:rsidTr="00E51224">
        <w:trPr>
          <w:trHeight w:val="405"/>
          <w:tblHeader/>
        </w:trPr>
        <w:tc>
          <w:tcPr>
            <w:tcW w:w="2765" w:type="dxa"/>
            <w:tcMar>
              <w:top w:w="150" w:type="dxa"/>
              <w:left w:w="0" w:type="dxa"/>
              <w:bottom w:w="150" w:type="dxa"/>
              <w:right w:w="240" w:type="dxa"/>
            </w:tcMar>
            <w:vAlign w:val="center"/>
            <w:hideMark/>
          </w:tcPr>
          <w:p w14:paraId="6C981703" w14:textId="77777777" w:rsidR="00D3585A" w:rsidRPr="00355CD8" w:rsidRDefault="00D3585A" w:rsidP="00355CD8">
            <w:pPr>
              <w:spacing w:line="360" w:lineRule="auto"/>
              <w:jc w:val="both"/>
              <w:rPr>
                <w:rFonts w:ascii="Arial" w:hAnsi="Arial" w:cs="Arial"/>
              </w:rPr>
            </w:pPr>
            <w:r w:rsidRPr="00355CD8">
              <w:rPr>
                <w:rFonts w:ascii="Arial" w:hAnsi="Arial" w:cs="Arial"/>
              </w:rPr>
              <w:t>Research Question</w:t>
            </w:r>
          </w:p>
        </w:tc>
        <w:tc>
          <w:tcPr>
            <w:tcW w:w="7345" w:type="dxa"/>
            <w:tcMar>
              <w:top w:w="150" w:type="dxa"/>
              <w:left w:w="240" w:type="dxa"/>
              <w:bottom w:w="150" w:type="dxa"/>
              <w:right w:w="240" w:type="dxa"/>
            </w:tcMar>
            <w:vAlign w:val="center"/>
            <w:hideMark/>
          </w:tcPr>
          <w:p w14:paraId="21B7BFD5" w14:textId="77777777" w:rsidR="00D3585A" w:rsidRPr="00355CD8" w:rsidRDefault="00D3585A" w:rsidP="00355CD8">
            <w:pPr>
              <w:spacing w:line="360" w:lineRule="auto"/>
              <w:jc w:val="both"/>
              <w:rPr>
                <w:rFonts w:ascii="Arial" w:hAnsi="Arial" w:cs="Arial"/>
              </w:rPr>
            </w:pPr>
            <w:r w:rsidRPr="00355CD8">
              <w:rPr>
                <w:rFonts w:ascii="Arial" w:hAnsi="Arial" w:cs="Arial"/>
              </w:rPr>
              <w:t>Key Finding</w:t>
            </w:r>
          </w:p>
        </w:tc>
      </w:tr>
      <w:tr w:rsidR="00D3585A" w:rsidRPr="00355CD8" w14:paraId="199A291F" w14:textId="77777777" w:rsidTr="00E51224">
        <w:trPr>
          <w:trHeight w:val="686"/>
        </w:trPr>
        <w:tc>
          <w:tcPr>
            <w:tcW w:w="2765" w:type="dxa"/>
            <w:tcMar>
              <w:top w:w="150" w:type="dxa"/>
              <w:left w:w="0" w:type="dxa"/>
              <w:bottom w:w="150" w:type="dxa"/>
              <w:right w:w="240" w:type="dxa"/>
            </w:tcMar>
            <w:vAlign w:val="center"/>
            <w:hideMark/>
          </w:tcPr>
          <w:p w14:paraId="4057CF9B" w14:textId="77777777" w:rsidR="00D3585A" w:rsidRPr="00355CD8" w:rsidRDefault="00D3585A" w:rsidP="00355CD8">
            <w:pPr>
              <w:spacing w:line="360" w:lineRule="auto"/>
              <w:jc w:val="both"/>
              <w:rPr>
                <w:rFonts w:ascii="Arial" w:hAnsi="Arial" w:cs="Arial"/>
              </w:rPr>
            </w:pPr>
            <w:r w:rsidRPr="00355CD8">
              <w:rPr>
                <w:rFonts w:ascii="Arial" w:hAnsi="Arial" w:cs="Arial"/>
              </w:rPr>
              <w:t>Q1: Drivers for policy changes</w:t>
            </w:r>
          </w:p>
        </w:tc>
        <w:tc>
          <w:tcPr>
            <w:tcW w:w="7345" w:type="dxa"/>
            <w:tcMar>
              <w:top w:w="150" w:type="dxa"/>
              <w:left w:w="240" w:type="dxa"/>
              <w:bottom w:w="150" w:type="dxa"/>
              <w:right w:w="0" w:type="dxa"/>
            </w:tcMar>
            <w:vAlign w:val="center"/>
            <w:hideMark/>
          </w:tcPr>
          <w:p w14:paraId="03C437B7" w14:textId="77777777" w:rsidR="00D3585A" w:rsidRPr="00355CD8" w:rsidRDefault="00D3585A" w:rsidP="00355CD8">
            <w:pPr>
              <w:spacing w:line="360" w:lineRule="auto"/>
              <w:jc w:val="both"/>
              <w:rPr>
                <w:rFonts w:ascii="Arial" w:hAnsi="Arial" w:cs="Arial"/>
              </w:rPr>
            </w:pPr>
            <w:r w:rsidRPr="00355CD8">
              <w:rPr>
                <w:rFonts w:ascii="Arial" w:hAnsi="Arial" w:cs="Arial"/>
              </w:rPr>
              <w:t>Reforms driven by reducing net migration, addressing exploitation, and promoting domestic workforce development.</w:t>
            </w:r>
          </w:p>
        </w:tc>
      </w:tr>
      <w:tr w:rsidR="00D3585A" w:rsidRPr="00355CD8" w14:paraId="5E8560B5" w14:textId="77777777" w:rsidTr="00E51224">
        <w:trPr>
          <w:trHeight w:val="675"/>
        </w:trPr>
        <w:tc>
          <w:tcPr>
            <w:tcW w:w="2765" w:type="dxa"/>
            <w:tcMar>
              <w:top w:w="150" w:type="dxa"/>
              <w:left w:w="0" w:type="dxa"/>
              <w:bottom w:w="150" w:type="dxa"/>
              <w:right w:w="240" w:type="dxa"/>
            </w:tcMar>
            <w:vAlign w:val="center"/>
            <w:hideMark/>
          </w:tcPr>
          <w:p w14:paraId="4A28423C" w14:textId="77777777" w:rsidR="00D3585A" w:rsidRPr="00355CD8" w:rsidRDefault="00D3585A" w:rsidP="00355CD8">
            <w:pPr>
              <w:spacing w:line="360" w:lineRule="auto"/>
              <w:jc w:val="both"/>
              <w:rPr>
                <w:rFonts w:ascii="Arial" w:hAnsi="Arial" w:cs="Arial"/>
              </w:rPr>
            </w:pPr>
            <w:r w:rsidRPr="00355CD8">
              <w:rPr>
                <w:rFonts w:ascii="Arial" w:hAnsi="Arial" w:cs="Arial"/>
              </w:rPr>
              <w:t>Q2: Determinants of sustainability</w:t>
            </w:r>
          </w:p>
        </w:tc>
        <w:tc>
          <w:tcPr>
            <w:tcW w:w="7345" w:type="dxa"/>
            <w:tcMar>
              <w:top w:w="150" w:type="dxa"/>
              <w:left w:w="240" w:type="dxa"/>
              <w:bottom w:w="150" w:type="dxa"/>
              <w:right w:w="0" w:type="dxa"/>
            </w:tcMar>
            <w:vAlign w:val="center"/>
            <w:hideMark/>
          </w:tcPr>
          <w:p w14:paraId="0581C594" w14:textId="77777777" w:rsidR="00D3585A" w:rsidRPr="00355CD8" w:rsidRDefault="00D3585A" w:rsidP="00355CD8">
            <w:pPr>
              <w:spacing w:line="360" w:lineRule="auto"/>
              <w:jc w:val="both"/>
              <w:rPr>
                <w:rFonts w:ascii="Arial" w:hAnsi="Arial" w:cs="Arial"/>
              </w:rPr>
            </w:pPr>
            <w:r w:rsidRPr="00355CD8">
              <w:rPr>
                <w:rFonts w:ascii="Arial" w:hAnsi="Arial" w:cs="Arial"/>
              </w:rPr>
              <w:t>Workforce sustainability is critically dependent on international recruitment.</w:t>
            </w:r>
          </w:p>
        </w:tc>
      </w:tr>
      <w:tr w:rsidR="00D3585A" w:rsidRPr="00355CD8" w14:paraId="7D61975C" w14:textId="77777777" w:rsidTr="00E51224">
        <w:trPr>
          <w:trHeight w:val="686"/>
        </w:trPr>
        <w:tc>
          <w:tcPr>
            <w:tcW w:w="2765" w:type="dxa"/>
            <w:tcMar>
              <w:top w:w="150" w:type="dxa"/>
              <w:left w:w="0" w:type="dxa"/>
              <w:bottom w:w="150" w:type="dxa"/>
              <w:right w:w="240" w:type="dxa"/>
            </w:tcMar>
            <w:vAlign w:val="center"/>
            <w:hideMark/>
          </w:tcPr>
          <w:p w14:paraId="3DDBE475" w14:textId="77777777" w:rsidR="00D3585A" w:rsidRPr="00355CD8" w:rsidRDefault="00D3585A" w:rsidP="00355CD8">
            <w:pPr>
              <w:spacing w:line="360" w:lineRule="auto"/>
              <w:jc w:val="both"/>
              <w:rPr>
                <w:rFonts w:ascii="Arial" w:hAnsi="Arial" w:cs="Arial"/>
              </w:rPr>
            </w:pPr>
            <w:r w:rsidRPr="00355CD8">
              <w:rPr>
                <w:rFonts w:ascii="Arial" w:hAnsi="Arial" w:cs="Arial"/>
              </w:rPr>
              <w:t>Q3: Impact on human capital sustainability</w:t>
            </w:r>
          </w:p>
        </w:tc>
        <w:tc>
          <w:tcPr>
            <w:tcW w:w="7345" w:type="dxa"/>
            <w:tcMar>
              <w:top w:w="150" w:type="dxa"/>
              <w:left w:w="240" w:type="dxa"/>
              <w:bottom w:w="150" w:type="dxa"/>
              <w:right w:w="0" w:type="dxa"/>
            </w:tcMar>
            <w:vAlign w:val="center"/>
            <w:hideMark/>
          </w:tcPr>
          <w:p w14:paraId="37D83B24" w14:textId="77777777" w:rsidR="00D3585A" w:rsidRPr="00355CD8" w:rsidRDefault="00D3585A" w:rsidP="00355CD8">
            <w:pPr>
              <w:spacing w:line="360" w:lineRule="auto"/>
              <w:jc w:val="both"/>
              <w:rPr>
                <w:rFonts w:ascii="Arial" w:hAnsi="Arial" w:cs="Arial"/>
              </w:rPr>
            </w:pPr>
            <w:r w:rsidRPr="00355CD8">
              <w:rPr>
                <w:rFonts w:ascii="Arial" w:hAnsi="Arial" w:cs="Arial"/>
              </w:rPr>
              <w:t>Near-total collapse of care worker visa route (108,000 to 11 grants) and 33% increase in nurses leaving.</w:t>
            </w:r>
          </w:p>
        </w:tc>
      </w:tr>
      <w:tr w:rsidR="00D3585A" w:rsidRPr="00355CD8" w14:paraId="14EECC08" w14:textId="77777777" w:rsidTr="00E51224">
        <w:trPr>
          <w:trHeight w:val="675"/>
        </w:trPr>
        <w:tc>
          <w:tcPr>
            <w:tcW w:w="2765" w:type="dxa"/>
            <w:tcMar>
              <w:top w:w="150" w:type="dxa"/>
              <w:left w:w="0" w:type="dxa"/>
              <w:bottom w:w="150" w:type="dxa"/>
              <w:right w:w="240" w:type="dxa"/>
            </w:tcMar>
            <w:vAlign w:val="center"/>
            <w:hideMark/>
          </w:tcPr>
          <w:p w14:paraId="23F8A8F9" w14:textId="77777777" w:rsidR="00D3585A" w:rsidRPr="00355CD8" w:rsidRDefault="00D3585A" w:rsidP="00355CD8">
            <w:pPr>
              <w:spacing w:line="360" w:lineRule="auto"/>
              <w:jc w:val="both"/>
              <w:rPr>
                <w:rFonts w:ascii="Arial" w:hAnsi="Arial" w:cs="Arial"/>
              </w:rPr>
            </w:pPr>
            <w:r w:rsidRPr="00355CD8">
              <w:rPr>
                <w:rFonts w:ascii="Arial" w:hAnsi="Arial" w:cs="Arial"/>
              </w:rPr>
              <w:t>Q4: HR strategies</w:t>
            </w:r>
          </w:p>
        </w:tc>
        <w:tc>
          <w:tcPr>
            <w:tcW w:w="7345" w:type="dxa"/>
            <w:tcMar>
              <w:top w:w="150" w:type="dxa"/>
              <w:left w:w="240" w:type="dxa"/>
              <w:bottom w:w="150" w:type="dxa"/>
              <w:right w:w="0" w:type="dxa"/>
            </w:tcMar>
            <w:vAlign w:val="center"/>
            <w:hideMark/>
          </w:tcPr>
          <w:p w14:paraId="15771860" w14:textId="77777777" w:rsidR="00D3585A" w:rsidRPr="00355CD8" w:rsidRDefault="00D3585A" w:rsidP="00355CD8">
            <w:pPr>
              <w:spacing w:line="360" w:lineRule="auto"/>
              <w:jc w:val="both"/>
              <w:rPr>
                <w:rFonts w:ascii="Arial" w:hAnsi="Arial" w:cs="Arial"/>
              </w:rPr>
            </w:pPr>
            <w:r w:rsidRPr="00355CD8">
              <w:rPr>
                <w:rFonts w:ascii="Arial" w:hAnsi="Arial" w:cs="Arial"/>
              </w:rPr>
              <w:t xml:space="preserve">Limited evidence on effectiveness; training reduces </w:t>
            </w:r>
            <w:proofErr w:type="gramStart"/>
            <w:r w:rsidRPr="00355CD8">
              <w:rPr>
                <w:rFonts w:ascii="Arial" w:hAnsi="Arial" w:cs="Arial"/>
              </w:rPr>
              <w:t>turnover</w:t>
            </w:r>
            <w:proofErr w:type="gramEnd"/>
            <w:r w:rsidRPr="00355CD8">
              <w:rPr>
                <w:rFonts w:ascii="Arial" w:hAnsi="Arial" w:cs="Arial"/>
              </w:rPr>
              <w:t xml:space="preserve"> but domestic recruitment faces significant challenges.</w:t>
            </w:r>
          </w:p>
        </w:tc>
      </w:tr>
    </w:tbl>
    <w:p w14:paraId="28160861" w14:textId="77777777" w:rsidR="00D3585A" w:rsidRPr="00355CD8" w:rsidRDefault="00D3585A" w:rsidP="00355CD8">
      <w:pPr>
        <w:spacing w:line="360" w:lineRule="auto"/>
        <w:jc w:val="both"/>
        <w:rPr>
          <w:rFonts w:ascii="Arial" w:hAnsi="Arial" w:cs="Arial"/>
        </w:rPr>
      </w:pPr>
    </w:p>
    <w:p w14:paraId="689A61CE" w14:textId="3C26F045" w:rsidR="00BB3568" w:rsidRPr="00355CD8" w:rsidRDefault="00BB3568" w:rsidP="00F43A3C">
      <w:pPr>
        <w:pStyle w:val="Heading1"/>
      </w:pPr>
      <w:bookmarkStart w:id="175" w:name="_Toc238200184"/>
      <w:r w:rsidRPr="00355CD8">
        <w:lastRenderedPageBreak/>
        <w:t>Chapter 5: Conclusions and Recommendations</w:t>
      </w:r>
      <w:bookmarkEnd w:id="175"/>
    </w:p>
    <w:p w14:paraId="05A71081" w14:textId="77777777" w:rsidR="00BB3568" w:rsidRPr="00355CD8" w:rsidRDefault="00BB3568" w:rsidP="00F43A3C">
      <w:pPr>
        <w:pStyle w:val="Heading2"/>
      </w:pPr>
      <w:bookmarkStart w:id="176" w:name="_Toc238200185"/>
      <w:r w:rsidRPr="00355CD8">
        <w:t>5.1 Introduction</w:t>
      </w:r>
      <w:bookmarkEnd w:id="176"/>
    </w:p>
    <w:p w14:paraId="6CD73F90" w14:textId="49402060" w:rsidR="00BB3568" w:rsidRPr="00355CD8" w:rsidRDefault="00BB3568" w:rsidP="00355CD8">
      <w:pPr>
        <w:spacing w:line="360" w:lineRule="auto"/>
        <w:jc w:val="both"/>
        <w:rPr>
          <w:rFonts w:ascii="Arial" w:hAnsi="Arial" w:cs="Arial"/>
        </w:rPr>
      </w:pPr>
      <w:r w:rsidRPr="00355CD8">
        <w:rPr>
          <w:rFonts w:ascii="Arial" w:hAnsi="Arial" w:cs="Arial"/>
        </w:rPr>
        <w:t xml:space="preserve">This chapter concludes the dissertation by </w:t>
      </w:r>
      <w:proofErr w:type="spellStart"/>
      <w:r w:rsidRPr="00355CD8">
        <w:rPr>
          <w:rFonts w:ascii="Arial" w:hAnsi="Arial" w:cs="Arial"/>
        </w:rPr>
        <w:t>synthesising</w:t>
      </w:r>
      <w:proofErr w:type="spellEnd"/>
      <w:r w:rsidRPr="00355CD8">
        <w:rPr>
          <w:rFonts w:ascii="Arial" w:hAnsi="Arial" w:cs="Arial"/>
        </w:rPr>
        <w:t xml:space="preserve"> the key findings, drawing conclusions based on the four research questions, and presenting practical and theoretical recommendations. The chapter also acknowledges the limitations of the study and provides guidance for future researchers. The recommendations are structured to clearly link findings to their implications and actionable steps for policymakers and healthcare </w:t>
      </w:r>
      <w:proofErr w:type="spellStart"/>
      <w:r w:rsidRPr="00355CD8">
        <w:rPr>
          <w:rFonts w:ascii="Arial" w:hAnsi="Arial" w:cs="Arial"/>
        </w:rPr>
        <w:t>organisations</w:t>
      </w:r>
      <w:proofErr w:type="spellEnd"/>
      <w:r w:rsidRPr="00355CD8">
        <w:rPr>
          <w:rFonts w:ascii="Arial" w:hAnsi="Arial" w:cs="Arial"/>
        </w:rPr>
        <w:t>.</w:t>
      </w:r>
    </w:p>
    <w:p w14:paraId="18AE58A6" w14:textId="77777777" w:rsidR="00BB3568" w:rsidRPr="00355CD8" w:rsidRDefault="00BB3568" w:rsidP="00F43A3C">
      <w:pPr>
        <w:pStyle w:val="Heading2"/>
      </w:pPr>
      <w:bookmarkStart w:id="177" w:name="_Toc238200186"/>
      <w:r w:rsidRPr="00355CD8">
        <w:t>5.2 Summary of Main Findings</w:t>
      </w:r>
      <w:bookmarkEnd w:id="177"/>
    </w:p>
    <w:p w14:paraId="738B89FB" w14:textId="77777777" w:rsidR="00BB3568" w:rsidRPr="00355CD8" w:rsidRDefault="00BB3568" w:rsidP="00355CD8">
      <w:pPr>
        <w:spacing w:line="360" w:lineRule="auto"/>
        <w:jc w:val="both"/>
        <w:rPr>
          <w:rFonts w:ascii="Arial" w:hAnsi="Arial" w:cs="Arial"/>
        </w:rPr>
      </w:pPr>
      <w:r w:rsidRPr="00355CD8">
        <w:rPr>
          <w:rFonts w:ascii="Arial" w:hAnsi="Arial" w:cs="Arial"/>
        </w:rPr>
        <w:t>This study empirically evaluated the impact of UK immigration rule changes (2020–2026) on human capital sustainability among migrant healthcare support workers. Analysis of Home Office visa statistics, ONS migration data, NMC register data, and Skills for Care workforce data reveals six key findings.</w:t>
      </w:r>
    </w:p>
    <w:p w14:paraId="4B394C6E" w14:textId="77777777" w:rsidR="00BB3568" w:rsidRPr="00355CD8" w:rsidRDefault="00BB3568" w:rsidP="00355CD8">
      <w:pPr>
        <w:spacing w:line="360" w:lineRule="auto"/>
        <w:jc w:val="both"/>
        <w:rPr>
          <w:rFonts w:ascii="Arial" w:hAnsi="Arial" w:cs="Arial"/>
        </w:rPr>
      </w:pPr>
      <w:r w:rsidRPr="00355CD8">
        <w:rPr>
          <w:rFonts w:ascii="Arial" w:hAnsi="Arial" w:cs="Arial"/>
        </w:rPr>
        <w:t xml:space="preserve">First, visa grants have collapsed dramatically. Health and Care Worker visa grants fell from 145,823 in 2023 to 27,174 in 2024 – an 81% decrease. In Q1 2026, only 11 care worker visas were granted – a near-total collapse from the peak of over 108,000. Regression analysis confirms </w:t>
      </w:r>
      <w:proofErr w:type="gramStart"/>
      <w:r w:rsidRPr="00355CD8">
        <w:rPr>
          <w:rFonts w:ascii="Arial" w:hAnsi="Arial" w:cs="Arial"/>
        </w:rPr>
        <w:t>these policy</w:t>
      </w:r>
      <w:proofErr w:type="gramEnd"/>
      <w:r w:rsidRPr="00355CD8">
        <w:rPr>
          <w:rFonts w:ascii="Arial" w:hAnsi="Arial" w:cs="Arial"/>
        </w:rPr>
        <w:t xml:space="preserve"> changes explain 89% of the variance in visa grant rates (R² = 0.89).</w:t>
      </w:r>
    </w:p>
    <w:p w14:paraId="703607AD" w14:textId="77777777" w:rsidR="00BB3568" w:rsidRPr="00355CD8" w:rsidRDefault="00BB3568" w:rsidP="00355CD8">
      <w:pPr>
        <w:spacing w:line="360" w:lineRule="auto"/>
        <w:jc w:val="both"/>
        <w:rPr>
          <w:rFonts w:ascii="Arial" w:hAnsi="Arial" w:cs="Arial"/>
        </w:rPr>
      </w:pPr>
      <w:r w:rsidRPr="00355CD8">
        <w:rPr>
          <w:rFonts w:ascii="Arial" w:hAnsi="Arial" w:cs="Arial"/>
        </w:rPr>
        <w:t xml:space="preserve">Second, </w:t>
      </w:r>
      <w:proofErr w:type="spellStart"/>
      <w:r w:rsidRPr="00355CD8">
        <w:rPr>
          <w:rFonts w:ascii="Arial" w:hAnsi="Arial" w:cs="Arial"/>
        </w:rPr>
        <w:t>dependant</w:t>
      </w:r>
      <w:proofErr w:type="spellEnd"/>
      <w:r w:rsidRPr="00355CD8">
        <w:rPr>
          <w:rFonts w:ascii="Arial" w:hAnsi="Arial" w:cs="Arial"/>
        </w:rPr>
        <w:t xml:space="preserve"> visas have declined sharply, falling by 77% following restrictions introduced on 11 March 2024. Applications peaked at 23,300 in August 2023 and fell to just 3,100 by March 2024 – an 87% decline, representing a significant erosion of social sustainability.</w:t>
      </w:r>
    </w:p>
    <w:p w14:paraId="63D17161" w14:textId="77777777" w:rsidR="00BB3568" w:rsidRPr="00355CD8" w:rsidRDefault="00BB3568" w:rsidP="00355CD8">
      <w:pPr>
        <w:spacing w:line="360" w:lineRule="auto"/>
        <w:jc w:val="both"/>
        <w:rPr>
          <w:rFonts w:ascii="Arial" w:hAnsi="Arial" w:cs="Arial"/>
        </w:rPr>
      </w:pPr>
      <w:r w:rsidRPr="00355CD8">
        <w:rPr>
          <w:rFonts w:ascii="Arial" w:hAnsi="Arial" w:cs="Arial"/>
        </w:rPr>
        <w:t>Third, internationally educated nurses are leaving at an accelerating rate. In the twelve months to March 2025, 5,276 left the NMC register – a 33% increase – while new international nursing arrivals fell by 30%.</w:t>
      </w:r>
    </w:p>
    <w:p w14:paraId="74F7880D" w14:textId="77777777" w:rsidR="00BB3568" w:rsidRPr="00355CD8" w:rsidRDefault="00BB3568" w:rsidP="00355CD8">
      <w:pPr>
        <w:spacing w:line="360" w:lineRule="auto"/>
        <w:jc w:val="both"/>
        <w:rPr>
          <w:rFonts w:ascii="Arial" w:hAnsi="Arial" w:cs="Arial"/>
        </w:rPr>
      </w:pPr>
      <w:r w:rsidRPr="00355CD8">
        <w:rPr>
          <w:rFonts w:ascii="Arial" w:hAnsi="Arial" w:cs="Arial"/>
        </w:rPr>
        <w:t>Fourth, workforce instability persists. The adult social care vacancy rate is 6.2% – more than three times the UK average of 2.3% – with a turnover rate of 23.6%. HCSWs receive only 5% of training budgets, and workers with British nationality declined by 2.6%.</w:t>
      </w:r>
    </w:p>
    <w:p w14:paraId="572B578D" w14:textId="77777777" w:rsidR="00BB3568" w:rsidRPr="00355CD8" w:rsidRDefault="00BB3568" w:rsidP="00355CD8">
      <w:pPr>
        <w:spacing w:line="360" w:lineRule="auto"/>
        <w:jc w:val="both"/>
        <w:rPr>
          <w:rFonts w:ascii="Arial" w:hAnsi="Arial" w:cs="Arial"/>
        </w:rPr>
      </w:pPr>
      <w:r w:rsidRPr="00355CD8">
        <w:rPr>
          <w:rFonts w:ascii="Arial" w:hAnsi="Arial" w:cs="Arial"/>
        </w:rPr>
        <w:lastRenderedPageBreak/>
        <w:t>Fifth, regression analysis confirms that policy changes are the primary drivers. All four policy variables are statistically significant at p &lt; 0.01. The closure of overseas recruitment has the strongest negative impact (-52,894), followed by the skill threshold increase (-42,315). The model explains 89% of the variance (R² = 0.89, F = 18.72, p &lt; 0.001).</w:t>
      </w:r>
    </w:p>
    <w:p w14:paraId="34CAADBD" w14:textId="77777777" w:rsidR="00BB3568" w:rsidRPr="00355CD8" w:rsidRDefault="00BB3568" w:rsidP="00355CD8">
      <w:pPr>
        <w:spacing w:line="360" w:lineRule="auto"/>
        <w:jc w:val="both"/>
        <w:rPr>
          <w:rFonts w:ascii="Arial" w:hAnsi="Arial" w:cs="Arial"/>
        </w:rPr>
      </w:pPr>
      <w:r w:rsidRPr="00355CD8">
        <w:rPr>
          <w:rFonts w:ascii="Arial" w:hAnsi="Arial" w:cs="Arial"/>
        </w:rPr>
        <w:t xml:space="preserve">Sixth, HR strategies show limited effectiveness. While training reduces turnover – from 26.3% to 22.9% – domestic recruitment faces significant challenges. The near-total collapse of the care worker visa route cannot be </w:t>
      </w:r>
      <w:proofErr w:type="gramStart"/>
      <w:r w:rsidRPr="00355CD8">
        <w:rPr>
          <w:rFonts w:ascii="Arial" w:hAnsi="Arial" w:cs="Arial"/>
        </w:rPr>
        <w:t>compensated</w:t>
      </w:r>
      <w:proofErr w:type="gramEnd"/>
      <w:r w:rsidRPr="00355CD8">
        <w:rPr>
          <w:rFonts w:ascii="Arial" w:hAnsi="Arial" w:cs="Arial"/>
        </w:rPr>
        <w:t xml:space="preserve"> by domestic recruitment alone.</w:t>
      </w:r>
    </w:p>
    <w:p w14:paraId="3E88E4E3" w14:textId="77777777" w:rsidR="00BB3568" w:rsidRPr="00355CD8" w:rsidRDefault="00BB3568" w:rsidP="00F43A3C">
      <w:pPr>
        <w:pStyle w:val="Heading2"/>
      </w:pPr>
      <w:bookmarkStart w:id="178" w:name="_Toc238200187"/>
      <w:r w:rsidRPr="00355CD8">
        <w:t>5.3 Conclusion Based on the Research Questions</w:t>
      </w:r>
      <w:bookmarkEnd w:id="178"/>
    </w:p>
    <w:p w14:paraId="24C1A9FD" w14:textId="77777777" w:rsidR="00BB3568" w:rsidRPr="00355CD8" w:rsidRDefault="00BB3568" w:rsidP="00355CD8">
      <w:pPr>
        <w:spacing w:line="360" w:lineRule="auto"/>
        <w:jc w:val="both"/>
        <w:rPr>
          <w:rFonts w:ascii="Arial" w:hAnsi="Arial" w:cs="Arial"/>
        </w:rPr>
      </w:pPr>
      <w:r w:rsidRPr="00355CD8">
        <w:rPr>
          <w:rFonts w:ascii="Arial" w:hAnsi="Arial" w:cs="Arial"/>
          <w:b/>
          <w:bCs/>
        </w:rPr>
        <w:t>Research Question 1:</w:t>
      </w:r>
      <w:r w:rsidRPr="00355CD8">
        <w:rPr>
          <w:rFonts w:ascii="Arial" w:hAnsi="Arial" w:cs="Arial"/>
        </w:rPr>
        <w:t> The 2020–2026 immigration reforms were driven by three interconnected objectives: reducing net migration, addressing exploitation, and promoting domestic workforce development (Home Office, 2025a; NHS England, 2023). However, this study's evidence reveals significant unintended consequences. The near-total collapse of the care worker visa route – from over 108,000 at peak to 11 in Q1 2026 – and the 33% increase in internationally educated nurses leaving demonstrate a catastrophic impact on workforce sustainability (Anderson et al., 2021).</w:t>
      </w:r>
    </w:p>
    <w:p w14:paraId="34A31A5D" w14:textId="77777777" w:rsidR="00BB3568" w:rsidRPr="00355CD8" w:rsidRDefault="00BB3568" w:rsidP="00355CD8">
      <w:pPr>
        <w:spacing w:line="360" w:lineRule="auto"/>
        <w:jc w:val="both"/>
        <w:rPr>
          <w:rFonts w:ascii="Arial" w:hAnsi="Arial" w:cs="Arial"/>
        </w:rPr>
      </w:pPr>
      <w:r w:rsidRPr="00355CD8">
        <w:rPr>
          <w:rFonts w:ascii="Arial" w:hAnsi="Arial" w:cs="Arial"/>
          <w:b/>
          <w:bCs/>
        </w:rPr>
        <w:t>Research Question 2:</w:t>
      </w:r>
      <w:r w:rsidRPr="00355CD8">
        <w:rPr>
          <w:rFonts w:ascii="Arial" w:hAnsi="Arial" w:cs="Arial"/>
        </w:rPr>
        <w:t xml:space="preserve"> The sustainability of the HCSW workforce is critically dependent on international recruitment, which comprises nearly 30% of the adult social care sector. The high </w:t>
      </w:r>
      <w:proofErr w:type="gramStart"/>
      <w:r w:rsidRPr="00355CD8">
        <w:rPr>
          <w:rFonts w:ascii="Arial" w:hAnsi="Arial" w:cs="Arial"/>
        </w:rPr>
        <w:t>vacancy rate</w:t>
      </w:r>
      <w:proofErr w:type="gramEnd"/>
      <w:r w:rsidRPr="00355CD8">
        <w:rPr>
          <w:rFonts w:ascii="Arial" w:hAnsi="Arial" w:cs="Arial"/>
        </w:rPr>
        <w:t xml:space="preserve"> (6.2%, more than three times the UK average) and turnover rate (23.6%) indicate persistent instability. Domestic recruitment faces significant challenges, evidenced by the 2.6% decline in British workers. These findings are consistent with Human Capital Theory (Becker, 1964; </w:t>
      </w:r>
      <w:proofErr w:type="spellStart"/>
      <w:r w:rsidRPr="00355CD8">
        <w:rPr>
          <w:rFonts w:ascii="Arial" w:hAnsi="Arial" w:cs="Arial"/>
        </w:rPr>
        <w:t>Slaus</w:t>
      </w:r>
      <w:proofErr w:type="spellEnd"/>
      <w:r w:rsidRPr="00355CD8">
        <w:rPr>
          <w:rFonts w:ascii="Arial" w:hAnsi="Arial" w:cs="Arial"/>
        </w:rPr>
        <w:t xml:space="preserve"> and Jacobs, 2011). The loss of migrant workers represents a loss of specific human capital – knowledge of NHS protocols, local patient populations, and team dynamics – that is costly to replace and retrain.</w:t>
      </w:r>
    </w:p>
    <w:p w14:paraId="70373840" w14:textId="6E366C1B" w:rsidR="00BB3568" w:rsidRPr="00355CD8" w:rsidRDefault="00BB3568" w:rsidP="00355CD8">
      <w:pPr>
        <w:spacing w:line="360" w:lineRule="auto"/>
        <w:jc w:val="both"/>
        <w:rPr>
          <w:rFonts w:ascii="Arial" w:hAnsi="Arial" w:cs="Arial"/>
        </w:rPr>
      </w:pPr>
      <w:r w:rsidRPr="00355CD8">
        <w:rPr>
          <w:rFonts w:ascii="Arial" w:hAnsi="Arial" w:cs="Arial"/>
          <w:b/>
          <w:bCs/>
        </w:rPr>
        <w:t>Research Question 3:</w:t>
      </w:r>
      <w:r w:rsidRPr="00355CD8">
        <w:rPr>
          <w:rFonts w:ascii="Arial" w:hAnsi="Arial" w:cs="Arial"/>
        </w:rPr>
        <w:t xml:space="preserve"> The immigration rule changes have had a catastrophic impact on human capital sustainability. Regression analysis confirms policy changes are the primary drivers, explaining 89% of the variance in visa grant rates. The closure of overseas recruitment has the strongest negative impact (-52,894), followed by the skill threshold </w:t>
      </w:r>
      <w:r w:rsidRPr="00355CD8">
        <w:rPr>
          <w:rFonts w:ascii="Arial" w:hAnsi="Arial" w:cs="Arial"/>
        </w:rPr>
        <w:lastRenderedPageBreak/>
        <w:t>increase (-42,315). These findings are consistent with Conservation of Resources Theory (</w:t>
      </w:r>
      <w:proofErr w:type="spellStart"/>
      <w:r w:rsidRPr="00355CD8">
        <w:rPr>
          <w:rFonts w:ascii="Arial" w:hAnsi="Arial" w:cs="Arial"/>
        </w:rPr>
        <w:t>Hobfoll</w:t>
      </w:r>
      <w:proofErr w:type="spellEnd"/>
      <w:r w:rsidRPr="00355CD8">
        <w:rPr>
          <w:rFonts w:ascii="Arial" w:hAnsi="Arial" w:cs="Arial"/>
        </w:rPr>
        <w:t xml:space="preserve">, 1989; </w:t>
      </w:r>
      <w:r w:rsidR="00061BD9">
        <w:rPr>
          <w:rFonts w:ascii="Arial" w:hAnsi="Arial" w:cs="Arial"/>
        </w:rPr>
        <w:t>Lee,</w:t>
      </w:r>
      <w:r w:rsidRPr="00355CD8">
        <w:rPr>
          <w:rFonts w:ascii="Arial" w:hAnsi="Arial" w:cs="Arial"/>
        </w:rPr>
        <w:t xml:space="preserve"> 2015). The 2025 reforms threaten family unity (through </w:t>
      </w:r>
      <w:proofErr w:type="spellStart"/>
      <w:r w:rsidRPr="00355CD8">
        <w:rPr>
          <w:rFonts w:ascii="Arial" w:hAnsi="Arial" w:cs="Arial"/>
        </w:rPr>
        <w:t>dependant</w:t>
      </w:r>
      <w:proofErr w:type="spellEnd"/>
      <w:r w:rsidRPr="00355CD8">
        <w:rPr>
          <w:rFonts w:ascii="Arial" w:hAnsi="Arial" w:cs="Arial"/>
        </w:rPr>
        <w:t xml:space="preserve"> visa restrictions) and permanent residency (through closed pathways to settlement).</w:t>
      </w:r>
    </w:p>
    <w:p w14:paraId="7236E07E" w14:textId="79E6F4F7" w:rsidR="00BB3568" w:rsidRPr="00355CD8" w:rsidRDefault="00BB3568" w:rsidP="00355CD8">
      <w:pPr>
        <w:spacing w:line="360" w:lineRule="auto"/>
        <w:jc w:val="both"/>
        <w:rPr>
          <w:rFonts w:ascii="Arial" w:hAnsi="Arial" w:cs="Arial"/>
        </w:rPr>
      </w:pPr>
      <w:r w:rsidRPr="00355CD8">
        <w:rPr>
          <w:rFonts w:ascii="Arial" w:hAnsi="Arial" w:cs="Arial"/>
          <w:b/>
          <w:bCs/>
        </w:rPr>
        <w:t>Research Question 4:</w:t>
      </w:r>
      <w:r w:rsidRPr="00355CD8">
        <w:rPr>
          <w:rFonts w:ascii="Arial" w:hAnsi="Arial" w:cs="Arial"/>
        </w:rPr>
        <w:t> While HR strategies such as upskilling and retention initiatives have been proposed, there is limited evidence on their effectiveness. Training reduces turnover – from 26.3% to 22.9% (Skills for Care, 2024) – but domestic recruitment faces significant challenges. The Triple Bottom Line framework reveals clear trade-offs between social and economic sustainability (</w:t>
      </w:r>
      <w:proofErr w:type="spellStart"/>
      <w:r w:rsidRPr="00355CD8">
        <w:rPr>
          <w:rFonts w:ascii="Arial" w:hAnsi="Arial" w:cs="Arial"/>
        </w:rPr>
        <w:t>Alhaddi</w:t>
      </w:r>
      <w:proofErr w:type="spellEnd"/>
      <w:r w:rsidRPr="00355CD8">
        <w:rPr>
          <w:rFonts w:ascii="Arial" w:hAnsi="Arial" w:cs="Arial"/>
        </w:rPr>
        <w:t xml:space="preserve">, 2015). The decline in </w:t>
      </w:r>
      <w:proofErr w:type="spellStart"/>
      <w:r w:rsidRPr="00355CD8">
        <w:rPr>
          <w:rFonts w:ascii="Arial" w:hAnsi="Arial" w:cs="Arial"/>
        </w:rPr>
        <w:t>dependant</w:t>
      </w:r>
      <w:proofErr w:type="spellEnd"/>
      <w:r w:rsidRPr="00355CD8">
        <w:rPr>
          <w:rFonts w:ascii="Arial" w:hAnsi="Arial" w:cs="Arial"/>
        </w:rPr>
        <w:t xml:space="preserve"> visas represents a loss of social sustainability, while the collapse of the care worker visa route represents a loss of economic sustainability. A more balanced approach, supporting both migration control and workforce sustainability, is needed.</w:t>
      </w:r>
    </w:p>
    <w:p w14:paraId="3E4F2C79" w14:textId="77777777" w:rsidR="00BB3568" w:rsidRPr="00355CD8" w:rsidRDefault="00BB3568" w:rsidP="00F43A3C">
      <w:pPr>
        <w:pStyle w:val="Heading2"/>
      </w:pPr>
      <w:bookmarkStart w:id="179" w:name="_Toc238200188"/>
      <w:r w:rsidRPr="00355CD8">
        <w:t>5.4 Recommendations</w:t>
      </w:r>
      <w:bookmarkEnd w:id="179"/>
    </w:p>
    <w:p w14:paraId="7E69EA9B" w14:textId="77777777" w:rsidR="00BB3568" w:rsidRPr="00355CD8" w:rsidRDefault="00BB3568" w:rsidP="00F43A3C">
      <w:pPr>
        <w:pStyle w:val="Heading3"/>
      </w:pPr>
      <w:bookmarkStart w:id="180" w:name="_Toc238200189"/>
      <w:r w:rsidRPr="00355CD8">
        <w:t>5.4.1 Practical Recommendations</w:t>
      </w:r>
      <w:bookmarkEnd w:id="180"/>
    </w:p>
    <w:p w14:paraId="405A358B" w14:textId="77777777" w:rsidR="00BB3568" w:rsidRPr="00355CD8" w:rsidRDefault="00BB3568" w:rsidP="00355CD8">
      <w:pPr>
        <w:spacing w:line="360" w:lineRule="auto"/>
        <w:jc w:val="both"/>
        <w:rPr>
          <w:rFonts w:ascii="Arial" w:hAnsi="Arial" w:cs="Arial"/>
        </w:rPr>
      </w:pPr>
      <w:r w:rsidRPr="00355CD8">
        <w:rPr>
          <w:rFonts w:ascii="Arial" w:hAnsi="Arial" w:cs="Arial"/>
        </w:rPr>
        <w:t>Recommendation 1: Reconsider the Closure of Overseas Recruitment for Care Workers</w:t>
      </w:r>
    </w:p>
    <w:tbl>
      <w:tblPr>
        <w:tblW w:w="10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88"/>
        <w:gridCol w:w="9254"/>
      </w:tblGrid>
      <w:tr w:rsidR="00BB3568" w:rsidRPr="00355CD8" w14:paraId="45037315" w14:textId="77777777" w:rsidTr="00BB3568">
        <w:trPr>
          <w:trHeight w:val="501"/>
          <w:tblHeader/>
        </w:trPr>
        <w:tc>
          <w:tcPr>
            <w:tcW w:w="0" w:type="auto"/>
            <w:tcMar>
              <w:top w:w="150" w:type="dxa"/>
              <w:left w:w="0" w:type="dxa"/>
              <w:bottom w:w="150" w:type="dxa"/>
              <w:right w:w="240" w:type="dxa"/>
            </w:tcMar>
            <w:vAlign w:val="center"/>
            <w:hideMark/>
          </w:tcPr>
          <w:p w14:paraId="5FC4EB70" w14:textId="77777777" w:rsidR="00BB3568" w:rsidRPr="00355CD8" w:rsidRDefault="00BB3568" w:rsidP="00355CD8">
            <w:pPr>
              <w:spacing w:line="360" w:lineRule="auto"/>
              <w:jc w:val="both"/>
              <w:rPr>
                <w:rFonts w:ascii="Arial" w:hAnsi="Arial" w:cs="Arial"/>
              </w:rPr>
            </w:pPr>
            <w:r w:rsidRPr="00355CD8">
              <w:rPr>
                <w:rFonts w:ascii="Arial" w:hAnsi="Arial" w:cs="Arial"/>
              </w:rPr>
              <w:t>Element</w:t>
            </w:r>
          </w:p>
        </w:tc>
        <w:tc>
          <w:tcPr>
            <w:tcW w:w="0" w:type="auto"/>
            <w:tcMar>
              <w:top w:w="150" w:type="dxa"/>
              <w:left w:w="240" w:type="dxa"/>
              <w:bottom w:w="150" w:type="dxa"/>
              <w:right w:w="240" w:type="dxa"/>
            </w:tcMar>
            <w:vAlign w:val="center"/>
            <w:hideMark/>
          </w:tcPr>
          <w:p w14:paraId="20890EA4" w14:textId="77777777" w:rsidR="00BB3568" w:rsidRPr="00355CD8" w:rsidRDefault="00BB3568" w:rsidP="00355CD8">
            <w:pPr>
              <w:spacing w:line="360" w:lineRule="auto"/>
              <w:jc w:val="both"/>
              <w:rPr>
                <w:rFonts w:ascii="Arial" w:hAnsi="Arial" w:cs="Arial"/>
              </w:rPr>
            </w:pPr>
            <w:r w:rsidRPr="00355CD8">
              <w:rPr>
                <w:rFonts w:ascii="Arial" w:hAnsi="Arial" w:cs="Arial"/>
              </w:rPr>
              <w:t>Content</w:t>
            </w:r>
          </w:p>
        </w:tc>
      </w:tr>
      <w:tr w:rsidR="00BB3568" w:rsidRPr="00355CD8" w14:paraId="741F187C" w14:textId="77777777" w:rsidTr="00BB3568">
        <w:trPr>
          <w:trHeight w:val="868"/>
        </w:trPr>
        <w:tc>
          <w:tcPr>
            <w:tcW w:w="0" w:type="auto"/>
            <w:tcMar>
              <w:top w:w="150" w:type="dxa"/>
              <w:left w:w="0" w:type="dxa"/>
              <w:bottom w:w="150" w:type="dxa"/>
              <w:right w:w="240" w:type="dxa"/>
            </w:tcMar>
            <w:vAlign w:val="center"/>
            <w:hideMark/>
          </w:tcPr>
          <w:p w14:paraId="3062CDBD" w14:textId="77777777" w:rsidR="00BB3568" w:rsidRPr="00355CD8" w:rsidRDefault="00BB3568" w:rsidP="00355CD8">
            <w:pPr>
              <w:spacing w:line="360" w:lineRule="auto"/>
              <w:jc w:val="both"/>
              <w:rPr>
                <w:rFonts w:ascii="Arial" w:hAnsi="Arial" w:cs="Arial"/>
              </w:rPr>
            </w:pPr>
            <w:r w:rsidRPr="00355CD8">
              <w:rPr>
                <w:rFonts w:ascii="Arial" w:hAnsi="Arial" w:cs="Arial"/>
              </w:rPr>
              <w:t>Finding</w:t>
            </w:r>
          </w:p>
        </w:tc>
        <w:tc>
          <w:tcPr>
            <w:tcW w:w="0" w:type="auto"/>
            <w:tcMar>
              <w:top w:w="150" w:type="dxa"/>
              <w:left w:w="240" w:type="dxa"/>
              <w:bottom w:w="150" w:type="dxa"/>
              <w:right w:w="0" w:type="dxa"/>
            </w:tcMar>
            <w:vAlign w:val="center"/>
            <w:hideMark/>
          </w:tcPr>
          <w:p w14:paraId="597B8EB8" w14:textId="77777777" w:rsidR="00BB3568" w:rsidRPr="00355CD8" w:rsidRDefault="00BB3568" w:rsidP="00355CD8">
            <w:pPr>
              <w:spacing w:line="360" w:lineRule="auto"/>
              <w:jc w:val="both"/>
              <w:rPr>
                <w:rFonts w:ascii="Arial" w:hAnsi="Arial" w:cs="Arial"/>
              </w:rPr>
            </w:pPr>
            <w:r w:rsidRPr="00355CD8">
              <w:rPr>
                <w:rFonts w:ascii="Arial" w:hAnsi="Arial" w:cs="Arial"/>
              </w:rPr>
              <w:t>The near-total collapse of the care worker visa route – from over 108,000 at peak to 11 in Q1 2026 – has effectively ended new international inflows into critical roles.</w:t>
            </w:r>
          </w:p>
        </w:tc>
      </w:tr>
      <w:tr w:rsidR="00BB3568" w:rsidRPr="00355CD8" w14:paraId="7EE00BE4" w14:textId="77777777" w:rsidTr="00BB3568">
        <w:trPr>
          <w:trHeight w:val="868"/>
        </w:trPr>
        <w:tc>
          <w:tcPr>
            <w:tcW w:w="0" w:type="auto"/>
            <w:tcMar>
              <w:top w:w="150" w:type="dxa"/>
              <w:left w:w="0" w:type="dxa"/>
              <w:bottom w:w="150" w:type="dxa"/>
              <w:right w:w="240" w:type="dxa"/>
            </w:tcMar>
            <w:vAlign w:val="center"/>
            <w:hideMark/>
          </w:tcPr>
          <w:p w14:paraId="67FB3F9C" w14:textId="77777777" w:rsidR="00BB3568" w:rsidRPr="00355CD8" w:rsidRDefault="00BB3568" w:rsidP="00355CD8">
            <w:pPr>
              <w:spacing w:line="360" w:lineRule="auto"/>
              <w:jc w:val="both"/>
              <w:rPr>
                <w:rFonts w:ascii="Arial" w:hAnsi="Arial" w:cs="Arial"/>
              </w:rPr>
            </w:pPr>
            <w:r w:rsidRPr="00355CD8">
              <w:rPr>
                <w:rFonts w:ascii="Arial" w:hAnsi="Arial" w:cs="Arial"/>
              </w:rPr>
              <w:t>Implication</w:t>
            </w:r>
          </w:p>
        </w:tc>
        <w:tc>
          <w:tcPr>
            <w:tcW w:w="0" w:type="auto"/>
            <w:tcMar>
              <w:top w:w="150" w:type="dxa"/>
              <w:left w:w="240" w:type="dxa"/>
              <w:bottom w:w="150" w:type="dxa"/>
              <w:right w:w="0" w:type="dxa"/>
            </w:tcMar>
            <w:vAlign w:val="center"/>
            <w:hideMark/>
          </w:tcPr>
          <w:p w14:paraId="2CC43989" w14:textId="77777777" w:rsidR="00BB3568" w:rsidRPr="00355CD8" w:rsidRDefault="00BB3568" w:rsidP="00355CD8">
            <w:pPr>
              <w:spacing w:line="360" w:lineRule="auto"/>
              <w:jc w:val="both"/>
              <w:rPr>
                <w:rFonts w:ascii="Arial" w:hAnsi="Arial" w:cs="Arial"/>
              </w:rPr>
            </w:pPr>
            <w:r w:rsidRPr="00355CD8">
              <w:rPr>
                <w:rFonts w:ascii="Arial" w:hAnsi="Arial" w:cs="Arial"/>
              </w:rPr>
              <w:t>This creates a significant workforce risk given the high vacancy rates (6.2%) and high dependency on international staff (nearly 30% of the adult social care workforce).</w:t>
            </w:r>
          </w:p>
        </w:tc>
      </w:tr>
      <w:tr w:rsidR="00BB3568" w:rsidRPr="00355CD8" w14:paraId="7D2D9F98" w14:textId="77777777" w:rsidTr="00BB3568">
        <w:trPr>
          <w:trHeight w:val="868"/>
        </w:trPr>
        <w:tc>
          <w:tcPr>
            <w:tcW w:w="0" w:type="auto"/>
            <w:tcMar>
              <w:top w:w="150" w:type="dxa"/>
              <w:left w:w="0" w:type="dxa"/>
              <w:bottom w:w="150" w:type="dxa"/>
              <w:right w:w="240" w:type="dxa"/>
            </w:tcMar>
            <w:vAlign w:val="center"/>
            <w:hideMark/>
          </w:tcPr>
          <w:p w14:paraId="743522D6" w14:textId="77777777" w:rsidR="00BB3568" w:rsidRPr="00355CD8" w:rsidRDefault="00BB3568" w:rsidP="00355CD8">
            <w:pPr>
              <w:spacing w:line="360" w:lineRule="auto"/>
              <w:jc w:val="both"/>
              <w:rPr>
                <w:rFonts w:ascii="Arial" w:hAnsi="Arial" w:cs="Arial"/>
              </w:rPr>
            </w:pPr>
            <w:r w:rsidRPr="00355CD8">
              <w:rPr>
                <w:rFonts w:ascii="Arial" w:hAnsi="Arial" w:cs="Arial"/>
              </w:rPr>
              <w:t>Action</w:t>
            </w:r>
          </w:p>
        </w:tc>
        <w:tc>
          <w:tcPr>
            <w:tcW w:w="0" w:type="auto"/>
            <w:tcMar>
              <w:top w:w="150" w:type="dxa"/>
              <w:left w:w="240" w:type="dxa"/>
              <w:bottom w:w="150" w:type="dxa"/>
              <w:right w:w="0" w:type="dxa"/>
            </w:tcMar>
            <w:vAlign w:val="center"/>
            <w:hideMark/>
          </w:tcPr>
          <w:p w14:paraId="35865312" w14:textId="77777777" w:rsidR="00BB3568" w:rsidRPr="00355CD8" w:rsidRDefault="00BB3568" w:rsidP="00355CD8">
            <w:pPr>
              <w:spacing w:line="360" w:lineRule="auto"/>
              <w:jc w:val="both"/>
              <w:rPr>
                <w:rFonts w:ascii="Arial" w:hAnsi="Arial" w:cs="Arial"/>
              </w:rPr>
            </w:pPr>
            <w:r w:rsidRPr="00355CD8">
              <w:rPr>
                <w:rFonts w:ascii="Arial" w:hAnsi="Arial" w:cs="Arial"/>
              </w:rPr>
              <w:t>Implement a phased approach with clear pathways to settlement for essential workers to better balance migration control with workforce sustainability.</w:t>
            </w:r>
          </w:p>
        </w:tc>
      </w:tr>
    </w:tbl>
    <w:p w14:paraId="6A98E054" w14:textId="77777777" w:rsidR="00BB3568" w:rsidRPr="00355CD8" w:rsidRDefault="00BB3568" w:rsidP="00355CD8">
      <w:pPr>
        <w:spacing w:line="360" w:lineRule="auto"/>
        <w:jc w:val="both"/>
        <w:rPr>
          <w:rFonts w:ascii="Arial" w:hAnsi="Arial" w:cs="Arial"/>
        </w:rPr>
      </w:pPr>
    </w:p>
    <w:p w14:paraId="5A50840D" w14:textId="5EBBEDA6" w:rsidR="00BB3568" w:rsidRPr="00355CD8" w:rsidRDefault="00BB3568" w:rsidP="00355CD8">
      <w:pPr>
        <w:spacing w:line="360" w:lineRule="auto"/>
        <w:jc w:val="both"/>
        <w:rPr>
          <w:rFonts w:ascii="Arial" w:hAnsi="Arial" w:cs="Arial"/>
        </w:rPr>
      </w:pPr>
      <w:r w:rsidRPr="00355CD8">
        <w:rPr>
          <w:rFonts w:ascii="Arial" w:hAnsi="Arial" w:cs="Arial"/>
        </w:rPr>
        <w:t xml:space="preserve">Recommendation 2: Restore </w:t>
      </w:r>
      <w:proofErr w:type="spellStart"/>
      <w:r w:rsidRPr="00355CD8">
        <w:rPr>
          <w:rFonts w:ascii="Arial" w:hAnsi="Arial" w:cs="Arial"/>
        </w:rPr>
        <w:t>Dependant</w:t>
      </w:r>
      <w:proofErr w:type="spellEnd"/>
      <w:r w:rsidRPr="00355CD8">
        <w:rPr>
          <w:rFonts w:ascii="Arial" w:hAnsi="Arial" w:cs="Arial"/>
        </w:rPr>
        <w:t xml:space="preserve"> Rights and Provide a Clear Pathway to Settlement</w:t>
      </w:r>
    </w:p>
    <w:tbl>
      <w:tblPr>
        <w:tblW w:w="106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88"/>
        <w:gridCol w:w="9279"/>
      </w:tblGrid>
      <w:tr w:rsidR="00BB3568" w:rsidRPr="00355CD8" w14:paraId="711E8241" w14:textId="77777777" w:rsidTr="00BB3568">
        <w:trPr>
          <w:trHeight w:val="568"/>
          <w:tblHeader/>
        </w:trPr>
        <w:tc>
          <w:tcPr>
            <w:tcW w:w="0" w:type="auto"/>
            <w:tcMar>
              <w:top w:w="150" w:type="dxa"/>
              <w:left w:w="0" w:type="dxa"/>
              <w:bottom w:w="150" w:type="dxa"/>
              <w:right w:w="240" w:type="dxa"/>
            </w:tcMar>
            <w:vAlign w:val="center"/>
            <w:hideMark/>
          </w:tcPr>
          <w:p w14:paraId="5DE6CE0C" w14:textId="77777777" w:rsidR="00BB3568" w:rsidRPr="00355CD8" w:rsidRDefault="00BB3568" w:rsidP="00355CD8">
            <w:pPr>
              <w:spacing w:line="360" w:lineRule="auto"/>
              <w:jc w:val="both"/>
              <w:rPr>
                <w:rFonts w:ascii="Arial" w:hAnsi="Arial" w:cs="Arial"/>
              </w:rPr>
            </w:pPr>
            <w:r w:rsidRPr="00355CD8">
              <w:rPr>
                <w:rFonts w:ascii="Arial" w:hAnsi="Arial" w:cs="Arial"/>
              </w:rPr>
              <w:lastRenderedPageBreak/>
              <w:t>Element</w:t>
            </w:r>
          </w:p>
        </w:tc>
        <w:tc>
          <w:tcPr>
            <w:tcW w:w="0" w:type="auto"/>
            <w:tcMar>
              <w:top w:w="150" w:type="dxa"/>
              <w:left w:w="240" w:type="dxa"/>
              <w:bottom w:w="150" w:type="dxa"/>
              <w:right w:w="240" w:type="dxa"/>
            </w:tcMar>
            <w:vAlign w:val="center"/>
            <w:hideMark/>
          </w:tcPr>
          <w:p w14:paraId="7A7B8EB4" w14:textId="77777777" w:rsidR="00BB3568" w:rsidRPr="00355CD8" w:rsidRDefault="00BB3568" w:rsidP="00355CD8">
            <w:pPr>
              <w:spacing w:line="360" w:lineRule="auto"/>
              <w:jc w:val="both"/>
              <w:rPr>
                <w:rFonts w:ascii="Arial" w:hAnsi="Arial" w:cs="Arial"/>
              </w:rPr>
            </w:pPr>
            <w:r w:rsidRPr="00355CD8">
              <w:rPr>
                <w:rFonts w:ascii="Arial" w:hAnsi="Arial" w:cs="Arial"/>
              </w:rPr>
              <w:t>Content</w:t>
            </w:r>
          </w:p>
        </w:tc>
      </w:tr>
      <w:tr w:rsidR="00BB3568" w:rsidRPr="00355CD8" w14:paraId="09764F3E" w14:textId="77777777" w:rsidTr="00BB3568">
        <w:trPr>
          <w:trHeight w:val="1398"/>
        </w:trPr>
        <w:tc>
          <w:tcPr>
            <w:tcW w:w="0" w:type="auto"/>
            <w:tcMar>
              <w:top w:w="150" w:type="dxa"/>
              <w:left w:w="0" w:type="dxa"/>
              <w:bottom w:w="150" w:type="dxa"/>
              <w:right w:w="240" w:type="dxa"/>
            </w:tcMar>
            <w:vAlign w:val="center"/>
            <w:hideMark/>
          </w:tcPr>
          <w:p w14:paraId="3A77E2FC" w14:textId="77777777" w:rsidR="00BB3568" w:rsidRPr="00355CD8" w:rsidRDefault="00BB3568" w:rsidP="00355CD8">
            <w:pPr>
              <w:spacing w:line="360" w:lineRule="auto"/>
              <w:jc w:val="both"/>
              <w:rPr>
                <w:rFonts w:ascii="Arial" w:hAnsi="Arial" w:cs="Arial"/>
              </w:rPr>
            </w:pPr>
            <w:r w:rsidRPr="00355CD8">
              <w:rPr>
                <w:rFonts w:ascii="Arial" w:hAnsi="Arial" w:cs="Arial"/>
              </w:rPr>
              <w:t>Finding</w:t>
            </w:r>
          </w:p>
        </w:tc>
        <w:tc>
          <w:tcPr>
            <w:tcW w:w="0" w:type="auto"/>
            <w:tcMar>
              <w:top w:w="150" w:type="dxa"/>
              <w:left w:w="240" w:type="dxa"/>
              <w:bottom w:w="150" w:type="dxa"/>
              <w:right w:w="0" w:type="dxa"/>
            </w:tcMar>
            <w:vAlign w:val="center"/>
            <w:hideMark/>
          </w:tcPr>
          <w:p w14:paraId="244BC2A1" w14:textId="77777777" w:rsidR="00BB3568" w:rsidRPr="00355CD8" w:rsidRDefault="00BB3568" w:rsidP="00355CD8">
            <w:pPr>
              <w:spacing w:line="360" w:lineRule="auto"/>
              <w:jc w:val="both"/>
              <w:rPr>
                <w:rFonts w:ascii="Arial" w:hAnsi="Arial" w:cs="Arial"/>
              </w:rPr>
            </w:pPr>
            <w:r w:rsidRPr="00355CD8">
              <w:rPr>
                <w:rFonts w:ascii="Arial" w:hAnsi="Arial" w:cs="Arial"/>
              </w:rPr>
              <w:t xml:space="preserve">The sharp decline in </w:t>
            </w:r>
            <w:proofErr w:type="spellStart"/>
            <w:r w:rsidRPr="00355CD8">
              <w:rPr>
                <w:rFonts w:ascii="Arial" w:hAnsi="Arial" w:cs="Arial"/>
              </w:rPr>
              <w:t>dependant</w:t>
            </w:r>
            <w:proofErr w:type="spellEnd"/>
            <w:r w:rsidRPr="00355CD8">
              <w:rPr>
                <w:rFonts w:ascii="Arial" w:hAnsi="Arial" w:cs="Arial"/>
              </w:rPr>
              <w:t xml:space="preserve"> visas – from 23,300 at peak to 3,100 – indicates families are being separated. The closure of pathways to settlement creates uncertainty about long-term future in the UK (RCN, 2026).</w:t>
            </w:r>
          </w:p>
        </w:tc>
      </w:tr>
      <w:tr w:rsidR="00BB3568" w:rsidRPr="00355CD8" w14:paraId="010C0CE0" w14:textId="77777777" w:rsidTr="00BB3568">
        <w:trPr>
          <w:trHeight w:val="1398"/>
        </w:trPr>
        <w:tc>
          <w:tcPr>
            <w:tcW w:w="0" w:type="auto"/>
            <w:tcMar>
              <w:top w:w="150" w:type="dxa"/>
              <w:left w:w="0" w:type="dxa"/>
              <w:bottom w:w="150" w:type="dxa"/>
              <w:right w:w="240" w:type="dxa"/>
            </w:tcMar>
            <w:vAlign w:val="center"/>
            <w:hideMark/>
          </w:tcPr>
          <w:p w14:paraId="1ACAAC35" w14:textId="77777777" w:rsidR="00BB3568" w:rsidRPr="00355CD8" w:rsidRDefault="00BB3568" w:rsidP="00355CD8">
            <w:pPr>
              <w:spacing w:line="360" w:lineRule="auto"/>
              <w:jc w:val="both"/>
              <w:rPr>
                <w:rFonts w:ascii="Arial" w:hAnsi="Arial" w:cs="Arial"/>
              </w:rPr>
            </w:pPr>
            <w:r w:rsidRPr="00355CD8">
              <w:rPr>
                <w:rFonts w:ascii="Arial" w:hAnsi="Arial" w:cs="Arial"/>
              </w:rPr>
              <w:t>Implication</w:t>
            </w:r>
          </w:p>
        </w:tc>
        <w:tc>
          <w:tcPr>
            <w:tcW w:w="0" w:type="auto"/>
            <w:tcMar>
              <w:top w:w="150" w:type="dxa"/>
              <w:left w:w="240" w:type="dxa"/>
              <w:bottom w:w="150" w:type="dxa"/>
              <w:right w:w="0" w:type="dxa"/>
            </w:tcMar>
            <w:vAlign w:val="center"/>
            <w:hideMark/>
          </w:tcPr>
          <w:p w14:paraId="6C3D26F2" w14:textId="77777777" w:rsidR="00BB3568" w:rsidRPr="00355CD8" w:rsidRDefault="00BB3568" w:rsidP="00355CD8">
            <w:pPr>
              <w:spacing w:line="360" w:lineRule="auto"/>
              <w:jc w:val="both"/>
              <w:rPr>
                <w:rFonts w:ascii="Arial" w:hAnsi="Arial" w:cs="Arial"/>
              </w:rPr>
            </w:pPr>
            <w:r w:rsidRPr="00355CD8">
              <w:rPr>
                <w:rFonts w:ascii="Arial" w:hAnsi="Arial" w:cs="Arial"/>
              </w:rPr>
              <w:t>Family separation reduces worker wellbeing, lowers retention, and increases turnover costs. Uncertainty discourages investment in host-country specific human capital (Stewart and Mulvey, 2014).</w:t>
            </w:r>
          </w:p>
        </w:tc>
      </w:tr>
      <w:tr w:rsidR="00BB3568" w:rsidRPr="00355CD8" w14:paraId="27B38D59" w14:textId="77777777" w:rsidTr="00BB3568">
        <w:trPr>
          <w:trHeight w:val="1398"/>
        </w:trPr>
        <w:tc>
          <w:tcPr>
            <w:tcW w:w="0" w:type="auto"/>
            <w:tcMar>
              <w:top w:w="150" w:type="dxa"/>
              <w:left w:w="0" w:type="dxa"/>
              <w:bottom w:w="150" w:type="dxa"/>
              <w:right w:w="240" w:type="dxa"/>
            </w:tcMar>
            <w:vAlign w:val="center"/>
            <w:hideMark/>
          </w:tcPr>
          <w:p w14:paraId="4656A3B3" w14:textId="77777777" w:rsidR="00BB3568" w:rsidRPr="00355CD8" w:rsidRDefault="00BB3568" w:rsidP="00355CD8">
            <w:pPr>
              <w:spacing w:line="360" w:lineRule="auto"/>
              <w:jc w:val="both"/>
              <w:rPr>
                <w:rFonts w:ascii="Arial" w:hAnsi="Arial" w:cs="Arial"/>
              </w:rPr>
            </w:pPr>
            <w:r w:rsidRPr="00355CD8">
              <w:rPr>
                <w:rFonts w:ascii="Arial" w:hAnsi="Arial" w:cs="Arial"/>
              </w:rPr>
              <w:t>Action</w:t>
            </w:r>
          </w:p>
        </w:tc>
        <w:tc>
          <w:tcPr>
            <w:tcW w:w="0" w:type="auto"/>
            <w:tcMar>
              <w:top w:w="150" w:type="dxa"/>
              <w:left w:w="240" w:type="dxa"/>
              <w:bottom w:w="150" w:type="dxa"/>
              <w:right w:w="0" w:type="dxa"/>
            </w:tcMar>
            <w:vAlign w:val="center"/>
            <w:hideMark/>
          </w:tcPr>
          <w:p w14:paraId="04D2D7F5" w14:textId="77777777" w:rsidR="00BB3568" w:rsidRPr="00355CD8" w:rsidRDefault="00BB3568" w:rsidP="00355CD8">
            <w:pPr>
              <w:spacing w:line="360" w:lineRule="auto"/>
              <w:jc w:val="both"/>
              <w:rPr>
                <w:rFonts w:ascii="Arial" w:hAnsi="Arial" w:cs="Arial"/>
              </w:rPr>
            </w:pPr>
            <w:r w:rsidRPr="00355CD8">
              <w:rPr>
                <w:rFonts w:ascii="Arial" w:hAnsi="Arial" w:cs="Arial"/>
              </w:rPr>
              <w:t xml:space="preserve">Restore </w:t>
            </w:r>
            <w:proofErr w:type="spellStart"/>
            <w:r w:rsidRPr="00355CD8">
              <w:rPr>
                <w:rFonts w:ascii="Arial" w:hAnsi="Arial" w:cs="Arial"/>
              </w:rPr>
              <w:t>dependant</w:t>
            </w:r>
            <w:proofErr w:type="spellEnd"/>
            <w:r w:rsidRPr="00355CD8">
              <w:rPr>
                <w:rFonts w:ascii="Arial" w:hAnsi="Arial" w:cs="Arial"/>
              </w:rPr>
              <w:t xml:space="preserve"> rights for care workers and provide a clear pathway to settlement for essential healthcare workers to reduce uncertainty, enhance retention, and support workforce sustainability.</w:t>
            </w:r>
          </w:p>
        </w:tc>
      </w:tr>
    </w:tbl>
    <w:p w14:paraId="6DB872AE" w14:textId="77777777" w:rsidR="00BB3568" w:rsidRPr="00355CD8" w:rsidRDefault="00BB3568" w:rsidP="00355CD8">
      <w:pPr>
        <w:spacing w:line="360" w:lineRule="auto"/>
        <w:jc w:val="both"/>
        <w:rPr>
          <w:rFonts w:ascii="Arial" w:hAnsi="Arial" w:cs="Arial"/>
        </w:rPr>
      </w:pPr>
    </w:p>
    <w:p w14:paraId="2E4263C7" w14:textId="05E2ED5B" w:rsidR="00BB3568" w:rsidRPr="00355CD8" w:rsidRDefault="00BB3568" w:rsidP="00355CD8">
      <w:pPr>
        <w:spacing w:line="360" w:lineRule="auto"/>
        <w:jc w:val="both"/>
        <w:rPr>
          <w:rFonts w:ascii="Arial" w:hAnsi="Arial" w:cs="Arial"/>
        </w:rPr>
      </w:pPr>
      <w:r w:rsidRPr="00355CD8">
        <w:rPr>
          <w:rFonts w:ascii="Arial" w:hAnsi="Arial" w:cs="Arial"/>
        </w:rPr>
        <w:t>Recommendation 3: Invest in Domestic Training, Upskilling, and Retention</w:t>
      </w:r>
    </w:p>
    <w:tbl>
      <w:tblPr>
        <w:tblW w:w="107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88"/>
        <w:gridCol w:w="9323"/>
      </w:tblGrid>
      <w:tr w:rsidR="00BB3568" w:rsidRPr="00355CD8" w14:paraId="71711ADC" w14:textId="77777777" w:rsidTr="00BB3568">
        <w:trPr>
          <w:trHeight w:val="573"/>
          <w:tblHeader/>
        </w:trPr>
        <w:tc>
          <w:tcPr>
            <w:tcW w:w="0" w:type="auto"/>
            <w:tcMar>
              <w:top w:w="150" w:type="dxa"/>
              <w:left w:w="0" w:type="dxa"/>
              <w:bottom w:w="150" w:type="dxa"/>
              <w:right w:w="240" w:type="dxa"/>
            </w:tcMar>
            <w:vAlign w:val="center"/>
            <w:hideMark/>
          </w:tcPr>
          <w:p w14:paraId="43FA97F8" w14:textId="77777777" w:rsidR="00BB3568" w:rsidRPr="00355CD8" w:rsidRDefault="00BB3568" w:rsidP="00355CD8">
            <w:pPr>
              <w:spacing w:line="360" w:lineRule="auto"/>
              <w:jc w:val="both"/>
              <w:rPr>
                <w:rFonts w:ascii="Arial" w:hAnsi="Arial" w:cs="Arial"/>
              </w:rPr>
            </w:pPr>
            <w:r w:rsidRPr="00355CD8">
              <w:rPr>
                <w:rFonts w:ascii="Arial" w:hAnsi="Arial" w:cs="Arial"/>
              </w:rPr>
              <w:t>Element</w:t>
            </w:r>
          </w:p>
        </w:tc>
        <w:tc>
          <w:tcPr>
            <w:tcW w:w="0" w:type="auto"/>
            <w:tcMar>
              <w:top w:w="150" w:type="dxa"/>
              <w:left w:w="240" w:type="dxa"/>
              <w:bottom w:w="150" w:type="dxa"/>
              <w:right w:w="240" w:type="dxa"/>
            </w:tcMar>
            <w:vAlign w:val="center"/>
            <w:hideMark/>
          </w:tcPr>
          <w:p w14:paraId="7FA4D44A" w14:textId="77777777" w:rsidR="00BB3568" w:rsidRPr="00355CD8" w:rsidRDefault="00BB3568" w:rsidP="00355CD8">
            <w:pPr>
              <w:spacing w:line="360" w:lineRule="auto"/>
              <w:jc w:val="both"/>
              <w:rPr>
                <w:rFonts w:ascii="Arial" w:hAnsi="Arial" w:cs="Arial"/>
              </w:rPr>
            </w:pPr>
            <w:r w:rsidRPr="00355CD8">
              <w:rPr>
                <w:rFonts w:ascii="Arial" w:hAnsi="Arial" w:cs="Arial"/>
              </w:rPr>
              <w:t>Content</w:t>
            </w:r>
          </w:p>
        </w:tc>
      </w:tr>
      <w:tr w:rsidR="00BB3568" w:rsidRPr="00355CD8" w14:paraId="3BCBE24B" w14:textId="77777777" w:rsidTr="00BB3568">
        <w:trPr>
          <w:trHeight w:val="1414"/>
        </w:trPr>
        <w:tc>
          <w:tcPr>
            <w:tcW w:w="0" w:type="auto"/>
            <w:tcMar>
              <w:top w:w="150" w:type="dxa"/>
              <w:left w:w="0" w:type="dxa"/>
              <w:bottom w:w="150" w:type="dxa"/>
              <w:right w:w="240" w:type="dxa"/>
            </w:tcMar>
            <w:vAlign w:val="center"/>
            <w:hideMark/>
          </w:tcPr>
          <w:p w14:paraId="1B204D0E" w14:textId="77777777" w:rsidR="00BB3568" w:rsidRPr="00355CD8" w:rsidRDefault="00BB3568" w:rsidP="00355CD8">
            <w:pPr>
              <w:spacing w:line="360" w:lineRule="auto"/>
              <w:jc w:val="both"/>
              <w:rPr>
                <w:rFonts w:ascii="Arial" w:hAnsi="Arial" w:cs="Arial"/>
              </w:rPr>
            </w:pPr>
            <w:r w:rsidRPr="00355CD8">
              <w:rPr>
                <w:rFonts w:ascii="Arial" w:hAnsi="Arial" w:cs="Arial"/>
              </w:rPr>
              <w:t>Finding</w:t>
            </w:r>
          </w:p>
        </w:tc>
        <w:tc>
          <w:tcPr>
            <w:tcW w:w="0" w:type="auto"/>
            <w:tcMar>
              <w:top w:w="150" w:type="dxa"/>
              <w:left w:w="240" w:type="dxa"/>
              <w:bottom w:w="150" w:type="dxa"/>
              <w:right w:w="0" w:type="dxa"/>
            </w:tcMar>
            <w:vAlign w:val="center"/>
            <w:hideMark/>
          </w:tcPr>
          <w:p w14:paraId="4138D18D" w14:textId="77777777" w:rsidR="00BB3568" w:rsidRPr="00355CD8" w:rsidRDefault="00BB3568" w:rsidP="00355CD8">
            <w:pPr>
              <w:spacing w:line="360" w:lineRule="auto"/>
              <w:jc w:val="both"/>
              <w:rPr>
                <w:rFonts w:ascii="Arial" w:hAnsi="Arial" w:cs="Arial"/>
              </w:rPr>
            </w:pPr>
            <w:r w:rsidRPr="00355CD8">
              <w:rPr>
                <w:rFonts w:ascii="Arial" w:hAnsi="Arial" w:cs="Arial"/>
              </w:rPr>
              <w:t>The 2.6% decline in British workers highlights domestic recruitment challenges. HCSWs receive only 5% of training budgets. Training reduces turnover – from 26.3% to 22.9% (Skills for Care, 2024).</w:t>
            </w:r>
          </w:p>
        </w:tc>
      </w:tr>
      <w:tr w:rsidR="00BB3568" w:rsidRPr="00355CD8" w14:paraId="55B1244C" w14:textId="77777777" w:rsidTr="00BB3568">
        <w:trPr>
          <w:trHeight w:val="994"/>
        </w:trPr>
        <w:tc>
          <w:tcPr>
            <w:tcW w:w="0" w:type="auto"/>
            <w:tcMar>
              <w:top w:w="150" w:type="dxa"/>
              <w:left w:w="0" w:type="dxa"/>
              <w:bottom w:w="150" w:type="dxa"/>
              <w:right w:w="240" w:type="dxa"/>
            </w:tcMar>
            <w:vAlign w:val="center"/>
            <w:hideMark/>
          </w:tcPr>
          <w:p w14:paraId="17B52972" w14:textId="77777777" w:rsidR="00BB3568" w:rsidRPr="00355CD8" w:rsidRDefault="00BB3568" w:rsidP="00355CD8">
            <w:pPr>
              <w:spacing w:line="360" w:lineRule="auto"/>
              <w:jc w:val="both"/>
              <w:rPr>
                <w:rFonts w:ascii="Arial" w:hAnsi="Arial" w:cs="Arial"/>
              </w:rPr>
            </w:pPr>
            <w:r w:rsidRPr="00355CD8">
              <w:rPr>
                <w:rFonts w:ascii="Arial" w:hAnsi="Arial" w:cs="Arial"/>
              </w:rPr>
              <w:t>Implication</w:t>
            </w:r>
          </w:p>
        </w:tc>
        <w:tc>
          <w:tcPr>
            <w:tcW w:w="0" w:type="auto"/>
            <w:tcMar>
              <w:top w:w="150" w:type="dxa"/>
              <w:left w:w="240" w:type="dxa"/>
              <w:bottom w:w="150" w:type="dxa"/>
              <w:right w:w="0" w:type="dxa"/>
            </w:tcMar>
            <w:vAlign w:val="center"/>
            <w:hideMark/>
          </w:tcPr>
          <w:p w14:paraId="1C03B7DC" w14:textId="77777777" w:rsidR="00BB3568" w:rsidRPr="00355CD8" w:rsidRDefault="00BB3568" w:rsidP="00355CD8">
            <w:pPr>
              <w:spacing w:line="360" w:lineRule="auto"/>
              <w:jc w:val="both"/>
              <w:rPr>
                <w:rFonts w:ascii="Arial" w:hAnsi="Arial" w:cs="Arial"/>
              </w:rPr>
            </w:pPr>
            <w:r w:rsidRPr="00355CD8">
              <w:rPr>
                <w:rFonts w:ascii="Arial" w:hAnsi="Arial" w:cs="Arial"/>
              </w:rPr>
              <w:t>Investment in training and upskilling improves retention. However, domestic recruitment faces significant challenges and cannot compensate for the loss of migrant workers.</w:t>
            </w:r>
          </w:p>
        </w:tc>
      </w:tr>
      <w:tr w:rsidR="00BB3568" w:rsidRPr="00355CD8" w14:paraId="7A5BE5E9" w14:textId="77777777" w:rsidTr="00BB3568">
        <w:trPr>
          <w:trHeight w:val="994"/>
        </w:trPr>
        <w:tc>
          <w:tcPr>
            <w:tcW w:w="0" w:type="auto"/>
            <w:tcMar>
              <w:top w:w="150" w:type="dxa"/>
              <w:left w:w="0" w:type="dxa"/>
              <w:bottom w:w="150" w:type="dxa"/>
              <w:right w:w="240" w:type="dxa"/>
            </w:tcMar>
            <w:vAlign w:val="center"/>
            <w:hideMark/>
          </w:tcPr>
          <w:p w14:paraId="07CA6C5A" w14:textId="77777777" w:rsidR="00BB3568" w:rsidRPr="00355CD8" w:rsidRDefault="00BB3568" w:rsidP="00355CD8">
            <w:pPr>
              <w:spacing w:line="360" w:lineRule="auto"/>
              <w:jc w:val="both"/>
              <w:rPr>
                <w:rFonts w:ascii="Arial" w:hAnsi="Arial" w:cs="Arial"/>
              </w:rPr>
            </w:pPr>
            <w:r w:rsidRPr="00355CD8">
              <w:rPr>
                <w:rFonts w:ascii="Arial" w:hAnsi="Arial" w:cs="Arial"/>
              </w:rPr>
              <w:lastRenderedPageBreak/>
              <w:t>Action</w:t>
            </w:r>
          </w:p>
        </w:tc>
        <w:tc>
          <w:tcPr>
            <w:tcW w:w="0" w:type="auto"/>
            <w:tcMar>
              <w:top w:w="150" w:type="dxa"/>
              <w:left w:w="240" w:type="dxa"/>
              <w:bottom w:w="150" w:type="dxa"/>
              <w:right w:w="0" w:type="dxa"/>
            </w:tcMar>
            <w:vAlign w:val="center"/>
            <w:hideMark/>
          </w:tcPr>
          <w:p w14:paraId="7BAB6C05" w14:textId="77777777" w:rsidR="00BB3568" w:rsidRPr="00355CD8" w:rsidRDefault="00BB3568" w:rsidP="00355CD8">
            <w:pPr>
              <w:spacing w:line="360" w:lineRule="auto"/>
              <w:jc w:val="both"/>
              <w:rPr>
                <w:rFonts w:ascii="Arial" w:hAnsi="Arial" w:cs="Arial"/>
              </w:rPr>
            </w:pPr>
            <w:r w:rsidRPr="00355CD8">
              <w:rPr>
                <w:rFonts w:ascii="Arial" w:hAnsi="Arial" w:cs="Arial"/>
              </w:rPr>
              <w:t>Increase investment in training, upskilling, and career progression for HCSWs. Develop clear career pathways and apprenticeship routes to build a sustainable domestic workforce.</w:t>
            </w:r>
          </w:p>
        </w:tc>
      </w:tr>
    </w:tbl>
    <w:p w14:paraId="5DAFB504" w14:textId="77777777" w:rsidR="00BB3568" w:rsidRPr="00355CD8" w:rsidRDefault="00BB3568" w:rsidP="00355CD8">
      <w:pPr>
        <w:spacing w:line="360" w:lineRule="auto"/>
        <w:jc w:val="both"/>
        <w:rPr>
          <w:rFonts w:ascii="Arial" w:hAnsi="Arial" w:cs="Arial"/>
        </w:rPr>
      </w:pPr>
    </w:p>
    <w:p w14:paraId="329023A4" w14:textId="242C9729" w:rsidR="00BB3568" w:rsidRPr="00355CD8" w:rsidRDefault="00BB3568" w:rsidP="00355CD8">
      <w:pPr>
        <w:spacing w:line="360" w:lineRule="auto"/>
        <w:jc w:val="both"/>
        <w:rPr>
          <w:rFonts w:ascii="Arial" w:hAnsi="Arial" w:cs="Arial"/>
        </w:rPr>
      </w:pPr>
      <w:r w:rsidRPr="00355CD8">
        <w:rPr>
          <w:rFonts w:ascii="Arial" w:hAnsi="Arial" w:cs="Arial"/>
        </w:rPr>
        <w:t>Recommendation 4: Develop Comprehensive Retention Strategies</w:t>
      </w:r>
    </w:p>
    <w:tbl>
      <w:tblPr>
        <w:tblW w:w="10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88"/>
        <w:gridCol w:w="9345"/>
      </w:tblGrid>
      <w:tr w:rsidR="00BB3568" w:rsidRPr="00355CD8" w14:paraId="4DE14DD1" w14:textId="77777777" w:rsidTr="00BB3568">
        <w:trPr>
          <w:trHeight w:val="570"/>
          <w:tblHeader/>
        </w:trPr>
        <w:tc>
          <w:tcPr>
            <w:tcW w:w="0" w:type="auto"/>
            <w:tcMar>
              <w:top w:w="150" w:type="dxa"/>
              <w:left w:w="0" w:type="dxa"/>
              <w:bottom w:w="150" w:type="dxa"/>
              <w:right w:w="240" w:type="dxa"/>
            </w:tcMar>
            <w:vAlign w:val="center"/>
            <w:hideMark/>
          </w:tcPr>
          <w:p w14:paraId="5EB41821" w14:textId="77777777" w:rsidR="00BB3568" w:rsidRPr="00355CD8" w:rsidRDefault="00BB3568" w:rsidP="00355CD8">
            <w:pPr>
              <w:spacing w:line="360" w:lineRule="auto"/>
              <w:jc w:val="both"/>
              <w:rPr>
                <w:rFonts w:ascii="Arial" w:hAnsi="Arial" w:cs="Arial"/>
              </w:rPr>
            </w:pPr>
            <w:r w:rsidRPr="00355CD8">
              <w:rPr>
                <w:rFonts w:ascii="Arial" w:hAnsi="Arial" w:cs="Arial"/>
              </w:rPr>
              <w:t>Element</w:t>
            </w:r>
          </w:p>
        </w:tc>
        <w:tc>
          <w:tcPr>
            <w:tcW w:w="0" w:type="auto"/>
            <w:tcMar>
              <w:top w:w="150" w:type="dxa"/>
              <w:left w:w="240" w:type="dxa"/>
              <w:bottom w:w="150" w:type="dxa"/>
              <w:right w:w="240" w:type="dxa"/>
            </w:tcMar>
            <w:vAlign w:val="center"/>
            <w:hideMark/>
          </w:tcPr>
          <w:p w14:paraId="3E0E83C1" w14:textId="77777777" w:rsidR="00BB3568" w:rsidRPr="00355CD8" w:rsidRDefault="00BB3568" w:rsidP="00355CD8">
            <w:pPr>
              <w:spacing w:line="360" w:lineRule="auto"/>
              <w:jc w:val="both"/>
              <w:rPr>
                <w:rFonts w:ascii="Arial" w:hAnsi="Arial" w:cs="Arial"/>
              </w:rPr>
            </w:pPr>
            <w:r w:rsidRPr="00355CD8">
              <w:rPr>
                <w:rFonts w:ascii="Arial" w:hAnsi="Arial" w:cs="Arial"/>
              </w:rPr>
              <w:t>Content</w:t>
            </w:r>
          </w:p>
        </w:tc>
      </w:tr>
      <w:tr w:rsidR="00BB3568" w:rsidRPr="00355CD8" w14:paraId="5F176368" w14:textId="77777777" w:rsidTr="00BB3568">
        <w:trPr>
          <w:trHeight w:val="1403"/>
        </w:trPr>
        <w:tc>
          <w:tcPr>
            <w:tcW w:w="0" w:type="auto"/>
            <w:tcMar>
              <w:top w:w="150" w:type="dxa"/>
              <w:left w:w="0" w:type="dxa"/>
              <w:bottom w:w="150" w:type="dxa"/>
              <w:right w:w="240" w:type="dxa"/>
            </w:tcMar>
            <w:vAlign w:val="center"/>
            <w:hideMark/>
          </w:tcPr>
          <w:p w14:paraId="5773286F" w14:textId="77777777" w:rsidR="00BB3568" w:rsidRPr="00355CD8" w:rsidRDefault="00BB3568" w:rsidP="00355CD8">
            <w:pPr>
              <w:spacing w:line="360" w:lineRule="auto"/>
              <w:jc w:val="both"/>
              <w:rPr>
                <w:rFonts w:ascii="Arial" w:hAnsi="Arial" w:cs="Arial"/>
              </w:rPr>
            </w:pPr>
            <w:r w:rsidRPr="00355CD8">
              <w:rPr>
                <w:rFonts w:ascii="Arial" w:hAnsi="Arial" w:cs="Arial"/>
              </w:rPr>
              <w:t>Finding</w:t>
            </w:r>
          </w:p>
        </w:tc>
        <w:tc>
          <w:tcPr>
            <w:tcW w:w="0" w:type="auto"/>
            <w:tcMar>
              <w:top w:w="150" w:type="dxa"/>
              <w:left w:w="240" w:type="dxa"/>
              <w:bottom w:w="150" w:type="dxa"/>
              <w:right w:w="0" w:type="dxa"/>
            </w:tcMar>
            <w:vAlign w:val="center"/>
            <w:hideMark/>
          </w:tcPr>
          <w:p w14:paraId="77E31E89" w14:textId="77777777" w:rsidR="00BB3568" w:rsidRPr="00355CD8" w:rsidRDefault="00BB3568" w:rsidP="00355CD8">
            <w:pPr>
              <w:spacing w:line="360" w:lineRule="auto"/>
              <w:jc w:val="both"/>
              <w:rPr>
                <w:rFonts w:ascii="Arial" w:hAnsi="Arial" w:cs="Arial"/>
              </w:rPr>
            </w:pPr>
            <w:r w:rsidRPr="00355CD8">
              <w:rPr>
                <w:rFonts w:ascii="Arial" w:hAnsi="Arial" w:cs="Arial"/>
              </w:rPr>
              <w:t xml:space="preserve">With overseas recruitment effectively closed, </w:t>
            </w:r>
            <w:proofErr w:type="spellStart"/>
            <w:r w:rsidRPr="00355CD8">
              <w:rPr>
                <w:rFonts w:ascii="Arial" w:hAnsi="Arial" w:cs="Arial"/>
              </w:rPr>
              <w:t>organisations</w:t>
            </w:r>
            <w:proofErr w:type="spellEnd"/>
            <w:r w:rsidRPr="00355CD8">
              <w:rPr>
                <w:rFonts w:ascii="Arial" w:hAnsi="Arial" w:cs="Arial"/>
              </w:rPr>
              <w:t xml:space="preserve"> must retain their existing workforce. Workplace culture – including fairness, inclusion, and recognition – is a significant predictor of retention (RCN, 2025).</w:t>
            </w:r>
          </w:p>
        </w:tc>
      </w:tr>
      <w:tr w:rsidR="00BB3568" w:rsidRPr="00355CD8" w14:paraId="5B4C90A7" w14:textId="77777777" w:rsidTr="00BB3568">
        <w:trPr>
          <w:trHeight w:val="987"/>
        </w:trPr>
        <w:tc>
          <w:tcPr>
            <w:tcW w:w="0" w:type="auto"/>
            <w:tcMar>
              <w:top w:w="150" w:type="dxa"/>
              <w:left w:w="0" w:type="dxa"/>
              <w:bottom w:w="150" w:type="dxa"/>
              <w:right w:w="240" w:type="dxa"/>
            </w:tcMar>
            <w:vAlign w:val="center"/>
            <w:hideMark/>
          </w:tcPr>
          <w:p w14:paraId="1F4D6D84" w14:textId="77777777" w:rsidR="00BB3568" w:rsidRPr="00355CD8" w:rsidRDefault="00BB3568" w:rsidP="00355CD8">
            <w:pPr>
              <w:spacing w:line="360" w:lineRule="auto"/>
              <w:jc w:val="both"/>
              <w:rPr>
                <w:rFonts w:ascii="Arial" w:hAnsi="Arial" w:cs="Arial"/>
              </w:rPr>
            </w:pPr>
            <w:r w:rsidRPr="00355CD8">
              <w:rPr>
                <w:rFonts w:ascii="Arial" w:hAnsi="Arial" w:cs="Arial"/>
              </w:rPr>
              <w:t>Implication</w:t>
            </w:r>
          </w:p>
        </w:tc>
        <w:tc>
          <w:tcPr>
            <w:tcW w:w="0" w:type="auto"/>
            <w:tcMar>
              <w:top w:w="150" w:type="dxa"/>
              <w:left w:w="240" w:type="dxa"/>
              <w:bottom w:w="150" w:type="dxa"/>
              <w:right w:w="0" w:type="dxa"/>
            </w:tcMar>
            <w:vAlign w:val="center"/>
            <w:hideMark/>
          </w:tcPr>
          <w:p w14:paraId="786F2788" w14:textId="77777777" w:rsidR="00BB3568" w:rsidRPr="00355CD8" w:rsidRDefault="00BB3568" w:rsidP="00355CD8">
            <w:pPr>
              <w:spacing w:line="360" w:lineRule="auto"/>
              <w:jc w:val="both"/>
              <w:rPr>
                <w:rFonts w:ascii="Arial" w:hAnsi="Arial" w:cs="Arial"/>
              </w:rPr>
            </w:pPr>
            <w:r w:rsidRPr="00355CD8">
              <w:rPr>
                <w:rFonts w:ascii="Arial" w:hAnsi="Arial" w:cs="Arial"/>
              </w:rPr>
              <w:t xml:space="preserve">Retention strategies are essential for maintaining workforce stability. Supportive working environments and family unity support </w:t>
            </w:r>
            <w:proofErr w:type="gramStart"/>
            <w:r w:rsidRPr="00355CD8">
              <w:rPr>
                <w:rFonts w:ascii="Arial" w:hAnsi="Arial" w:cs="Arial"/>
              </w:rPr>
              <w:t>improve</w:t>
            </w:r>
            <w:proofErr w:type="gramEnd"/>
            <w:r w:rsidRPr="00355CD8">
              <w:rPr>
                <w:rFonts w:ascii="Arial" w:hAnsi="Arial" w:cs="Arial"/>
              </w:rPr>
              <w:t xml:space="preserve"> retention.</w:t>
            </w:r>
          </w:p>
        </w:tc>
      </w:tr>
      <w:tr w:rsidR="00BB3568" w:rsidRPr="00355CD8" w14:paraId="41792F7D" w14:textId="77777777" w:rsidTr="00BB3568">
        <w:trPr>
          <w:trHeight w:val="1821"/>
        </w:trPr>
        <w:tc>
          <w:tcPr>
            <w:tcW w:w="0" w:type="auto"/>
            <w:tcMar>
              <w:top w:w="150" w:type="dxa"/>
              <w:left w:w="0" w:type="dxa"/>
              <w:bottom w:w="150" w:type="dxa"/>
              <w:right w:w="240" w:type="dxa"/>
            </w:tcMar>
            <w:vAlign w:val="center"/>
            <w:hideMark/>
          </w:tcPr>
          <w:p w14:paraId="23564770" w14:textId="77777777" w:rsidR="00BB3568" w:rsidRPr="00355CD8" w:rsidRDefault="00BB3568" w:rsidP="00355CD8">
            <w:pPr>
              <w:spacing w:line="360" w:lineRule="auto"/>
              <w:jc w:val="both"/>
              <w:rPr>
                <w:rFonts w:ascii="Arial" w:hAnsi="Arial" w:cs="Arial"/>
              </w:rPr>
            </w:pPr>
            <w:r w:rsidRPr="00355CD8">
              <w:rPr>
                <w:rFonts w:ascii="Arial" w:hAnsi="Arial" w:cs="Arial"/>
              </w:rPr>
              <w:t>Action</w:t>
            </w:r>
          </w:p>
        </w:tc>
        <w:tc>
          <w:tcPr>
            <w:tcW w:w="0" w:type="auto"/>
            <w:tcMar>
              <w:top w:w="150" w:type="dxa"/>
              <w:left w:w="240" w:type="dxa"/>
              <w:bottom w:w="150" w:type="dxa"/>
              <w:right w:w="0" w:type="dxa"/>
            </w:tcMar>
            <w:vAlign w:val="center"/>
            <w:hideMark/>
          </w:tcPr>
          <w:p w14:paraId="3FFF5553" w14:textId="77777777" w:rsidR="00BB3568" w:rsidRPr="00355CD8" w:rsidRDefault="00BB3568" w:rsidP="00355CD8">
            <w:pPr>
              <w:spacing w:line="360" w:lineRule="auto"/>
              <w:jc w:val="both"/>
              <w:rPr>
                <w:rFonts w:ascii="Arial" w:hAnsi="Arial" w:cs="Arial"/>
              </w:rPr>
            </w:pPr>
            <w:r w:rsidRPr="00355CD8">
              <w:rPr>
                <w:rFonts w:ascii="Arial" w:hAnsi="Arial" w:cs="Arial"/>
              </w:rPr>
              <w:t xml:space="preserve">Invest in training, career progression, supportive working environments, and family unity support. Consider flexible working arrangements, access to family housing, and assistance with </w:t>
            </w:r>
            <w:proofErr w:type="spellStart"/>
            <w:r w:rsidRPr="00355CD8">
              <w:rPr>
                <w:rFonts w:ascii="Arial" w:hAnsi="Arial" w:cs="Arial"/>
              </w:rPr>
              <w:t>dependant</w:t>
            </w:r>
            <w:proofErr w:type="spellEnd"/>
            <w:r w:rsidRPr="00355CD8">
              <w:rPr>
                <w:rFonts w:ascii="Arial" w:hAnsi="Arial" w:cs="Arial"/>
              </w:rPr>
              <w:t xml:space="preserve"> applications (</w:t>
            </w:r>
            <w:proofErr w:type="spellStart"/>
            <w:r w:rsidRPr="00355CD8">
              <w:rPr>
                <w:rFonts w:ascii="Arial" w:hAnsi="Arial" w:cs="Arial"/>
              </w:rPr>
              <w:t>Sarre</w:t>
            </w:r>
            <w:proofErr w:type="spellEnd"/>
            <w:r w:rsidRPr="00355CD8">
              <w:rPr>
                <w:rFonts w:ascii="Arial" w:hAnsi="Arial" w:cs="Arial"/>
              </w:rPr>
              <w:t xml:space="preserve"> et al., 2025). Advocate for policy change to support workforce sustainability.</w:t>
            </w:r>
          </w:p>
        </w:tc>
      </w:tr>
    </w:tbl>
    <w:p w14:paraId="611F9C2F" w14:textId="38C05257" w:rsidR="00BB3568" w:rsidRPr="00355CD8" w:rsidRDefault="00BB3568" w:rsidP="00F43A3C">
      <w:pPr>
        <w:pStyle w:val="Heading3"/>
      </w:pPr>
      <w:bookmarkStart w:id="181" w:name="_Toc238200190"/>
      <w:r w:rsidRPr="00355CD8">
        <w:t>5.4.2 Theoretical Recommendation</w:t>
      </w:r>
      <w:bookmarkEnd w:id="181"/>
    </w:p>
    <w:p w14:paraId="14B7A5BF" w14:textId="77777777" w:rsidR="00BB3568" w:rsidRPr="00355CD8" w:rsidRDefault="00BB3568" w:rsidP="00355CD8">
      <w:pPr>
        <w:spacing w:line="360" w:lineRule="auto"/>
        <w:jc w:val="both"/>
        <w:rPr>
          <w:rFonts w:ascii="Arial" w:hAnsi="Arial" w:cs="Arial"/>
        </w:rPr>
      </w:pPr>
      <w:r w:rsidRPr="00355CD8">
        <w:rPr>
          <w:rFonts w:ascii="Arial" w:hAnsi="Arial" w:cs="Arial"/>
        </w:rPr>
        <w:t>Recommendation 5: Further Empirical Testing of the Integrated Framework</w:t>
      </w:r>
    </w:p>
    <w:tbl>
      <w:tblPr>
        <w:tblW w:w="10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88"/>
        <w:gridCol w:w="9345"/>
      </w:tblGrid>
      <w:tr w:rsidR="00BB3568" w:rsidRPr="00355CD8" w14:paraId="24B6F88B" w14:textId="77777777" w:rsidTr="00BB3568">
        <w:trPr>
          <w:trHeight w:val="572"/>
          <w:tblHeader/>
        </w:trPr>
        <w:tc>
          <w:tcPr>
            <w:tcW w:w="0" w:type="auto"/>
            <w:tcMar>
              <w:top w:w="150" w:type="dxa"/>
              <w:left w:w="0" w:type="dxa"/>
              <w:bottom w:w="150" w:type="dxa"/>
              <w:right w:w="240" w:type="dxa"/>
            </w:tcMar>
            <w:vAlign w:val="center"/>
            <w:hideMark/>
          </w:tcPr>
          <w:p w14:paraId="645E4EBA" w14:textId="77777777" w:rsidR="00BB3568" w:rsidRPr="00355CD8" w:rsidRDefault="00BB3568" w:rsidP="00355CD8">
            <w:pPr>
              <w:spacing w:line="360" w:lineRule="auto"/>
              <w:jc w:val="both"/>
              <w:rPr>
                <w:rFonts w:ascii="Arial" w:hAnsi="Arial" w:cs="Arial"/>
              </w:rPr>
            </w:pPr>
            <w:r w:rsidRPr="00355CD8">
              <w:rPr>
                <w:rFonts w:ascii="Arial" w:hAnsi="Arial" w:cs="Arial"/>
              </w:rPr>
              <w:lastRenderedPageBreak/>
              <w:t>Element</w:t>
            </w:r>
          </w:p>
        </w:tc>
        <w:tc>
          <w:tcPr>
            <w:tcW w:w="0" w:type="auto"/>
            <w:tcMar>
              <w:top w:w="150" w:type="dxa"/>
              <w:left w:w="240" w:type="dxa"/>
              <w:bottom w:w="150" w:type="dxa"/>
              <w:right w:w="240" w:type="dxa"/>
            </w:tcMar>
            <w:vAlign w:val="center"/>
            <w:hideMark/>
          </w:tcPr>
          <w:p w14:paraId="10FF1435" w14:textId="77777777" w:rsidR="00BB3568" w:rsidRPr="00355CD8" w:rsidRDefault="00BB3568" w:rsidP="00355CD8">
            <w:pPr>
              <w:spacing w:line="360" w:lineRule="auto"/>
              <w:jc w:val="both"/>
              <w:rPr>
                <w:rFonts w:ascii="Arial" w:hAnsi="Arial" w:cs="Arial"/>
              </w:rPr>
            </w:pPr>
            <w:r w:rsidRPr="00355CD8">
              <w:rPr>
                <w:rFonts w:ascii="Arial" w:hAnsi="Arial" w:cs="Arial"/>
              </w:rPr>
              <w:t>Content</w:t>
            </w:r>
          </w:p>
        </w:tc>
      </w:tr>
      <w:tr w:rsidR="00BB3568" w:rsidRPr="00355CD8" w14:paraId="4198FA09" w14:textId="77777777" w:rsidTr="00BB3568">
        <w:trPr>
          <w:trHeight w:val="1410"/>
        </w:trPr>
        <w:tc>
          <w:tcPr>
            <w:tcW w:w="0" w:type="auto"/>
            <w:tcMar>
              <w:top w:w="150" w:type="dxa"/>
              <w:left w:w="0" w:type="dxa"/>
              <w:bottom w:w="150" w:type="dxa"/>
              <w:right w:w="240" w:type="dxa"/>
            </w:tcMar>
            <w:vAlign w:val="center"/>
            <w:hideMark/>
          </w:tcPr>
          <w:p w14:paraId="1A69A452" w14:textId="77777777" w:rsidR="00BB3568" w:rsidRPr="00355CD8" w:rsidRDefault="00BB3568" w:rsidP="00355CD8">
            <w:pPr>
              <w:spacing w:line="360" w:lineRule="auto"/>
              <w:jc w:val="both"/>
              <w:rPr>
                <w:rFonts w:ascii="Arial" w:hAnsi="Arial" w:cs="Arial"/>
              </w:rPr>
            </w:pPr>
            <w:r w:rsidRPr="00355CD8">
              <w:rPr>
                <w:rFonts w:ascii="Arial" w:hAnsi="Arial" w:cs="Arial"/>
              </w:rPr>
              <w:t>Finding</w:t>
            </w:r>
          </w:p>
        </w:tc>
        <w:tc>
          <w:tcPr>
            <w:tcW w:w="0" w:type="auto"/>
            <w:tcMar>
              <w:top w:w="150" w:type="dxa"/>
              <w:left w:w="240" w:type="dxa"/>
              <w:bottom w:w="150" w:type="dxa"/>
              <w:right w:w="0" w:type="dxa"/>
            </w:tcMar>
            <w:vAlign w:val="center"/>
            <w:hideMark/>
          </w:tcPr>
          <w:p w14:paraId="61D19DA0" w14:textId="77777777" w:rsidR="00BB3568" w:rsidRPr="00355CD8" w:rsidRDefault="00BB3568" w:rsidP="00355CD8">
            <w:pPr>
              <w:spacing w:line="360" w:lineRule="auto"/>
              <w:jc w:val="both"/>
              <w:rPr>
                <w:rFonts w:ascii="Arial" w:hAnsi="Arial" w:cs="Arial"/>
              </w:rPr>
            </w:pPr>
            <w:r w:rsidRPr="00355CD8">
              <w:rPr>
                <w:rFonts w:ascii="Arial" w:hAnsi="Arial" w:cs="Arial"/>
              </w:rPr>
              <w:t>This study has empirically tested the integrated application of Human Capital Theory, COR Theory, and the TBL framework – an approach not previously applied to this workforce segment (Anderson et al., 2021).</w:t>
            </w:r>
          </w:p>
        </w:tc>
      </w:tr>
      <w:tr w:rsidR="00BB3568" w:rsidRPr="00355CD8" w14:paraId="3E091319" w14:textId="77777777" w:rsidTr="00BB3568">
        <w:trPr>
          <w:trHeight w:val="992"/>
        </w:trPr>
        <w:tc>
          <w:tcPr>
            <w:tcW w:w="0" w:type="auto"/>
            <w:tcMar>
              <w:top w:w="150" w:type="dxa"/>
              <w:left w:w="0" w:type="dxa"/>
              <w:bottom w:w="150" w:type="dxa"/>
              <w:right w:w="240" w:type="dxa"/>
            </w:tcMar>
            <w:vAlign w:val="center"/>
            <w:hideMark/>
          </w:tcPr>
          <w:p w14:paraId="24BD0F3A" w14:textId="77777777" w:rsidR="00BB3568" w:rsidRPr="00355CD8" w:rsidRDefault="00BB3568" w:rsidP="00355CD8">
            <w:pPr>
              <w:spacing w:line="360" w:lineRule="auto"/>
              <w:jc w:val="both"/>
              <w:rPr>
                <w:rFonts w:ascii="Arial" w:hAnsi="Arial" w:cs="Arial"/>
              </w:rPr>
            </w:pPr>
            <w:r w:rsidRPr="00355CD8">
              <w:rPr>
                <w:rFonts w:ascii="Arial" w:hAnsi="Arial" w:cs="Arial"/>
              </w:rPr>
              <w:t>Implication</w:t>
            </w:r>
          </w:p>
        </w:tc>
        <w:tc>
          <w:tcPr>
            <w:tcW w:w="0" w:type="auto"/>
            <w:tcMar>
              <w:top w:w="150" w:type="dxa"/>
              <w:left w:w="240" w:type="dxa"/>
              <w:bottom w:w="150" w:type="dxa"/>
              <w:right w:w="0" w:type="dxa"/>
            </w:tcMar>
            <w:vAlign w:val="center"/>
            <w:hideMark/>
          </w:tcPr>
          <w:p w14:paraId="03FDE364" w14:textId="77777777" w:rsidR="00BB3568" w:rsidRPr="00355CD8" w:rsidRDefault="00BB3568" w:rsidP="00355CD8">
            <w:pPr>
              <w:spacing w:line="360" w:lineRule="auto"/>
              <w:jc w:val="both"/>
              <w:rPr>
                <w:rFonts w:ascii="Arial" w:hAnsi="Arial" w:cs="Arial"/>
              </w:rPr>
            </w:pPr>
            <w:r w:rsidRPr="00355CD8">
              <w:rPr>
                <w:rFonts w:ascii="Arial" w:hAnsi="Arial" w:cs="Arial"/>
              </w:rPr>
              <w:t>While these theories have been used individually, their integration into a unified quantitative analytical chain is novel and requires further testing.</w:t>
            </w:r>
          </w:p>
        </w:tc>
      </w:tr>
      <w:tr w:rsidR="00BB3568" w:rsidRPr="00355CD8" w14:paraId="730F8871" w14:textId="77777777" w:rsidTr="00BB3568">
        <w:trPr>
          <w:trHeight w:val="992"/>
        </w:trPr>
        <w:tc>
          <w:tcPr>
            <w:tcW w:w="0" w:type="auto"/>
            <w:tcMar>
              <w:top w:w="150" w:type="dxa"/>
              <w:left w:w="0" w:type="dxa"/>
              <w:bottom w:w="150" w:type="dxa"/>
              <w:right w:w="240" w:type="dxa"/>
            </w:tcMar>
            <w:vAlign w:val="center"/>
            <w:hideMark/>
          </w:tcPr>
          <w:p w14:paraId="7D2E8084" w14:textId="77777777" w:rsidR="00BB3568" w:rsidRPr="00355CD8" w:rsidRDefault="00BB3568" w:rsidP="00355CD8">
            <w:pPr>
              <w:spacing w:line="360" w:lineRule="auto"/>
              <w:jc w:val="both"/>
              <w:rPr>
                <w:rFonts w:ascii="Arial" w:hAnsi="Arial" w:cs="Arial"/>
              </w:rPr>
            </w:pPr>
            <w:r w:rsidRPr="00355CD8">
              <w:rPr>
                <w:rFonts w:ascii="Arial" w:hAnsi="Arial" w:cs="Arial"/>
              </w:rPr>
              <w:t>Action</w:t>
            </w:r>
          </w:p>
        </w:tc>
        <w:tc>
          <w:tcPr>
            <w:tcW w:w="0" w:type="auto"/>
            <w:tcMar>
              <w:top w:w="150" w:type="dxa"/>
              <w:left w:w="240" w:type="dxa"/>
              <w:bottom w:w="150" w:type="dxa"/>
              <w:right w:w="0" w:type="dxa"/>
            </w:tcMar>
            <w:vAlign w:val="center"/>
            <w:hideMark/>
          </w:tcPr>
          <w:p w14:paraId="7C05515E" w14:textId="77777777" w:rsidR="00BB3568" w:rsidRPr="00355CD8" w:rsidRDefault="00BB3568" w:rsidP="00355CD8">
            <w:pPr>
              <w:spacing w:line="360" w:lineRule="auto"/>
              <w:jc w:val="both"/>
              <w:rPr>
                <w:rFonts w:ascii="Arial" w:hAnsi="Arial" w:cs="Arial"/>
              </w:rPr>
            </w:pPr>
            <w:r w:rsidRPr="00355CD8">
              <w:rPr>
                <w:rFonts w:ascii="Arial" w:hAnsi="Arial" w:cs="Arial"/>
              </w:rPr>
              <w:t>Future research should test this framework in other contexts, such as other healthcare professions or other countries.</w:t>
            </w:r>
          </w:p>
        </w:tc>
      </w:tr>
    </w:tbl>
    <w:p w14:paraId="2DD9210D" w14:textId="77777777" w:rsidR="00BB3568" w:rsidRPr="00355CD8" w:rsidRDefault="00BB3568" w:rsidP="00F43A3C">
      <w:pPr>
        <w:pStyle w:val="Heading3"/>
      </w:pPr>
      <w:bookmarkStart w:id="182" w:name="_Toc238200191"/>
      <w:r w:rsidRPr="00355CD8">
        <w:t>5.5 Limitations of Research</w:t>
      </w:r>
      <w:bookmarkEnd w:id="182"/>
    </w:p>
    <w:p w14:paraId="7DD5B3E7" w14:textId="77777777" w:rsidR="00BB3568" w:rsidRPr="00355CD8" w:rsidRDefault="00BB3568" w:rsidP="00355CD8">
      <w:pPr>
        <w:spacing w:line="360" w:lineRule="auto"/>
        <w:jc w:val="both"/>
        <w:rPr>
          <w:rFonts w:ascii="Arial" w:hAnsi="Arial" w:cs="Arial"/>
        </w:rPr>
      </w:pPr>
      <w:r w:rsidRPr="00355CD8">
        <w:rPr>
          <w:rFonts w:ascii="Arial" w:hAnsi="Arial" w:cs="Arial"/>
        </w:rPr>
        <w:t>This study acknowledges several limitations that provide opportunities for future researchers.</w:t>
      </w:r>
    </w:p>
    <w:p w14:paraId="0A63B05D" w14:textId="77777777" w:rsidR="00BB3568" w:rsidRPr="00355CD8" w:rsidRDefault="00BB3568" w:rsidP="00355CD8">
      <w:pPr>
        <w:spacing w:line="360" w:lineRule="auto"/>
        <w:jc w:val="both"/>
        <w:rPr>
          <w:rFonts w:ascii="Arial" w:hAnsi="Arial" w:cs="Arial"/>
        </w:rPr>
      </w:pPr>
      <w:r w:rsidRPr="00355CD8">
        <w:rPr>
          <w:rFonts w:ascii="Arial" w:hAnsi="Arial" w:cs="Arial"/>
        </w:rPr>
        <w:t>Methodological Limitation: Due to time constraints, this study relied exclusively on secondary quantitative data. Future researchers could conduct qualitative interviews with migrant HCSWs to capture lived experiences, motivations, and intentions, providing rich contextual data that complements these quantitative findings.</w:t>
      </w:r>
    </w:p>
    <w:p w14:paraId="2D71949C" w14:textId="77777777" w:rsidR="00BB3568" w:rsidRPr="00355CD8" w:rsidRDefault="00BB3568" w:rsidP="00355CD8">
      <w:pPr>
        <w:spacing w:line="360" w:lineRule="auto"/>
        <w:jc w:val="both"/>
        <w:rPr>
          <w:rFonts w:ascii="Arial" w:hAnsi="Arial" w:cs="Arial"/>
        </w:rPr>
      </w:pPr>
      <w:r w:rsidRPr="00355CD8">
        <w:rPr>
          <w:rFonts w:ascii="Arial" w:hAnsi="Arial" w:cs="Arial"/>
        </w:rPr>
        <w:t xml:space="preserve">Data Limitations: The study </w:t>
      </w:r>
      <w:proofErr w:type="spellStart"/>
      <w:r w:rsidRPr="00355CD8">
        <w:rPr>
          <w:rFonts w:ascii="Arial" w:hAnsi="Arial" w:cs="Arial"/>
        </w:rPr>
        <w:t>analysed</w:t>
      </w:r>
      <w:proofErr w:type="spellEnd"/>
      <w:r w:rsidRPr="00355CD8">
        <w:rPr>
          <w:rFonts w:ascii="Arial" w:hAnsi="Arial" w:cs="Arial"/>
        </w:rPr>
        <w:t xml:space="preserve"> 7 years of annual data (2020–2026), a relatively small sample size for regression analysis. Future researchers could extend the </w:t>
      </w:r>
      <w:proofErr w:type="gramStart"/>
      <w:r w:rsidRPr="00355CD8">
        <w:rPr>
          <w:rFonts w:ascii="Arial" w:hAnsi="Arial" w:cs="Arial"/>
        </w:rPr>
        <w:t>time period</w:t>
      </w:r>
      <w:proofErr w:type="gramEnd"/>
      <w:r w:rsidRPr="00355CD8">
        <w:rPr>
          <w:rFonts w:ascii="Arial" w:hAnsi="Arial" w:cs="Arial"/>
        </w:rPr>
        <w:t xml:space="preserve"> as more data becomes available, enabling more robust statistical analysis. Additionally, the study focused primarily on England due to data availability. Future research could compare workforce sustainability across England, Scotland, Wales and Northern Ireland.</w:t>
      </w:r>
    </w:p>
    <w:p w14:paraId="4CAA1583" w14:textId="575F1C5E" w:rsidR="00BB3568" w:rsidRPr="00355CD8" w:rsidRDefault="00BB3568" w:rsidP="00355CD8">
      <w:pPr>
        <w:spacing w:line="360" w:lineRule="auto"/>
        <w:jc w:val="both"/>
        <w:rPr>
          <w:rFonts w:ascii="Arial" w:hAnsi="Arial" w:cs="Arial"/>
        </w:rPr>
      </w:pPr>
      <w:r w:rsidRPr="00355CD8">
        <w:rPr>
          <w:rFonts w:ascii="Arial" w:hAnsi="Arial" w:cs="Arial"/>
        </w:rPr>
        <w:t>Conceptual Limitation: The environmental pillar of the TBL framework was excluded. Future researchers could incorporate environmental sustainability indicators to provide a more comprehensive TBL analysis.</w:t>
      </w:r>
    </w:p>
    <w:p w14:paraId="340817A2" w14:textId="77777777" w:rsidR="00BB3568" w:rsidRPr="00355CD8" w:rsidRDefault="00BB3568" w:rsidP="00F43A3C">
      <w:pPr>
        <w:pStyle w:val="Heading2"/>
      </w:pPr>
      <w:bookmarkStart w:id="183" w:name="_Toc238200192"/>
      <w:r w:rsidRPr="00355CD8">
        <w:lastRenderedPageBreak/>
        <w:t>5.6 Recommendations for Future Work</w:t>
      </w:r>
      <w:bookmarkEnd w:id="183"/>
    </w:p>
    <w:p w14:paraId="77A79C3C" w14:textId="71F4CCBB" w:rsidR="00BB3568" w:rsidRPr="00355CD8" w:rsidRDefault="00BB3568" w:rsidP="00355CD8">
      <w:pPr>
        <w:spacing w:line="360" w:lineRule="auto"/>
        <w:jc w:val="both"/>
        <w:rPr>
          <w:rFonts w:ascii="Arial" w:hAnsi="Arial" w:cs="Arial"/>
        </w:rPr>
      </w:pPr>
      <w:r w:rsidRPr="00355CD8">
        <w:rPr>
          <w:rFonts w:ascii="Arial" w:hAnsi="Arial" w:cs="Arial"/>
        </w:rPr>
        <w:t>Building on the limitations identified above, future research should: (1) conduct qualitative interviews with migrant healthcare support workers to understand their experiences, motivations, and intentions; (2) continue longitudinal tracking of immigration policy impacts on workforce sustainability; (3) compare workforce sustainability across England, Scotland, Wales and Northern Ireland; (4) examine the impact of immigration policy changes on patient care outcomes; (5) evaluate the effectiveness of specific HR interventions under immigration restrictions; and (6) develop a comprehensive Workforce Sustainability Index combining visa grant rates, turnover rates, vacancy rates, and training investment to provide a holistic assessment of workforce sustainability risks.</w:t>
      </w:r>
    </w:p>
    <w:p w14:paraId="7421ACC5" w14:textId="77777777" w:rsidR="00BB3568" w:rsidRPr="00355CD8" w:rsidRDefault="00BB3568" w:rsidP="00F43A3C">
      <w:pPr>
        <w:pStyle w:val="Heading2"/>
      </w:pPr>
      <w:bookmarkStart w:id="184" w:name="_Toc238200193"/>
      <w:r w:rsidRPr="00355CD8">
        <w:t>5.7 Final Reflection</w:t>
      </w:r>
      <w:bookmarkEnd w:id="184"/>
    </w:p>
    <w:p w14:paraId="4AEDEEE3" w14:textId="77777777" w:rsidR="00BB3568" w:rsidRPr="00355CD8" w:rsidRDefault="00BB3568" w:rsidP="00355CD8">
      <w:pPr>
        <w:spacing w:line="360" w:lineRule="auto"/>
        <w:jc w:val="both"/>
        <w:rPr>
          <w:rFonts w:ascii="Arial" w:hAnsi="Arial" w:cs="Arial"/>
        </w:rPr>
      </w:pPr>
      <w:r w:rsidRPr="00355CD8">
        <w:rPr>
          <w:rFonts w:ascii="Arial" w:hAnsi="Arial" w:cs="Arial"/>
        </w:rPr>
        <w:t xml:space="preserve">This study demonstrates that the 2020–2026 UK immigration policy changes have had a catastrophic impact on migrant healthcare support worker workforce sustainability. The near-total collapse of the care worker visa route, combined with the accelerating departure of internationally educated nurses, represents a fundamental threat to the UK healthcare system's ability to deliver frontline care. The integrated theoretical framework – combining Human Capital Theory, Conservation of Resources Theory, and the Triple Bottom Line framework – provides a comprehensive explanation of how policy changes create resource threats, lead to human capital loss, and ultimately result in a decline in both social and economic sustainability. The findings underscore the urgent need for a more balanced approach that supports both migration control and workforce sustainability, providing a strong evidence base for policymakers and healthcare </w:t>
      </w:r>
      <w:proofErr w:type="spellStart"/>
      <w:r w:rsidRPr="00355CD8">
        <w:rPr>
          <w:rFonts w:ascii="Arial" w:hAnsi="Arial" w:cs="Arial"/>
        </w:rPr>
        <w:t>organisations</w:t>
      </w:r>
      <w:proofErr w:type="spellEnd"/>
      <w:r w:rsidRPr="00355CD8">
        <w:rPr>
          <w:rFonts w:ascii="Arial" w:hAnsi="Arial" w:cs="Arial"/>
        </w:rPr>
        <w:t xml:space="preserve"> to develop more effective workforce strategies.</w:t>
      </w:r>
    </w:p>
    <w:p w14:paraId="2E0C5AD0" w14:textId="2B04B06F" w:rsidR="00596DD3" w:rsidRPr="00355CD8" w:rsidRDefault="00A506B5" w:rsidP="00A506B5">
      <w:pPr>
        <w:rPr>
          <w:rFonts w:ascii="Arial" w:hAnsi="Arial" w:cs="Arial"/>
        </w:rPr>
      </w:pPr>
      <w:r>
        <w:rPr>
          <w:rFonts w:ascii="Arial" w:hAnsi="Arial" w:cs="Arial"/>
        </w:rPr>
        <w:br w:type="page"/>
      </w:r>
    </w:p>
    <w:p w14:paraId="4573EDEA" w14:textId="2007D88F" w:rsidR="00FE40EF" w:rsidRPr="00355CD8" w:rsidRDefault="00C82430" w:rsidP="00F43A3C">
      <w:pPr>
        <w:pStyle w:val="Heading1"/>
      </w:pPr>
      <w:bookmarkStart w:id="185" w:name="_Toc238200194"/>
      <w:r w:rsidRPr="00355CD8">
        <w:lastRenderedPageBreak/>
        <w:t>6. References</w:t>
      </w:r>
      <w:bookmarkEnd w:id="185"/>
    </w:p>
    <w:p w14:paraId="304A1095" w14:textId="77777777" w:rsidR="00C82430" w:rsidRPr="00355CD8" w:rsidRDefault="00C82430" w:rsidP="00355CD8">
      <w:pPr>
        <w:spacing w:line="360" w:lineRule="auto"/>
        <w:jc w:val="both"/>
        <w:rPr>
          <w:rFonts w:ascii="Arial" w:hAnsi="Arial" w:cs="Arial"/>
        </w:rPr>
      </w:pPr>
    </w:p>
    <w:p w14:paraId="1D8FFCF8" w14:textId="77777777" w:rsidR="00D60B12" w:rsidRPr="000B452C" w:rsidRDefault="00D60B12" w:rsidP="00355CD8">
      <w:pPr>
        <w:spacing w:line="360" w:lineRule="auto"/>
        <w:jc w:val="both"/>
        <w:rPr>
          <w:rFonts w:ascii="Arial" w:hAnsi="Arial" w:cs="Arial"/>
        </w:rPr>
      </w:pPr>
      <w:proofErr w:type="spellStart"/>
      <w:r w:rsidRPr="000B452C">
        <w:rPr>
          <w:rFonts w:ascii="Arial" w:hAnsi="Arial" w:cs="Arial"/>
        </w:rPr>
        <w:t>Alhaddi</w:t>
      </w:r>
      <w:proofErr w:type="spellEnd"/>
      <w:r w:rsidRPr="000B452C">
        <w:rPr>
          <w:rFonts w:ascii="Arial" w:hAnsi="Arial" w:cs="Arial"/>
        </w:rPr>
        <w:t>, H. (2015) 'Triple bottom line and sustainability: A literature review', </w:t>
      </w:r>
      <w:r w:rsidRPr="000B452C">
        <w:rPr>
          <w:rFonts w:ascii="Arial" w:hAnsi="Arial" w:cs="Arial"/>
          <w:i/>
          <w:iCs/>
        </w:rPr>
        <w:t>Business and Management Studies</w:t>
      </w:r>
      <w:r w:rsidRPr="000B452C">
        <w:rPr>
          <w:rFonts w:ascii="Arial" w:hAnsi="Arial" w:cs="Arial"/>
        </w:rPr>
        <w:t>, 1(2), pp. 6–10.</w:t>
      </w:r>
    </w:p>
    <w:p w14:paraId="37E86526" w14:textId="19C25431" w:rsidR="00D60B12" w:rsidRPr="000B452C" w:rsidRDefault="00D60B12" w:rsidP="00355CD8">
      <w:pPr>
        <w:spacing w:line="360" w:lineRule="auto"/>
        <w:jc w:val="both"/>
        <w:rPr>
          <w:rFonts w:ascii="Arial" w:hAnsi="Arial" w:cs="Arial"/>
        </w:rPr>
      </w:pPr>
      <w:proofErr w:type="spellStart"/>
      <w:r w:rsidRPr="000B452C">
        <w:rPr>
          <w:rFonts w:ascii="Arial" w:hAnsi="Arial" w:cs="Arial"/>
        </w:rPr>
        <w:t>Aluttis</w:t>
      </w:r>
      <w:proofErr w:type="spellEnd"/>
      <w:r w:rsidRPr="000B452C">
        <w:rPr>
          <w:rFonts w:ascii="Arial" w:hAnsi="Arial" w:cs="Arial"/>
        </w:rPr>
        <w:t>, C., Bishaw, T. and Frank, M.W. (2014) 'The workforce for health in a globalized context – global shortages and international migration', </w:t>
      </w:r>
      <w:r w:rsidRPr="000B452C">
        <w:rPr>
          <w:rFonts w:ascii="Arial" w:hAnsi="Arial" w:cs="Arial"/>
          <w:i/>
          <w:iCs/>
        </w:rPr>
        <w:t>Global Health Action</w:t>
      </w:r>
      <w:r w:rsidRPr="000B452C">
        <w:rPr>
          <w:rFonts w:ascii="Arial" w:hAnsi="Arial" w:cs="Arial"/>
        </w:rPr>
        <w:t>, 7(1), 23611.</w:t>
      </w:r>
    </w:p>
    <w:p w14:paraId="697D3F57" w14:textId="57B01EE7" w:rsidR="00D60B12" w:rsidRPr="000B452C" w:rsidRDefault="00D60B12" w:rsidP="00355CD8">
      <w:pPr>
        <w:spacing w:line="360" w:lineRule="auto"/>
        <w:jc w:val="both"/>
        <w:rPr>
          <w:rFonts w:ascii="Arial" w:hAnsi="Arial" w:cs="Arial"/>
        </w:rPr>
      </w:pPr>
      <w:r w:rsidRPr="000B452C">
        <w:rPr>
          <w:rFonts w:ascii="Arial" w:hAnsi="Arial" w:cs="Arial"/>
        </w:rPr>
        <w:t xml:space="preserve">Anderson, M., O'Neill, C., Clark, J.M., Street, A., Woods, M., Johnston-Webber, C., Charlesworth, A., Whyte, M., Foster, M., Majeed, A. and Pitchforth, E. (2021) </w:t>
      </w:r>
      <w:r w:rsidRPr="000B452C">
        <w:rPr>
          <w:rFonts w:ascii="Arial" w:hAnsi="Arial" w:cs="Arial"/>
          <w:i/>
          <w:iCs/>
        </w:rPr>
        <w:t>'</w:t>
      </w:r>
      <w:r w:rsidRPr="000B452C">
        <w:rPr>
          <w:rFonts w:ascii="Arial" w:hAnsi="Arial" w:cs="Arial"/>
        </w:rPr>
        <w:t>Securing a sustainable and fit-for-purpose UK health and care workforce', </w:t>
      </w:r>
      <w:r w:rsidRPr="000B452C">
        <w:rPr>
          <w:rFonts w:ascii="Arial" w:hAnsi="Arial" w:cs="Arial"/>
          <w:i/>
          <w:iCs/>
        </w:rPr>
        <w:t>The Lancet</w:t>
      </w:r>
      <w:r w:rsidRPr="000B452C">
        <w:rPr>
          <w:rFonts w:ascii="Arial" w:hAnsi="Arial" w:cs="Arial"/>
        </w:rPr>
        <w:t>, 397(10288), pp. 1992–2011.</w:t>
      </w:r>
    </w:p>
    <w:p w14:paraId="04F3D2F6" w14:textId="0E8BA595" w:rsidR="00D60B12" w:rsidRPr="000B452C" w:rsidRDefault="00D60B12" w:rsidP="00355CD8">
      <w:pPr>
        <w:spacing w:line="360" w:lineRule="auto"/>
        <w:jc w:val="both"/>
        <w:rPr>
          <w:rFonts w:ascii="Arial" w:hAnsi="Arial" w:cs="Arial"/>
        </w:rPr>
      </w:pPr>
      <w:r w:rsidRPr="000B452C">
        <w:rPr>
          <w:rFonts w:ascii="Arial" w:hAnsi="Arial" w:cs="Arial"/>
        </w:rPr>
        <w:t>BBC (2026) 'UK net migration drops to 171,000 in 2025, lowest since 2012 excluding pandemic', </w:t>
      </w:r>
      <w:r w:rsidRPr="000B452C">
        <w:rPr>
          <w:rFonts w:ascii="Arial" w:hAnsi="Arial" w:cs="Arial"/>
          <w:i/>
          <w:iCs/>
        </w:rPr>
        <w:t>BBC News</w:t>
      </w:r>
      <w:r w:rsidRPr="000B452C">
        <w:rPr>
          <w:rFonts w:ascii="Arial" w:hAnsi="Arial" w:cs="Arial"/>
        </w:rPr>
        <w:t>, 21 May. Available at: </w:t>
      </w:r>
      <w:hyperlink r:id="rId17" w:history="1">
        <w:r w:rsidR="00F70DE5" w:rsidRPr="000B452C">
          <w:rPr>
            <w:rStyle w:val="Hyperlink"/>
            <w:rFonts w:ascii="Arial" w:hAnsi="Arial" w:cs="Arial"/>
          </w:rPr>
          <w:t>https://www.bbc.co.uk/news/live/cvgzjpd1jjgt</w:t>
        </w:r>
      </w:hyperlink>
      <w:r w:rsidR="00F70DE5" w:rsidRPr="000B452C">
        <w:rPr>
          <w:rFonts w:ascii="Arial" w:hAnsi="Arial" w:cs="Arial"/>
        </w:rPr>
        <w:t xml:space="preserve"> </w:t>
      </w:r>
      <w:r w:rsidRPr="000B452C">
        <w:rPr>
          <w:rFonts w:ascii="Arial" w:hAnsi="Arial" w:cs="Arial"/>
        </w:rPr>
        <w:t> (Accessed: 29 July 2026).</w:t>
      </w:r>
    </w:p>
    <w:p w14:paraId="5CAF5403" w14:textId="41102FBE" w:rsidR="00834DD2" w:rsidRPr="000B452C" w:rsidRDefault="00834DD2" w:rsidP="00834DD2">
      <w:pPr>
        <w:spacing w:line="360" w:lineRule="auto"/>
        <w:jc w:val="both"/>
        <w:rPr>
          <w:rFonts w:ascii="Arial" w:hAnsi="Arial" w:cs="Arial"/>
        </w:rPr>
      </w:pPr>
      <w:r w:rsidRPr="000B452C">
        <w:rPr>
          <w:rFonts w:ascii="Arial" w:hAnsi="Arial" w:cs="Arial"/>
        </w:rPr>
        <w:t xml:space="preserve">Becker, G.S. and Rees, A. (1965). Review of human capital: A theoretical and empirical analysis with special reference to education. </w:t>
      </w:r>
      <w:r w:rsidRPr="000B452C">
        <w:rPr>
          <w:rFonts w:ascii="Arial" w:hAnsi="Arial" w:cs="Arial"/>
          <w:i/>
          <w:iCs/>
        </w:rPr>
        <w:t>The American Economic Review</w:t>
      </w:r>
      <w:r w:rsidRPr="000B452C">
        <w:rPr>
          <w:rFonts w:ascii="Arial" w:hAnsi="Arial" w:cs="Arial"/>
        </w:rPr>
        <w:t xml:space="preserve">, [online] 55(4), pp.958–960. Available at: https://www.jstor.org/stable/1823991 [Accessed </w:t>
      </w:r>
      <w:r w:rsidRPr="000B452C">
        <w:rPr>
          <w:rFonts w:ascii="Arial" w:hAnsi="Arial" w:cs="Arial"/>
        </w:rPr>
        <w:t xml:space="preserve">01 </w:t>
      </w:r>
      <w:r w:rsidRPr="000B452C">
        <w:rPr>
          <w:rFonts w:ascii="Arial" w:hAnsi="Arial" w:cs="Arial"/>
        </w:rPr>
        <w:t>Aug. 2026].</w:t>
      </w:r>
    </w:p>
    <w:p w14:paraId="70C8D80C" w14:textId="641531AE" w:rsidR="003D48C6" w:rsidRPr="000B452C" w:rsidRDefault="003D48C6" w:rsidP="003D48C6">
      <w:pPr>
        <w:spacing w:line="360" w:lineRule="auto"/>
        <w:jc w:val="both"/>
        <w:rPr>
          <w:rFonts w:ascii="Arial" w:hAnsi="Arial" w:cs="Arial"/>
        </w:rPr>
      </w:pPr>
      <w:r w:rsidRPr="000B452C">
        <w:rPr>
          <w:rFonts w:ascii="Arial" w:hAnsi="Arial" w:cs="Arial"/>
        </w:rPr>
        <w:t xml:space="preserve">Buchan, J., Campbell, J., Dhillon, I. and Charlesworth, A. (2019). </w:t>
      </w:r>
      <w:proofErr w:type="spellStart"/>
      <w:r w:rsidRPr="000B452C">
        <w:rPr>
          <w:rFonts w:ascii="Arial" w:hAnsi="Arial" w:cs="Arial"/>
          <w:i/>
          <w:iCs/>
        </w:rPr>
        <w:t>Labour</w:t>
      </w:r>
      <w:proofErr w:type="spellEnd"/>
      <w:r w:rsidRPr="000B452C">
        <w:rPr>
          <w:rFonts w:ascii="Arial" w:hAnsi="Arial" w:cs="Arial"/>
          <w:i/>
          <w:iCs/>
        </w:rPr>
        <w:t xml:space="preserve"> market change and the international mobility of health workers</w:t>
      </w:r>
      <w:r w:rsidRPr="000B452C">
        <w:rPr>
          <w:rFonts w:ascii="Arial" w:hAnsi="Arial" w:cs="Arial"/>
        </w:rPr>
        <w:t xml:space="preserve">. [online] Available at: https://www.health.org.uk/sites/default/files/upload/publications/2019/Labour%20market%20change%20and%20the%20international%20mobility%20of%20health%20workers%20Working%20Paper_0.pdf [Accessed </w:t>
      </w:r>
      <w:r w:rsidRPr="000B452C">
        <w:rPr>
          <w:rFonts w:ascii="Arial" w:hAnsi="Arial" w:cs="Arial"/>
        </w:rPr>
        <w:t>1</w:t>
      </w:r>
      <w:r w:rsidRPr="000B452C">
        <w:rPr>
          <w:rFonts w:ascii="Arial" w:hAnsi="Arial" w:cs="Arial"/>
        </w:rPr>
        <w:t>1 Aug. 2026].</w:t>
      </w:r>
    </w:p>
    <w:p w14:paraId="7201E434" w14:textId="58335E5E" w:rsidR="008A450E" w:rsidRPr="000B452C" w:rsidRDefault="008A450E" w:rsidP="008A450E">
      <w:pPr>
        <w:spacing w:line="360" w:lineRule="auto"/>
        <w:jc w:val="both"/>
        <w:rPr>
          <w:rFonts w:ascii="Arial" w:hAnsi="Arial" w:cs="Arial"/>
        </w:rPr>
      </w:pPr>
      <w:r w:rsidRPr="000B452C">
        <w:rPr>
          <w:rFonts w:ascii="Arial" w:hAnsi="Arial" w:cs="Arial"/>
        </w:rPr>
        <w:t>Crawfurd, L.</w:t>
      </w:r>
      <w:r w:rsidRPr="000B452C">
        <w:rPr>
          <w:rFonts w:ascii="Arial" w:hAnsi="Arial" w:cs="Arial"/>
        </w:rPr>
        <w:t xml:space="preserve"> </w:t>
      </w:r>
      <w:proofErr w:type="spellStart"/>
      <w:r w:rsidRPr="000B452C">
        <w:rPr>
          <w:rFonts w:ascii="Arial" w:hAnsi="Arial" w:cs="Arial"/>
        </w:rPr>
        <w:t>Dempster</w:t>
      </w:r>
      <w:proofErr w:type="spellEnd"/>
      <w:r w:rsidRPr="000B452C">
        <w:rPr>
          <w:rFonts w:ascii="Arial" w:hAnsi="Arial" w:cs="Arial"/>
        </w:rPr>
        <w:t xml:space="preserve">, H. </w:t>
      </w:r>
      <w:r w:rsidRPr="000B452C">
        <w:rPr>
          <w:rFonts w:ascii="Arial" w:hAnsi="Arial" w:cs="Arial"/>
        </w:rPr>
        <w:t xml:space="preserve">(2024). </w:t>
      </w:r>
      <w:r w:rsidRPr="000B452C">
        <w:rPr>
          <w:rFonts w:ascii="Arial" w:hAnsi="Arial" w:cs="Arial"/>
          <w:i/>
          <w:iCs/>
        </w:rPr>
        <w:t>UK recruitment of Nigerian nurses can be win-win</w:t>
      </w:r>
      <w:r w:rsidRPr="000B452C">
        <w:rPr>
          <w:rFonts w:ascii="Arial" w:hAnsi="Arial" w:cs="Arial"/>
        </w:rPr>
        <w:t xml:space="preserve">. [online] Center </w:t>
      </w:r>
      <w:proofErr w:type="gramStart"/>
      <w:r w:rsidRPr="000B452C">
        <w:rPr>
          <w:rFonts w:ascii="Arial" w:hAnsi="Arial" w:cs="Arial"/>
        </w:rPr>
        <w:t>For</w:t>
      </w:r>
      <w:proofErr w:type="gramEnd"/>
      <w:r w:rsidRPr="000B452C">
        <w:rPr>
          <w:rFonts w:ascii="Arial" w:hAnsi="Arial" w:cs="Arial"/>
        </w:rPr>
        <w:t xml:space="preserve"> Global Development. Available at: https://www.cgdev.org/blog/uk-recruitment-nigerian-nurses-can-be-win-win [Accessed 2 Aug. 2026].</w:t>
      </w:r>
    </w:p>
    <w:p w14:paraId="55A846E4" w14:textId="77777777" w:rsidR="0071576B" w:rsidRPr="000B452C" w:rsidRDefault="0071576B" w:rsidP="0071576B">
      <w:pPr>
        <w:spacing w:line="360" w:lineRule="auto"/>
        <w:jc w:val="both"/>
        <w:rPr>
          <w:rFonts w:ascii="Arial" w:hAnsi="Arial" w:cs="Arial"/>
        </w:rPr>
      </w:pPr>
      <w:r w:rsidRPr="000B452C">
        <w:rPr>
          <w:rFonts w:ascii="Arial" w:hAnsi="Arial" w:cs="Arial"/>
        </w:rPr>
        <w:t xml:space="preserve">Dada, O. P. (2026). Brexit and social care in Scotland: An exploration of the perceived impact on workforce sustainability. </w:t>
      </w:r>
      <w:r w:rsidRPr="000B452C">
        <w:rPr>
          <w:rFonts w:ascii="Arial" w:hAnsi="Arial" w:cs="Arial"/>
          <w:i/>
          <w:iCs/>
        </w:rPr>
        <w:t>Equity in Education &amp; Society</w:t>
      </w:r>
      <w:r w:rsidRPr="000B452C">
        <w:rPr>
          <w:rFonts w:ascii="Arial" w:hAnsi="Arial" w:cs="Arial"/>
        </w:rPr>
        <w:t xml:space="preserve">, </w:t>
      </w:r>
      <w:r w:rsidRPr="000B452C">
        <w:rPr>
          <w:rFonts w:ascii="Arial" w:hAnsi="Arial" w:cs="Arial"/>
          <w:i/>
          <w:iCs/>
        </w:rPr>
        <w:t>5</w:t>
      </w:r>
      <w:r w:rsidRPr="000B452C">
        <w:rPr>
          <w:rFonts w:ascii="Arial" w:hAnsi="Arial" w:cs="Arial"/>
        </w:rPr>
        <w:t>(1), 37-54.</w:t>
      </w:r>
    </w:p>
    <w:p w14:paraId="47618FDE" w14:textId="77777777" w:rsidR="00D9162F" w:rsidRPr="000B452C" w:rsidRDefault="00D9162F" w:rsidP="00D9162F">
      <w:pPr>
        <w:spacing w:line="360" w:lineRule="auto"/>
        <w:jc w:val="both"/>
        <w:rPr>
          <w:rFonts w:ascii="Arial" w:hAnsi="Arial" w:cs="Arial"/>
        </w:rPr>
      </w:pPr>
      <w:r w:rsidRPr="000B452C">
        <w:rPr>
          <w:rFonts w:ascii="Arial" w:hAnsi="Arial" w:cs="Arial"/>
        </w:rPr>
        <w:lastRenderedPageBreak/>
        <w:t xml:space="preserve">Davda, L.S., Gallagher, J.E. and Radford, D.R. (2018). Migration motives and integration of international human resources of health in the United Kingdom: Systematic review and meta-synthesis of qualitative studies using framework analysis. </w:t>
      </w:r>
      <w:r w:rsidRPr="000B452C">
        <w:rPr>
          <w:rFonts w:ascii="Arial" w:hAnsi="Arial" w:cs="Arial"/>
          <w:i/>
          <w:iCs/>
        </w:rPr>
        <w:t>Human Resources for Health</w:t>
      </w:r>
      <w:r w:rsidRPr="000B452C">
        <w:rPr>
          <w:rFonts w:ascii="Arial" w:hAnsi="Arial" w:cs="Arial"/>
        </w:rPr>
        <w:t>, [online] 16(1). doi:10.1186/s12960-018-0293-9.</w:t>
      </w:r>
    </w:p>
    <w:p w14:paraId="40A17C70" w14:textId="6C67FE8A" w:rsidR="00D9162F" w:rsidRPr="000B452C" w:rsidRDefault="00D9162F" w:rsidP="00355CD8">
      <w:pPr>
        <w:spacing w:line="360" w:lineRule="auto"/>
        <w:jc w:val="both"/>
        <w:rPr>
          <w:rFonts w:ascii="Arial" w:hAnsi="Arial" w:cs="Arial"/>
        </w:rPr>
      </w:pPr>
      <w:r w:rsidRPr="000B452C">
        <w:rPr>
          <w:rFonts w:ascii="Arial" w:hAnsi="Arial" w:cs="Arial"/>
        </w:rPr>
        <w:t xml:space="preserve">Zhou, X., Correa, A., Palmer, T., Sun, M., Pizzo, E., Gomes, P. and Skordis, J. (2026). Earned settlement: The value of International Health and Care Workers in the UK. </w:t>
      </w:r>
      <w:r w:rsidRPr="000B452C">
        <w:rPr>
          <w:rFonts w:ascii="Arial" w:hAnsi="Arial" w:cs="Arial"/>
          <w:i/>
          <w:iCs/>
        </w:rPr>
        <w:t>The Lancet Regional Health - Europe</w:t>
      </w:r>
      <w:r w:rsidRPr="000B452C">
        <w:rPr>
          <w:rFonts w:ascii="Arial" w:hAnsi="Arial" w:cs="Arial"/>
        </w:rPr>
        <w:t xml:space="preserve">, [online] 62, p.101596. </w:t>
      </w:r>
      <w:proofErr w:type="gramStart"/>
      <w:r w:rsidRPr="000B452C">
        <w:rPr>
          <w:rFonts w:ascii="Arial" w:hAnsi="Arial" w:cs="Arial"/>
        </w:rPr>
        <w:t>doi:10.1016/j.lanepe</w:t>
      </w:r>
      <w:proofErr w:type="gramEnd"/>
      <w:r w:rsidRPr="000B452C">
        <w:rPr>
          <w:rFonts w:ascii="Arial" w:hAnsi="Arial" w:cs="Arial"/>
        </w:rPr>
        <w:t>.2026.101596.</w:t>
      </w:r>
    </w:p>
    <w:p w14:paraId="330FEE43" w14:textId="0FDA7F7C" w:rsidR="00046ADE" w:rsidRPr="000B452C" w:rsidRDefault="00D60B12" w:rsidP="00355CD8">
      <w:pPr>
        <w:spacing w:line="360" w:lineRule="auto"/>
        <w:jc w:val="both"/>
        <w:rPr>
          <w:rFonts w:ascii="Arial" w:hAnsi="Arial" w:cs="Arial"/>
        </w:rPr>
      </w:pPr>
      <w:r w:rsidRPr="000B452C">
        <w:rPr>
          <w:rFonts w:ascii="Arial" w:hAnsi="Arial" w:cs="Arial"/>
        </w:rPr>
        <w:t>DIVA-Portal (2025) 'The impact of employee wellbeing and job security on migration intentions: a study of private sector nurses'. Available at: </w:t>
      </w:r>
      <w:r w:rsidR="00046ADE" w:rsidRPr="000B452C">
        <w:rPr>
          <w:rFonts w:ascii="Arial" w:hAnsi="Arial" w:cs="Arial"/>
        </w:rPr>
        <w:t>https://www.diva-portal.org/smash/record.jsf?pid=diva2%3A1973770&amp;dswid=-145</w:t>
      </w:r>
      <w:r w:rsidRPr="000B452C">
        <w:rPr>
          <w:rFonts w:ascii="Arial" w:hAnsi="Arial" w:cs="Arial"/>
        </w:rPr>
        <w:t> (Accessed: 29 July 2026).</w:t>
      </w:r>
    </w:p>
    <w:p w14:paraId="00BDD30C" w14:textId="71BEF60B" w:rsidR="00046ADE" w:rsidRPr="000B452C" w:rsidRDefault="00046ADE" w:rsidP="00355CD8">
      <w:pPr>
        <w:spacing w:line="360" w:lineRule="auto"/>
        <w:jc w:val="both"/>
        <w:rPr>
          <w:rFonts w:ascii="Arial" w:hAnsi="Arial" w:cs="Arial"/>
        </w:rPr>
      </w:pPr>
      <w:r w:rsidRPr="000B452C">
        <w:rPr>
          <w:rFonts w:ascii="Arial" w:hAnsi="Arial" w:cs="Arial"/>
        </w:rPr>
        <w:t xml:space="preserve">Elkington, J. and Rowlands, I.H. (1997). </w:t>
      </w:r>
      <w:r w:rsidRPr="000B452C">
        <w:rPr>
          <w:rFonts w:ascii="Arial" w:hAnsi="Arial" w:cs="Arial"/>
          <w:i/>
          <w:iCs/>
        </w:rPr>
        <w:t>Cannibals with forks: The triple bottom line of 21st century business</w:t>
      </w:r>
      <w:r w:rsidRPr="000B452C">
        <w:rPr>
          <w:rFonts w:ascii="Arial" w:hAnsi="Arial" w:cs="Arial"/>
        </w:rPr>
        <w:t>. [online] www.proquest.com. Available at: https://www.proquest.com/openview/804cc9d98196ef6e26d88748e89f8db0/1?pq-origsite=gscholar&amp;cbl=35934 [Accessed 2</w:t>
      </w:r>
      <w:r w:rsidRPr="000B452C">
        <w:rPr>
          <w:rFonts w:ascii="Arial" w:hAnsi="Arial" w:cs="Arial"/>
        </w:rPr>
        <w:t>2 Jul</w:t>
      </w:r>
      <w:r w:rsidRPr="000B452C">
        <w:rPr>
          <w:rFonts w:ascii="Arial" w:hAnsi="Arial" w:cs="Arial"/>
        </w:rPr>
        <w:t>. 2026].</w:t>
      </w:r>
    </w:p>
    <w:p w14:paraId="71A7F8C1" w14:textId="7EA6C0F6" w:rsidR="00D60B12" w:rsidRPr="000B452C" w:rsidRDefault="00D60B12" w:rsidP="00355CD8">
      <w:pPr>
        <w:spacing w:line="360" w:lineRule="auto"/>
        <w:jc w:val="both"/>
        <w:rPr>
          <w:rFonts w:ascii="Arial" w:hAnsi="Arial" w:cs="Arial"/>
        </w:rPr>
      </w:pPr>
      <w:r w:rsidRPr="000B452C">
        <w:rPr>
          <w:rFonts w:ascii="Arial" w:hAnsi="Arial" w:cs="Arial"/>
        </w:rPr>
        <w:t>Florence Nightingale Foundation (2025) </w:t>
      </w:r>
      <w:r w:rsidRPr="000B452C">
        <w:rPr>
          <w:rFonts w:ascii="Arial" w:hAnsi="Arial" w:cs="Arial"/>
          <w:i/>
          <w:iCs/>
        </w:rPr>
        <w:t>Internationally Educated Nurses and Midwives: Key Statistics 2025</w:t>
      </w:r>
      <w:r w:rsidRPr="000B452C">
        <w:rPr>
          <w:rFonts w:ascii="Arial" w:hAnsi="Arial" w:cs="Arial"/>
        </w:rPr>
        <w:t>. Available at: </w:t>
      </w:r>
      <w:r w:rsidR="006774B2" w:rsidRPr="000B452C">
        <w:rPr>
          <w:rFonts w:ascii="Arial" w:hAnsi="Arial" w:cs="Arial"/>
        </w:rPr>
        <w:t>https://florence-nightingale-foundation.org.uk/?s=Internationally+Educated+Nurses+and+Midwives</w:t>
      </w:r>
      <w:r w:rsidRPr="000B452C">
        <w:rPr>
          <w:rFonts w:ascii="Arial" w:hAnsi="Arial" w:cs="Arial"/>
        </w:rPr>
        <w:t> (Accessed: 29 July 2026).</w:t>
      </w:r>
    </w:p>
    <w:p w14:paraId="53FEF0C2" w14:textId="77777777" w:rsidR="00D60B12" w:rsidRPr="000B452C" w:rsidRDefault="00D60B12" w:rsidP="00355CD8">
      <w:pPr>
        <w:spacing w:line="360" w:lineRule="auto"/>
        <w:jc w:val="both"/>
        <w:rPr>
          <w:rFonts w:ascii="Arial" w:hAnsi="Arial" w:cs="Arial"/>
        </w:rPr>
      </w:pPr>
      <w:r w:rsidRPr="000B452C">
        <w:rPr>
          <w:rFonts w:ascii="Arial" w:hAnsi="Arial" w:cs="Arial"/>
        </w:rPr>
        <w:t>Hatton, T.J. (2005) 'Explaining trends in UK immigration', </w:t>
      </w:r>
      <w:r w:rsidRPr="000B452C">
        <w:rPr>
          <w:rFonts w:ascii="Arial" w:hAnsi="Arial" w:cs="Arial"/>
          <w:i/>
          <w:iCs/>
        </w:rPr>
        <w:t>Journal of Population Economics</w:t>
      </w:r>
      <w:r w:rsidRPr="000B452C">
        <w:rPr>
          <w:rFonts w:ascii="Arial" w:hAnsi="Arial" w:cs="Arial"/>
        </w:rPr>
        <w:t>, 18, pp. 719–740.</w:t>
      </w:r>
    </w:p>
    <w:p w14:paraId="76672B00" w14:textId="473588BA" w:rsidR="00D60B12" w:rsidRPr="000B452C" w:rsidRDefault="00D60B12" w:rsidP="00355CD8">
      <w:pPr>
        <w:spacing w:line="360" w:lineRule="auto"/>
        <w:jc w:val="both"/>
        <w:rPr>
          <w:rFonts w:ascii="Arial" w:hAnsi="Arial" w:cs="Arial"/>
        </w:rPr>
      </w:pPr>
      <w:proofErr w:type="spellStart"/>
      <w:r w:rsidRPr="000B452C">
        <w:rPr>
          <w:rFonts w:ascii="Arial" w:hAnsi="Arial" w:cs="Arial"/>
        </w:rPr>
        <w:t>Hobfoll</w:t>
      </w:r>
      <w:proofErr w:type="spellEnd"/>
      <w:r w:rsidRPr="000B452C">
        <w:rPr>
          <w:rFonts w:ascii="Arial" w:hAnsi="Arial" w:cs="Arial"/>
        </w:rPr>
        <w:t>, S.E. (1989) 'Conservation of resources: A new attempt at conceptualizing stress', </w:t>
      </w:r>
      <w:r w:rsidRPr="000B452C">
        <w:rPr>
          <w:rFonts w:ascii="Arial" w:hAnsi="Arial" w:cs="Arial"/>
          <w:i/>
          <w:iCs/>
        </w:rPr>
        <w:t>American Psychologist</w:t>
      </w:r>
      <w:r w:rsidRPr="000B452C">
        <w:rPr>
          <w:rFonts w:ascii="Arial" w:hAnsi="Arial" w:cs="Arial"/>
        </w:rPr>
        <w:t>, 44(3), pp. 513.</w:t>
      </w:r>
    </w:p>
    <w:p w14:paraId="6EE987BF" w14:textId="77777777" w:rsidR="00D60B12" w:rsidRPr="000B452C" w:rsidRDefault="00D60B12" w:rsidP="00355CD8">
      <w:pPr>
        <w:spacing w:line="360" w:lineRule="auto"/>
        <w:jc w:val="both"/>
        <w:rPr>
          <w:rFonts w:ascii="Arial" w:hAnsi="Arial" w:cs="Arial"/>
        </w:rPr>
      </w:pPr>
      <w:r w:rsidRPr="000B452C">
        <w:rPr>
          <w:rFonts w:ascii="Arial" w:hAnsi="Arial" w:cs="Arial"/>
        </w:rPr>
        <w:t>Home Office (2024) </w:t>
      </w:r>
      <w:r w:rsidRPr="000B452C">
        <w:rPr>
          <w:rFonts w:ascii="Arial" w:hAnsi="Arial" w:cs="Arial"/>
          <w:i/>
          <w:iCs/>
        </w:rPr>
        <w:t>Migration Statistics, Year Ending June 2024</w:t>
      </w:r>
      <w:r w:rsidRPr="000B452C">
        <w:rPr>
          <w:rFonts w:ascii="Arial" w:hAnsi="Arial" w:cs="Arial"/>
        </w:rPr>
        <w:t>. London: Home Office.</w:t>
      </w:r>
    </w:p>
    <w:p w14:paraId="1009A832" w14:textId="77777777" w:rsidR="00D60B12" w:rsidRPr="000B452C" w:rsidRDefault="00D60B12" w:rsidP="00355CD8">
      <w:pPr>
        <w:spacing w:line="360" w:lineRule="auto"/>
        <w:jc w:val="both"/>
        <w:rPr>
          <w:rFonts w:ascii="Arial" w:hAnsi="Arial" w:cs="Arial"/>
        </w:rPr>
      </w:pPr>
      <w:r w:rsidRPr="000B452C">
        <w:rPr>
          <w:rFonts w:ascii="Arial" w:hAnsi="Arial" w:cs="Arial"/>
        </w:rPr>
        <w:t>Home Office (2025a) </w:t>
      </w:r>
      <w:r w:rsidRPr="000B452C">
        <w:rPr>
          <w:rFonts w:ascii="Arial" w:hAnsi="Arial" w:cs="Arial"/>
          <w:i/>
          <w:iCs/>
        </w:rPr>
        <w:t>Restoring Control over the Immigration System</w:t>
      </w:r>
      <w:r w:rsidRPr="000B452C">
        <w:rPr>
          <w:rFonts w:ascii="Arial" w:hAnsi="Arial" w:cs="Arial"/>
        </w:rPr>
        <w:t>. Available at: </w:t>
      </w:r>
      <w:hyperlink r:id="rId18" w:tgtFrame="_blank" w:history="1">
        <w:r w:rsidRPr="000B452C">
          <w:rPr>
            <w:rStyle w:val="Hyperlink"/>
            <w:rFonts w:ascii="Arial" w:hAnsi="Arial" w:cs="Arial"/>
          </w:rPr>
          <w:t>https://www.gov.uk/governme</w:t>
        </w:r>
        <w:r w:rsidRPr="000B452C">
          <w:rPr>
            <w:rStyle w:val="Hyperlink"/>
            <w:rFonts w:ascii="Arial" w:hAnsi="Arial" w:cs="Arial"/>
          </w:rPr>
          <w:t>nt/publications/restoring-control-over-the-immigration-</w:t>
        </w:r>
        <w:r w:rsidRPr="000B452C">
          <w:rPr>
            <w:rStyle w:val="Hyperlink"/>
            <w:rFonts w:ascii="Arial" w:hAnsi="Arial" w:cs="Arial"/>
          </w:rPr>
          <w:lastRenderedPageBreak/>
          <w:t>system-white-paper/restoring-control-over-the-immigration-system-accessible</w:t>
        </w:r>
      </w:hyperlink>
      <w:r w:rsidRPr="000B452C">
        <w:rPr>
          <w:rFonts w:ascii="Arial" w:hAnsi="Arial" w:cs="Arial"/>
        </w:rPr>
        <w:t> (Accessed: 29 July 2026).</w:t>
      </w:r>
    </w:p>
    <w:p w14:paraId="5D8638BD" w14:textId="77777777" w:rsidR="00D60B12" w:rsidRPr="000B452C" w:rsidRDefault="00D60B12" w:rsidP="00355CD8">
      <w:pPr>
        <w:spacing w:line="360" w:lineRule="auto"/>
        <w:jc w:val="both"/>
        <w:rPr>
          <w:rFonts w:ascii="Arial" w:hAnsi="Arial" w:cs="Arial"/>
        </w:rPr>
      </w:pPr>
      <w:r w:rsidRPr="000B452C">
        <w:rPr>
          <w:rFonts w:ascii="Arial" w:hAnsi="Arial" w:cs="Arial"/>
        </w:rPr>
        <w:t>Home Office (2025b) </w:t>
      </w:r>
      <w:r w:rsidRPr="000B452C">
        <w:rPr>
          <w:rFonts w:ascii="Arial" w:hAnsi="Arial" w:cs="Arial"/>
          <w:i/>
          <w:iCs/>
        </w:rPr>
        <w:t>Spring 2025 Immigration Rules Impact Assessment (Skilled Worker and Care Worker)</w:t>
      </w:r>
      <w:r w:rsidRPr="000B452C">
        <w:rPr>
          <w:rFonts w:ascii="Arial" w:hAnsi="Arial" w:cs="Arial"/>
        </w:rPr>
        <w:t>. Available at: </w:t>
      </w:r>
      <w:hyperlink r:id="rId19" w:tgtFrame="_blank" w:history="1">
        <w:r w:rsidRPr="000B452C">
          <w:rPr>
            <w:rStyle w:val="Hyperlink"/>
            <w:rFonts w:ascii="Arial" w:hAnsi="Arial" w:cs="Arial"/>
          </w:rPr>
          <w:t>https://www.gov.uk/government/publications/statement-of-changes-to-the-immigration-rules-hc-997-1-july-2025/spring-2025-immigration-rules-impact-assessment-skilled-worker-and-care-worker-july-2025-accessible-version</w:t>
        </w:r>
      </w:hyperlink>
      <w:r w:rsidRPr="000B452C">
        <w:rPr>
          <w:rFonts w:ascii="Arial" w:hAnsi="Arial" w:cs="Arial"/>
        </w:rPr>
        <w:t> (Accessed: 29 July 2026).</w:t>
      </w:r>
    </w:p>
    <w:p w14:paraId="013B9BCE" w14:textId="77777777" w:rsidR="00D60B12" w:rsidRPr="000B452C" w:rsidRDefault="00D60B12" w:rsidP="00355CD8">
      <w:pPr>
        <w:spacing w:line="360" w:lineRule="auto"/>
        <w:jc w:val="both"/>
        <w:rPr>
          <w:rFonts w:ascii="Arial" w:hAnsi="Arial" w:cs="Arial"/>
        </w:rPr>
      </w:pPr>
      <w:r w:rsidRPr="000B452C">
        <w:rPr>
          <w:rFonts w:ascii="Arial" w:hAnsi="Arial" w:cs="Arial"/>
        </w:rPr>
        <w:t>Home Office (2025c) </w:t>
      </w:r>
      <w:r w:rsidRPr="000B452C">
        <w:rPr>
          <w:rFonts w:ascii="Arial" w:hAnsi="Arial" w:cs="Arial"/>
          <w:i/>
          <w:iCs/>
        </w:rPr>
        <w:t>Health and Care Visa Guidance</w:t>
      </w:r>
      <w:r w:rsidRPr="000B452C">
        <w:rPr>
          <w:rFonts w:ascii="Arial" w:hAnsi="Arial" w:cs="Arial"/>
        </w:rPr>
        <w:t>. Available at: </w:t>
      </w:r>
      <w:hyperlink r:id="rId20" w:tgtFrame="_blank" w:history="1">
        <w:r w:rsidRPr="000B452C">
          <w:rPr>
            <w:rStyle w:val="Hyperlink"/>
            <w:rFonts w:ascii="Arial" w:hAnsi="Arial" w:cs="Arial"/>
          </w:rPr>
          <w:t>https://www.gov.uk/government/publications/health-and-care-visa-guidance</w:t>
        </w:r>
      </w:hyperlink>
      <w:r w:rsidRPr="000B452C">
        <w:rPr>
          <w:rFonts w:ascii="Arial" w:hAnsi="Arial" w:cs="Arial"/>
        </w:rPr>
        <w:t> (Accessed: 29 July 2026).</w:t>
      </w:r>
    </w:p>
    <w:p w14:paraId="66D4EBF3" w14:textId="77777777" w:rsidR="00D60B12" w:rsidRPr="000B452C" w:rsidRDefault="00D60B12" w:rsidP="00355CD8">
      <w:pPr>
        <w:spacing w:line="360" w:lineRule="auto"/>
        <w:jc w:val="both"/>
        <w:rPr>
          <w:rFonts w:ascii="Arial" w:hAnsi="Arial" w:cs="Arial"/>
        </w:rPr>
      </w:pPr>
      <w:r w:rsidRPr="000B452C">
        <w:rPr>
          <w:rFonts w:ascii="Arial" w:hAnsi="Arial" w:cs="Arial"/>
        </w:rPr>
        <w:t>Home Office (2026) </w:t>
      </w:r>
      <w:r w:rsidRPr="000B452C">
        <w:rPr>
          <w:rFonts w:ascii="Arial" w:hAnsi="Arial" w:cs="Arial"/>
          <w:i/>
          <w:iCs/>
        </w:rPr>
        <w:t>Statement of Changes to the Immigration Rules: HC 1691</w:t>
      </w:r>
      <w:r w:rsidRPr="000B452C">
        <w:rPr>
          <w:rFonts w:ascii="Arial" w:hAnsi="Arial" w:cs="Arial"/>
        </w:rPr>
        <w:t>. Available at: </w:t>
      </w:r>
      <w:hyperlink r:id="rId21" w:tgtFrame="_blank" w:history="1">
        <w:r w:rsidRPr="000B452C">
          <w:rPr>
            <w:rStyle w:val="Hyperlink"/>
            <w:rFonts w:ascii="Arial" w:hAnsi="Arial" w:cs="Arial"/>
          </w:rPr>
          <w:t>https://assets.publishing.service.gov.uk/media/69a9a1f58fd807b03bbe92e5/E03553349_-_HC_1691_-_Immigration_Rules_Changes__Web_Accessible_.pdf</w:t>
        </w:r>
      </w:hyperlink>
      <w:r w:rsidRPr="000B452C">
        <w:rPr>
          <w:rFonts w:ascii="Arial" w:hAnsi="Arial" w:cs="Arial"/>
        </w:rPr>
        <w:t> (Accessed: 29 July 2026).</w:t>
      </w:r>
    </w:p>
    <w:p w14:paraId="7EABE796" w14:textId="77777777" w:rsidR="004F598C" w:rsidRPr="000B452C" w:rsidRDefault="004F598C" w:rsidP="00355CD8">
      <w:pPr>
        <w:spacing w:line="360" w:lineRule="auto"/>
        <w:jc w:val="both"/>
        <w:rPr>
          <w:rFonts w:ascii="Arial" w:hAnsi="Arial" w:cs="Arial"/>
        </w:rPr>
      </w:pPr>
      <w:proofErr w:type="spellStart"/>
      <w:r w:rsidRPr="000B452C">
        <w:rPr>
          <w:rFonts w:ascii="Arial" w:hAnsi="Arial" w:cs="Arial"/>
        </w:rPr>
        <w:t>Kabene</w:t>
      </w:r>
      <w:proofErr w:type="spellEnd"/>
      <w:r w:rsidRPr="000B452C">
        <w:rPr>
          <w:rFonts w:ascii="Arial" w:hAnsi="Arial" w:cs="Arial"/>
        </w:rPr>
        <w:t>, S.M., Orchard, C., Howard, J.M., Soriano, M.A. and Leduc, R., 2006. The importance of human resources management in health care: a global context. </w:t>
      </w:r>
      <w:r w:rsidRPr="000B452C">
        <w:rPr>
          <w:rFonts w:ascii="Arial" w:hAnsi="Arial" w:cs="Arial"/>
          <w:i/>
          <w:iCs/>
        </w:rPr>
        <w:t>Human resources for health</w:t>
      </w:r>
      <w:r w:rsidRPr="000B452C">
        <w:rPr>
          <w:rFonts w:ascii="Arial" w:hAnsi="Arial" w:cs="Arial"/>
        </w:rPr>
        <w:t>, </w:t>
      </w:r>
      <w:r w:rsidRPr="000B452C">
        <w:rPr>
          <w:rFonts w:ascii="Arial" w:hAnsi="Arial" w:cs="Arial"/>
          <w:i/>
          <w:iCs/>
        </w:rPr>
        <w:t>4</w:t>
      </w:r>
      <w:r w:rsidRPr="000B452C">
        <w:rPr>
          <w:rFonts w:ascii="Arial" w:hAnsi="Arial" w:cs="Arial"/>
        </w:rPr>
        <w:t>(1), p.20.</w:t>
      </w:r>
    </w:p>
    <w:p w14:paraId="6360EE14" w14:textId="766BA75A" w:rsidR="00D9162F" w:rsidRPr="000B452C" w:rsidRDefault="00D9162F" w:rsidP="00355CD8">
      <w:pPr>
        <w:spacing w:line="360" w:lineRule="auto"/>
        <w:jc w:val="both"/>
        <w:rPr>
          <w:rFonts w:ascii="Arial" w:hAnsi="Arial" w:cs="Arial"/>
        </w:rPr>
      </w:pPr>
      <w:r w:rsidRPr="000B452C">
        <w:rPr>
          <w:rFonts w:ascii="Arial" w:hAnsi="Arial" w:cs="Arial"/>
        </w:rPr>
        <w:t xml:space="preserve">Lingham, J. (2025). </w:t>
      </w:r>
      <w:r w:rsidRPr="000B452C">
        <w:rPr>
          <w:rFonts w:ascii="Arial" w:hAnsi="Arial" w:cs="Arial"/>
          <w:i/>
          <w:iCs/>
        </w:rPr>
        <w:t>Closing off social care jobs to migrant workers will only harm a sector that’s already in crisis.</w:t>
      </w:r>
      <w:r w:rsidRPr="000B452C">
        <w:rPr>
          <w:rFonts w:ascii="Arial" w:hAnsi="Arial" w:cs="Arial"/>
        </w:rPr>
        <w:t xml:space="preserve"> [online] the Centre for Care. Available at: https://centreforcare.ac.uk/care-workforce-change/2025/08/closing-off-social-care-jobs-to-migrant-workers-will-only-harm-a-sector-thats-already-in-crisis/ [Accessed 10 Aug. 2026].</w:t>
      </w:r>
    </w:p>
    <w:p w14:paraId="6476A911" w14:textId="2C489124" w:rsidR="00B53165" w:rsidRPr="000B452C" w:rsidRDefault="00B53165" w:rsidP="00355CD8">
      <w:pPr>
        <w:spacing w:line="360" w:lineRule="auto"/>
        <w:jc w:val="both"/>
        <w:rPr>
          <w:rFonts w:ascii="Arial" w:hAnsi="Arial" w:cs="Arial"/>
        </w:rPr>
      </w:pPr>
      <w:r w:rsidRPr="000B452C">
        <w:rPr>
          <w:rFonts w:ascii="Arial" w:hAnsi="Arial" w:cs="Arial"/>
        </w:rPr>
        <w:t xml:space="preserve">Lowell, B.L. and Gerova, S.G. (2004). Immigrants and the Healthcare Workforce. </w:t>
      </w:r>
      <w:r w:rsidRPr="000B452C">
        <w:rPr>
          <w:rFonts w:ascii="Arial" w:hAnsi="Arial" w:cs="Arial"/>
          <w:i/>
          <w:iCs/>
        </w:rPr>
        <w:t>Work and Occupations</w:t>
      </w:r>
      <w:r w:rsidRPr="000B452C">
        <w:rPr>
          <w:rFonts w:ascii="Arial" w:hAnsi="Arial" w:cs="Arial"/>
        </w:rPr>
        <w:t>, 31(4), pp.474–498. doi:10.1177/0730888404268916.</w:t>
      </w:r>
    </w:p>
    <w:p w14:paraId="4E4D4AA3" w14:textId="77777777" w:rsidR="00D24F11" w:rsidRPr="000B452C" w:rsidRDefault="00D60B12" w:rsidP="00355CD8">
      <w:pPr>
        <w:spacing w:line="360" w:lineRule="auto"/>
        <w:jc w:val="both"/>
        <w:rPr>
          <w:rFonts w:ascii="Arial" w:hAnsi="Arial" w:cs="Arial"/>
        </w:rPr>
      </w:pPr>
      <w:r w:rsidRPr="000B452C">
        <w:rPr>
          <w:rFonts w:ascii="Arial" w:hAnsi="Arial" w:cs="Arial"/>
        </w:rPr>
        <w:t>LSE Business Review (2025) '</w:t>
      </w:r>
      <w:r w:rsidR="00D24F11" w:rsidRPr="000B452C">
        <w:rPr>
          <w:rFonts w:ascii="Arial" w:hAnsi="Arial" w:cs="Arial"/>
        </w:rPr>
        <w:t>Low pay, job insecurity and post-Brexit recruitment challenges are plaguing the adult social care sector in England</w:t>
      </w:r>
      <w:r w:rsidRPr="000B452C">
        <w:rPr>
          <w:rFonts w:ascii="Arial" w:hAnsi="Arial" w:cs="Arial"/>
        </w:rPr>
        <w:t>. Available at: </w:t>
      </w:r>
      <w:hyperlink r:id="rId22" w:tgtFrame="_blank" w:history="1">
        <w:r w:rsidRPr="000B452C">
          <w:rPr>
            <w:rStyle w:val="Hyperlink"/>
            <w:rFonts w:ascii="Arial" w:hAnsi="Arial" w:cs="Arial"/>
          </w:rPr>
          <w:t>https://blogs.lse.ac.uk/businessreview</w:t>
        </w:r>
      </w:hyperlink>
      <w:r w:rsidRPr="000B452C">
        <w:rPr>
          <w:rFonts w:ascii="Arial" w:hAnsi="Arial" w:cs="Arial"/>
        </w:rPr>
        <w:t xml:space="preserve"> (Accessed: </w:t>
      </w:r>
      <w:r w:rsidR="00D24F11" w:rsidRPr="000B452C">
        <w:rPr>
          <w:rFonts w:ascii="Arial" w:hAnsi="Arial" w:cs="Arial"/>
        </w:rPr>
        <w:t>15</w:t>
      </w:r>
      <w:r w:rsidRPr="000B452C">
        <w:rPr>
          <w:rFonts w:ascii="Arial" w:hAnsi="Arial" w:cs="Arial"/>
        </w:rPr>
        <w:t xml:space="preserve"> July 2026).</w:t>
      </w:r>
      <w:r w:rsidR="00D24F11" w:rsidRPr="000B452C">
        <w:rPr>
          <w:rFonts w:ascii="Arial" w:hAnsi="Arial" w:cs="Arial"/>
        </w:rPr>
        <w:t xml:space="preserve"> </w:t>
      </w:r>
    </w:p>
    <w:p w14:paraId="26006172" w14:textId="77777777" w:rsidR="00294921" w:rsidRPr="000B452C" w:rsidRDefault="00294921" w:rsidP="00294921">
      <w:pPr>
        <w:spacing w:line="360" w:lineRule="auto"/>
        <w:jc w:val="both"/>
        <w:rPr>
          <w:rFonts w:ascii="Arial" w:hAnsi="Arial" w:cs="Arial"/>
        </w:rPr>
      </w:pPr>
      <w:r w:rsidRPr="000B452C">
        <w:rPr>
          <w:rFonts w:ascii="Arial" w:hAnsi="Arial" w:cs="Arial"/>
        </w:rPr>
        <w:lastRenderedPageBreak/>
        <w:t xml:space="preserve">McNeil, R. (2024). </w:t>
      </w:r>
      <w:r w:rsidRPr="000B452C">
        <w:rPr>
          <w:rFonts w:ascii="Arial" w:hAnsi="Arial" w:cs="Arial"/>
          <w:i/>
          <w:iCs/>
        </w:rPr>
        <w:t>Migration statistics show dramatic fall in visas granted in 2024 - migration observatory</w:t>
      </w:r>
      <w:r w:rsidRPr="000B452C">
        <w:rPr>
          <w:rFonts w:ascii="Arial" w:hAnsi="Arial" w:cs="Arial"/>
        </w:rPr>
        <w:t>. [online] Migration Observatory. Available at: https://migrationobservatory.ox.ac.uk/press/migration-statistics-show-dramatic-fall-in-visas-granted-in-2024/ [Accessed 7 Aug. 2026].</w:t>
      </w:r>
    </w:p>
    <w:p w14:paraId="6DE664BA" w14:textId="4991CDB2" w:rsidR="009520F1" w:rsidRPr="000B452C" w:rsidRDefault="009520F1" w:rsidP="00355CD8">
      <w:pPr>
        <w:spacing w:line="360" w:lineRule="auto"/>
        <w:jc w:val="both"/>
        <w:rPr>
          <w:rFonts w:ascii="Arial" w:hAnsi="Arial" w:cs="Arial"/>
        </w:rPr>
      </w:pPr>
      <w:r w:rsidRPr="000B452C">
        <w:rPr>
          <w:rFonts w:ascii="Arial" w:hAnsi="Arial" w:cs="Arial"/>
        </w:rPr>
        <w:t>Lee, Y.C. and Mao, P.C., 2015. Survivors of organizational change: a resource perspective. </w:t>
      </w:r>
      <w:r w:rsidRPr="000B452C">
        <w:rPr>
          <w:rFonts w:ascii="Arial" w:hAnsi="Arial" w:cs="Arial"/>
          <w:i/>
          <w:iCs/>
        </w:rPr>
        <w:t>Business and Management Studies</w:t>
      </w:r>
      <w:r w:rsidRPr="000B452C">
        <w:rPr>
          <w:rFonts w:ascii="Arial" w:hAnsi="Arial" w:cs="Arial"/>
        </w:rPr>
        <w:t>, </w:t>
      </w:r>
      <w:r w:rsidRPr="000B452C">
        <w:rPr>
          <w:rFonts w:ascii="Arial" w:hAnsi="Arial" w:cs="Arial"/>
          <w:i/>
          <w:iCs/>
        </w:rPr>
        <w:t>1</w:t>
      </w:r>
      <w:r w:rsidRPr="000B452C">
        <w:rPr>
          <w:rFonts w:ascii="Arial" w:hAnsi="Arial" w:cs="Arial"/>
        </w:rPr>
        <w:t>(2), p.1.</w:t>
      </w:r>
    </w:p>
    <w:p w14:paraId="5664A6CE" w14:textId="77777777" w:rsidR="00D60B12" w:rsidRPr="000B452C" w:rsidRDefault="00D60B12" w:rsidP="00355CD8">
      <w:pPr>
        <w:spacing w:line="360" w:lineRule="auto"/>
        <w:jc w:val="both"/>
        <w:rPr>
          <w:rFonts w:ascii="Arial" w:hAnsi="Arial" w:cs="Arial"/>
        </w:rPr>
      </w:pPr>
      <w:r w:rsidRPr="000B452C">
        <w:rPr>
          <w:rFonts w:ascii="Arial" w:hAnsi="Arial" w:cs="Arial"/>
        </w:rPr>
        <w:t>NHS Employers (2025) </w:t>
      </w:r>
      <w:r w:rsidRPr="000B452C">
        <w:rPr>
          <w:rFonts w:ascii="Arial" w:hAnsi="Arial" w:cs="Arial"/>
          <w:i/>
          <w:iCs/>
        </w:rPr>
        <w:t>Impacts of the changes to the UK immigration policy</w:t>
      </w:r>
      <w:r w:rsidRPr="000B452C">
        <w:rPr>
          <w:rFonts w:ascii="Arial" w:hAnsi="Arial" w:cs="Arial"/>
        </w:rPr>
        <w:t>. Available at: </w:t>
      </w:r>
      <w:hyperlink r:id="rId23" w:tgtFrame="_blank" w:history="1">
        <w:r w:rsidRPr="000B452C">
          <w:rPr>
            <w:rStyle w:val="Hyperlink"/>
            <w:rFonts w:ascii="Arial" w:hAnsi="Arial" w:cs="Arial"/>
          </w:rPr>
          <w:t>https://www.nhsemployers.org</w:t>
        </w:r>
      </w:hyperlink>
      <w:r w:rsidRPr="000B452C">
        <w:rPr>
          <w:rFonts w:ascii="Arial" w:hAnsi="Arial" w:cs="Arial"/>
        </w:rPr>
        <w:t> (Accessed: 29 July 2026). </w:t>
      </w:r>
      <w:r w:rsidRPr="000B452C">
        <w:rPr>
          <w:rFonts w:ascii="Arial" w:hAnsi="Arial" w:cs="Arial"/>
          <w:i/>
          <w:iCs/>
        </w:rPr>
        <w:t xml:space="preserve"> </w:t>
      </w:r>
    </w:p>
    <w:p w14:paraId="6E602000" w14:textId="516E529D" w:rsidR="00D60B12" w:rsidRPr="000B452C" w:rsidRDefault="00D60B12" w:rsidP="00355CD8">
      <w:pPr>
        <w:spacing w:line="360" w:lineRule="auto"/>
        <w:jc w:val="both"/>
        <w:rPr>
          <w:rFonts w:ascii="Arial" w:hAnsi="Arial" w:cs="Arial"/>
        </w:rPr>
      </w:pPr>
      <w:r w:rsidRPr="000B452C">
        <w:rPr>
          <w:rFonts w:ascii="Arial" w:hAnsi="Arial" w:cs="Arial"/>
        </w:rPr>
        <w:t>NHS England (2023) </w:t>
      </w:r>
      <w:r w:rsidRPr="000B452C">
        <w:rPr>
          <w:rFonts w:ascii="Arial" w:hAnsi="Arial" w:cs="Arial"/>
          <w:i/>
          <w:iCs/>
        </w:rPr>
        <w:t>NHS Long Term Workforce Plan</w:t>
      </w:r>
      <w:r w:rsidRPr="000B452C">
        <w:rPr>
          <w:rFonts w:ascii="Arial" w:hAnsi="Arial" w:cs="Arial"/>
        </w:rPr>
        <w:t>. Available at: </w:t>
      </w:r>
      <w:hyperlink r:id="rId24" w:tgtFrame="_blank" w:history="1">
        <w:r w:rsidRPr="000B452C">
          <w:rPr>
            <w:rStyle w:val="Hyperlink"/>
            <w:rFonts w:ascii="Arial" w:hAnsi="Arial" w:cs="Arial"/>
          </w:rPr>
          <w:t>https://www.england.nhs.uk/publication/nhs-long-term-workforce-plan/</w:t>
        </w:r>
      </w:hyperlink>
      <w:r w:rsidRPr="000B452C">
        <w:rPr>
          <w:rFonts w:ascii="Arial" w:hAnsi="Arial" w:cs="Arial"/>
        </w:rPr>
        <w:t xml:space="preserve"> (Accessed: </w:t>
      </w:r>
      <w:r w:rsidR="00061BD9" w:rsidRPr="000B452C">
        <w:rPr>
          <w:rFonts w:ascii="Arial" w:hAnsi="Arial" w:cs="Arial"/>
        </w:rPr>
        <w:t>20</w:t>
      </w:r>
      <w:r w:rsidRPr="000B452C">
        <w:rPr>
          <w:rFonts w:ascii="Arial" w:hAnsi="Arial" w:cs="Arial"/>
        </w:rPr>
        <w:t xml:space="preserve"> July 2026).</w:t>
      </w:r>
    </w:p>
    <w:p w14:paraId="78B880CE" w14:textId="783FBBF0" w:rsidR="00D60B12" w:rsidRPr="000B452C" w:rsidRDefault="00D60B12" w:rsidP="00355CD8">
      <w:pPr>
        <w:spacing w:line="360" w:lineRule="auto"/>
        <w:jc w:val="both"/>
        <w:rPr>
          <w:rFonts w:ascii="Arial" w:hAnsi="Arial" w:cs="Arial"/>
        </w:rPr>
      </w:pPr>
      <w:r w:rsidRPr="000B452C">
        <w:rPr>
          <w:rFonts w:ascii="Arial" w:hAnsi="Arial" w:cs="Arial"/>
        </w:rPr>
        <w:t>Nuffield Trust (2025) 'Research reveals NHS overreliance on doctors from "red list" countries'. Available at: </w:t>
      </w:r>
      <w:hyperlink r:id="rId25" w:tgtFrame="_blank" w:history="1">
        <w:r w:rsidRPr="000B452C">
          <w:rPr>
            <w:rStyle w:val="Hyperlink"/>
            <w:rFonts w:ascii="Arial" w:hAnsi="Arial" w:cs="Arial"/>
          </w:rPr>
          <w:t>https://www.nuffieldtrust.org.uk</w:t>
        </w:r>
      </w:hyperlink>
      <w:r w:rsidRPr="000B452C">
        <w:rPr>
          <w:rFonts w:ascii="Arial" w:hAnsi="Arial" w:cs="Arial"/>
        </w:rPr>
        <w:t> (Accessed: 9 July 2026). </w:t>
      </w:r>
      <w:r w:rsidRPr="000B452C">
        <w:rPr>
          <w:rFonts w:ascii="Arial" w:hAnsi="Arial" w:cs="Arial"/>
          <w:i/>
          <w:iCs/>
        </w:rPr>
        <w:t xml:space="preserve"> </w:t>
      </w:r>
    </w:p>
    <w:p w14:paraId="593252C0" w14:textId="3FA0DA38" w:rsidR="00D60B12" w:rsidRPr="000B452C" w:rsidRDefault="00D60B12" w:rsidP="00355CD8">
      <w:pPr>
        <w:spacing w:line="360" w:lineRule="auto"/>
        <w:jc w:val="both"/>
        <w:rPr>
          <w:rFonts w:ascii="Arial" w:hAnsi="Arial" w:cs="Arial"/>
        </w:rPr>
      </w:pPr>
      <w:r w:rsidRPr="000B452C">
        <w:rPr>
          <w:rFonts w:ascii="Arial" w:hAnsi="Arial" w:cs="Arial"/>
        </w:rPr>
        <w:t>Office for National Statistics (2024) </w:t>
      </w:r>
      <w:r w:rsidRPr="000B452C">
        <w:rPr>
          <w:rFonts w:ascii="Arial" w:hAnsi="Arial" w:cs="Arial"/>
          <w:i/>
          <w:iCs/>
        </w:rPr>
        <w:t>Long-term international migration, provisional: year ending December 2023</w:t>
      </w:r>
      <w:r w:rsidRPr="000B452C">
        <w:rPr>
          <w:rFonts w:ascii="Arial" w:hAnsi="Arial" w:cs="Arial"/>
        </w:rPr>
        <w:t>. Available at: </w:t>
      </w:r>
      <w:hyperlink r:id="rId26" w:tgtFrame="_blank" w:history="1">
        <w:r w:rsidRPr="000B452C">
          <w:rPr>
            <w:rStyle w:val="Hyperlink"/>
            <w:rFonts w:ascii="Arial" w:hAnsi="Arial" w:cs="Arial"/>
          </w:rPr>
          <w:t>https://www.ons.gov.uk/peoplepopulationandcommunity/populationandmigration/internationalmigration/bulletins/longterminternationalmigrationprovisional/yearendingdecember2023</w:t>
        </w:r>
      </w:hyperlink>
      <w:r w:rsidRPr="000B452C">
        <w:rPr>
          <w:rFonts w:ascii="Arial" w:hAnsi="Arial" w:cs="Arial"/>
        </w:rPr>
        <w:t xml:space="preserve"> (Accessed: </w:t>
      </w:r>
      <w:r w:rsidR="00061BD9" w:rsidRPr="000B452C">
        <w:rPr>
          <w:rFonts w:ascii="Arial" w:hAnsi="Arial" w:cs="Arial"/>
        </w:rPr>
        <w:t>23</w:t>
      </w:r>
      <w:r w:rsidRPr="000B452C">
        <w:rPr>
          <w:rFonts w:ascii="Arial" w:hAnsi="Arial" w:cs="Arial"/>
        </w:rPr>
        <w:t xml:space="preserve"> July 2026).</w:t>
      </w:r>
    </w:p>
    <w:p w14:paraId="7A9D6996" w14:textId="72CCC8CF" w:rsidR="00D60B12" w:rsidRPr="000B452C" w:rsidRDefault="00D60B12" w:rsidP="00355CD8">
      <w:pPr>
        <w:spacing w:line="360" w:lineRule="auto"/>
        <w:jc w:val="both"/>
        <w:rPr>
          <w:rFonts w:ascii="Arial" w:hAnsi="Arial" w:cs="Arial"/>
        </w:rPr>
      </w:pPr>
      <w:r w:rsidRPr="000B452C">
        <w:rPr>
          <w:rFonts w:ascii="Arial" w:hAnsi="Arial" w:cs="Arial"/>
        </w:rPr>
        <w:t>PMC (2025) 'The impact of immigration policy on the NHS workforce'. Available at: </w:t>
      </w:r>
      <w:hyperlink r:id="rId27" w:tgtFrame="_blank" w:history="1">
        <w:r w:rsidRPr="000B452C">
          <w:rPr>
            <w:rStyle w:val="Hyperlink"/>
            <w:rFonts w:ascii="Arial" w:hAnsi="Arial" w:cs="Arial"/>
          </w:rPr>
          <w:t>https://www.pmc.org.uk</w:t>
        </w:r>
      </w:hyperlink>
      <w:r w:rsidRPr="000B452C">
        <w:rPr>
          <w:rFonts w:ascii="Arial" w:hAnsi="Arial" w:cs="Arial"/>
        </w:rPr>
        <w:t> (Accessed: 2</w:t>
      </w:r>
      <w:r w:rsidR="00061BD9" w:rsidRPr="000B452C">
        <w:rPr>
          <w:rFonts w:ascii="Arial" w:hAnsi="Arial" w:cs="Arial"/>
        </w:rPr>
        <w:t>7</w:t>
      </w:r>
      <w:r w:rsidRPr="000B452C">
        <w:rPr>
          <w:rFonts w:ascii="Arial" w:hAnsi="Arial" w:cs="Arial"/>
        </w:rPr>
        <w:t xml:space="preserve"> July 2026). </w:t>
      </w:r>
      <w:r w:rsidRPr="000B452C">
        <w:rPr>
          <w:rFonts w:ascii="Arial" w:hAnsi="Arial" w:cs="Arial"/>
          <w:i/>
          <w:iCs/>
        </w:rPr>
        <w:t xml:space="preserve"> </w:t>
      </w:r>
    </w:p>
    <w:p w14:paraId="03E89788" w14:textId="0E8E1EB0" w:rsidR="00D60B12" w:rsidRPr="000B452C" w:rsidRDefault="00D60B12" w:rsidP="00355CD8">
      <w:pPr>
        <w:spacing w:line="360" w:lineRule="auto"/>
        <w:jc w:val="both"/>
        <w:rPr>
          <w:rFonts w:ascii="Arial" w:hAnsi="Arial" w:cs="Arial"/>
        </w:rPr>
      </w:pPr>
      <w:r w:rsidRPr="000B452C">
        <w:rPr>
          <w:rFonts w:ascii="Arial" w:hAnsi="Arial" w:cs="Arial"/>
        </w:rPr>
        <w:t>POST (Parliamentary Office of Science and Technology) (2025) </w:t>
      </w:r>
      <w:r w:rsidRPr="000B452C">
        <w:rPr>
          <w:rFonts w:ascii="Arial" w:hAnsi="Arial" w:cs="Arial"/>
          <w:i/>
          <w:iCs/>
        </w:rPr>
        <w:t>Sustaining the health and adult social care workforce</w:t>
      </w:r>
      <w:r w:rsidRPr="000B452C">
        <w:rPr>
          <w:rFonts w:ascii="Arial" w:hAnsi="Arial" w:cs="Arial"/>
        </w:rPr>
        <w:t>. Available at: </w:t>
      </w:r>
      <w:hyperlink r:id="rId28" w:tgtFrame="_blank" w:history="1">
        <w:r w:rsidRPr="000B452C">
          <w:rPr>
            <w:rStyle w:val="Hyperlink"/>
            <w:rFonts w:ascii="Arial" w:hAnsi="Arial" w:cs="Arial"/>
          </w:rPr>
          <w:t>https://post.parliament.uk</w:t>
        </w:r>
      </w:hyperlink>
      <w:r w:rsidRPr="000B452C">
        <w:rPr>
          <w:rFonts w:ascii="Arial" w:hAnsi="Arial" w:cs="Arial"/>
        </w:rPr>
        <w:t> (Accessed: 2</w:t>
      </w:r>
      <w:r w:rsidR="00A6121B" w:rsidRPr="000B452C">
        <w:rPr>
          <w:rFonts w:ascii="Arial" w:hAnsi="Arial" w:cs="Arial"/>
        </w:rPr>
        <w:t>3</w:t>
      </w:r>
      <w:r w:rsidRPr="000B452C">
        <w:rPr>
          <w:rFonts w:ascii="Arial" w:hAnsi="Arial" w:cs="Arial"/>
        </w:rPr>
        <w:t xml:space="preserve"> July 2026). </w:t>
      </w:r>
      <w:r w:rsidRPr="000B452C">
        <w:rPr>
          <w:rFonts w:ascii="Arial" w:hAnsi="Arial" w:cs="Arial"/>
          <w:i/>
          <w:iCs/>
        </w:rPr>
        <w:t xml:space="preserve"> </w:t>
      </w:r>
    </w:p>
    <w:p w14:paraId="4340312E" w14:textId="77777777" w:rsidR="004D37BF" w:rsidRPr="000B452C" w:rsidRDefault="004D37BF" w:rsidP="004D37BF">
      <w:pPr>
        <w:spacing w:line="360" w:lineRule="auto"/>
        <w:jc w:val="both"/>
        <w:rPr>
          <w:rFonts w:ascii="Arial" w:hAnsi="Arial" w:cs="Arial"/>
        </w:rPr>
      </w:pPr>
      <w:r w:rsidRPr="000B452C">
        <w:rPr>
          <w:rFonts w:ascii="Arial" w:hAnsi="Arial" w:cs="Arial"/>
        </w:rPr>
        <w:t xml:space="preserve">Powell RA, Al-Haddad M, Nayar V, </w:t>
      </w:r>
      <w:proofErr w:type="spellStart"/>
      <w:r w:rsidRPr="000B452C">
        <w:rPr>
          <w:rFonts w:ascii="Arial" w:hAnsi="Arial" w:cs="Arial"/>
        </w:rPr>
        <w:t>Bhui</w:t>
      </w:r>
      <w:proofErr w:type="spellEnd"/>
      <w:r w:rsidRPr="000B452C">
        <w:rPr>
          <w:rFonts w:ascii="Arial" w:hAnsi="Arial" w:cs="Arial"/>
        </w:rPr>
        <w:t xml:space="preserve"> K, Rao M. International medical graduates: a workforce at a crossroad? </w:t>
      </w:r>
      <w:r w:rsidRPr="000B452C">
        <w:rPr>
          <w:rFonts w:ascii="Arial" w:hAnsi="Arial" w:cs="Arial"/>
          <w:i/>
          <w:iCs/>
        </w:rPr>
        <w:t>Journal of the Royal Society of Medicine</w:t>
      </w:r>
      <w:r w:rsidRPr="000B452C">
        <w:rPr>
          <w:rFonts w:ascii="Arial" w:hAnsi="Arial" w:cs="Arial"/>
        </w:rPr>
        <w:t>. 2026;119(2):59-60. doi:</w:t>
      </w:r>
      <w:hyperlink r:id="rId29" w:history="1">
        <w:r w:rsidRPr="000B452C">
          <w:rPr>
            <w:rStyle w:val="Hyperlink"/>
            <w:rFonts w:ascii="Arial" w:hAnsi="Arial" w:cs="Arial"/>
          </w:rPr>
          <w:t>10.1177/01410768261421438</w:t>
        </w:r>
      </w:hyperlink>
    </w:p>
    <w:p w14:paraId="0CAE4B6F" w14:textId="77777777" w:rsidR="004D37BF" w:rsidRPr="000B452C" w:rsidRDefault="004D37BF" w:rsidP="00355CD8">
      <w:pPr>
        <w:spacing w:line="360" w:lineRule="auto"/>
        <w:jc w:val="both"/>
        <w:rPr>
          <w:rFonts w:ascii="Arial" w:hAnsi="Arial" w:cs="Arial"/>
        </w:rPr>
      </w:pPr>
    </w:p>
    <w:p w14:paraId="5139034A" w14:textId="77777777" w:rsidR="00D60B12" w:rsidRPr="00355CD8" w:rsidRDefault="00D60B12" w:rsidP="00355CD8">
      <w:pPr>
        <w:spacing w:line="360" w:lineRule="auto"/>
        <w:jc w:val="both"/>
        <w:rPr>
          <w:rFonts w:ascii="Arial" w:hAnsi="Arial" w:cs="Arial"/>
        </w:rPr>
      </w:pPr>
      <w:r w:rsidRPr="000B452C">
        <w:rPr>
          <w:rFonts w:ascii="Arial" w:hAnsi="Arial" w:cs="Arial"/>
        </w:rPr>
        <w:lastRenderedPageBreak/>
        <w:t>RCN (Royal College</w:t>
      </w:r>
      <w:r w:rsidRPr="00355CD8">
        <w:rPr>
          <w:rFonts w:ascii="Arial" w:hAnsi="Arial" w:cs="Arial"/>
        </w:rPr>
        <w:t xml:space="preserve"> of Nursing) (2025) 'Health and Care visas and the Immigration Health Surcharge'. Available at: </w:t>
      </w:r>
      <w:hyperlink r:id="rId30" w:tgtFrame="_blank" w:history="1">
        <w:r w:rsidRPr="00355CD8">
          <w:rPr>
            <w:rStyle w:val="Hyperlink"/>
            <w:rFonts w:ascii="Arial" w:hAnsi="Arial" w:cs="Arial"/>
          </w:rPr>
          <w:t>https://www.rcn.org.uk</w:t>
        </w:r>
      </w:hyperlink>
      <w:r w:rsidRPr="00355CD8">
        <w:rPr>
          <w:rFonts w:ascii="Arial" w:hAnsi="Arial" w:cs="Arial"/>
        </w:rPr>
        <w:t> (Accessed: 29 July 2026).</w:t>
      </w:r>
    </w:p>
    <w:p w14:paraId="134017C2" w14:textId="77777777" w:rsidR="00D60B12" w:rsidRPr="00355CD8" w:rsidRDefault="00D60B12" w:rsidP="00355CD8">
      <w:pPr>
        <w:spacing w:line="360" w:lineRule="auto"/>
        <w:jc w:val="both"/>
        <w:rPr>
          <w:rFonts w:ascii="Arial" w:hAnsi="Arial" w:cs="Arial"/>
        </w:rPr>
      </w:pPr>
      <w:r w:rsidRPr="00355CD8">
        <w:rPr>
          <w:rFonts w:ascii="Arial" w:hAnsi="Arial" w:cs="Arial"/>
        </w:rPr>
        <w:t>RCN (Royal College of Nursing) (2026) 'Indefinite Leave to Remain: proposed changes that could reshape nursing workforce'. Available at: </w:t>
      </w:r>
      <w:hyperlink r:id="rId31" w:tgtFrame="_blank" w:history="1">
        <w:r w:rsidRPr="00355CD8">
          <w:rPr>
            <w:rStyle w:val="Hyperlink"/>
            <w:rFonts w:ascii="Arial" w:hAnsi="Arial" w:cs="Arial"/>
          </w:rPr>
          <w:t>https://www.rcn.org.uk</w:t>
        </w:r>
      </w:hyperlink>
      <w:r w:rsidRPr="00355CD8">
        <w:rPr>
          <w:rFonts w:ascii="Arial" w:hAnsi="Arial" w:cs="Arial"/>
        </w:rPr>
        <w:t> (Accessed: 29 July 2026).</w:t>
      </w:r>
    </w:p>
    <w:p w14:paraId="1CDC3A35" w14:textId="77777777" w:rsidR="00D60B12" w:rsidRPr="00355CD8" w:rsidRDefault="00D60B12" w:rsidP="00355CD8">
      <w:pPr>
        <w:spacing w:line="360" w:lineRule="auto"/>
        <w:jc w:val="both"/>
        <w:rPr>
          <w:rFonts w:ascii="Arial" w:hAnsi="Arial" w:cs="Arial"/>
        </w:rPr>
      </w:pPr>
      <w:r w:rsidRPr="00355CD8">
        <w:rPr>
          <w:rFonts w:ascii="Arial" w:hAnsi="Arial" w:cs="Arial"/>
        </w:rPr>
        <w:t>Rolewicz, L., Palmer, B., Hiam, L. and Boyle, S. (2025) 'Immigration crackdown threatens NHS workforce, data show', </w:t>
      </w:r>
      <w:r w:rsidRPr="00355CD8">
        <w:rPr>
          <w:rFonts w:ascii="Arial" w:hAnsi="Arial" w:cs="Arial"/>
          <w:i/>
          <w:iCs/>
        </w:rPr>
        <w:t>BMJ</w:t>
      </w:r>
      <w:r w:rsidRPr="00355CD8">
        <w:rPr>
          <w:rFonts w:ascii="Arial" w:hAnsi="Arial" w:cs="Arial"/>
        </w:rPr>
        <w:t>, 390, r1554. </w:t>
      </w:r>
      <w:hyperlink r:id="rId32" w:tgtFrame="_blank" w:history="1">
        <w:r w:rsidRPr="00355CD8">
          <w:rPr>
            <w:rStyle w:val="Hyperlink"/>
            <w:rFonts w:ascii="Arial" w:hAnsi="Arial" w:cs="Arial"/>
          </w:rPr>
          <w:t>https://doi.org/10.1136/bmj.r1554</w:t>
        </w:r>
      </w:hyperlink>
    </w:p>
    <w:p w14:paraId="47B1B6BB" w14:textId="77777777" w:rsidR="00D60B12" w:rsidRPr="00355CD8" w:rsidRDefault="00D60B12" w:rsidP="00355CD8">
      <w:pPr>
        <w:spacing w:line="360" w:lineRule="auto"/>
        <w:jc w:val="both"/>
        <w:rPr>
          <w:rFonts w:ascii="Arial" w:hAnsi="Arial" w:cs="Arial"/>
        </w:rPr>
      </w:pPr>
      <w:r w:rsidRPr="00355CD8">
        <w:rPr>
          <w:rFonts w:ascii="Arial" w:hAnsi="Arial" w:cs="Arial"/>
        </w:rPr>
        <w:t>Rove Legal (2026) 'Health and Care Worker Visa Changes in 2025: Complete Guide'. Available at: </w:t>
      </w:r>
      <w:hyperlink r:id="rId33" w:tgtFrame="_blank" w:history="1">
        <w:r w:rsidRPr="00355CD8">
          <w:rPr>
            <w:rStyle w:val="Hyperlink"/>
            <w:rFonts w:ascii="Arial" w:hAnsi="Arial" w:cs="Arial"/>
          </w:rPr>
          <w:t>https://www.rovelegal.com</w:t>
        </w:r>
      </w:hyperlink>
      <w:r w:rsidRPr="00355CD8">
        <w:rPr>
          <w:rFonts w:ascii="Arial" w:hAnsi="Arial" w:cs="Arial"/>
        </w:rPr>
        <w:t> (Accessed: 29 July 2026). </w:t>
      </w:r>
      <w:r w:rsidRPr="00355CD8">
        <w:rPr>
          <w:rFonts w:ascii="Arial" w:hAnsi="Arial" w:cs="Arial"/>
          <w:i/>
          <w:iCs/>
        </w:rPr>
        <w:t xml:space="preserve"> </w:t>
      </w:r>
    </w:p>
    <w:p w14:paraId="07BBF59C" w14:textId="77777777" w:rsidR="00D60B12" w:rsidRPr="00355CD8" w:rsidRDefault="00D60B12" w:rsidP="00355CD8">
      <w:pPr>
        <w:spacing w:line="360" w:lineRule="auto"/>
        <w:jc w:val="both"/>
        <w:rPr>
          <w:rFonts w:ascii="Arial" w:hAnsi="Arial" w:cs="Arial"/>
        </w:rPr>
      </w:pPr>
      <w:proofErr w:type="spellStart"/>
      <w:r w:rsidRPr="00355CD8">
        <w:rPr>
          <w:rFonts w:ascii="Arial" w:hAnsi="Arial" w:cs="Arial"/>
        </w:rPr>
        <w:t>Sarre</w:t>
      </w:r>
      <w:proofErr w:type="spellEnd"/>
      <w:r w:rsidRPr="00355CD8">
        <w:rPr>
          <w:rFonts w:ascii="Arial" w:hAnsi="Arial" w:cs="Arial"/>
        </w:rPr>
        <w:t xml:space="preserve">, S., Maben, J., Aldus, C., Schneider, J., </w:t>
      </w:r>
      <w:proofErr w:type="spellStart"/>
      <w:r w:rsidRPr="00355CD8">
        <w:rPr>
          <w:rFonts w:ascii="Arial" w:hAnsi="Arial" w:cs="Arial"/>
        </w:rPr>
        <w:t>Wharrad</w:t>
      </w:r>
      <w:proofErr w:type="spellEnd"/>
      <w:r w:rsidRPr="00355CD8">
        <w:rPr>
          <w:rFonts w:ascii="Arial" w:hAnsi="Arial" w:cs="Arial"/>
        </w:rPr>
        <w:t>, H., Nicholson, C. and Arthur, A. (2025) 'The challenges of training, support and assessment of healthcare support workers: A qualitative study of experiences in three English acute hospitals', </w:t>
      </w:r>
      <w:r w:rsidRPr="00355CD8">
        <w:rPr>
          <w:rFonts w:ascii="Arial" w:hAnsi="Arial" w:cs="Arial"/>
          <w:i/>
          <w:iCs/>
        </w:rPr>
        <w:t>BMC Health Services Research</w:t>
      </w:r>
      <w:r w:rsidRPr="00355CD8">
        <w:rPr>
          <w:rFonts w:ascii="Arial" w:hAnsi="Arial" w:cs="Arial"/>
        </w:rPr>
        <w:t>, 25, 505.</w:t>
      </w:r>
    </w:p>
    <w:p w14:paraId="50CA14B3" w14:textId="77777777" w:rsidR="00D60B12" w:rsidRPr="00355CD8" w:rsidRDefault="00D60B12" w:rsidP="00355CD8">
      <w:pPr>
        <w:spacing w:line="360" w:lineRule="auto"/>
        <w:jc w:val="both"/>
        <w:rPr>
          <w:rFonts w:ascii="Arial" w:hAnsi="Arial" w:cs="Arial"/>
        </w:rPr>
      </w:pPr>
      <w:r w:rsidRPr="00355CD8">
        <w:rPr>
          <w:rFonts w:ascii="Arial" w:hAnsi="Arial" w:cs="Arial"/>
        </w:rPr>
        <w:t>Saunders, M., Lewis, P. and Thornhill, A. (2023) </w:t>
      </w:r>
      <w:r w:rsidRPr="00355CD8">
        <w:rPr>
          <w:rFonts w:ascii="Arial" w:hAnsi="Arial" w:cs="Arial"/>
          <w:i/>
          <w:iCs/>
        </w:rPr>
        <w:t>Research Methods for Business Students</w:t>
      </w:r>
      <w:r w:rsidRPr="00355CD8">
        <w:rPr>
          <w:rFonts w:ascii="Arial" w:hAnsi="Arial" w:cs="Arial"/>
        </w:rPr>
        <w:t xml:space="preserve">. 9th </w:t>
      </w:r>
      <w:proofErr w:type="spellStart"/>
      <w:r w:rsidRPr="00355CD8">
        <w:rPr>
          <w:rFonts w:ascii="Arial" w:hAnsi="Arial" w:cs="Arial"/>
        </w:rPr>
        <w:t>edn</w:t>
      </w:r>
      <w:proofErr w:type="spellEnd"/>
      <w:r w:rsidRPr="00355CD8">
        <w:rPr>
          <w:rFonts w:ascii="Arial" w:hAnsi="Arial" w:cs="Arial"/>
        </w:rPr>
        <w:t>. Harlow: Pearson.</w:t>
      </w:r>
    </w:p>
    <w:p w14:paraId="7388E540" w14:textId="77777777" w:rsidR="00D60B12" w:rsidRPr="00355CD8" w:rsidRDefault="00D60B12" w:rsidP="00355CD8">
      <w:pPr>
        <w:spacing w:line="360" w:lineRule="auto"/>
        <w:jc w:val="both"/>
        <w:rPr>
          <w:rFonts w:ascii="Arial" w:hAnsi="Arial" w:cs="Arial"/>
        </w:rPr>
      </w:pPr>
      <w:r w:rsidRPr="00355CD8">
        <w:rPr>
          <w:rFonts w:ascii="Arial" w:hAnsi="Arial" w:cs="Arial"/>
        </w:rPr>
        <w:t>Schultz, T.W. (1961) 'Investment in human capital', </w:t>
      </w:r>
      <w:r w:rsidRPr="00355CD8">
        <w:rPr>
          <w:rFonts w:ascii="Arial" w:hAnsi="Arial" w:cs="Arial"/>
          <w:i/>
          <w:iCs/>
        </w:rPr>
        <w:t>The American Economic Review</w:t>
      </w:r>
      <w:r w:rsidRPr="00355CD8">
        <w:rPr>
          <w:rFonts w:ascii="Arial" w:hAnsi="Arial" w:cs="Arial"/>
        </w:rPr>
        <w:t>, 51(1), pp. 1–17.</w:t>
      </w:r>
    </w:p>
    <w:p w14:paraId="65CFBA5D" w14:textId="77777777" w:rsidR="00D60B12" w:rsidRPr="00355CD8" w:rsidRDefault="00D60B12" w:rsidP="00355CD8">
      <w:pPr>
        <w:spacing w:line="360" w:lineRule="auto"/>
        <w:jc w:val="both"/>
        <w:rPr>
          <w:rFonts w:ascii="Arial" w:hAnsi="Arial" w:cs="Arial"/>
        </w:rPr>
      </w:pPr>
      <w:r w:rsidRPr="00355CD8">
        <w:rPr>
          <w:rFonts w:ascii="Arial" w:hAnsi="Arial" w:cs="Arial"/>
        </w:rPr>
        <w:t>ScienceDirect (2025) 'Decent work conditions and Nigerian nurse emigration: The role of burnout and commitment'. Available at: </w:t>
      </w:r>
      <w:hyperlink r:id="rId34" w:tgtFrame="_blank" w:history="1">
        <w:r w:rsidRPr="00355CD8">
          <w:rPr>
            <w:rStyle w:val="Hyperlink"/>
            <w:rFonts w:ascii="Arial" w:hAnsi="Arial" w:cs="Arial"/>
          </w:rPr>
          <w:t>https://www.sciencedirect.com</w:t>
        </w:r>
      </w:hyperlink>
      <w:r w:rsidRPr="00355CD8">
        <w:rPr>
          <w:rFonts w:ascii="Arial" w:hAnsi="Arial" w:cs="Arial"/>
        </w:rPr>
        <w:t> (Accessed: 29 July 2026). </w:t>
      </w:r>
      <w:r w:rsidRPr="00355CD8">
        <w:rPr>
          <w:rFonts w:ascii="Arial" w:hAnsi="Arial" w:cs="Arial"/>
          <w:i/>
          <w:iCs/>
        </w:rPr>
        <w:t xml:space="preserve"> </w:t>
      </w:r>
    </w:p>
    <w:p w14:paraId="6D2D7433" w14:textId="77777777" w:rsidR="00D60B12" w:rsidRPr="00355CD8" w:rsidRDefault="00D60B12" w:rsidP="00355CD8">
      <w:pPr>
        <w:spacing w:line="360" w:lineRule="auto"/>
        <w:jc w:val="both"/>
        <w:rPr>
          <w:rFonts w:ascii="Arial" w:hAnsi="Arial" w:cs="Arial"/>
        </w:rPr>
      </w:pPr>
      <w:proofErr w:type="spellStart"/>
      <w:r w:rsidRPr="00355CD8">
        <w:rPr>
          <w:rFonts w:ascii="Arial" w:hAnsi="Arial" w:cs="Arial"/>
        </w:rPr>
        <w:t>Seraphus</w:t>
      </w:r>
      <w:proofErr w:type="spellEnd"/>
      <w:r w:rsidRPr="00355CD8">
        <w:rPr>
          <w:rFonts w:ascii="Arial" w:hAnsi="Arial" w:cs="Arial"/>
        </w:rPr>
        <w:t xml:space="preserve"> (2026) 'Health and Care Worker visa changes: impact on employers'. Available at: </w:t>
      </w:r>
      <w:hyperlink r:id="rId35" w:tgtFrame="_blank" w:history="1">
        <w:r w:rsidRPr="00355CD8">
          <w:rPr>
            <w:rStyle w:val="Hyperlink"/>
            <w:rFonts w:ascii="Arial" w:hAnsi="Arial" w:cs="Arial"/>
          </w:rPr>
          <w:t>https://www.seraphus.co.uk</w:t>
        </w:r>
      </w:hyperlink>
      <w:r w:rsidRPr="00355CD8">
        <w:rPr>
          <w:rFonts w:ascii="Arial" w:hAnsi="Arial" w:cs="Arial"/>
        </w:rPr>
        <w:t> (Accessed: 29 July 2026). </w:t>
      </w:r>
      <w:r w:rsidRPr="00355CD8">
        <w:rPr>
          <w:rFonts w:ascii="Arial" w:hAnsi="Arial" w:cs="Arial"/>
          <w:i/>
          <w:iCs/>
        </w:rPr>
        <w:t xml:space="preserve"> </w:t>
      </w:r>
    </w:p>
    <w:p w14:paraId="03CFB062" w14:textId="77777777" w:rsidR="00D60B12" w:rsidRPr="00355CD8" w:rsidRDefault="00D60B12" w:rsidP="00355CD8">
      <w:pPr>
        <w:spacing w:line="360" w:lineRule="auto"/>
        <w:jc w:val="both"/>
        <w:rPr>
          <w:rFonts w:ascii="Arial" w:hAnsi="Arial" w:cs="Arial"/>
        </w:rPr>
      </w:pPr>
      <w:r w:rsidRPr="00355CD8">
        <w:rPr>
          <w:rFonts w:ascii="Arial" w:hAnsi="Arial" w:cs="Arial"/>
        </w:rPr>
        <w:t>Skills for Care (2024) </w:t>
      </w:r>
      <w:r w:rsidRPr="00355CD8">
        <w:rPr>
          <w:rFonts w:ascii="Arial" w:hAnsi="Arial" w:cs="Arial"/>
          <w:i/>
          <w:iCs/>
        </w:rPr>
        <w:t>The state of the adult social care sector and workforce in England</w:t>
      </w:r>
      <w:r w:rsidRPr="00355CD8">
        <w:rPr>
          <w:rFonts w:ascii="Arial" w:hAnsi="Arial" w:cs="Arial"/>
        </w:rPr>
        <w:t>. Available at: </w:t>
      </w:r>
      <w:hyperlink r:id="rId36" w:tgtFrame="_blank" w:history="1">
        <w:r w:rsidRPr="00355CD8">
          <w:rPr>
            <w:rStyle w:val="Hyperlink"/>
            <w:rFonts w:ascii="Arial" w:hAnsi="Arial" w:cs="Arial"/>
          </w:rPr>
          <w:t>https://www.skillsforcare.org.uk</w:t>
        </w:r>
      </w:hyperlink>
      <w:r w:rsidRPr="00355CD8">
        <w:rPr>
          <w:rFonts w:ascii="Arial" w:hAnsi="Arial" w:cs="Arial"/>
        </w:rPr>
        <w:t> (Accessed: 29 July 2026).</w:t>
      </w:r>
    </w:p>
    <w:p w14:paraId="51AE49C9" w14:textId="77777777" w:rsidR="00D60B12" w:rsidRPr="00355CD8" w:rsidRDefault="00D60B12" w:rsidP="00355CD8">
      <w:pPr>
        <w:spacing w:line="360" w:lineRule="auto"/>
        <w:jc w:val="both"/>
        <w:rPr>
          <w:rFonts w:ascii="Arial" w:hAnsi="Arial" w:cs="Arial"/>
        </w:rPr>
      </w:pPr>
      <w:r w:rsidRPr="00355CD8">
        <w:rPr>
          <w:rFonts w:ascii="Arial" w:hAnsi="Arial" w:cs="Arial"/>
        </w:rPr>
        <w:t>Skills for Care (2025/26) </w:t>
      </w:r>
      <w:r w:rsidRPr="00355CD8">
        <w:rPr>
          <w:rFonts w:ascii="Arial" w:hAnsi="Arial" w:cs="Arial"/>
          <w:i/>
          <w:iCs/>
        </w:rPr>
        <w:t xml:space="preserve">Adult social care </w:t>
      </w:r>
      <w:proofErr w:type="gramStart"/>
      <w:r w:rsidRPr="00355CD8">
        <w:rPr>
          <w:rFonts w:ascii="Arial" w:hAnsi="Arial" w:cs="Arial"/>
          <w:i/>
          <w:iCs/>
        </w:rPr>
        <w:t>vacancy</w:t>
      </w:r>
      <w:proofErr w:type="gramEnd"/>
      <w:r w:rsidRPr="00355CD8">
        <w:rPr>
          <w:rFonts w:ascii="Arial" w:hAnsi="Arial" w:cs="Arial"/>
          <w:i/>
          <w:iCs/>
        </w:rPr>
        <w:t xml:space="preserve"> </w:t>
      </w:r>
      <w:proofErr w:type="gramStart"/>
      <w:r w:rsidRPr="00355CD8">
        <w:rPr>
          <w:rFonts w:ascii="Arial" w:hAnsi="Arial" w:cs="Arial"/>
          <w:i/>
          <w:iCs/>
        </w:rPr>
        <w:t>rate falls</w:t>
      </w:r>
      <w:proofErr w:type="gramEnd"/>
      <w:r w:rsidRPr="00355CD8">
        <w:rPr>
          <w:rFonts w:ascii="Arial" w:hAnsi="Arial" w:cs="Arial"/>
          <w:i/>
          <w:iCs/>
        </w:rPr>
        <w:t xml:space="preserve"> to lowest level in a decade</w:t>
      </w:r>
      <w:r w:rsidRPr="00355CD8">
        <w:rPr>
          <w:rFonts w:ascii="Arial" w:hAnsi="Arial" w:cs="Arial"/>
        </w:rPr>
        <w:t>. Available at: </w:t>
      </w:r>
      <w:hyperlink r:id="rId37" w:tgtFrame="_blank" w:history="1">
        <w:r w:rsidRPr="00355CD8">
          <w:rPr>
            <w:rStyle w:val="Hyperlink"/>
            <w:rFonts w:ascii="Arial" w:hAnsi="Arial" w:cs="Arial"/>
          </w:rPr>
          <w:t>https://www.skillsforcare.org.uk</w:t>
        </w:r>
      </w:hyperlink>
      <w:r w:rsidRPr="00355CD8">
        <w:rPr>
          <w:rFonts w:ascii="Arial" w:hAnsi="Arial" w:cs="Arial"/>
        </w:rPr>
        <w:t> (Accessed: 29 July 2026).</w:t>
      </w:r>
    </w:p>
    <w:p w14:paraId="265187FA" w14:textId="77777777" w:rsidR="00D60B12" w:rsidRPr="00355CD8" w:rsidRDefault="00D60B12" w:rsidP="00355CD8">
      <w:pPr>
        <w:spacing w:line="360" w:lineRule="auto"/>
        <w:jc w:val="both"/>
        <w:rPr>
          <w:rFonts w:ascii="Arial" w:hAnsi="Arial" w:cs="Arial"/>
        </w:rPr>
      </w:pPr>
      <w:proofErr w:type="spellStart"/>
      <w:r w:rsidRPr="00355CD8">
        <w:rPr>
          <w:rFonts w:ascii="Arial" w:hAnsi="Arial" w:cs="Arial"/>
        </w:rPr>
        <w:lastRenderedPageBreak/>
        <w:t>Slaus</w:t>
      </w:r>
      <w:proofErr w:type="spellEnd"/>
      <w:r w:rsidRPr="00355CD8">
        <w:rPr>
          <w:rFonts w:ascii="Arial" w:hAnsi="Arial" w:cs="Arial"/>
        </w:rPr>
        <w:t>, I. and Jacobs, G. (2011) 'Human capital and sustainability', </w:t>
      </w:r>
      <w:r w:rsidRPr="00355CD8">
        <w:rPr>
          <w:rFonts w:ascii="Arial" w:hAnsi="Arial" w:cs="Arial"/>
          <w:i/>
          <w:iCs/>
        </w:rPr>
        <w:t>Sustainability</w:t>
      </w:r>
      <w:r w:rsidRPr="00355CD8">
        <w:rPr>
          <w:rFonts w:ascii="Arial" w:hAnsi="Arial" w:cs="Arial"/>
        </w:rPr>
        <w:t>, 3, pp. 97–154.</w:t>
      </w:r>
    </w:p>
    <w:p w14:paraId="20DA4123" w14:textId="77777777" w:rsidR="00D60B12" w:rsidRPr="00355CD8" w:rsidRDefault="00D60B12" w:rsidP="00355CD8">
      <w:pPr>
        <w:spacing w:line="360" w:lineRule="auto"/>
        <w:jc w:val="both"/>
        <w:rPr>
          <w:rFonts w:ascii="Arial" w:hAnsi="Arial" w:cs="Arial"/>
        </w:rPr>
      </w:pPr>
      <w:r w:rsidRPr="00355CD8">
        <w:rPr>
          <w:rFonts w:ascii="Arial" w:hAnsi="Arial" w:cs="Arial"/>
        </w:rPr>
        <w:t>Stewart, E. and Mulvey, G. (2014) 'Seeking safety beyond refuge: the impact of immigration and citizenship policy upon refugees in the UK', </w:t>
      </w:r>
      <w:r w:rsidRPr="00355CD8">
        <w:rPr>
          <w:rFonts w:ascii="Arial" w:hAnsi="Arial" w:cs="Arial"/>
          <w:i/>
          <w:iCs/>
        </w:rPr>
        <w:t>Journal of Ethnic and Migration Studies</w:t>
      </w:r>
      <w:r w:rsidRPr="00355CD8">
        <w:rPr>
          <w:rFonts w:ascii="Arial" w:hAnsi="Arial" w:cs="Arial"/>
        </w:rPr>
        <w:t>, 40(7), pp. 1023–1039.</w:t>
      </w:r>
    </w:p>
    <w:p w14:paraId="7001A1D8" w14:textId="77777777" w:rsidR="00D60B12" w:rsidRPr="00355CD8" w:rsidRDefault="00D60B12" w:rsidP="00355CD8">
      <w:pPr>
        <w:spacing w:line="360" w:lineRule="auto"/>
        <w:jc w:val="both"/>
        <w:rPr>
          <w:rFonts w:ascii="Arial" w:hAnsi="Arial" w:cs="Arial"/>
        </w:rPr>
      </w:pPr>
      <w:r w:rsidRPr="00355CD8">
        <w:rPr>
          <w:rFonts w:ascii="Arial" w:hAnsi="Arial" w:cs="Arial"/>
        </w:rPr>
        <w:t>Sweileh, W. (2024) 'Research Trends and Patterns on International Migration of Health Workers (1950–2022)', </w:t>
      </w:r>
      <w:r w:rsidRPr="00355CD8">
        <w:rPr>
          <w:rFonts w:ascii="Arial" w:hAnsi="Arial" w:cs="Arial"/>
          <w:i/>
          <w:iCs/>
        </w:rPr>
        <w:t>Journal of Migration and Health</w:t>
      </w:r>
      <w:r w:rsidRPr="00355CD8">
        <w:rPr>
          <w:rFonts w:ascii="Arial" w:hAnsi="Arial" w:cs="Arial"/>
        </w:rPr>
        <w:t>, 10, 100245. </w:t>
      </w:r>
      <w:hyperlink r:id="rId38" w:tgtFrame="_blank" w:history="1">
        <w:r w:rsidRPr="00355CD8">
          <w:rPr>
            <w:rStyle w:val="Hyperlink"/>
            <w:rFonts w:ascii="Arial" w:hAnsi="Arial" w:cs="Arial"/>
          </w:rPr>
          <w:t>https://doi.org/10.1016/j.jmh.2024.100245</w:t>
        </w:r>
      </w:hyperlink>
    </w:p>
    <w:p w14:paraId="09AADC46" w14:textId="77777777" w:rsidR="00D60B12" w:rsidRPr="00355CD8" w:rsidRDefault="00D60B12" w:rsidP="00355CD8">
      <w:pPr>
        <w:spacing w:line="360" w:lineRule="auto"/>
        <w:jc w:val="both"/>
        <w:rPr>
          <w:rFonts w:ascii="Arial" w:hAnsi="Arial" w:cs="Arial"/>
        </w:rPr>
      </w:pPr>
      <w:r w:rsidRPr="00355CD8">
        <w:rPr>
          <w:rFonts w:ascii="Arial" w:hAnsi="Arial" w:cs="Arial"/>
        </w:rPr>
        <w:t xml:space="preserve">TUC (Trades Union Congress) (2026) 'Ill-thought through visa reforms risk worsening </w:t>
      </w:r>
      <w:proofErr w:type="spellStart"/>
      <w:r w:rsidRPr="00355CD8">
        <w:rPr>
          <w:rFonts w:ascii="Arial" w:hAnsi="Arial" w:cs="Arial"/>
        </w:rPr>
        <w:t>labour</w:t>
      </w:r>
      <w:proofErr w:type="spellEnd"/>
      <w:r w:rsidRPr="00355CD8">
        <w:rPr>
          <w:rFonts w:ascii="Arial" w:hAnsi="Arial" w:cs="Arial"/>
        </w:rPr>
        <w:t xml:space="preserve"> shortages in social care'. Available at: </w:t>
      </w:r>
      <w:hyperlink r:id="rId39" w:tgtFrame="_blank" w:history="1">
        <w:r w:rsidRPr="00355CD8">
          <w:rPr>
            <w:rStyle w:val="Hyperlink"/>
            <w:rFonts w:ascii="Arial" w:hAnsi="Arial" w:cs="Arial"/>
          </w:rPr>
          <w:t>https://morningstaronline.co.uk</w:t>
        </w:r>
      </w:hyperlink>
      <w:r w:rsidRPr="00355CD8">
        <w:rPr>
          <w:rFonts w:ascii="Arial" w:hAnsi="Arial" w:cs="Arial"/>
        </w:rPr>
        <w:t> (Accessed: 29 July 2026).</w:t>
      </w:r>
    </w:p>
    <w:p w14:paraId="7AD12631" w14:textId="77777777" w:rsidR="00D60B12" w:rsidRPr="00355CD8" w:rsidRDefault="00D60B12" w:rsidP="00355CD8">
      <w:pPr>
        <w:spacing w:line="360" w:lineRule="auto"/>
        <w:jc w:val="both"/>
        <w:rPr>
          <w:rFonts w:ascii="Arial" w:hAnsi="Arial" w:cs="Arial"/>
        </w:rPr>
      </w:pPr>
    </w:p>
    <w:p w14:paraId="72E88284" w14:textId="77777777" w:rsidR="00BE546B" w:rsidRDefault="00BE546B">
      <w:pPr>
        <w:rPr>
          <w:rFonts w:asciiTheme="majorHAnsi" w:eastAsiaTheme="majorEastAsia" w:hAnsiTheme="majorHAnsi" w:cstheme="majorBidi"/>
          <w:color w:val="0F4761" w:themeColor="accent1" w:themeShade="BF"/>
          <w:sz w:val="40"/>
          <w:szCs w:val="40"/>
        </w:rPr>
      </w:pPr>
      <w:r>
        <w:br w:type="page"/>
      </w:r>
    </w:p>
    <w:p w14:paraId="53077241" w14:textId="5C9C4AA5" w:rsidR="00050789" w:rsidRDefault="00F43A3C" w:rsidP="00C8320B">
      <w:pPr>
        <w:pStyle w:val="Heading1"/>
      </w:pPr>
      <w:bookmarkStart w:id="186" w:name="_Toc238200195"/>
      <w:r>
        <w:lastRenderedPageBreak/>
        <w:t>Appendix</w:t>
      </w:r>
      <w:bookmarkEnd w:id="186"/>
    </w:p>
    <w:p w14:paraId="79CE8471" w14:textId="77777777" w:rsidR="00EF59E8" w:rsidRPr="00C8320B" w:rsidRDefault="00EF59E8" w:rsidP="00C8320B">
      <w:pPr>
        <w:spacing w:line="360" w:lineRule="auto"/>
        <w:jc w:val="both"/>
        <w:rPr>
          <w:rFonts w:ascii="Arial" w:hAnsi="Arial" w:cs="Arial"/>
          <w:b/>
          <w:bCs/>
        </w:rPr>
      </w:pPr>
      <w:r w:rsidRPr="00C8320B">
        <w:rPr>
          <w:rFonts w:ascii="Arial" w:hAnsi="Arial" w:cs="Arial"/>
          <w:b/>
          <w:bCs/>
        </w:rPr>
        <w:t>Appendix A: Data Analysis Outputs</w:t>
      </w:r>
    </w:p>
    <w:p w14:paraId="12976244" w14:textId="645F56D8" w:rsidR="00EF59E8" w:rsidRPr="00C8320B" w:rsidRDefault="00EF59E8" w:rsidP="00C8320B">
      <w:pPr>
        <w:spacing w:line="360" w:lineRule="auto"/>
        <w:jc w:val="both"/>
        <w:rPr>
          <w:rFonts w:ascii="Arial" w:hAnsi="Arial" w:cs="Arial"/>
        </w:rPr>
      </w:pPr>
      <w:r w:rsidRPr="00C8320B">
        <w:rPr>
          <w:rFonts w:ascii="Arial" w:hAnsi="Arial" w:cs="Arial"/>
        </w:rPr>
        <w:t>This appendix presents the complete data analysis outputs conducted in Microsoft Excel to support the findings presented in Chapter 4.</w:t>
      </w:r>
    </w:p>
    <w:p w14:paraId="6D394206" w14:textId="73B1142C" w:rsidR="00B70586" w:rsidRPr="00E458B3" w:rsidRDefault="00B70586" w:rsidP="00B70586">
      <w:pPr>
        <w:pStyle w:val="Caption"/>
        <w:keepNext/>
        <w:rPr>
          <w:sz w:val="28"/>
          <w:szCs w:val="28"/>
        </w:rPr>
      </w:pPr>
      <w:bookmarkStart w:id="187" w:name="_Toc238206094"/>
      <w:r w:rsidRPr="00E458B3">
        <w:rPr>
          <w:sz w:val="28"/>
          <w:szCs w:val="28"/>
        </w:rPr>
        <w:t xml:space="preserve">Table </w:t>
      </w:r>
      <w:r w:rsidRPr="00E458B3">
        <w:rPr>
          <w:sz w:val="28"/>
          <w:szCs w:val="28"/>
        </w:rPr>
        <w:fldChar w:fldCharType="begin"/>
      </w:r>
      <w:r w:rsidRPr="00E458B3">
        <w:rPr>
          <w:sz w:val="28"/>
          <w:szCs w:val="28"/>
        </w:rPr>
        <w:instrText xml:space="preserve"> SEQ Table \* ARABIC </w:instrText>
      </w:r>
      <w:r w:rsidRPr="00E458B3">
        <w:rPr>
          <w:sz w:val="28"/>
          <w:szCs w:val="28"/>
        </w:rPr>
        <w:fldChar w:fldCharType="separate"/>
      </w:r>
      <w:r w:rsidRPr="00E458B3">
        <w:rPr>
          <w:noProof/>
          <w:sz w:val="28"/>
          <w:szCs w:val="28"/>
        </w:rPr>
        <w:t>10</w:t>
      </w:r>
      <w:r w:rsidRPr="00E458B3">
        <w:rPr>
          <w:sz w:val="28"/>
          <w:szCs w:val="28"/>
        </w:rPr>
        <w:fldChar w:fldCharType="end"/>
      </w:r>
      <w:r w:rsidRPr="00E458B3">
        <w:rPr>
          <w:sz w:val="28"/>
          <w:szCs w:val="28"/>
        </w:rPr>
        <w:t xml:space="preserve"> Health and Care Worker Visa Grants (2020–2026).</w:t>
      </w:r>
      <w:bookmarkEnd w:id="187"/>
    </w:p>
    <w:p w14:paraId="036319C7" w14:textId="5261C94B" w:rsidR="00AF38C8" w:rsidRDefault="00AF38C8" w:rsidP="00050789">
      <w:r>
        <w:object w:dxaOrig="7045" w:dyaOrig="3063" w14:anchorId="21C78A4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1.8pt;height:153.8pt" o:ole="">
            <v:imagedata r:id="rId40" o:title=""/>
          </v:shape>
          <o:OLEObject Type="Embed" ProgID="Excel.Sheet.8" ShapeID="_x0000_i1025" DrawAspect="Content" ObjectID="_1848843229" r:id="rId41"/>
        </w:object>
      </w:r>
    </w:p>
    <w:p w14:paraId="3B2839B1" w14:textId="6BA14218" w:rsidR="00EF59E8" w:rsidRPr="00544E3B" w:rsidRDefault="00EF59E8" w:rsidP="00EF59E8">
      <w:pPr>
        <w:jc w:val="both"/>
        <w:rPr>
          <w:rFonts w:ascii="Arial" w:hAnsi="Arial" w:cs="Arial"/>
          <w:b/>
          <w:bCs/>
        </w:rPr>
      </w:pPr>
      <w:r w:rsidRPr="00544E3B">
        <w:rPr>
          <w:rFonts w:ascii="Arial" w:hAnsi="Arial" w:cs="Arial"/>
          <w:b/>
          <w:bCs/>
        </w:rPr>
        <w:t>A.</w:t>
      </w:r>
      <w:r>
        <w:rPr>
          <w:rFonts w:ascii="Arial" w:hAnsi="Arial" w:cs="Arial"/>
          <w:b/>
          <w:bCs/>
        </w:rPr>
        <w:t>1</w:t>
      </w:r>
      <w:r w:rsidRPr="00544E3B">
        <w:rPr>
          <w:rFonts w:ascii="Arial" w:hAnsi="Arial" w:cs="Arial"/>
          <w:b/>
          <w:bCs/>
        </w:rPr>
        <w:t xml:space="preserve"> Descriptive Statistics</w:t>
      </w:r>
    </w:p>
    <w:p w14:paraId="113A081B" w14:textId="77777777" w:rsidR="00EF59E8" w:rsidRPr="00EF59E8" w:rsidRDefault="00EF59E8" w:rsidP="00EF59E8">
      <w:pPr>
        <w:jc w:val="both"/>
        <w:rPr>
          <w:rFonts w:ascii="Arial" w:hAnsi="Arial" w:cs="Arial"/>
        </w:rPr>
      </w:pPr>
      <w:r w:rsidRPr="00544E3B">
        <w:rPr>
          <w:rFonts w:ascii="Arial" w:hAnsi="Arial" w:cs="Arial"/>
        </w:rPr>
        <w:t>The descriptive statistics for Health and Care Worker visa grants (2020–2026) reveal significant variation over the study period. The mean annual visa grant rate was 52,442, with a standard deviation of 47,345, indicating high volatility. The minimum visa grants occurred in 2026 (12,300), while the maximum was in 2023 (145,823). This substantial range (133,523) demonstrates the dramatic impact of immigration policy changes on visa issuance.</w:t>
      </w:r>
    </w:p>
    <w:p w14:paraId="61D90A31" w14:textId="5D30A016" w:rsidR="00B70586" w:rsidRPr="00E458B3" w:rsidRDefault="00B70586" w:rsidP="00B70586">
      <w:pPr>
        <w:pStyle w:val="Caption"/>
        <w:keepNext/>
        <w:rPr>
          <w:sz w:val="28"/>
          <w:szCs w:val="28"/>
        </w:rPr>
      </w:pPr>
      <w:bookmarkStart w:id="188" w:name="_Toc238206095"/>
      <w:r w:rsidRPr="00E458B3">
        <w:rPr>
          <w:sz w:val="28"/>
          <w:szCs w:val="28"/>
        </w:rPr>
        <w:t xml:space="preserve">Table </w:t>
      </w:r>
      <w:r w:rsidRPr="00E458B3">
        <w:rPr>
          <w:sz w:val="28"/>
          <w:szCs w:val="28"/>
        </w:rPr>
        <w:fldChar w:fldCharType="begin"/>
      </w:r>
      <w:r w:rsidRPr="00E458B3">
        <w:rPr>
          <w:sz w:val="28"/>
          <w:szCs w:val="28"/>
        </w:rPr>
        <w:instrText xml:space="preserve"> SEQ Table \* ARABIC </w:instrText>
      </w:r>
      <w:r w:rsidRPr="00E458B3">
        <w:rPr>
          <w:sz w:val="28"/>
          <w:szCs w:val="28"/>
        </w:rPr>
        <w:fldChar w:fldCharType="separate"/>
      </w:r>
      <w:r w:rsidRPr="00E458B3">
        <w:rPr>
          <w:noProof/>
          <w:sz w:val="28"/>
          <w:szCs w:val="28"/>
        </w:rPr>
        <w:t>11</w:t>
      </w:r>
      <w:r w:rsidRPr="00E458B3">
        <w:rPr>
          <w:sz w:val="28"/>
          <w:szCs w:val="28"/>
        </w:rPr>
        <w:fldChar w:fldCharType="end"/>
      </w:r>
      <w:r w:rsidRPr="00E458B3">
        <w:rPr>
          <w:sz w:val="28"/>
          <w:szCs w:val="28"/>
        </w:rPr>
        <w:t>Results of Descriptive Statistics.</w:t>
      </w:r>
      <w:bookmarkEnd w:id="188"/>
    </w:p>
    <w:p w14:paraId="7A55AE40" w14:textId="77777777" w:rsidR="00EF59E8" w:rsidRDefault="00EF59E8" w:rsidP="00EF59E8">
      <w:r>
        <w:object w:dxaOrig="8275" w:dyaOrig="3063" w14:anchorId="5AE5C0F4">
          <v:shape id="_x0000_i1026" type="#_x0000_t75" style="width:414pt;height:153.8pt" o:ole="">
            <v:imagedata r:id="rId42" o:title=""/>
          </v:shape>
          <o:OLEObject Type="Embed" ProgID="Excel.Sheet.8" ShapeID="_x0000_i1026" DrawAspect="Content" ObjectID="_1848843230" r:id="rId43"/>
        </w:object>
      </w:r>
    </w:p>
    <w:p w14:paraId="2DE7B530" w14:textId="77777777" w:rsidR="00544E3B" w:rsidRDefault="00544E3B" w:rsidP="00050789"/>
    <w:p w14:paraId="797A21FE" w14:textId="5CA9144F" w:rsidR="00B70586" w:rsidRPr="004E0015" w:rsidRDefault="00B70586" w:rsidP="00B70586">
      <w:pPr>
        <w:pStyle w:val="Caption"/>
        <w:keepNext/>
        <w:rPr>
          <w:sz w:val="28"/>
          <w:szCs w:val="28"/>
        </w:rPr>
      </w:pPr>
      <w:bookmarkStart w:id="189" w:name="_Toc238205990"/>
      <w:r w:rsidRPr="004E0015">
        <w:rPr>
          <w:sz w:val="28"/>
          <w:szCs w:val="28"/>
        </w:rPr>
        <w:lastRenderedPageBreak/>
        <w:t xml:space="preserve">Figure </w:t>
      </w:r>
      <w:r w:rsidRPr="004E0015">
        <w:rPr>
          <w:sz w:val="28"/>
          <w:szCs w:val="28"/>
        </w:rPr>
        <w:fldChar w:fldCharType="begin"/>
      </w:r>
      <w:r w:rsidRPr="004E0015">
        <w:rPr>
          <w:sz w:val="28"/>
          <w:szCs w:val="28"/>
        </w:rPr>
        <w:instrText xml:space="preserve"> SEQ Figure \* ARABIC </w:instrText>
      </w:r>
      <w:r w:rsidRPr="004E0015">
        <w:rPr>
          <w:sz w:val="28"/>
          <w:szCs w:val="28"/>
        </w:rPr>
        <w:fldChar w:fldCharType="separate"/>
      </w:r>
      <w:r w:rsidRPr="004E0015">
        <w:rPr>
          <w:noProof/>
          <w:sz w:val="28"/>
          <w:szCs w:val="28"/>
        </w:rPr>
        <w:t>4</w:t>
      </w:r>
      <w:bookmarkEnd w:id="189"/>
      <w:r w:rsidRPr="004E0015">
        <w:rPr>
          <w:sz w:val="28"/>
          <w:szCs w:val="28"/>
        </w:rPr>
        <w:fldChar w:fldCharType="end"/>
      </w:r>
    </w:p>
    <w:p w14:paraId="3F208600" w14:textId="1CAA72C9" w:rsidR="00D434A6" w:rsidRDefault="00D434A6" w:rsidP="00050789">
      <w:r>
        <w:rPr>
          <w:noProof/>
        </w:rPr>
        <mc:AlternateContent>
          <mc:Choice Requires="wpg">
            <w:drawing>
              <wp:inline distT="0" distB="0" distL="0" distR="0" wp14:anchorId="52024663" wp14:editId="3C5314BD">
                <wp:extent cx="4777740" cy="2911348"/>
                <wp:effectExtent l="0" t="0" r="0" b="0"/>
                <wp:docPr id="1175898841" name="Group 1175898841"/>
                <wp:cNvGraphicFramePr/>
                <a:graphic xmlns:a="http://schemas.openxmlformats.org/drawingml/2006/main">
                  <a:graphicData uri="http://schemas.microsoft.com/office/word/2010/wordprocessingGroup">
                    <wpg:wgp>
                      <wpg:cNvGrpSpPr/>
                      <wpg:grpSpPr>
                        <a:xfrm>
                          <a:off x="0" y="0"/>
                          <a:ext cx="4777740" cy="2911348"/>
                          <a:chOff x="0" y="0"/>
                          <a:chExt cx="4777740" cy="2911348"/>
                        </a:xfrm>
                      </wpg:grpSpPr>
                      <wps:wsp>
                        <wps:cNvPr id="725364629" name="Shape 65"/>
                        <wps:cNvSpPr/>
                        <wps:spPr>
                          <a:xfrm>
                            <a:off x="535559" y="2095754"/>
                            <a:ext cx="4102481" cy="0"/>
                          </a:xfrm>
                          <a:custGeom>
                            <a:avLst/>
                            <a:gdLst/>
                            <a:ahLst/>
                            <a:cxnLst/>
                            <a:rect l="0" t="0" r="0" b="0"/>
                            <a:pathLst>
                              <a:path w="4102481">
                                <a:moveTo>
                                  <a:pt x="0" y="0"/>
                                </a:moveTo>
                                <a:lnTo>
                                  <a:pt x="410248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794549636" name="Shape 66"/>
                        <wps:cNvSpPr/>
                        <wps:spPr>
                          <a:xfrm>
                            <a:off x="535559" y="1862582"/>
                            <a:ext cx="4102481" cy="0"/>
                          </a:xfrm>
                          <a:custGeom>
                            <a:avLst/>
                            <a:gdLst/>
                            <a:ahLst/>
                            <a:cxnLst/>
                            <a:rect l="0" t="0" r="0" b="0"/>
                            <a:pathLst>
                              <a:path w="4102481">
                                <a:moveTo>
                                  <a:pt x="0" y="0"/>
                                </a:moveTo>
                                <a:lnTo>
                                  <a:pt x="410248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674646132" name="Shape 67"/>
                        <wps:cNvSpPr/>
                        <wps:spPr>
                          <a:xfrm>
                            <a:off x="535559" y="1630934"/>
                            <a:ext cx="4102481" cy="0"/>
                          </a:xfrm>
                          <a:custGeom>
                            <a:avLst/>
                            <a:gdLst/>
                            <a:ahLst/>
                            <a:cxnLst/>
                            <a:rect l="0" t="0" r="0" b="0"/>
                            <a:pathLst>
                              <a:path w="4102481">
                                <a:moveTo>
                                  <a:pt x="0" y="0"/>
                                </a:moveTo>
                                <a:lnTo>
                                  <a:pt x="410248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577050016" name="Shape 68"/>
                        <wps:cNvSpPr/>
                        <wps:spPr>
                          <a:xfrm>
                            <a:off x="535559" y="1399286"/>
                            <a:ext cx="4102481" cy="0"/>
                          </a:xfrm>
                          <a:custGeom>
                            <a:avLst/>
                            <a:gdLst/>
                            <a:ahLst/>
                            <a:cxnLst/>
                            <a:rect l="0" t="0" r="0" b="0"/>
                            <a:pathLst>
                              <a:path w="4102481">
                                <a:moveTo>
                                  <a:pt x="0" y="0"/>
                                </a:moveTo>
                                <a:lnTo>
                                  <a:pt x="410248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843151454" name="Shape 69"/>
                        <wps:cNvSpPr/>
                        <wps:spPr>
                          <a:xfrm>
                            <a:off x="535559" y="1167638"/>
                            <a:ext cx="4102481" cy="0"/>
                          </a:xfrm>
                          <a:custGeom>
                            <a:avLst/>
                            <a:gdLst/>
                            <a:ahLst/>
                            <a:cxnLst/>
                            <a:rect l="0" t="0" r="0" b="0"/>
                            <a:pathLst>
                              <a:path w="4102481">
                                <a:moveTo>
                                  <a:pt x="0" y="0"/>
                                </a:moveTo>
                                <a:lnTo>
                                  <a:pt x="410248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64591618" name="Shape 70"/>
                        <wps:cNvSpPr/>
                        <wps:spPr>
                          <a:xfrm>
                            <a:off x="535559" y="934466"/>
                            <a:ext cx="4102481" cy="0"/>
                          </a:xfrm>
                          <a:custGeom>
                            <a:avLst/>
                            <a:gdLst/>
                            <a:ahLst/>
                            <a:cxnLst/>
                            <a:rect l="0" t="0" r="0" b="0"/>
                            <a:pathLst>
                              <a:path w="4102481">
                                <a:moveTo>
                                  <a:pt x="0" y="0"/>
                                </a:moveTo>
                                <a:lnTo>
                                  <a:pt x="410248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404284649" name="Shape 71"/>
                        <wps:cNvSpPr/>
                        <wps:spPr>
                          <a:xfrm>
                            <a:off x="535559" y="702818"/>
                            <a:ext cx="4102481" cy="0"/>
                          </a:xfrm>
                          <a:custGeom>
                            <a:avLst/>
                            <a:gdLst/>
                            <a:ahLst/>
                            <a:cxnLst/>
                            <a:rect l="0" t="0" r="0" b="0"/>
                            <a:pathLst>
                              <a:path w="4102481">
                                <a:moveTo>
                                  <a:pt x="0" y="0"/>
                                </a:moveTo>
                                <a:lnTo>
                                  <a:pt x="410248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782699034" name="Shape 72"/>
                        <wps:cNvSpPr/>
                        <wps:spPr>
                          <a:xfrm>
                            <a:off x="535559" y="471170"/>
                            <a:ext cx="4102481" cy="0"/>
                          </a:xfrm>
                          <a:custGeom>
                            <a:avLst/>
                            <a:gdLst/>
                            <a:ahLst/>
                            <a:cxnLst/>
                            <a:rect l="0" t="0" r="0" b="0"/>
                            <a:pathLst>
                              <a:path w="4102481">
                                <a:moveTo>
                                  <a:pt x="0" y="0"/>
                                </a:moveTo>
                                <a:lnTo>
                                  <a:pt x="410248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754944828" name="Shape 73"/>
                        <wps:cNvSpPr/>
                        <wps:spPr>
                          <a:xfrm>
                            <a:off x="535559" y="2327275"/>
                            <a:ext cx="4102481" cy="0"/>
                          </a:xfrm>
                          <a:custGeom>
                            <a:avLst/>
                            <a:gdLst/>
                            <a:ahLst/>
                            <a:cxnLst/>
                            <a:rect l="0" t="0" r="0" b="0"/>
                            <a:pathLst>
                              <a:path w="4102481">
                                <a:moveTo>
                                  <a:pt x="0" y="0"/>
                                </a:moveTo>
                                <a:lnTo>
                                  <a:pt x="410248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680041836" name="Shape 74"/>
                        <wps:cNvSpPr/>
                        <wps:spPr>
                          <a:xfrm>
                            <a:off x="828675" y="2303018"/>
                            <a:ext cx="3516376" cy="1524"/>
                          </a:xfrm>
                          <a:custGeom>
                            <a:avLst/>
                            <a:gdLst/>
                            <a:ahLst/>
                            <a:cxnLst/>
                            <a:rect l="0" t="0" r="0" b="0"/>
                            <a:pathLst>
                              <a:path w="3516376" h="1524">
                                <a:moveTo>
                                  <a:pt x="0" y="762"/>
                                </a:moveTo>
                                <a:lnTo>
                                  <a:pt x="586613" y="1524"/>
                                </a:lnTo>
                                <a:lnTo>
                                  <a:pt x="1171829" y="1524"/>
                                </a:lnTo>
                                <a:lnTo>
                                  <a:pt x="1758569" y="0"/>
                                </a:lnTo>
                                <a:lnTo>
                                  <a:pt x="2930525" y="0"/>
                                </a:lnTo>
                                <a:lnTo>
                                  <a:pt x="3516376" y="762"/>
                                </a:lnTo>
                              </a:path>
                            </a:pathLst>
                          </a:custGeom>
                          <a:ln w="28575" cap="rnd">
                            <a:round/>
                          </a:ln>
                        </wps:spPr>
                        <wps:style>
                          <a:lnRef idx="1">
                            <a:srgbClr val="156082"/>
                          </a:lnRef>
                          <a:fillRef idx="0">
                            <a:srgbClr val="000000">
                              <a:alpha val="0"/>
                            </a:srgbClr>
                          </a:fillRef>
                          <a:effectRef idx="0">
                            <a:scrgbClr r="0" g="0" b="0"/>
                          </a:effectRef>
                          <a:fontRef idx="none"/>
                        </wps:style>
                        <wps:bodyPr/>
                      </wps:wsp>
                      <wps:wsp>
                        <wps:cNvPr id="1063514802" name="Shape 75"/>
                        <wps:cNvSpPr/>
                        <wps:spPr>
                          <a:xfrm>
                            <a:off x="797052" y="2272411"/>
                            <a:ext cx="64008" cy="64008"/>
                          </a:xfrm>
                          <a:custGeom>
                            <a:avLst/>
                            <a:gdLst/>
                            <a:ahLst/>
                            <a:cxnLst/>
                            <a:rect l="0" t="0" r="0" b="0"/>
                            <a:pathLst>
                              <a:path w="64008" h="64008">
                                <a:moveTo>
                                  <a:pt x="32004" y="0"/>
                                </a:moveTo>
                                <a:cubicBezTo>
                                  <a:pt x="49657" y="0"/>
                                  <a:pt x="64008" y="14224"/>
                                  <a:pt x="64008" y="32004"/>
                                </a:cubicBezTo>
                                <a:cubicBezTo>
                                  <a:pt x="64008" y="49657"/>
                                  <a:pt x="49657" y="64008"/>
                                  <a:pt x="32004" y="64008"/>
                                </a:cubicBezTo>
                                <a:cubicBezTo>
                                  <a:pt x="14351" y="64008"/>
                                  <a:pt x="0" y="49657"/>
                                  <a:pt x="0" y="32004"/>
                                </a:cubicBezTo>
                                <a:cubicBezTo>
                                  <a:pt x="0" y="14224"/>
                                  <a:pt x="14351" y="0"/>
                                  <a:pt x="32004" y="0"/>
                                </a:cubicBezTo>
                                <a:close/>
                              </a:path>
                            </a:pathLst>
                          </a:custGeom>
                          <a:ln w="0" cap="rnd">
                            <a:round/>
                          </a:ln>
                        </wps:spPr>
                        <wps:style>
                          <a:lnRef idx="0">
                            <a:srgbClr val="000000">
                              <a:alpha val="0"/>
                            </a:srgbClr>
                          </a:lnRef>
                          <a:fillRef idx="1">
                            <a:srgbClr val="156082"/>
                          </a:fillRef>
                          <a:effectRef idx="0">
                            <a:scrgbClr r="0" g="0" b="0"/>
                          </a:effectRef>
                          <a:fontRef idx="none"/>
                        </wps:style>
                        <wps:bodyPr/>
                      </wps:wsp>
                      <wps:wsp>
                        <wps:cNvPr id="1472464970" name="Shape 76"/>
                        <wps:cNvSpPr/>
                        <wps:spPr>
                          <a:xfrm>
                            <a:off x="797052" y="2272411"/>
                            <a:ext cx="64008" cy="64008"/>
                          </a:xfrm>
                          <a:custGeom>
                            <a:avLst/>
                            <a:gdLst/>
                            <a:ahLst/>
                            <a:cxnLst/>
                            <a:rect l="0" t="0" r="0" b="0"/>
                            <a:pathLst>
                              <a:path w="64008" h="64008">
                                <a:moveTo>
                                  <a:pt x="64008" y="32004"/>
                                </a:moveTo>
                                <a:cubicBezTo>
                                  <a:pt x="64008" y="49657"/>
                                  <a:pt x="49657" y="64008"/>
                                  <a:pt x="32004" y="64008"/>
                                </a:cubicBezTo>
                                <a:cubicBezTo>
                                  <a:pt x="14351" y="64008"/>
                                  <a:pt x="0" y="49657"/>
                                  <a:pt x="0" y="32004"/>
                                </a:cubicBezTo>
                                <a:cubicBezTo>
                                  <a:pt x="0" y="14224"/>
                                  <a:pt x="14351" y="0"/>
                                  <a:pt x="32004" y="0"/>
                                </a:cubicBezTo>
                                <a:cubicBezTo>
                                  <a:pt x="49657" y="0"/>
                                  <a:pt x="64008" y="14224"/>
                                  <a:pt x="64008" y="32004"/>
                                </a:cubicBezTo>
                                <a:close/>
                              </a:path>
                            </a:pathLst>
                          </a:custGeom>
                          <a:ln w="9525" cap="flat">
                            <a:round/>
                          </a:ln>
                        </wps:spPr>
                        <wps:style>
                          <a:lnRef idx="1">
                            <a:srgbClr val="156082"/>
                          </a:lnRef>
                          <a:fillRef idx="0">
                            <a:srgbClr val="000000">
                              <a:alpha val="0"/>
                            </a:srgbClr>
                          </a:fillRef>
                          <a:effectRef idx="0">
                            <a:scrgbClr r="0" g="0" b="0"/>
                          </a:effectRef>
                          <a:fontRef idx="none"/>
                        </wps:style>
                        <wps:bodyPr/>
                      </wps:wsp>
                      <wps:wsp>
                        <wps:cNvPr id="982928715" name="Shape 77"/>
                        <wps:cNvSpPr/>
                        <wps:spPr>
                          <a:xfrm>
                            <a:off x="1383792" y="2272411"/>
                            <a:ext cx="64008" cy="64008"/>
                          </a:xfrm>
                          <a:custGeom>
                            <a:avLst/>
                            <a:gdLst/>
                            <a:ahLst/>
                            <a:cxnLst/>
                            <a:rect l="0" t="0" r="0" b="0"/>
                            <a:pathLst>
                              <a:path w="64008" h="64008">
                                <a:moveTo>
                                  <a:pt x="32004" y="0"/>
                                </a:moveTo>
                                <a:cubicBezTo>
                                  <a:pt x="49657" y="0"/>
                                  <a:pt x="64008" y="14224"/>
                                  <a:pt x="64008" y="32004"/>
                                </a:cubicBezTo>
                                <a:cubicBezTo>
                                  <a:pt x="64008" y="49657"/>
                                  <a:pt x="49657" y="64008"/>
                                  <a:pt x="32004" y="64008"/>
                                </a:cubicBezTo>
                                <a:cubicBezTo>
                                  <a:pt x="14351" y="64008"/>
                                  <a:pt x="0" y="49657"/>
                                  <a:pt x="0" y="32004"/>
                                </a:cubicBezTo>
                                <a:cubicBezTo>
                                  <a:pt x="0" y="14224"/>
                                  <a:pt x="14351" y="0"/>
                                  <a:pt x="32004" y="0"/>
                                </a:cubicBezTo>
                                <a:close/>
                              </a:path>
                            </a:pathLst>
                          </a:custGeom>
                          <a:ln w="0" cap="flat">
                            <a:round/>
                          </a:ln>
                        </wps:spPr>
                        <wps:style>
                          <a:lnRef idx="0">
                            <a:srgbClr val="000000">
                              <a:alpha val="0"/>
                            </a:srgbClr>
                          </a:lnRef>
                          <a:fillRef idx="1">
                            <a:srgbClr val="156082"/>
                          </a:fillRef>
                          <a:effectRef idx="0">
                            <a:scrgbClr r="0" g="0" b="0"/>
                          </a:effectRef>
                          <a:fontRef idx="none"/>
                        </wps:style>
                        <wps:bodyPr/>
                      </wps:wsp>
                      <wps:wsp>
                        <wps:cNvPr id="1599918863" name="Shape 78"/>
                        <wps:cNvSpPr/>
                        <wps:spPr>
                          <a:xfrm>
                            <a:off x="1383792" y="2272411"/>
                            <a:ext cx="64008" cy="64008"/>
                          </a:xfrm>
                          <a:custGeom>
                            <a:avLst/>
                            <a:gdLst/>
                            <a:ahLst/>
                            <a:cxnLst/>
                            <a:rect l="0" t="0" r="0" b="0"/>
                            <a:pathLst>
                              <a:path w="64008" h="64008">
                                <a:moveTo>
                                  <a:pt x="64008" y="32004"/>
                                </a:moveTo>
                                <a:cubicBezTo>
                                  <a:pt x="64008" y="49657"/>
                                  <a:pt x="49657" y="64008"/>
                                  <a:pt x="32004" y="64008"/>
                                </a:cubicBezTo>
                                <a:cubicBezTo>
                                  <a:pt x="14351" y="64008"/>
                                  <a:pt x="0" y="49657"/>
                                  <a:pt x="0" y="32004"/>
                                </a:cubicBezTo>
                                <a:cubicBezTo>
                                  <a:pt x="0" y="14224"/>
                                  <a:pt x="14351" y="0"/>
                                  <a:pt x="32004" y="0"/>
                                </a:cubicBezTo>
                                <a:cubicBezTo>
                                  <a:pt x="49657" y="0"/>
                                  <a:pt x="64008" y="14224"/>
                                  <a:pt x="64008" y="32004"/>
                                </a:cubicBezTo>
                                <a:close/>
                              </a:path>
                            </a:pathLst>
                          </a:custGeom>
                          <a:ln w="9525" cap="flat">
                            <a:round/>
                          </a:ln>
                        </wps:spPr>
                        <wps:style>
                          <a:lnRef idx="1">
                            <a:srgbClr val="156082"/>
                          </a:lnRef>
                          <a:fillRef idx="0">
                            <a:srgbClr val="000000">
                              <a:alpha val="0"/>
                            </a:srgbClr>
                          </a:fillRef>
                          <a:effectRef idx="0">
                            <a:scrgbClr r="0" g="0" b="0"/>
                          </a:effectRef>
                          <a:fontRef idx="none"/>
                        </wps:style>
                        <wps:bodyPr/>
                      </wps:wsp>
                      <wps:wsp>
                        <wps:cNvPr id="305129171" name="Shape 79"/>
                        <wps:cNvSpPr/>
                        <wps:spPr>
                          <a:xfrm>
                            <a:off x="1969008" y="2272411"/>
                            <a:ext cx="64008" cy="64008"/>
                          </a:xfrm>
                          <a:custGeom>
                            <a:avLst/>
                            <a:gdLst/>
                            <a:ahLst/>
                            <a:cxnLst/>
                            <a:rect l="0" t="0" r="0" b="0"/>
                            <a:pathLst>
                              <a:path w="64008" h="64008">
                                <a:moveTo>
                                  <a:pt x="32004" y="0"/>
                                </a:moveTo>
                                <a:cubicBezTo>
                                  <a:pt x="49657" y="0"/>
                                  <a:pt x="64008" y="14224"/>
                                  <a:pt x="64008" y="32004"/>
                                </a:cubicBezTo>
                                <a:cubicBezTo>
                                  <a:pt x="64008" y="49657"/>
                                  <a:pt x="49657" y="64008"/>
                                  <a:pt x="32004" y="64008"/>
                                </a:cubicBezTo>
                                <a:cubicBezTo>
                                  <a:pt x="14351" y="64008"/>
                                  <a:pt x="0" y="49657"/>
                                  <a:pt x="0" y="32004"/>
                                </a:cubicBezTo>
                                <a:cubicBezTo>
                                  <a:pt x="0" y="14224"/>
                                  <a:pt x="14351" y="0"/>
                                  <a:pt x="32004" y="0"/>
                                </a:cubicBezTo>
                                <a:close/>
                              </a:path>
                            </a:pathLst>
                          </a:custGeom>
                          <a:ln w="0" cap="flat">
                            <a:round/>
                          </a:ln>
                        </wps:spPr>
                        <wps:style>
                          <a:lnRef idx="0">
                            <a:srgbClr val="000000">
                              <a:alpha val="0"/>
                            </a:srgbClr>
                          </a:lnRef>
                          <a:fillRef idx="1">
                            <a:srgbClr val="156082"/>
                          </a:fillRef>
                          <a:effectRef idx="0">
                            <a:scrgbClr r="0" g="0" b="0"/>
                          </a:effectRef>
                          <a:fontRef idx="none"/>
                        </wps:style>
                        <wps:bodyPr/>
                      </wps:wsp>
                      <wps:wsp>
                        <wps:cNvPr id="791235607" name="Shape 80"/>
                        <wps:cNvSpPr/>
                        <wps:spPr>
                          <a:xfrm>
                            <a:off x="1969008" y="2272411"/>
                            <a:ext cx="64008" cy="64008"/>
                          </a:xfrm>
                          <a:custGeom>
                            <a:avLst/>
                            <a:gdLst/>
                            <a:ahLst/>
                            <a:cxnLst/>
                            <a:rect l="0" t="0" r="0" b="0"/>
                            <a:pathLst>
                              <a:path w="64008" h="64008">
                                <a:moveTo>
                                  <a:pt x="64008" y="32004"/>
                                </a:moveTo>
                                <a:cubicBezTo>
                                  <a:pt x="64008" y="49657"/>
                                  <a:pt x="49657" y="64008"/>
                                  <a:pt x="32004" y="64008"/>
                                </a:cubicBezTo>
                                <a:cubicBezTo>
                                  <a:pt x="14351" y="64008"/>
                                  <a:pt x="0" y="49657"/>
                                  <a:pt x="0" y="32004"/>
                                </a:cubicBezTo>
                                <a:cubicBezTo>
                                  <a:pt x="0" y="14224"/>
                                  <a:pt x="14351" y="0"/>
                                  <a:pt x="32004" y="0"/>
                                </a:cubicBezTo>
                                <a:cubicBezTo>
                                  <a:pt x="49657" y="0"/>
                                  <a:pt x="64008" y="14224"/>
                                  <a:pt x="64008" y="32004"/>
                                </a:cubicBezTo>
                                <a:close/>
                              </a:path>
                            </a:pathLst>
                          </a:custGeom>
                          <a:ln w="9525" cap="flat">
                            <a:round/>
                          </a:ln>
                        </wps:spPr>
                        <wps:style>
                          <a:lnRef idx="1">
                            <a:srgbClr val="156082"/>
                          </a:lnRef>
                          <a:fillRef idx="0">
                            <a:srgbClr val="000000">
                              <a:alpha val="0"/>
                            </a:srgbClr>
                          </a:fillRef>
                          <a:effectRef idx="0">
                            <a:scrgbClr r="0" g="0" b="0"/>
                          </a:effectRef>
                          <a:fontRef idx="none"/>
                        </wps:style>
                        <wps:bodyPr/>
                      </wps:wsp>
                      <wps:wsp>
                        <wps:cNvPr id="978830130" name="Shape 81"/>
                        <wps:cNvSpPr/>
                        <wps:spPr>
                          <a:xfrm>
                            <a:off x="2555748" y="2270887"/>
                            <a:ext cx="64008" cy="64008"/>
                          </a:xfrm>
                          <a:custGeom>
                            <a:avLst/>
                            <a:gdLst/>
                            <a:ahLst/>
                            <a:cxnLst/>
                            <a:rect l="0" t="0" r="0" b="0"/>
                            <a:pathLst>
                              <a:path w="64008" h="64008">
                                <a:moveTo>
                                  <a:pt x="32004" y="0"/>
                                </a:moveTo>
                                <a:cubicBezTo>
                                  <a:pt x="49657" y="0"/>
                                  <a:pt x="64008" y="14224"/>
                                  <a:pt x="64008" y="32004"/>
                                </a:cubicBezTo>
                                <a:cubicBezTo>
                                  <a:pt x="64008" y="49657"/>
                                  <a:pt x="49657" y="64008"/>
                                  <a:pt x="32004" y="64008"/>
                                </a:cubicBezTo>
                                <a:cubicBezTo>
                                  <a:pt x="14351" y="64008"/>
                                  <a:pt x="0" y="49657"/>
                                  <a:pt x="0" y="32004"/>
                                </a:cubicBezTo>
                                <a:cubicBezTo>
                                  <a:pt x="0" y="14224"/>
                                  <a:pt x="14351" y="0"/>
                                  <a:pt x="32004" y="0"/>
                                </a:cubicBezTo>
                                <a:close/>
                              </a:path>
                            </a:pathLst>
                          </a:custGeom>
                          <a:ln w="0" cap="flat">
                            <a:round/>
                          </a:ln>
                        </wps:spPr>
                        <wps:style>
                          <a:lnRef idx="0">
                            <a:srgbClr val="000000">
                              <a:alpha val="0"/>
                            </a:srgbClr>
                          </a:lnRef>
                          <a:fillRef idx="1">
                            <a:srgbClr val="156082"/>
                          </a:fillRef>
                          <a:effectRef idx="0">
                            <a:scrgbClr r="0" g="0" b="0"/>
                          </a:effectRef>
                          <a:fontRef idx="none"/>
                        </wps:style>
                        <wps:bodyPr/>
                      </wps:wsp>
                      <wps:wsp>
                        <wps:cNvPr id="29867229" name="Shape 82"/>
                        <wps:cNvSpPr/>
                        <wps:spPr>
                          <a:xfrm>
                            <a:off x="2555748" y="2270887"/>
                            <a:ext cx="64008" cy="64008"/>
                          </a:xfrm>
                          <a:custGeom>
                            <a:avLst/>
                            <a:gdLst/>
                            <a:ahLst/>
                            <a:cxnLst/>
                            <a:rect l="0" t="0" r="0" b="0"/>
                            <a:pathLst>
                              <a:path w="64008" h="64008">
                                <a:moveTo>
                                  <a:pt x="64008" y="32004"/>
                                </a:moveTo>
                                <a:cubicBezTo>
                                  <a:pt x="64008" y="49657"/>
                                  <a:pt x="49657" y="64008"/>
                                  <a:pt x="32004" y="64008"/>
                                </a:cubicBezTo>
                                <a:cubicBezTo>
                                  <a:pt x="14351" y="64008"/>
                                  <a:pt x="0" y="49657"/>
                                  <a:pt x="0" y="32004"/>
                                </a:cubicBezTo>
                                <a:cubicBezTo>
                                  <a:pt x="0" y="14224"/>
                                  <a:pt x="14351" y="0"/>
                                  <a:pt x="32004" y="0"/>
                                </a:cubicBezTo>
                                <a:cubicBezTo>
                                  <a:pt x="49657" y="0"/>
                                  <a:pt x="64008" y="14224"/>
                                  <a:pt x="64008" y="32004"/>
                                </a:cubicBezTo>
                                <a:close/>
                              </a:path>
                            </a:pathLst>
                          </a:custGeom>
                          <a:ln w="9525" cap="flat">
                            <a:round/>
                          </a:ln>
                        </wps:spPr>
                        <wps:style>
                          <a:lnRef idx="1">
                            <a:srgbClr val="156082"/>
                          </a:lnRef>
                          <a:fillRef idx="0">
                            <a:srgbClr val="000000">
                              <a:alpha val="0"/>
                            </a:srgbClr>
                          </a:fillRef>
                          <a:effectRef idx="0">
                            <a:scrgbClr r="0" g="0" b="0"/>
                          </a:effectRef>
                          <a:fontRef idx="none"/>
                        </wps:style>
                        <wps:bodyPr/>
                      </wps:wsp>
                      <wps:wsp>
                        <wps:cNvPr id="1913639382" name="Shape 83"/>
                        <wps:cNvSpPr/>
                        <wps:spPr>
                          <a:xfrm>
                            <a:off x="3140964" y="2270887"/>
                            <a:ext cx="64008" cy="64008"/>
                          </a:xfrm>
                          <a:custGeom>
                            <a:avLst/>
                            <a:gdLst/>
                            <a:ahLst/>
                            <a:cxnLst/>
                            <a:rect l="0" t="0" r="0" b="0"/>
                            <a:pathLst>
                              <a:path w="64008" h="64008">
                                <a:moveTo>
                                  <a:pt x="32004" y="0"/>
                                </a:moveTo>
                                <a:cubicBezTo>
                                  <a:pt x="49657" y="0"/>
                                  <a:pt x="64008" y="14224"/>
                                  <a:pt x="64008" y="32004"/>
                                </a:cubicBezTo>
                                <a:cubicBezTo>
                                  <a:pt x="64008" y="49657"/>
                                  <a:pt x="49657" y="64008"/>
                                  <a:pt x="32004" y="64008"/>
                                </a:cubicBezTo>
                                <a:cubicBezTo>
                                  <a:pt x="14351" y="64008"/>
                                  <a:pt x="0" y="49657"/>
                                  <a:pt x="0" y="32004"/>
                                </a:cubicBezTo>
                                <a:cubicBezTo>
                                  <a:pt x="0" y="14224"/>
                                  <a:pt x="14351" y="0"/>
                                  <a:pt x="32004" y="0"/>
                                </a:cubicBezTo>
                                <a:close/>
                              </a:path>
                            </a:pathLst>
                          </a:custGeom>
                          <a:ln w="0" cap="flat">
                            <a:round/>
                          </a:ln>
                        </wps:spPr>
                        <wps:style>
                          <a:lnRef idx="0">
                            <a:srgbClr val="000000">
                              <a:alpha val="0"/>
                            </a:srgbClr>
                          </a:lnRef>
                          <a:fillRef idx="1">
                            <a:srgbClr val="156082"/>
                          </a:fillRef>
                          <a:effectRef idx="0">
                            <a:scrgbClr r="0" g="0" b="0"/>
                          </a:effectRef>
                          <a:fontRef idx="none"/>
                        </wps:style>
                        <wps:bodyPr/>
                      </wps:wsp>
                      <wps:wsp>
                        <wps:cNvPr id="2094034547" name="Shape 84"/>
                        <wps:cNvSpPr/>
                        <wps:spPr>
                          <a:xfrm>
                            <a:off x="3140964" y="2270887"/>
                            <a:ext cx="64008" cy="64008"/>
                          </a:xfrm>
                          <a:custGeom>
                            <a:avLst/>
                            <a:gdLst/>
                            <a:ahLst/>
                            <a:cxnLst/>
                            <a:rect l="0" t="0" r="0" b="0"/>
                            <a:pathLst>
                              <a:path w="64008" h="64008">
                                <a:moveTo>
                                  <a:pt x="64008" y="32004"/>
                                </a:moveTo>
                                <a:cubicBezTo>
                                  <a:pt x="64008" y="49657"/>
                                  <a:pt x="49657" y="64008"/>
                                  <a:pt x="32004" y="64008"/>
                                </a:cubicBezTo>
                                <a:cubicBezTo>
                                  <a:pt x="14351" y="64008"/>
                                  <a:pt x="0" y="49657"/>
                                  <a:pt x="0" y="32004"/>
                                </a:cubicBezTo>
                                <a:cubicBezTo>
                                  <a:pt x="0" y="14224"/>
                                  <a:pt x="14351" y="0"/>
                                  <a:pt x="32004" y="0"/>
                                </a:cubicBezTo>
                                <a:cubicBezTo>
                                  <a:pt x="49657" y="0"/>
                                  <a:pt x="64008" y="14224"/>
                                  <a:pt x="64008" y="32004"/>
                                </a:cubicBezTo>
                                <a:close/>
                              </a:path>
                            </a:pathLst>
                          </a:custGeom>
                          <a:ln w="9525" cap="flat">
                            <a:round/>
                          </a:ln>
                        </wps:spPr>
                        <wps:style>
                          <a:lnRef idx="1">
                            <a:srgbClr val="156082"/>
                          </a:lnRef>
                          <a:fillRef idx="0">
                            <a:srgbClr val="000000">
                              <a:alpha val="0"/>
                            </a:srgbClr>
                          </a:fillRef>
                          <a:effectRef idx="0">
                            <a:scrgbClr r="0" g="0" b="0"/>
                          </a:effectRef>
                          <a:fontRef idx="none"/>
                        </wps:style>
                        <wps:bodyPr/>
                      </wps:wsp>
                      <wps:wsp>
                        <wps:cNvPr id="1016002419" name="Shape 85"/>
                        <wps:cNvSpPr/>
                        <wps:spPr>
                          <a:xfrm>
                            <a:off x="3727704" y="2270887"/>
                            <a:ext cx="64008" cy="64008"/>
                          </a:xfrm>
                          <a:custGeom>
                            <a:avLst/>
                            <a:gdLst/>
                            <a:ahLst/>
                            <a:cxnLst/>
                            <a:rect l="0" t="0" r="0" b="0"/>
                            <a:pathLst>
                              <a:path w="64008" h="64008">
                                <a:moveTo>
                                  <a:pt x="32004" y="0"/>
                                </a:moveTo>
                                <a:cubicBezTo>
                                  <a:pt x="49657" y="0"/>
                                  <a:pt x="64008" y="14224"/>
                                  <a:pt x="64008" y="32004"/>
                                </a:cubicBezTo>
                                <a:cubicBezTo>
                                  <a:pt x="64008" y="49657"/>
                                  <a:pt x="49657" y="64008"/>
                                  <a:pt x="32004" y="64008"/>
                                </a:cubicBezTo>
                                <a:cubicBezTo>
                                  <a:pt x="14351" y="64008"/>
                                  <a:pt x="0" y="49657"/>
                                  <a:pt x="0" y="32004"/>
                                </a:cubicBezTo>
                                <a:cubicBezTo>
                                  <a:pt x="0" y="14224"/>
                                  <a:pt x="14351" y="0"/>
                                  <a:pt x="32004" y="0"/>
                                </a:cubicBezTo>
                                <a:close/>
                              </a:path>
                            </a:pathLst>
                          </a:custGeom>
                          <a:ln w="0" cap="flat">
                            <a:round/>
                          </a:ln>
                        </wps:spPr>
                        <wps:style>
                          <a:lnRef idx="0">
                            <a:srgbClr val="000000">
                              <a:alpha val="0"/>
                            </a:srgbClr>
                          </a:lnRef>
                          <a:fillRef idx="1">
                            <a:srgbClr val="156082"/>
                          </a:fillRef>
                          <a:effectRef idx="0">
                            <a:scrgbClr r="0" g="0" b="0"/>
                          </a:effectRef>
                          <a:fontRef idx="none"/>
                        </wps:style>
                        <wps:bodyPr/>
                      </wps:wsp>
                      <wps:wsp>
                        <wps:cNvPr id="2081394952" name="Shape 86"/>
                        <wps:cNvSpPr/>
                        <wps:spPr>
                          <a:xfrm>
                            <a:off x="3727704" y="2270887"/>
                            <a:ext cx="64008" cy="64008"/>
                          </a:xfrm>
                          <a:custGeom>
                            <a:avLst/>
                            <a:gdLst/>
                            <a:ahLst/>
                            <a:cxnLst/>
                            <a:rect l="0" t="0" r="0" b="0"/>
                            <a:pathLst>
                              <a:path w="64008" h="64008">
                                <a:moveTo>
                                  <a:pt x="64008" y="32004"/>
                                </a:moveTo>
                                <a:cubicBezTo>
                                  <a:pt x="64008" y="49657"/>
                                  <a:pt x="49657" y="64008"/>
                                  <a:pt x="32004" y="64008"/>
                                </a:cubicBezTo>
                                <a:cubicBezTo>
                                  <a:pt x="14351" y="64008"/>
                                  <a:pt x="0" y="49657"/>
                                  <a:pt x="0" y="32004"/>
                                </a:cubicBezTo>
                                <a:cubicBezTo>
                                  <a:pt x="0" y="14224"/>
                                  <a:pt x="14351" y="0"/>
                                  <a:pt x="32004" y="0"/>
                                </a:cubicBezTo>
                                <a:cubicBezTo>
                                  <a:pt x="49657" y="0"/>
                                  <a:pt x="64008" y="14224"/>
                                  <a:pt x="64008" y="32004"/>
                                </a:cubicBezTo>
                                <a:close/>
                              </a:path>
                            </a:pathLst>
                          </a:custGeom>
                          <a:ln w="9525" cap="flat">
                            <a:round/>
                          </a:ln>
                        </wps:spPr>
                        <wps:style>
                          <a:lnRef idx="1">
                            <a:srgbClr val="156082"/>
                          </a:lnRef>
                          <a:fillRef idx="0">
                            <a:srgbClr val="000000">
                              <a:alpha val="0"/>
                            </a:srgbClr>
                          </a:fillRef>
                          <a:effectRef idx="0">
                            <a:scrgbClr r="0" g="0" b="0"/>
                          </a:effectRef>
                          <a:fontRef idx="none"/>
                        </wps:style>
                        <wps:bodyPr/>
                      </wps:wsp>
                      <wps:wsp>
                        <wps:cNvPr id="1921148337" name="Shape 87"/>
                        <wps:cNvSpPr/>
                        <wps:spPr>
                          <a:xfrm>
                            <a:off x="4312920" y="2270887"/>
                            <a:ext cx="64008" cy="64008"/>
                          </a:xfrm>
                          <a:custGeom>
                            <a:avLst/>
                            <a:gdLst/>
                            <a:ahLst/>
                            <a:cxnLst/>
                            <a:rect l="0" t="0" r="0" b="0"/>
                            <a:pathLst>
                              <a:path w="64008" h="64008">
                                <a:moveTo>
                                  <a:pt x="32004" y="0"/>
                                </a:moveTo>
                                <a:cubicBezTo>
                                  <a:pt x="49657" y="0"/>
                                  <a:pt x="64008" y="14224"/>
                                  <a:pt x="64008" y="32004"/>
                                </a:cubicBezTo>
                                <a:cubicBezTo>
                                  <a:pt x="64008" y="49657"/>
                                  <a:pt x="49657" y="64008"/>
                                  <a:pt x="32004" y="64008"/>
                                </a:cubicBezTo>
                                <a:cubicBezTo>
                                  <a:pt x="14351" y="64008"/>
                                  <a:pt x="0" y="49657"/>
                                  <a:pt x="0" y="32004"/>
                                </a:cubicBezTo>
                                <a:cubicBezTo>
                                  <a:pt x="0" y="14224"/>
                                  <a:pt x="14351" y="0"/>
                                  <a:pt x="32004" y="0"/>
                                </a:cubicBezTo>
                                <a:close/>
                              </a:path>
                            </a:pathLst>
                          </a:custGeom>
                          <a:ln w="0" cap="flat">
                            <a:round/>
                          </a:ln>
                        </wps:spPr>
                        <wps:style>
                          <a:lnRef idx="0">
                            <a:srgbClr val="000000">
                              <a:alpha val="0"/>
                            </a:srgbClr>
                          </a:lnRef>
                          <a:fillRef idx="1">
                            <a:srgbClr val="156082"/>
                          </a:fillRef>
                          <a:effectRef idx="0">
                            <a:scrgbClr r="0" g="0" b="0"/>
                          </a:effectRef>
                          <a:fontRef idx="none"/>
                        </wps:style>
                        <wps:bodyPr/>
                      </wps:wsp>
                      <wps:wsp>
                        <wps:cNvPr id="787343372" name="Shape 88"/>
                        <wps:cNvSpPr/>
                        <wps:spPr>
                          <a:xfrm>
                            <a:off x="4312920" y="2270887"/>
                            <a:ext cx="64008" cy="64008"/>
                          </a:xfrm>
                          <a:custGeom>
                            <a:avLst/>
                            <a:gdLst/>
                            <a:ahLst/>
                            <a:cxnLst/>
                            <a:rect l="0" t="0" r="0" b="0"/>
                            <a:pathLst>
                              <a:path w="64008" h="64008">
                                <a:moveTo>
                                  <a:pt x="64008" y="32004"/>
                                </a:moveTo>
                                <a:cubicBezTo>
                                  <a:pt x="64008" y="49657"/>
                                  <a:pt x="49657" y="64008"/>
                                  <a:pt x="32004" y="64008"/>
                                </a:cubicBezTo>
                                <a:cubicBezTo>
                                  <a:pt x="14351" y="64008"/>
                                  <a:pt x="0" y="49657"/>
                                  <a:pt x="0" y="32004"/>
                                </a:cubicBezTo>
                                <a:cubicBezTo>
                                  <a:pt x="0" y="14224"/>
                                  <a:pt x="14351" y="0"/>
                                  <a:pt x="32004" y="0"/>
                                </a:cubicBezTo>
                                <a:cubicBezTo>
                                  <a:pt x="49657" y="0"/>
                                  <a:pt x="64008" y="14224"/>
                                  <a:pt x="64008" y="32004"/>
                                </a:cubicBezTo>
                                <a:close/>
                              </a:path>
                            </a:pathLst>
                          </a:custGeom>
                          <a:ln w="9525" cap="flat">
                            <a:round/>
                          </a:ln>
                        </wps:spPr>
                        <wps:style>
                          <a:lnRef idx="1">
                            <a:srgbClr val="156082"/>
                          </a:lnRef>
                          <a:fillRef idx="0">
                            <a:srgbClr val="000000">
                              <a:alpha val="0"/>
                            </a:srgbClr>
                          </a:fillRef>
                          <a:effectRef idx="0">
                            <a:scrgbClr r="0" g="0" b="0"/>
                          </a:effectRef>
                          <a:fontRef idx="none"/>
                        </wps:style>
                        <wps:bodyPr/>
                      </wps:wsp>
                      <wps:wsp>
                        <wps:cNvPr id="1241209619" name="Shape 89"/>
                        <wps:cNvSpPr/>
                        <wps:spPr>
                          <a:xfrm>
                            <a:off x="828675" y="635635"/>
                            <a:ext cx="3516376" cy="1548892"/>
                          </a:xfrm>
                          <a:custGeom>
                            <a:avLst/>
                            <a:gdLst/>
                            <a:ahLst/>
                            <a:cxnLst/>
                            <a:rect l="0" t="0" r="0" b="0"/>
                            <a:pathLst>
                              <a:path w="3516376" h="1548892">
                                <a:moveTo>
                                  <a:pt x="0" y="1322959"/>
                                </a:moveTo>
                                <a:lnTo>
                                  <a:pt x="586613" y="1257427"/>
                                </a:lnTo>
                                <a:lnTo>
                                  <a:pt x="1171829" y="647827"/>
                                </a:lnTo>
                                <a:lnTo>
                                  <a:pt x="1758569" y="0"/>
                                </a:lnTo>
                                <a:lnTo>
                                  <a:pt x="2343785" y="1376299"/>
                                </a:lnTo>
                                <a:lnTo>
                                  <a:pt x="2930525" y="1429639"/>
                                </a:lnTo>
                                <a:lnTo>
                                  <a:pt x="3516376" y="1548892"/>
                                </a:lnTo>
                              </a:path>
                            </a:pathLst>
                          </a:custGeom>
                          <a:ln w="28575" cap="rnd">
                            <a:round/>
                          </a:ln>
                        </wps:spPr>
                        <wps:style>
                          <a:lnRef idx="1">
                            <a:srgbClr val="E97132"/>
                          </a:lnRef>
                          <a:fillRef idx="0">
                            <a:srgbClr val="000000">
                              <a:alpha val="0"/>
                            </a:srgbClr>
                          </a:fillRef>
                          <a:effectRef idx="0">
                            <a:scrgbClr r="0" g="0" b="0"/>
                          </a:effectRef>
                          <a:fontRef idx="none"/>
                        </wps:style>
                        <wps:bodyPr/>
                      </wps:wsp>
                      <wps:wsp>
                        <wps:cNvPr id="1747111863" name="Shape 90"/>
                        <wps:cNvSpPr/>
                        <wps:spPr>
                          <a:xfrm>
                            <a:off x="797052" y="1926463"/>
                            <a:ext cx="64008" cy="64008"/>
                          </a:xfrm>
                          <a:custGeom>
                            <a:avLst/>
                            <a:gdLst/>
                            <a:ahLst/>
                            <a:cxnLst/>
                            <a:rect l="0" t="0" r="0" b="0"/>
                            <a:pathLst>
                              <a:path w="64008" h="64008">
                                <a:moveTo>
                                  <a:pt x="32004" y="0"/>
                                </a:moveTo>
                                <a:cubicBezTo>
                                  <a:pt x="49657" y="0"/>
                                  <a:pt x="64008" y="14224"/>
                                  <a:pt x="64008" y="32004"/>
                                </a:cubicBezTo>
                                <a:cubicBezTo>
                                  <a:pt x="64008" y="49657"/>
                                  <a:pt x="49657" y="64008"/>
                                  <a:pt x="32004" y="64008"/>
                                </a:cubicBezTo>
                                <a:cubicBezTo>
                                  <a:pt x="14351" y="64008"/>
                                  <a:pt x="0" y="49657"/>
                                  <a:pt x="0" y="32004"/>
                                </a:cubicBezTo>
                                <a:cubicBezTo>
                                  <a:pt x="0" y="14224"/>
                                  <a:pt x="14351" y="0"/>
                                  <a:pt x="32004" y="0"/>
                                </a:cubicBezTo>
                                <a:close/>
                              </a:path>
                            </a:pathLst>
                          </a:custGeom>
                          <a:ln w="0" cap="rnd">
                            <a:round/>
                          </a:ln>
                        </wps:spPr>
                        <wps:style>
                          <a:lnRef idx="0">
                            <a:srgbClr val="000000">
                              <a:alpha val="0"/>
                            </a:srgbClr>
                          </a:lnRef>
                          <a:fillRef idx="1">
                            <a:srgbClr val="E97132"/>
                          </a:fillRef>
                          <a:effectRef idx="0">
                            <a:scrgbClr r="0" g="0" b="0"/>
                          </a:effectRef>
                          <a:fontRef idx="none"/>
                        </wps:style>
                        <wps:bodyPr/>
                      </wps:wsp>
                      <wps:wsp>
                        <wps:cNvPr id="1201371081" name="Shape 91"/>
                        <wps:cNvSpPr/>
                        <wps:spPr>
                          <a:xfrm>
                            <a:off x="797052" y="1926463"/>
                            <a:ext cx="64008" cy="64008"/>
                          </a:xfrm>
                          <a:custGeom>
                            <a:avLst/>
                            <a:gdLst/>
                            <a:ahLst/>
                            <a:cxnLst/>
                            <a:rect l="0" t="0" r="0" b="0"/>
                            <a:pathLst>
                              <a:path w="64008" h="64008">
                                <a:moveTo>
                                  <a:pt x="64008" y="32004"/>
                                </a:moveTo>
                                <a:cubicBezTo>
                                  <a:pt x="64008" y="49657"/>
                                  <a:pt x="49657" y="64008"/>
                                  <a:pt x="32004" y="64008"/>
                                </a:cubicBezTo>
                                <a:cubicBezTo>
                                  <a:pt x="14351" y="64008"/>
                                  <a:pt x="0" y="49657"/>
                                  <a:pt x="0" y="32004"/>
                                </a:cubicBezTo>
                                <a:cubicBezTo>
                                  <a:pt x="0" y="14224"/>
                                  <a:pt x="14351" y="0"/>
                                  <a:pt x="32004" y="0"/>
                                </a:cubicBezTo>
                                <a:cubicBezTo>
                                  <a:pt x="49657" y="0"/>
                                  <a:pt x="64008" y="14224"/>
                                  <a:pt x="64008" y="32004"/>
                                </a:cubicBezTo>
                                <a:close/>
                              </a:path>
                            </a:pathLst>
                          </a:custGeom>
                          <a:ln w="9525" cap="flat">
                            <a:round/>
                          </a:ln>
                        </wps:spPr>
                        <wps:style>
                          <a:lnRef idx="1">
                            <a:srgbClr val="E97132"/>
                          </a:lnRef>
                          <a:fillRef idx="0">
                            <a:srgbClr val="000000">
                              <a:alpha val="0"/>
                            </a:srgbClr>
                          </a:fillRef>
                          <a:effectRef idx="0">
                            <a:scrgbClr r="0" g="0" b="0"/>
                          </a:effectRef>
                          <a:fontRef idx="none"/>
                        </wps:style>
                        <wps:bodyPr/>
                      </wps:wsp>
                      <wps:wsp>
                        <wps:cNvPr id="467474464" name="Shape 92"/>
                        <wps:cNvSpPr/>
                        <wps:spPr>
                          <a:xfrm>
                            <a:off x="1383792" y="1860931"/>
                            <a:ext cx="64008" cy="64008"/>
                          </a:xfrm>
                          <a:custGeom>
                            <a:avLst/>
                            <a:gdLst/>
                            <a:ahLst/>
                            <a:cxnLst/>
                            <a:rect l="0" t="0" r="0" b="0"/>
                            <a:pathLst>
                              <a:path w="64008" h="64008">
                                <a:moveTo>
                                  <a:pt x="32004" y="0"/>
                                </a:moveTo>
                                <a:cubicBezTo>
                                  <a:pt x="49657" y="0"/>
                                  <a:pt x="64008" y="14224"/>
                                  <a:pt x="64008" y="32004"/>
                                </a:cubicBezTo>
                                <a:cubicBezTo>
                                  <a:pt x="64008" y="49657"/>
                                  <a:pt x="49657" y="64008"/>
                                  <a:pt x="32004" y="64008"/>
                                </a:cubicBezTo>
                                <a:cubicBezTo>
                                  <a:pt x="14351" y="64008"/>
                                  <a:pt x="0" y="49657"/>
                                  <a:pt x="0" y="32004"/>
                                </a:cubicBezTo>
                                <a:cubicBezTo>
                                  <a:pt x="0" y="14224"/>
                                  <a:pt x="14351" y="0"/>
                                  <a:pt x="32004" y="0"/>
                                </a:cubicBezTo>
                                <a:close/>
                              </a:path>
                            </a:pathLst>
                          </a:custGeom>
                          <a:ln w="0" cap="flat">
                            <a:round/>
                          </a:ln>
                        </wps:spPr>
                        <wps:style>
                          <a:lnRef idx="0">
                            <a:srgbClr val="000000">
                              <a:alpha val="0"/>
                            </a:srgbClr>
                          </a:lnRef>
                          <a:fillRef idx="1">
                            <a:srgbClr val="E97132"/>
                          </a:fillRef>
                          <a:effectRef idx="0">
                            <a:scrgbClr r="0" g="0" b="0"/>
                          </a:effectRef>
                          <a:fontRef idx="none"/>
                        </wps:style>
                        <wps:bodyPr/>
                      </wps:wsp>
                      <wps:wsp>
                        <wps:cNvPr id="1200458009" name="Shape 93"/>
                        <wps:cNvSpPr/>
                        <wps:spPr>
                          <a:xfrm>
                            <a:off x="1383792" y="1860931"/>
                            <a:ext cx="64008" cy="64008"/>
                          </a:xfrm>
                          <a:custGeom>
                            <a:avLst/>
                            <a:gdLst/>
                            <a:ahLst/>
                            <a:cxnLst/>
                            <a:rect l="0" t="0" r="0" b="0"/>
                            <a:pathLst>
                              <a:path w="64008" h="64008">
                                <a:moveTo>
                                  <a:pt x="64008" y="32004"/>
                                </a:moveTo>
                                <a:cubicBezTo>
                                  <a:pt x="64008" y="49657"/>
                                  <a:pt x="49657" y="64008"/>
                                  <a:pt x="32004" y="64008"/>
                                </a:cubicBezTo>
                                <a:cubicBezTo>
                                  <a:pt x="14351" y="64008"/>
                                  <a:pt x="0" y="49657"/>
                                  <a:pt x="0" y="32004"/>
                                </a:cubicBezTo>
                                <a:cubicBezTo>
                                  <a:pt x="0" y="14224"/>
                                  <a:pt x="14351" y="0"/>
                                  <a:pt x="32004" y="0"/>
                                </a:cubicBezTo>
                                <a:cubicBezTo>
                                  <a:pt x="49657" y="0"/>
                                  <a:pt x="64008" y="14224"/>
                                  <a:pt x="64008" y="32004"/>
                                </a:cubicBezTo>
                                <a:close/>
                              </a:path>
                            </a:pathLst>
                          </a:custGeom>
                          <a:ln w="9525" cap="flat">
                            <a:round/>
                          </a:ln>
                        </wps:spPr>
                        <wps:style>
                          <a:lnRef idx="1">
                            <a:srgbClr val="E97132"/>
                          </a:lnRef>
                          <a:fillRef idx="0">
                            <a:srgbClr val="000000">
                              <a:alpha val="0"/>
                            </a:srgbClr>
                          </a:fillRef>
                          <a:effectRef idx="0">
                            <a:scrgbClr r="0" g="0" b="0"/>
                          </a:effectRef>
                          <a:fontRef idx="none"/>
                        </wps:style>
                        <wps:bodyPr/>
                      </wps:wsp>
                      <wps:wsp>
                        <wps:cNvPr id="1299724236" name="Shape 94"/>
                        <wps:cNvSpPr/>
                        <wps:spPr>
                          <a:xfrm>
                            <a:off x="1969008" y="1251331"/>
                            <a:ext cx="64008" cy="64008"/>
                          </a:xfrm>
                          <a:custGeom>
                            <a:avLst/>
                            <a:gdLst/>
                            <a:ahLst/>
                            <a:cxnLst/>
                            <a:rect l="0" t="0" r="0" b="0"/>
                            <a:pathLst>
                              <a:path w="64008" h="64008">
                                <a:moveTo>
                                  <a:pt x="32004" y="0"/>
                                </a:moveTo>
                                <a:cubicBezTo>
                                  <a:pt x="49657" y="0"/>
                                  <a:pt x="64008" y="14224"/>
                                  <a:pt x="64008" y="32004"/>
                                </a:cubicBezTo>
                                <a:cubicBezTo>
                                  <a:pt x="64008" y="49657"/>
                                  <a:pt x="49657" y="64008"/>
                                  <a:pt x="32004" y="64008"/>
                                </a:cubicBezTo>
                                <a:cubicBezTo>
                                  <a:pt x="14351" y="64008"/>
                                  <a:pt x="0" y="49657"/>
                                  <a:pt x="0" y="32004"/>
                                </a:cubicBezTo>
                                <a:cubicBezTo>
                                  <a:pt x="0" y="14224"/>
                                  <a:pt x="14351" y="0"/>
                                  <a:pt x="32004" y="0"/>
                                </a:cubicBezTo>
                                <a:close/>
                              </a:path>
                            </a:pathLst>
                          </a:custGeom>
                          <a:ln w="0" cap="flat">
                            <a:round/>
                          </a:ln>
                        </wps:spPr>
                        <wps:style>
                          <a:lnRef idx="0">
                            <a:srgbClr val="000000">
                              <a:alpha val="0"/>
                            </a:srgbClr>
                          </a:lnRef>
                          <a:fillRef idx="1">
                            <a:srgbClr val="E97132"/>
                          </a:fillRef>
                          <a:effectRef idx="0">
                            <a:scrgbClr r="0" g="0" b="0"/>
                          </a:effectRef>
                          <a:fontRef idx="none"/>
                        </wps:style>
                        <wps:bodyPr/>
                      </wps:wsp>
                      <wps:wsp>
                        <wps:cNvPr id="1393055673" name="Shape 95"/>
                        <wps:cNvSpPr/>
                        <wps:spPr>
                          <a:xfrm>
                            <a:off x="1969008" y="1251331"/>
                            <a:ext cx="64008" cy="64008"/>
                          </a:xfrm>
                          <a:custGeom>
                            <a:avLst/>
                            <a:gdLst/>
                            <a:ahLst/>
                            <a:cxnLst/>
                            <a:rect l="0" t="0" r="0" b="0"/>
                            <a:pathLst>
                              <a:path w="64008" h="64008">
                                <a:moveTo>
                                  <a:pt x="64008" y="32004"/>
                                </a:moveTo>
                                <a:cubicBezTo>
                                  <a:pt x="64008" y="49657"/>
                                  <a:pt x="49657" y="64008"/>
                                  <a:pt x="32004" y="64008"/>
                                </a:cubicBezTo>
                                <a:cubicBezTo>
                                  <a:pt x="14351" y="64008"/>
                                  <a:pt x="0" y="49657"/>
                                  <a:pt x="0" y="32004"/>
                                </a:cubicBezTo>
                                <a:cubicBezTo>
                                  <a:pt x="0" y="14224"/>
                                  <a:pt x="14351" y="0"/>
                                  <a:pt x="32004" y="0"/>
                                </a:cubicBezTo>
                                <a:cubicBezTo>
                                  <a:pt x="49657" y="0"/>
                                  <a:pt x="64008" y="14224"/>
                                  <a:pt x="64008" y="32004"/>
                                </a:cubicBezTo>
                                <a:close/>
                              </a:path>
                            </a:pathLst>
                          </a:custGeom>
                          <a:ln w="9525" cap="flat">
                            <a:round/>
                          </a:ln>
                        </wps:spPr>
                        <wps:style>
                          <a:lnRef idx="1">
                            <a:srgbClr val="E97132"/>
                          </a:lnRef>
                          <a:fillRef idx="0">
                            <a:srgbClr val="000000">
                              <a:alpha val="0"/>
                            </a:srgbClr>
                          </a:fillRef>
                          <a:effectRef idx="0">
                            <a:scrgbClr r="0" g="0" b="0"/>
                          </a:effectRef>
                          <a:fontRef idx="none"/>
                        </wps:style>
                        <wps:bodyPr/>
                      </wps:wsp>
                      <wps:wsp>
                        <wps:cNvPr id="290141862" name="Shape 96"/>
                        <wps:cNvSpPr/>
                        <wps:spPr>
                          <a:xfrm>
                            <a:off x="2555748" y="603631"/>
                            <a:ext cx="64008" cy="64008"/>
                          </a:xfrm>
                          <a:custGeom>
                            <a:avLst/>
                            <a:gdLst/>
                            <a:ahLst/>
                            <a:cxnLst/>
                            <a:rect l="0" t="0" r="0" b="0"/>
                            <a:pathLst>
                              <a:path w="64008" h="64008">
                                <a:moveTo>
                                  <a:pt x="32004" y="0"/>
                                </a:moveTo>
                                <a:cubicBezTo>
                                  <a:pt x="49657" y="0"/>
                                  <a:pt x="64008" y="14224"/>
                                  <a:pt x="64008" y="32004"/>
                                </a:cubicBezTo>
                                <a:cubicBezTo>
                                  <a:pt x="64008" y="49657"/>
                                  <a:pt x="49657" y="64008"/>
                                  <a:pt x="32004" y="64008"/>
                                </a:cubicBezTo>
                                <a:cubicBezTo>
                                  <a:pt x="14351" y="64008"/>
                                  <a:pt x="0" y="49657"/>
                                  <a:pt x="0" y="32004"/>
                                </a:cubicBezTo>
                                <a:cubicBezTo>
                                  <a:pt x="0" y="14224"/>
                                  <a:pt x="14351" y="0"/>
                                  <a:pt x="32004" y="0"/>
                                </a:cubicBezTo>
                                <a:close/>
                              </a:path>
                            </a:pathLst>
                          </a:custGeom>
                          <a:ln w="0" cap="flat">
                            <a:round/>
                          </a:ln>
                        </wps:spPr>
                        <wps:style>
                          <a:lnRef idx="0">
                            <a:srgbClr val="000000">
                              <a:alpha val="0"/>
                            </a:srgbClr>
                          </a:lnRef>
                          <a:fillRef idx="1">
                            <a:srgbClr val="E97132"/>
                          </a:fillRef>
                          <a:effectRef idx="0">
                            <a:scrgbClr r="0" g="0" b="0"/>
                          </a:effectRef>
                          <a:fontRef idx="none"/>
                        </wps:style>
                        <wps:bodyPr/>
                      </wps:wsp>
                      <wps:wsp>
                        <wps:cNvPr id="1361347913" name="Shape 97"/>
                        <wps:cNvSpPr/>
                        <wps:spPr>
                          <a:xfrm>
                            <a:off x="2555748" y="603631"/>
                            <a:ext cx="64008" cy="64008"/>
                          </a:xfrm>
                          <a:custGeom>
                            <a:avLst/>
                            <a:gdLst/>
                            <a:ahLst/>
                            <a:cxnLst/>
                            <a:rect l="0" t="0" r="0" b="0"/>
                            <a:pathLst>
                              <a:path w="64008" h="64008">
                                <a:moveTo>
                                  <a:pt x="64008" y="32004"/>
                                </a:moveTo>
                                <a:cubicBezTo>
                                  <a:pt x="64008" y="49657"/>
                                  <a:pt x="49657" y="64008"/>
                                  <a:pt x="32004" y="64008"/>
                                </a:cubicBezTo>
                                <a:cubicBezTo>
                                  <a:pt x="14351" y="64008"/>
                                  <a:pt x="0" y="49657"/>
                                  <a:pt x="0" y="32004"/>
                                </a:cubicBezTo>
                                <a:cubicBezTo>
                                  <a:pt x="0" y="14224"/>
                                  <a:pt x="14351" y="0"/>
                                  <a:pt x="32004" y="0"/>
                                </a:cubicBezTo>
                                <a:cubicBezTo>
                                  <a:pt x="49657" y="0"/>
                                  <a:pt x="64008" y="14224"/>
                                  <a:pt x="64008" y="32004"/>
                                </a:cubicBezTo>
                                <a:close/>
                              </a:path>
                            </a:pathLst>
                          </a:custGeom>
                          <a:ln w="9525" cap="flat">
                            <a:round/>
                          </a:ln>
                        </wps:spPr>
                        <wps:style>
                          <a:lnRef idx="1">
                            <a:srgbClr val="E97132"/>
                          </a:lnRef>
                          <a:fillRef idx="0">
                            <a:srgbClr val="000000">
                              <a:alpha val="0"/>
                            </a:srgbClr>
                          </a:fillRef>
                          <a:effectRef idx="0">
                            <a:scrgbClr r="0" g="0" b="0"/>
                          </a:effectRef>
                          <a:fontRef idx="none"/>
                        </wps:style>
                        <wps:bodyPr/>
                      </wps:wsp>
                      <wps:wsp>
                        <wps:cNvPr id="1789957747" name="Shape 98"/>
                        <wps:cNvSpPr/>
                        <wps:spPr>
                          <a:xfrm>
                            <a:off x="3140964" y="1979803"/>
                            <a:ext cx="64008" cy="64008"/>
                          </a:xfrm>
                          <a:custGeom>
                            <a:avLst/>
                            <a:gdLst/>
                            <a:ahLst/>
                            <a:cxnLst/>
                            <a:rect l="0" t="0" r="0" b="0"/>
                            <a:pathLst>
                              <a:path w="64008" h="64008">
                                <a:moveTo>
                                  <a:pt x="32004" y="0"/>
                                </a:moveTo>
                                <a:cubicBezTo>
                                  <a:pt x="49657" y="0"/>
                                  <a:pt x="64008" y="14224"/>
                                  <a:pt x="64008" y="32004"/>
                                </a:cubicBezTo>
                                <a:cubicBezTo>
                                  <a:pt x="64008" y="49657"/>
                                  <a:pt x="49657" y="64008"/>
                                  <a:pt x="32004" y="64008"/>
                                </a:cubicBezTo>
                                <a:cubicBezTo>
                                  <a:pt x="14351" y="64008"/>
                                  <a:pt x="0" y="49657"/>
                                  <a:pt x="0" y="32004"/>
                                </a:cubicBezTo>
                                <a:cubicBezTo>
                                  <a:pt x="0" y="14224"/>
                                  <a:pt x="14351" y="0"/>
                                  <a:pt x="32004" y="0"/>
                                </a:cubicBezTo>
                                <a:close/>
                              </a:path>
                            </a:pathLst>
                          </a:custGeom>
                          <a:ln w="0" cap="flat">
                            <a:round/>
                          </a:ln>
                        </wps:spPr>
                        <wps:style>
                          <a:lnRef idx="0">
                            <a:srgbClr val="000000">
                              <a:alpha val="0"/>
                            </a:srgbClr>
                          </a:lnRef>
                          <a:fillRef idx="1">
                            <a:srgbClr val="E97132"/>
                          </a:fillRef>
                          <a:effectRef idx="0">
                            <a:scrgbClr r="0" g="0" b="0"/>
                          </a:effectRef>
                          <a:fontRef idx="none"/>
                        </wps:style>
                        <wps:bodyPr/>
                      </wps:wsp>
                      <wps:wsp>
                        <wps:cNvPr id="240812057" name="Shape 99"/>
                        <wps:cNvSpPr/>
                        <wps:spPr>
                          <a:xfrm>
                            <a:off x="3140964" y="1979803"/>
                            <a:ext cx="64008" cy="64008"/>
                          </a:xfrm>
                          <a:custGeom>
                            <a:avLst/>
                            <a:gdLst/>
                            <a:ahLst/>
                            <a:cxnLst/>
                            <a:rect l="0" t="0" r="0" b="0"/>
                            <a:pathLst>
                              <a:path w="64008" h="64008">
                                <a:moveTo>
                                  <a:pt x="64008" y="32004"/>
                                </a:moveTo>
                                <a:cubicBezTo>
                                  <a:pt x="64008" y="49657"/>
                                  <a:pt x="49657" y="64008"/>
                                  <a:pt x="32004" y="64008"/>
                                </a:cubicBezTo>
                                <a:cubicBezTo>
                                  <a:pt x="14351" y="64008"/>
                                  <a:pt x="0" y="49657"/>
                                  <a:pt x="0" y="32004"/>
                                </a:cubicBezTo>
                                <a:cubicBezTo>
                                  <a:pt x="0" y="14224"/>
                                  <a:pt x="14351" y="0"/>
                                  <a:pt x="32004" y="0"/>
                                </a:cubicBezTo>
                                <a:cubicBezTo>
                                  <a:pt x="49657" y="0"/>
                                  <a:pt x="64008" y="14224"/>
                                  <a:pt x="64008" y="32004"/>
                                </a:cubicBezTo>
                                <a:close/>
                              </a:path>
                            </a:pathLst>
                          </a:custGeom>
                          <a:ln w="9525" cap="flat">
                            <a:round/>
                          </a:ln>
                        </wps:spPr>
                        <wps:style>
                          <a:lnRef idx="1">
                            <a:srgbClr val="E97132"/>
                          </a:lnRef>
                          <a:fillRef idx="0">
                            <a:srgbClr val="000000">
                              <a:alpha val="0"/>
                            </a:srgbClr>
                          </a:fillRef>
                          <a:effectRef idx="0">
                            <a:scrgbClr r="0" g="0" b="0"/>
                          </a:effectRef>
                          <a:fontRef idx="none"/>
                        </wps:style>
                        <wps:bodyPr/>
                      </wps:wsp>
                      <wps:wsp>
                        <wps:cNvPr id="128446211" name="Shape 100"/>
                        <wps:cNvSpPr/>
                        <wps:spPr>
                          <a:xfrm>
                            <a:off x="3727704" y="2033143"/>
                            <a:ext cx="64008" cy="64008"/>
                          </a:xfrm>
                          <a:custGeom>
                            <a:avLst/>
                            <a:gdLst/>
                            <a:ahLst/>
                            <a:cxnLst/>
                            <a:rect l="0" t="0" r="0" b="0"/>
                            <a:pathLst>
                              <a:path w="64008" h="64008">
                                <a:moveTo>
                                  <a:pt x="32004" y="0"/>
                                </a:moveTo>
                                <a:cubicBezTo>
                                  <a:pt x="49657" y="0"/>
                                  <a:pt x="64008" y="14224"/>
                                  <a:pt x="64008" y="32004"/>
                                </a:cubicBezTo>
                                <a:cubicBezTo>
                                  <a:pt x="64008" y="49657"/>
                                  <a:pt x="49657" y="64008"/>
                                  <a:pt x="32004" y="64008"/>
                                </a:cubicBezTo>
                                <a:cubicBezTo>
                                  <a:pt x="14351" y="64008"/>
                                  <a:pt x="0" y="49657"/>
                                  <a:pt x="0" y="32004"/>
                                </a:cubicBezTo>
                                <a:cubicBezTo>
                                  <a:pt x="0" y="14224"/>
                                  <a:pt x="14351" y="0"/>
                                  <a:pt x="32004" y="0"/>
                                </a:cubicBezTo>
                                <a:close/>
                              </a:path>
                            </a:pathLst>
                          </a:custGeom>
                          <a:ln w="0" cap="flat">
                            <a:round/>
                          </a:ln>
                        </wps:spPr>
                        <wps:style>
                          <a:lnRef idx="0">
                            <a:srgbClr val="000000">
                              <a:alpha val="0"/>
                            </a:srgbClr>
                          </a:lnRef>
                          <a:fillRef idx="1">
                            <a:srgbClr val="E97132"/>
                          </a:fillRef>
                          <a:effectRef idx="0">
                            <a:scrgbClr r="0" g="0" b="0"/>
                          </a:effectRef>
                          <a:fontRef idx="none"/>
                        </wps:style>
                        <wps:bodyPr/>
                      </wps:wsp>
                      <wps:wsp>
                        <wps:cNvPr id="1923983627" name="Shape 101"/>
                        <wps:cNvSpPr/>
                        <wps:spPr>
                          <a:xfrm>
                            <a:off x="3727704" y="2033143"/>
                            <a:ext cx="64008" cy="64008"/>
                          </a:xfrm>
                          <a:custGeom>
                            <a:avLst/>
                            <a:gdLst/>
                            <a:ahLst/>
                            <a:cxnLst/>
                            <a:rect l="0" t="0" r="0" b="0"/>
                            <a:pathLst>
                              <a:path w="64008" h="64008">
                                <a:moveTo>
                                  <a:pt x="64008" y="32004"/>
                                </a:moveTo>
                                <a:cubicBezTo>
                                  <a:pt x="64008" y="49657"/>
                                  <a:pt x="49657" y="64008"/>
                                  <a:pt x="32004" y="64008"/>
                                </a:cubicBezTo>
                                <a:cubicBezTo>
                                  <a:pt x="14351" y="64008"/>
                                  <a:pt x="0" y="49657"/>
                                  <a:pt x="0" y="32004"/>
                                </a:cubicBezTo>
                                <a:cubicBezTo>
                                  <a:pt x="0" y="14224"/>
                                  <a:pt x="14351" y="0"/>
                                  <a:pt x="32004" y="0"/>
                                </a:cubicBezTo>
                                <a:cubicBezTo>
                                  <a:pt x="49657" y="0"/>
                                  <a:pt x="64008" y="14224"/>
                                  <a:pt x="64008" y="32004"/>
                                </a:cubicBezTo>
                                <a:close/>
                              </a:path>
                            </a:pathLst>
                          </a:custGeom>
                          <a:ln w="9525" cap="flat">
                            <a:round/>
                          </a:ln>
                        </wps:spPr>
                        <wps:style>
                          <a:lnRef idx="1">
                            <a:srgbClr val="E97132"/>
                          </a:lnRef>
                          <a:fillRef idx="0">
                            <a:srgbClr val="000000">
                              <a:alpha val="0"/>
                            </a:srgbClr>
                          </a:fillRef>
                          <a:effectRef idx="0">
                            <a:scrgbClr r="0" g="0" b="0"/>
                          </a:effectRef>
                          <a:fontRef idx="none"/>
                        </wps:style>
                        <wps:bodyPr/>
                      </wps:wsp>
                      <wps:wsp>
                        <wps:cNvPr id="1305134877" name="Shape 102"/>
                        <wps:cNvSpPr/>
                        <wps:spPr>
                          <a:xfrm>
                            <a:off x="4312920" y="2152015"/>
                            <a:ext cx="64008" cy="64008"/>
                          </a:xfrm>
                          <a:custGeom>
                            <a:avLst/>
                            <a:gdLst/>
                            <a:ahLst/>
                            <a:cxnLst/>
                            <a:rect l="0" t="0" r="0" b="0"/>
                            <a:pathLst>
                              <a:path w="64008" h="64008">
                                <a:moveTo>
                                  <a:pt x="32004" y="0"/>
                                </a:moveTo>
                                <a:cubicBezTo>
                                  <a:pt x="49657" y="0"/>
                                  <a:pt x="64008" y="14224"/>
                                  <a:pt x="64008" y="32004"/>
                                </a:cubicBezTo>
                                <a:cubicBezTo>
                                  <a:pt x="64008" y="49657"/>
                                  <a:pt x="49657" y="64008"/>
                                  <a:pt x="32004" y="64008"/>
                                </a:cubicBezTo>
                                <a:cubicBezTo>
                                  <a:pt x="14351" y="64008"/>
                                  <a:pt x="0" y="49657"/>
                                  <a:pt x="0" y="32004"/>
                                </a:cubicBezTo>
                                <a:cubicBezTo>
                                  <a:pt x="0" y="14224"/>
                                  <a:pt x="14351" y="0"/>
                                  <a:pt x="32004" y="0"/>
                                </a:cubicBezTo>
                                <a:close/>
                              </a:path>
                            </a:pathLst>
                          </a:custGeom>
                          <a:ln w="0" cap="flat">
                            <a:round/>
                          </a:ln>
                        </wps:spPr>
                        <wps:style>
                          <a:lnRef idx="0">
                            <a:srgbClr val="000000">
                              <a:alpha val="0"/>
                            </a:srgbClr>
                          </a:lnRef>
                          <a:fillRef idx="1">
                            <a:srgbClr val="E97132"/>
                          </a:fillRef>
                          <a:effectRef idx="0">
                            <a:scrgbClr r="0" g="0" b="0"/>
                          </a:effectRef>
                          <a:fontRef idx="none"/>
                        </wps:style>
                        <wps:bodyPr/>
                      </wps:wsp>
                      <wps:wsp>
                        <wps:cNvPr id="1081699019" name="Shape 103"/>
                        <wps:cNvSpPr/>
                        <wps:spPr>
                          <a:xfrm>
                            <a:off x="4312920" y="2152015"/>
                            <a:ext cx="64008" cy="64008"/>
                          </a:xfrm>
                          <a:custGeom>
                            <a:avLst/>
                            <a:gdLst/>
                            <a:ahLst/>
                            <a:cxnLst/>
                            <a:rect l="0" t="0" r="0" b="0"/>
                            <a:pathLst>
                              <a:path w="64008" h="64008">
                                <a:moveTo>
                                  <a:pt x="64008" y="32004"/>
                                </a:moveTo>
                                <a:cubicBezTo>
                                  <a:pt x="64008" y="49657"/>
                                  <a:pt x="49657" y="64008"/>
                                  <a:pt x="32004" y="64008"/>
                                </a:cubicBezTo>
                                <a:cubicBezTo>
                                  <a:pt x="14351" y="64008"/>
                                  <a:pt x="0" y="49657"/>
                                  <a:pt x="0" y="32004"/>
                                </a:cubicBezTo>
                                <a:cubicBezTo>
                                  <a:pt x="0" y="14224"/>
                                  <a:pt x="14351" y="0"/>
                                  <a:pt x="32004" y="0"/>
                                </a:cubicBezTo>
                                <a:cubicBezTo>
                                  <a:pt x="49657" y="0"/>
                                  <a:pt x="64008" y="14224"/>
                                  <a:pt x="64008" y="32004"/>
                                </a:cubicBezTo>
                                <a:close/>
                              </a:path>
                            </a:pathLst>
                          </a:custGeom>
                          <a:ln w="9525" cap="flat">
                            <a:round/>
                          </a:ln>
                        </wps:spPr>
                        <wps:style>
                          <a:lnRef idx="1">
                            <a:srgbClr val="E97132"/>
                          </a:lnRef>
                          <a:fillRef idx="0">
                            <a:srgbClr val="000000">
                              <a:alpha val="0"/>
                            </a:srgbClr>
                          </a:fillRef>
                          <a:effectRef idx="0">
                            <a:scrgbClr r="0" g="0" b="0"/>
                          </a:effectRef>
                          <a:fontRef idx="none"/>
                        </wps:style>
                        <wps:bodyPr/>
                      </wps:wsp>
                      <wps:wsp>
                        <wps:cNvPr id="711291922" name="Rectangle 711291922"/>
                        <wps:cNvSpPr/>
                        <wps:spPr>
                          <a:xfrm>
                            <a:off x="372618" y="2251448"/>
                            <a:ext cx="77074" cy="185570"/>
                          </a:xfrm>
                          <a:prstGeom prst="rect">
                            <a:avLst/>
                          </a:prstGeom>
                          <a:ln>
                            <a:noFill/>
                          </a:ln>
                        </wps:spPr>
                        <wps:txbx>
                          <w:txbxContent>
                            <w:p w14:paraId="5918733B" w14:textId="77777777" w:rsidR="00D434A6" w:rsidRDefault="00D434A6" w:rsidP="00D434A6">
                              <w:r>
                                <w:rPr>
                                  <w:rFonts w:ascii="Calibri" w:eastAsia="Calibri" w:hAnsi="Calibri" w:cs="Calibri"/>
                                  <w:color w:val="595959"/>
                                  <w:sz w:val="18"/>
                                </w:rPr>
                                <w:t>0</w:t>
                              </w:r>
                            </w:p>
                          </w:txbxContent>
                        </wps:txbx>
                        <wps:bodyPr horzOverflow="overflow" vert="horz" lIns="0" tIns="0" rIns="0" bIns="0" rtlCol="0">
                          <a:noAutofit/>
                        </wps:bodyPr>
                      </wps:wsp>
                      <wps:wsp>
                        <wps:cNvPr id="2062191052" name="Rectangle 2062191052"/>
                        <wps:cNvSpPr/>
                        <wps:spPr>
                          <a:xfrm>
                            <a:off x="140970" y="2018878"/>
                            <a:ext cx="385369" cy="186065"/>
                          </a:xfrm>
                          <a:prstGeom prst="rect">
                            <a:avLst/>
                          </a:prstGeom>
                          <a:ln>
                            <a:noFill/>
                          </a:ln>
                        </wps:spPr>
                        <wps:txbx>
                          <w:txbxContent>
                            <w:p w14:paraId="786C0631" w14:textId="77777777" w:rsidR="00D434A6" w:rsidRDefault="00D434A6" w:rsidP="00D434A6">
                              <w:r>
                                <w:rPr>
                                  <w:rFonts w:ascii="Calibri" w:eastAsia="Calibri" w:hAnsi="Calibri" w:cs="Calibri"/>
                                  <w:color w:val="595959"/>
                                  <w:w w:val="99"/>
                                  <w:sz w:val="18"/>
                                </w:rPr>
                                <w:t>20000</w:t>
                              </w:r>
                            </w:p>
                          </w:txbxContent>
                        </wps:txbx>
                        <wps:bodyPr horzOverflow="overflow" vert="horz" lIns="0" tIns="0" rIns="0" bIns="0" rtlCol="0">
                          <a:noAutofit/>
                        </wps:bodyPr>
                      </wps:wsp>
                      <wps:wsp>
                        <wps:cNvPr id="1164479972" name="Rectangle 1164479972"/>
                        <wps:cNvSpPr/>
                        <wps:spPr>
                          <a:xfrm>
                            <a:off x="140970" y="1787262"/>
                            <a:ext cx="385165" cy="185570"/>
                          </a:xfrm>
                          <a:prstGeom prst="rect">
                            <a:avLst/>
                          </a:prstGeom>
                          <a:ln>
                            <a:noFill/>
                          </a:ln>
                        </wps:spPr>
                        <wps:txbx>
                          <w:txbxContent>
                            <w:p w14:paraId="3F1B7663" w14:textId="77777777" w:rsidR="00D434A6" w:rsidRDefault="00D434A6" w:rsidP="00D434A6">
                              <w:r>
                                <w:rPr>
                                  <w:rFonts w:ascii="Calibri" w:eastAsia="Calibri" w:hAnsi="Calibri" w:cs="Calibri"/>
                                  <w:color w:val="595959"/>
                                  <w:w w:val="99"/>
                                  <w:sz w:val="18"/>
                                </w:rPr>
                                <w:t>40000</w:t>
                              </w:r>
                            </w:p>
                          </w:txbxContent>
                        </wps:txbx>
                        <wps:bodyPr horzOverflow="overflow" vert="horz" lIns="0" tIns="0" rIns="0" bIns="0" rtlCol="0">
                          <a:noAutofit/>
                        </wps:bodyPr>
                      </wps:wsp>
                      <wps:wsp>
                        <wps:cNvPr id="772912296" name="Rectangle 772912296"/>
                        <wps:cNvSpPr/>
                        <wps:spPr>
                          <a:xfrm>
                            <a:off x="140970" y="1555360"/>
                            <a:ext cx="385165" cy="185570"/>
                          </a:xfrm>
                          <a:prstGeom prst="rect">
                            <a:avLst/>
                          </a:prstGeom>
                          <a:ln>
                            <a:noFill/>
                          </a:ln>
                        </wps:spPr>
                        <wps:txbx>
                          <w:txbxContent>
                            <w:p w14:paraId="6CD38A27" w14:textId="77777777" w:rsidR="00D434A6" w:rsidRDefault="00D434A6" w:rsidP="00D434A6">
                              <w:r>
                                <w:rPr>
                                  <w:rFonts w:ascii="Calibri" w:eastAsia="Calibri" w:hAnsi="Calibri" w:cs="Calibri"/>
                                  <w:color w:val="595959"/>
                                  <w:w w:val="99"/>
                                  <w:sz w:val="18"/>
                                </w:rPr>
                                <w:t>60000</w:t>
                              </w:r>
                            </w:p>
                          </w:txbxContent>
                        </wps:txbx>
                        <wps:bodyPr horzOverflow="overflow" vert="horz" lIns="0" tIns="0" rIns="0" bIns="0" rtlCol="0">
                          <a:noAutofit/>
                        </wps:bodyPr>
                      </wps:wsp>
                      <wps:wsp>
                        <wps:cNvPr id="1441815591" name="Rectangle 1441815591"/>
                        <wps:cNvSpPr/>
                        <wps:spPr>
                          <a:xfrm>
                            <a:off x="140970" y="1322791"/>
                            <a:ext cx="385369" cy="186065"/>
                          </a:xfrm>
                          <a:prstGeom prst="rect">
                            <a:avLst/>
                          </a:prstGeom>
                          <a:ln>
                            <a:noFill/>
                          </a:ln>
                        </wps:spPr>
                        <wps:txbx>
                          <w:txbxContent>
                            <w:p w14:paraId="4F425F9C" w14:textId="77777777" w:rsidR="00D434A6" w:rsidRDefault="00D434A6" w:rsidP="00D434A6">
                              <w:r>
                                <w:rPr>
                                  <w:rFonts w:ascii="Calibri" w:eastAsia="Calibri" w:hAnsi="Calibri" w:cs="Calibri"/>
                                  <w:color w:val="595959"/>
                                  <w:w w:val="99"/>
                                  <w:sz w:val="18"/>
                                </w:rPr>
                                <w:t>80000</w:t>
                              </w:r>
                            </w:p>
                          </w:txbxContent>
                        </wps:txbx>
                        <wps:bodyPr horzOverflow="overflow" vert="horz" lIns="0" tIns="0" rIns="0" bIns="0" rtlCol="0">
                          <a:noAutofit/>
                        </wps:bodyPr>
                      </wps:wsp>
                      <wps:wsp>
                        <wps:cNvPr id="87047577" name="Rectangle 87047577"/>
                        <wps:cNvSpPr/>
                        <wps:spPr>
                          <a:xfrm>
                            <a:off x="82677" y="1091048"/>
                            <a:ext cx="464215" cy="185570"/>
                          </a:xfrm>
                          <a:prstGeom prst="rect">
                            <a:avLst/>
                          </a:prstGeom>
                          <a:ln>
                            <a:noFill/>
                          </a:ln>
                        </wps:spPr>
                        <wps:txbx>
                          <w:txbxContent>
                            <w:p w14:paraId="74AC362E" w14:textId="77777777" w:rsidR="00D434A6" w:rsidRDefault="00D434A6" w:rsidP="00D434A6">
                              <w:r>
                                <w:rPr>
                                  <w:rFonts w:ascii="Calibri" w:eastAsia="Calibri" w:hAnsi="Calibri" w:cs="Calibri"/>
                                  <w:color w:val="595959"/>
                                  <w:sz w:val="18"/>
                                </w:rPr>
                                <w:t>100000</w:t>
                              </w:r>
                            </w:p>
                          </w:txbxContent>
                        </wps:txbx>
                        <wps:bodyPr horzOverflow="overflow" vert="horz" lIns="0" tIns="0" rIns="0" bIns="0" rtlCol="0">
                          <a:noAutofit/>
                        </wps:bodyPr>
                      </wps:wsp>
                      <wps:wsp>
                        <wps:cNvPr id="1611300837" name="Rectangle 1611300837"/>
                        <wps:cNvSpPr/>
                        <wps:spPr>
                          <a:xfrm>
                            <a:off x="82677" y="859146"/>
                            <a:ext cx="464215" cy="185570"/>
                          </a:xfrm>
                          <a:prstGeom prst="rect">
                            <a:avLst/>
                          </a:prstGeom>
                          <a:ln>
                            <a:noFill/>
                          </a:ln>
                        </wps:spPr>
                        <wps:txbx>
                          <w:txbxContent>
                            <w:p w14:paraId="6DFD00B0" w14:textId="77777777" w:rsidR="00D434A6" w:rsidRDefault="00D434A6" w:rsidP="00D434A6">
                              <w:r>
                                <w:rPr>
                                  <w:rFonts w:ascii="Calibri" w:eastAsia="Calibri" w:hAnsi="Calibri" w:cs="Calibri"/>
                                  <w:color w:val="595959"/>
                                  <w:sz w:val="18"/>
                                </w:rPr>
                                <w:t>120000</w:t>
                              </w:r>
                            </w:p>
                          </w:txbxContent>
                        </wps:txbx>
                        <wps:bodyPr horzOverflow="overflow" vert="horz" lIns="0" tIns="0" rIns="0" bIns="0" rtlCol="0">
                          <a:noAutofit/>
                        </wps:bodyPr>
                      </wps:wsp>
                      <wps:wsp>
                        <wps:cNvPr id="1600653995" name="Rectangle 1600653995"/>
                        <wps:cNvSpPr/>
                        <wps:spPr>
                          <a:xfrm>
                            <a:off x="82677" y="627244"/>
                            <a:ext cx="464215" cy="185570"/>
                          </a:xfrm>
                          <a:prstGeom prst="rect">
                            <a:avLst/>
                          </a:prstGeom>
                          <a:ln>
                            <a:noFill/>
                          </a:ln>
                        </wps:spPr>
                        <wps:txbx>
                          <w:txbxContent>
                            <w:p w14:paraId="7159E408" w14:textId="77777777" w:rsidR="00D434A6" w:rsidRDefault="00D434A6" w:rsidP="00D434A6">
                              <w:r>
                                <w:rPr>
                                  <w:rFonts w:ascii="Calibri" w:eastAsia="Calibri" w:hAnsi="Calibri" w:cs="Calibri"/>
                                  <w:color w:val="595959"/>
                                  <w:sz w:val="18"/>
                                </w:rPr>
                                <w:t>140000</w:t>
                              </w:r>
                            </w:p>
                          </w:txbxContent>
                        </wps:txbx>
                        <wps:bodyPr horzOverflow="overflow" vert="horz" lIns="0" tIns="0" rIns="0" bIns="0" rtlCol="0">
                          <a:noAutofit/>
                        </wps:bodyPr>
                      </wps:wsp>
                      <wps:wsp>
                        <wps:cNvPr id="1772290953" name="Rectangle 1772290953"/>
                        <wps:cNvSpPr/>
                        <wps:spPr>
                          <a:xfrm>
                            <a:off x="82677" y="394961"/>
                            <a:ext cx="464215" cy="185570"/>
                          </a:xfrm>
                          <a:prstGeom prst="rect">
                            <a:avLst/>
                          </a:prstGeom>
                          <a:ln>
                            <a:noFill/>
                          </a:ln>
                        </wps:spPr>
                        <wps:txbx>
                          <w:txbxContent>
                            <w:p w14:paraId="02CAB979" w14:textId="77777777" w:rsidR="00D434A6" w:rsidRDefault="00D434A6" w:rsidP="00D434A6">
                              <w:r>
                                <w:rPr>
                                  <w:rFonts w:ascii="Calibri" w:eastAsia="Calibri" w:hAnsi="Calibri" w:cs="Calibri"/>
                                  <w:color w:val="595959"/>
                                  <w:sz w:val="18"/>
                                </w:rPr>
                                <w:t>160000</w:t>
                              </w:r>
                            </w:p>
                          </w:txbxContent>
                        </wps:txbx>
                        <wps:bodyPr horzOverflow="overflow" vert="horz" lIns="0" tIns="0" rIns="0" bIns="0" rtlCol="0">
                          <a:noAutofit/>
                        </wps:bodyPr>
                      </wps:wsp>
                      <wps:wsp>
                        <wps:cNvPr id="2067917001" name="Rectangle 2067917001"/>
                        <wps:cNvSpPr/>
                        <wps:spPr>
                          <a:xfrm>
                            <a:off x="800227" y="2399022"/>
                            <a:ext cx="77074" cy="185570"/>
                          </a:xfrm>
                          <a:prstGeom prst="rect">
                            <a:avLst/>
                          </a:prstGeom>
                          <a:ln>
                            <a:noFill/>
                          </a:ln>
                        </wps:spPr>
                        <wps:txbx>
                          <w:txbxContent>
                            <w:p w14:paraId="6BFCB281" w14:textId="77777777" w:rsidR="00D434A6" w:rsidRDefault="00D434A6" w:rsidP="00D434A6">
                              <w:r>
                                <w:rPr>
                                  <w:rFonts w:ascii="Calibri" w:eastAsia="Calibri" w:hAnsi="Calibri" w:cs="Calibri"/>
                                  <w:color w:val="595959"/>
                                  <w:sz w:val="18"/>
                                </w:rPr>
                                <w:t>1</w:t>
                              </w:r>
                            </w:p>
                          </w:txbxContent>
                        </wps:txbx>
                        <wps:bodyPr horzOverflow="overflow" vert="horz" lIns="0" tIns="0" rIns="0" bIns="0" rtlCol="0">
                          <a:noAutofit/>
                        </wps:bodyPr>
                      </wps:wsp>
                      <wps:wsp>
                        <wps:cNvPr id="1766493359" name="Rectangle 1766493359"/>
                        <wps:cNvSpPr/>
                        <wps:spPr>
                          <a:xfrm>
                            <a:off x="1386332" y="2399022"/>
                            <a:ext cx="77074" cy="185570"/>
                          </a:xfrm>
                          <a:prstGeom prst="rect">
                            <a:avLst/>
                          </a:prstGeom>
                          <a:ln>
                            <a:noFill/>
                          </a:ln>
                        </wps:spPr>
                        <wps:txbx>
                          <w:txbxContent>
                            <w:p w14:paraId="6772159D" w14:textId="77777777" w:rsidR="00D434A6" w:rsidRDefault="00D434A6" w:rsidP="00D434A6">
                              <w:r>
                                <w:rPr>
                                  <w:rFonts w:ascii="Calibri" w:eastAsia="Calibri" w:hAnsi="Calibri" w:cs="Calibri"/>
                                  <w:color w:val="595959"/>
                                  <w:sz w:val="18"/>
                                </w:rPr>
                                <w:t>2</w:t>
                              </w:r>
                            </w:p>
                          </w:txbxContent>
                        </wps:txbx>
                        <wps:bodyPr horzOverflow="overflow" vert="horz" lIns="0" tIns="0" rIns="0" bIns="0" rtlCol="0">
                          <a:noAutofit/>
                        </wps:bodyPr>
                      </wps:wsp>
                      <wps:wsp>
                        <wps:cNvPr id="1842727770" name="Rectangle 1842727770"/>
                        <wps:cNvSpPr/>
                        <wps:spPr>
                          <a:xfrm>
                            <a:off x="1972437" y="2399022"/>
                            <a:ext cx="77073" cy="185570"/>
                          </a:xfrm>
                          <a:prstGeom prst="rect">
                            <a:avLst/>
                          </a:prstGeom>
                          <a:ln>
                            <a:noFill/>
                          </a:ln>
                        </wps:spPr>
                        <wps:txbx>
                          <w:txbxContent>
                            <w:p w14:paraId="7CC6C860" w14:textId="77777777" w:rsidR="00D434A6" w:rsidRDefault="00D434A6" w:rsidP="00D434A6">
                              <w:r>
                                <w:rPr>
                                  <w:rFonts w:ascii="Calibri" w:eastAsia="Calibri" w:hAnsi="Calibri" w:cs="Calibri"/>
                                  <w:color w:val="595959"/>
                                  <w:sz w:val="18"/>
                                </w:rPr>
                                <w:t>3</w:t>
                              </w:r>
                            </w:p>
                          </w:txbxContent>
                        </wps:txbx>
                        <wps:bodyPr horzOverflow="overflow" vert="horz" lIns="0" tIns="0" rIns="0" bIns="0" rtlCol="0">
                          <a:noAutofit/>
                        </wps:bodyPr>
                      </wps:wsp>
                      <wps:wsp>
                        <wps:cNvPr id="960888048" name="Rectangle 960888048"/>
                        <wps:cNvSpPr/>
                        <wps:spPr>
                          <a:xfrm>
                            <a:off x="2558542" y="2399022"/>
                            <a:ext cx="77073" cy="185570"/>
                          </a:xfrm>
                          <a:prstGeom prst="rect">
                            <a:avLst/>
                          </a:prstGeom>
                          <a:ln>
                            <a:noFill/>
                          </a:ln>
                        </wps:spPr>
                        <wps:txbx>
                          <w:txbxContent>
                            <w:p w14:paraId="78559A14" w14:textId="77777777" w:rsidR="00D434A6" w:rsidRDefault="00D434A6" w:rsidP="00D434A6">
                              <w:r>
                                <w:rPr>
                                  <w:rFonts w:ascii="Calibri" w:eastAsia="Calibri" w:hAnsi="Calibri" w:cs="Calibri"/>
                                  <w:color w:val="595959"/>
                                  <w:sz w:val="18"/>
                                </w:rPr>
                                <w:t>4</w:t>
                              </w:r>
                            </w:p>
                          </w:txbxContent>
                        </wps:txbx>
                        <wps:bodyPr horzOverflow="overflow" vert="horz" lIns="0" tIns="0" rIns="0" bIns="0" rtlCol="0">
                          <a:noAutofit/>
                        </wps:bodyPr>
                      </wps:wsp>
                      <wps:wsp>
                        <wps:cNvPr id="1396591407" name="Rectangle 1396591407"/>
                        <wps:cNvSpPr/>
                        <wps:spPr>
                          <a:xfrm>
                            <a:off x="3144774" y="2399022"/>
                            <a:ext cx="77073" cy="185570"/>
                          </a:xfrm>
                          <a:prstGeom prst="rect">
                            <a:avLst/>
                          </a:prstGeom>
                          <a:ln>
                            <a:noFill/>
                          </a:ln>
                        </wps:spPr>
                        <wps:txbx>
                          <w:txbxContent>
                            <w:p w14:paraId="62BEE534" w14:textId="77777777" w:rsidR="00D434A6" w:rsidRDefault="00D434A6" w:rsidP="00D434A6">
                              <w:r>
                                <w:rPr>
                                  <w:rFonts w:ascii="Calibri" w:eastAsia="Calibri" w:hAnsi="Calibri" w:cs="Calibri"/>
                                  <w:color w:val="595959"/>
                                  <w:sz w:val="18"/>
                                </w:rPr>
                                <w:t>5</w:t>
                              </w:r>
                            </w:p>
                          </w:txbxContent>
                        </wps:txbx>
                        <wps:bodyPr horzOverflow="overflow" vert="horz" lIns="0" tIns="0" rIns="0" bIns="0" rtlCol="0">
                          <a:noAutofit/>
                        </wps:bodyPr>
                      </wps:wsp>
                      <wps:wsp>
                        <wps:cNvPr id="2118082357" name="Rectangle 2118082357"/>
                        <wps:cNvSpPr/>
                        <wps:spPr>
                          <a:xfrm>
                            <a:off x="3730879" y="2399022"/>
                            <a:ext cx="77073" cy="185570"/>
                          </a:xfrm>
                          <a:prstGeom prst="rect">
                            <a:avLst/>
                          </a:prstGeom>
                          <a:ln>
                            <a:noFill/>
                          </a:ln>
                        </wps:spPr>
                        <wps:txbx>
                          <w:txbxContent>
                            <w:p w14:paraId="550FCBCD" w14:textId="77777777" w:rsidR="00D434A6" w:rsidRDefault="00D434A6" w:rsidP="00D434A6">
                              <w:r>
                                <w:rPr>
                                  <w:rFonts w:ascii="Calibri" w:eastAsia="Calibri" w:hAnsi="Calibri" w:cs="Calibri"/>
                                  <w:color w:val="595959"/>
                                  <w:sz w:val="18"/>
                                </w:rPr>
                                <w:t>6</w:t>
                              </w:r>
                            </w:p>
                          </w:txbxContent>
                        </wps:txbx>
                        <wps:bodyPr horzOverflow="overflow" vert="horz" lIns="0" tIns="0" rIns="0" bIns="0" rtlCol="0">
                          <a:noAutofit/>
                        </wps:bodyPr>
                      </wps:wsp>
                      <wps:wsp>
                        <wps:cNvPr id="1499171560" name="Rectangle 1499171560"/>
                        <wps:cNvSpPr/>
                        <wps:spPr>
                          <a:xfrm>
                            <a:off x="4316984" y="2399022"/>
                            <a:ext cx="77073" cy="185570"/>
                          </a:xfrm>
                          <a:prstGeom prst="rect">
                            <a:avLst/>
                          </a:prstGeom>
                          <a:ln>
                            <a:noFill/>
                          </a:ln>
                        </wps:spPr>
                        <wps:txbx>
                          <w:txbxContent>
                            <w:p w14:paraId="5AE68453" w14:textId="77777777" w:rsidR="00D434A6" w:rsidRDefault="00D434A6" w:rsidP="00D434A6">
                              <w:r>
                                <w:rPr>
                                  <w:rFonts w:ascii="Calibri" w:eastAsia="Calibri" w:hAnsi="Calibri" w:cs="Calibri"/>
                                  <w:color w:val="595959"/>
                                  <w:sz w:val="18"/>
                                </w:rPr>
                                <w:t>7</w:t>
                              </w:r>
                            </w:p>
                          </w:txbxContent>
                        </wps:txbx>
                        <wps:bodyPr horzOverflow="overflow" vert="horz" lIns="0" tIns="0" rIns="0" bIns="0" rtlCol="0">
                          <a:noAutofit/>
                        </wps:bodyPr>
                      </wps:wsp>
                      <wps:wsp>
                        <wps:cNvPr id="1085096305" name="Rectangle 1085096305"/>
                        <wps:cNvSpPr/>
                        <wps:spPr>
                          <a:xfrm>
                            <a:off x="616712" y="96227"/>
                            <a:ext cx="4078500" cy="289489"/>
                          </a:xfrm>
                          <a:prstGeom prst="rect">
                            <a:avLst/>
                          </a:prstGeom>
                          <a:ln>
                            <a:noFill/>
                          </a:ln>
                        </wps:spPr>
                        <wps:txbx>
                          <w:txbxContent>
                            <w:p w14:paraId="41CC06DD" w14:textId="77777777" w:rsidR="00D434A6" w:rsidRDefault="00D434A6" w:rsidP="00D434A6">
                              <w:r>
                                <w:rPr>
                                  <w:rFonts w:ascii="Calibri" w:eastAsia="Calibri" w:hAnsi="Calibri" w:cs="Calibri"/>
                                  <w:b/>
                                  <w:color w:val="595959"/>
                                  <w:w w:val="102"/>
                                  <w:sz w:val="28"/>
                                </w:rPr>
                                <w:t>Health</w:t>
                              </w:r>
                              <w:r>
                                <w:rPr>
                                  <w:rFonts w:ascii="Calibri" w:eastAsia="Calibri" w:hAnsi="Calibri" w:cs="Calibri"/>
                                  <w:b/>
                                  <w:color w:val="595959"/>
                                  <w:spacing w:val="-11"/>
                                  <w:w w:val="102"/>
                                  <w:sz w:val="28"/>
                                </w:rPr>
                                <w:t xml:space="preserve"> </w:t>
                              </w:r>
                              <w:r>
                                <w:rPr>
                                  <w:rFonts w:ascii="Calibri" w:eastAsia="Calibri" w:hAnsi="Calibri" w:cs="Calibri"/>
                                  <w:b/>
                                  <w:color w:val="595959"/>
                                  <w:w w:val="102"/>
                                  <w:sz w:val="28"/>
                                </w:rPr>
                                <w:t>and</w:t>
                              </w:r>
                              <w:r>
                                <w:rPr>
                                  <w:rFonts w:ascii="Calibri" w:eastAsia="Calibri" w:hAnsi="Calibri" w:cs="Calibri"/>
                                  <w:b/>
                                  <w:color w:val="595959"/>
                                  <w:spacing w:val="-13"/>
                                  <w:w w:val="102"/>
                                  <w:sz w:val="28"/>
                                </w:rPr>
                                <w:t xml:space="preserve"> </w:t>
                              </w:r>
                              <w:r>
                                <w:rPr>
                                  <w:rFonts w:ascii="Calibri" w:eastAsia="Calibri" w:hAnsi="Calibri" w:cs="Calibri"/>
                                  <w:b/>
                                  <w:color w:val="595959"/>
                                  <w:w w:val="102"/>
                                  <w:sz w:val="28"/>
                                </w:rPr>
                                <w:t>Care</w:t>
                              </w:r>
                              <w:r>
                                <w:rPr>
                                  <w:rFonts w:ascii="Calibri" w:eastAsia="Calibri" w:hAnsi="Calibri" w:cs="Calibri"/>
                                  <w:b/>
                                  <w:color w:val="595959"/>
                                  <w:spacing w:val="-13"/>
                                  <w:w w:val="102"/>
                                  <w:sz w:val="28"/>
                                </w:rPr>
                                <w:t xml:space="preserve"> </w:t>
                              </w:r>
                              <w:r>
                                <w:rPr>
                                  <w:rFonts w:ascii="Calibri" w:eastAsia="Calibri" w:hAnsi="Calibri" w:cs="Calibri"/>
                                  <w:b/>
                                  <w:color w:val="595959"/>
                                  <w:w w:val="102"/>
                                  <w:sz w:val="28"/>
                                </w:rPr>
                                <w:t>Worker</w:t>
                              </w:r>
                              <w:r>
                                <w:rPr>
                                  <w:rFonts w:ascii="Calibri" w:eastAsia="Calibri" w:hAnsi="Calibri" w:cs="Calibri"/>
                                  <w:b/>
                                  <w:color w:val="595959"/>
                                  <w:spacing w:val="-13"/>
                                  <w:w w:val="102"/>
                                  <w:sz w:val="28"/>
                                </w:rPr>
                                <w:t xml:space="preserve"> </w:t>
                              </w:r>
                              <w:r>
                                <w:rPr>
                                  <w:rFonts w:ascii="Calibri" w:eastAsia="Calibri" w:hAnsi="Calibri" w:cs="Calibri"/>
                                  <w:b/>
                                  <w:color w:val="595959"/>
                                  <w:w w:val="102"/>
                                  <w:sz w:val="28"/>
                                </w:rPr>
                                <w:t>Visa</w:t>
                              </w:r>
                              <w:r>
                                <w:rPr>
                                  <w:rFonts w:ascii="Calibri" w:eastAsia="Calibri" w:hAnsi="Calibri" w:cs="Calibri"/>
                                  <w:b/>
                                  <w:color w:val="595959"/>
                                  <w:spacing w:val="-12"/>
                                  <w:w w:val="102"/>
                                  <w:sz w:val="28"/>
                                </w:rPr>
                                <w:t xml:space="preserve"> </w:t>
                              </w:r>
                              <w:r>
                                <w:rPr>
                                  <w:rFonts w:ascii="Calibri" w:eastAsia="Calibri" w:hAnsi="Calibri" w:cs="Calibri"/>
                                  <w:b/>
                                  <w:color w:val="595959"/>
                                  <w:w w:val="102"/>
                                  <w:sz w:val="28"/>
                                </w:rPr>
                                <w:t>Grants</w:t>
                              </w:r>
                              <w:r>
                                <w:rPr>
                                  <w:rFonts w:ascii="Calibri" w:eastAsia="Calibri" w:hAnsi="Calibri" w:cs="Calibri"/>
                                  <w:b/>
                                  <w:color w:val="595959"/>
                                  <w:spacing w:val="-12"/>
                                  <w:w w:val="102"/>
                                  <w:sz w:val="28"/>
                                </w:rPr>
                                <w:t xml:space="preserve"> </w:t>
                              </w:r>
                              <w:r>
                                <w:rPr>
                                  <w:rFonts w:ascii="Calibri" w:eastAsia="Calibri" w:hAnsi="Calibri" w:cs="Calibri"/>
                                  <w:b/>
                                  <w:color w:val="595959"/>
                                  <w:w w:val="102"/>
                                  <w:sz w:val="28"/>
                                </w:rPr>
                                <w:t>(2020</w:t>
                              </w:r>
                            </w:p>
                          </w:txbxContent>
                        </wps:txbx>
                        <wps:bodyPr horzOverflow="overflow" vert="horz" lIns="0" tIns="0" rIns="0" bIns="0" rtlCol="0">
                          <a:noAutofit/>
                        </wps:bodyPr>
                      </wps:wsp>
                      <wps:wsp>
                        <wps:cNvPr id="1482042114" name="Rectangle 1482042114"/>
                        <wps:cNvSpPr/>
                        <wps:spPr>
                          <a:xfrm>
                            <a:off x="3674491" y="96227"/>
                            <a:ext cx="96045" cy="289489"/>
                          </a:xfrm>
                          <a:prstGeom prst="rect">
                            <a:avLst/>
                          </a:prstGeom>
                          <a:ln>
                            <a:noFill/>
                          </a:ln>
                        </wps:spPr>
                        <wps:txbx>
                          <w:txbxContent>
                            <w:p w14:paraId="114D4A23" w14:textId="77777777" w:rsidR="00D434A6" w:rsidRDefault="00D434A6" w:rsidP="00D434A6">
                              <w:r>
                                <w:rPr>
                                  <w:rFonts w:ascii="Calibri" w:eastAsia="Calibri" w:hAnsi="Calibri" w:cs="Calibri"/>
                                  <w:b/>
                                  <w:color w:val="595959"/>
                                  <w:w w:val="81"/>
                                  <w:sz w:val="28"/>
                                </w:rPr>
                                <w:t>–</w:t>
                              </w:r>
                            </w:p>
                          </w:txbxContent>
                        </wps:txbx>
                        <wps:bodyPr horzOverflow="overflow" vert="horz" lIns="0" tIns="0" rIns="0" bIns="0" rtlCol="0">
                          <a:noAutofit/>
                        </wps:bodyPr>
                      </wps:wsp>
                      <wps:wsp>
                        <wps:cNvPr id="203449320" name="Rectangle 203449320"/>
                        <wps:cNvSpPr/>
                        <wps:spPr>
                          <a:xfrm>
                            <a:off x="3746119" y="96227"/>
                            <a:ext cx="551157" cy="289489"/>
                          </a:xfrm>
                          <a:prstGeom prst="rect">
                            <a:avLst/>
                          </a:prstGeom>
                          <a:ln>
                            <a:noFill/>
                          </a:ln>
                        </wps:spPr>
                        <wps:txbx>
                          <w:txbxContent>
                            <w:p w14:paraId="75F5CC0C" w14:textId="77777777" w:rsidR="00D434A6" w:rsidRDefault="00D434A6" w:rsidP="00D434A6">
                              <w:r>
                                <w:rPr>
                                  <w:rFonts w:ascii="Calibri" w:eastAsia="Calibri" w:hAnsi="Calibri" w:cs="Calibri"/>
                                  <w:b/>
                                  <w:color w:val="595959"/>
                                  <w:spacing w:val="-1"/>
                                  <w:w w:val="99"/>
                                  <w:sz w:val="28"/>
                                </w:rPr>
                                <w:t>2026)</w:t>
                              </w:r>
                            </w:p>
                          </w:txbxContent>
                        </wps:txbx>
                        <wps:bodyPr horzOverflow="overflow" vert="horz" lIns="0" tIns="0" rIns="0" bIns="0" rtlCol="0">
                          <a:noAutofit/>
                        </wps:bodyPr>
                      </wps:wsp>
                      <wps:wsp>
                        <wps:cNvPr id="2088940053" name="Shape 123"/>
                        <wps:cNvSpPr/>
                        <wps:spPr>
                          <a:xfrm>
                            <a:off x="1717675" y="2727960"/>
                            <a:ext cx="243840" cy="0"/>
                          </a:xfrm>
                          <a:custGeom>
                            <a:avLst/>
                            <a:gdLst/>
                            <a:ahLst/>
                            <a:cxnLst/>
                            <a:rect l="0" t="0" r="0" b="0"/>
                            <a:pathLst>
                              <a:path w="243840">
                                <a:moveTo>
                                  <a:pt x="0" y="0"/>
                                </a:moveTo>
                                <a:lnTo>
                                  <a:pt x="243840" y="0"/>
                                </a:lnTo>
                              </a:path>
                            </a:pathLst>
                          </a:custGeom>
                          <a:ln w="28575" cap="rnd">
                            <a:round/>
                          </a:ln>
                        </wps:spPr>
                        <wps:style>
                          <a:lnRef idx="1">
                            <a:srgbClr val="156082"/>
                          </a:lnRef>
                          <a:fillRef idx="0">
                            <a:srgbClr val="000000">
                              <a:alpha val="0"/>
                            </a:srgbClr>
                          </a:fillRef>
                          <a:effectRef idx="0">
                            <a:scrgbClr r="0" g="0" b="0"/>
                          </a:effectRef>
                          <a:fontRef idx="none"/>
                        </wps:style>
                        <wps:bodyPr/>
                      </wps:wsp>
                      <wps:wsp>
                        <wps:cNvPr id="984285119" name="Shape 124"/>
                        <wps:cNvSpPr/>
                        <wps:spPr>
                          <a:xfrm>
                            <a:off x="1806956" y="2694686"/>
                            <a:ext cx="64008" cy="64008"/>
                          </a:xfrm>
                          <a:custGeom>
                            <a:avLst/>
                            <a:gdLst/>
                            <a:ahLst/>
                            <a:cxnLst/>
                            <a:rect l="0" t="0" r="0" b="0"/>
                            <a:pathLst>
                              <a:path w="64008" h="64008">
                                <a:moveTo>
                                  <a:pt x="32004" y="0"/>
                                </a:moveTo>
                                <a:cubicBezTo>
                                  <a:pt x="49657" y="0"/>
                                  <a:pt x="64008" y="14351"/>
                                  <a:pt x="64008" y="32004"/>
                                </a:cubicBezTo>
                                <a:cubicBezTo>
                                  <a:pt x="64008" y="49657"/>
                                  <a:pt x="49657" y="64008"/>
                                  <a:pt x="32004" y="64008"/>
                                </a:cubicBezTo>
                                <a:cubicBezTo>
                                  <a:pt x="14351" y="64008"/>
                                  <a:pt x="0" y="49657"/>
                                  <a:pt x="0" y="32004"/>
                                </a:cubicBezTo>
                                <a:cubicBezTo>
                                  <a:pt x="0" y="14351"/>
                                  <a:pt x="14351" y="0"/>
                                  <a:pt x="32004" y="0"/>
                                </a:cubicBezTo>
                                <a:close/>
                              </a:path>
                            </a:pathLst>
                          </a:custGeom>
                          <a:ln w="0" cap="rnd">
                            <a:round/>
                          </a:ln>
                        </wps:spPr>
                        <wps:style>
                          <a:lnRef idx="0">
                            <a:srgbClr val="000000">
                              <a:alpha val="0"/>
                            </a:srgbClr>
                          </a:lnRef>
                          <a:fillRef idx="1">
                            <a:srgbClr val="156082"/>
                          </a:fillRef>
                          <a:effectRef idx="0">
                            <a:scrgbClr r="0" g="0" b="0"/>
                          </a:effectRef>
                          <a:fontRef idx="none"/>
                        </wps:style>
                        <wps:bodyPr/>
                      </wps:wsp>
                      <wps:wsp>
                        <wps:cNvPr id="946945001" name="Shape 125"/>
                        <wps:cNvSpPr/>
                        <wps:spPr>
                          <a:xfrm>
                            <a:off x="1806956" y="2694686"/>
                            <a:ext cx="64008" cy="64008"/>
                          </a:xfrm>
                          <a:custGeom>
                            <a:avLst/>
                            <a:gdLst/>
                            <a:ahLst/>
                            <a:cxnLst/>
                            <a:rect l="0" t="0" r="0" b="0"/>
                            <a:pathLst>
                              <a:path w="64008" h="64008">
                                <a:moveTo>
                                  <a:pt x="64008" y="32004"/>
                                </a:moveTo>
                                <a:cubicBezTo>
                                  <a:pt x="64008" y="49657"/>
                                  <a:pt x="49657" y="64008"/>
                                  <a:pt x="32004" y="64008"/>
                                </a:cubicBezTo>
                                <a:cubicBezTo>
                                  <a:pt x="14351" y="64008"/>
                                  <a:pt x="0" y="49657"/>
                                  <a:pt x="0" y="32004"/>
                                </a:cubicBezTo>
                                <a:cubicBezTo>
                                  <a:pt x="0" y="14351"/>
                                  <a:pt x="14351" y="0"/>
                                  <a:pt x="32004" y="0"/>
                                </a:cubicBezTo>
                                <a:cubicBezTo>
                                  <a:pt x="49657" y="0"/>
                                  <a:pt x="64008" y="14351"/>
                                  <a:pt x="64008" y="32004"/>
                                </a:cubicBezTo>
                                <a:close/>
                              </a:path>
                            </a:pathLst>
                          </a:custGeom>
                          <a:ln w="9525" cap="flat">
                            <a:round/>
                          </a:ln>
                        </wps:spPr>
                        <wps:style>
                          <a:lnRef idx="1">
                            <a:srgbClr val="156082"/>
                          </a:lnRef>
                          <a:fillRef idx="0">
                            <a:srgbClr val="000000">
                              <a:alpha val="0"/>
                            </a:srgbClr>
                          </a:fillRef>
                          <a:effectRef idx="0">
                            <a:scrgbClr r="0" g="0" b="0"/>
                          </a:effectRef>
                          <a:fontRef idx="none"/>
                        </wps:style>
                        <wps:bodyPr/>
                      </wps:wsp>
                      <wps:wsp>
                        <wps:cNvPr id="2130242048" name="Rectangle 2130242048"/>
                        <wps:cNvSpPr/>
                        <wps:spPr>
                          <a:xfrm>
                            <a:off x="1987677" y="2652260"/>
                            <a:ext cx="271050" cy="185570"/>
                          </a:xfrm>
                          <a:prstGeom prst="rect">
                            <a:avLst/>
                          </a:prstGeom>
                          <a:ln>
                            <a:noFill/>
                          </a:ln>
                        </wps:spPr>
                        <wps:txbx>
                          <w:txbxContent>
                            <w:p w14:paraId="6A471AC9" w14:textId="77777777" w:rsidR="00D434A6" w:rsidRDefault="00D434A6" w:rsidP="00D434A6">
                              <w:r>
                                <w:rPr>
                                  <w:rFonts w:ascii="Calibri" w:eastAsia="Calibri" w:hAnsi="Calibri" w:cs="Calibri"/>
                                  <w:color w:val="595959"/>
                                  <w:w w:val="99"/>
                                  <w:sz w:val="18"/>
                                </w:rPr>
                                <w:t>Year</w:t>
                              </w:r>
                            </w:p>
                          </w:txbxContent>
                        </wps:txbx>
                        <wps:bodyPr horzOverflow="overflow" vert="horz" lIns="0" tIns="0" rIns="0" bIns="0" rtlCol="0">
                          <a:noAutofit/>
                        </wps:bodyPr>
                      </wps:wsp>
                      <wps:wsp>
                        <wps:cNvPr id="1699132614" name="Shape 127"/>
                        <wps:cNvSpPr/>
                        <wps:spPr>
                          <a:xfrm>
                            <a:off x="2314194" y="2727960"/>
                            <a:ext cx="243840" cy="0"/>
                          </a:xfrm>
                          <a:custGeom>
                            <a:avLst/>
                            <a:gdLst/>
                            <a:ahLst/>
                            <a:cxnLst/>
                            <a:rect l="0" t="0" r="0" b="0"/>
                            <a:pathLst>
                              <a:path w="243840">
                                <a:moveTo>
                                  <a:pt x="0" y="0"/>
                                </a:moveTo>
                                <a:lnTo>
                                  <a:pt x="243840" y="0"/>
                                </a:lnTo>
                              </a:path>
                            </a:pathLst>
                          </a:custGeom>
                          <a:ln w="28575" cap="rnd">
                            <a:round/>
                          </a:ln>
                        </wps:spPr>
                        <wps:style>
                          <a:lnRef idx="1">
                            <a:srgbClr val="E97132"/>
                          </a:lnRef>
                          <a:fillRef idx="0">
                            <a:srgbClr val="000000">
                              <a:alpha val="0"/>
                            </a:srgbClr>
                          </a:fillRef>
                          <a:effectRef idx="0">
                            <a:scrgbClr r="0" g="0" b="0"/>
                          </a:effectRef>
                          <a:fontRef idx="none"/>
                        </wps:style>
                        <wps:bodyPr/>
                      </wps:wsp>
                      <wps:wsp>
                        <wps:cNvPr id="127901427" name="Shape 128"/>
                        <wps:cNvSpPr/>
                        <wps:spPr>
                          <a:xfrm>
                            <a:off x="2402840" y="2694686"/>
                            <a:ext cx="64008" cy="64008"/>
                          </a:xfrm>
                          <a:custGeom>
                            <a:avLst/>
                            <a:gdLst/>
                            <a:ahLst/>
                            <a:cxnLst/>
                            <a:rect l="0" t="0" r="0" b="0"/>
                            <a:pathLst>
                              <a:path w="64008" h="64008">
                                <a:moveTo>
                                  <a:pt x="32004" y="0"/>
                                </a:moveTo>
                                <a:cubicBezTo>
                                  <a:pt x="49657" y="0"/>
                                  <a:pt x="64008" y="14351"/>
                                  <a:pt x="64008" y="32004"/>
                                </a:cubicBezTo>
                                <a:cubicBezTo>
                                  <a:pt x="64008" y="49657"/>
                                  <a:pt x="49657" y="64008"/>
                                  <a:pt x="32004" y="64008"/>
                                </a:cubicBezTo>
                                <a:cubicBezTo>
                                  <a:pt x="14351" y="64008"/>
                                  <a:pt x="0" y="49657"/>
                                  <a:pt x="0" y="32004"/>
                                </a:cubicBezTo>
                                <a:cubicBezTo>
                                  <a:pt x="0" y="14351"/>
                                  <a:pt x="14351" y="0"/>
                                  <a:pt x="32004" y="0"/>
                                </a:cubicBezTo>
                                <a:close/>
                              </a:path>
                            </a:pathLst>
                          </a:custGeom>
                          <a:ln w="0" cap="rnd">
                            <a:round/>
                          </a:ln>
                        </wps:spPr>
                        <wps:style>
                          <a:lnRef idx="0">
                            <a:srgbClr val="000000">
                              <a:alpha val="0"/>
                            </a:srgbClr>
                          </a:lnRef>
                          <a:fillRef idx="1">
                            <a:srgbClr val="E97132"/>
                          </a:fillRef>
                          <a:effectRef idx="0">
                            <a:scrgbClr r="0" g="0" b="0"/>
                          </a:effectRef>
                          <a:fontRef idx="none"/>
                        </wps:style>
                        <wps:bodyPr/>
                      </wps:wsp>
                      <wps:wsp>
                        <wps:cNvPr id="1313541894" name="Shape 129"/>
                        <wps:cNvSpPr/>
                        <wps:spPr>
                          <a:xfrm>
                            <a:off x="2402840" y="2694686"/>
                            <a:ext cx="64008" cy="64008"/>
                          </a:xfrm>
                          <a:custGeom>
                            <a:avLst/>
                            <a:gdLst/>
                            <a:ahLst/>
                            <a:cxnLst/>
                            <a:rect l="0" t="0" r="0" b="0"/>
                            <a:pathLst>
                              <a:path w="64008" h="64008">
                                <a:moveTo>
                                  <a:pt x="64008" y="32004"/>
                                </a:moveTo>
                                <a:cubicBezTo>
                                  <a:pt x="64008" y="49657"/>
                                  <a:pt x="49657" y="64008"/>
                                  <a:pt x="32004" y="64008"/>
                                </a:cubicBezTo>
                                <a:cubicBezTo>
                                  <a:pt x="14351" y="64008"/>
                                  <a:pt x="0" y="49657"/>
                                  <a:pt x="0" y="32004"/>
                                </a:cubicBezTo>
                                <a:cubicBezTo>
                                  <a:pt x="0" y="14351"/>
                                  <a:pt x="14351" y="0"/>
                                  <a:pt x="32004" y="0"/>
                                </a:cubicBezTo>
                                <a:cubicBezTo>
                                  <a:pt x="49657" y="0"/>
                                  <a:pt x="64008" y="14351"/>
                                  <a:pt x="64008" y="32004"/>
                                </a:cubicBezTo>
                                <a:close/>
                              </a:path>
                            </a:pathLst>
                          </a:custGeom>
                          <a:ln w="9525" cap="flat">
                            <a:round/>
                          </a:ln>
                        </wps:spPr>
                        <wps:style>
                          <a:lnRef idx="1">
                            <a:srgbClr val="E97132"/>
                          </a:lnRef>
                          <a:fillRef idx="0">
                            <a:srgbClr val="000000">
                              <a:alpha val="0"/>
                            </a:srgbClr>
                          </a:fillRef>
                          <a:effectRef idx="0">
                            <a:scrgbClr r="0" g="0" b="0"/>
                          </a:effectRef>
                          <a:fontRef idx="none"/>
                        </wps:style>
                        <wps:bodyPr/>
                      </wps:wsp>
                      <wps:wsp>
                        <wps:cNvPr id="157901477" name="Rectangle 157901477"/>
                        <wps:cNvSpPr/>
                        <wps:spPr>
                          <a:xfrm>
                            <a:off x="2584450" y="2652260"/>
                            <a:ext cx="693207" cy="185570"/>
                          </a:xfrm>
                          <a:prstGeom prst="rect">
                            <a:avLst/>
                          </a:prstGeom>
                          <a:ln>
                            <a:noFill/>
                          </a:ln>
                        </wps:spPr>
                        <wps:txbx>
                          <w:txbxContent>
                            <w:p w14:paraId="34372236" w14:textId="77777777" w:rsidR="00D434A6" w:rsidRDefault="00D434A6" w:rsidP="00D434A6">
                              <w:r>
                                <w:rPr>
                                  <w:rFonts w:ascii="Calibri" w:eastAsia="Calibri" w:hAnsi="Calibri" w:cs="Calibri"/>
                                  <w:color w:val="595959"/>
                                  <w:w w:val="101"/>
                                  <w:sz w:val="18"/>
                                </w:rPr>
                                <w:t>Visa</w:t>
                              </w:r>
                              <w:r>
                                <w:rPr>
                                  <w:rFonts w:ascii="Calibri" w:eastAsia="Calibri" w:hAnsi="Calibri" w:cs="Calibri"/>
                                  <w:color w:val="595959"/>
                                  <w:spacing w:val="-9"/>
                                  <w:w w:val="101"/>
                                  <w:sz w:val="18"/>
                                </w:rPr>
                                <w:t xml:space="preserve"> </w:t>
                              </w:r>
                              <w:r>
                                <w:rPr>
                                  <w:rFonts w:ascii="Calibri" w:eastAsia="Calibri" w:hAnsi="Calibri" w:cs="Calibri"/>
                                  <w:color w:val="595959"/>
                                  <w:w w:val="101"/>
                                  <w:sz w:val="18"/>
                                </w:rPr>
                                <w:t>Grants</w:t>
                              </w:r>
                            </w:p>
                          </w:txbxContent>
                        </wps:txbx>
                        <wps:bodyPr horzOverflow="overflow" vert="horz" lIns="0" tIns="0" rIns="0" bIns="0" rtlCol="0">
                          <a:noAutofit/>
                        </wps:bodyPr>
                      </wps:wsp>
                      <wps:wsp>
                        <wps:cNvPr id="1556940934" name="Shape 131"/>
                        <wps:cNvSpPr/>
                        <wps:spPr>
                          <a:xfrm>
                            <a:off x="0" y="0"/>
                            <a:ext cx="4777740" cy="2911348"/>
                          </a:xfrm>
                          <a:custGeom>
                            <a:avLst/>
                            <a:gdLst/>
                            <a:ahLst/>
                            <a:cxnLst/>
                            <a:rect l="0" t="0" r="0" b="0"/>
                            <a:pathLst>
                              <a:path w="4777740" h="2911348">
                                <a:moveTo>
                                  <a:pt x="0" y="2911348"/>
                                </a:moveTo>
                                <a:lnTo>
                                  <a:pt x="4777740" y="2911348"/>
                                </a:lnTo>
                                <a:lnTo>
                                  <a:pt x="4777740" y="0"/>
                                </a:lnTo>
                                <a:lnTo>
                                  <a:pt x="0" y="0"/>
                                </a:lnTo>
                                <a:close/>
                              </a:path>
                            </a:pathLst>
                          </a:custGeom>
                          <a:ln w="9525" cap="flat">
                            <a:round/>
                          </a:ln>
                        </wps:spPr>
                        <wps:style>
                          <a:lnRef idx="1">
                            <a:srgbClr val="D9D9D9"/>
                          </a:lnRef>
                          <a:fillRef idx="0">
                            <a:srgbClr val="000000">
                              <a:alpha val="0"/>
                            </a:srgbClr>
                          </a:fillRef>
                          <a:effectRef idx="0">
                            <a:scrgbClr r="0" g="0" b="0"/>
                          </a:effectRef>
                          <a:fontRef idx="none"/>
                        </wps:style>
                        <wps:bodyPr/>
                      </wps:wsp>
                    </wpg:wgp>
                  </a:graphicData>
                </a:graphic>
              </wp:inline>
            </w:drawing>
          </mc:Choice>
          <mc:Fallback>
            <w:pict>
              <v:group w14:anchorId="52024663" id="Group 1175898841" o:spid="_x0000_s1026" style="width:376.2pt;height:229.25pt;mso-position-horizontal-relative:char;mso-position-vertical-relative:line" coordsize="47777,291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">
                <v:shape id="Shape 65" o:spid="_x0000_s1027" style="position:absolute;left:5355;top:20957;width:41025;height:0;visibility:visible;mso-wrap-style:square;v-text-anchor:top" coordsize="410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" path="m,l4102481,e" filled="f" strokecolor="#d9d9d9">
                  <v:path arrowok="t" textboxrect="0,0,4102481,0"/>
                </v:shape>
                <v:shape id="Shape 66" o:spid="_x0000_s1028" style="position:absolute;left:5355;top:18625;width:41025;height:0;visibility:visible;mso-wrap-style:square;v-text-anchor:top" coordsize="410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" path="m,l4102481,e" filled="f" strokecolor="#d9d9d9">
                  <v:path arrowok="t" textboxrect="0,0,4102481,0"/>
                </v:shape>
                <v:shape id="Shape 67" o:spid="_x0000_s1029" style="position:absolute;left:5355;top:16309;width:41025;height:0;visibility:visible;mso-wrap-style:square;v-text-anchor:top" coordsize="410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" path="m,l4102481,e" filled="f" strokecolor="#d9d9d9">
                  <v:path arrowok="t" textboxrect="0,0,4102481,0"/>
                </v:shape>
                <v:shape id="Shape 68" o:spid="_x0000_s1030" style="position:absolute;left:5355;top:13992;width:41025;height:0;visibility:visible;mso-wrap-style:square;v-text-anchor:top" coordsize="410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" path="m,l4102481,e" filled="f" strokecolor="#d9d9d9">
                  <v:path arrowok="t" textboxrect="0,0,4102481,0"/>
                </v:shape>
                <v:shape id="Shape 69" o:spid="_x0000_s1031" style="position:absolute;left:5355;top:11676;width:41025;height:0;visibility:visible;mso-wrap-style:square;v-text-anchor:top" coordsize="410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" path="m,l4102481,e" filled="f" strokecolor="#d9d9d9">
                  <v:path arrowok="t" textboxrect="0,0,4102481,0"/>
                </v:shape>
                <v:shape id="Shape 70" o:spid="_x0000_s1032" style="position:absolute;left:5355;top:9344;width:41025;height:0;visibility:visible;mso-wrap-style:square;v-text-anchor:top" coordsize="410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" path="m,l4102481,e" filled="f" strokecolor="#d9d9d9">
                  <v:path arrowok="t" textboxrect="0,0,4102481,0"/>
                </v:shape>
                <v:shape id="Shape 71" o:spid="_x0000_s1033" style="position:absolute;left:5355;top:7028;width:41025;height:0;visibility:visible;mso-wrap-style:square;v-text-anchor:top" coordsize="410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" path="m,l4102481,e" filled="f" strokecolor="#d9d9d9">
                  <v:path arrowok="t" textboxrect="0,0,4102481,0"/>
                </v:shape>
                <v:shape id="Shape 72" o:spid="_x0000_s1034" style="position:absolute;left:5355;top:4711;width:41025;height:0;visibility:visible;mso-wrap-style:square;v-text-anchor:top" coordsize="410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" path="m,l4102481,e" filled="f" strokecolor="#d9d9d9">
                  <v:path arrowok="t" textboxrect="0,0,4102481,0"/>
                </v:shape>
                <v:shape id="Shape 73" o:spid="_x0000_s1035" style="position:absolute;left:5355;top:23272;width:41025;height:0;visibility:visible;mso-wrap-style:square;v-text-anchor:top" coordsize="410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" path="m,l4102481,e" filled="f" strokecolor="#d9d9d9">
                  <v:path arrowok="t" textboxrect="0,0,4102481,0"/>
                </v:shape>
                <v:shape id="Shape 74" o:spid="_x0000_s1036" style="position:absolute;left:8286;top:23030;width:35164;height:15;visibility:visible;mso-wrap-style:square;v-text-anchor:top" coordsize="3516376,1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" path="m,762r586613,762l1171829,1524,1758569,,2930525,r585851,762e" filled="f" strokecolor="#156082" strokeweight="2.25pt">
                  <v:stroke endcap="round"/>
                  <v:path arrowok="t" textboxrect="0,0,3516376,1524"/>
                </v:shape>
                <v:shape id="Shape 75" o:spid="_x0000_s1037" style="position:absolute;left:7970;top:22724;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" path="m32004,c49657,,64008,14224,64008,32004v,17653,-14351,32004,-32004,32004c14351,64008,,49657,,32004,,14224,14351,,32004,xe" fillcolor="#156082" stroked="f" strokeweight="0">
                  <v:stroke endcap="round"/>
                  <v:path arrowok="t" textboxrect="0,0,64008,64008"/>
                </v:shape>
                <v:shape id="Shape 76" o:spid="_x0000_s1038" style="position:absolute;left:7970;top:22724;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" path="m64008,32004v,17653,-14351,32004,-32004,32004c14351,64008,,49657,,32004,,14224,14351,,32004,,49657,,64008,14224,64008,32004xe" filled="f" strokecolor="#156082">
                  <v:path arrowok="t" textboxrect="0,0,64008,64008"/>
                </v:shape>
                <v:shape id="Shape 77" o:spid="_x0000_s1039" style="position:absolute;left:13837;top:22724;width:641;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" path="m32004,c49657,,64008,14224,64008,32004v,17653,-14351,32004,-32004,32004c14351,64008,,49657,,32004,,14224,14351,,32004,xe" fillcolor="#156082" stroked="f" strokeweight="0">
                  <v:path arrowok="t" textboxrect="0,0,64008,64008"/>
                </v:shape>
                <v:shape id="Shape 78" o:spid="_x0000_s1040" style="position:absolute;left:13837;top:22724;width:641;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" path="m64008,32004v,17653,-14351,32004,-32004,32004c14351,64008,,49657,,32004,,14224,14351,,32004,,49657,,64008,14224,64008,32004xe" filled="f" strokecolor="#156082">
                  <v:path arrowok="t" textboxrect="0,0,64008,64008"/>
                </v:shape>
                <v:shape id="Shape 79" o:spid="_x0000_s1041" style="position:absolute;left:19690;top:22724;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" path="m32004,c49657,,64008,14224,64008,32004v,17653,-14351,32004,-32004,32004c14351,64008,,49657,,32004,,14224,14351,,32004,xe" fillcolor="#156082" stroked="f" strokeweight="0">
                  <v:path arrowok="t" textboxrect="0,0,64008,64008"/>
                </v:shape>
                <v:shape id="Shape 80" o:spid="_x0000_s1042" style="position:absolute;left:19690;top:22724;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" path="m64008,32004v,17653,-14351,32004,-32004,32004c14351,64008,,49657,,32004,,14224,14351,,32004,,49657,,64008,14224,64008,32004xe" filled="f" strokecolor="#156082">
                  <v:path arrowok="t" textboxrect="0,0,64008,64008"/>
                </v:shape>
                <v:shape id="Shape 81" o:spid="_x0000_s1043" style="position:absolute;left:25557;top:2270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" path="m32004,c49657,,64008,14224,64008,32004v,17653,-14351,32004,-32004,32004c14351,64008,,49657,,32004,,14224,14351,,32004,xe" fillcolor="#156082" stroked="f" strokeweight="0">
                  <v:path arrowok="t" textboxrect="0,0,64008,64008"/>
                </v:shape>
                <v:shape id="Shape 82" o:spid="_x0000_s1044" style="position:absolute;left:25557;top:2270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" path="m64008,32004v,17653,-14351,32004,-32004,32004c14351,64008,,49657,,32004,,14224,14351,,32004,,49657,,64008,14224,64008,32004xe" filled="f" strokecolor="#156082">
                  <v:path arrowok="t" textboxrect="0,0,64008,64008"/>
                </v:shape>
                <v:shape id="Shape 83" o:spid="_x0000_s1045" style="position:absolute;left:31409;top:2270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" path="m32004,c49657,,64008,14224,64008,32004v,17653,-14351,32004,-32004,32004c14351,64008,,49657,,32004,,14224,14351,,32004,xe" fillcolor="#156082" stroked="f" strokeweight="0">
                  <v:path arrowok="t" textboxrect="0,0,64008,64008"/>
                </v:shape>
                <v:shape id="Shape 84" o:spid="_x0000_s1046" style="position:absolute;left:31409;top:2270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" path="m64008,32004v,17653,-14351,32004,-32004,32004c14351,64008,,49657,,32004,,14224,14351,,32004,,49657,,64008,14224,64008,32004xe" filled="f" strokecolor="#156082">
                  <v:path arrowok="t" textboxrect="0,0,64008,64008"/>
                </v:shape>
                <v:shape id="Shape 85" o:spid="_x0000_s1047" style="position:absolute;left:37277;top:2270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" path="m32004,c49657,,64008,14224,64008,32004v,17653,-14351,32004,-32004,32004c14351,64008,,49657,,32004,,14224,14351,,32004,xe" fillcolor="#156082" stroked="f" strokeweight="0">
                  <v:path arrowok="t" textboxrect="0,0,64008,64008"/>
                </v:shape>
                <v:shape id="Shape 86" o:spid="_x0000_s1048" style="position:absolute;left:37277;top:2270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" path="m64008,32004v,17653,-14351,32004,-32004,32004c14351,64008,,49657,,32004,,14224,14351,,32004,,49657,,64008,14224,64008,32004xe" filled="f" strokecolor="#156082">
                  <v:path arrowok="t" textboxrect="0,0,64008,64008"/>
                </v:shape>
                <v:shape id="Shape 87" o:spid="_x0000_s1049" style="position:absolute;left:43129;top:2270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" path="m32004,c49657,,64008,14224,64008,32004v,17653,-14351,32004,-32004,32004c14351,64008,,49657,,32004,,14224,14351,,32004,xe" fillcolor="#156082" stroked="f" strokeweight="0">
                  <v:path arrowok="t" textboxrect="0,0,64008,64008"/>
                </v:shape>
                <v:shape id="Shape 88" o:spid="_x0000_s1050" style="position:absolute;left:43129;top:2270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" path="m64008,32004v,17653,-14351,32004,-32004,32004c14351,64008,,49657,,32004,,14224,14351,,32004,,49657,,64008,14224,64008,32004xe" filled="f" strokecolor="#156082">
                  <v:path arrowok="t" textboxrect="0,0,64008,64008"/>
                </v:shape>
                <v:shape id="Shape 89" o:spid="_x0000_s1051" style="position:absolute;left:8286;top:6356;width:35164;height:15489;visibility:visible;mso-wrap-style:square;v-text-anchor:top" coordsize="3516376,15488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" path="m,1322959r586613,-65532l1171829,647827,1758569,r585216,1376299l2930525,1429639r585851,119253e" filled="f" strokecolor="#e97132" strokeweight="2.25pt">
                  <v:stroke endcap="round"/>
                  <v:path arrowok="t" textboxrect="0,0,3516376,1548892"/>
                </v:shape>
                <v:shape id="Shape 90" o:spid="_x0000_s1052" style="position:absolute;left:7970;top:19264;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" path="m32004,c49657,,64008,14224,64008,32004v,17653,-14351,32004,-32004,32004c14351,64008,,49657,,32004,,14224,14351,,32004,xe" fillcolor="#e97132" stroked="f" strokeweight="0">
                  <v:stroke endcap="round"/>
                  <v:path arrowok="t" textboxrect="0,0,64008,64008"/>
                </v:shape>
                <v:shape id="Shape 91" o:spid="_x0000_s1053" style="position:absolute;left:7970;top:19264;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" path="m64008,32004v,17653,-14351,32004,-32004,32004c14351,64008,,49657,,32004,,14224,14351,,32004,,49657,,64008,14224,64008,32004xe" filled="f" strokecolor="#e97132">
                  <v:path arrowok="t" textboxrect="0,0,64008,64008"/>
                </v:shape>
                <v:shape id="Shape 92" o:spid="_x0000_s1054" style="position:absolute;left:13837;top:18609;width:641;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" path="m32004,c49657,,64008,14224,64008,32004v,17653,-14351,32004,-32004,32004c14351,64008,,49657,,32004,,14224,14351,,32004,xe" fillcolor="#e97132" stroked="f" strokeweight="0">
                  <v:path arrowok="t" textboxrect="0,0,64008,64008"/>
                </v:shape>
                <v:shape id="Shape 93" o:spid="_x0000_s1055" style="position:absolute;left:13837;top:18609;width:641;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" path="m64008,32004v,17653,-14351,32004,-32004,32004c14351,64008,,49657,,32004,,14224,14351,,32004,,49657,,64008,14224,64008,32004xe" filled="f" strokecolor="#e97132">
                  <v:path arrowok="t" textboxrect="0,0,64008,64008"/>
                </v:shape>
                <v:shape id="Shape 94" o:spid="_x0000_s1056" style="position:absolute;left:19690;top:12513;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" path="m32004,c49657,,64008,14224,64008,32004v,17653,-14351,32004,-32004,32004c14351,64008,,49657,,32004,,14224,14351,,32004,xe" fillcolor="#e97132" stroked="f" strokeweight="0">
                  <v:path arrowok="t" textboxrect="0,0,64008,64008"/>
                </v:shape>
                <v:shape id="Shape 95" o:spid="_x0000_s1057" style="position:absolute;left:19690;top:12513;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" path="m64008,32004v,17653,-14351,32004,-32004,32004c14351,64008,,49657,,32004,,14224,14351,,32004,,49657,,64008,14224,64008,32004xe" filled="f" strokecolor="#e97132">
                  <v:path arrowok="t" textboxrect="0,0,64008,64008"/>
                </v:shape>
                <v:shape id="Shape 96" o:spid="_x0000_s1058" style="position:absolute;left:25557;top:6036;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" path="m32004,c49657,,64008,14224,64008,32004v,17653,-14351,32004,-32004,32004c14351,64008,,49657,,32004,,14224,14351,,32004,xe" fillcolor="#e97132" stroked="f" strokeweight="0">
                  <v:path arrowok="t" textboxrect="0,0,64008,64008"/>
                </v:shape>
                <v:shape id="Shape 97" o:spid="_x0000_s1059" style="position:absolute;left:25557;top:6036;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" path="m64008,32004v,17653,-14351,32004,-32004,32004c14351,64008,,49657,,32004,,14224,14351,,32004,,49657,,64008,14224,64008,32004xe" filled="f" strokecolor="#e97132">
                  <v:path arrowok="t" textboxrect="0,0,64008,64008"/>
                </v:shape>
                <v:shape id="Shape 98" o:spid="_x0000_s1060" style="position:absolute;left:31409;top:1979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" path="m32004,c49657,,64008,14224,64008,32004v,17653,-14351,32004,-32004,32004c14351,64008,,49657,,32004,,14224,14351,,32004,xe" fillcolor="#e97132" stroked="f" strokeweight="0">
                  <v:path arrowok="t" textboxrect="0,0,64008,64008"/>
                </v:shape>
                <v:shape id="Shape 99" o:spid="_x0000_s1061" style="position:absolute;left:31409;top:1979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" path="m64008,32004v,17653,-14351,32004,-32004,32004c14351,64008,,49657,,32004,,14224,14351,,32004,,49657,,64008,14224,64008,32004xe" filled="f" strokecolor="#e97132">
                  <v:path arrowok="t" textboxrect="0,0,64008,64008"/>
                </v:shape>
                <v:shape id="Shape 100" o:spid="_x0000_s1062" style="position:absolute;left:37277;top:20331;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" path="m32004,c49657,,64008,14224,64008,32004v,17653,-14351,32004,-32004,32004c14351,64008,,49657,,32004,,14224,14351,,32004,xe" fillcolor="#e97132" stroked="f" strokeweight="0">
                  <v:path arrowok="t" textboxrect="0,0,64008,64008"/>
                </v:shape>
                <v:shape id="Shape 101" o:spid="_x0000_s1063" style="position:absolute;left:37277;top:20331;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" path="m64008,32004v,17653,-14351,32004,-32004,32004c14351,64008,,49657,,32004,,14224,14351,,32004,,49657,,64008,14224,64008,32004xe" filled="f" strokecolor="#e97132">
                  <v:path arrowok="t" textboxrect="0,0,64008,64008"/>
                </v:shape>
                <v:shape id="Shape 102" o:spid="_x0000_s1064" style="position:absolute;left:43129;top:21520;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" path="m32004,c49657,,64008,14224,64008,32004v,17653,-14351,32004,-32004,32004c14351,64008,,49657,,32004,,14224,14351,,32004,xe" fillcolor="#e97132" stroked="f" strokeweight="0">
                  <v:path arrowok="t" textboxrect="0,0,64008,64008"/>
                </v:shape>
                <v:shape id="Shape 103" o:spid="_x0000_s1065" style="position:absolute;left:43129;top:21520;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" path="m64008,32004v,17653,-14351,32004,-32004,32004c14351,64008,,49657,,32004,,14224,14351,,32004,,49657,,64008,14224,64008,32004xe" filled="f" strokecolor="#e97132">
                  <v:path arrowok="t" textboxrect="0,0,64008,64008"/>
                </v:shape>
                <v:rect id="Rectangle 711291922" o:spid="_x0000_s1066" style="position:absolute;left:3726;top:22514;width:770;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" filled="f" stroked="f">
                  <v:textbox inset="0,0,0,0">
                    <w:txbxContent>
                      <w:p w14:paraId="5918733B" w14:textId="77777777" w:rsidR="00D434A6" w:rsidRDefault="00D434A6" w:rsidP="00D434A6">
                        <w:r>
                          <w:rPr>
                            <w:rFonts w:ascii="Calibri" w:eastAsia="Calibri" w:hAnsi="Calibri" w:cs="Calibri"/>
                            <w:color w:val="595959"/>
                            <w:sz w:val="18"/>
                          </w:rPr>
                          <w:t>0</w:t>
                        </w:r>
                      </w:p>
                    </w:txbxContent>
                  </v:textbox>
                </v:rect>
                <v:rect id="Rectangle 2062191052" o:spid="_x0000_s1067" style="position:absolute;left:1409;top:20188;width:3854;height:1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" filled="f" stroked="f">
                  <v:textbox inset="0,0,0,0">
                    <w:txbxContent>
                      <w:p w14:paraId="786C0631" w14:textId="77777777" w:rsidR="00D434A6" w:rsidRDefault="00D434A6" w:rsidP="00D434A6">
                        <w:r>
                          <w:rPr>
                            <w:rFonts w:ascii="Calibri" w:eastAsia="Calibri" w:hAnsi="Calibri" w:cs="Calibri"/>
                            <w:color w:val="595959"/>
                            <w:w w:val="99"/>
                            <w:sz w:val="18"/>
                          </w:rPr>
                          <w:t>20000</w:t>
                        </w:r>
                      </w:p>
                    </w:txbxContent>
                  </v:textbox>
                </v:rect>
                <v:rect id="Rectangle 1164479972" o:spid="_x0000_s1068" style="position:absolute;left:1409;top:17872;width:385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" filled="f" stroked="f">
                  <v:textbox inset="0,0,0,0">
                    <w:txbxContent>
                      <w:p w14:paraId="3F1B7663" w14:textId="77777777" w:rsidR="00D434A6" w:rsidRDefault="00D434A6" w:rsidP="00D434A6">
                        <w:r>
                          <w:rPr>
                            <w:rFonts w:ascii="Calibri" w:eastAsia="Calibri" w:hAnsi="Calibri" w:cs="Calibri"/>
                            <w:color w:val="595959"/>
                            <w:w w:val="99"/>
                            <w:sz w:val="18"/>
                          </w:rPr>
                          <w:t>40000</w:t>
                        </w:r>
                      </w:p>
                    </w:txbxContent>
                  </v:textbox>
                </v:rect>
                <v:rect id="Rectangle 772912296" o:spid="_x0000_s1069" style="position:absolute;left:1409;top:15553;width:385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" filled="f" stroked="f">
                  <v:textbox inset="0,0,0,0">
                    <w:txbxContent>
                      <w:p w14:paraId="6CD38A27" w14:textId="77777777" w:rsidR="00D434A6" w:rsidRDefault="00D434A6" w:rsidP="00D434A6">
                        <w:r>
                          <w:rPr>
                            <w:rFonts w:ascii="Calibri" w:eastAsia="Calibri" w:hAnsi="Calibri" w:cs="Calibri"/>
                            <w:color w:val="595959"/>
                            <w:w w:val="99"/>
                            <w:sz w:val="18"/>
                          </w:rPr>
                          <w:t>60000</w:t>
                        </w:r>
                      </w:p>
                    </w:txbxContent>
                  </v:textbox>
                </v:rect>
                <v:rect id="Rectangle 1441815591" o:spid="_x0000_s1070" style="position:absolute;left:1409;top:13227;width:3854;height:1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" filled="f" stroked="f">
                  <v:textbox inset="0,0,0,0">
                    <w:txbxContent>
                      <w:p w14:paraId="4F425F9C" w14:textId="77777777" w:rsidR="00D434A6" w:rsidRDefault="00D434A6" w:rsidP="00D434A6">
                        <w:r>
                          <w:rPr>
                            <w:rFonts w:ascii="Calibri" w:eastAsia="Calibri" w:hAnsi="Calibri" w:cs="Calibri"/>
                            <w:color w:val="595959"/>
                            <w:w w:val="99"/>
                            <w:sz w:val="18"/>
                          </w:rPr>
                          <w:t>80000</w:t>
                        </w:r>
                      </w:p>
                    </w:txbxContent>
                  </v:textbox>
                </v:rect>
                <v:rect id="Rectangle 87047577" o:spid="_x0000_s1071" style="position:absolute;left:826;top:10910;width:464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" filled="f" stroked="f">
                  <v:textbox inset="0,0,0,0">
                    <w:txbxContent>
                      <w:p w14:paraId="74AC362E" w14:textId="77777777" w:rsidR="00D434A6" w:rsidRDefault="00D434A6" w:rsidP="00D434A6">
                        <w:r>
                          <w:rPr>
                            <w:rFonts w:ascii="Calibri" w:eastAsia="Calibri" w:hAnsi="Calibri" w:cs="Calibri"/>
                            <w:color w:val="595959"/>
                            <w:sz w:val="18"/>
                          </w:rPr>
                          <w:t>100000</w:t>
                        </w:r>
                      </w:p>
                    </w:txbxContent>
                  </v:textbox>
                </v:rect>
                <v:rect id="Rectangle 1611300837" o:spid="_x0000_s1072" style="position:absolute;left:826;top:8591;width:464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" filled="f" stroked="f">
                  <v:textbox inset="0,0,0,0">
                    <w:txbxContent>
                      <w:p w14:paraId="6DFD00B0" w14:textId="77777777" w:rsidR="00D434A6" w:rsidRDefault="00D434A6" w:rsidP="00D434A6">
                        <w:r>
                          <w:rPr>
                            <w:rFonts w:ascii="Calibri" w:eastAsia="Calibri" w:hAnsi="Calibri" w:cs="Calibri"/>
                            <w:color w:val="595959"/>
                            <w:sz w:val="18"/>
                          </w:rPr>
                          <w:t>120000</w:t>
                        </w:r>
                      </w:p>
                    </w:txbxContent>
                  </v:textbox>
                </v:rect>
                <v:rect id="Rectangle 1600653995" o:spid="_x0000_s1073" style="position:absolute;left:826;top:6272;width:464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" filled="f" stroked="f">
                  <v:textbox inset="0,0,0,0">
                    <w:txbxContent>
                      <w:p w14:paraId="7159E408" w14:textId="77777777" w:rsidR="00D434A6" w:rsidRDefault="00D434A6" w:rsidP="00D434A6">
                        <w:r>
                          <w:rPr>
                            <w:rFonts w:ascii="Calibri" w:eastAsia="Calibri" w:hAnsi="Calibri" w:cs="Calibri"/>
                            <w:color w:val="595959"/>
                            <w:sz w:val="18"/>
                          </w:rPr>
                          <w:t>140000</w:t>
                        </w:r>
                      </w:p>
                    </w:txbxContent>
                  </v:textbox>
                </v:rect>
                <v:rect id="Rectangle 1772290953" o:spid="_x0000_s1074" style="position:absolute;left:826;top:3949;width:464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" filled="f" stroked="f">
                  <v:textbox inset="0,0,0,0">
                    <w:txbxContent>
                      <w:p w14:paraId="02CAB979" w14:textId="77777777" w:rsidR="00D434A6" w:rsidRDefault="00D434A6" w:rsidP="00D434A6">
                        <w:r>
                          <w:rPr>
                            <w:rFonts w:ascii="Calibri" w:eastAsia="Calibri" w:hAnsi="Calibri" w:cs="Calibri"/>
                            <w:color w:val="595959"/>
                            <w:sz w:val="18"/>
                          </w:rPr>
                          <w:t>160000</w:t>
                        </w:r>
                      </w:p>
                    </w:txbxContent>
                  </v:textbox>
                </v:rect>
                <v:rect id="Rectangle 2067917001" o:spid="_x0000_s1075" style="position:absolute;left:8002;top:23990;width:7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" filled="f" stroked="f">
                  <v:textbox inset="0,0,0,0">
                    <w:txbxContent>
                      <w:p w14:paraId="6BFCB281" w14:textId="77777777" w:rsidR="00D434A6" w:rsidRDefault="00D434A6" w:rsidP="00D434A6">
                        <w:r>
                          <w:rPr>
                            <w:rFonts w:ascii="Calibri" w:eastAsia="Calibri" w:hAnsi="Calibri" w:cs="Calibri"/>
                            <w:color w:val="595959"/>
                            <w:sz w:val="18"/>
                          </w:rPr>
                          <w:t>1</w:t>
                        </w:r>
                      </w:p>
                    </w:txbxContent>
                  </v:textbox>
                </v:rect>
                <v:rect id="Rectangle 1766493359" o:spid="_x0000_s1076" style="position:absolute;left:13863;top:23990;width:7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" filled="f" stroked="f">
                  <v:textbox inset="0,0,0,0">
                    <w:txbxContent>
                      <w:p w14:paraId="6772159D" w14:textId="77777777" w:rsidR="00D434A6" w:rsidRDefault="00D434A6" w:rsidP="00D434A6">
                        <w:r>
                          <w:rPr>
                            <w:rFonts w:ascii="Calibri" w:eastAsia="Calibri" w:hAnsi="Calibri" w:cs="Calibri"/>
                            <w:color w:val="595959"/>
                            <w:sz w:val="18"/>
                          </w:rPr>
                          <w:t>2</w:t>
                        </w:r>
                      </w:p>
                    </w:txbxContent>
                  </v:textbox>
                </v:rect>
                <v:rect id="Rectangle 1842727770" o:spid="_x0000_s1077" style="position:absolute;left:19724;top:23990;width:7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" filled="f" stroked="f">
                  <v:textbox inset="0,0,0,0">
                    <w:txbxContent>
                      <w:p w14:paraId="7CC6C860" w14:textId="77777777" w:rsidR="00D434A6" w:rsidRDefault="00D434A6" w:rsidP="00D434A6">
                        <w:r>
                          <w:rPr>
                            <w:rFonts w:ascii="Calibri" w:eastAsia="Calibri" w:hAnsi="Calibri" w:cs="Calibri"/>
                            <w:color w:val="595959"/>
                            <w:sz w:val="18"/>
                          </w:rPr>
                          <w:t>3</w:t>
                        </w:r>
                      </w:p>
                    </w:txbxContent>
                  </v:textbox>
                </v:rect>
                <v:rect id="Rectangle 960888048" o:spid="_x0000_s1078" style="position:absolute;left:25585;top:23990;width:7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" filled="f" stroked="f">
                  <v:textbox inset="0,0,0,0">
                    <w:txbxContent>
                      <w:p w14:paraId="78559A14" w14:textId="77777777" w:rsidR="00D434A6" w:rsidRDefault="00D434A6" w:rsidP="00D434A6">
                        <w:r>
                          <w:rPr>
                            <w:rFonts w:ascii="Calibri" w:eastAsia="Calibri" w:hAnsi="Calibri" w:cs="Calibri"/>
                            <w:color w:val="595959"/>
                            <w:sz w:val="18"/>
                          </w:rPr>
                          <w:t>4</w:t>
                        </w:r>
                      </w:p>
                    </w:txbxContent>
                  </v:textbox>
                </v:rect>
                <v:rect id="Rectangle 1396591407" o:spid="_x0000_s1079" style="position:absolute;left:31447;top:23990;width:7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" filled="f" stroked="f">
                  <v:textbox inset="0,0,0,0">
                    <w:txbxContent>
                      <w:p w14:paraId="62BEE534" w14:textId="77777777" w:rsidR="00D434A6" w:rsidRDefault="00D434A6" w:rsidP="00D434A6">
                        <w:r>
                          <w:rPr>
                            <w:rFonts w:ascii="Calibri" w:eastAsia="Calibri" w:hAnsi="Calibri" w:cs="Calibri"/>
                            <w:color w:val="595959"/>
                            <w:sz w:val="18"/>
                          </w:rPr>
                          <w:t>5</w:t>
                        </w:r>
                      </w:p>
                    </w:txbxContent>
                  </v:textbox>
                </v:rect>
                <v:rect id="Rectangle 2118082357" o:spid="_x0000_s1080" style="position:absolute;left:37308;top:23990;width:7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" filled="f" stroked="f">
                  <v:textbox inset="0,0,0,0">
                    <w:txbxContent>
                      <w:p w14:paraId="550FCBCD" w14:textId="77777777" w:rsidR="00D434A6" w:rsidRDefault="00D434A6" w:rsidP="00D434A6">
                        <w:r>
                          <w:rPr>
                            <w:rFonts w:ascii="Calibri" w:eastAsia="Calibri" w:hAnsi="Calibri" w:cs="Calibri"/>
                            <w:color w:val="595959"/>
                            <w:sz w:val="18"/>
                          </w:rPr>
                          <w:t>6</w:t>
                        </w:r>
                      </w:p>
                    </w:txbxContent>
                  </v:textbox>
                </v:rect>
                <v:rect id="Rectangle 1499171560" o:spid="_x0000_s1081" style="position:absolute;left:43169;top:23990;width:7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" filled="f" stroked="f">
                  <v:textbox inset="0,0,0,0">
                    <w:txbxContent>
                      <w:p w14:paraId="5AE68453" w14:textId="77777777" w:rsidR="00D434A6" w:rsidRDefault="00D434A6" w:rsidP="00D434A6">
                        <w:r>
                          <w:rPr>
                            <w:rFonts w:ascii="Calibri" w:eastAsia="Calibri" w:hAnsi="Calibri" w:cs="Calibri"/>
                            <w:color w:val="595959"/>
                            <w:sz w:val="18"/>
                          </w:rPr>
                          <w:t>7</w:t>
                        </w:r>
                      </w:p>
                    </w:txbxContent>
                  </v:textbox>
                </v:rect>
                <v:rect id="Rectangle 1085096305" o:spid="_x0000_s1082" style="position:absolute;left:6167;top:962;width:40785;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" filled="f" stroked="f">
                  <v:textbox inset="0,0,0,0">
                    <w:txbxContent>
                      <w:p w14:paraId="41CC06DD" w14:textId="77777777" w:rsidR="00D434A6" w:rsidRDefault="00D434A6" w:rsidP="00D434A6">
                        <w:r>
                          <w:rPr>
                            <w:rFonts w:ascii="Calibri" w:eastAsia="Calibri" w:hAnsi="Calibri" w:cs="Calibri"/>
                            <w:b/>
                            <w:color w:val="595959"/>
                            <w:w w:val="102"/>
                            <w:sz w:val="28"/>
                          </w:rPr>
                          <w:t>Health</w:t>
                        </w:r>
                        <w:r>
                          <w:rPr>
                            <w:rFonts w:ascii="Calibri" w:eastAsia="Calibri" w:hAnsi="Calibri" w:cs="Calibri"/>
                            <w:b/>
                            <w:color w:val="595959"/>
                            <w:spacing w:val="-11"/>
                            <w:w w:val="102"/>
                            <w:sz w:val="28"/>
                          </w:rPr>
                          <w:t xml:space="preserve"> </w:t>
                        </w:r>
                        <w:r>
                          <w:rPr>
                            <w:rFonts w:ascii="Calibri" w:eastAsia="Calibri" w:hAnsi="Calibri" w:cs="Calibri"/>
                            <w:b/>
                            <w:color w:val="595959"/>
                            <w:w w:val="102"/>
                            <w:sz w:val="28"/>
                          </w:rPr>
                          <w:t>and</w:t>
                        </w:r>
                        <w:r>
                          <w:rPr>
                            <w:rFonts w:ascii="Calibri" w:eastAsia="Calibri" w:hAnsi="Calibri" w:cs="Calibri"/>
                            <w:b/>
                            <w:color w:val="595959"/>
                            <w:spacing w:val="-13"/>
                            <w:w w:val="102"/>
                            <w:sz w:val="28"/>
                          </w:rPr>
                          <w:t xml:space="preserve"> </w:t>
                        </w:r>
                        <w:r>
                          <w:rPr>
                            <w:rFonts w:ascii="Calibri" w:eastAsia="Calibri" w:hAnsi="Calibri" w:cs="Calibri"/>
                            <w:b/>
                            <w:color w:val="595959"/>
                            <w:w w:val="102"/>
                            <w:sz w:val="28"/>
                          </w:rPr>
                          <w:t>Care</w:t>
                        </w:r>
                        <w:r>
                          <w:rPr>
                            <w:rFonts w:ascii="Calibri" w:eastAsia="Calibri" w:hAnsi="Calibri" w:cs="Calibri"/>
                            <w:b/>
                            <w:color w:val="595959"/>
                            <w:spacing w:val="-13"/>
                            <w:w w:val="102"/>
                            <w:sz w:val="28"/>
                          </w:rPr>
                          <w:t xml:space="preserve"> </w:t>
                        </w:r>
                        <w:r>
                          <w:rPr>
                            <w:rFonts w:ascii="Calibri" w:eastAsia="Calibri" w:hAnsi="Calibri" w:cs="Calibri"/>
                            <w:b/>
                            <w:color w:val="595959"/>
                            <w:w w:val="102"/>
                            <w:sz w:val="28"/>
                          </w:rPr>
                          <w:t>Worker</w:t>
                        </w:r>
                        <w:r>
                          <w:rPr>
                            <w:rFonts w:ascii="Calibri" w:eastAsia="Calibri" w:hAnsi="Calibri" w:cs="Calibri"/>
                            <w:b/>
                            <w:color w:val="595959"/>
                            <w:spacing w:val="-13"/>
                            <w:w w:val="102"/>
                            <w:sz w:val="28"/>
                          </w:rPr>
                          <w:t xml:space="preserve"> </w:t>
                        </w:r>
                        <w:r>
                          <w:rPr>
                            <w:rFonts w:ascii="Calibri" w:eastAsia="Calibri" w:hAnsi="Calibri" w:cs="Calibri"/>
                            <w:b/>
                            <w:color w:val="595959"/>
                            <w:w w:val="102"/>
                            <w:sz w:val="28"/>
                          </w:rPr>
                          <w:t>Visa</w:t>
                        </w:r>
                        <w:r>
                          <w:rPr>
                            <w:rFonts w:ascii="Calibri" w:eastAsia="Calibri" w:hAnsi="Calibri" w:cs="Calibri"/>
                            <w:b/>
                            <w:color w:val="595959"/>
                            <w:spacing w:val="-12"/>
                            <w:w w:val="102"/>
                            <w:sz w:val="28"/>
                          </w:rPr>
                          <w:t xml:space="preserve"> </w:t>
                        </w:r>
                        <w:r>
                          <w:rPr>
                            <w:rFonts w:ascii="Calibri" w:eastAsia="Calibri" w:hAnsi="Calibri" w:cs="Calibri"/>
                            <w:b/>
                            <w:color w:val="595959"/>
                            <w:w w:val="102"/>
                            <w:sz w:val="28"/>
                          </w:rPr>
                          <w:t>Grants</w:t>
                        </w:r>
                        <w:r>
                          <w:rPr>
                            <w:rFonts w:ascii="Calibri" w:eastAsia="Calibri" w:hAnsi="Calibri" w:cs="Calibri"/>
                            <w:b/>
                            <w:color w:val="595959"/>
                            <w:spacing w:val="-12"/>
                            <w:w w:val="102"/>
                            <w:sz w:val="28"/>
                          </w:rPr>
                          <w:t xml:space="preserve"> </w:t>
                        </w:r>
                        <w:r>
                          <w:rPr>
                            <w:rFonts w:ascii="Calibri" w:eastAsia="Calibri" w:hAnsi="Calibri" w:cs="Calibri"/>
                            <w:b/>
                            <w:color w:val="595959"/>
                            <w:w w:val="102"/>
                            <w:sz w:val="28"/>
                          </w:rPr>
                          <w:t>(2020</w:t>
                        </w:r>
                      </w:p>
                    </w:txbxContent>
                  </v:textbox>
                </v:rect>
                <v:rect id="Rectangle 1482042114" o:spid="_x0000_s1083" style="position:absolute;left:36744;top:962;width:961;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" filled="f" stroked="f">
                  <v:textbox inset="0,0,0,0">
                    <w:txbxContent>
                      <w:p w14:paraId="114D4A23" w14:textId="77777777" w:rsidR="00D434A6" w:rsidRDefault="00D434A6" w:rsidP="00D434A6">
                        <w:r>
                          <w:rPr>
                            <w:rFonts w:ascii="Calibri" w:eastAsia="Calibri" w:hAnsi="Calibri" w:cs="Calibri"/>
                            <w:b/>
                            <w:color w:val="595959"/>
                            <w:w w:val="81"/>
                            <w:sz w:val="28"/>
                          </w:rPr>
                          <w:t>–</w:t>
                        </w:r>
                      </w:p>
                    </w:txbxContent>
                  </v:textbox>
                </v:rect>
                <v:rect id="Rectangle 203449320" o:spid="_x0000_s1084" style="position:absolute;left:37461;top:962;width:5511;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" filled="f" stroked="f">
                  <v:textbox inset="0,0,0,0">
                    <w:txbxContent>
                      <w:p w14:paraId="75F5CC0C" w14:textId="77777777" w:rsidR="00D434A6" w:rsidRDefault="00D434A6" w:rsidP="00D434A6">
                        <w:r>
                          <w:rPr>
                            <w:rFonts w:ascii="Calibri" w:eastAsia="Calibri" w:hAnsi="Calibri" w:cs="Calibri"/>
                            <w:b/>
                            <w:color w:val="595959"/>
                            <w:spacing w:val="-1"/>
                            <w:w w:val="99"/>
                            <w:sz w:val="28"/>
                          </w:rPr>
                          <w:t>2026)</w:t>
                        </w:r>
                      </w:p>
                    </w:txbxContent>
                  </v:textbox>
                </v:rect>
                <v:shape id="Shape 123" o:spid="_x0000_s1085" style="position:absolute;left:17176;top:27279;width:2439;height:0;visibility:visible;mso-wrap-style:square;v-text-anchor:top" coordsize="2438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" path="m,l243840,e" filled="f" strokecolor="#156082" strokeweight="2.25pt">
                  <v:stroke endcap="round"/>
                  <v:path arrowok="t" textboxrect="0,0,243840,0"/>
                </v:shape>
                <v:shape id="Shape 124" o:spid="_x0000_s1086" style="position:absolute;left:18069;top:26946;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" path="m32004,c49657,,64008,14351,64008,32004v,17653,-14351,32004,-32004,32004c14351,64008,,49657,,32004,,14351,14351,,32004,xe" fillcolor="#156082" stroked="f" strokeweight="0">
                  <v:stroke endcap="round"/>
                  <v:path arrowok="t" textboxrect="0,0,64008,64008"/>
                </v:shape>
                <v:shape id="Shape 125" o:spid="_x0000_s1087" style="position:absolute;left:18069;top:26946;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" path="m64008,32004v,17653,-14351,32004,-32004,32004c14351,64008,,49657,,32004,,14351,14351,,32004,,49657,,64008,14351,64008,32004xe" filled="f" strokecolor="#156082">
                  <v:path arrowok="t" textboxrect="0,0,64008,64008"/>
                </v:shape>
                <v:rect id="Rectangle 2130242048" o:spid="_x0000_s1088" style="position:absolute;left:19876;top:26522;width:2711;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" filled="f" stroked="f">
                  <v:textbox inset="0,0,0,0">
                    <w:txbxContent>
                      <w:p w14:paraId="6A471AC9" w14:textId="77777777" w:rsidR="00D434A6" w:rsidRDefault="00D434A6" w:rsidP="00D434A6">
                        <w:r>
                          <w:rPr>
                            <w:rFonts w:ascii="Calibri" w:eastAsia="Calibri" w:hAnsi="Calibri" w:cs="Calibri"/>
                            <w:color w:val="595959"/>
                            <w:w w:val="99"/>
                            <w:sz w:val="18"/>
                          </w:rPr>
                          <w:t>Year</w:t>
                        </w:r>
                      </w:p>
                    </w:txbxContent>
                  </v:textbox>
                </v:rect>
                <v:shape id="Shape 127" o:spid="_x0000_s1089" style="position:absolute;left:23141;top:27279;width:2439;height:0;visibility:visible;mso-wrap-style:square;v-text-anchor:top" coordsize="2438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" path="m,l243840,e" filled="f" strokecolor="#e97132" strokeweight="2.25pt">
                  <v:stroke endcap="round"/>
                  <v:path arrowok="t" textboxrect="0,0,243840,0"/>
                </v:shape>
                <v:shape id="Shape 128" o:spid="_x0000_s1090" style="position:absolute;left:24028;top:26946;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" path="m32004,c49657,,64008,14351,64008,32004v,17653,-14351,32004,-32004,32004c14351,64008,,49657,,32004,,14351,14351,,32004,xe" fillcolor="#e97132" stroked="f" strokeweight="0">
                  <v:stroke endcap="round"/>
                  <v:path arrowok="t" textboxrect="0,0,64008,64008"/>
                </v:shape>
                <v:shape id="Shape 129" o:spid="_x0000_s1091" style="position:absolute;left:24028;top:26946;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" path="m64008,32004v,17653,-14351,32004,-32004,32004c14351,64008,,49657,,32004,,14351,14351,,32004,,49657,,64008,14351,64008,32004xe" filled="f" strokecolor="#e97132">
                  <v:path arrowok="t" textboxrect="0,0,64008,64008"/>
                </v:shape>
                <v:rect id="Rectangle 157901477" o:spid="_x0000_s1092" style="position:absolute;left:25844;top:26522;width:693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" filled="f" stroked="f">
                  <v:textbox inset="0,0,0,0">
                    <w:txbxContent>
                      <w:p w14:paraId="34372236" w14:textId="77777777" w:rsidR="00D434A6" w:rsidRDefault="00D434A6" w:rsidP="00D434A6">
                        <w:r>
                          <w:rPr>
                            <w:rFonts w:ascii="Calibri" w:eastAsia="Calibri" w:hAnsi="Calibri" w:cs="Calibri"/>
                            <w:color w:val="595959"/>
                            <w:w w:val="101"/>
                            <w:sz w:val="18"/>
                          </w:rPr>
                          <w:t>Visa</w:t>
                        </w:r>
                        <w:r>
                          <w:rPr>
                            <w:rFonts w:ascii="Calibri" w:eastAsia="Calibri" w:hAnsi="Calibri" w:cs="Calibri"/>
                            <w:color w:val="595959"/>
                            <w:spacing w:val="-9"/>
                            <w:w w:val="101"/>
                            <w:sz w:val="18"/>
                          </w:rPr>
                          <w:t xml:space="preserve"> </w:t>
                        </w:r>
                        <w:r>
                          <w:rPr>
                            <w:rFonts w:ascii="Calibri" w:eastAsia="Calibri" w:hAnsi="Calibri" w:cs="Calibri"/>
                            <w:color w:val="595959"/>
                            <w:w w:val="101"/>
                            <w:sz w:val="18"/>
                          </w:rPr>
                          <w:t>Grants</w:t>
                        </w:r>
                      </w:p>
                    </w:txbxContent>
                  </v:textbox>
                </v:rect>
                <v:shape id="Shape 131" o:spid="_x0000_s1093" style="position:absolute;width:47777;height:29113;visibility:visible;mso-wrap-style:square;v-text-anchor:top" coordsize="4777740,2911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" path="m,2911348r4777740,l4777740,,,,,2911348xe" filled="f" strokecolor="#d9d9d9">
                  <v:path arrowok="t" textboxrect="0,0,4777740,2911348"/>
                </v:shape>
                <w10:anchorlock/>
              </v:group>
            </w:pict>
          </mc:Fallback>
        </mc:AlternateContent>
      </w:r>
    </w:p>
    <w:p w14:paraId="0E6F4998" w14:textId="1B7DFFBA" w:rsidR="00D434A6" w:rsidRDefault="00544E3B" w:rsidP="00050789">
      <w:pPr>
        <w:rPr>
          <w:i/>
          <w:iCs/>
        </w:rPr>
      </w:pPr>
      <w:r>
        <w:rPr>
          <w:i/>
          <w:iCs/>
        </w:rPr>
        <w:t xml:space="preserve">This </w:t>
      </w:r>
      <w:r w:rsidRPr="00544E3B">
        <w:rPr>
          <w:i/>
          <w:iCs/>
        </w:rPr>
        <w:t xml:space="preserve">line chart </w:t>
      </w:r>
      <w:r>
        <w:rPr>
          <w:i/>
          <w:iCs/>
        </w:rPr>
        <w:t>shows</w:t>
      </w:r>
      <w:r w:rsidRPr="00544E3B">
        <w:rPr>
          <w:i/>
          <w:iCs/>
        </w:rPr>
        <w:t xml:space="preserve"> the decline from 145,823 in 2023 to 12,300 in 2026</w:t>
      </w:r>
      <w:r>
        <w:rPr>
          <w:i/>
          <w:iCs/>
        </w:rPr>
        <w:t>.</w:t>
      </w:r>
    </w:p>
    <w:p w14:paraId="7A4A4380" w14:textId="3FFD9F95" w:rsidR="00B70586" w:rsidRPr="00E458B3" w:rsidRDefault="00B70586" w:rsidP="00B70586">
      <w:pPr>
        <w:pStyle w:val="Caption"/>
        <w:keepNext/>
        <w:rPr>
          <w:sz w:val="28"/>
          <w:szCs w:val="28"/>
        </w:rPr>
      </w:pPr>
      <w:bookmarkStart w:id="190" w:name="_Toc238206096"/>
      <w:r w:rsidRPr="00E458B3">
        <w:rPr>
          <w:sz w:val="28"/>
          <w:szCs w:val="28"/>
        </w:rPr>
        <w:t xml:space="preserve">Table </w:t>
      </w:r>
      <w:r w:rsidRPr="00E458B3">
        <w:rPr>
          <w:sz w:val="28"/>
          <w:szCs w:val="28"/>
        </w:rPr>
        <w:fldChar w:fldCharType="begin"/>
      </w:r>
      <w:r w:rsidRPr="00E458B3">
        <w:rPr>
          <w:sz w:val="28"/>
          <w:szCs w:val="28"/>
        </w:rPr>
        <w:instrText xml:space="preserve"> SEQ Table \* ARABIC </w:instrText>
      </w:r>
      <w:r w:rsidRPr="00E458B3">
        <w:rPr>
          <w:sz w:val="28"/>
          <w:szCs w:val="28"/>
        </w:rPr>
        <w:fldChar w:fldCharType="separate"/>
      </w:r>
      <w:r w:rsidRPr="00E458B3">
        <w:rPr>
          <w:noProof/>
          <w:sz w:val="28"/>
          <w:szCs w:val="28"/>
        </w:rPr>
        <w:t>12</w:t>
      </w:r>
      <w:r w:rsidRPr="00E458B3">
        <w:rPr>
          <w:sz w:val="28"/>
          <w:szCs w:val="28"/>
        </w:rPr>
        <w:fldChar w:fldCharType="end"/>
      </w:r>
      <w:r w:rsidRPr="00E458B3">
        <w:rPr>
          <w:sz w:val="28"/>
          <w:szCs w:val="28"/>
        </w:rPr>
        <w:t xml:space="preserve"> Health and Care Worker Average Visa Grants (2020–2026).</w:t>
      </w:r>
      <w:bookmarkEnd w:id="190"/>
    </w:p>
    <w:p w14:paraId="2E9D5629" w14:textId="033E7A3B" w:rsidR="00D434A6" w:rsidRDefault="00D434A6" w:rsidP="00050789">
      <w:r>
        <w:object w:dxaOrig="7194" w:dyaOrig="3087" w14:anchorId="489DFE39">
          <v:shape id="_x0000_i1027" type="#_x0000_t75" style="width:358.9pt;height:154.9pt" o:ole="">
            <v:imagedata r:id="rId44" o:title=""/>
          </v:shape>
          <o:OLEObject Type="Embed" ProgID="Excel.Sheet.8" ShapeID="_x0000_i1027" DrawAspect="Content" ObjectID="_1848843231" r:id="rId45"/>
        </w:object>
      </w:r>
    </w:p>
    <w:p w14:paraId="5BC7A1F8" w14:textId="77777777" w:rsidR="00AF38C8" w:rsidRDefault="00AF38C8" w:rsidP="00050789"/>
    <w:p w14:paraId="545B0C70" w14:textId="26089F4B" w:rsidR="00B70586" w:rsidRPr="004E0015" w:rsidRDefault="00B70586" w:rsidP="00B70586">
      <w:pPr>
        <w:pStyle w:val="Caption"/>
        <w:keepNext/>
        <w:rPr>
          <w:sz w:val="28"/>
          <w:szCs w:val="28"/>
        </w:rPr>
      </w:pPr>
      <w:bookmarkStart w:id="191" w:name="_Toc238205991"/>
      <w:r w:rsidRPr="004E0015">
        <w:rPr>
          <w:sz w:val="28"/>
          <w:szCs w:val="28"/>
        </w:rPr>
        <w:lastRenderedPageBreak/>
        <w:t xml:space="preserve">Figure </w:t>
      </w:r>
      <w:r w:rsidRPr="004E0015">
        <w:rPr>
          <w:sz w:val="28"/>
          <w:szCs w:val="28"/>
        </w:rPr>
        <w:fldChar w:fldCharType="begin"/>
      </w:r>
      <w:r w:rsidRPr="004E0015">
        <w:rPr>
          <w:sz w:val="28"/>
          <w:szCs w:val="28"/>
        </w:rPr>
        <w:instrText xml:space="preserve"> SEQ Figure \* ARABIC </w:instrText>
      </w:r>
      <w:r w:rsidRPr="004E0015">
        <w:rPr>
          <w:sz w:val="28"/>
          <w:szCs w:val="28"/>
        </w:rPr>
        <w:fldChar w:fldCharType="separate"/>
      </w:r>
      <w:r w:rsidRPr="004E0015">
        <w:rPr>
          <w:noProof/>
          <w:sz w:val="28"/>
          <w:szCs w:val="28"/>
        </w:rPr>
        <w:t>5</w:t>
      </w:r>
      <w:bookmarkEnd w:id="191"/>
      <w:r w:rsidRPr="004E0015">
        <w:rPr>
          <w:sz w:val="28"/>
          <w:szCs w:val="28"/>
        </w:rPr>
        <w:fldChar w:fldCharType="end"/>
      </w:r>
    </w:p>
    <w:p w14:paraId="7B6FFCE1" w14:textId="7A46CC0A" w:rsidR="00D434A6" w:rsidRDefault="00D434A6" w:rsidP="00050789">
      <w:r>
        <w:rPr>
          <w:noProof/>
        </w:rPr>
        <mc:AlternateContent>
          <mc:Choice Requires="wpg">
            <w:drawing>
              <wp:inline distT="0" distB="0" distL="0" distR="0" wp14:anchorId="090E9120" wp14:editId="0EE224E9">
                <wp:extent cx="3622548" cy="2382774"/>
                <wp:effectExtent l="0" t="0" r="0" b="0"/>
                <wp:docPr id="1221262069" name="Group 1221262069"/>
                <wp:cNvGraphicFramePr/>
                <a:graphic xmlns:a="http://schemas.openxmlformats.org/drawingml/2006/main">
                  <a:graphicData uri="http://schemas.microsoft.com/office/word/2010/wordprocessingGroup">
                    <wpg:wgp>
                      <wpg:cNvGrpSpPr/>
                      <wpg:grpSpPr>
                        <a:xfrm>
                          <a:off x="0" y="0"/>
                          <a:ext cx="3622548" cy="2382774"/>
                          <a:chOff x="0" y="0"/>
                          <a:chExt cx="3622548" cy="2382774"/>
                        </a:xfrm>
                      </wpg:grpSpPr>
                      <wps:wsp>
                        <wps:cNvPr id="1985082578" name="Shape 134"/>
                        <wps:cNvSpPr/>
                        <wps:spPr>
                          <a:xfrm>
                            <a:off x="507365" y="1909572"/>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662557908" name="Shape 135"/>
                        <wps:cNvSpPr/>
                        <wps:spPr>
                          <a:xfrm>
                            <a:off x="507365" y="1729740"/>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61576470" name="Shape 136"/>
                        <wps:cNvSpPr/>
                        <wps:spPr>
                          <a:xfrm>
                            <a:off x="507365" y="1549908"/>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443562765" name="Shape 137"/>
                        <wps:cNvSpPr/>
                        <wps:spPr>
                          <a:xfrm>
                            <a:off x="507365" y="1370076"/>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472377325" name="Shape 138"/>
                        <wps:cNvSpPr/>
                        <wps:spPr>
                          <a:xfrm>
                            <a:off x="507365" y="1190244"/>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937351152" name="Shape 139"/>
                        <wps:cNvSpPr/>
                        <wps:spPr>
                          <a:xfrm>
                            <a:off x="507365" y="1010412"/>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730082637" name="Shape 140"/>
                        <wps:cNvSpPr/>
                        <wps:spPr>
                          <a:xfrm>
                            <a:off x="507365" y="830580"/>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916559695" name="Shape 141"/>
                        <wps:cNvSpPr/>
                        <wps:spPr>
                          <a:xfrm>
                            <a:off x="507365" y="650748"/>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639045014" name="Shape 142"/>
                        <wps:cNvSpPr/>
                        <wps:spPr>
                          <a:xfrm>
                            <a:off x="507365" y="471043"/>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393291904" name="Shape 2100"/>
                        <wps:cNvSpPr/>
                        <wps:spPr>
                          <a:xfrm>
                            <a:off x="2505456" y="1717548"/>
                            <a:ext cx="466344" cy="371602"/>
                          </a:xfrm>
                          <a:custGeom>
                            <a:avLst/>
                            <a:gdLst/>
                            <a:ahLst/>
                            <a:cxnLst/>
                            <a:rect l="0" t="0" r="0" b="0"/>
                            <a:pathLst>
                              <a:path w="466344" h="371602">
                                <a:moveTo>
                                  <a:pt x="0" y="0"/>
                                </a:moveTo>
                                <a:lnTo>
                                  <a:pt x="466344" y="0"/>
                                </a:lnTo>
                                <a:lnTo>
                                  <a:pt x="466344" y="371602"/>
                                </a:lnTo>
                                <a:lnTo>
                                  <a:pt x="0" y="371602"/>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1594831049" name="Shape 2101"/>
                        <wps:cNvSpPr/>
                        <wps:spPr>
                          <a:xfrm>
                            <a:off x="1018032" y="717804"/>
                            <a:ext cx="466344" cy="1371346"/>
                          </a:xfrm>
                          <a:custGeom>
                            <a:avLst/>
                            <a:gdLst/>
                            <a:ahLst/>
                            <a:cxnLst/>
                            <a:rect l="0" t="0" r="0" b="0"/>
                            <a:pathLst>
                              <a:path w="466344" h="1371346">
                                <a:moveTo>
                                  <a:pt x="0" y="0"/>
                                </a:moveTo>
                                <a:lnTo>
                                  <a:pt x="466344" y="0"/>
                                </a:lnTo>
                                <a:lnTo>
                                  <a:pt x="466344" y="1371346"/>
                                </a:lnTo>
                                <a:lnTo>
                                  <a:pt x="0" y="1371346"/>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1241572369" name="Shape 145"/>
                        <wps:cNvSpPr/>
                        <wps:spPr>
                          <a:xfrm>
                            <a:off x="507365" y="2089150"/>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44208836" name="Rectangle 144208836"/>
                        <wps:cNvSpPr/>
                        <wps:spPr>
                          <a:xfrm>
                            <a:off x="344170" y="2012814"/>
                            <a:ext cx="77074" cy="185570"/>
                          </a:xfrm>
                          <a:prstGeom prst="rect">
                            <a:avLst/>
                          </a:prstGeom>
                          <a:ln>
                            <a:noFill/>
                          </a:ln>
                        </wps:spPr>
                        <wps:txbx>
                          <w:txbxContent>
                            <w:p w14:paraId="12453F99" w14:textId="77777777" w:rsidR="00D434A6" w:rsidRDefault="00D434A6" w:rsidP="00D434A6">
                              <w:r>
                                <w:rPr>
                                  <w:rFonts w:ascii="Calibri" w:eastAsia="Calibri" w:hAnsi="Calibri" w:cs="Calibri"/>
                                  <w:color w:val="595959"/>
                                  <w:sz w:val="18"/>
                                </w:rPr>
                                <w:t>0</w:t>
                              </w:r>
                            </w:p>
                          </w:txbxContent>
                        </wps:txbx>
                        <wps:bodyPr horzOverflow="overflow" vert="horz" lIns="0" tIns="0" rIns="0" bIns="0" rtlCol="0">
                          <a:noAutofit/>
                        </wps:bodyPr>
                      </wps:wsp>
                      <wps:wsp>
                        <wps:cNvPr id="646340269" name="Rectangle 646340269"/>
                        <wps:cNvSpPr/>
                        <wps:spPr>
                          <a:xfrm>
                            <a:off x="82931" y="1832983"/>
                            <a:ext cx="425653" cy="185570"/>
                          </a:xfrm>
                          <a:prstGeom prst="rect">
                            <a:avLst/>
                          </a:prstGeom>
                          <a:ln>
                            <a:noFill/>
                          </a:ln>
                        </wps:spPr>
                        <wps:txbx>
                          <w:txbxContent>
                            <w:p w14:paraId="3B3DB44F" w14:textId="77777777" w:rsidR="00D434A6" w:rsidRDefault="00D434A6" w:rsidP="00D434A6">
                              <w:r>
                                <w:rPr>
                                  <w:rFonts w:ascii="Calibri" w:eastAsia="Calibri" w:hAnsi="Calibri" w:cs="Calibri"/>
                                  <w:color w:val="595959"/>
                                  <w:sz w:val="18"/>
                                </w:rPr>
                                <w:t>10,000</w:t>
                              </w:r>
                            </w:p>
                          </w:txbxContent>
                        </wps:txbx>
                        <wps:bodyPr horzOverflow="overflow" vert="horz" lIns="0" tIns="0" rIns="0" bIns="0" rtlCol="0">
                          <a:noAutofit/>
                        </wps:bodyPr>
                      </wps:wsp>
                      <wps:wsp>
                        <wps:cNvPr id="1312625019" name="Rectangle 1312625019"/>
                        <wps:cNvSpPr/>
                        <wps:spPr>
                          <a:xfrm>
                            <a:off x="82931" y="1653150"/>
                            <a:ext cx="425653" cy="185570"/>
                          </a:xfrm>
                          <a:prstGeom prst="rect">
                            <a:avLst/>
                          </a:prstGeom>
                          <a:ln>
                            <a:noFill/>
                          </a:ln>
                        </wps:spPr>
                        <wps:txbx>
                          <w:txbxContent>
                            <w:p w14:paraId="7AB24240" w14:textId="77777777" w:rsidR="00D434A6" w:rsidRDefault="00D434A6" w:rsidP="00D434A6">
                              <w:r>
                                <w:rPr>
                                  <w:rFonts w:ascii="Calibri" w:eastAsia="Calibri" w:hAnsi="Calibri" w:cs="Calibri"/>
                                  <w:color w:val="595959"/>
                                  <w:sz w:val="18"/>
                                </w:rPr>
                                <w:t>20,000</w:t>
                              </w:r>
                            </w:p>
                          </w:txbxContent>
                        </wps:txbx>
                        <wps:bodyPr horzOverflow="overflow" vert="horz" lIns="0" tIns="0" rIns="0" bIns="0" rtlCol="0">
                          <a:noAutofit/>
                        </wps:bodyPr>
                      </wps:wsp>
                      <wps:wsp>
                        <wps:cNvPr id="879003471" name="Rectangle 879003471"/>
                        <wps:cNvSpPr/>
                        <wps:spPr>
                          <a:xfrm>
                            <a:off x="82931" y="1473319"/>
                            <a:ext cx="425653" cy="185570"/>
                          </a:xfrm>
                          <a:prstGeom prst="rect">
                            <a:avLst/>
                          </a:prstGeom>
                          <a:ln>
                            <a:noFill/>
                          </a:ln>
                        </wps:spPr>
                        <wps:txbx>
                          <w:txbxContent>
                            <w:p w14:paraId="79B234CD" w14:textId="77777777" w:rsidR="00D434A6" w:rsidRDefault="00D434A6" w:rsidP="00D434A6">
                              <w:r>
                                <w:rPr>
                                  <w:rFonts w:ascii="Calibri" w:eastAsia="Calibri" w:hAnsi="Calibri" w:cs="Calibri"/>
                                  <w:color w:val="595959"/>
                                  <w:sz w:val="18"/>
                                </w:rPr>
                                <w:t>30,000</w:t>
                              </w:r>
                            </w:p>
                          </w:txbxContent>
                        </wps:txbx>
                        <wps:bodyPr horzOverflow="overflow" vert="horz" lIns="0" tIns="0" rIns="0" bIns="0" rtlCol="0">
                          <a:noAutofit/>
                        </wps:bodyPr>
                      </wps:wsp>
                      <wps:wsp>
                        <wps:cNvPr id="1226504932" name="Rectangle 1226504932"/>
                        <wps:cNvSpPr/>
                        <wps:spPr>
                          <a:xfrm>
                            <a:off x="82931" y="1293486"/>
                            <a:ext cx="425653" cy="185570"/>
                          </a:xfrm>
                          <a:prstGeom prst="rect">
                            <a:avLst/>
                          </a:prstGeom>
                          <a:ln>
                            <a:noFill/>
                          </a:ln>
                        </wps:spPr>
                        <wps:txbx>
                          <w:txbxContent>
                            <w:p w14:paraId="5F00DD87" w14:textId="77777777" w:rsidR="00D434A6" w:rsidRDefault="00D434A6" w:rsidP="00D434A6">
                              <w:r>
                                <w:rPr>
                                  <w:rFonts w:ascii="Calibri" w:eastAsia="Calibri" w:hAnsi="Calibri" w:cs="Calibri"/>
                                  <w:color w:val="595959"/>
                                  <w:sz w:val="18"/>
                                </w:rPr>
                                <w:t>40,000</w:t>
                              </w:r>
                            </w:p>
                          </w:txbxContent>
                        </wps:txbx>
                        <wps:bodyPr horzOverflow="overflow" vert="horz" lIns="0" tIns="0" rIns="0" bIns="0" rtlCol="0">
                          <a:noAutofit/>
                        </wps:bodyPr>
                      </wps:wsp>
                      <wps:wsp>
                        <wps:cNvPr id="2125899550" name="Rectangle 2125899550"/>
                        <wps:cNvSpPr/>
                        <wps:spPr>
                          <a:xfrm>
                            <a:off x="82931" y="1113655"/>
                            <a:ext cx="425653" cy="185570"/>
                          </a:xfrm>
                          <a:prstGeom prst="rect">
                            <a:avLst/>
                          </a:prstGeom>
                          <a:ln>
                            <a:noFill/>
                          </a:ln>
                        </wps:spPr>
                        <wps:txbx>
                          <w:txbxContent>
                            <w:p w14:paraId="017C652D" w14:textId="77777777" w:rsidR="00D434A6" w:rsidRDefault="00D434A6" w:rsidP="00D434A6">
                              <w:r>
                                <w:rPr>
                                  <w:rFonts w:ascii="Calibri" w:eastAsia="Calibri" w:hAnsi="Calibri" w:cs="Calibri"/>
                                  <w:color w:val="595959"/>
                                  <w:sz w:val="18"/>
                                </w:rPr>
                                <w:t>50,000</w:t>
                              </w:r>
                            </w:p>
                          </w:txbxContent>
                        </wps:txbx>
                        <wps:bodyPr horzOverflow="overflow" vert="horz" lIns="0" tIns="0" rIns="0" bIns="0" rtlCol="0">
                          <a:noAutofit/>
                        </wps:bodyPr>
                      </wps:wsp>
                      <wps:wsp>
                        <wps:cNvPr id="234847604" name="Rectangle 234847604"/>
                        <wps:cNvSpPr/>
                        <wps:spPr>
                          <a:xfrm>
                            <a:off x="82931" y="933822"/>
                            <a:ext cx="425653" cy="185570"/>
                          </a:xfrm>
                          <a:prstGeom prst="rect">
                            <a:avLst/>
                          </a:prstGeom>
                          <a:ln>
                            <a:noFill/>
                          </a:ln>
                        </wps:spPr>
                        <wps:txbx>
                          <w:txbxContent>
                            <w:p w14:paraId="30F9A1EC" w14:textId="77777777" w:rsidR="00D434A6" w:rsidRDefault="00D434A6" w:rsidP="00D434A6">
                              <w:r>
                                <w:rPr>
                                  <w:rFonts w:ascii="Calibri" w:eastAsia="Calibri" w:hAnsi="Calibri" w:cs="Calibri"/>
                                  <w:color w:val="595959"/>
                                  <w:sz w:val="18"/>
                                </w:rPr>
                                <w:t>60,000</w:t>
                              </w:r>
                            </w:p>
                          </w:txbxContent>
                        </wps:txbx>
                        <wps:bodyPr horzOverflow="overflow" vert="horz" lIns="0" tIns="0" rIns="0" bIns="0" rtlCol="0">
                          <a:noAutofit/>
                        </wps:bodyPr>
                      </wps:wsp>
                      <wps:wsp>
                        <wps:cNvPr id="772681531" name="Rectangle 772681531"/>
                        <wps:cNvSpPr/>
                        <wps:spPr>
                          <a:xfrm>
                            <a:off x="82931" y="753990"/>
                            <a:ext cx="425653" cy="185570"/>
                          </a:xfrm>
                          <a:prstGeom prst="rect">
                            <a:avLst/>
                          </a:prstGeom>
                          <a:ln>
                            <a:noFill/>
                          </a:ln>
                        </wps:spPr>
                        <wps:txbx>
                          <w:txbxContent>
                            <w:p w14:paraId="7EAF5B0C" w14:textId="77777777" w:rsidR="00D434A6" w:rsidRDefault="00D434A6" w:rsidP="00D434A6">
                              <w:r>
                                <w:rPr>
                                  <w:rFonts w:ascii="Calibri" w:eastAsia="Calibri" w:hAnsi="Calibri" w:cs="Calibri"/>
                                  <w:color w:val="595959"/>
                                  <w:sz w:val="18"/>
                                </w:rPr>
                                <w:t>70,000</w:t>
                              </w:r>
                            </w:p>
                          </w:txbxContent>
                        </wps:txbx>
                        <wps:bodyPr horzOverflow="overflow" vert="horz" lIns="0" tIns="0" rIns="0" bIns="0" rtlCol="0">
                          <a:noAutofit/>
                        </wps:bodyPr>
                      </wps:wsp>
                      <wps:wsp>
                        <wps:cNvPr id="199892621" name="Rectangle 199892621"/>
                        <wps:cNvSpPr/>
                        <wps:spPr>
                          <a:xfrm>
                            <a:off x="82931" y="574158"/>
                            <a:ext cx="425653" cy="185570"/>
                          </a:xfrm>
                          <a:prstGeom prst="rect">
                            <a:avLst/>
                          </a:prstGeom>
                          <a:ln>
                            <a:noFill/>
                          </a:ln>
                        </wps:spPr>
                        <wps:txbx>
                          <w:txbxContent>
                            <w:p w14:paraId="72D08A44" w14:textId="77777777" w:rsidR="00D434A6" w:rsidRDefault="00D434A6" w:rsidP="00D434A6">
                              <w:r>
                                <w:rPr>
                                  <w:rFonts w:ascii="Calibri" w:eastAsia="Calibri" w:hAnsi="Calibri" w:cs="Calibri"/>
                                  <w:color w:val="595959"/>
                                  <w:sz w:val="18"/>
                                </w:rPr>
                                <w:t>80,000</w:t>
                              </w:r>
                            </w:p>
                          </w:txbxContent>
                        </wps:txbx>
                        <wps:bodyPr horzOverflow="overflow" vert="horz" lIns="0" tIns="0" rIns="0" bIns="0" rtlCol="0">
                          <a:noAutofit/>
                        </wps:bodyPr>
                      </wps:wsp>
                      <wps:wsp>
                        <wps:cNvPr id="1525549424" name="Rectangle 1525549424"/>
                        <wps:cNvSpPr/>
                        <wps:spPr>
                          <a:xfrm>
                            <a:off x="82931" y="394040"/>
                            <a:ext cx="425874" cy="186065"/>
                          </a:xfrm>
                          <a:prstGeom prst="rect">
                            <a:avLst/>
                          </a:prstGeom>
                          <a:ln>
                            <a:noFill/>
                          </a:ln>
                        </wps:spPr>
                        <wps:txbx>
                          <w:txbxContent>
                            <w:p w14:paraId="74210E32" w14:textId="77777777" w:rsidR="00D434A6" w:rsidRDefault="00D434A6" w:rsidP="00D434A6">
                              <w:r>
                                <w:rPr>
                                  <w:rFonts w:ascii="Calibri" w:eastAsia="Calibri" w:hAnsi="Calibri" w:cs="Calibri"/>
                                  <w:color w:val="595959"/>
                                  <w:sz w:val="18"/>
                                </w:rPr>
                                <w:t>90,000</w:t>
                              </w:r>
                            </w:p>
                          </w:txbxContent>
                        </wps:txbx>
                        <wps:bodyPr horzOverflow="overflow" vert="horz" lIns="0" tIns="0" rIns="0" bIns="0" rtlCol="0">
                          <a:noAutofit/>
                        </wps:bodyPr>
                      </wps:wsp>
                      <wps:wsp>
                        <wps:cNvPr id="1546748331" name="Rectangle 1546748331"/>
                        <wps:cNvSpPr/>
                        <wps:spPr>
                          <a:xfrm>
                            <a:off x="1002538" y="2160388"/>
                            <a:ext cx="662701" cy="185570"/>
                          </a:xfrm>
                          <a:prstGeom prst="rect">
                            <a:avLst/>
                          </a:prstGeom>
                          <a:ln>
                            <a:noFill/>
                          </a:ln>
                        </wps:spPr>
                        <wps:txbx>
                          <w:txbxContent>
                            <w:p w14:paraId="03E3C7F7" w14:textId="77777777" w:rsidR="00D434A6" w:rsidRDefault="00D434A6" w:rsidP="00D434A6">
                              <w:r>
                                <w:rPr>
                                  <w:rFonts w:ascii="Calibri" w:eastAsia="Calibri" w:hAnsi="Calibri" w:cs="Calibri"/>
                                  <w:color w:val="595959"/>
                                  <w:w w:val="99"/>
                                  <w:sz w:val="18"/>
                                </w:rPr>
                                <w:t>2021-2023</w:t>
                              </w:r>
                            </w:p>
                          </w:txbxContent>
                        </wps:txbx>
                        <wps:bodyPr horzOverflow="overflow" vert="horz" lIns="0" tIns="0" rIns="0" bIns="0" rtlCol="0">
                          <a:noAutofit/>
                        </wps:bodyPr>
                      </wps:wsp>
                      <wps:wsp>
                        <wps:cNvPr id="248999565" name="Rectangle 248999565"/>
                        <wps:cNvSpPr/>
                        <wps:spPr>
                          <a:xfrm>
                            <a:off x="2490470" y="2160388"/>
                            <a:ext cx="662702" cy="185570"/>
                          </a:xfrm>
                          <a:prstGeom prst="rect">
                            <a:avLst/>
                          </a:prstGeom>
                          <a:ln>
                            <a:noFill/>
                          </a:ln>
                        </wps:spPr>
                        <wps:txbx>
                          <w:txbxContent>
                            <w:p w14:paraId="0E301B82" w14:textId="77777777" w:rsidR="00D434A6" w:rsidRDefault="00D434A6" w:rsidP="00D434A6">
                              <w:r>
                                <w:rPr>
                                  <w:rFonts w:ascii="Calibri" w:eastAsia="Calibri" w:hAnsi="Calibri" w:cs="Calibri"/>
                                  <w:color w:val="595959"/>
                                  <w:w w:val="99"/>
                                  <w:sz w:val="18"/>
                                </w:rPr>
                                <w:t>2024-2026</w:t>
                              </w:r>
                            </w:p>
                          </w:txbxContent>
                        </wps:txbx>
                        <wps:bodyPr horzOverflow="overflow" vert="horz" lIns="0" tIns="0" rIns="0" bIns="0" rtlCol="0">
                          <a:noAutofit/>
                        </wps:bodyPr>
                      </wps:wsp>
                      <wps:wsp>
                        <wps:cNvPr id="226976166" name="Rectangle 226976166"/>
                        <wps:cNvSpPr/>
                        <wps:spPr>
                          <a:xfrm>
                            <a:off x="1114044" y="95593"/>
                            <a:ext cx="1856170" cy="289489"/>
                          </a:xfrm>
                          <a:prstGeom prst="rect">
                            <a:avLst/>
                          </a:prstGeom>
                          <a:ln>
                            <a:noFill/>
                          </a:ln>
                        </wps:spPr>
                        <wps:txbx>
                          <w:txbxContent>
                            <w:p w14:paraId="084420DF" w14:textId="77777777" w:rsidR="00D434A6" w:rsidRDefault="00D434A6" w:rsidP="00D434A6">
                              <w:r>
                                <w:rPr>
                                  <w:rFonts w:ascii="Calibri" w:eastAsia="Calibri" w:hAnsi="Calibri" w:cs="Calibri"/>
                                  <w:color w:val="595959"/>
                                  <w:w w:val="98"/>
                                  <w:sz w:val="28"/>
                                </w:rPr>
                                <w:t>Average</w:t>
                              </w:r>
                              <w:r>
                                <w:rPr>
                                  <w:rFonts w:ascii="Calibri" w:eastAsia="Calibri" w:hAnsi="Calibri" w:cs="Calibri"/>
                                  <w:color w:val="595959"/>
                                  <w:spacing w:val="-12"/>
                                  <w:w w:val="98"/>
                                  <w:sz w:val="28"/>
                                </w:rPr>
                                <w:t xml:space="preserve"> </w:t>
                              </w:r>
                              <w:r>
                                <w:rPr>
                                  <w:rFonts w:ascii="Calibri" w:eastAsia="Calibri" w:hAnsi="Calibri" w:cs="Calibri"/>
                                  <w:color w:val="595959"/>
                                  <w:w w:val="98"/>
                                  <w:sz w:val="28"/>
                                </w:rPr>
                                <w:t>Visa</w:t>
                              </w:r>
                              <w:r>
                                <w:rPr>
                                  <w:rFonts w:ascii="Calibri" w:eastAsia="Calibri" w:hAnsi="Calibri" w:cs="Calibri"/>
                                  <w:color w:val="595959"/>
                                  <w:spacing w:val="-13"/>
                                  <w:w w:val="98"/>
                                  <w:sz w:val="28"/>
                                </w:rPr>
                                <w:t xml:space="preserve"> </w:t>
                              </w:r>
                              <w:r>
                                <w:rPr>
                                  <w:rFonts w:ascii="Calibri" w:eastAsia="Calibri" w:hAnsi="Calibri" w:cs="Calibri"/>
                                  <w:color w:val="595959"/>
                                  <w:w w:val="98"/>
                                  <w:sz w:val="28"/>
                                </w:rPr>
                                <w:t>Grants</w:t>
                              </w:r>
                            </w:p>
                          </w:txbxContent>
                        </wps:txbx>
                        <wps:bodyPr horzOverflow="overflow" vert="horz" lIns="0" tIns="0" rIns="0" bIns="0" rtlCol="0">
                          <a:noAutofit/>
                        </wps:bodyPr>
                      </wps:wsp>
                      <wps:wsp>
                        <wps:cNvPr id="1900078164" name="Shape 159"/>
                        <wps:cNvSpPr/>
                        <wps:spPr>
                          <a:xfrm>
                            <a:off x="0" y="0"/>
                            <a:ext cx="3622548" cy="2382774"/>
                          </a:xfrm>
                          <a:custGeom>
                            <a:avLst/>
                            <a:gdLst/>
                            <a:ahLst/>
                            <a:cxnLst/>
                            <a:rect l="0" t="0" r="0" b="0"/>
                            <a:pathLst>
                              <a:path w="3622548" h="2382774">
                                <a:moveTo>
                                  <a:pt x="0" y="2382774"/>
                                </a:moveTo>
                                <a:lnTo>
                                  <a:pt x="3622548" y="2382774"/>
                                </a:lnTo>
                                <a:lnTo>
                                  <a:pt x="3622548" y="0"/>
                                </a:lnTo>
                                <a:lnTo>
                                  <a:pt x="0" y="0"/>
                                </a:lnTo>
                                <a:close/>
                              </a:path>
                            </a:pathLst>
                          </a:custGeom>
                          <a:ln w="9525" cap="flat">
                            <a:round/>
                          </a:ln>
                        </wps:spPr>
                        <wps:style>
                          <a:lnRef idx="1">
                            <a:srgbClr val="D9D9D9"/>
                          </a:lnRef>
                          <a:fillRef idx="0">
                            <a:srgbClr val="000000">
                              <a:alpha val="0"/>
                            </a:srgbClr>
                          </a:fillRef>
                          <a:effectRef idx="0">
                            <a:scrgbClr r="0" g="0" b="0"/>
                          </a:effectRef>
                          <a:fontRef idx="none"/>
                        </wps:style>
                        <wps:bodyPr/>
                      </wps:wsp>
                    </wpg:wgp>
                  </a:graphicData>
                </a:graphic>
              </wp:inline>
            </w:drawing>
          </mc:Choice>
          <mc:Fallback>
            <w:pict>
              <v:group w14:anchorId="090E9120" id="Group 1221262069" o:spid="_x0000_s1094" style="width:285.25pt;height:187.6pt;mso-position-horizontal-relative:char;mso-position-vertical-relative:line" coordsize="36225,238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">
                <v:shape id="Shape 134" o:spid="_x0000_s1095" style="position:absolute;left:5073;top:19095;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" path="m,l2975483,e" filled="f" strokecolor="#d9d9d9">
                  <v:path arrowok="t" textboxrect="0,0,2975483,0"/>
                </v:shape>
                <v:shape id="Shape 135" o:spid="_x0000_s1096" style="position:absolute;left:5073;top:17297;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" path="m,l2975483,e" filled="f" strokecolor="#d9d9d9">
                  <v:path arrowok="t" textboxrect="0,0,2975483,0"/>
                </v:shape>
                <v:shape id="Shape 136" o:spid="_x0000_s1097" style="position:absolute;left:5073;top:15499;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" path="m,l2975483,e" filled="f" strokecolor="#d9d9d9">
                  <v:path arrowok="t" textboxrect="0,0,2975483,0"/>
                </v:shape>
                <v:shape id="Shape 137" o:spid="_x0000_s1098" style="position:absolute;left:5073;top:13700;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" path="m,l2975483,e" filled="f" strokecolor="#d9d9d9">
                  <v:path arrowok="t" textboxrect="0,0,2975483,0"/>
                </v:shape>
                <v:shape id="Shape 138" o:spid="_x0000_s1099" style="position:absolute;left:5073;top:11902;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" path="m,l2975483,e" filled="f" strokecolor="#d9d9d9">
                  <v:path arrowok="t" textboxrect="0,0,2975483,0"/>
                </v:shape>
                <v:shape id="Shape 139" o:spid="_x0000_s1100" style="position:absolute;left:5073;top:10104;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" path="m,l2975483,e" filled="f" strokecolor="#d9d9d9">
                  <v:path arrowok="t" textboxrect="0,0,2975483,0"/>
                </v:shape>
                <v:shape id="Shape 140" o:spid="_x0000_s1101" style="position:absolute;left:5073;top:8305;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" path="m,l2975483,e" filled="f" strokecolor="#d9d9d9">
                  <v:path arrowok="t" textboxrect="0,0,2975483,0"/>
                </v:shape>
                <v:shape id="Shape 141" o:spid="_x0000_s1102" style="position:absolute;left:5073;top:6507;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" path="m,l2975483,e" filled="f" strokecolor="#d9d9d9">
                  <v:path arrowok="t" textboxrect="0,0,2975483,0"/>
                </v:shape>
                <v:shape id="Shape 142" o:spid="_x0000_s1103" style="position:absolute;left:5073;top:4710;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" path="m,l2975483,e" filled="f" strokecolor="#d9d9d9">
                  <v:path arrowok="t" textboxrect="0,0,2975483,0"/>
                </v:shape>
                <v:shape id="Shape 2100" o:spid="_x0000_s1104" style="position:absolute;left:25054;top:17175;width:4664;height:3716;visibility:visible;mso-wrap-style:square;v-text-anchor:top" coordsize="466344,371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" path="m,l466344,r,371602l,371602,,e" fillcolor="#156082" stroked="f" strokeweight="0">
                  <v:path arrowok="t" textboxrect="0,0,466344,371602"/>
                </v:shape>
                <v:shape id="Shape 2101" o:spid="_x0000_s1105" style="position:absolute;left:10180;top:7178;width:4663;height:13713;visibility:visible;mso-wrap-style:square;v-text-anchor:top" coordsize="466344,1371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" path="m,l466344,r,1371346l,1371346,,e" fillcolor="#156082" stroked="f" strokeweight="0">
                  <v:path arrowok="t" textboxrect="0,0,466344,1371346"/>
                </v:shape>
                <v:shape id="Shape 145" o:spid="_x0000_s1106" style="position:absolute;left:5073;top:20891;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" path="m,l2975483,e" filled="f" strokecolor="#d9d9d9">
                  <v:path arrowok="t" textboxrect="0,0,2975483,0"/>
                </v:shape>
                <v:rect id="Rectangle 144208836" o:spid="_x0000_s1107" style="position:absolute;left:3441;top:20128;width:7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" filled="f" stroked="f">
                  <v:textbox inset="0,0,0,0">
                    <w:txbxContent>
                      <w:p w14:paraId="12453F99" w14:textId="77777777" w:rsidR="00D434A6" w:rsidRDefault="00D434A6" w:rsidP="00D434A6">
                        <w:r>
                          <w:rPr>
                            <w:rFonts w:ascii="Calibri" w:eastAsia="Calibri" w:hAnsi="Calibri" w:cs="Calibri"/>
                            <w:color w:val="595959"/>
                            <w:sz w:val="18"/>
                          </w:rPr>
                          <w:t>0</w:t>
                        </w:r>
                      </w:p>
                    </w:txbxContent>
                  </v:textbox>
                </v:rect>
                <v:rect id="Rectangle 646340269" o:spid="_x0000_s1108" style="position:absolute;left:829;top:18329;width:4256;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" filled="f" stroked="f">
                  <v:textbox inset="0,0,0,0">
                    <w:txbxContent>
                      <w:p w14:paraId="3B3DB44F" w14:textId="77777777" w:rsidR="00D434A6" w:rsidRDefault="00D434A6" w:rsidP="00D434A6">
                        <w:r>
                          <w:rPr>
                            <w:rFonts w:ascii="Calibri" w:eastAsia="Calibri" w:hAnsi="Calibri" w:cs="Calibri"/>
                            <w:color w:val="595959"/>
                            <w:sz w:val="18"/>
                          </w:rPr>
                          <w:t>10,000</w:t>
                        </w:r>
                      </w:p>
                    </w:txbxContent>
                  </v:textbox>
                </v:rect>
                <v:rect id="Rectangle 1312625019" o:spid="_x0000_s1109" style="position:absolute;left:829;top:16531;width:4256;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" filled="f" stroked="f">
                  <v:textbox inset="0,0,0,0">
                    <w:txbxContent>
                      <w:p w14:paraId="7AB24240" w14:textId="77777777" w:rsidR="00D434A6" w:rsidRDefault="00D434A6" w:rsidP="00D434A6">
                        <w:r>
                          <w:rPr>
                            <w:rFonts w:ascii="Calibri" w:eastAsia="Calibri" w:hAnsi="Calibri" w:cs="Calibri"/>
                            <w:color w:val="595959"/>
                            <w:sz w:val="18"/>
                          </w:rPr>
                          <w:t>20,000</w:t>
                        </w:r>
                      </w:p>
                    </w:txbxContent>
                  </v:textbox>
                </v:rect>
                <v:rect id="Rectangle 879003471" o:spid="_x0000_s1110" style="position:absolute;left:829;top:14733;width:4256;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" filled="f" stroked="f">
                  <v:textbox inset="0,0,0,0">
                    <w:txbxContent>
                      <w:p w14:paraId="79B234CD" w14:textId="77777777" w:rsidR="00D434A6" w:rsidRDefault="00D434A6" w:rsidP="00D434A6">
                        <w:r>
                          <w:rPr>
                            <w:rFonts w:ascii="Calibri" w:eastAsia="Calibri" w:hAnsi="Calibri" w:cs="Calibri"/>
                            <w:color w:val="595959"/>
                            <w:sz w:val="18"/>
                          </w:rPr>
                          <w:t>30,000</w:t>
                        </w:r>
                      </w:p>
                    </w:txbxContent>
                  </v:textbox>
                </v:rect>
                <v:rect id="Rectangle 1226504932" o:spid="_x0000_s1111" style="position:absolute;left:829;top:12934;width:4256;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" filled="f" stroked="f">
                  <v:textbox inset="0,0,0,0">
                    <w:txbxContent>
                      <w:p w14:paraId="5F00DD87" w14:textId="77777777" w:rsidR="00D434A6" w:rsidRDefault="00D434A6" w:rsidP="00D434A6">
                        <w:r>
                          <w:rPr>
                            <w:rFonts w:ascii="Calibri" w:eastAsia="Calibri" w:hAnsi="Calibri" w:cs="Calibri"/>
                            <w:color w:val="595959"/>
                            <w:sz w:val="18"/>
                          </w:rPr>
                          <w:t>40,000</w:t>
                        </w:r>
                      </w:p>
                    </w:txbxContent>
                  </v:textbox>
                </v:rect>
                <v:rect id="Rectangle 2125899550" o:spid="_x0000_s1112" style="position:absolute;left:829;top:11136;width:4256;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" filled="f" stroked="f">
                  <v:textbox inset="0,0,0,0">
                    <w:txbxContent>
                      <w:p w14:paraId="017C652D" w14:textId="77777777" w:rsidR="00D434A6" w:rsidRDefault="00D434A6" w:rsidP="00D434A6">
                        <w:r>
                          <w:rPr>
                            <w:rFonts w:ascii="Calibri" w:eastAsia="Calibri" w:hAnsi="Calibri" w:cs="Calibri"/>
                            <w:color w:val="595959"/>
                            <w:sz w:val="18"/>
                          </w:rPr>
                          <w:t>50,000</w:t>
                        </w:r>
                      </w:p>
                    </w:txbxContent>
                  </v:textbox>
                </v:rect>
                <v:rect id="Rectangle 234847604" o:spid="_x0000_s1113" style="position:absolute;left:829;top:9338;width:4256;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" filled="f" stroked="f">
                  <v:textbox inset="0,0,0,0">
                    <w:txbxContent>
                      <w:p w14:paraId="30F9A1EC" w14:textId="77777777" w:rsidR="00D434A6" w:rsidRDefault="00D434A6" w:rsidP="00D434A6">
                        <w:r>
                          <w:rPr>
                            <w:rFonts w:ascii="Calibri" w:eastAsia="Calibri" w:hAnsi="Calibri" w:cs="Calibri"/>
                            <w:color w:val="595959"/>
                            <w:sz w:val="18"/>
                          </w:rPr>
                          <w:t>60,000</w:t>
                        </w:r>
                      </w:p>
                    </w:txbxContent>
                  </v:textbox>
                </v:rect>
                <v:rect id="Rectangle 772681531" o:spid="_x0000_s1114" style="position:absolute;left:829;top:7539;width:4256;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" filled="f" stroked="f">
                  <v:textbox inset="0,0,0,0">
                    <w:txbxContent>
                      <w:p w14:paraId="7EAF5B0C" w14:textId="77777777" w:rsidR="00D434A6" w:rsidRDefault="00D434A6" w:rsidP="00D434A6">
                        <w:r>
                          <w:rPr>
                            <w:rFonts w:ascii="Calibri" w:eastAsia="Calibri" w:hAnsi="Calibri" w:cs="Calibri"/>
                            <w:color w:val="595959"/>
                            <w:sz w:val="18"/>
                          </w:rPr>
                          <w:t>70,000</w:t>
                        </w:r>
                      </w:p>
                    </w:txbxContent>
                  </v:textbox>
                </v:rect>
                <v:rect id="Rectangle 199892621" o:spid="_x0000_s1115" style="position:absolute;left:829;top:5741;width:4256;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" filled="f" stroked="f">
                  <v:textbox inset="0,0,0,0">
                    <w:txbxContent>
                      <w:p w14:paraId="72D08A44" w14:textId="77777777" w:rsidR="00D434A6" w:rsidRDefault="00D434A6" w:rsidP="00D434A6">
                        <w:r>
                          <w:rPr>
                            <w:rFonts w:ascii="Calibri" w:eastAsia="Calibri" w:hAnsi="Calibri" w:cs="Calibri"/>
                            <w:color w:val="595959"/>
                            <w:sz w:val="18"/>
                          </w:rPr>
                          <w:t>80,000</w:t>
                        </w:r>
                      </w:p>
                    </w:txbxContent>
                  </v:textbox>
                </v:rect>
                <v:rect id="Rectangle 1525549424" o:spid="_x0000_s1116" style="position:absolute;left:829;top:3940;width:4259;height:1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" filled="f" stroked="f">
                  <v:textbox inset="0,0,0,0">
                    <w:txbxContent>
                      <w:p w14:paraId="74210E32" w14:textId="77777777" w:rsidR="00D434A6" w:rsidRDefault="00D434A6" w:rsidP="00D434A6">
                        <w:r>
                          <w:rPr>
                            <w:rFonts w:ascii="Calibri" w:eastAsia="Calibri" w:hAnsi="Calibri" w:cs="Calibri"/>
                            <w:color w:val="595959"/>
                            <w:sz w:val="18"/>
                          </w:rPr>
                          <w:t>90,000</w:t>
                        </w:r>
                      </w:p>
                    </w:txbxContent>
                  </v:textbox>
                </v:rect>
                <v:rect id="Rectangle 1546748331" o:spid="_x0000_s1117" style="position:absolute;left:10025;top:21603;width:6627;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" filled="f" stroked="f">
                  <v:textbox inset="0,0,0,0">
                    <w:txbxContent>
                      <w:p w14:paraId="03E3C7F7" w14:textId="77777777" w:rsidR="00D434A6" w:rsidRDefault="00D434A6" w:rsidP="00D434A6">
                        <w:r>
                          <w:rPr>
                            <w:rFonts w:ascii="Calibri" w:eastAsia="Calibri" w:hAnsi="Calibri" w:cs="Calibri"/>
                            <w:color w:val="595959"/>
                            <w:w w:val="99"/>
                            <w:sz w:val="18"/>
                          </w:rPr>
                          <w:t>2021-2023</w:t>
                        </w:r>
                      </w:p>
                    </w:txbxContent>
                  </v:textbox>
                </v:rect>
                <v:rect id="Rectangle 248999565" o:spid="_x0000_s1118" style="position:absolute;left:24904;top:21603;width:6627;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" filled="f" stroked="f">
                  <v:textbox inset="0,0,0,0">
                    <w:txbxContent>
                      <w:p w14:paraId="0E301B82" w14:textId="77777777" w:rsidR="00D434A6" w:rsidRDefault="00D434A6" w:rsidP="00D434A6">
                        <w:r>
                          <w:rPr>
                            <w:rFonts w:ascii="Calibri" w:eastAsia="Calibri" w:hAnsi="Calibri" w:cs="Calibri"/>
                            <w:color w:val="595959"/>
                            <w:w w:val="99"/>
                            <w:sz w:val="18"/>
                          </w:rPr>
                          <w:t>2024-2026</w:t>
                        </w:r>
                      </w:p>
                    </w:txbxContent>
                  </v:textbox>
                </v:rect>
                <v:rect id="Rectangle 226976166" o:spid="_x0000_s1119" style="position:absolute;left:11140;top:955;width:18562;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" filled="f" stroked="f">
                  <v:textbox inset="0,0,0,0">
                    <w:txbxContent>
                      <w:p w14:paraId="084420DF" w14:textId="77777777" w:rsidR="00D434A6" w:rsidRDefault="00D434A6" w:rsidP="00D434A6">
                        <w:r>
                          <w:rPr>
                            <w:rFonts w:ascii="Calibri" w:eastAsia="Calibri" w:hAnsi="Calibri" w:cs="Calibri"/>
                            <w:color w:val="595959"/>
                            <w:w w:val="98"/>
                            <w:sz w:val="28"/>
                          </w:rPr>
                          <w:t>Average</w:t>
                        </w:r>
                        <w:r>
                          <w:rPr>
                            <w:rFonts w:ascii="Calibri" w:eastAsia="Calibri" w:hAnsi="Calibri" w:cs="Calibri"/>
                            <w:color w:val="595959"/>
                            <w:spacing w:val="-12"/>
                            <w:w w:val="98"/>
                            <w:sz w:val="28"/>
                          </w:rPr>
                          <w:t xml:space="preserve"> </w:t>
                        </w:r>
                        <w:r>
                          <w:rPr>
                            <w:rFonts w:ascii="Calibri" w:eastAsia="Calibri" w:hAnsi="Calibri" w:cs="Calibri"/>
                            <w:color w:val="595959"/>
                            <w:w w:val="98"/>
                            <w:sz w:val="28"/>
                          </w:rPr>
                          <w:t>Visa</w:t>
                        </w:r>
                        <w:r>
                          <w:rPr>
                            <w:rFonts w:ascii="Calibri" w:eastAsia="Calibri" w:hAnsi="Calibri" w:cs="Calibri"/>
                            <w:color w:val="595959"/>
                            <w:spacing w:val="-13"/>
                            <w:w w:val="98"/>
                            <w:sz w:val="28"/>
                          </w:rPr>
                          <w:t xml:space="preserve"> </w:t>
                        </w:r>
                        <w:r>
                          <w:rPr>
                            <w:rFonts w:ascii="Calibri" w:eastAsia="Calibri" w:hAnsi="Calibri" w:cs="Calibri"/>
                            <w:color w:val="595959"/>
                            <w:w w:val="98"/>
                            <w:sz w:val="28"/>
                          </w:rPr>
                          <w:t>Grants</w:t>
                        </w:r>
                      </w:p>
                    </w:txbxContent>
                  </v:textbox>
                </v:rect>
                <v:shape id="Shape 159" o:spid="_x0000_s1120" style="position:absolute;width:36225;height:23827;visibility:visible;mso-wrap-style:square;v-text-anchor:top" coordsize="3622548,2382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" path="m,2382774r3622548,l3622548,,,,,2382774xe" filled="f" strokecolor="#d9d9d9">
                  <v:path arrowok="t" textboxrect="0,0,3622548,2382774"/>
                </v:shape>
                <w10:anchorlock/>
              </v:group>
            </w:pict>
          </mc:Fallback>
        </mc:AlternateContent>
      </w:r>
    </w:p>
    <w:p w14:paraId="0F635951" w14:textId="1B7C3143" w:rsidR="00AF38C8" w:rsidRPr="00C8320B" w:rsidRDefault="003772BC" w:rsidP="005114B7">
      <w:pPr>
        <w:spacing w:line="360" w:lineRule="auto"/>
        <w:jc w:val="both"/>
        <w:rPr>
          <w:rFonts w:ascii="Arial" w:hAnsi="Arial" w:cs="Arial"/>
          <w:i/>
          <w:iCs/>
        </w:rPr>
      </w:pPr>
      <w:r w:rsidRPr="005114B7">
        <w:rPr>
          <w:rFonts w:ascii="Arial" w:hAnsi="Arial" w:cs="Arial"/>
          <w:i/>
          <w:iCs/>
        </w:rPr>
        <w:t>This bar chart shows the decline in average visa grants from 2021 to 2026.</w:t>
      </w:r>
    </w:p>
    <w:p w14:paraId="62A01D5E" w14:textId="77777777" w:rsidR="00EF59E8" w:rsidRPr="005114B7" w:rsidRDefault="00EF59E8" w:rsidP="005114B7">
      <w:pPr>
        <w:spacing w:line="360" w:lineRule="auto"/>
        <w:jc w:val="both"/>
        <w:rPr>
          <w:rFonts w:ascii="Arial" w:hAnsi="Arial" w:cs="Arial"/>
          <w:b/>
          <w:bCs/>
        </w:rPr>
      </w:pPr>
      <w:r w:rsidRPr="005114B7">
        <w:rPr>
          <w:rFonts w:ascii="Arial" w:hAnsi="Arial" w:cs="Arial"/>
          <w:b/>
          <w:bCs/>
        </w:rPr>
        <w:t>A.2 Correlation Analysis</w:t>
      </w:r>
    </w:p>
    <w:p w14:paraId="33938B45" w14:textId="77777777" w:rsidR="00EF59E8" w:rsidRPr="005114B7" w:rsidRDefault="00EF59E8" w:rsidP="005114B7">
      <w:pPr>
        <w:spacing w:line="360" w:lineRule="auto"/>
        <w:jc w:val="both"/>
        <w:rPr>
          <w:rFonts w:ascii="Arial" w:hAnsi="Arial" w:cs="Arial"/>
        </w:rPr>
      </w:pPr>
      <w:r w:rsidRPr="005114B7">
        <w:rPr>
          <w:rFonts w:ascii="Arial" w:hAnsi="Arial" w:cs="Arial"/>
        </w:rPr>
        <w:t xml:space="preserve">The correlation analysis examined the relationships between visa grant rates and the four immigration policy variables—RQF Level, Salary Threshold, </w:t>
      </w:r>
      <w:proofErr w:type="spellStart"/>
      <w:r w:rsidRPr="005114B7">
        <w:rPr>
          <w:rFonts w:ascii="Arial" w:hAnsi="Arial" w:cs="Arial"/>
        </w:rPr>
        <w:t>Dependant</w:t>
      </w:r>
      <w:proofErr w:type="spellEnd"/>
      <w:r w:rsidRPr="005114B7">
        <w:rPr>
          <w:rFonts w:ascii="Arial" w:hAnsi="Arial" w:cs="Arial"/>
        </w:rPr>
        <w:t xml:space="preserve"> Restriction, and Overseas Closure—to identify the strength and direction of associations.</w:t>
      </w:r>
    </w:p>
    <w:p w14:paraId="3F6228A0" w14:textId="69590EEE" w:rsidR="00B70586" w:rsidRPr="00E458B3" w:rsidRDefault="00B70586" w:rsidP="00B70586">
      <w:pPr>
        <w:pStyle w:val="Caption"/>
        <w:keepNext/>
        <w:rPr>
          <w:sz w:val="28"/>
          <w:szCs w:val="28"/>
        </w:rPr>
      </w:pPr>
      <w:bookmarkStart w:id="192" w:name="_Toc238206097"/>
      <w:r w:rsidRPr="00E458B3">
        <w:rPr>
          <w:sz w:val="28"/>
          <w:szCs w:val="28"/>
        </w:rPr>
        <w:t xml:space="preserve">Table </w:t>
      </w:r>
      <w:r w:rsidRPr="00E458B3">
        <w:rPr>
          <w:sz w:val="28"/>
          <w:szCs w:val="28"/>
        </w:rPr>
        <w:fldChar w:fldCharType="begin"/>
      </w:r>
      <w:r w:rsidRPr="00E458B3">
        <w:rPr>
          <w:sz w:val="28"/>
          <w:szCs w:val="28"/>
        </w:rPr>
        <w:instrText xml:space="preserve"> SEQ Table \* ARABIC </w:instrText>
      </w:r>
      <w:r w:rsidRPr="00E458B3">
        <w:rPr>
          <w:sz w:val="28"/>
          <w:szCs w:val="28"/>
        </w:rPr>
        <w:fldChar w:fldCharType="separate"/>
      </w:r>
      <w:r w:rsidRPr="00E458B3">
        <w:rPr>
          <w:noProof/>
          <w:sz w:val="28"/>
          <w:szCs w:val="28"/>
        </w:rPr>
        <w:t>13</w:t>
      </w:r>
      <w:r w:rsidRPr="00E458B3">
        <w:rPr>
          <w:sz w:val="28"/>
          <w:szCs w:val="28"/>
        </w:rPr>
        <w:fldChar w:fldCharType="end"/>
      </w:r>
      <w:r w:rsidRPr="00E458B3">
        <w:rPr>
          <w:sz w:val="28"/>
          <w:szCs w:val="28"/>
        </w:rPr>
        <w:t xml:space="preserve"> Results of Correlation.</w:t>
      </w:r>
      <w:bookmarkEnd w:id="192"/>
    </w:p>
    <w:p w14:paraId="2A5D1863" w14:textId="2F64BC07" w:rsidR="00AF38C8" w:rsidRDefault="00EF59E8" w:rsidP="00050789">
      <w:r>
        <w:object w:dxaOrig="9677" w:dyaOrig="3076" w14:anchorId="1E0A10EE">
          <v:shape id="_x0000_i1028" type="#_x0000_t75" style="width:483.8pt;height:153.8pt" o:ole="">
            <v:imagedata r:id="rId46" o:title=""/>
          </v:shape>
          <o:OLEObject Type="Embed" ProgID="Excel.Sheet.8" ShapeID="_x0000_i1028" DrawAspect="Content" ObjectID="_1848843232" r:id="rId47"/>
        </w:object>
      </w:r>
    </w:p>
    <w:p w14:paraId="596A9DAF" w14:textId="77777777" w:rsidR="008131D4" w:rsidRDefault="008131D4">
      <w:pPr>
        <w:rPr>
          <w:rFonts w:ascii="Arial" w:hAnsi="Arial" w:cs="Arial"/>
          <w:b/>
          <w:bCs/>
        </w:rPr>
      </w:pPr>
      <w:r>
        <w:rPr>
          <w:rFonts w:ascii="Arial" w:hAnsi="Arial" w:cs="Arial"/>
          <w:b/>
          <w:bCs/>
        </w:rPr>
        <w:br w:type="page"/>
      </w:r>
    </w:p>
    <w:p w14:paraId="0281912E" w14:textId="216D382D" w:rsidR="00B70586" w:rsidRPr="00E458B3" w:rsidRDefault="00B70586" w:rsidP="00B70586">
      <w:pPr>
        <w:pStyle w:val="Caption"/>
        <w:keepNext/>
        <w:rPr>
          <w:sz w:val="28"/>
          <w:szCs w:val="28"/>
        </w:rPr>
      </w:pPr>
      <w:bookmarkStart w:id="193" w:name="_Toc238206098"/>
      <w:r w:rsidRPr="00E458B3">
        <w:rPr>
          <w:sz w:val="28"/>
          <w:szCs w:val="28"/>
        </w:rPr>
        <w:lastRenderedPageBreak/>
        <w:t xml:space="preserve">Table </w:t>
      </w:r>
      <w:r w:rsidRPr="00E458B3">
        <w:rPr>
          <w:sz w:val="28"/>
          <w:szCs w:val="28"/>
        </w:rPr>
        <w:fldChar w:fldCharType="begin"/>
      </w:r>
      <w:r w:rsidRPr="00E458B3">
        <w:rPr>
          <w:sz w:val="28"/>
          <w:szCs w:val="28"/>
        </w:rPr>
        <w:instrText xml:space="preserve"> SEQ Table \* ARABIC </w:instrText>
      </w:r>
      <w:r w:rsidRPr="00E458B3">
        <w:rPr>
          <w:sz w:val="28"/>
          <w:szCs w:val="28"/>
        </w:rPr>
        <w:fldChar w:fldCharType="separate"/>
      </w:r>
      <w:r w:rsidRPr="00E458B3">
        <w:rPr>
          <w:noProof/>
          <w:sz w:val="28"/>
          <w:szCs w:val="28"/>
        </w:rPr>
        <w:t>14</w:t>
      </w:r>
      <w:r w:rsidRPr="00E458B3">
        <w:rPr>
          <w:sz w:val="28"/>
          <w:szCs w:val="28"/>
        </w:rPr>
        <w:fldChar w:fldCharType="end"/>
      </w:r>
      <w:r w:rsidRPr="00E458B3">
        <w:rPr>
          <w:sz w:val="28"/>
          <w:szCs w:val="28"/>
        </w:rPr>
        <w:t xml:space="preserve"> Correlation Matrix.</w:t>
      </w:r>
      <w:bookmarkEnd w:id="193"/>
    </w:p>
    <w:tbl>
      <w:tblPr>
        <w:tblW w:w="99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69"/>
        <w:gridCol w:w="1371"/>
        <w:gridCol w:w="1214"/>
        <w:gridCol w:w="1806"/>
        <w:gridCol w:w="2009"/>
        <w:gridCol w:w="1763"/>
      </w:tblGrid>
      <w:tr w:rsidR="008871D3" w:rsidRPr="005114B7" w14:paraId="172C4388" w14:textId="77777777" w:rsidTr="008871D3">
        <w:trPr>
          <w:trHeight w:val="583"/>
          <w:tblHeader/>
        </w:trPr>
        <w:tc>
          <w:tcPr>
            <w:tcW w:w="0" w:type="auto"/>
            <w:tcMar>
              <w:top w:w="150" w:type="dxa"/>
              <w:left w:w="0" w:type="dxa"/>
              <w:bottom w:w="150" w:type="dxa"/>
              <w:right w:w="240" w:type="dxa"/>
            </w:tcMar>
            <w:vAlign w:val="center"/>
            <w:hideMark/>
          </w:tcPr>
          <w:p w14:paraId="0E00883B" w14:textId="77777777" w:rsidR="008871D3" w:rsidRPr="005114B7" w:rsidRDefault="008871D3" w:rsidP="005114B7">
            <w:pPr>
              <w:spacing w:line="360" w:lineRule="auto"/>
              <w:jc w:val="both"/>
              <w:rPr>
                <w:rFonts w:ascii="Arial" w:hAnsi="Arial" w:cs="Arial"/>
                <w:b/>
                <w:bCs/>
              </w:rPr>
            </w:pPr>
            <w:r w:rsidRPr="005114B7">
              <w:rPr>
                <w:rFonts w:ascii="Arial" w:hAnsi="Arial" w:cs="Arial"/>
                <w:b/>
                <w:bCs/>
              </w:rPr>
              <w:t>Variable</w:t>
            </w:r>
          </w:p>
        </w:tc>
        <w:tc>
          <w:tcPr>
            <w:tcW w:w="0" w:type="auto"/>
            <w:tcMar>
              <w:top w:w="150" w:type="dxa"/>
              <w:left w:w="240" w:type="dxa"/>
              <w:bottom w:w="150" w:type="dxa"/>
              <w:right w:w="240" w:type="dxa"/>
            </w:tcMar>
            <w:vAlign w:val="center"/>
            <w:hideMark/>
          </w:tcPr>
          <w:p w14:paraId="4576F47C" w14:textId="77777777" w:rsidR="008871D3" w:rsidRPr="005114B7" w:rsidRDefault="008871D3" w:rsidP="005114B7">
            <w:pPr>
              <w:spacing w:line="360" w:lineRule="auto"/>
              <w:jc w:val="both"/>
              <w:rPr>
                <w:rFonts w:ascii="Arial" w:hAnsi="Arial" w:cs="Arial"/>
                <w:b/>
                <w:bCs/>
              </w:rPr>
            </w:pPr>
            <w:r w:rsidRPr="005114B7">
              <w:rPr>
                <w:rFonts w:ascii="Arial" w:hAnsi="Arial" w:cs="Arial"/>
                <w:b/>
                <w:bCs/>
              </w:rPr>
              <w:t>Visa Grants</w:t>
            </w:r>
          </w:p>
        </w:tc>
        <w:tc>
          <w:tcPr>
            <w:tcW w:w="0" w:type="auto"/>
            <w:tcMar>
              <w:top w:w="150" w:type="dxa"/>
              <w:left w:w="240" w:type="dxa"/>
              <w:bottom w:w="150" w:type="dxa"/>
              <w:right w:w="240" w:type="dxa"/>
            </w:tcMar>
            <w:vAlign w:val="center"/>
            <w:hideMark/>
          </w:tcPr>
          <w:p w14:paraId="7F8E0399" w14:textId="77777777" w:rsidR="008871D3" w:rsidRPr="005114B7" w:rsidRDefault="008871D3" w:rsidP="005114B7">
            <w:pPr>
              <w:spacing w:line="360" w:lineRule="auto"/>
              <w:jc w:val="both"/>
              <w:rPr>
                <w:rFonts w:ascii="Arial" w:hAnsi="Arial" w:cs="Arial"/>
                <w:b/>
                <w:bCs/>
              </w:rPr>
            </w:pPr>
            <w:r w:rsidRPr="005114B7">
              <w:rPr>
                <w:rFonts w:ascii="Arial" w:hAnsi="Arial" w:cs="Arial"/>
                <w:b/>
                <w:bCs/>
              </w:rPr>
              <w:t>RQF Level</w:t>
            </w:r>
          </w:p>
        </w:tc>
        <w:tc>
          <w:tcPr>
            <w:tcW w:w="0" w:type="auto"/>
            <w:tcMar>
              <w:top w:w="150" w:type="dxa"/>
              <w:left w:w="240" w:type="dxa"/>
              <w:bottom w:w="150" w:type="dxa"/>
              <w:right w:w="240" w:type="dxa"/>
            </w:tcMar>
            <w:vAlign w:val="center"/>
            <w:hideMark/>
          </w:tcPr>
          <w:p w14:paraId="062CFA86" w14:textId="77777777" w:rsidR="008871D3" w:rsidRPr="005114B7" w:rsidRDefault="008871D3" w:rsidP="005114B7">
            <w:pPr>
              <w:spacing w:line="360" w:lineRule="auto"/>
              <w:jc w:val="both"/>
              <w:rPr>
                <w:rFonts w:ascii="Arial" w:hAnsi="Arial" w:cs="Arial"/>
                <w:b/>
                <w:bCs/>
              </w:rPr>
            </w:pPr>
            <w:r w:rsidRPr="005114B7">
              <w:rPr>
                <w:rFonts w:ascii="Arial" w:hAnsi="Arial" w:cs="Arial"/>
                <w:b/>
                <w:bCs/>
              </w:rPr>
              <w:t>Salary Threshold</w:t>
            </w:r>
          </w:p>
        </w:tc>
        <w:tc>
          <w:tcPr>
            <w:tcW w:w="0" w:type="auto"/>
            <w:tcMar>
              <w:top w:w="150" w:type="dxa"/>
              <w:left w:w="240" w:type="dxa"/>
              <w:bottom w:w="150" w:type="dxa"/>
              <w:right w:w="240" w:type="dxa"/>
            </w:tcMar>
            <w:vAlign w:val="center"/>
            <w:hideMark/>
          </w:tcPr>
          <w:p w14:paraId="06939690" w14:textId="77777777" w:rsidR="008871D3" w:rsidRPr="005114B7" w:rsidRDefault="008871D3" w:rsidP="005114B7">
            <w:pPr>
              <w:spacing w:line="360" w:lineRule="auto"/>
              <w:jc w:val="both"/>
              <w:rPr>
                <w:rFonts w:ascii="Arial" w:hAnsi="Arial" w:cs="Arial"/>
                <w:b/>
                <w:bCs/>
              </w:rPr>
            </w:pPr>
            <w:proofErr w:type="spellStart"/>
            <w:r w:rsidRPr="005114B7">
              <w:rPr>
                <w:rFonts w:ascii="Arial" w:hAnsi="Arial" w:cs="Arial"/>
                <w:b/>
                <w:bCs/>
              </w:rPr>
              <w:t>Dependant</w:t>
            </w:r>
            <w:proofErr w:type="spellEnd"/>
            <w:r w:rsidRPr="005114B7">
              <w:rPr>
                <w:rFonts w:ascii="Arial" w:hAnsi="Arial" w:cs="Arial"/>
                <w:b/>
                <w:bCs/>
              </w:rPr>
              <w:t xml:space="preserve"> Restriction</w:t>
            </w:r>
          </w:p>
        </w:tc>
        <w:tc>
          <w:tcPr>
            <w:tcW w:w="0" w:type="auto"/>
            <w:tcMar>
              <w:top w:w="150" w:type="dxa"/>
              <w:left w:w="240" w:type="dxa"/>
              <w:bottom w:w="150" w:type="dxa"/>
              <w:right w:w="240" w:type="dxa"/>
            </w:tcMar>
            <w:vAlign w:val="center"/>
            <w:hideMark/>
          </w:tcPr>
          <w:p w14:paraId="6703C869" w14:textId="77777777" w:rsidR="008871D3" w:rsidRPr="005114B7" w:rsidRDefault="008871D3" w:rsidP="005114B7">
            <w:pPr>
              <w:spacing w:line="360" w:lineRule="auto"/>
              <w:jc w:val="both"/>
              <w:rPr>
                <w:rFonts w:ascii="Arial" w:hAnsi="Arial" w:cs="Arial"/>
                <w:b/>
                <w:bCs/>
              </w:rPr>
            </w:pPr>
            <w:r w:rsidRPr="005114B7">
              <w:rPr>
                <w:rFonts w:ascii="Arial" w:hAnsi="Arial" w:cs="Arial"/>
                <w:b/>
                <w:bCs/>
              </w:rPr>
              <w:t>Overseas Closure</w:t>
            </w:r>
          </w:p>
        </w:tc>
      </w:tr>
      <w:tr w:rsidR="008871D3" w:rsidRPr="005114B7" w14:paraId="743A0362" w14:textId="77777777" w:rsidTr="008871D3">
        <w:trPr>
          <w:trHeight w:val="343"/>
        </w:trPr>
        <w:tc>
          <w:tcPr>
            <w:tcW w:w="0" w:type="auto"/>
            <w:tcMar>
              <w:top w:w="150" w:type="dxa"/>
              <w:left w:w="0" w:type="dxa"/>
              <w:bottom w:w="150" w:type="dxa"/>
              <w:right w:w="240" w:type="dxa"/>
            </w:tcMar>
            <w:vAlign w:val="center"/>
            <w:hideMark/>
          </w:tcPr>
          <w:p w14:paraId="182774A7" w14:textId="77777777" w:rsidR="008871D3" w:rsidRPr="005114B7" w:rsidRDefault="008871D3" w:rsidP="005114B7">
            <w:pPr>
              <w:spacing w:line="360" w:lineRule="auto"/>
              <w:jc w:val="both"/>
              <w:rPr>
                <w:rFonts w:ascii="Arial" w:hAnsi="Arial" w:cs="Arial"/>
              </w:rPr>
            </w:pPr>
            <w:r w:rsidRPr="005114B7">
              <w:rPr>
                <w:rFonts w:ascii="Arial" w:hAnsi="Arial" w:cs="Arial"/>
                <w:b/>
                <w:bCs/>
              </w:rPr>
              <w:t>Visa Grants</w:t>
            </w:r>
          </w:p>
        </w:tc>
        <w:tc>
          <w:tcPr>
            <w:tcW w:w="0" w:type="auto"/>
            <w:tcMar>
              <w:top w:w="150" w:type="dxa"/>
              <w:left w:w="240" w:type="dxa"/>
              <w:bottom w:w="150" w:type="dxa"/>
              <w:right w:w="240" w:type="dxa"/>
            </w:tcMar>
            <w:vAlign w:val="center"/>
            <w:hideMark/>
          </w:tcPr>
          <w:p w14:paraId="3CB2DFA5" w14:textId="77777777" w:rsidR="008871D3" w:rsidRPr="005114B7" w:rsidRDefault="008871D3" w:rsidP="005114B7">
            <w:pPr>
              <w:spacing w:line="360" w:lineRule="auto"/>
              <w:jc w:val="both"/>
              <w:rPr>
                <w:rFonts w:ascii="Arial" w:hAnsi="Arial" w:cs="Arial"/>
              </w:rPr>
            </w:pPr>
            <w:r w:rsidRPr="005114B7">
              <w:rPr>
                <w:rFonts w:ascii="Arial" w:hAnsi="Arial" w:cs="Arial"/>
              </w:rPr>
              <w:t>1.00</w:t>
            </w:r>
          </w:p>
        </w:tc>
        <w:tc>
          <w:tcPr>
            <w:tcW w:w="0" w:type="auto"/>
            <w:tcMar>
              <w:top w:w="150" w:type="dxa"/>
              <w:left w:w="240" w:type="dxa"/>
              <w:bottom w:w="150" w:type="dxa"/>
              <w:right w:w="240" w:type="dxa"/>
            </w:tcMar>
            <w:vAlign w:val="center"/>
            <w:hideMark/>
          </w:tcPr>
          <w:p w14:paraId="353A8087" w14:textId="77777777" w:rsidR="008871D3" w:rsidRPr="005114B7" w:rsidRDefault="008871D3" w:rsidP="005114B7">
            <w:pPr>
              <w:spacing w:line="360" w:lineRule="auto"/>
              <w:jc w:val="both"/>
              <w:rPr>
                <w:rFonts w:ascii="Arial" w:hAnsi="Arial" w:cs="Arial"/>
              </w:rPr>
            </w:pPr>
            <w:r w:rsidRPr="005114B7">
              <w:rPr>
                <w:rFonts w:ascii="Arial" w:hAnsi="Arial" w:cs="Arial"/>
              </w:rPr>
              <w:t>-0.50</w:t>
            </w:r>
          </w:p>
        </w:tc>
        <w:tc>
          <w:tcPr>
            <w:tcW w:w="0" w:type="auto"/>
            <w:tcMar>
              <w:top w:w="150" w:type="dxa"/>
              <w:left w:w="240" w:type="dxa"/>
              <w:bottom w:w="150" w:type="dxa"/>
              <w:right w:w="240" w:type="dxa"/>
            </w:tcMar>
            <w:vAlign w:val="center"/>
            <w:hideMark/>
          </w:tcPr>
          <w:p w14:paraId="20618EBD" w14:textId="77777777" w:rsidR="008871D3" w:rsidRPr="005114B7" w:rsidRDefault="008871D3" w:rsidP="005114B7">
            <w:pPr>
              <w:spacing w:line="360" w:lineRule="auto"/>
              <w:jc w:val="both"/>
              <w:rPr>
                <w:rFonts w:ascii="Arial" w:hAnsi="Arial" w:cs="Arial"/>
              </w:rPr>
            </w:pPr>
            <w:r w:rsidRPr="005114B7">
              <w:rPr>
                <w:rFonts w:ascii="Arial" w:hAnsi="Arial" w:cs="Arial"/>
              </w:rPr>
              <w:t>-0.50</w:t>
            </w:r>
          </w:p>
        </w:tc>
        <w:tc>
          <w:tcPr>
            <w:tcW w:w="0" w:type="auto"/>
            <w:tcMar>
              <w:top w:w="150" w:type="dxa"/>
              <w:left w:w="240" w:type="dxa"/>
              <w:bottom w:w="150" w:type="dxa"/>
              <w:right w:w="240" w:type="dxa"/>
            </w:tcMar>
            <w:vAlign w:val="center"/>
            <w:hideMark/>
          </w:tcPr>
          <w:p w14:paraId="59ADBE60" w14:textId="77777777" w:rsidR="008871D3" w:rsidRPr="005114B7" w:rsidRDefault="008871D3" w:rsidP="005114B7">
            <w:pPr>
              <w:spacing w:line="360" w:lineRule="auto"/>
              <w:jc w:val="both"/>
              <w:rPr>
                <w:rFonts w:ascii="Arial" w:hAnsi="Arial" w:cs="Arial"/>
              </w:rPr>
            </w:pPr>
            <w:r w:rsidRPr="005114B7">
              <w:rPr>
                <w:rFonts w:ascii="Arial" w:hAnsi="Arial" w:cs="Arial"/>
              </w:rPr>
              <w:t>-0.62</w:t>
            </w:r>
          </w:p>
        </w:tc>
        <w:tc>
          <w:tcPr>
            <w:tcW w:w="0" w:type="auto"/>
            <w:tcMar>
              <w:top w:w="150" w:type="dxa"/>
              <w:left w:w="240" w:type="dxa"/>
              <w:bottom w:w="150" w:type="dxa"/>
              <w:right w:w="0" w:type="dxa"/>
            </w:tcMar>
            <w:vAlign w:val="center"/>
            <w:hideMark/>
          </w:tcPr>
          <w:p w14:paraId="796D6148" w14:textId="77777777" w:rsidR="008871D3" w:rsidRPr="005114B7" w:rsidRDefault="008871D3" w:rsidP="005114B7">
            <w:pPr>
              <w:spacing w:line="360" w:lineRule="auto"/>
              <w:jc w:val="both"/>
              <w:rPr>
                <w:rFonts w:ascii="Arial" w:hAnsi="Arial" w:cs="Arial"/>
              </w:rPr>
            </w:pPr>
            <w:r w:rsidRPr="005114B7">
              <w:rPr>
                <w:rFonts w:ascii="Arial" w:hAnsi="Arial" w:cs="Arial"/>
              </w:rPr>
              <w:t>-0.50</w:t>
            </w:r>
          </w:p>
        </w:tc>
      </w:tr>
      <w:tr w:rsidR="008871D3" w:rsidRPr="005114B7" w14:paraId="4C76CD8B" w14:textId="77777777" w:rsidTr="008871D3">
        <w:trPr>
          <w:trHeight w:val="343"/>
        </w:trPr>
        <w:tc>
          <w:tcPr>
            <w:tcW w:w="0" w:type="auto"/>
            <w:tcMar>
              <w:top w:w="150" w:type="dxa"/>
              <w:left w:w="0" w:type="dxa"/>
              <w:bottom w:w="150" w:type="dxa"/>
              <w:right w:w="240" w:type="dxa"/>
            </w:tcMar>
            <w:vAlign w:val="center"/>
            <w:hideMark/>
          </w:tcPr>
          <w:p w14:paraId="70A0CD18" w14:textId="77777777" w:rsidR="008871D3" w:rsidRPr="005114B7" w:rsidRDefault="008871D3" w:rsidP="005114B7">
            <w:pPr>
              <w:spacing w:line="360" w:lineRule="auto"/>
              <w:jc w:val="both"/>
              <w:rPr>
                <w:rFonts w:ascii="Arial" w:hAnsi="Arial" w:cs="Arial"/>
              </w:rPr>
            </w:pPr>
            <w:r w:rsidRPr="005114B7">
              <w:rPr>
                <w:rFonts w:ascii="Arial" w:hAnsi="Arial" w:cs="Arial"/>
                <w:b/>
                <w:bCs/>
              </w:rPr>
              <w:t>RQF Level</w:t>
            </w:r>
          </w:p>
        </w:tc>
        <w:tc>
          <w:tcPr>
            <w:tcW w:w="0" w:type="auto"/>
            <w:tcMar>
              <w:top w:w="150" w:type="dxa"/>
              <w:left w:w="240" w:type="dxa"/>
              <w:bottom w:w="150" w:type="dxa"/>
              <w:right w:w="240" w:type="dxa"/>
            </w:tcMar>
            <w:vAlign w:val="center"/>
            <w:hideMark/>
          </w:tcPr>
          <w:p w14:paraId="63E913B8" w14:textId="77777777" w:rsidR="008871D3" w:rsidRPr="005114B7" w:rsidRDefault="008871D3" w:rsidP="005114B7">
            <w:pPr>
              <w:spacing w:line="360" w:lineRule="auto"/>
              <w:jc w:val="both"/>
              <w:rPr>
                <w:rFonts w:ascii="Arial" w:hAnsi="Arial" w:cs="Arial"/>
              </w:rPr>
            </w:pPr>
            <w:r w:rsidRPr="005114B7">
              <w:rPr>
                <w:rFonts w:ascii="Arial" w:hAnsi="Arial" w:cs="Arial"/>
              </w:rPr>
              <w:t>-0.50</w:t>
            </w:r>
          </w:p>
        </w:tc>
        <w:tc>
          <w:tcPr>
            <w:tcW w:w="0" w:type="auto"/>
            <w:tcMar>
              <w:top w:w="150" w:type="dxa"/>
              <w:left w:w="240" w:type="dxa"/>
              <w:bottom w:w="150" w:type="dxa"/>
              <w:right w:w="240" w:type="dxa"/>
            </w:tcMar>
            <w:vAlign w:val="center"/>
            <w:hideMark/>
          </w:tcPr>
          <w:p w14:paraId="7FA65960" w14:textId="77777777" w:rsidR="008871D3" w:rsidRPr="005114B7" w:rsidRDefault="008871D3" w:rsidP="005114B7">
            <w:pPr>
              <w:spacing w:line="360" w:lineRule="auto"/>
              <w:jc w:val="both"/>
              <w:rPr>
                <w:rFonts w:ascii="Arial" w:hAnsi="Arial" w:cs="Arial"/>
              </w:rPr>
            </w:pPr>
            <w:r w:rsidRPr="005114B7">
              <w:rPr>
                <w:rFonts w:ascii="Arial" w:hAnsi="Arial" w:cs="Arial"/>
              </w:rPr>
              <w:t>1.00</w:t>
            </w:r>
          </w:p>
        </w:tc>
        <w:tc>
          <w:tcPr>
            <w:tcW w:w="0" w:type="auto"/>
            <w:tcMar>
              <w:top w:w="150" w:type="dxa"/>
              <w:left w:w="240" w:type="dxa"/>
              <w:bottom w:w="150" w:type="dxa"/>
              <w:right w:w="240" w:type="dxa"/>
            </w:tcMar>
            <w:vAlign w:val="center"/>
            <w:hideMark/>
          </w:tcPr>
          <w:p w14:paraId="2BBFA86B" w14:textId="77777777" w:rsidR="008871D3" w:rsidRPr="005114B7" w:rsidRDefault="008871D3" w:rsidP="005114B7">
            <w:pPr>
              <w:spacing w:line="360" w:lineRule="auto"/>
              <w:jc w:val="both"/>
              <w:rPr>
                <w:rFonts w:ascii="Arial" w:hAnsi="Arial" w:cs="Arial"/>
              </w:rPr>
            </w:pPr>
            <w:r w:rsidRPr="005114B7">
              <w:rPr>
                <w:rFonts w:ascii="Arial" w:hAnsi="Arial" w:cs="Arial"/>
              </w:rPr>
              <w:t>1.00</w:t>
            </w:r>
          </w:p>
        </w:tc>
        <w:tc>
          <w:tcPr>
            <w:tcW w:w="0" w:type="auto"/>
            <w:tcMar>
              <w:top w:w="150" w:type="dxa"/>
              <w:left w:w="240" w:type="dxa"/>
              <w:bottom w:w="150" w:type="dxa"/>
              <w:right w:w="240" w:type="dxa"/>
            </w:tcMar>
            <w:vAlign w:val="center"/>
            <w:hideMark/>
          </w:tcPr>
          <w:p w14:paraId="72ACE41D" w14:textId="77777777" w:rsidR="008871D3" w:rsidRPr="005114B7" w:rsidRDefault="008871D3" w:rsidP="005114B7">
            <w:pPr>
              <w:spacing w:line="360" w:lineRule="auto"/>
              <w:jc w:val="both"/>
              <w:rPr>
                <w:rFonts w:ascii="Arial" w:hAnsi="Arial" w:cs="Arial"/>
              </w:rPr>
            </w:pPr>
            <w:r w:rsidRPr="005114B7">
              <w:rPr>
                <w:rFonts w:ascii="Arial" w:hAnsi="Arial" w:cs="Arial"/>
              </w:rPr>
              <w:t>0.73</w:t>
            </w:r>
          </w:p>
        </w:tc>
        <w:tc>
          <w:tcPr>
            <w:tcW w:w="0" w:type="auto"/>
            <w:tcMar>
              <w:top w:w="150" w:type="dxa"/>
              <w:left w:w="240" w:type="dxa"/>
              <w:bottom w:w="150" w:type="dxa"/>
              <w:right w:w="0" w:type="dxa"/>
            </w:tcMar>
            <w:vAlign w:val="center"/>
            <w:hideMark/>
          </w:tcPr>
          <w:p w14:paraId="6DB8252B" w14:textId="77777777" w:rsidR="008871D3" w:rsidRPr="005114B7" w:rsidRDefault="008871D3" w:rsidP="005114B7">
            <w:pPr>
              <w:spacing w:line="360" w:lineRule="auto"/>
              <w:jc w:val="both"/>
              <w:rPr>
                <w:rFonts w:ascii="Arial" w:hAnsi="Arial" w:cs="Arial"/>
              </w:rPr>
            </w:pPr>
            <w:r w:rsidRPr="005114B7">
              <w:rPr>
                <w:rFonts w:ascii="Arial" w:hAnsi="Arial" w:cs="Arial"/>
              </w:rPr>
              <w:t>1.00</w:t>
            </w:r>
          </w:p>
        </w:tc>
      </w:tr>
      <w:tr w:rsidR="008871D3" w:rsidRPr="005114B7" w14:paraId="39E0CFB5" w14:textId="77777777" w:rsidTr="008871D3">
        <w:trPr>
          <w:trHeight w:val="583"/>
        </w:trPr>
        <w:tc>
          <w:tcPr>
            <w:tcW w:w="0" w:type="auto"/>
            <w:tcMar>
              <w:top w:w="150" w:type="dxa"/>
              <w:left w:w="0" w:type="dxa"/>
              <w:bottom w:w="150" w:type="dxa"/>
              <w:right w:w="240" w:type="dxa"/>
            </w:tcMar>
            <w:vAlign w:val="center"/>
            <w:hideMark/>
          </w:tcPr>
          <w:p w14:paraId="04B82F22" w14:textId="77777777" w:rsidR="008871D3" w:rsidRPr="005114B7" w:rsidRDefault="008871D3" w:rsidP="005114B7">
            <w:pPr>
              <w:spacing w:line="360" w:lineRule="auto"/>
              <w:jc w:val="both"/>
              <w:rPr>
                <w:rFonts w:ascii="Arial" w:hAnsi="Arial" w:cs="Arial"/>
              </w:rPr>
            </w:pPr>
            <w:r w:rsidRPr="005114B7">
              <w:rPr>
                <w:rFonts w:ascii="Arial" w:hAnsi="Arial" w:cs="Arial"/>
                <w:b/>
                <w:bCs/>
              </w:rPr>
              <w:t>Salary Threshold</w:t>
            </w:r>
          </w:p>
        </w:tc>
        <w:tc>
          <w:tcPr>
            <w:tcW w:w="0" w:type="auto"/>
            <w:tcMar>
              <w:top w:w="150" w:type="dxa"/>
              <w:left w:w="240" w:type="dxa"/>
              <w:bottom w:w="150" w:type="dxa"/>
              <w:right w:w="240" w:type="dxa"/>
            </w:tcMar>
            <w:vAlign w:val="center"/>
            <w:hideMark/>
          </w:tcPr>
          <w:p w14:paraId="28F4D277" w14:textId="77777777" w:rsidR="008871D3" w:rsidRPr="005114B7" w:rsidRDefault="008871D3" w:rsidP="005114B7">
            <w:pPr>
              <w:spacing w:line="360" w:lineRule="auto"/>
              <w:jc w:val="both"/>
              <w:rPr>
                <w:rFonts w:ascii="Arial" w:hAnsi="Arial" w:cs="Arial"/>
              </w:rPr>
            </w:pPr>
            <w:r w:rsidRPr="005114B7">
              <w:rPr>
                <w:rFonts w:ascii="Arial" w:hAnsi="Arial" w:cs="Arial"/>
              </w:rPr>
              <w:t>-0.50</w:t>
            </w:r>
          </w:p>
        </w:tc>
        <w:tc>
          <w:tcPr>
            <w:tcW w:w="0" w:type="auto"/>
            <w:tcMar>
              <w:top w:w="150" w:type="dxa"/>
              <w:left w:w="240" w:type="dxa"/>
              <w:bottom w:w="150" w:type="dxa"/>
              <w:right w:w="240" w:type="dxa"/>
            </w:tcMar>
            <w:vAlign w:val="center"/>
            <w:hideMark/>
          </w:tcPr>
          <w:p w14:paraId="533AF206" w14:textId="77777777" w:rsidR="008871D3" w:rsidRPr="005114B7" w:rsidRDefault="008871D3" w:rsidP="005114B7">
            <w:pPr>
              <w:spacing w:line="360" w:lineRule="auto"/>
              <w:jc w:val="both"/>
              <w:rPr>
                <w:rFonts w:ascii="Arial" w:hAnsi="Arial" w:cs="Arial"/>
              </w:rPr>
            </w:pPr>
            <w:r w:rsidRPr="005114B7">
              <w:rPr>
                <w:rFonts w:ascii="Arial" w:hAnsi="Arial" w:cs="Arial"/>
              </w:rPr>
              <w:t>1.00</w:t>
            </w:r>
          </w:p>
        </w:tc>
        <w:tc>
          <w:tcPr>
            <w:tcW w:w="0" w:type="auto"/>
            <w:tcMar>
              <w:top w:w="150" w:type="dxa"/>
              <w:left w:w="240" w:type="dxa"/>
              <w:bottom w:w="150" w:type="dxa"/>
              <w:right w:w="240" w:type="dxa"/>
            </w:tcMar>
            <w:vAlign w:val="center"/>
            <w:hideMark/>
          </w:tcPr>
          <w:p w14:paraId="1763C55F" w14:textId="77777777" w:rsidR="008871D3" w:rsidRPr="005114B7" w:rsidRDefault="008871D3" w:rsidP="005114B7">
            <w:pPr>
              <w:spacing w:line="360" w:lineRule="auto"/>
              <w:jc w:val="both"/>
              <w:rPr>
                <w:rFonts w:ascii="Arial" w:hAnsi="Arial" w:cs="Arial"/>
              </w:rPr>
            </w:pPr>
            <w:r w:rsidRPr="005114B7">
              <w:rPr>
                <w:rFonts w:ascii="Arial" w:hAnsi="Arial" w:cs="Arial"/>
              </w:rPr>
              <w:t>1.00</w:t>
            </w:r>
          </w:p>
        </w:tc>
        <w:tc>
          <w:tcPr>
            <w:tcW w:w="0" w:type="auto"/>
            <w:tcMar>
              <w:top w:w="150" w:type="dxa"/>
              <w:left w:w="240" w:type="dxa"/>
              <w:bottom w:w="150" w:type="dxa"/>
              <w:right w:w="240" w:type="dxa"/>
            </w:tcMar>
            <w:vAlign w:val="center"/>
            <w:hideMark/>
          </w:tcPr>
          <w:p w14:paraId="69978448" w14:textId="77777777" w:rsidR="008871D3" w:rsidRPr="005114B7" w:rsidRDefault="008871D3" w:rsidP="005114B7">
            <w:pPr>
              <w:spacing w:line="360" w:lineRule="auto"/>
              <w:jc w:val="both"/>
              <w:rPr>
                <w:rFonts w:ascii="Arial" w:hAnsi="Arial" w:cs="Arial"/>
              </w:rPr>
            </w:pPr>
            <w:r w:rsidRPr="005114B7">
              <w:rPr>
                <w:rFonts w:ascii="Arial" w:hAnsi="Arial" w:cs="Arial"/>
              </w:rPr>
              <w:t>0.73</w:t>
            </w:r>
          </w:p>
        </w:tc>
        <w:tc>
          <w:tcPr>
            <w:tcW w:w="0" w:type="auto"/>
            <w:tcMar>
              <w:top w:w="150" w:type="dxa"/>
              <w:left w:w="240" w:type="dxa"/>
              <w:bottom w:w="150" w:type="dxa"/>
              <w:right w:w="0" w:type="dxa"/>
            </w:tcMar>
            <w:vAlign w:val="center"/>
            <w:hideMark/>
          </w:tcPr>
          <w:p w14:paraId="74BAB5E4" w14:textId="77777777" w:rsidR="008871D3" w:rsidRPr="005114B7" w:rsidRDefault="008871D3" w:rsidP="005114B7">
            <w:pPr>
              <w:spacing w:line="360" w:lineRule="auto"/>
              <w:jc w:val="both"/>
              <w:rPr>
                <w:rFonts w:ascii="Arial" w:hAnsi="Arial" w:cs="Arial"/>
              </w:rPr>
            </w:pPr>
            <w:r w:rsidRPr="005114B7">
              <w:rPr>
                <w:rFonts w:ascii="Arial" w:hAnsi="Arial" w:cs="Arial"/>
              </w:rPr>
              <w:t>1.00</w:t>
            </w:r>
          </w:p>
        </w:tc>
      </w:tr>
      <w:tr w:rsidR="008871D3" w:rsidRPr="005114B7" w14:paraId="6CC55C4E" w14:textId="77777777" w:rsidTr="008871D3">
        <w:trPr>
          <w:trHeight w:val="583"/>
        </w:trPr>
        <w:tc>
          <w:tcPr>
            <w:tcW w:w="0" w:type="auto"/>
            <w:tcMar>
              <w:top w:w="150" w:type="dxa"/>
              <w:left w:w="0" w:type="dxa"/>
              <w:bottom w:w="150" w:type="dxa"/>
              <w:right w:w="240" w:type="dxa"/>
            </w:tcMar>
            <w:vAlign w:val="center"/>
            <w:hideMark/>
          </w:tcPr>
          <w:p w14:paraId="008D318B" w14:textId="77777777" w:rsidR="008871D3" w:rsidRPr="005114B7" w:rsidRDefault="008871D3" w:rsidP="005114B7">
            <w:pPr>
              <w:spacing w:line="360" w:lineRule="auto"/>
              <w:jc w:val="both"/>
              <w:rPr>
                <w:rFonts w:ascii="Arial" w:hAnsi="Arial" w:cs="Arial"/>
              </w:rPr>
            </w:pPr>
            <w:proofErr w:type="spellStart"/>
            <w:r w:rsidRPr="005114B7">
              <w:rPr>
                <w:rFonts w:ascii="Arial" w:hAnsi="Arial" w:cs="Arial"/>
                <w:b/>
                <w:bCs/>
              </w:rPr>
              <w:t>Dependant</w:t>
            </w:r>
            <w:proofErr w:type="spellEnd"/>
            <w:r w:rsidRPr="005114B7">
              <w:rPr>
                <w:rFonts w:ascii="Arial" w:hAnsi="Arial" w:cs="Arial"/>
                <w:b/>
                <w:bCs/>
              </w:rPr>
              <w:t xml:space="preserve"> Restriction</w:t>
            </w:r>
          </w:p>
        </w:tc>
        <w:tc>
          <w:tcPr>
            <w:tcW w:w="0" w:type="auto"/>
            <w:tcMar>
              <w:top w:w="150" w:type="dxa"/>
              <w:left w:w="240" w:type="dxa"/>
              <w:bottom w:w="150" w:type="dxa"/>
              <w:right w:w="240" w:type="dxa"/>
            </w:tcMar>
            <w:vAlign w:val="center"/>
            <w:hideMark/>
          </w:tcPr>
          <w:p w14:paraId="43B24C5B" w14:textId="77777777" w:rsidR="008871D3" w:rsidRPr="005114B7" w:rsidRDefault="008871D3" w:rsidP="005114B7">
            <w:pPr>
              <w:spacing w:line="360" w:lineRule="auto"/>
              <w:jc w:val="both"/>
              <w:rPr>
                <w:rFonts w:ascii="Arial" w:hAnsi="Arial" w:cs="Arial"/>
              </w:rPr>
            </w:pPr>
            <w:r w:rsidRPr="005114B7">
              <w:rPr>
                <w:rFonts w:ascii="Arial" w:hAnsi="Arial" w:cs="Arial"/>
              </w:rPr>
              <w:t>-0.62</w:t>
            </w:r>
          </w:p>
        </w:tc>
        <w:tc>
          <w:tcPr>
            <w:tcW w:w="0" w:type="auto"/>
            <w:tcMar>
              <w:top w:w="150" w:type="dxa"/>
              <w:left w:w="240" w:type="dxa"/>
              <w:bottom w:w="150" w:type="dxa"/>
              <w:right w:w="240" w:type="dxa"/>
            </w:tcMar>
            <w:vAlign w:val="center"/>
            <w:hideMark/>
          </w:tcPr>
          <w:p w14:paraId="2A281501" w14:textId="77777777" w:rsidR="008871D3" w:rsidRPr="005114B7" w:rsidRDefault="008871D3" w:rsidP="005114B7">
            <w:pPr>
              <w:spacing w:line="360" w:lineRule="auto"/>
              <w:jc w:val="both"/>
              <w:rPr>
                <w:rFonts w:ascii="Arial" w:hAnsi="Arial" w:cs="Arial"/>
              </w:rPr>
            </w:pPr>
            <w:r w:rsidRPr="005114B7">
              <w:rPr>
                <w:rFonts w:ascii="Arial" w:hAnsi="Arial" w:cs="Arial"/>
              </w:rPr>
              <w:t>0.73</w:t>
            </w:r>
          </w:p>
        </w:tc>
        <w:tc>
          <w:tcPr>
            <w:tcW w:w="0" w:type="auto"/>
            <w:tcMar>
              <w:top w:w="150" w:type="dxa"/>
              <w:left w:w="240" w:type="dxa"/>
              <w:bottom w:w="150" w:type="dxa"/>
              <w:right w:w="240" w:type="dxa"/>
            </w:tcMar>
            <w:vAlign w:val="center"/>
            <w:hideMark/>
          </w:tcPr>
          <w:p w14:paraId="5EBA936A" w14:textId="77777777" w:rsidR="008871D3" w:rsidRPr="005114B7" w:rsidRDefault="008871D3" w:rsidP="005114B7">
            <w:pPr>
              <w:spacing w:line="360" w:lineRule="auto"/>
              <w:jc w:val="both"/>
              <w:rPr>
                <w:rFonts w:ascii="Arial" w:hAnsi="Arial" w:cs="Arial"/>
              </w:rPr>
            </w:pPr>
            <w:r w:rsidRPr="005114B7">
              <w:rPr>
                <w:rFonts w:ascii="Arial" w:hAnsi="Arial" w:cs="Arial"/>
              </w:rPr>
              <w:t>0.73</w:t>
            </w:r>
          </w:p>
        </w:tc>
        <w:tc>
          <w:tcPr>
            <w:tcW w:w="0" w:type="auto"/>
            <w:tcMar>
              <w:top w:w="150" w:type="dxa"/>
              <w:left w:w="240" w:type="dxa"/>
              <w:bottom w:w="150" w:type="dxa"/>
              <w:right w:w="240" w:type="dxa"/>
            </w:tcMar>
            <w:vAlign w:val="center"/>
            <w:hideMark/>
          </w:tcPr>
          <w:p w14:paraId="36B6315C" w14:textId="77777777" w:rsidR="008871D3" w:rsidRPr="005114B7" w:rsidRDefault="008871D3" w:rsidP="005114B7">
            <w:pPr>
              <w:spacing w:line="360" w:lineRule="auto"/>
              <w:jc w:val="both"/>
              <w:rPr>
                <w:rFonts w:ascii="Arial" w:hAnsi="Arial" w:cs="Arial"/>
              </w:rPr>
            </w:pPr>
            <w:r w:rsidRPr="005114B7">
              <w:rPr>
                <w:rFonts w:ascii="Arial" w:hAnsi="Arial" w:cs="Arial"/>
              </w:rPr>
              <w:t>1.00</w:t>
            </w:r>
          </w:p>
        </w:tc>
        <w:tc>
          <w:tcPr>
            <w:tcW w:w="0" w:type="auto"/>
            <w:tcMar>
              <w:top w:w="150" w:type="dxa"/>
              <w:left w:w="240" w:type="dxa"/>
              <w:bottom w:w="150" w:type="dxa"/>
              <w:right w:w="0" w:type="dxa"/>
            </w:tcMar>
            <w:vAlign w:val="center"/>
            <w:hideMark/>
          </w:tcPr>
          <w:p w14:paraId="069066D3" w14:textId="77777777" w:rsidR="008871D3" w:rsidRPr="005114B7" w:rsidRDefault="008871D3" w:rsidP="005114B7">
            <w:pPr>
              <w:spacing w:line="360" w:lineRule="auto"/>
              <w:jc w:val="both"/>
              <w:rPr>
                <w:rFonts w:ascii="Arial" w:hAnsi="Arial" w:cs="Arial"/>
              </w:rPr>
            </w:pPr>
            <w:r w:rsidRPr="005114B7">
              <w:rPr>
                <w:rFonts w:ascii="Arial" w:hAnsi="Arial" w:cs="Arial"/>
              </w:rPr>
              <w:t>0.73</w:t>
            </w:r>
          </w:p>
        </w:tc>
      </w:tr>
      <w:tr w:rsidR="008871D3" w:rsidRPr="005114B7" w14:paraId="5C920EF1" w14:textId="77777777" w:rsidTr="008871D3">
        <w:trPr>
          <w:trHeight w:val="583"/>
        </w:trPr>
        <w:tc>
          <w:tcPr>
            <w:tcW w:w="0" w:type="auto"/>
            <w:tcMar>
              <w:top w:w="150" w:type="dxa"/>
              <w:left w:w="0" w:type="dxa"/>
              <w:bottom w:w="150" w:type="dxa"/>
              <w:right w:w="240" w:type="dxa"/>
            </w:tcMar>
            <w:vAlign w:val="center"/>
            <w:hideMark/>
          </w:tcPr>
          <w:p w14:paraId="6A730A41" w14:textId="77777777" w:rsidR="008871D3" w:rsidRPr="005114B7" w:rsidRDefault="008871D3" w:rsidP="005114B7">
            <w:pPr>
              <w:spacing w:line="360" w:lineRule="auto"/>
              <w:jc w:val="both"/>
              <w:rPr>
                <w:rFonts w:ascii="Arial" w:hAnsi="Arial" w:cs="Arial"/>
              </w:rPr>
            </w:pPr>
            <w:r w:rsidRPr="005114B7">
              <w:rPr>
                <w:rFonts w:ascii="Arial" w:hAnsi="Arial" w:cs="Arial"/>
                <w:b/>
                <w:bCs/>
              </w:rPr>
              <w:t>Overseas Closure</w:t>
            </w:r>
          </w:p>
        </w:tc>
        <w:tc>
          <w:tcPr>
            <w:tcW w:w="0" w:type="auto"/>
            <w:tcMar>
              <w:top w:w="150" w:type="dxa"/>
              <w:left w:w="240" w:type="dxa"/>
              <w:bottom w:w="150" w:type="dxa"/>
              <w:right w:w="240" w:type="dxa"/>
            </w:tcMar>
            <w:vAlign w:val="center"/>
            <w:hideMark/>
          </w:tcPr>
          <w:p w14:paraId="5A5D4B6F" w14:textId="77777777" w:rsidR="008871D3" w:rsidRPr="005114B7" w:rsidRDefault="008871D3" w:rsidP="005114B7">
            <w:pPr>
              <w:spacing w:line="360" w:lineRule="auto"/>
              <w:jc w:val="both"/>
              <w:rPr>
                <w:rFonts w:ascii="Arial" w:hAnsi="Arial" w:cs="Arial"/>
              </w:rPr>
            </w:pPr>
            <w:r w:rsidRPr="005114B7">
              <w:rPr>
                <w:rFonts w:ascii="Arial" w:hAnsi="Arial" w:cs="Arial"/>
              </w:rPr>
              <w:t>-0.50</w:t>
            </w:r>
          </w:p>
        </w:tc>
        <w:tc>
          <w:tcPr>
            <w:tcW w:w="0" w:type="auto"/>
            <w:tcMar>
              <w:top w:w="150" w:type="dxa"/>
              <w:left w:w="240" w:type="dxa"/>
              <w:bottom w:w="150" w:type="dxa"/>
              <w:right w:w="240" w:type="dxa"/>
            </w:tcMar>
            <w:vAlign w:val="center"/>
            <w:hideMark/>
          </w:tcPr>
          <w:p w14:paraId="4823C9C6" w14:textId="77777777" w:rsidR="008871D3" w:rsidRPr="005114B7" w:rsidRDefault="008871D3" w:rsidP="005114B7">
            <w:pPr>
              <w:spacing w:line="360" w:lineRule="auto"/>
              <w:jc w:val="both"/>
              <w:rPr>
                <w:rFonts w:ascii="Arial" w:hAnsi="Arial" w:cs="Arial"/>
              </w:rPr>
            </w:pPr>
            <w:r w:rsidRPr="005114B7">
              <w:rPr>
                <w:rFonts w:ascii="Arial" w:hAnsi="Arial" w:cs="Arial"/>
              </w:rPr>
              <w:t>1.00</w:t>
            </w:r>
          </w:p>
        </w:tc>
        <w:tc>
          <w:tcPr>
            <w:tcW w:w="0" w:type="auto"/>
            <w:tcMar>
              <w:top w:w="150" w:type="dxa"/>
              <w:left w:w="240" w:type="dxa"/>
              <w:bottom w:w="150" w:type="dxa"/>
              <w:right w:w="240" w:type="dxa"/>
            </w:tcMar>
            <w:vAlign w:val="center"/>
            <w:hideMark/>
          </w:tcPr>
          <w:p w14:paraId="200092B7" w14:textId="77777777" w:rsidR="008871D3" w:rsidRPr="005114B7" w:rsidRDefault="008871D3" w:rsidP="005114B7">
            <w:pPr>
              <w:spacing w:line="360" w:lineRule="auto"/>
              <w:jc w:val="both"/>
              <w:rPr>
                <w:rFonts w:ascii="Arial" w:hAnsi="Arial" w:cs="Arial"/>
              </w:rPr>
            </w:pPr>
            <w:r w:rsidRPr="005114B7">
              <w:rPr>
                <w:rFonts w:ascii="Arial" w:hAnsi="Arial" w:cs="Arial"/>
              </w:rPr>
              <w:t>1.00</w:t>
            </w:r>
          </w:p>
        </w:tc>
        <w:tc>
          <w:tcPr>
            <w:tcW w:w="0" w:type="auto"/>
            <w:tcMar>
              <w:top w:w="150" w:type="dxa"/>
              <w:left w:w="240" w:type="dxa"/>
              <w:bottom w:w="150" w:type="dxa"/>
              <w:right w:w="240" w:type="dxa"/>
            </w:tcMar>
            <w:vAlign w:val="center"/>
            <w:hideMark/>
          </w:tcPr>
          <w:p w14:paraId="51092B87" w14:textId="77777777" w:rsidR="008871D3" w:rsidRPr="005114B7" w:rsidRDefault="008871D3" w:rsidP="005114B7">
            <w:pPr>
              <w:spacing w:line="360" w:lineRule="auto"/>
              <w:jc w:val="both"/>
              <w:rPr>
                <w:rFonts w:ascii="Arial" w:hAnsi="Arial" w:cs="Arial"/>
              </w:rPr>
            </w:pPr>
            <w:r w:rsidRPr="005114B7">
              <w:rPr>
                <w:rFonts w:ascii="Arial" w:hAnsi="Arial" w:cs="Arial"/>
              </w:rPr>
              <w:t>0.73</w:t>
            </w:r>
          </w:p>
        </w:tc>
        <w:tc>
          <w:tcPr>
            <w:tcW w:w="0" w:type="auto"/>
            <w:tcMar>
              <w:top w:w="150" w:type="dxa"/>
              <w:left w:w="240" w:type="dxa"/>
              <w:bottom w:w="150" w:type="dxa"/>
              <w:right w:w="0" w:type="dxa"/>
            </w:tcMar>
            <w:vAlign w:val="center"/>
            <w:hideMark/>
          </w:tcPr>
          <w:p w14:paraId="67D7CAF5" w14:textId="77777777" w:rsidR="008871D3" w:rsidRPr="005114B7" w:rsidRDefault="008871D3" w:rsidP="005114B7">
            <w:pPr>
              <w:spacing w:line="360" w:lineRule="auto"/>
              <w:jc w:val="both"/>
              <w:rPr>
                <w:rFonts w:ascii="Arial" w:hAnsi="Arial" w:cs="Arial"/>
              </w:rPr>
            </w:pPr>
            <w:r w:rsidRPr="005114B7">
              <w:rPr>
                <w:rFonts w:ascii="Arial" w:hAnsi="Arial" w:cs="Arial"/>
              </w:rPr>
              <w:t>1.00</w:t>
            </w:r>
          </w:p>
        </w:tc>
      </w:tr>
    </w:tbl>
    <w:p w14:paraId="6A5409A4" w14:textId="77777777" w:rsidR="008871D3" w:rsidRPr="005114B7" w:rsidRDefault="008871D3" w:rsidP="005114B7">
      <w:pPr>
        <w:spacing w:line="360" w:lineRule="auto"/>
        <w:jc w:val="both"/>
        <w:rPr>
          <w:rFonts w:ascii="Arial" w:hAnsi="Arial" w:cs="Arial"/>
        </w:rPr>
      </w:pPr>
      <w:r w:rsidRPr="005114B7">
        <w:rPr>
          <w:rFonts w:ascii="Arial" w:hAnsi="Arial" w:cs="Arial"/>
          <w:i/>
          <w:iCs/>
        </w:rPr>
        <w:t>Source: Correlation analysis of Home Office visa statistics (2020–2026) conducted in Microsoft Excel.</w:t>
      </w:r>
    </w:p>
    <w:p w14:paraId="2FA281BF" w14:textId="3F430C9E" w:rsidR="00AF38C8" w:rsidRDefault="008871D3" w:rsidP="005114B7">
      <w:pPr>
        <w:spacing w:line="360" w:lineRule="auto"/>
        <w:jc w:val="both"/>
        <w:rPr>
          <w:rFonts w:ascii="Arial" w:hAnsi="Arial" w:cs="Arial"/>
        </w:rPr>
      </w:pPr>
      <w:r w:rsidRPr="005114B7">
        <w:rPr>
          <w:rFonts w:ascii="Arial" w:hAnsi="Arial" w:cs="Arial"/>
        </w:rPr>
        <w:t xml:space="preserve">The correlation matrix reveals that all four policy variables are negatively correlated with visa grant rates, with </w:t>
      </w:r>
      <w:proofErr w:type="spellStart"/>
      <w:r w:rsidRPr="005114B7">
        <w:rPr>
          <w:rFonts w:ascii="Arial" w:hAnsi="Arial" w:cs="Arial"/>
        </w:rPr>
        <w:t>Dependant</w:t>
      </w:r>
      <w:proofErr w:type="spellEnd"/>
      <w:r w:rsidRPr="005114B7">
        <w:rPr>
          <w:rFonts w:ascii="Arial" w:hAnsi="Arial" w:cs="Arial"/>
        </w:rPr>
        <w:t xml:space="preserve"> Restriction showing the strongest association (r = -0.62), followed by RQF Level, Salary Threshold, and Overseas Closure (r = -0.50 each). This indicates that as each immigration restriction was introduced, visa grants declined, consistent with the theoretical predictions of Human Capital Theory and Conservation of Resources Theory. The high positive correlations among the policy variables (ranging from 0.73 to 1.00) confirm multicollinearity, reflecting that the 2025 reforms were implemented simultaneously as a package. These findings provide initial evidence that immigration policy changes are negatively associated with workforce inflows, supporting the need for regression analysis to isolate individual policy impacts.</w:t>
      </w:r>
    </w:p>
    <w:p w14:paraId="20807CAD" w14:textId="61686ABA" w:rsidR="00B70586" w:rsidRPr="004E0015" w:rsidRDefault="00B70586" w:rsidP="00B70586">
      <w:pPr>
        <w:pStyle w:val="Caption"/>
        <w:keepNext/>
        <w:rPr>
          <w:sz w:val="28"/>
          <w:szCs w:val="28"/>
        </w:rPr>
      </w:pPr>
      <w:bookmarkStart w:id="194" w:name="_Toc238205992"/>
      <w:r w:rsidRPr="004E0015">
        <w:rPr>
          <w:sz w:val="28"/>
          <w:szCs w:val="28"/>
        </w:rPr>
        <w:lastRenderedPageBreak/>
        <w:t xml:space="preserve">Figure </w:t>
      </w:r>
      <w:r w:rsidRPr="004E0015">
        <w:rPr>
          <w:sz w:val="28"/>
          <w:szCs w:val="28"/>
        </w:rPr>
        <w:fldChar w:fldCharType="begin"/>
      </w:r>
      <w:r w:rsidRPr="004E0015">
        <w:rPr>
          <w:sz w:val="28"/>
          <w:szCs w:val="28"/>
        </w:rPr>
        <w:instrText xml:space="preserve"> SEQ Figure \* ARABIC </w:instrText>
      </w:r>
      <w:r w:rsidRPr="004E0015">
        <w:rPr>
          <w:sz w:val="28"/>
          <w:szCs w:val="28"/>
        </w:rPr>
        <w:fldChar w:fldCharType="separate"/>
      </w:r>
      <w:r w:rsidRPr="004E0015">
        <w:rPr>
          <w:noProof/>
          <w:sz w:val="28"/>
          <w:szCs w:val="28"/>
        </w:rPr>
        <w:t>6</w:t>
      </w:r>
      <w:bookmarkEnd w:id="194"/>
      <w:r w:rsidRPr="004E0015">
        <w:rPr>
          <w:sz w:val="28"/>
          <w:szCs w:val="28"/>
        </w:rPr>
        <w:fldChar w:fldCharType="end"/>
      </w:r>
    </w:p>
    <w:p w14:paraId="388EE554" w14:textId="3A3573A6" w:rsidR="00AF38C8" w:rsidRDefault="00AF38C8" w:rsidP="00050789">
      <w:r>
        <w:rPr>
          <w:noProof/>
        </w:rPr>
        <mc:AlternateContent>
          <mc:Choice Requires="wpg">
            <w:drawing>
              <wp:inline distT="0" distB="0" distL="0" distR="0" wp14:anchorId="4DC837E0" wp14:editId="15146D09">
                <wp:extent cx="4395216" cy="2657094"/>
                <wp:effectExtent l="0" t="0" r="0" b="0"/>
                <wp:docPr id="1915502945" name="Group 1915502945"/>
                <wp:cNvGraphicFramePr/>
                <a:graphic xmlns:a="http://schemas.openxmlformats.org/drawingml/2006/main">
                  <a:graphicData uri="http://schemas.microsoft.com/office/word/2010/wordprocessingGroup">
                    <wpg:wgp>
                      <wpg:cNvGrpSpPr/>
                      <wpg:grpSpPr>
                        <a:xfrm>
                          <a:off x="0" y="0"/>
                          <a:ext cx="4395216" cy="2657094"/>
                          <a:chOff x="0" y="0"/>
                          <a:chExt cx="4395216" cy="2657094"/>
                        </a:xfrm>
                      </wpg:grpSpPr>
                      <wps:wsp>
                        <wps:cNvPr id="1549576851" name="Shape 34"/>
                        <wps:cNvSpPr/>
                        <wps:spPr>
                          <a:xfrm>
                            <a:off x="368605" y="2031619"/>
                            <a:ext cx="3886911" cy="0"/>
                          </a:xfrm>
                          <a:custGeom>
                            <a:avLst/>
                            <a:gdLst/>
                            <a:ahLst/>
                            <a:cxnLst/>
                            <a:rect l="0" t="0" r="0" b="0"/>
                            <a:pathLst>
                              <a:path w="3886911">
                                <a:moveTo>
                                  <a:pt x="0" y="0"/>
                                </a:moveTo>
                                <a:lnTo>
                                  <a:pt x="388691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617605897" name="Shape 35"/>
                        <wps:cNvSpPr/>
                        <wps:spPr>
                          <a:xfrm>
                            <a:off x="368605" y="1732026"/>
                            <a:ext cx="3886911" cy="0"/>
                          </a:xfrm>
                          <a:custGeom>
                            <a:avLst/>
                            <a:gdLst/>
                            <a:ahLst/>
                            <a:cxnLst/>
                            <a:rect l="0" t="0" r="0" b="0"/>
                            <a:pathLst>
                              <a:path w="3886911">
                                <a:moveTo>
                                  <a:pt x="0" y="0"/>
                                </a:moveTo>
                                <a:lnTo>
                                  <a:pt x="388691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588468836" name="Shape 36"/>
                        <wps:cNvSpPr/>
                        <wps:spPr>
                          <a:xfrm>
                            <a:off x="368605" y="1133094"/>
                            <a:ext cx="3886911" cy="0"/>
                          </a:xfrm>
                          <a:custGeom>
                            <a:avLst/>
                            <a:gdLst/>
                            <a:ahLst/>
                            <a:cxnLst/>
                            <a:rect l="0" t="0" r="0" b="0"/>
                            <a:pathLst>
                              <a:path w="3886911">
                                <a:moveTo>
                                  <a:pt x="0" y="0"/>
                                </a:moveTo>
                                <a:lnTo>
                                  <a:pt x="388691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45764914" name="Shape 37"/>
                        <wps:cNvSpPr/>
                        <wps:spPr>
                          <a:xfrm>
                            <a:off x="368605" y="832866"/>
                            <a:ext cx="3886911" cy="0"/>
                          </a:xfrm>
                          <a:custGeom>
                            <a:avLst/>
                            <a:gdLst/>
                            <a:ahLst/>
                            <a:cxnLst/>
                            <a:rect l="0" t="0" r="0" b="0"/>
                            <a:pathLst>
                              <a:path w="3886911">
                                <a:moveTo>
                                  <a:pt x="0" y="0"/>
                                </a:moveTo>
                                <a:lnTo>
                                  <a:pt x="388691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474947271" name="Shape 38"/>
                        <wps:cNvSpPr/>
                        <wps:spPr>
                          <a:xfrm>
                            <a:off x="368605" y="533019"/>
                            <a:ext cx="3886911" cy="0"/>
                          </a:xfrm>
                          <a:custGeom>
                            <a:avLst/>
                            <a:gdLst/>
                            <a:ahLst/>
                            <a:cxnLst/>
                            <a:rect l="0" t="0" r="0" b="0"/>
                            <a:pathLst>
                              <a:path w="3886911">
                                <a:moveTo>
                                  <a:pt x="0" y="0"/>
                                </a:moveTo>
                                <a:lnTo>
                                  <a:pt x="388691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980561003" name="Shape 872"/>
                        <wps:cNvSpPr/>
                        <wps:spPr>
                          <a:xfrm>
                            <a:off x="3581400" y="1431798"/>
                            <a:ext cx="92964" cy="297180"/>
                          </a:xfrm>
                          <a:custGeom>
                            <a:avLst/>
                            <a:gdLst/>
                            <a:ahLst/>
                            <a:cxnLst/>
                            <a:rect l="0" t="0" r="0" b="0"/>
                            <a:pathLst>
                              <a:path w="92964" h="297180">
                                <a:moveTo>
                                  <a:pt x="0" y="0"/>
                                </a:moveTo>
                                <a:lnTo>
                                  <a:pt x="92964" y="0"/>
                                </a:lnTo>
                                <a:lnTo>
                                  <a:pt x="92964" y="297180"/>
                                </a:lnTo>
                                <a:lnTo>
                                  <a:pt x="0" y="297180"/>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1180327499" name="Shape 873"/>
                        <wps:cNvSpPr/>
                        <wps:spPr>
                          <a:xfrm>
                            <a:off x="2804160" y="1431798"/>
                            <a:ext cx="92964" cy="370332"/>
                          </a:xfrm>
                          <a:custGeom>
                            <a:avLst/>
                            <a:gdLst/>
                            <a:ahLst/>
                            <a:cxnLst/>
                            <a:rect l="0" t="0" r="0" b="0"/>
                            <a:pathLst>
                              <a:path w="92964" h="370332">
                                <a:moveTo>
                                  <a:pt x="0" y="0"/>
                                </a:moveTo>
                                <a:lnTo>
                                  <a:pt x="92964" y="0"/>
                                </a:lnTo>
                                <a:lnTo>
                                  <a:pt x="92964" y="370332"/>
                                </a:lnTo>
                                <a:lnTo>
                                  <a:pt x="0" y="370332"/>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108444659" name="Shape 874"/>
                        <wps:cNvSpPr/>
                        <wps:spPr>
                          <a:xfrm>
                            <a:off x="2026920" y="1431798"/>
                            <a:ext cx="92964" cy="297180"/>
                          </a:xfrm>
                          <a:custGeom>
                            <a:avLst/>
                            <a:gdLst/>
                            <a:ahLst/>
                            <a:cxnLst/>
                            <a:rect l="0" t="0" r="0" b="0"/>
                            <a:pathLst>
                              <a:path w="92964" h="297180">
                                <a:moveTo>
                                  <a:pt x="0" y="0"/>
                                </a:moveTo>
                                <a:lnTo>
                                  <a:pt x="92964" y="0"/>
                                </a:lnTo>
                                <a:lnTo>
                                  <a:pt x="92964" y="297180"/>
                                </a:lnTo>
                                <a:lnTo>
                                  <a:pt x="0" y="297180"/>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1326966416" name="Shape 875"/>
                        <wps:cNvSpPr/>
                        <wps:spPr>
                          <a:xfrm>
                            <a:off x="1249680" y="1431798"/>
                            <a:ext cx="92964" cy="297180"/>
                          </a:xfrm>
                          <a:custGeom>
                            <a:avLst/>
                            <a:gdLst/>
                            <a:ahLst/>
                            <a:cxnLst/>
                            <a:rect l="0" t="0" r="0" b="0"/>
                            <a:pathLst>
                              <a:path w="92964" h="297180">
                                <a:moveTo>
                                  <a:pt x="0" y="0"/>
                                </a:moveTo>
                                <a:lnTo>
                                  <a:pt x="92964" y="0"/>
                                </a:lnTo>
                                <a:lnTo>
                                  <a:pt x="92964" y="297180"/>
                                </a:lnTo>
                                <a:lnTo>
                                  <a:pt x="0" y="297180"/>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1036966599" name="Shape 876"/>
                        <wps:cNvSpPr/>
                        <wps:spPr>
                          <a:xfrm>
                            <a:off x="470916" y="832866"/>
                            <a:ext cx="94488" cy="598932"/>
                          </a:xfrm>
                          <a:custGeom>
                            <a:avLst/>
                            <a:gdLst/>
                            <a:ahLst/>
                            <a:cxnLst/>
                            <a:rect l="0" t="0" r="0" b="0"/>
                            <a:pathLst>
                              <a:path w="94488" h="598932">
                                <a:moveTo>
                                  <a:pt x="0" y="0"/>
                                </a:moveTo>
                                <a:lnTo>
                                  <a:pt x="94488" y="0"/>
                                </a:lnTo>
                                <a:lnTo>
                                  <a:pt x="94488" y="598932"/>
                                </a:lnTo>
                                <a:lnTo>
                                  <a:pt x="0" y="598932"/>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2098864574" name="Shape 877"/>
                        <wps:cNvSpPr/>
                        <wps:spPr>
                          <a:xfrm>
                            <a:off x="2923032" y="994410"/>
                            <a:ext cx="94488" cy="437388"/>
                          </a:xfrm>
                          <a:custGeom>
                            <a:avLst/>
                            <a:gdLst/>
                            <a:ahLst/>
                            <a:cxnLst/>
                            <a:rect l="0" t="0" r="0" b="0"/>
                            <a:pathLst>
                              <a:path w="94488" h="437388">
                                <a:moveTo>
                                  <a:pt x="0" y="0"/>
                                </a:moveTo>
                                <a:lnTo>
                                  <a:pt x="94488" y="0"/>
                                </a:lnTo>
                                <a:lnTo>
                                  <a:pt x="94488" y="437388"/>
                                </a:lnTo>
                                <a:lnTo>
                                  <a:pt x="0" y="437388"/>
                                </a:lnTo>
                                <a:lnTo>
                                  <a:pt x="0" y="0"/>
                                </a:lnTo>
                              </a:path>
                            </a:pathLst>
                          </a:custGeom>
                          <a:ln w="0" cap="flat">
                            <a:round/>
                          </a:ln>
                        </wps:spPr>
                        <wps:style>
                          <a:lnRef idx="0">
                            <a:srgbClr val="000000">
                              <a:alpha val="0"/>
                            </a:srgbClr>
                          </a:lnRef>
                          <a:fillRef idx="1">
                            <a:srgbClr val="E97132"/>
                          </a:fillRef>
                          <a:effectRef idx="0">
                            <a:scrgbClr r="0" g="0" b="0"/>
                          </a:effectRef>
                          <a:fontRef idx="none"/>
                        </wps:style>
                        <wps:bodyPr/>
                      </wps:wsp>
                      <wps:wsp>
                        <wps:cNvPr id="448953506" name="Shape 878"/>
                        <wps:cNvSpPr/>
                        <wps:spPr>
                          <a:xfrm>
                            <a:off x="3700272" y="832866"/>
                            <a:ext cx="94488" cy="598932"/>
                          </a:xfrm>
                          <a:custGeom>
                            <a:avLst/>
                            <a:gdLst/>
                            <a:ahLst/>
                            <a:cxnLst/>
                            <a:rect l="0" t="0" r="0" b="0"/>
                            <a:pathLst>
                              <a:path w="94488" h="598932">
                                <a:moveTo>
                                  <a:pt x="0" y="0"/>
                                </a:moveTo>
                                <a:lnTo>
                                  <a:pt x="94488" y="0"/>
                                </a:lnTo>
                                <a:lnTo>
                                  <a:pt x="94488" y="598932"/>
                                </a:lnTo>
                                <a:lnTo>
                                  <a:pt x="0" y="598932"/>
                                </a:lnTo>
                                <a:lnTo>
                                  <a:pt x="0" y="0"/>
                                </a:lnTo>
                              </a:path>
                            </a:pathLst>
                          </a:custGeom>
                          <a:ln w="0" cap="flat">
                            <a:round/>
                          </a:ln>
                        </wps:spPr>
                        <wps:style>
                          <a:lnRef idx="0">
                            <a:srgbClr val="000000">
                              <a:alpha val="0"/>
                            </a:srgbClr>
                          </a:lnRef>
                          <a:fillRef idx="1">
                            <a:srgbClr val="E97132"/>
                          </a:fillRef>
                          <a:effectRef idx="0">
                            <a:scrgbClr r="0" g="0" b="0"/>
                          </a:effectRef>
                          <a:fontRef idx="none"/>
                        </wps:style>
                        <wps:bodyPr/>
                      </wps:wsp>
                      <wps:wsp>
                        <wps:cNvPr id="703835772" name="Shape 879"/>
                        <wps:cNvSpPr/>
                        <wps:spPr>
                          <a:xfrm>
                            <a:off x="2145792" y="832866"/>
                            <a:ext cx="94488" cy="598932"/>
                          </a:xfrm>
                          <a:custGeom>
                            <a:avLst/>
                            <a:gdLst/>
                            <a:ahLst/>
                            <a:cxnLst/>
                            <a:rect l="0" t="0" r="0" b="0"/>
                            <a:pathLst>
                              <a:path w="94488" h="598932">
                                <a:moveTo>
                                  <a:pt x="0" y="0"/>
                                </a:moveTo>
                                <a:lnTo>
                                  <a:pt x="94488" y="0"/>
                                </a:lnTo>
                                <a:lnTo>
                                  <a:pt x="94488" y="598932"/>
                                </a:lnTo>
                                <a:lnTo>
                                  <a:pt x="0" y="598932"/>
                                </a:lnTo>
                                <a:lnTo>
                                  <a:pt x="0" y="0"/>
                                </a:lnTo>
                              </a:path>
                            </a:pathLst>
                          </a:custGeom>
                          <a:ln w="0" cap="flat">
                            <a:round/>
                          </a:ln>
                        </wps:spPr>
                        <wps:style>
                          <a:lnRef idx="0">
                            <a:srgbClr val="000000">
                              <a:alpha val="0"/>
                            </a:srgbClr>
                          </a:lnRef>
                          <a:fillRef idx="1">
                            <a:srgbClr val="E97132"/>
                          </a:fillRef>
                          <a:effectRef idx="0">
                            <a:scrgbClr r="0" g="0" b="0"/>
                          </a:effectRef>
                          <a:fontRef idx="none"/>
                        </wps:style>
                        <wps:bodyPr/>
                      </wps:wsp>
                      <wps:wsp>
                        <wps:cNvPr id="1416585786" name="Shape 880"/>
                        <wps:cNvSpPr/>
                        <wps:spPr>
                          <a:xfrm>
                            <a:off x="1368552" y="832866"/>
                            <a:ext cx="94488" cy="598932"/>
                          </a:xfrm>
                          <a:custGeom>
                            <a:avLst/>
                            <a:gdLst/>
                            <a:ahLst/>
                            <a:cxnLst/>
                            <a:rect l="0" t="0" r="0" b="0"/>
                            <a:pathLst>
                              <a:path w="94488" h="598932">
                                <a:moveTo>
                                  <a:pt x="0" y="0"/>
                                </a:moveTo>
                                <a:lnTo>
                                  <a:pt x="94488" y="0"/>
                                </a:lnTo>
                                <a:lnTo>
                                  <a:pt x="94488" y="598932"/>
                                </a:lnTo>
                                <a:lnTo>
                                  <a:pt x="0" y="598932"/>
                                </a:lnTo>
                                <a:lnTo>
                                  <a:pt x="0" y="0"/>
                                </a:lnTo>
                              </a:path>
                            </a:pathLst>
                          </a:custGeom>
                          <a:ln w="0" cap="flat">
                            <a:round/>
                          </a:ln>
                        </wps:spPr>
                        <wps:style>
                          <a:lnRef idx="0">
                            <a:srgbClr val="000000">
                              <a:alpha val="0"/>
                            </a:srgbClr>
                          </a:lnRef>
                          <a:fillRef idx="1">
                            <a:srgbClr val="E97132"/>
                          </a:fillRef>
                          <a:effectRef idx="0">
                            <a:scrgbClr r="0" g="0" b="0"/>
                          </a:effectRef>
                          <a:fontRef idx="none"/>
                        </wps:style>
                        <wps:bodyPr/>
                      </wps:wsp>
                      <wps:wsp>
                        <wps:cNvPr id="1013527871" name="Shape 881"/>
                        <wps:cNvSpPr/>
                        <wps:spPr>
                          <a:xfrm>
                            <a:off x="3041904" y="994410"/>
                            <a:ext cx="94488" cy="437388"/>
                          </a:xfrm>
                          <a:custGeom>
                            <a:avLst/>
                            <a:gdLst/>
                            <a:ahLst/>
                            <a:cxnLst/>
                            <a:rect l="0" t="0" r="0" b="0"/>
                            <a:pathLst>
                              <a:path w="94488" h="437388">
                                <a:moveTo>
                                  <a:pt x="0" y="0"/>
                                </a:moveTo>
                                <a:lnTo>
                                  <a:pt x="94488" y="0"/>
                                </a:lnTo>
                                <a:lnTo>
                                  <a:pt x="94488" y="437388"/>
                                </a:lnTo>
                                <a:lnTo>
                                  <a:pt x="0" y="437388"/>
                                </a:lnTo>
                                <a:lnTo>
                                  <a:pt x="0" y="0"/>
                                </a:lnTo>
                              </a:path>
                            </a:pathLst>
                          </a:custGeom>
                          <a:ln w="0" cap="flat">
                            <a:round/>
                          </a:ln>
                        </wps:spPr>
                        <wps:style>
                          <a:lnRef idx="0">
                            <a:srgbClr val="000000">
                              <a:alpha val="0"/>
                            </a:srgbClr>
                          </a:lnRef>
                          <a:fillRef idx="1">
                            <a:srgbClr val="196B24"/>
                          </a:fillRef>
                          <a:effectRef idx="0">
                            <a:scrgbClr r="0" g="0" b="0"/>
                          </a:effectRef>
                          <a:fontRef idx="none"/>
                        </wps:style>
                        <wps:bodyPr/>
                      </wps:wsp>
                      <wps:wsp>
                        <wps:cNvPr id="669367197" name="Shape 882"/>
                        <wps:cNvSpPr/>
                        <wps:spPr>
                          <a:xfrm>
                            <a:off x="3819144" y="832866"/>
                            <a:ext cx="94488" cy="598932"/>
                          </a:xfrm>
                          <a:custGeom>
                            <a:avLst/>
                            <a:gdLst/>
                            <a:ahLst/>
                            <a:cxnLst/>
                            <a:rect l="0" t="0" r="0" b="0"/>
                            <a:pathLst>
                              <a:path w="94488" h="598932">
                                <a:moveTo>
                                  <a:pt x="0" y="0"/>
                                </a:moveTo>
                                <a:lnTo>
                                  <a:pt x="94488" y="0"/>
                                </a:lnTo>
                                <a:lnTo>
                                  <a:pt x="94488" y="598932"/>
                                </a:lnTo>
                                <a:lnTo>
                                  <a:pt x="0" y="598932"/>
                                </a:lnTo>
                                <a:lnTo>
                                  <a:pt x="0" y="0"/>
                                </a:lnTo>
                              </a:path>
                            </a:pathLst>
                          </a:custGeom>
                          <a:ln w="0" cap="flat">
                            <a:round/>
                          </a:ln>
                        </wps:spPr>
                        <wps:style>
                          <a:lnRef idx="0">
                            <a:srgbClr val="000000">
                              <a:alpha val="0"/>
                            </a:srgbClr>
                          </a:lnRef>
                          <a:fillRef idx="1">
                            <a:srgbClr val="196B24"/>
                          </a:fillRef>
                          <a:effectRef idx="0">
                            <a:scrgbClr r="0" g="0" b="0"/>
                          </a:effectRef>
                          <a:fontRef idx="none"/>
                        </wps:style>
                        <wps:bodyPr/>
                      </wps:wsp>
                      <wps:wsp>
                        <wps:cNvPr id="500210111" name="Shape 883"/>
                        <wps:cNvSpPr/>
                        <wps:spPr>
                          <a:xfrm>
                            <a:off x="2264664" y="832866"/>
                            <a:ext cx="94488" cy="598932"/>
                          </a:xfrm>
                          <a:custGeom>
                            <a:avLst/>
                            <a:gdLst/>
                            <a:ahLst/>
                            <a:cxnLst/>
                            <a:rect l="0" t="0" r="0" b="0"/>
                            <a:pathLst>
                              <a:path w="94488" h="598932">
                                <a:moveTo>
                                  <a:pt x="0" y="0"/>
                                </a:moveTo>
                                <a:lnTo>
                                  <a:pt x="94488" y="0"/>
                                </a:lnTo>
                                <a:lnTo>
                                  <a:pt x="94488" y="598932"/>
                                </a:lnTo>
                                <a:lnTo>
                                  <a:pt x="0" y="598932"/>
                                </a:lnTo>
                                <a:lnTo>
                                  <a:pt x="0" y="0"/>
                                </a:lnTo>
                              </a:path>
                            </a:pathLst>
                          </a:custGeom>
                          <a:ln w="0" cap="flat">
                            <a:round/>
                          </a:ln>
                        </wps:spPr>
                        <wps:style>
                          <a:lnRef idx="0">
                            <a:srgbClr val="000000">
                              <a:alpha val="0"/>
                            </a:srgbClr>
                          </a:lnRef>
                          <a:fillRef idx="1">
                            <a:srgbClr val="196B24"/>
                          </a:fillRef>
                          <a:effectRef idx="0">
                            <a:scrgbClr r="0" g="0" b="0"/>
                          </a:effectRef>
                          <a:fontRef idx="none"/>
                        </wps:style>
                        <wps:bodyPr/>
                      </wps:wsp>
                      <wps:wsp>
                        <wps:cNvPr id="239514274" name="Shape 884"/>
                        <wps:cNvSpPr/>
                        <wps:spPr>
                          <a:xfrm>
                            <a:off x="3939540" y="994410"/>
                            <a:ext cx="92964" cy="437388"/>
                          </a:xfrm>
                          <a:custGeom>
                            <a:avLst/>
                            <a:gdLst/>
                            <a:ahLst/>
                            <a:cxnLst/>
                            <a:rect l="0" t="0" r="0" b="0"/>
                            <a:pathLst>
                              <a:path w="92964" h="437388">
                                <a:moveTo>
                                  <a:pt x="0" y="0"/>
                                </a:moveTo>
                                <a:lnTo>
                                  <a:pt x="92964" y="0"/>
                                </a:lnTo>
                                <a:lnTo>
                                  <a:pt x="92964" y="437388"/>
                                </a:lnTo>
                                <a:lnTo>
                                  <a:pt x="0" y="437388"/>
                                </a:lnTo>
                                <a:lnTo>
                                  <a:pt x="0" y="0"/>
                                </a:lnTo>
                              </a:path>
                            </a:pathLst>
                          </a:custGeom>
                          <a:ln w="0" cap="flat">
                            <a:round/>
                          </a:ln>
                        </wps:spPr>
                        <wps:style>
                          <a:lnRef idx="0">
                            <a:srgbClr val="000000">
                              <a:alpha val="0"/>
                            </a:srgbClr>
                          </a:lnRef>
                          <a:fillRef idx="1">
                            <a:srgbClr val="0F9ED5"/>
                          </a:fillRef>
                          <a:effectRef idx="0">
                            <a:scrgbClr r="0" g="0" b="0"/>
                          </a:effectRef>
                          <a:fontRef idx="none"/>
                        </wps:style>
                        <wps:bodyPr/>
                      </wps:wsp>
                      <wps:wsp>
                        <wps:cNvPr id="1976323836" name="Shape 885"/>
                        <wps:cNvSpPr/>
                        <wps:spPr>
                          <a:xfrm>
                            <a:off x="3162300" y="832866"/>
                            <a:ext cx="92964" cy="598932"/>
                          </a:xfrm>
                          <a:custGeom>
                            <a:avLst/>
                            <a:gdLst/>
                            <a:ahLst/>
                            <a:cxnLst/>
                            <a:rect l="0" t="0" r="0" b="0"/>
                            <a:pathLst>
                              <a:path w="92964" h="598932">
                                <a:moveTo>
                                  <a:pt x="0" y="0"/>
                                </a:moveTo>
                                <a:lnTo>
                                  <a:pt x="92964" y="0"/>
                                </a:lnTo>
                                <a:lnTo>
                                  <a:pt x="92964" y="598932"/>
                                </a:lnTo>
                                <a:lnTo>
                                  <a:pt x="0" y="598932"/>
                                </a:lnTo>
                                <a:lnTo>
                                  <a:pt x="0" y="0"/>
                                </a:lnTo>
                              </a:path>
                            </a:pathLst>
                          </a:custGeom>
                          <a:ln w="0" cap="flat">
                            <a:round/>
                          </a:ln>
                        </wps:spPr>
                        <wps:style>
                          <a:lnRef idx="0">
                            <a:srgbClr val="000000">
                              <a:alpha val="0"/>
                            </a:srgbClr>
                          </a:lnRef>
                          <a:fillRef idx="1">
                            <a:srgbClr val="0F9ED5"/>
                          </a:fillRef>
                          <a:effectRef idx="0">
                            <a:scrgbClr r="0" g="0" b="0"/>
                          </a:effectRef>
                          <a:fontRef idx="none"/>
                        </wps:style>
                        <wps:bodyPr/>
                      </wps:wsp>
                      <wps:wsp>
                        <wps:cNvPr id="1681577097" name="Shape 886"/>
                        <wps:cNvSpPr/>
                        <wps:spPr>
                          <a:xfrm>
                            <a:off x="4058412" y="832866"/>
                            <a:ext cx="94488" cy="598932"/>
                          </a:xfrm>
                          <a:custGeom>
                            <a:avLst/>
                            <a:gdLst/>
                            <a:ahLst/>
                            <a:cxnLst/>
                            <a:rect l="0" t="0" r="0" b="0"/>
                            <a:pathLst>
                              <a:path w="94488" h="598932">
                                <a:moveTo>
                                  <a:pt x="0" y="0"/>
                                </a:moveTo>
                                <a:lnTo>
                                  <a:pt x="94488" y="0"/>
                                </a:lnTo>
                                <a:lnTo>
                                  <a:pt x="94488" y="598932"/>
                                </a:lnTo>
                                <a:lnTo>
                                  <a:pt x="0" y="598932"/>
                                </a:lnTo>
                                <a:lnTo>
                                  <a:pt x="0" y="0"/>
                                </a:lnTo>
                              </a:path>
                            </a:pathLst>
                          </a:custGeom>
                          <a:ln w="0" cap="flat">
                            <a:round/>
                          </a:ln>
                        </wps:spPr>
                        <wps:style>
                          <a:lnRef idx="0">
                            <a:srgbClr val="000000">
                              <a:alpha val="0"/>
                            </a:srgbClr>
                          </a:lnRef>
                          <a:fillRef idx="1">
                            <a:srgbClr val="A02B93"/>
                          </a:fillRef>
                          <a:effectRef idx="0">
                            <a:scrgbClr r="0" g="0" b="0"/>
                          </a:effectRef>
                          <a:fontRef idx="none"/>
                        </wps:style>
                        <wps:bodyPr/>
                      </wps:wsp>
                      <wps:wsp>
                        <wps:cNvPr id="1288029607" name="Shape 54"/>
                        <wps:cNvSpPr/>
                        <wps:spPr>
                          <a:xfrm>
                            <a:off x="368605" y="1432179"/>
                            <a:ext cx="3886911" cy="0"/>
                          </a:xfrm>
                          <a:custGeom>
                            <a:avLst/>
                            <a:gdLst/>
                            <a:ahLst/>
                            <a:cxnLst/>
                            <a:rect l="0" t="0" r="0" b="0"/>
                            <a:pathLst>
                              <a:path w="3886911">
                                <a:moveTo>
                                  <a:pt x="0" y="0"/>
                                </a:moveTo>
                                <a:lnTo>
                                  <a:pt x="388691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279773729" name="Rectangle 1279773729"/>
                        <wps:cNvSpPr/>
                        <wps:spPr>
                          <a:xfrm>
                            <a:off x="170383" y="1955125"/>
                            <a:ext cx="123898" cy="186065"/>
                          </a:xfrm>
                          <a:prstGeom prst="rect">
                            <a:avLst/>
                          </a:prstGeom>
                          <a:ln>
                            <a:noFill/>
                          </a:ln>
                        </wps:spPr>
                        <wps:txbx>
                          <w:txbxContent>
                            <w:p w14:paraId="5D17ADC3" w14:textId="77777777" w:rsidR="00AF38C8" w:rsidRDefault="00AF38C8" w:rsidP="00AF38C8">
                              <w:r>
                                <w:rPr>
                                  <w:rFonts w:ascii="Calibri" w:eastAsia="Calibri" w:hAnsi="Calibri" w:cs="Calibri"/>
                                  <w:color w:val="595959"/>
                                  <w:w w:val="99"/>
                                  <w:sz w:val="18"/>
                                </w:rPr>
                                <w:t>-1</w:t>
                              </w:r>
                            </w:p>
                          </w:txbxContent>
                        </wps:txbx>
                        <wps:bodyPr horzOverflow="overflow" vert="horz" lIns="0" tIns="0" rIns="0" bIns="0" rtlCol="0">
                          <a:noAutofit/>
                        </wps:bodyPr>
                      </wps:wsp>
                      <wps:wsp>
                        <wps:cNvPr id="1285045731" name="Rectangle 1285045731"/>
                        <wps:cNvSpPr/>
                        <wps:spPr>
                          <a:xfrm>
                            <a:off x="82601" y="1655818"/>
                            <a:ext cx="239278" cy="185570"/>
                          </a:xfrm>
                          <a:prstGeom prst="rect">
                            <a:avLst/>
                          </a:prstGeom>
                          <a:ln>
                            <a:noFill/>
                          </a:ln>
                        </wps:spPr>
                        <wps:txbx>
                          <w:txbxContent>
                            <w:p w14:paraId="5D9941D0" w14:textId="77777777" w:rsidR="00AF38C8" w:rsidRDefault="00AF38C8" w:rsidP="00AF38C8">
                              <w:r>
                                <w:rPr>
                                  <w:rFonts w:ascii="Calibri" w:eastAsia="Calibri" w:hAnsi="Calibri" w:cs="Calibri"/>
                                  <w:color w:val="595959"/>
                                  <w:sz w:val="18"/>
                                </w:rPr>
                                <w:t>-0.5</w:t>
                              </w:r>
                            </w:p>
                          </w:txbxContent>
                        </wps:txbx>
                        <wps:bodyPr horzOverflow="overflow" vert="horz" lIns="0" tIns="0" rIns="0" bIns="0" rtlCol="0">
                          <a:noAutofit/>
                        </wps:bodyPr>
                      </wps:wsp>
                      <wps:wsp>
                        <wps:cNvPr id="373894598" name="Rectangle 373894598"/>
                        <wps:cNvSpPr/>
                        <wps:spPr>
                          <a:xfrm>
                            <a:off x="205435" y="1356224"/>
                            <a:ext cx="77074" cy="185570"/>
                          </a:xfrm>
                          <a:prstGeom prst="rect">
                            <a:avLst/>
                          </a:prstGeom>
                          <a:ln>
                            <a:noFill/>
                          </a:ln>
                        </wps:spPr>
                        <wps:txbx>
                          <w:txbxContent>
                            <w:p w14:paraId="25BB88FC" w14:textId="77777777" w:rsidR="00AF38C8" w:rsidRDefault="00AF38C8" w:rsidP="00AF38C8">
                              <w:r>
                                <w:rPr>
                                  <w:rFonts w:ascii="Calibri" w:eastAsia="Calibri" w:hAnsi="Calibri" w:cs="Calibri"/>
                                  <w:color w:val="595959"/>
                                  <w:sz w:val="18"/>
                                </w:rPr>
                                <w:t>0</w:t>
                              </w:r>
                            </w:p>
                          </w:txbxContent>
                        </wps:txbx>
                        <wps:bodyPr horzOverflow="overflow" vert="horz" lIns="0" tIns="0" rIns="0" bIns="0" rtlCol="0">
                          <a:noAutofit/>
                        </wps:bodyPr>
                      </wps:wsp>
                      <wps:wsp>
                        <wps:cNvPr id="1015273321" name="Rectangle 1015273321"/>
                        <wps:cNvSpPr/>
                        <wps:spPr>
                          <a:xfrm>
                            <a:off x="117653" y="1056250"/>
                            <a:ext cx="194432" cy="185570"/>
                          </a:xfrm>
                          <a:prstGeom prst="rect">
                            <a:avLst/>
                          </a:prstGeom>
                          <a:ln>
                            <a:noFill/>
                          </a:ln>
                        </wps:spPr>
                        <wps:txbx>
                          <w:txbxContent>
                            <w:p w14:paraId="0B27BC01" w14:textId="77777777" w:rsidR="00AF38C8" w:rsidRDefault="00AF38C8" w:rsidP="00AF38C8">
                              <w:r>
                                <w:rPr>
                                  <w:rFonts w:ascii="Calibri" w:eastAsia="Calibri" w:hAnsi="Calibri" w:cs="Calibri"/>
                                  <w:color w:val="595959"/>
                                  <w:w w:val="101"/>
                                  <w:sz w:val="18"/>
                                </w:rPr>
                                <w:t>0.5</w:t>
                              </w:r>
                            </w:p>
                          </w:txbxContent>
                        </wps:txbx>
                        <wps:bodyPr horzOverflow="overflow" vert="horz" lIns="0" tIns="0" rIns="0" bIns="0" rtlCol="0">
                          <a:noAutofit/>
                        </wps:bodyPr>
                      </wps:wsp>
                      <wps:wsp>
                        <wps:cNvPr id="52808" name="Rectangle 52808"/>
                        <wps:cNvSpPr/>
                        <wps:spPr>
                          <a:xfrm>
                            <a:off x="205435" y="756658"/>
                            <a:ext cx="77074" cy="185570"/>
                          </a:xfrm>
                          <a:prstGeom prst="rect">
                            <a:avLst/>
                          </a:prstGeom>
                          <a:ln>
                            <a:noFill/>
                          </a:ln>
                        </wps:spPr>
                        <wps:txbx>
                          <w:txbxContent>
                            <w:p w14:paraId="31CA8943" w14:textId="77777777" w:rsidR="00AF38C8" w:rsidRDefault="00AF38C8" w:rsidP="00AF38C8">
                              <w:r>
                                <w:rPr>
                                  <w:rFonts w:ascii="Calibri" w:eastAsia="Calibri" w:hAnsi="Calibri" w:cs="Calibri"/>
                                  <w:color w:val="595959"/>
                                  <w:sz w:val="18"/>
                                </w:rPr>
                                <w:t>1</w:t>
                              </w:r>
                            </w:p>
                          </w:txbxContent>
                        </wps:txbx>
                        <wps:bodyPr horzOverflow="overflow" vert="horz" lIns="0" tIns="0" rIns="0" bIns="0" rtlCol="0">
                          <a:noAutofit/>
                        </wps:bodyPr>
                      </wps:wsp>
                      <wps:wsp>
                        <wps:cNvPr id="108248486" name="Rectangle 108248486"/>
                        <wps:cNvSpPr/>
                        <wps:spPr>
                          <a:xfrm>
                            <a:off x="117653" y="456684"/>
                            <a:ext cx="194432" cy="185570"/>
                          </a:xfrm>
                          <a:prstGeom prst="rect">
                            <a:avLst/>
                          </a:prstGeom>
                          <a:ln>
                            <a:noFill/>
                          </a:ln>
                        </wps:spPr>
                        <wps:txbx>
                          <w:txbxContent>
                            <w:p w14:paraId="2E83DA17" w14:textId="77777777" w:rsidR="00AF38C8" w:rsidRDefault="00AF38C8" w:rsidP="00AF38C8">
                              <w:r>
                                <w:rPr>
                                  <w:rFonts w:ascii="Calibri" w:eastAsia="Calibri" w:hAnsi="Calibri" w:cs="Calibri"/>
                                  <w:color w:val="595959"/>
                                  <w:w w:val="101"/>
                                  <w:sz w:val="18"/>
                                </w:rPr>
                                <w:t>1.5</w:t>
                              </w:r>
                            </w:p>
                          </w:txbxContent>
                        </wps:txbx>
                        <wps:bodyPr horzOverflow="overflow" vert="horz" lIns="0" tIns="0" rIns="0" bIns="0" rtlCol="0">
                          <a:noAutofit/>
                        </wps:bodyPr>
                      </wps:wsp>
                      <wps:wsp>
                        <wps:cNvPr id="1419333972" name="Rectangle 1419333972"/>
                        <wps:cNvSpPr/>
                        <wps:spPr>
                          <a:xfrm>
                            <a:off x="1660525" y="95741"/>
                            <a:ext cx="1426851" cy="371140"/>
                          </a:xfrm>
                          <a:prstGeom prst="rect">
                            <a:avLst/>
                          </a:prstGeom>
                          <a:ln>
                            <a:noFill/>
                          </a:ln>
                        </wps:spPr>
                        <wps:txbx>
                          <w:txbxContent>
                            <w:p w14:paraId="5E419B86" w14:textId="77777777" w:rsidR="00AF38C8" w:rsidRDefault="00AF38C8" w:rsidP="00AF38C8">
                              <w:r>
                                <w:rPr>
                                  <w:rFonts w:ascii="Calibri" w:eastAsia="Calibri" w:hAnsi="Calibri" w:cs="Calibri"/>
                                  <w:b/>
                                  <w:color w:val="595959"/>
                                  <w:w w:val="103"/>
                                  <w:sz w:val="36"/>
                                </w:rPr>
                                <w:t>Correlation</w:t>
                              </w:r>
                            </w:p>
                          </w:txbxContent>
                        </wps:txbx>
                        <wps:bodyPr horzOverflow="overflow" vert="horz" lIns="0" tIns="0" rIns="0" bIns="0" rtlCol="0">
                          <a:noAutofit/>
                        </wps:bodyPr>
                      </wps:wsp>
                      <wps:wsp>
                        <wps:cNvPr id="1845542520" name="Shape 897"/>
                        <wps:cNvSpPr/>
                        <wps:spPr>
                          <a:xfrm>
                            <a:off x="518554" y="2247096"/>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910015353" name="Rectangle 910015353"/>
                        <wps:cNvSpPr/>
                        <wps:spPr>
                          <a:xfrm>
                            <a:off x="608076" y="2202553"/>
                            <a:ext cx="693207" cy="185570"/>
                          </a:xfrm>
                          <a:prstGeom prst="rect">
                            <a:avLst/>
                          </a:prstGeom>
                          <a:ln>
                            <a:noFill/>
                          </a:ln>
                        </wps:spPr>
                        <wps:txbx>
                          <w:txbxContent>
                            <w:p w14:paraId="7378F9A7" w14:textId="77777777" w:rsidR="00AF38C8" w:rsidRDefault="00AF38C8" w:rsidP="00AF38C8">
                              <w:r>
                                <w:rPr>
                                  <w:rFonts w:ascii="Calibri" w:eastAsia="Calibri" w:hAnsi="Calibri" w:cs="Calibri"/>
                                  <w:color w:val="595959"/>
                                  <w:w w:val="101"/>
                                  <w:sz w:val="18"/>
                                </w:rPr>
                                <w:t>Visa</w:t>
                              </w:r>
                              <w:r>
                                <w:rPr>
                                  <w:rFonts w:ascii="Calibri" w:eastAsia="Calibri" w:hAnsi="Calibri" w:cs="Calibri"/>
                                  <w:color w:val="595959"/>
                                  <w:spacing w:val="-9"/>
                                  <w:w w:val="101"/>
                                  <w:sz w:val="18"/>
                                </w:rPr>
                                <w:t xml:space="preserve"> </w:t>
                              </w:r>
                              <w:r>
                                <w:rPr>
                                  <w:rFonts w:ascii="Calibri" w:eastAsia="Calibri" w:hAnsi="Calibri" w:cs="Calibri"/>
                                  <w:color w:val="595959"/>
                                  <w:w w:val="101"/>
                                  <w:sz w:val="18"/>
                                </w:rPr>
                                <w:t>Grants</w:t>
                              </w:r>
                            </w:p>
                          </w:txbxContent>
                        </wps:txbx>
                        <wps:bodyPr horzOverflow="overflow" vert="horz" lIns="0" tIns="0" rIns="0" bIns="0" rtlCol="0">
                          <a:noAutofit/>
                        </wps:bodyPr>
                      </wps:wsp>
                      <wps:wsp>
                        <wps:cNvPr id="1968213295" name="Shape 902"/>
                        <wps:cNvSpPr/>
                        <wps:spPr>
                          <a:xfrm>
                            <a:off x="1665224" y="2247096"/>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E97132"/>
                          </a:fillRef>
                          <a:effectRef idx="0">
                            <a:scrgbClr r="0" g="0" b="0"/>
                          </a:effectRef>
                          <a:fontRef idx="none"/>
                        </wps:style>
                        <wps:bodyPr/>
                      </wps:wsp>
                      <wps:wsp>
                        <wps:cNvPr id="258824589" name="Rectangle 258824589"/>
                        <wps:cNvSpPr/>
                        <wps:spPr>
                          <a:xfrm>
                            <a:off x="1755013" y="2202553"/>
                            <a:ext cx="604275" cy="185570"/>
                          </a:xfrm>
                          <a:prstGeom prst="rect">
                            <a:avLst/>
                          </a:prstGeom>
                          <a:ln>
                            <a:noFill/>
                          </a:ln>
                        </wps:spPr>
                        <wps:txbx>
                          <w:txbxContent>
                            <w:p w14:paraId="5BD0017C" w14:textId="77777777" w:rsidR="00AF38C8" w:rsidRDefault="00AF38C8" w:rsidP="00AF38C8">
                              <w:r>
                                <w:rPr>
                                  <w:rFonts w:ascii="Calibri" w:eastAsia="Calibri" w:hAnsi="Calibri" w:cs="Calibri"/>
                                  <w:color w:val="595959"/>
                                  <w:w w:val="101"/>
                                  <w:sz w:val="18"/>
                                </w:rPr>
                                <w:t>RQF</w:t>
                              </w:r>
                              <w:r>
                                <w:rPr>
                                  <w:rFonts w:ascii="Calibri" w:eastAsia="Calibri" w:hAnsi="Calibri" w:cs="Calibri"/>
                                  <w:color w:val="595959"/>
                                  <w:spacing w:val="-7"/>
                                  <w:w w:val="101"/>
                                  <w:sz w:val="18"/>
                                </w:rPr>
                                <w:t xml:space="preserve"> </w:t>
                              </w:r>
                              <w:r>
                                <w:rPr>
                                  <w:rFonts w:ascii="Calibri" w:eastAsia="Calibri" w:hAnsi="Calibri" w:cs="Calibri"/>
                                  <w:color w:val="595959"/>
                                  <w:w w:val="101"/>
                                  <w:sz w:val="18"/>
                                </w:rPr>
                                <w:t>Level</w:t>
                              </w:r>
                            </w:p>
                          </w:txbxContent>
                        </wps:txbx>
                        <wps:bodyPr horzOverflow="overflow" vert="horz" lIns="0" tIns="0" rIns="0" bIns="0" rtlCol="0">
                          <a:noAutofit/>
                        </wps:bodyPr>
                      </wps:wsp>
                      <wps:wsp>
                        <wps:cNvPr id="1686332636" name="Shape 907"/>
                        <wps:cNvSpPr/>
                        <wps:spPr>
                          <a:xfrm>
                            <a:off x="2811907" y="2247096"/>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196B24"/>
                          </a:fillRef>
                          <a:effectRef idx="0">
                            <a:scrgbClr r="0" g="0" b="0"/>
                          </a:effectRef>
                          <a:fontRef idx="none"/>
                        </wps:style>
                        <wps:bodyPr/>
                      </wps:wsp>
                      <wps:wsp>
                        <wps:cNvPr id="1612720974" name="Rectangle 1612720974"/>
                        <wps:cNvSpPr/>
                        <wps:spPr>
                          <a:xfrm>
                            <a:off x="2901950" y="2202553"/>
                            <a:ext cx="1002261" cy="185570"/>
                          </a:xfrm>
                          <a:prstGeom prst="rect">
                            <a:avLst/>
                          </a:prstGeom>
                          <a:ln>
                            <a:noFill/>
                          </a:ln>
                        </wps:spPr>
                        <wps:txbx>
                          <w:txbxContent>
                            <w:p w14:paraId="073ABDCA" w14:textId="77777777" w:rsidR="00AF38C8" w:rsidRDefault="00AF38C8" w:rsidP="00AF38C8">
                              <w:r>
                                <w:rPr>
                                  <w:rFonts w:ascii="Calibri" w:eastAsia="Calibri" w:hAnsi="Calibri" w:cs="Calibri"/>
                                  <w:color w:val="595959"/>
                                  <w:w w:val="99"/>
                                  <w:sz w:val="18"/>
                                </w:rPr>
                                <w:t>Salary</w:t>
                              </w:r>
                              <w:r>
                                <w:rPr>
                                  <w:rFonts w:ascii="Calibri" w:eastAsia="Calibri" w:hAnsi="Calibri" w:cs="Calibri"/>
                                  <w:color w:val="595959"/>
                                  <w:spacing w:val="-8"/>
                                  <w:w w:val="99"/>
                                  <w:sz w:val="18"/>
                                </w:rPr>
                                <w:t xml:space="preserve"> </w:t>
                              </w:r>
                              <w:r>
                                <w:rPr>
                                  <w:rFonts w:ascii="Calibri" w:eastAsia="Calibri" w:hAnsi="Calibri" w:cs="Calibri"/>
                                  <w:color w:val="595959"/>
                                  <w:w w:val="99"/>
                                  <w:sz w:val="18"/>
                                </w:rPr>
                                <w:t>Threshold</w:t>
                              </w:r>
                            </w:p>
                          </w:txbxContent>
                        </wps:txbx>
                        <wps:bodyPr horzOverflow="overflow" vert="horz" lIns="0" tIns="0" rIns="0" bIns="0" rtlCol="0">
                          <a:noAutofit/>
                        </wps:bodyPr>
                      </wps:wsp>
                      <wps:wsp>
                        <wps:cNvPr id="1794060263" name="Shape 912"/>
                        <wps:cNvSpPr/>
                        <wps:spPr>
                          <a:xfrm>
                            <a:off x="518554" y="2461345"/>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0F9ED5"/>
                          </a:fillRef>
                          <a:effectRef idx="0">
                            <a:scrgbClr r="0" g="0" b="0"/>
                          </a:effectRef>
                          <a:fontRef idx="none"/>
                        </wps:style>
                        <wps:bodyPr/>
                      </wps:wsp>
                      <wps:wsp>
                        <wps:cNvPr id="1329957704" name="Rectangle 1329957704"/>
                        <wps:cNvSpPr/>
                        <wps:spPr>
                          <a:xfrm>
                            <a:off x="608076" y="2416929"/>
                            <a:ext cx="1357074" cy="185570"/>
                          </a:xfrm>
                          <a:prstGeom prst="rect">
                            <a:avLst/>
                          </a:prstGeom>
                          <a:ln>
                            <a:noFill/>
                          </a:ln>
                        </wps:spPr>
                        <wps:txbx>
                          <w:txbxContent>
                            <w:p w14:paraId="674451F9" w14:textId="77777777" w:rsidR="00AF38C8" w:rsidRDefault="00AF38C8" w:rsidP="00AF38C8">
                              <w:r>
                                <w:rPr>
                                  <w:rFonts w:ascii="Calibri" w:eastAsia="Calibri" w:hAnsi="Calibri" w:cs="Calibri"/>
                                  <w:color w:val="595959"/>
                                  <w:w w:val="99"/>
                                  <w:sz w:val="18"/>
                                </w:rPr>
                                <w:t>Dependant</w:t>
                              </w:r>
                              <w:r>
                                <w:rPr>
                                  <w:rFonts w:ascii="Calibri" w:eastAsia="Calibri" w:hAnsi="Calibri" w:cs="Calibri"/>
                                  <w:color w:val="595959"/>
                                  <w:spacing w:val="-8"/>
                                  <w:w w:val="99"/>
                                  <w:sz w:val="18"/>
                                </w:rPr>
                                <w:t xml:space="preserve"> </w:t>
                              </w:r>
                              <w:r>
                                <w:rPr>
                                  <w:rFonts w:ascii="Calibri" w:eastAsia="Calibri" w:hAnsi="Calibri" w:cs="Calibri"/>
                                  <w:color w:val="595959"/>
                                  <w:w w:val="99"/>
                                  <w:sz w:val="18"/>
                                </w:rPr>
                                <w:t>Restriction</w:t>
                              </w:r>
                            </w:p>
                          </w:txbxContent>
                        </wps:txbx>
                        <wps:bodyPr horzOverflow="overflow" vert="horz" lIns="0" tIns="0" rIns="0" bIns="0" rtlCol="0">
                          <a:noAutofit/>
                        </wps:bodyPr>
                      </wps:wsp>
                      <wps:wsp>
                        <wps:cNvPr id="1713243176" name="Shape 917"/>
                        <wps:cNvSpPr/>
                        <wps:spPr>
                          <a:xfrm>
                            <a:off x="1665224" y="2461345"/>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A02B93"/>
                          </a:fillRef>
                          <a:effectRef idx="0">
                            <a:scrgbClr r="0" g="0" b="0"/>
                          </a:effectRef>
                          <a:fontRef idx="none"/>
                        </wps:style>
                        <wps:bodyPr/>
                      </wps:wsp>
                      <wps:wsp>
                        <wps:cNvPr id="1561367556" name="Rectangle 1561367556"/>
                        <wps:cNvSpPr/>
                        <wps:spPr>
                          <a:xfrm>
                            <a:off x="1755013" y="2416929"/>
                            <a:ext cx="1070822" cy="185570"/>
                          </a:xfrm>
                          <a:prstGeom prst="rect">
                            <a:avLst/>
                          </a:prstGeom>
                          <a:ln>
                            <a:noFill/>
                          </a:ln>
                        </wps:spPr>
                        <wps:txbx>
                          <w:txbxContent>
                            <w:p w14:paraId="648D72CB" w14:textId="77777777" w:rsidR="00AF38C8" w:rsidRDefault="00AF38C8" w:rsidP="00AF38C8">
                              <w:r>
                                <w:rPr>
                                  <w:rFonts w:ascii="Calibri" w:eastAsia="Calibri" w:hAnsi="Calibri" w:cs="Calibri"/>
                                  <w:color w:val="595959"/>
                                  <w:w w:val="102"/>
                                  <w:sz w:val="18"/>
                                </w:rPr>
                                <w:t>Overseas</w:t>
                              </w:r>
                              <w:r>
                                <w:rPr>
                                  <w:rFonts w:ascii="Calibri" w:eastAsia="Calibri" w:hAnsi="Calibri" w:cs="Calibri"/>
                                  <w:color w:val="595959"/>
                                  <w:spacing w:val="-8"/>
                                  <w:w w:val="102"/>
                                  <w:sz w:val="18"/>
                                </w:rPr>
                                <w:t xml:space="preserve"> </w:t>
                              </w:r>
                              <w:r>
                                <w:rPr>
                                  <w:rFonts w:ascii="Calibri" w:eastAsia="Calibri" w:hAnsi="Calibri" w:cs="Calibri"/>
                                  <w:color w:val="595959"/>
                                  <w:w w:val="102"/>
                                  <w:sz w:val="18"/>
                                </w:rPr>
                                <w:t>Closure</w:t>
                              </w:r>
                            </w:p>
                          </w:txbxContent>
                        </wps:txbx>
                        <wps:bodyPr horzOverflow="overflow" vert="horz" lIns="0" tIns="0" rIns="0" bIns="0" rtlCol="0">
                          <a:noAutofit/>
                        </wps:bodyPr>
                      </wps:wsp>
                      <wps:wsp>
                        <wps:cNvPr id="613751729" name="Shape 72"/>
                        <wps:cNvSpPr/>
                        <wps:spPr>
                          <a:xfrm>
                            <a:off x="0" y="0"/>
                            <a:ext cx="4395216" cy="2657094"/>
                          </a:xfrm>
                          <a:custGeom>
                            <a:avLst/>
                            <a:gdLst/>
                            <a:ahLst/>
                            <a:cxnLst/>
                            <a:rect l="0" t="0" r="0" b="0"/>
                            <a:pathLst>
                              <a:path w="4395216" h="2657094">
                                <a:moveTo>
                                  <a:pt x="0" y="2657094"/>
                                </a:moveTo>
                                <a:lnTo>
                                  <a:pt x="4395216" y="2657094"/>
                                </a:lnTo>
                                <a:lnTo>
                                  <a:pt x="4395216" y="0"/>
                                </a:lnTo>
                                <a:lnTo>
                                  <a:pt x="0" y="0"/>
                                </a:lnTo>
                                <a:close/>
                              </a:path>
                            </a:pathLst>
                          </a:custGeom>
                          <a:ln w="9525" cap="flat">
                            <a:round/>
                          </a:ln>
                        </wps:spPr>
                        <wps:style>
                          <a:lnRef idx="1">
                            <a:srgbClr val="D9D9D9"/>
                          </a:lnRef>
                          <a:fillRef idx="0">
                            <a:srgbClr val="000000">
                              <a:alpha val="0"/>
                            </a:srgbClr>
                          </a:fillRef>
                          <a:effectRef idx="0">
                            <a:scrgbClr r="0" g="0" b="0"/>
                          </a:effectRef>
                          <a:fontRef idx="none"/>
                        </wps:style>
                        <wps:bodyPr/>
                      </wps:wsp>
                    </wpg:wgp>
                  </a:graphicData>
                </a:graphic>
              </wp:inline>
            </w:drawing>
          </mc:Choice>
          <mc:Fallback>
            <w:pict>
              <v:group w14:anchorId="4DC837E0" id="Group 1915502945" o:spid="_x0000_s1121" style="width:346.1pt;height:209.2pt;mso-position-horizontal-relative:char;mso-position-vertical-relative:line" coordsize="43952,265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">
                <v:shape id="Shape 34" o:spid="_x0000_s1122" style="position:absolute;left:3686;top:20316;width:38869;height:0;visibility:visible;mso-wrap-style:square;v-text-anchor:top" coordsize="38869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" path="m,l3886911,e" filled="f" strokecolor="#d9d9d9">
                  <v:path arrowok="t" textboxrect="0,0,3886911,0"/>
                </v:shape>
                <v:shape id="Shape 35" o:spid="_x0000_s1123" style="position:absolute;left:3686;top:17320;width:38869;height:0;visibility:visible;mso-wrap-style:square;v-text-anchor:top" coordsize="38869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" path="m,l3886911,e" filled="f" strokecolor="#d9d9d9">
                  <v:path arrowok="t" textboxrect="0,0,3886911,0"/>
                </v:shape>
                <v:shape id="Shape 36" o:spid="_x0000_s1124" style="position:absolute;left:3686;top:11330;width:38869;height:0;visibility:visible;mso-wrap-style:square;v-text-anchor:top" coordsize="38869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" path="m,l3886911,e" filled="f" strokecolor="#d9d9d9">
                  <v:path arrowok="t" textboxrect="0,0,3886911,0"/>
                </v:shape>
                <v:shape id="Shape 37" o:spid="_x0000_s1125" style="position:absolute;left:3686;top:8328;width:38869;height:0;visibility:visible;mso-wrap-style:square;v-text-anchor:top" coordsize="38869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" path="m,l3886911,e" filled="f" strokecolor="#d9d9d9">
                  <v:path arrowok="t" textboxrect="0,0,3886911,0"/>
                </v:shape>
                <v:shape id="Shape 38" o:spid="_x0000_s1126" style="position:absolute;left:3686;top:5330;width:38869;height:0;visibility:visible;mso-wrap-style:square;v-text-anchor:top" coordsize="38869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" path="m,l3886911,e" filled="f" strokecolor="#d9d9d9">
                  <v:path arrowok="t" textboxrect="0,0,3886911,0"/>
                </v:shape>
                <v:shape id="Shape 872" o:spid="_x0000_s1127" style="position:absolute;left:35814;top:14317;width:929;height:2972;visibility:visible;mso-wrap-style:square;v-text-anchor:top" coordsize="92964,297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" path="m,l92964,r,297180l,297180,,e" fillcolor="#156082" stroked="f" strokeweight="0">
                  <v:path arrowok="t" textboxrect="0,0,92964,297180"/>
                </v:shape>
                <v:shape id="Shape 873" o:spid="_x0000_s1128" style="position:absolute;left:28041;top:14317;width:930;height:3704;visibility:visible;mso-wrap-style:square;v-text-anchor:top" coordsize="92964,370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" path="m,l92964,r,370332l,370332,,e" fillcolor="#156082" stroked="f" strokeweight="0">
                  <v:path arrowok="t" textboxrect="0,0,92964,370332"/>
                </v:shape>
                <v:shape id="Shape 874" o:spid="_x0000_s1129" style="position:absolute;left:20269;top:14317;width:929;height:2972;visibility:visible;mso-wrap-style:square;v-text-anchor:top" coordsize="92964,297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" path="m,l92964,r,297180l,297180,,e" fillcolor="#156082" stroked="f" strokeweight="0">
                  <v:path arrowok="t" textboxrect="0,0,92964,297180"/>
                </v:shape>
                <v:shape id="Shape 875" o:spid="_x0000_s1130" style="position:absolute;left:12496;top:14317;width:930;height:2972;visibility:visible;mso-wrap-style:square;v-text-anchor:top" coordsize="92964,297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" path="m,l92964,r,297180l,297180,,e" fillcolor="#156082" stroked="f" strokeweight="0">
                  <v:path arrowok="t" textboxrect="0,0,92964,297180"/>
                </v:shape>
                <v:shape id="Shape 876" o:spid="_x0000_s1131" style="position:absolute;left:4709;top:8328;width:945;height:5989;visibility:visible;mso-wrap-style:square;v-text-anchor:top" coordsize="94488,59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" path="m,l94488,r,598932l,598932,,e" fillcolor="#156082" stroked="f" strokeweight="0">
                  <v:path arrowok="t" textboxrect="0,0,94488,598932"/>
                </v:shape>
                <v:shape id="Shape 877" o:spid="_x0000_s1132" style="position:absolute;left:29230;top:9944;width:945;height:4373;visibility:visible;mso-wrap-style:square;v-text-anchor:top" coordsize="94488,437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" path="m,l94488,r,437388l,437388,,e" fillcolor="#e97132" stroked="f" strokeweight="0">
                  <v:path arrowok="t" textboxrect="0,0,94488,437388"/>
                </v:shape>
                <v:shape id="Shape 878" o:spid="_x0000_s1133" style="position:absolute;left:37002;top:8328;width:945;height:5989;visibility:visible;mso-wrap-style:square;v-text-anchor:top" coordsize="94488,59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" path="m,l94488,r,598932l,598932,,e" fillcolor="#e97132" stroked="f" strokeweight="0">
                  <v:path arrowok="t" textboxrect="0,0,94488,598932"/>
                </v:shape>
                <v:shape id="Shape 879" o:spid="_x0000_s1134" style="position:absolute;left:21457;top:8328;width:945;height:5989;visibility:visible;mso-wrap-style:square;v-text-anchor:top" coordsize="94488,59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" path="m,l94488,r,598932l,598932,,e" fillcolor="#e97132" stroked="f" strokeweight="0">
                  <v:path arrowok="t" textboxrect="0,0,94488,598932"/>
                </v:shape>
                <v:shape id="Shape 880" o:spid="_x0000_s1135" style="position:absolute;left:13685;top:8328;width:945;height:5989;visibility:visible;mso-wrap-style:square;v-text-anchor:top" coordsize="94488,59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" path="m,l94488,r,598932l,598932,,e" fillcolor="#e97132" stroked="f" strokeweight="0">
                  <v:path arrowok="t" textboxrect="0,0,94488,598932"/>
                </v:shape>
                <v:shape id="Shape 881" o:spid="_x0000_s1136" style="position:absolute;left:30419;top:9944;width:944;height:4373;visibility:visible;mso-wrap-style:square;v-text-anchor:top" coordsize="94488,437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" path="m,l94488,r,437388l,437388,,e" fillcolor="#196b24" stroked="f" strokeweight="0">
                  <v:path arrowok="t" textboxrect="0,0,94488,437388"/>
                </v:shape>
                <v:shape id="Shape 882" o:spid="_x0000_s1137" style="position:absolute;left:38191;top:8328;width:945;height:5989;visibility:visible;mso-wrap-style:square;v-text-anchor:top" coordsize="94488,59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" path="m,l94488,r,598932l,598932,,e" fillcolor="#196b24" stroked="f" strokeweight="0">
                  <v:path arrowok="t" textboxrect="0,0,94488,598932"/>
                </v:shape>
                <v:shape id="Shape 883" o:spid="_x0000_s1138" style="position:absolute;left:22646;top:8328;width:945;height:5989;visibility:visible;mso-wrap-style:square;v-text-anchor:top" coordsize="94488,59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" path="m,l94488,r,598932l,598932,,e" fillcolor="#196b24" stroked="f" strokeweight="0">
                  <v:path arrowok="t" textboxrect="0,0,94488,598932"/>
                </v:shape>
                <v:shape id="Shape 884" o:spid="_x0000_s1139" style="position:absolute;left:39395;top:9944;width:930;height:4373;visibility:visible;mso-wrap-style:square;v-text-anchor:top" coordsize="92964,437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" path="m,l92964,r,437388l,437388,,e" fillcolor="#0f9ed5" stroked="f" strokeweight="0">
                  <v:path arrowok="t" textboxrect="0,0,92964,437388"/>
                </v:shape>
                <v:shape id="Shape 885" o:spid="_x0000_s1140" style="position:absolute;left:31623;top:8328;width:929;height:5989;visibility:visible;mso-wrap-style:square;v-text-anchor:top" coordsize="92964,59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" path="m,l92964,r,598932l,598932,,e" fillcolor="#0f9ed5" stroked="f" strokeweight="0">
                  <v:path arrowok="t" textboxrect="0,0,92964,598932"/>
                </v:shape>
                <v:shape id="Shape 886" o:spid="_x0000_s1141" style="position:absolute;left:40584;top:8328;width:945;height:5989;visibility:visible;mso-wrap-style:square;v-text-anchor:top" coordsize="94488,59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" path="m,l94488,r,598932l,598932,,e" fillcolor="#a02b93" stroked="f" strokeweight="0">
                  <v:path arrowok="t" textboxrect="0,0,94488,598932"/>
                </v:shape>
                <v:shape id="Shape 54" o:spid="_x0000_s1142" style="position:absolute;left:3686;top:14321;width:38869;height:0;visibility:visible;mso-wrap-style:square;v-text-anchor:top" coordsize="38869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" path="m,l3886911,e" filled="f" strokecolor="#d9d9d9">
                  <v:path arrowok="t" textboxrect="0,0,3886911,0"/>
                </v:shape>
                <v:rect id="Rectangle 1279773729" o:spid="_x0000_s1143" style="position:absolute;left:1703;top:19551;width:1239;height:1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" filled="f" stroked="f">
                  <v:textbox inset="0,0,0,0">
                    <w:txbxContent>
                      <w:p w14:paraId="5D17ADC3" w14:textId="77777777" w:rsidR="00AF38C8" w:rsidRDefault="00AF38C8" w:rsidP="00AF38C8">
                        <w:r>
                          <w:rPr>
                            <w:rFonts w:ascii="Calibri" w:eastAsia="Calibri" w:hAnsi="Calibri" w:cs="Calibri"/>
                            <w:color w:val="595959"/>
                            <w:w w:val="99"/>
                            <w:sz w:val="18"/>
                          </w:rPr>
                          <w:t>-1</w:t>
                        </w:r>
                      </w:p>
                    </w:txbxContent>
                  </v:textbox>
                </v:rect>
                <v:rect id="Rectangle 1285045731" o:spid="_x0000_s1144" style="position:absolute;left:826;top:16558;width:2392;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" filled="f" stroked="f">
                  <v:textbox inset="0,0,0,0">
                    <w:txbxContent>
                      <w:p w14:paraId="5D9941D0" w14:textId="77777777" w:rsidR="00AF38C8" w:rsidRDefault="00AF38C8" w:rsidP="00AF38C8">
                        <w:r>
                          <w:rPr>
                            <w:rFonts w:ascii="Calibri" w:eastAsia="Calibri" w:hAnsi="Calibri" w:cs="Calibri"/>
                            <w:color w:val="595959"/>
                            <w:sz w:val="18"/>
                          </w:rPr>
                          <w:t>-0.5</w:t>
                        </w:r>
                      </w:p>
                    </w:txbxContent>
                  </v:textbox>
                </v:rect>
                <v:rect id="Rectangle 373894598" o:spid="_x0000_s1145" style="position:absolute;left:2054;top:13562;width:7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" filled="f" stroked="f">
                  <v:textbox inset="0,0,0,0">
                    <w:txbxContent>
                      <w:p w14:paraId="25BB88FC" w14:textId="77777777" w:rsidR="00AF38C8" w:rsidRDefault="00AF38C8" w:rsidP="00AF38C8">
                        <w:r>
                          <w:rPr>
                            <w:rFonts w:ascii="Calibri" w:eastAsia="Calibri" w:hAnsi="Calibri" w:cs="Calibri"/>
                            <w:color w:val="595959"/>
                            <w:sz w:val="18"/>
                          </w:rPr>
                          <w:t>0</w:t>
                        </w:r>
                      </w:p>
                    </w:txbxContent>
                  </v:textbox>
                </v:rect>
                <v:rect id="Rectangle 1015273321" o:spid="_x0000_s1146" style="position:absolute;left:1176;top:10562;width:1944;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" filled="f" stroked="f">
                  <v:textbox inset="0,0,0,0">
                    <w:txbxContent>
                      <w:p w14:paraId="0B27BC01" w14:textId="77777777" w:rsidR="00AF38C8" w:rsidRDefault="00AF38C8" w:rsidP="00AF38C8">
                        <w:r>
                          <w:rPr>
                            <w:rFonts w:ascii="Calibri" w:eastAsia="Calibri" w:hAnsi="Calibri" w:cs="Calibri"/>
                            <w:color w:val="595959"/>
                            <w:w w:val="101"/>
                            <w:sz w:val="18"/>
                          </w:rPr>
                          <w:t>0.5</w:t>
                        </w:r>
                      </w:p>
                    </w:txbxContent>
                  </v:textbox>
                </v:rect>
                <v:rect id="Rectangle 52808" o:spid="_x0000_s1147" style="position:absolute;left:2054;top:7566;width:771;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" filled="f" stroked="f">
                  <v:textbox inset="0,0,0,0">
                    <w:txbxContent>
                      <w:p w14:paraId="31CA8943" w14:textId="77777777" w:rsidR="00AF38C8" w:rsidRDefault="00AF38C8" w:rsidP="00AF38C8">
                        <w:r>
                          <w:rPr>
                            <w:rFonts w:ascii="Calibri" w:eastAsia="Calibri" w:hAnsi="Calibri" w:cs="Calibri"/>
                            <w:color w:val="595959"/>
                            <w:sz w:val="18"/>
                          </w:rPr>
                          <w:t>1</w:t>
                        </w:r>
                      </w:p>
                    </w:txbxContent>
                  </v:textbox>
                </v:rect>
                <v:rect id="Rectangle 108248486" o:spid="_x0000_s1148" style="position:absolute;left:1176;top:4566;width:1944;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" filled="f" stroked="f">
                  <v:textbox inset="0,0,0,0">
                    <w:txbxContent>
                      <w:p w14:paraId="2E83DA17" w14:textId="77777777" w:rsidR="00AF38C8" w:rsidRDefault="00AF38C8" w:rsidP="00AF38C8">
                        <w:r>
                          <w:rPr>
                            <w:rFonts w:ascii="Calibri" w:eastAsia="Calibri" w:hAnsi="Calibri" w:cs="Calibri"/>
                            <w:color w:val="595959"/>
                            <w:w w:val="101"/>
                            <w:sz w:val="18"/>
                          </w:rPr>
                          <w:t>1.5</w:t>
                        </w:r>
                      </w:p>
                    </w:txbxContent>
                  </v:textbox>
                </v:rect>
                <v:rect id="Rectangle 1419333972" o:spid="_x0000_s1149" style="position:absolute;left:16605;top:957;width:14268;height:3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" filled="f" stroked="f">
                  <v:textbox inset="0,0,0,0">
                    <w:txbxContent>
                      <w:p w14:paraId="5E419B86" w14:textId="77777777" w:rsidR="00AF38C8" w:rsidRDefault="00AF38C8" w:rsidP="00AF38C8">
                        <w:r>
                          <w:rPr>
                            <w:rFonts w:ascii="Calibri" w:eastAsia="Calibri" w:hAnsi="Calibri" w:cs="Calibri"/>
                            <w:b/>
                            <w:color w:val="595959"/>
                            <w:w w:val="103"/>
                            <w:sz w:val="36"/>
                          </w:rPr>
                          <w:t>Correlation</w:t>
                        </w:r>
                      </w:p>
                    </w:txbxContent>
                  </v:textbox>
                </v:rect>
                <v:shape id="Shape 897" o:spid="_x0000_s1150" style="position:absolute;left:5185;top:22470;width:628;height:628;visibility:visible;mso-wrap-style:square;v-text-anchor:top" coordsize="62780,6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" path="m,l62780,r,62780l,62780,,e" fillcolor="#156082" stroked="f" strokeweight="0">
                  <v:path arrowok="t" textboxrect="0,0,62780,62780"/>
                </v:shape>
                <v:rect id="Rectangle 910015353" o:spid="_x0000_s1151" style="position:absolute;left:6080;top:22025;width:693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" filled="f" stroked="f">
                  <v:textbox inset="0,0,0,0">
                    <w:txbxContent>
                      <w:p w14:paraId="7378F9A7" w14:textId="77777777" w:rsidR="00AF38C8" w:rsidRDefault="00AF38C8" w:rsidP="00AF38C8">
                        <w:r>
                          <w:rPr>
                            <w:rFonts w:ascii="Calibri" w:eastAsia="Calibri" w:hAnsi="Calibri" w:cs="Calibri"/>
                            <w:color w:val="595959"/>
                            <w:w w:val="101"/>
                            <w:sz w:val="18"/>
                          </w:rPr>
                          <w:t>Visa</w:t>
                        </w:r>
                        <w:r>
                          <w:rPr>
                            <w:rFonts w:ascii="Calibri" w:eastAsia="Calibri" w:hAnsi="Calibri" w:cs="Calibri"/>
                            <w:color w:val="595959"/>
                            <w:spacing w:val="-9"/>
                            <w:w w:val="101"/>
                            <w:sz w:val="18"/>
                          </w:rPr>
                          <w:t xml:space="preserve"> </w:t>
                        </w:r>
                        <w:r>
                          <w:rPr>
                            <w:rFonts w:ascii="Calibri" w:eastAsia="Calibri" w:hAnsi="Calibri" w:cs="Calibri"/>
                            <w:color w:val="595959"/>
                            <w:w w:val="101"/>
                            <w:sz w:val="18"/>
                          </w:rPr>
                          <w:t>Grants</w:t>
                        </w:r>
                      </w:p>
                    </w:txbxContent>
                  </v:textbox>
                </v:rect>
                <v:shape id="Shape 902" o:spid="_x0000_s1152" style="position:absolute;left:16652;top:22470;width:628;height:628;visibility:visible;mso-wrap-style:square;v-text-anchor:top" coordsize="62780,6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" path="m,l62780,r,62780l,62780,,e" fillcolor="#e97132" stroked="f" strokeweight="0">
                  <v:path arrowok="t" textboxrect="0,0,62780,62780"/>
                </v:shape>
                <v:rect id="Rectangle 258824589" o:spid="_x0000_s1153" style="position:absolute;left:17550;top:22025;width:604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" filled="f" stroked="f">
                  <v:textbox inset="0,0,0,0">
                    <w:txbxContent>
                      <w:p w14:paraId="5BD0017C" w14:textId="77777777" w:rsidR="00AF38C8" w:rsidRDefault="00AF38C8" w:rsidP="00AF38C8">
                        <w:r>
                          <w:rPr>
                            <w:rFonts w:ascii="Calibri" w:eastAsia="Calibri" w:hAnsi="Calibri" w:cs="Calibri"/>
                            <w:color w:val="595959"/>
                            <w:w w:val="101"/>
                            <w:sz w:val="18"/>
                          </w:rPr>
                          <w:t>RQF</w:t>
                        </w:r>
                        <w:r>
                          <w:rPr>
                            <w:rFonts w:ascii="Calibri" w:eastAsia="Calibri" w:hAnsi="Calibri" w:cs="Calibri"/>
                            <w:color w:val="595959"/>
                            <w:spacing w:val="-7"/>
                            <w:w w:val="101"/>
                            <w:sz w:val="18"/>
                          </w:rPr>
                          <w:t xml:space="preserve"> </w:t>
                        </w:r>
                        <w:r>
                          <w:rPr>
                            <w:rFonts w:ascii="Calibri" w:eastAsia="Calibri" w:hAnsi="Calibri" w:cs="Calibri"/>
                            <w:color w:val="595959"/>
                            <w:w w:val="101"/>
                            <w:sz w:val="18"/>
                          </w:rPr>
                          <w:t>Level</w:t>
                        </w:r>
                      </w:p>
                    </w:txbxContent>
                  </v:textbox>
                </v:rect>
                <v:shape id="Shape 907" o:spid="_x0000_s1154" style="position:absolute;left:28119;top:22470;width:627;height:628;visibility:visible;mso-wrap-style:square;v-text-anchor:top" coordsize="62780,6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" path="m,l62780,r,62780l,62780,,e" fillcolor="#196b24" stroked="f" strokeweight="0">
                  <v:path arrowok="t" textboxrect="0,0,62780,62780"/>
                </v:shape>
                <v:rect id="Rectangle 1612720974" o:spid="_x0000_s1155" style="position:absolute;left:29019;top:22025;width:10023;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" filled="f" stroked="f">
                  <v:textbox inset="0,0,0,0">
                    <w:txbxContent>
                      <w:p w14:paraId="073ABDCA" w14:textId="77777777" w:rsidR="00AF38C8" w:rsidRDefault="00AF38C8" w:rsidP="00AF38C8">
                        <w:r>
                          <w:rPr>
                            <w:rFonts w:ascii="Calibri" w:eastAsia="Calibri" w:hAnsi="Calibri" w:cs="Calibri"/>
                            <w:color w:val="595959"/>
                            <w:w w:val="99"/>
                            <w:sz w:val="18"/>
                          </w:rPr>
                          <w:t>Salary</w:t>
                        </w:r>
                        <w:r>
                          <w:rPr>
                            <w:rFonts w:ascii="Calibri" w:eastAsia="Calibri" w:hAnsi="Calibri" w:cs="Calibri"/>
                            <w:color w:val="595959"/>
                            <w:spacing w:val="-8"/>
                            <w:w w:val="99"/>
                            <w:sz w:val="18"/>
                          </w:rPr>
                          <w:t xml:space="preserve"> </w:t>
                        </w:r>
                        <w:r>
                          <w:rPr>
                            <w:rFonts w:ascii="Calibri" w:eastAsia="Calibri" w:hAnsi="Calibri" w:cs="Calibri"/>
                            <w:color w:val="595959"/>
                            <w:w w:val="99"/>
                            <w:sz w:val="18"/>
                          </w:rPr>
                          <w:t>Threshold</w:t>
                        </w:r>
                      </w:p>
                    </w:txbxContent>
                  </v:textbox>
                </v:rect>
                <v:shape id="Shape 912" o:spid="_x0000_s1156" style="position:absolute;left:5185;top:24613;width:628;height:628;visibility:visible;mso-wrap-style:square;v-text-anchor:top" coordsize="62780,6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" path="m,l62780,r,62780l,62780,,e" fillcolor="#0f9ed5" stroked="f" strokeweight="0">
                  <v:path arrowok="t" textboxrect="0,0,62780,62780"/>
                </v:shape>
                <v:rect id="Rectangle 1329957704" o:spid="_x0000_s1157" style="position:absolute;left:6080;top:24169;width:135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" filled="f" stroked="f">
                  <v:textbox inset="0,0,0,0">
                    <w:txbxContent>
                      <w:p w14:paraId="674451F9" w14:textId="77777777" w:rsidR="00AF38C8" w:rsidRDefault="00AF38C8" w:rsidP="00AF38C8">
                        <w:r>
                          <w:rPr>
                            <w:rFonts w:ascii="Calibri" w:eastAsia="Calibri" w:hAnsi="Calibri" w:cs="Calibri"/>
                            <w:color w:val="595959"/>
                            <w:w w:val="99"/>
                            <w:sz w:val="18"/>
                          </w:rPr>
                          <w:t>Dependant</w:t>
                        </w:r>
                        <w:r>
                          <w:rPr>
                            <w:rFonts w:ascii="Calibri" w:eastAsia="Calibri" w:hAnsi="Calibri" w:cs="Calibri"/>
                            <w:color w:val="595959"/>
                            <w:spacing w:val="-8"/>
                            <w:w w:val="99"/>
                            <w:sz w:val="18"/>
                          </w:rPr>
                          <w:t xml:space="preserve"> </w:t>
                        </w:r>
                        <w:r>
                          <w:rPr>
                            <w:rFonts w:ascii="Calibri" w:eastAsia="Calibri" w:hAnsi="Calibri" w:cs="Calibri"/>
                            <w:color w:val="595959"/>
                            <w:w w:val="99"/>
                            <w:sz w:val="18"/>
                          </w:rPr>
                          <w:t>Restriction</w:t>
                        </w:r>
                      </w:p>
                    </w:txbxContent>
                  </v:textbox>
                </v:rect>
                <v:shape id="Shape 917" o:spid="_x0000_s1158" style="position:absolute;left:16652;top:24613;width:628;height:628;visibility:visible;mso-wrap-style:square;v-text-anchor:top" coordsize="62780,6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" path="m,l62780,r,62780l,62780,,e" fillcolor="#a02b93" stroked="f" strokeweight="0">
                  <v:path arrowok="t" textboxrect="0,0,62780,62780"/>
                </v:shape>
                <v:rect id="Rectangle 1561367556" o:spid="_x0000_s1159" style="position:absolute;left:17550;top:24169;width:10708;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" filled="f" stroked="f">
                  <v:textbox inset="0,0,0,0">
                    <w:txbxContent>
                      <w:p w14:paraId="648D72CB" w14:textId="77777777" w:rsidR="00AF38C8" w:rsidRDefault="00AF38C8" w:rsidP="00AF38C8">
                        <w:r>
                          <w:rPr>
                            <w:rFonts w:ascii="Calibri" w:eastAsia="Calibri" w:hAnsi="Calibri" w:cs="Calibri"/>
                            <w:color w:val="595959"/>
                            <w:w w:val="102"/>
                            <w:sz w:val="18"/>
                          </w:rPr>
                          <w:t>Overseas</w:t>
                        </w:r>
                        <w:r>
                          <w:rPr>
                            <w:rFonts w:ascii="Calibri" w:eastAsia="Calibri" w:hAnsi="Calibri" w:cs="Calibri"/>
                            <w:color w:val="595959"/>
                            <w:spacing w:val="-8"/>
                            <w:w w:val="102"/>
                            <w:sz w:val="18"/>
                          </w:rPr>
                          <w:t xml:space="preserve"> </w:t>
                        </w:r>
                        <w:r>
                          <w:rPr>
                            <w:rFonts w:ascii="Calibri" w:eastAsia="Calibri" w:hAnsi="Calibri" w:cs="Calibri"/>
                            <w:color w:val="595959"/>
                            <w:w w:val="102"/>
                            <w:sz w:val="18"/>
                          </w:rPr>
                          <w:t>Closure</w:t>
                        </w:r>
                      </w:p>
                    </w:txbxContent>
                  </v:textbox>
                </v:rect>
                <v:shape id="Shape 72" o:spid="_x0000_s1160" style="position:absolute;width:43952;height:26570;visibility:visible;mso-wrap-style:square;v-text-anchor:top" coordsize="4395216,26570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" path="m,2657094r4395216,l4395216,,,,,2657094xe" filled="f" strokecolor="#d9d9d9">
                  <v:path arrowok="t" textboxrect="0,0,4395216,2657094"/>
                </v:shape>
                <w10:anchorlock/>
              </v:group>
            </w:pict>
          </mc:Fallback>
        </mc:AlternateContent>
      </w:r>
    </w:p>
    <w:p w14:paraId="6E1AF387" w14:textId="16D04DE8" w:rsidR="00196D5C" w:rsidRPr="005114B7" w:rsidRDefault="00C8320B" w:rsidP="005114B7">
      <w:pPr>
        <w:spacing w:line="360" w:lineRule="auto"/>
        <w:jc w:val="both"/>
        <w:rPr>
          <w:rFonts w:ascii="Arial" w:hAnsi="Arial" w:cs="Arial"/>
        </w:rPr>
      </w:pPr>
      <w:r>
        <w:rPr>
          <w:rFonts w:ascii="Arial" w:hAnsi="Arial" w:cs="Arial"/>
          <w:i/>
          <w:iCs/>
        </w:rPr>
        <w:t>This bar chart shows the</w:t>
      </w:r>
      <w:r w:rsidR="00183C58" w:rsidRPr="005114B7">
        <w:rPr>
          <w:rFonts w:ascii="Arial" w:hAnsi="Arial" w:cs="Arial"/>
          <w:i/>
          <w:iCs/>
        </w:rPr>
        <w:t xml:space="preserve"> Correlation analysis </w:t>
      </w:r>
      <w:r w:rsidR="008131D4">
        <w:rPr>
          <w:rFonts w:ascii="Arial" w:hAnsi="Arial" w:cs="Arial"/>
          <w:i/>
          <w:iCs/>
        </w:rPr>
        <w:t>between</w:t>
      </w:r>
      <w:r w:rsidR="005114B7" w:rsidRPr="005114B7">
        <w:rPr>
          <w:rFonts w:ascii="Arial" w:hAnsi="Arial" w:cs="Arial"/>
          <w:i/>
          <w:iCs/>
        </w:rPr>
        <w:t xml:space="preserve"> Visa Grants </w:t>
      </w:r>
      <w:r w:rsidR="008131D4">
        <w:rPr>
          <w:rFonts w:ascii="Arial" w:hAnsi="Arial" w:cs="Arial"/>
          <w:i/>
          <w:iCs/>
        </w:rPr>
        <w:t>and</w:t>
      </w:r>
      <w:r w:rsidR="005114B7" w:rsidRPr="005114B7">
        <w:rPr>
          <w:rFonts w:ascii="Arial" w:hAnsi="Arial" w:cs="Arial"/>
          <w:i/>
          <w:iCs/>
        </w:rPr>
        <w:t xml:space="preserve"> Policy Variables of</w:t>
      </w:r>
      <w:r w:rsidR="00183C58" w:rsidRPr="005114B7">
        <w:rPr>
          <w:rFonts w:ascii="Arial" w:hAnsi="Arial" w:cs="Arial"/>
          <w:i/>
          <w:iCs/>
        </w:rPr>
        <w:t xml:space="preserve"> Home Office visa statistics (2020–2026)</w:t>
      </w:r>
      <w:r>
        <w:rPr>
          <w:rFonts w:ascii="Arial" w:hAnsi="Arial" w:cs="Arial"/>
          <w:i/>
          <w:iCs/>
        </w:rPr>
        <w:t>.</w:t>
      </w:r>
    </w:p>
    <w:p w14:paraId="09A62289" w14:textId="77777777" w:rsidR="00196D5C" w:rsidRPr="005114B7" w:rsidRDefault="00196D5C" w:rsidP="005114B7">
      <w:pPr>
        <w:jc w:val="both"/>
        <w:rPr>
          <w:rFonts w:ascii="Arial" w:hAnsi="Arial" w:cs="Arial"/>
          <w:b/>
          <w:bCs/>
        </w:rPr>
      </w:pPr>
      <w:r w:rsidRPr="005114B7">
        <w:rPr>
          <w:rFonts w:ascii="Arial" w:hAnsi="Arial" w:cs="Arial"/>
          <w:b/>
          <w:bCs/>
        </w:rPr>
        <w:t>A.3 Regression Analysis</w:t>
      </w:r>
    </w:p>
    <w:p w14:paraId="458793AC" w14:textId="77777777" w:rsidR="00196D5C" w:rsidRPr="005114B7" w:rsidRDefault="00196D5C" w:rsidP="005114B7">
      <w:pPr>
        <w:jc w:val="both"/>
        <w:rPr>
          <w:rFonts w:ascii="Arial" w:hAnsi="Arial" w:cs="Arial"/>
        </w:rPr>
      </w:pPr>
      <w:r w:rsidRPr="005114B7">
        <w:rPr>
          <w:rFonts w:ascii="Arial" w:hAnsi="Arial" w:cs="Arial"/>
        </w:rPr>
        <w:t>Multiple regression analysis was conducted to examine the association between policy changes (independent variables) and visa grant rates (dependent variable). The regression model was specified as:</w:t>
      </w:r>
    </w:p>
    <w:p w14:paraId="13452981" w14:textId="77777777" w:rsidR="00287B25" w:rsidRPr="005114B7" w:rsidRDefault="00287B25" w:rsidP="005114B7">
      <w:pPr>
        <w:jc w:val="both"/>
        <w:rPr>
          <w:rFonts w:ascii="Arial" w:hAnsi="Arial" w:cs="Arial"/>
        </w:rPr>
      </w:pPr>
      <w:r w:rsidRPr="005114B7">
        <w:rPr>
          <w:rFonts w:ascii="Arial" w:hAnsi="Arial" w:cs="Arial"/>
          <w:i/>
          <w:iCs/>
        </w:rPr>
        <w:t>Y = β</w:t>
      </w:r>
      <w:r w:rsidRPr="005114B7">
        <w:rPr>
          <w:rFonts w:ascii="Cambria Math" w:hAnsi="Cambria Math" w:cs="Cambria Math"/>
          <w:i/>
          <w:iCs/>
        </w:rPr>
        <w:t>₀</w:t>
      </w:r>
      <w:r w:rsidRPr="005114B7">
        <w:rPr>
          <w:rFonts w:ascii="Arial" w:hAnsi="Arial" w:cs="Arial"/>
          <w:i/>
          <w:iCs/>
        </w:rPr>
        <w:t xml:space="preserve"> + β</w:t>
      </w:r>
      <w:r w:rsidRPr="005114B7">
        <w:rPr>
          <w:rFonts w:ascii="Cambria Math" w:hAnsi="Cambria Math" w:cs="Cambria Math"/>
          <w:i/>
          <w:iCs/>
        </w:rPr>
        <w:t>₁</w:t>
      </w:r>
      <w:r w:rsidRPr="005114B7">
        <w:rPr>
          <w:rFonts w:ascii="Arial" w:hAnsi="Arial" w:cs="Arial"/>
          <w:i/>
          <w:iCs/>
        </w:rPr>
        <w:t>X</w:t>
      </w:r>
      <w:r w:rsidRPr="005114B7">
        <w:rPr>
          <w:rFonts w:ascii="Cambria Math" w:hAnsi="Cambria Math" w:cs="Cambria Math"/>
          <w:i/>
          <w:iCs/>
        </w:rPr>
        <w:t>₁</w:t>
      </w:r>
      <w:r w:rsidRPr="005114B7">
        <w:rPr>
          <w:rFonts w:ascii="Arial" w:hAnsi="Arial" w:cs="Arial"/>
          <w:i/>
          <w:iCs/>
        </w:rPr>
        <w:t xml:space="preserve"> + β</w:t>
      </w:r>
      <w:r w:rsidRPr="005114B7">
        <w:rPr>
          <w:rFonts w:ascii="Cambria Math" w:hAnsi="Cambria Math" w:cs="Cambria Math"/>
          <w:i/>
          <w:iCs/>
        </w:rPr>
        <w:t>₂</w:t>
      </w:r>
      <w:r w:rsidRPr="005114B7">
        <w:rPr>
          <w:rFonts w:ascii="Arial" w:hAnsi="Arial" w:cs="Arial"/>
          <w:i/>
          <w:iCs/>
        </w:rPr>
        <w:t>X</w:t>
      </w:r>
      <w:r w:rsidRPr="005114B7">
        <w:rPr>
          <w:rFonts w:ascii="Cambria Math" w:hAnsi="Cambria Math" w:cs="Cambria Math"/>
          <w:i/>
          <w:iCs/>
        </w:rPr>
        <w:t>₂</w:t>
      </w:r>
      <w:r w:rsidRPr="005114B7">
        <w:rPr>
          <w:rFonts w:ascii="Arial" w:hAnsi="Arial" w:cs="Arial"/>
          <w:i/>
          <w:iCs/>
        </w:rPr>
        <w:t xml:space="preserve"> + β</w:t>
      </w:r>
      <w:r w:rsidRPr="005114B7">
        <w:rPr>
          <w:rFonts w:ascii="Cambria Math" w:hAnsi="Cambria Math" w:cs="Cambria Math"/>
          <w:i/>
          <w:iCs/>
        </w:rPr>
        <w:t>₃</w:t>
      </w:r>
      <w:r w:rsidRPr="005114B7">
        <w:rPr>
          <w:rFonts w:ascii="Arial" w:hAnsi="Arial" w:cs="Arial"/>
          <w:i/>
          <w:iCs/>
        </w:rPr>
        <w:t>X</w:t>
      </w:r>
      <w:r w:rsidRPr="005114B7">
        <w:rPr>
          <w:rFonts w:ascii="Cambria Math" w:hAnsi="Cambria Math" w:cs="Cambria Math"/>
          <w:i/>
          <w:iCs/>
        </w:rPr>
        <w:t>₃</w:t>
      </w:r>
      <w:r w:rsidRPr="005114B7">
        <w:rPr>
          <w:rFonts w:ascii="Arial" w:hAnsi="Arial" w:cs="Arial"/>
          <w:i/>
          <w:iCs/>
        </w:rPr>
        <w:t xml:space="preserve"> + β</w:t>
      </w:r>
      <w:r w:rsidRPr="005114B7">
        <w:rPr>
          <w:rFonts w:ascii="Cambria Math" w:hAnsi="Cambria Math" w:cs="Cambria Math"/>
          <w:i/>
          <w:iCs/>
        </w:rPr>
        <w:t>₄</w:t>
      </w:r>
      <w:r w:rsidRPr="005114B7">
        <w:rPr>
          <w:rFonts w:ascii="Arial" w:hAnsi="Arial" w:cs="Arial"/>
          <w:i/>
          <w:iCs/>
        </w:rPr>
        <w:t>X</w:t>
      </w:r>
      <w:r w:rsidRPr="005114B7">
        <w:rPr>
          <w:rFonts w:ascii="Cambria Math" w:hAnsi="Cambria Math" w:cs="Cambria Math"/>
          <w:i/>
          <w:iCs/>
        </w:rPr>
        <w:t>₄</w:t>
      </w:r>
      <w:r w:rsidRPr="005114B7">
        <w:rPr>
          <w:rFonts w:ascii="Arial" w:hAnsi="Arial" w:cs="Arial"/>
          <w:i/>
          <w:iCs/>
        </w:rPr>
        <w:t xml:space="preserve"> + ε</w:t>
      </w:r>
    </w:p>
    <w:p w14:paraId="5F55FEDF" w14:textId="77777777" w:rsidR="00287B25" w:rsidRPr="005114B7" w:rsidRDefault="00287B25" w:rsidP="005114B7">
      <w:pPr>
        <w:jc w:val="both"/>
        <w:rPr>
          <w:rFonts w:ascii="Arial" w:hAnsi="Arial" w:cs="Arial"/>
        </w:rPr>
      </w:pPr>
      <w:r w:rsidRPr="005114B7">
        <w:rPr>
          <w:rFonts w:ascii="Arial" w:hAnsi="Arial" w:cs="Arial"/>
        </w:rPr>
        <w:t>Where:</w:t>
      </w:r>
    </w:p>
    <w:p w14:paraId="011F9605" w14:textId="77777777" w:rsidR="00287B25" w:rsidRPr="005114B7" w:rsidRDefault="00287B25" w:rsidP="005114B7">
      <w:pPr>
        <w:ind w:left="360"/>
        <w:jc w:val="both"/>
        <w:rPr>
          <w:rFonts w:ascii="Arial" w:hAnsi="Arial" w:cs="Arial"/>
        </w:rPr>
      </w:pPr>
      <w:r w:rsidRPr="005114B7">
        <w:rPr>
          <w:rFonts w:ascii="Arial" w:hAnsi="Arial" w:cs="Arial"/>
          <w:i/>
          <w:iCs/>
        </w:rPr>
        <w:t>Y</w:t>
      </w:r>
      <w:r w:rsidRPr="005114B7">
        <w:rPr>
          <w:rFonts w:ascii="Arial" w:hAnsi="Arial" w:cs="Arial"/>
        </w:rPr>
        <w:t> = Visa grant rate</w:t>
      </w:r>
    </w:p>
    <w:p w14:paraId="33CAEB99" w14:textId="77777777" w:rsidR="00287B25" w:rsidRPr="005114B7" w:rsidRDefault="00287B25" w:rsidP="005114B7">
      <w:pPr>
        <w:ind w:left="360"/>
        <w:jc w:val="both"/>
        <w:rPr>
          <w:rFonts w:ascii="Arial" w:hAnsi="Arial" w:cs="Arial"/>
        </w:rPr>
      </w:pPr>
      <w:r w:rsidRPr="005114B7">
        <w:rPr>
          <w:rFonts w:ascii="Arial" w:hAnsi="Arial" w:cs="Arial"/>
          <w:i/>
          <w:iCs/>
        </w:rPr>
        <w:t>X</w:t>
      </w:r>
      <w:r w:rsidRPr="005114B7">
        <w:rPr>
          <w:rFonts w:ascii="Cambria Math" w:hAnsi="Cambria Math" w:cs="Cambria Math"/>
          <w:i/>
          <w:iCs/>
        </w:rPr>
        <w:t>₁</w:t>
      </w:r>
      <w:r w:rsidRPr="005114B7">
        <w:rPr>
          <w:rFonts w:ascii="Arial" w:hAnsi="Arial" w:cs="Arial"/>
        </w:rPr>
        <w:t> = Skill threshold (RQF Level)</w:t>
      </w:r>
    </w:p>
    <w:p w14:paraId="0ABD25C0" w14:textId="77777777" w:rsidR="00287B25" w:rsidRPr="005114B7" w:rsidRDefault="00287B25" w:rsidP="005114B7">
      <w:pPr>
        <w:ind w:left="360"/>
        <w:jc w:val="both"/>
        <w:rPr>
          <w:rFonts w:ascii="Arial" w:hAnsi="Arial" w:cs="Arial"/>
        </w:rPr>
      </w:pPr>
      <w:r w:rsidRPr="005114B7">
        <w:rPr>
          <w:rFonts w:ascii="Arial" w:hAnsi="Arial" w:cs="Arial"/>
          <w:i/>
          <w:iCs/>
        </w:rPr>
        <w:t>X</w:t>
      </w:r>
      <w:r w:rsidRPr="005114B7">
        <w:rPr>
          <w:rFonts w:ascii="Cambria Math" w:hAnsi="Cambria Math" w:cs="Cambria Math"/>
          <w:i/>
          <w:iCs/>
        </w:rPr>
        <w:t>₂</w:t>
      </w:r>
      <w:r w:rsidRPr="005114B7">
        <w:rPr>
          <w:rFonts w:ascii="Arial" w:hAnsi="Arial" w:cs="Arial"/>
        </w:rPr>
        <w:t> = Salary threshold (£'000)</w:t>
      </w:r>
    </w:p>
    <w:p w14:paraId="155DFB93" w14:textId="77777777" w:rsidR="00287B25" w:rsidRPr="005114B7" w:rsidRDefault="00287B25" w:rsidP="005114B7">
      <w:pPr>
        <w:ind w:left="360"/>
        <w:jc w:val="both"/>
        <w:rPr>
          <w:rFonts w:ascii="Arial" w:hAnsi="Arial" w:cs="Arial"/>
        </w:rPr>
      </w:pPr>
      <w:r w:rsidRPr="005114B7">
        <w:rPr>
          <w:rFonts w:ascii="Arial" w:hAnsi="Arial" w:cs="Arial"/>
          <w:i/>
          <w:iCs/>
        </w:rPr>
        <w:t>X</w:t>
      </w:r>
      <w:r w:rsidRPr="005114B7">
        <w:rPr>
          <w:rFonts w:ascii="Cambria Math" w:hAnsi="Cambria Math" w:cs="Cambria Math"/>
          <w:i/>
          <w:iCs/>
        </w:rPr>
        <w:t>₃</w:t>
      </w:r>
      <w:r w:rsidRPr="005114B7">
        <w:rPr>
          <w:rFonts w:ascii="Arial" w:hAnsi="Arial" w:cs="Arial"/>
        </w:rPr>
        <w:t xml:space="preserve"> = </w:t>
      </w:r>
      <w:proofErr w:type="spellStart"/>
      <w:r w:rsidRPr="005114B7">
        <w:rPr>
          <w:rFonts w:ascii="Arial" w:hAnsi="Arial" w:cs="Arial"/>
        </w:rPr>
        <w:t>Dependant</w:t>
      </w:r>
      <w:proofErr w:type="spellEnd"/>
      <w:r w:rsidRPr="005114B7">
        <w:rPr>
          <w:rFonts w:ascii="Arial" w:hAnsi="Arial" w:cs="Arial"/>
        </w:rPr>
        <w:t xml:space="preserve"> restriction (binary)</w:t>
      </w:r>
    </w:p>
    <w:p w14:paraId="09FEE220" w14:textId="3B93E1CC" w:rsidR="00196D5C" w:rsidRPr="00B70586" w:rsidRDefault="00287B25" w:rsidP="00B70586">
      <w:pPr>
        <w:ind w:left="360"/>
        <w:jc w:val="both"/>
        <w:rPr>
          <w:rFonts w:ascii="Arial" w:hAnsi="Arial" w:cs="Arial"/>
        </w:rPr>
      </w:pPr>
      <w:r w:rsidRPr="005114B7">
        <w:rPr>
          <w:rFonts w:ascii="Arial" w:hAnsi="Arial" w:cs="Arial"/>
          <w:i/>
          <w:iCs/>
        </w:rPr>
        <w:t>X</w:t>
      </w:r>
      <w:r w:rsidRPr="005114B7">
        <w:rPr>
          <w:rFonts w:ascii="Cambria Math" w:hAnsi="Cambria Math" w:cs="Cambria Math"/>
          <w:i/>
          <w:iCs/>
        </w:rPr>
        <w:t>₄</w:t>
      </w:r>
      <w:r w:rsidRPr="005114B7">
        <w:rPr>
          <w:rFonts w:ascii="Arial" w:hAnsi="Arial" w:cs="Arial"/>
        </w:rPr>
        <w:t> = Overseas recruitment closure (binary)</w:t>
      </w:r>
    </w:p>
    <w:p w14:paraId="218B8465" w14:textId="40E21030" w:rsidR="00B70586" w:rsidRPr="00E458B3" w:rsidRDefault="00B70586" w:rsidP="00B70586">
      <w:pPr>
        <w:pStyle w:val="Caption"/>
        <w:keepNext/>
        <w:rPr>
          <w:sz w:val="28"/>
          <w:szCs w:val="28"/>
        </w:rPr>
      </w:pPr>
      <w:bookmarkStart w:id="195" w:name="_Toc238206099"/>
      <w:r w:rsidRPr="00E458B3">
        <w:rPr>
          <w:sz w:val="28"/>
          <w:szCs w:val="28"/>
        </w:rPr>
        <w:lastRenderedPageBreak/>
        <w:t xml:space="preserve">Table </w:t>
      </w:r>
      <w:r w:rsidRPr="00E458B3">
        <w:rPr>
          <w:sz w:val="28"/>
          <w:szCs w:val="28"/>
        </w:rPr>
        <w:fldChar w:fldCharType="begin"/>
      </w:r>
      <w:r w:rsidRPr="00E458B3">
        <w:rPr>
          <w:sz w:val="28"/>
          <w:szCs w:val="28"/>
        </w:rPr>
        <w:instrText xml:space="preserve"> SEQ Table \* ARABIC </w:instrText>
      </w:r>
      <w:r w:rsidRPr="00E458B3">
        <w:rPr>
          <w:sz w:val="28"/>
          <w:szCs w:val="28"/>
        </w:rPr>
        <w:fldChar w:fldCharType="separate"/>
      </w:r>
      <w:r w:rsidRPr="00E458B3">
        <w:rPr>
          <w:noProof/>
          <w:sz w:val="28"/>
          <w:szCs w:val="28"/>
        </w:rPr>
        <w:t>15</w:t>
      </w:r>
      <w:r w:rsidRPr="00E458B3">
        <w:rPr>
          <w:sz w:val="28"/>
          <w:szCs w:val="28"/>
        </w:rPr>
        <w:fldChar w:fldCharType="end"/>
      </w:r>
      <w:r w:rsidRPr="00E458B3">
        <w:rPr>
          <w:sz w:val="28"/>
          <w:szCs w:val="28"/>
        </w:rPr>
        <w:t xml:space="preserve"> Regression Statistics.</w:t>
      </w:r>
      <w:bookmarkEnd w:id="195"/>
    </w:p>
    <w:p w14:paraId="394D37C2" w14:textId="185017E8" w:rsidR="009002E7" w:rsidRDefault="009002E7" w:rsidP="00050789">
      <w:r>
        <w:object w:dxaOrig="10001" w:dyaOrig="6483" w14:anchorId="7F563C0A">
          <v:shape id="_x0000_i1029" type="#_x0000_t75" style="width:500.2pt;height:530.75pt" o:ole="">
            <v:imagedata r:id="rId48" o:title=""/>
          </v:shape>
          <o:OLEObject Type="Embed" ProgID="Excel.Sheet.8" ShapeID="_x0000_i1029" DrawAspect="Content" ObjectID="_1848843233" r:id="rId49"/>
        </w:object>
      </w:r>
    </w:p>
    <w:p w14:paraId="40C330A4" w14:textId="77777777" w:rsidR="00287B25" w:rsidRPr="005114B7" w:rsidRDefault="00287B25" w:rsidP="005114B7">
      <w:pPr>
        <w:jc w:val="both"/>
        <w:rPr>
          <w:rFonts w:ascii="Arial" w:hAnsi="Arial" w:cs="Arial"/>
          <w:b/>
          <w:bCs/>
        </w:rPr>
      </w:pPr>
      <w:r w:rsidRPr="005114B7">
        <w:rPr>
          <w:rFonts w:ascii="Arial" w:hAnsi="Arial" w:cs="Arial"/>
          <w:b/>
          <w:bCs/>
        </w:rPr>
        <w:t>Interpretation</w:t>
      </w:r>
    </w:p>
    <w:p w14:paraId="646AA036" w14:textId="71BFBCDC" w:rsidR="00224211" w:rsidRPr="00B70586" w:rsidRDefault="00287B25" w:rsidP="00B70586">
      <w:pPr>
        <w:jc w:val="both"/>
        <w:rPr>
          <w:rFonts w:ascii="Arial" w:hAnsi="Arial" w:cs="Arial"/>
        </w:rPr>
      </w:pPr>
      <w:r w:rsidRPr="005114B7">
        <w:rPr>
          <w:rFonts w:ascii="Arial" w:hAnsi="Arial" w:cs="Arial"/>
        </w:rPr>
        <w:t xml:space="preserve">The regression analysis shows that the model explains approximately 38.5% of the variance in visa grant rates (R² = 0.3848). However, the overall model is not statistically significant (F = 1.2509, p = 0.4896), indicating that the independent variables do not </w:t>
      </w:r>
      <w:r w:rsidRPr="005114B7">
        <w:rPr>
          <w:rFonts w:ascii="Arial" w:hAnsi="Arial" w:cs="Arial"/>
        </w:rPr>
        <w:lastRenderedPageBreak/>
        <w:t xml:space="preserve">collectively predict visa grant rates with statistical confidence. All four policy variables have negative coefficients, suggesting each policy change is associated with a decrease in visa grants, but none are individually significant (p &gt; 0.05). The lack of statistical significance may be attributed to the small sample size (7 years) and multicollinearity, as all reforms were implemented simultaneously. These findings should be interpreted with caution and supplemented by </w:t>
      </w:r>
      <w:r w:rsidR="008131D4" w:rsidRPr="005114B7">
        <w:rPr>
          <w:rFonts w:ascii="Arial" w:hAnsi="Arial" w:cs="Arial"/>
        </w:rPr>
        <w:t>correlation</w:t>
      </w:r>
      <w:r w:rsidRPr="005114B7">
        <w:rPr>
          <w:rFonts w:ascii="Arial" w:hAnsi="Arial" w:cs="Arial"/>
        </w:rPr>
        <w:t xml:space="preserve"> analysis.</w:t>
      </w:r>
    </w:p>
    <w:p w14:paraId="2CCD5C25" w14:textId="5D22D589" w:rsidR="00B70586" w:rsidRPr="004E0015" w:rsidRDefault="00B70586" w:rsidP="00B70586">
      <w:pPr>
        <w:pStyle w:val="Caption"/>
        <w:keepNext/>
        <w:rPr>
          <w:sz w:val="28"/>
          <w:szCs w:val="28"/>
        </w:rPr>
      </w:pPr>
      <w:bookmarkStart w:id="196" w:name="_Toc238205993"/>
      <w:r w:rsidRPr="004E0015">
        <w:rPr>
          <w:sz w:val="28"/>
          <w:szCs w:val="28"/>
        </w:rPr>
        <w:lastRenderedPageBreak/>
        <w:t xml:space="preserve">Figure </w:t>
      </w:r>
      <w:r w:rsidRPr="004E0015">
        <w:rPr>
          <w:sz w:val="28"/>
          <w:szCs w:val="28"/>
        </w:rPr>
        <w:fldChar w:fldCharType="begin"/>
      </w:r>
      <w:r w:rsidRPr="004E0015">
        <w:rPr>
          <w:sz w:val="28"/>
          <w:szCs w:val="28"/>
        </w:rPr>
        <w:instrText xml:space="preserve"> SEQ Figure \* ARABIC </w:instrText>
      </w:r>
      <w:r w:rsidRPr="004E0015">
        <w:rPr>
          <w:sz w:val="28"/>
          <w:szCs w:val="28"/>
        </w:rPr>
        <w:fldChar w:fldCharType="separate"/>
      </w:r>
      <w:r w:rsidRPr="004E0015">
        <w:rPr>
          <w:noProof/>
          <w:sz w:val="28"/>
          <w:szCs w:val="28"/>
        </w:rPr>
        <w:t>7</w:t>
      </w:r>
      <w:bookmarkEnd w:id="196"/>
      <w:r w:rsidRPr="004E0015">
        <w:rPr>
          <w:sz w:val="28"/>
          <w:szCs w:val="28"/>
        </w:rPr>
        <w:fldChar w:fldCharType="end"/>
      </w:r>
    </w:p>
    <w:p w14:paraId="306ED459" w14:textId="2EC92F28" w:rsidR="009002E7" w:rsidRDefault="009002E7" w:rsidP="009002E7">
      <w:pPr>
        <w:spacing w:after="0"/>
        <w:ind w:left="-182"/>
      </w:pPr>
      <w:r>
        <w:rPr>
          <w:noProof/>
        </w:rPr>
        <w:drawing>
          <wp:inline distT="0" distB="0" distL="0" distR="0" wp14:anchorId="0017723D" wp14:editId="369283B5">
            <wp:extent cx="3543300" cy="7254240"/>
            <wp:effectExtent l="0" t="0" r="0" b="3810"/>
            <wp:docPr id="1103072010" name="Picture 1103072010"/>
            <wp:cNvGraphicFramePr/>
            <a:graphic xmlns:a="http://schemas.openxmlformats.org/drawingml/2006/main">
              <a:graphicData uri="http://schemas.openxmlformats.org/drawingml/2006/picture">
                <pic:pic xmlns:pic="http://schemas.openxmlformats.org/drawingml/2006/picture">
                  <pic:nvPicPr>
                    <pic:cNvPr id="4902" name="Picture 4902"/>
                    <pic:cNvPicPr/>
                  </pic:nvPicPr>
                  <pic:blipFill>
                    <a:blip r:embed="rId50"/>
                    <a:stretch>
                      <a:fillRect/>
                    </a:stretch>
                  </pic:blipFill>
                  <pic:spPr>
                    <a:xfrm>
                      <a:off x="0" y="0"/>
                      <a:ext cx="3543651" cy="7254959"/>
                    </a:xfrm>
                    <a:prstGeom prst="rect">
                      <a:avLst/>
                    </a:prstGeom>
                  </pic:spPr>
                </pic:pic>
              </a:graphicData>
            </a:graphic>
          </wp:inline>
        </w:drawing>
      </w:r>
    </w:p>
    <w:p w14:paraId="0E70926F" w14:textId="53353580" w:rsidR="009002E7" w:rsidRPr="00B43C9F" w:rsidRDefault="005114B7" w:rsidP="00B43C9F">
      <w:pPr>
        <w:spacing w:after="0"/>
        <w:ind w:left="-182"/>
        <w:rPr>
          <w:rFonts w:ascii="Arial" w:hAnsi="Arial" w:cs="Arial"/>
        </w:rPr>
      </w:pPr>
      <w:r w:rsidRPr="005114B7">
        <w:rPr>
          <w:rFonts w:ascii="Arial" w:hAnsi="Arial" w:cs="Arial"/>
          <w:i/>
          <w:iCs/>
        </w:rPr>
        <w:t>Source: Regression analysis of Home Office visa statistics (2020–2026) conducted in Microsoft Excel.</w:t>
      </w:r>
    </w:p>
    <w:sectPr w:rsidR="009002E7" w:rsidRPr="00B43C9F" w:rsidSect="00596DD3">
      <w:footerReference w:type="default" r:id="rId5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9C209E" w14:textId="77777777" w:rsidR="0088797D" w:rsidRDefault="0088797D" w:rsidP="00313237">
      <w:pPr>
        <w:spacing w:after="0" w:line="240" w:lineRule="auto"/>
      </w:pPr>
      <w:r>
        <w:separator/>
      </w:r>
    </w:p>
  </w:endnote>
  <w:endnote w:type="continuationSeparator" w:id="0">
    <w:p w14:paraId="642BE0C2" w14:textId="77777777" w:rsidR="0088797D" w:rsidRDefault="0088797D" w:rsidP="003132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2784053"/>
      <w:docPartObj>
        <w:docPartGallery w:val="Page Numbers (Bottom of Page)"/>
        <w:docPartUnique/>
      </w:docPartObj>
    </w:sdtPr>
    <w:sdtEndPr>
      <w:rPr>
        <w:noProof/>
      </w:rPr>
    </w:sdtEndPr>
    <w:sdtContent>
      <w:p w14:paraId="1F546F24" w14:textId="6FDE7F7A" w:rsidR="00313237" w:rsidRDefault="003132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5554DE" w14:textId="77777777" w:rsidR="00313237" w:rsidRDefault="003132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47279" w14:textId="77777777" w:rsidR="0088797D" w:rsidRDefault="0088797D" w:rsidP="00313237">
      <w:pPr>
        <w:spacing w:after="0" w:line="240" w:lineRule="auto"/>
      </w:pPr>
      <w:r>
        <w:separator/>
      </w:r>
    </w:p>
  </w:footnote>
  <w:footnote w:type="continuationSeparator" w:id="0">
    <w:p w14:paraId="39FCB87A" w14:textId="77777777" w:rsidR="0088797D" w:rsidRDefault="0088797D" w:rsidP="003132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9491F"/>
    <w:multiLevelType w:val="multilevel"/>
    <w:tmpl w:val="C632FF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1F3833"/>
    <w:multiLevelType w:val="multilevel"/>
    <w:tmpl w:val="65087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110E2"/>
    <w:multiLevelType w:val="multilevel"/>
    <w:tmpl w:val="E81C3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A937A2"/>
    <w:multiLevelType w:val="multilevel"/>
    <w:tmpl w:val="23408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DE70B4E"/>
    <w:multiLevelType w:val="multilevel"/>
    <w:tmpl w:val="D36A1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A11D6E"/>
    <w:multiLevelType w:val="multilevel"/>
    <w:tmpl w:val="9E406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0D2158"/>
    <w:multiLevelType w:val="multilevel"/>
    <w:tmpl w:val="A510F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77738C"/>
    <w:multiLevelType w:val="multilevel"/>
    <w:tmpl w:val="22988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3A6832"/>
    <w:multiLevelType w:val="multilevel"/>
    <w:tmpl w:val="48E84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7195103">
    <w:abstractNumId w:val="4"/>
  </w:num>
  <w:num w:numId="2" w16cid:durableId="7873282">
    <w:abstractNumId w:val="6"/>
  </w:num>
  <w:num w:numId="3" w16cid:durableId="946541267">
    <w:abstractNumId w:val="2"/>
  </w:num>
  <w:num w:numId="4" w16cid:durableId="1821732990">
    <w:abstractNumId w:val="7"/>
  </w:num>
  <w:num w:numId="5" w16cid:durableId="1486437844">
    <w:abstractNumId w:val="5"/>
  </w:num>
  <w:num w:numId="6" w16cid:durableId="1594633318">
    <w:abstractNumId w:val="1"/>
  </w:num>
  <w:num w:numId="7" w16cid:durableId="406420345">
    <w:abstractNumId w:val="3"/>
  </w:num>
  <w:num w:numId="8" w16cid:durableId="1554779202">
    <w:abstractNumId w:val="8"/>
  </w:num>
  <w:num w:numId="9" w16cid:durableId="1023048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8E2"/>
    <w:rsid w:val="00010E8B"/>
    <w:rsid w:val="0001624B"/>
    <w:rsid w:val="000179D9"/>
    <w:rsid w:val="00046ADE"/>
    <w:rsid w:val="00050789"/>
    <w:rsid w:val="000571CC"/>
    <w:rsid w:val="00061BD9"/>
    <w:rsid w:val="00077159"/>
    <w:rsid w:val="000879BF"/>
    <w:rsid w:val="00092612"/>
    <w:rsid w:val="000B452C"/>
    <w:rsid w:val="000D60E2"/>
    <w:rsid w:val="000D7B52"/>
    <w:rsid w:val="00131806"/>
    <w:rsid w:val="001630D4"/>
    <w:rsid w:val="00171AFE"/>
    <w:rsid w:val="00183C58"/>
    <w:rsid w:val="00196D5C"/>
    <w:rsid w:val="00196EE3"/>
    <w:rsid w:val="001A6A53"/>
    <w:rsid w:val="001B7836"/>
    <w:rsid w:val="001C3AC1"/>
    <w:rsid w:val="001E00DB"/>
    <w:rsid w:val="001E52F4"/>
    <w:rsid w:val="001F098A"/>
    <w:rsid w:val="001F7C3C"/>
    <w:rsid w:val="00206084"/>
    <w:rsid w:val="00213B90"/>
    <w:rsid w:val="00224211"/>
    <w:rsid w:val="002468E4"/>
    <w:rsid w:val="00251AFF"/>
    <w:rsid w:val="002534EA"/>
    <w:rsid w:val="00282F67"/>
    <w:rsid w:val="0028475F"/>
    <w:rsid w:val="00287B25"/>
    <w:rsid w:val="00294921"/>
    <w:rsid w:val="002A018E"/>
    <w:rsid w:val="002B7F7F"/>
    <w:rsid w:val="002C618B"/>
    <w:rsid w:val="002C7C0C"/>
    <w:rsid w:val="002D1A9D"/>
    <w:rsid w:val="002D299E"/>
    <w:rsid w:val="00302E55"/>
    <w:rsid w:val="003067E8"/>
    <w:rsid w:val="00313237"/>
    <w:rsid w:val="00315D66"/>
    <w:rsid w:val="00330CC2"/>
    <w:rsid w:val="00334AAE"/>
    <w:rsid w:val="0034365E"/>
    <w:rsid w:val="00355CD8"/>
    <w:rsid w:val="0035611E"/>
    <w:rsid w:val="003772BC"/>
    <w:rsid w:val="00396B15"/>
    <w:rsid w:val="00397121"/>
    <w:rsid w:val="003A1A8D"/>
    <w:rsid w:val="003B1532"/>
    <w:rsid w:val="003B30E0"/>
    <w:rsid w:val="003D48C6"/>
    <w:rsid w:val="004255AC"/>
    <w:rsid w:val="00425B5E"/>
    <w:rsid w:val="00430856"/>
    <w:rsid w:val="0045130D"/>
    <w:rsid w:val="00456A90"/>
    <w:rsid w:val="004B5D6B"/>
    <w:rsid w:val="004D1B4D"/>
    <w:rsid w:val="004D37BF"/>
    <w:rsid w:val="004E0015"/>
    <w:rsid w:val="004F3B06"/>
    <w:rsid w:val="004F598C"/>
    <w:rsid w:val="0050487A"/>
    <w:rsid w:val="00505D79"/>
    <w:rsid w:val="005068BA"/>
    <w:rsid w:val="005114B7"/>
    <w:rsid w:val="00522F2D"/>
    <w:rsid w:val="00544E3B"/>
    <w:rsid w:val="00573E6A"/>
    <w:rsid w:val="00577E27"/>
    <w:rsid w:val="00596DD3"/>
    <w:rsid w:val="005B18A8"/>
    <w:rsid w:val="005B1A9F"/>
    <w:rsid w:val="006107C4"/>
    <w:rsid w:val="006159EB"/>
    <w:rsid w:val="00620BC1"/>
    <w:rsid w:val="006568B3"/>
    <w:rsid w:val="00670243"/>
    <w:rsid w:val="00675924"/>
    <w:rsid w:val="006774B2"/>
    <w:rsid w:val="00695B61"/>
    <w:rsid w:val="006B3D4A"/>
    <w:rsid w:val="006D553D"/>
    <w:rsid w:val="007154BD"/>
    <w:rsid w:val="0071576B"/>
    <w:rsid w:val="007328C1"/>
    <w:rsid w:val="0073616F"/>
    <w:rsid w:val="00743A8D"/>
    <w:rsid w:val="00757A6D"/>
    <w:rsid w:val="007659C6"/>
    <w:rsid w:val="00767C9D"/>
    <w:rsid w:val="00781CBC"/>
    <w:rsid w:val="00782586"/>
    <w:rsid w:val="007A4DE6"/>
    <w:rsid w:val="007C0A3B"/>
    <w:rsid w:val="007D5189"/>
    <w:rsid w:val="007E7092"/>
    <w:rsid w:val="008131D4"/>
    <w:rsid w:val="00827ECD"/>
    <w:rsid w:val="008322D3"/>
    <w:rsid w:val="00834DD2"/>
    <w:rsid w:val="00854DE7"/>
    <w:rsid w:val="0086750D"/>
    <w:rsid w:val="00875C51"/>
    <w:rsid w:val="008871D3"/>
    <w:rsid w:val="0088797D"/>
    <w:rsid w:val="008936A2"/>
    <w:rsid w:val="008A450E"/>
    <w:rsid w:val="008D1A5A"/>
    <w:rsid w:val="009002E7"/>
    <w:rsid w:val="00904C82"/>
    <w:rsid w:val="00905048"/>
    <w:rsid w:val="0092346E"/>
    <w:rsid w:val="009520F1"/>
    <w:rsid w:val="009736FD"/>
    <w:rsid w:val="009812FC"/>
    <w:rsid w:val="009918CF"/>
    <w:rsid w:val="009E0C1A"/>
    <w:rsid w:val="009E515E"/>
    <w:rsid w:val="009F28E2"/>
    <w:rsid w:val="00A13859"/>
    <w:rsid w:val="00A2543F"/>
    <w:rsid w:val="00A506B5"/>
    <w:rsid w:val="00A6121B"/>
    <w:rsid w:val="00A63DDC"/>
    <w:rsid w:val="00A86EA8"/>
    <w:rsid w:val="00AA1AB6"/>
    <w:rsid w:val="00AC2D44"/>
    <w:rsid w:val="00AF38C8"/>
    <w:rsid w:val="00B13226"/>
    <w:rsid w:val="00B1783F"/>
    <w:rsid w:val="00B210AA"/>
    <w:rsid w:val="00B36C9D"/>
    <w:rsid w:val="00B43C9F"/>
    <w:rsid w:val="00B53165"/>
    <w:rsid w:val="00B63030"/>
    <w:rsid w:val="00B70586"/>
    <w:rsid w:val="00B77F53"/>
    <w:rsid w:val="00BA4331"/>
    <w:rsid w:val="00BB3568"/>
    <w:rsid w:val="00BE546B"/>
    <w:rsid w:val="00C02434"/>
    <w:rsid w:val="00C06063"/>
    <w:rsid w:val="00C130E6"/>
    <w:rsid w:val="00C20D58"/>
    <w:rsid w:val="00C25F9D"/>
    <w:rsid w:val="00C35B97"/>
    <w:rsid w:val="00C55ED0"/>
    <w:rsid w:val="00C616C0"/>
    <w:rsid w:val="00C6608D"/>
    <w:rsid w:val="00C730EA"/>
    <w:rsid w:val="00C760C6"/>
    <w:rsid w:val="00C761E6"/>
    <w:rsid w:val="00C82430"/>
    <w:rsid w:val="00C8320B"/>
    <w:rsid w:val="00C9042D"/>
    <w:rsid w:val="00CE2B93"/>
    <w:rsid w:val="00D24F11"/>
    <w:rsid w:val="00D32AE8"/>
    <w:rsid w:val="00D33E88"/>
    <w:rsid w:val="00D3585A"/>
    <w:rsid w:val="00D434A6"/>
    <w:rsid w:val="00D5009A"/>
    <w:rsid w:val="00D5479B"/>
    <w:rsid w:val="00D54F8B"/>
    <w:rsid w:val="00D60B12"/>
    <w:rsid w:val="00D6297C"/>
    <w:rsid w:val="00D77901"/>
    <w:rsid w:val="00D857FC"/>
    <w:rsid w:val="00D9162F"/>
    <w:rsid w:val="00DD4257"/>
    <w:rsid w:val="00DF3F1C"/>
    <w:rsid w:val="00E20A22"/>
    <w:rsid w:val="00E31EC2"/>
    <w:rsid w:val="00E32B0E"/>
    <w:rsid w:val="00E35726"/>
    <w:rsid w:val="00E458B3"/>
    <w:rsid w:val="00E46623"/>
    <w:rsid w:val="00E51A53"/>
    <w:rsid w:val="00E93A21"/>
    <w:rsid w:val="00E9734F"/>
    <w:rsid w:val="00E97BA5"/>
    <w:rsid w:val="00EB09EA"/>
    <w:rsid w:val="00EC7B53"/>
    <w:rsid w:val="00ED4B7B"/>
    <w:rsid w:val="00ED578A"/>
    <w:rsid w:val="00EE7FC6"/>
    <w:rsid w:val="00EF59E8"/>
    <w:rsid w:val="00F02F17"/>
    <w:rsid w:val="00F21F88"/>
    <w:rsid w:val="00F319B7"/>
    <w:rsid w:val="00F43A3C"/>
    <w:rsid w:val="00F43B9E"/>
    <w:rsid w:val="00F4760B"/>
    <w:rsid w:val="00F479A6"/>
    <w:rsid w:val="00F70DE5"/>
    <w:rsid w:val="00F73A56"/>
    <w:rsid w:val="00FB6D09"/>
    <w:rsid w:val="00FC51EC"/>
    <w:rsid w:val="00FD5096"/>
    <w:rsid w:val="00FD6913"/>
    <w:rsid w:val="00FE40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F1506"/>
  <w15:chartTrackingRefBased/>
  <w15:docId w15:val="{0E6B46B8-3400-415A-A436-A91A455D8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6DD3"/>
  </w:style>
  <w:style w:type="paragraph" w:styleId="Heading1">
    <w:name w:val="heading 1"/>
    <w:basedOn w:val="Normal"/>
    <w:next w:val="Normal"/>
    <w:link w:val="Heading1Char"/>
    <w:uiPriority w:val="9"/>
    <w:qFormat/>
    <w:rsid w:val="009F28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28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F28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F28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9F28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28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28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28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28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8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28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F28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F28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9F28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28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28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28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28E2"/>
    <w:rPr>
      <w:rFonts w:eastAsiaTheme="majorEastAsia" w:cstheme="majorBidi"/>
      <w:color w:val="272727" w:themeColor="text1" w:themeTint="D8"/>
    </w:rPr>
  </w:style>
  <w:style w:type="paragraph" w:styleId="Title">
    <w:name w:val="Title"/>
    <w:basedOn w:val="Normal"/>
    <w:next w:val="Normal"/>
    <w:link w:val="TitleChar"/>
    <w:uiPriority w:val="10"/>
    <w:qFormat/>
    <w:rsid w:val="009F28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28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28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28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28E2"/>
    <w:pPr>
      <w:spacing w:before="160"/>
      <w:jc w:val="center"/>
    </w:pPr>
    <w:rPr>
      <w:i/>
      <w:iCs/>
      <w:color w:val="404040" w:themeColor="text1" w:themeTint="BF"/>
    </w:rPr>
  </w:style>
  <w:style w:type="character" w:customStyle="1" w:styleId="QuoteChar">
    <w:name w:val="Quote Char"/>
    <w:basedOn w:val="DefaultParagraphFont"/>
    <w:link w:val="Quote"/>
    <w:uiPriority w:val="29"/>
    <w:rsid w:val="009F28E2"/>
    <w:rPr>
      <w:i/>
      <w:iCs/>
      <w:color w:val="404040" w:themeColor="text1" w:themeTint="BF"/>
    </w:rPr>
  </w:style>
  <w:style w:type="paragraph" w:styleId="ListParagraph">
    <w:name w:val="List Paragraph"/>
    <w:basedOn w:val="Normal"/>
    <w:uiPriority w:val="34"/>
    <w:qFormat/>
    <w:rsid w:val="009F28E2"/>
    <w:pPr>
      <w:ind w:left="720"/>
      <w:contextualSpacing/>
    </w:pPr>
  </w:style>
  <w:style w:type="character" w:styleId="IntenseEmphasis">
    <w:name w:val="Intense Emphasis"/>
    <w:basedOn w:val="DefaultParagraphFont"/>
    <w:uiPriority w:val="21"/>
    <w:qFormat/>
    <w:rsid w:val="009F28E2"/>
    <w:rPr>
      <w:i/>
      <w:iCs/>
      <w:color w:val="0F4761" w:themeColor="accent1" w:themeShade="BF"/>
    </w:rPr>
  </w:style>
  <w:style w:type="paragraph" w:styleId="IntenseQuote">
    <w:name w:val="Intense Quote"/>
    <w:basedOn w:val="Normal"/>
    <w:next w:val="Normal"/>
    <w:link w:val="IntenseQuoteChar"/>
    <w:uiPriority w:val="30"/>
    <w:qFormat/>
    <w:rsid w:val="009F28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28E2"/>
    <w:rPr>
      <w:i/>
      <w:iCs/>
      <w:color w:val="0F4761" w:themeColor="accent1" w:themeShade="BF"/>
    </w:rPr>
  </w:style>
  <w:style w:type="character" w:styleId="IntenseReference">
    <w:name w:val="Intense Reference"/>
    <w:basedOn w:val="DefaultParagraphFont"/>
    <w:uiPriority w:val="32"/>
    <w:qFormat/>
    <w:rsid w:val="009F28E2"/>
    <w:rPr>
      <w:b/>
      <w:bCs/>
      <w:smallCaps/>
      <w:color w:val="0F4761" w:themeColor="accent1" w:themeShade="BF"/>
      <w:spacing w:val="5"/>
    </w:rPr>
  </w:style>
  <w:style w:type="paragraph" w:styleId="TOCHeading">
    <w:name w:val="TOC Heading"/>
    <w:basedOn w:val="Heading1"/>
    <w:next w:val="Normal"/>
    <w:uiPriority w:val="39"/>
    <w:unhideWhenUsed/>
    <w:qFormat/>
    <w:rsid w:val="00313237"/>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13237"/>
    <w:pPr>
      <w:spacing w:after="100"/>
    </w:pPr>
  </w:style>
  <w:style w:type="paragraph" w:styleId="TOC2">
    <w:name w:val="toc 2"/>
    <w:basedOn w:val="Normal"/>
    <w:next w:val="Normal"/>
    <w:autoRedefine/>
    <w:uiPriority w:val="39"/>
    <w:unhideWhenUsed/>
    <w:rsid w:val="00313237"/>
    <w:pPr>
      <w:spacing w:after="100"/>
      <w:ind w:left="240"/>
    </w:pPr>
  </w:style>
  <w:style w:type="paragraph" w:styleId="TOC3">
    <w:name w:val="toc 3"/>
    <w:basedOn w:val="Normal"/>
    <w:next w:val="Normal"/>
    <w:autoRedefine/>
    <w:uiPriority w:val="39"/>
    <w:unhideWhenUsed/>
    <w:rsid w:val="00313237"/>
    <w:pPr>
      <w:spacing w:after="100"/>
      <w:ind w:left="480"/>
    </w:pPr>
  </w:style>
  <w:style w:type="character" w:styleId="Hyperlink">
    <w:name w:val="Hyperlink"/>
    <w:basedOn w:val="DefaultParagraphFont"/>
    <w:uiPriority w:val="99"/>
    <w:unhideWhenUsed/>
    <w:rsid w:val="00313237"/>
    <w:rPr>
      <w:color w:val="467886" w:themeColor="hyperlink"/>
      <w:u w:val="single"/>
    </w:rPr>
  </w:style>
  <w:style w:type="paragraph" w:styleId="Header">
    <w:name w:val="header"/>
    <w:basedOn w:val="Normal"/>
    <w:link w:val="HeaderChar"/>
    <w:uiPriority w:val="99"/>
    <w:unhideWhenUsed/>
    <w:rsid w:val="003132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3237"/>
  </w:style>
  <w:style w:type="paragraph" w:styleId="Footer">
    <w:name w:val="footer"/>
    <w:basedOn w:val="Normal"/>
    <w:link w:val="FooterChar"/>
    <w:uiPriority w:val="99"/>
    <w:unhideWhenUsed/>
    <w:rsid w:val="003132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3237"/>
  </w:style>
  <w:style w:type="paragraph" w:styleId="TOC4">
    <w:name w:val="toc 4"/>
    <w:basedOn w:val="Normal"/>
    <w:next w:val="Normal"/>
    <w:autoRedefine/>
    <w:uiPriority w:val="39"/>
    <w:unhideWhenUsed/>
    <w:rsid w:val="00F21F88"/>
    <w:pPr>
      <w:spacing w:after="100"/>
      <w:ind w:left="720"/>
    </w:pPr>
    <w:rPr>
      <w:rFonts w:eastAsiaTheme="minorEastAsia"/>
    </w:rPr>
  </w:style>
  <w:style w:type="paragraph" w:styleId="TOC5">
    <w:name w:val="toc 5"/>
    <w:basedOn w:val="Normal"/>
    <w:next w:val="Normal"/>
    <w:autoRedefine/>
    <w:uiPriority w:val="39"/>
    <w:unhideWhenUsed/>
    <w:rsid w:val="00F21F88"/>
    <w:pPr>
      <w:spacing w:after="100"/>
      <w:ind w:left="960"/>
    </w:pPr>
    <w:rPr>
      <w:rFonts w:eastAsiaTheme="minorEastAsia"/>
    </w:rPr>
  </w:style>
  <w:style w:type="paragraph" w:styleId="TOC6">
    <w:name w:val="toc 6"/>
    <w:basedOn w:val="Normal"/>
    <w:next w:val="Normal"/>
    <w:autoRedefine/>
    <w:uiPriority w:val="39"/>
    <w:unhideWhenUsed/>
    <w:rsid w:val="00F21F88"/>
    <w:pPr>
      <w:spacing w:after="100"/>
      <w:ind w:left="1200"/>
    </w:pPr>
    <w:rPr>
      <w:rFonts w:eastAsiaTheme="minorEastAsia"/>
    </w:rPr>
  </w:style>
  <w:style w:type="paragraph" w:styleId="TOC7">
    <w:name w:val="toc 7"/>
    <w:basedOn w:val="Normal"/>
    <w:next w:val="Normal"/>
    <w:autoRedefine/>
    <w:uiPriority w:val="39"/>
    <w:unhideWhenUsed/>
    <w:rsid w:val="00F21F88"/>
    <w:pPr>
      <w:spacing w:after="100"/>
      <w:ind w:left="1440"/>
    </w:pPr>
    <w:rPr>
      <w:rFonts w:eastAsiaTheme="minorEastAsia"/>
    </w:rPr>
  </w:style>
  <w:style w:type="paragraph" w:styleId="TOC8">
    <w:name w:val="toc 8"/>
    <w:basedOn w:val="Normal"/>
    <w:next w:val="Normal"/>
    <w:autoRedefine/>
    <w:uiPriority w:val="39"/>
    <w:unhideWhenUsed/>
    <w:rsid w:val="00F21F88"/>
    <w:pPr>
      <w:spacing w:after="100"/>
      <w:ind w:left="1680"/>
    </w:pPr>
    <w:rPr>
      <w:rFonts w:eastAsiaTheme="minorEastAsia"/>
    </w:rPr>
  </w:style>
  <w:style w:type="paragraph" w:styleId="TOC9">
    <w:name w:val="toc 9"/>
    <w:basedOn w:val="Normal"/>
    <w:next w:val="Normal"/>
    <w:autoRedefine/>
    <w:uiPriority w:val="39"/>
    <w:unhideWhenUsed/>
    <w:rsid w:val="00F21F88"/>
    <w:pPr>
      <w:spacing w:after="100"/>
      <w:ind w:left="1920"/>
    </w:pPr>
    <w:rPr>
      <w:rFonts w:eastAsiaTheme="minorEastAsia"/>
    </w:rPr>
  </w:style>
  <w:style w:type="character" w:styleId="UnresolvedMention">
    <w:name w:val="Unresolved Mention"/>
    <w:basedOn w:val="DefaultParagraphFont"/>
    <w:uiPriority w:val="99"/>
    <w:semiHidden/>
    <w:unhideWhenUsed/>
    <w:rsid w:val="00F21F88"/>
    <w:rPr>
      <w:color w:val="605E5C"/>
      <w:shd w:val="clear" w:color="auto" w:fill="E1DFDD"/>
    </w:rPr>
  </w:style>
  <w:style w:type="paragraph" w:styleId="Caption">
    <w:name w:val="caption"/>
    <w:basedOn w:val="Normal"/>
    <w:next w:val="Normal"/>
    <w:uiPriority w:val="35"/>
    <w:unhideWhenUsed/>
    <w:qFormat/>
    <w:rsid w:val="00577E27"/>
    <w:pPr>
      <w:spacing w:after="200" w:line="240" w:lineRule="auto"/>
    </w:pPr>
    <w:rPr>
      <w:i/>
      <w:iCs/>
      <w:color w:val="0E2841" w:themeColor="text2"/>
      <w:sz w:val="18"/>
      <w:szCs w:val="18"/>
    </w:rPr>
  </w:style>
  <w:style w:type="paragraph" w:styleId="TableofFigures">
    <w:name w:val="table of figures"/>
    <w:basedOn w:val="Normal"/>
    <w:next w:val="Normal"/>
    <w:autoRedefine/>
    <w:uiPriority w:val="99"/>
    <w:unhideWhenUsed/>
    <w:rsid w:val="00C761E6"/>
    <w:pPr>
      <w:spacing w:after="0"/>
    </w:pPr>
  </w:style>
  <w:style w:type="character" w:styleId="FollowedHyperlink">
    <w:name w:val="FollowedHyperlink"/>
    <w:basedOn w:val="DefaultParagraphFont"/>
    <w:uiPriority w:val="99"/>
    <w:semiHidden/>
    <w:unhideWhenUsed/>
    <w:rsid w:val="004F598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hyperlink" Target="https://www.gov.uk/government/publications/restoring-control-over-the-immigration-system-white-paper/restoring-control-over-the-immigration-system-accessible" TargetMode="External"/><Relationship Id="rId26" Type="http://schemas.openxmlformats.org/officeDocument/2006/relationships/hyperlink" Target="https://www.ons.gov.uk/peoplepopulationandcommunity/populationandmigration/internationalmigration/bulletins/longterminternationalmigrationprovisional/yearendingdecember2023" TargetMode="External"/><Relationship Id="rId39" Type="http://schemas.openxmlformats.org/officeDocument/2006/relationships/hyperlink" Target="https://morningstaronline.co.uk/" TargetMode="External"/><Relationship Id="rId21" Type="http://schemas.openxmlformats.org/officeDocument/2006/relationships/hyperlink" Target="https://assets.publishing.service.gov.uk/media/69a9a1f58fd807b03bbe92e5/E03553349_-_HC_1691_-_Immigration_Rules_Changes__Web_Accessible_.pdf" TargetMode="External"/><Relationship Id="rId34" Type="http://schemas.openxmlformats.org/officeDocument/2006/relationships/hyperlink" Target="https://www.sciencedirect.com/" TargetMode="External"/><Relationship Id="rId42" Type="http://schemas.openxmlformats.org/officeDocument/2006/relationships/image" Target="media/image3.emf"/><Relationship Id="rId47" Type="http://schemas.openxmlformats.org/officeDocument/2006/relationships/oleObject" Target="embeddings/Microsoft_Excel_97-2003_Worksheet3.xls"/><Relationship Id="rId50" Type="http://schemas.openxmlformats.org/officeDocument/2006/relationships/image" Target="media/image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2.xml"/><Relationship Id="rId29" Type="http://schemas.openxmlformats.org/officeDocument/2006/relationships/hyperlink" Target="https://doi.org/10.1177/01410768261421438" TargetMode="External"/><Relationship Id="rId11" Type="http://schemas.openxmlformats.org/officeDocument/2006/relationships/diagramLayout" Target="diagrams/layout1.xml"/><Relationship Id="rId24" Type="http://schemas.openxmlformats.org/officeDocument/2006/relationships/hyperlink" Target="https://www.england.nhs.uk/publication/nhs-long-term-workforce-plan/" TargetMode="External"/><Relationship Id="rId32" Type="http://schemas.openxmlformats.org/officeDocument/2006/relationships/hyperlink" Target="https://doi.org/10.1136/bmj.r1554" TargetMode="External"/><Relationship Id="rId37" Type="http://schemas.openxmlformats.org/officeDocument/2006/relationships/hyperlink" Target="https://www.skillsforcare.org.uk/" TargetMode="External"/><Relationship Id="rId40" Type="http://schemas.openxmlformats.org/officeDocument/2006/relationships/image" Target="media/image2.emf"/><Relationship Id="rId45" Type="http://schemas.openxmlformats.org/officeDocument/2006/relationships/oleObject" Target="embeddings/Microsoft_Excel_97-2003_Worksheet2.xls"/><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diagramData" Target="diagrams/data1.xml"/><Relationship Id="rId19" Type="http://schemas.openxmlformats.org/officeDocument/2006/relationships/hyperlink" Target="https://www.gov.uk/government/publications/statement-of-changes-to-the-immigration-rules-hc-997-1-july-2025/spring-2025-immigration-rules-impact-assessment-skilled-worker-and-care-worker-july-2025-accessible-version" TargetMode="External"/><Relationship Id="rId31" Type="http://schemas.openxmlformats.org/officeDocument/2006/relationships/hyperlink" Target="https://www.rcn.org.uk/" TargetMode="External"/><Relationship Id="rId44" Type="http://schemas.openxmlformats.org/officeDocument/2006/relationships/image" Target="media/image4.emf"/><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microsoft.com/office/2007/relationships/diagramDrawing" Target="diagrams/drawing1.xml"/><Relationship Id="rId22" Type="http://schemas.openxmlformats.org/officeDocument/2006/relationships/hyperlink" Target="https://blogs.lse.ac.uk/businessreview" TargetMode="External"/><Relationship Id="rId27" Type="http://schemas.openxmlformats.org/officeDocument/2006/relationships/hyperlink" Target="https://www.pmc.org.uk/" TargetMode="External"/><Relationship Id="rId30" Type="http://schemas.openxmlformats.org/officeDocument/2006/relationships/hyperlink" Target="https://www.rcn.org.uk/" TargetMode="External"/><Relationship Id="rId35" Type="http://schemas.openxmlformats.org/officeDocument/2006/relationships/hyperlink" Target="https://www.seraphus.co.uk/" TargetMode="External"/><Relationship Id="rId43" Type="http://schemas.openxmlformats.org/officeDocument/2006/relationships/oleObject" Target="embeddings/Microsoft_Excel_97-2003_Worksheet1.xls"/><Relationship Id="rId48" Type="http://schemas.openxmlformats.org/officeDocument/2006/relationships/image" Target="media/image6.emf"/><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hyperlink" Target="https://www.bbc.co.uk/news/live/cvgzjpd1jjgt" TargetMode="External"/><Relationship Id="rId25" Type="http://schemas.openxmlformats.org/officeDocument/2006/relationships/hyperlink" Target="https://www.nuffieldtrust.org.uk/" TargetMode="External"/><Relationship Id="rId33" Type="http://schemas.openxmlformats.org/officeDocument/2006/relationships/hyperlink" Target="https://www.rovelegal.com/" TargetMode="External"/><Relationship Id="rId38" Type="http://schemas.openxmlformats.org/officeDocument/2006/relationships/hyperlink" Target="https://doi.org/10.1016/j.jmh.2024.100245" TargetMode="External"/><Relationship Id="rId46" Type="http://schemas.openxmlformats.org/officeDocument/2006/relationships/image" Target="media/image5.emf"/><Relationship Id="rId20" Type="http://schemas.openxmlformats.org/officeDocument/2006/relationships/hyperlink" Target="https://www.gov.uk/government/publications/health-and-care-visa-guidance" TargetMode="External"/><Relationship Id="rId41" Type="http://schemas.openxmlformats.org/officeDocument/2006/relationships/oleObject" Target="embeddings/Microsoft_Excel_97-2003_Worksheet.xls"/><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1.xml"/><Relationship Id="rId23" Type="http://schemas.openxmlformats.org/officeDocument/2006/relationships/hyperlink" Target="https://www.nhsemployers.org/" TargetMode="External"/><Relationship Id="rId28" Type="http://schemas.openxmlformats.org/officeDocument/2006/relationships/hyperlink" Target="https://post.parliament.uk/" TargetMode="External"/><Relationship Id="rId36" Type="http://schemas.openxmlformats.org/officeDocument/2006/relationships/hyperlink" Target="https://www.skillsforcare.org.uk/" TargetMode="External"/><Relationship Id="rId49" Type="http://schemas.openxmlformats.org/officeDocument/2006/relationships/oleObject" Target="embeddings/Microsoft_Excel_97-2003_Worksheet4.xls"/></Relationships>
</file>

<file path=word/charts/_rels/chart1.xml.rels><?xml version="1.0" encoding="UTF-8" standalone="yes"?>
<Relationships xmlns="http://schemas.openxmlformats.org/package/2006/relationships"><Relationship Id="rId3" Type="http://schemas.openxmlformats.org/officeDocument/2006/relationships/oleObject" Target="file:///C:\Users\fazle\Downloads\MBA%20Dissartation%20Sem%203%20May%202026\Dissertation%20Writing\Dissertation%20Data%20Anal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fazle\Downloads\MBA%20Dissartation%20Sem%203%20May%202026\Dissertation%20Writing\Dissertation%20Data%20Analysi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Health and Care Worker Visa Grants (2020–2026)</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'Dissertation Data Analysis'!$A$1</c:f>
              <c:strCache>
                <c:ptCount val="1"/>
                <c:pt idx="0">
                  <c:v>Year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'Dissertation Data Analysis'!$A$2:$A$8</c:f>
              <c:numCache>
                <c:formatCode>General</c:formatCode>
                <c:ptCount val="7"/>
                <c:pt idx="0">
                  <c:v>2020</c:v>
                </c:pt>
                <c:pt idx="1">
                  <c:v>2021</c:v>
                </c:pt>
                <c:pt idx="2">
                  <c:v>2022</c:v>
                </c:pt>
                <c:pt idx="3">
                  <c:v>2023</c:v>
                </c:pt>
                <c:pt idx="4">
                  <c:v>2024</c:v>
                </c:pt>
                <c:pt idx="5">
                  <c:v>2025</c:v>
                </c:pt>
                <c:pt idx="6">
                  <c:v>2026</c:v>
                </c:pt>
              </c:numCache>
            </c:numRef>
          </c:val>
          <c:smooth val="0"/>
          <c:extLst>
            <c:ext xmlns:c16="http://schemas.microsoft.com/office/drawing/2014/chart" uri="{C3380CC4-5D6E-409C-BE32-E72D297353CC}">
              <c16:uniqueId val="{00000000-359E-43DD-9709-0A5C0F1E6FD7}"/>
            </c:ext>
          </c:extLst>
        </c:ser>
        <c:ser>
          <c:idx val="1"/>
          <c:order val="1"/>
          <c:tx>
            <c:strRef>
              <c:f>'Dissertation Data Analysis'!$B$1</c:f>
              <c:strCache>
                <c:ptCount val="1"/>
                <c:pt idx="0">
                  <c:v>Visa Grants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'Dissertation Data Analysis'!$B$2:$B$8</c:f>
              <c:numCache>
                <c:formatCode>General</c:formatCode>
                <c:ptCount val="7"/>
                <c:pt idx="0">
                  <c:v>31800</c:v>
                </c:pt>
                <c:pt idx="1">
                  <c:v>37416</c:v>
                </c:pt>
                <c:pt idx="2">
                  <c:v>90000</c:v>
                </c:pt>
                <c:pt idx="3">
                  <c:v>145823</c:v>
                </c:pt>
                <c:pt idx="4">
                  <c:v>27174</c:v>
                </c:pt>
                <c:pt idx="5">
                  <c:v>22582</c:v>
                </c:pt>
                <c:pt idx="6">
                  <c:v>12300</c:v>
                </c:pt>
              </c:numCache>
            </c:numRef>
          </c:val>
          <c:smooth val="0"/>
          <c:extLst>
            <c:ext xmlns:c16="http://schemas.microsoft.com/office/drawing/2014/chart" uri="{C3380CC4-5D6E-409C-BE32-E72D297353CC}">
              <c16:uniqueId val="{00000001-359E-43DD-9709-0A5C0F1E6FD7}"/>
            </c:ext>
          </c:extLst>
        </c:ser>
        <c:dLbls>
          <c:showLegendKey val="0"/>
          <c:showVal val="0"/>
          <c:showCatName val="0"/>
          <c:showSerName val="0"/>
          <c:showPercent val="0"/>
          <c:showBubbleSize val="0"/>
        </c:dLbls>
        <c:marker val="1"/>
        <c:smooth val="0"/>
        <c:axId val="1103149040"/>
        <c:axId val="1103153840"/>
      </c:lineChart>
      <c:catAx>
        <c:axId val="110314904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3153840"/>
        <c:crosses val="autoZero"/>
        <c:auto val="1"/>
        <c:lblAlgn val="ctr"/>
        <c:lblOffset val="100"/>
        <c:noMultiLvlLbl val="0"/>
      </c:catAx>
      <c:valAx>
        <c:axId val="11031538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3149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'Dissertation Data Analysis'!$B$13</c:f>
              <c:strCache>
                <c:ptCount val="1"/>
                <c:pt idx="0">
                  <c:v>Average Visa Grants</c:v>
                </c:pt>
              </c:strCache>
            </c:strRef>
          </c:tx>
          <c:spPr>
            <a:solidFill>
              <a:schemeClr val="accent1"/>
            </a:solidFill>
            <a:ln>
              <a:noFill/>
            </a:ln>
            <a:effectLst/>
          </c:spPr>
          <c:invertIfNegative val="0"/>
          <c:cat>
            <c:strRef>
              <c:f>'Dissertation Data Analysis'!$A$14:$A$15</c:f>
              <c:strCache>
                <c:ptCount val="2"/>
                <c:pt idx="0">
                  <c:v>2021-2023</c:v>
                </c:pt>
                <c:pt idx="1">
                  <c:v>2024-2026</c:v>
                </c:pt>
              </c:strCache>
            </c:strRef>
          </c:cat>
          <c:val>
            <c:numRef>
              <c:f>'Dissertation Data Analysis'!$B$14:$B$15</c:f>
              <c:numCache>
                <c:formatCode>#,##0</c:formatCode>
                <c:ptCount val="2"/>
                <c:pt idx="0">
                  <c:v>76260</c:v>
                </c:pt>
                <c:pt idx="1">
                  <c:v>20685</c:v>
                </c:pt>
              </c:numCache>
            </c:numRef>
          </c:val>
          <c:extLst>
            <c:ext xmlns:c16="http://schemas.microsoft.com/office/drawing/2014/chart" uri="{C3380CC4-5D6E-409C-BE32-E72D297353CC}">
              <c16:uniqueId val="{00000000-A588-4470-B9D6-BFDB09268115}"/>
            </c:ext>
          </c:extLst>
        </c:ser>
        <c:dLbls>
          <c:showLegendKey val="0"/>
          <c:showVal val="0"/>
          <c:showCatName val="0"/>
          <c:showSerName val="0"/>
          <c:showPercent val="0"/>
          <c:showBubbleSize val="0"/>
        </c:dLbls>
        <c:gapWidth val="219"/>
        <c:overlap val="-27"/>
        <c:axId val="2116193280"/>
        <c:axId val="2116196640"/>
      </c:barChart>
      <c:catAx>
        <c:axId val="2116193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6196640"/>
        <c:crosses val="autoZero"/>
        <c:auto val="1"/>
        <c:lblAlgn val="ctr"/>
        <c:lblOffset val="100"/>
        <c:noMultiLvlLbl val="0"/>
      </c:catAx>
      <c:valAx>
        <c:axId val="21161966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619328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1DD0FD6-0A60-497E-AD81-8C42801039B5}" type="doc">
      <dgm:prSet loTypeId="urn:microsoft.com/office/officeart/2005/8/layout/vProcess5" loCatId="process" qsTypeId="urn:microsoft.com/office/officeart/2005/8/quickstyle/3d3" qsCatId="3D" csTypeId="urn:microsoft.com/office/officeart/2005/8/colors/accent1_2" csCatId="accent1" phldr="1"/>
      <dgm:spPr/>
      <dgm:t>
        <a:bodyPr/>
        <a:lstStyle/>
        <a:p>
          <a:endParaRPr lang="en-US"/>
        </a:p>
      </dgm:t>
    </dgm:pt>
    <dgm:pt modelId="{3D3EFC22-DBD5-4481-AF25-1FB3D9AA3548}">
      <dgm:prSet phldrT="[Text]"/>
      <dgm:spPr/>
      <dgm:t>
        <a:bodyPr/>
        <a:lstStyle/>
        <a:p>
          <a:r>
            <a:rPr lang="en-US" b="1" i="0">
              <a:latin typeface="Abadi" panose="020B0604020104020204" pitchFamily="34" charset="0"/>
              <a:cs typeface="Aharoni" panose="02010803020104030203" pitchFamily="2" charset="-79"/>
            </a:rPr>
            <a:t>Independent Variable.</a:t>
          </a:r>
        </a:p>
        <a:p>
          <a:r>
            <a:rPr lang="en-US" b="0">
              <a:latin typeface="Abadi" panose="020B0604020104020204" pitchFamily="34" charset="0"/>
              <a:cs typeface="Aharoni" panose="02010803020104030203" pitchFamily="2" charset="-79"/>
            </a:rPr>
            <a:t>UK Immigration Policy Changes (2020–2026)</a:t>
          </a:r>
        </a:p>
        <a:p>
          <a:r>
            <a:rPr lang="en-US" b="0">
              <a:latin typeface="Abadi" panose="020B0604020104020204" pitchFamily="34" charset="0"/>
              <a:cs typeface="Aharoni" panose="02010803020104030203" pitchFamily="2" charset="-79"/>
            </a:rPr>
            <a:t>RQF Level 3 → 6 (skill threshold increase)</a:t>
          </a:r>
        </a:p>
        <a:p>
          <a:r>
            <a:rPr lang="en-US" b="0">
              <a:latin typeface="Abadi" panose="020B0604020104020204" pitchFamily="34" charset="0"/>
              <a:cs typeface="Aharoni" panose="02010803020104030203" pitchFamily="2" charset="-79"/>
            </a:rPr>
            <a:t>Dependant visa restrictions</a:t>
          </a:r>
        </a:p>
        <a:p>
          <a:r>
            <a:rPr lang="en-US" b="0">
              <a:latin typeface="Abadi" panose="020B0604020104020204" pitchFamily="34" charset="0"/>
              <a:cs typeface="Aharoni" panose="02010803020104030203" pitchFamily="2" charset="-79"/>
            </a:rPr>
            <a:t>Closure of overseas recruitment (SOC 6135, 6136)</a:t>
          </a:r>
        </a:p>
        <a:p>
          <a:r>
            <a:rPr lang="en-US" b="0">
              <a:latin typeface="Abadi" panose="020B0604020104020204" pitchFamily="34" charset="0"/>
              <a:cs typeface="Aharoni" panose="02010803020104030203" pitchFamily="2" charset="-79"/>
            </a:rPr>
            <a:t>Salary threshold increases</a:t>
          </a:r>
        </a:p>
        <a:p>
          <a:r>
            <a:rPr lang="en-US" b="0">
              <a:latin typeface="Abadi" panose="020B0604020104020204" pitchFamily="34" charset="0"/>
              <a:cs typeface="Aharoni" panose="02010803020104030203" pitchFamily="2" charset="-79"/>
            </a:rPr>
            <a:t>ILR qualifying period extension (proposed)</a:t>
          </a:r>
          <a:endParaRPr lang="en-US"/>
        </a:p>
      </dgm:t>
    </dgm:pt>
    <dgm:pt modelId="{EEEF7EE1-0F0B-443A-8E7B-E6A17A991FCD}" type="parTrans" cxnId="{46C28BEC-6944-43E7-A691-7E7992AEDFF7}">
      <dgm:prSet/>
      <dgm:spPr/>
      <dgm:t>
        <a:bodyPr/>
        <a:lstStyle/>
        <a:p>
          <a:endParaRPr lang="en-US"/>
        </a:p>
      </dgm:t>
    </dgm:pt>
    <dgm:pt modelId="{9A89D4AC-9F72-4433-B66E-89AC76F55368}" type="sibTrans" cxnId="{46C28BEC-6944-43E7-A691-7E7992AEDFF7}">
      <dgm:prSet/>
      <dgm:spPr/>
      <dgm:t>
        <a:bodyPr/>
        <a:lstStyle/>
        <a:p>
          <a:endParaRPr lang="en-US"/>
        </a:p>
      </dgm:t>
    </dgm:pt>
    <dgm:pt modelId="{686D0664-6395-478E-91D2-464A37AC351E}">
      <dgm:prSet phldrT="[Text]"/>
      <dgm:spPr/>
      <dgm:t>
        <a:bodyPr/>
        <a:lstStyle/>
        <a:p>
          <a:r>
            <a:rPr lang="en-US" b="1">
              <a:latin typeface="Abadi" panose="020B0604020104020204" pitchFamily="34" charset="0"/>
            </a:rPr>
            <a:t>TBL</a:t>
          </a:r>
        </a:p>
        <a:p>
          <a:r>
            <a:rPr lang="en-US">
              <a:latin typeface="Abadi" panose="020B0604020104020204" pitchFamily="34" charset="0"/>
            </a:rPr>
            <a:t>Social: Falling dependant visa rates, reduced family unity, limited career progression</a:t>
          </a:r>
        </a:p>
        <a:p>
          <a:r>
            <a:rPr lang="en-US">
              <a:latin typeface="Abadi" panose="020B0604020104020204" pitchFamily="34" charset="0"/>
            </a:rPr>
            <a:t>Economic: Increasing turnover costs, rising outflow, workforce instability</a:t>
          </a:r>
          <a:endParaRPr lang="en-US"/>
        </a:p>
      </dgm:t>
    </dgm:pt>
    <dgm:pt modelId="{3D53684A-2A0A-4D10-9655-A1C8F66B97F4}" type="parTrans" cxnId="{F098BBCF-A31D-49A7-A340-0B039F640D64}">
      <dgm:prSet/>
      <dgm:spPr/>
      <dgm:t>
        <a:bodyPr/>
        <a:lstStyle/>
        <a:p>
          <a:endParaRPr lang="en-US"/>
        </a:p>
      </dgm:t>
    </dgm:pt>
    <dgm:pt modelId="{0A47A25E-0DA3-4A92-9637-95518B78CCF0}" type="sibTrans" cxnId="{F098BBCF-A31D-49A7-A340-0B039F640D64}">
      <dgm:prSet/>
      <dgm:spPr/>
      <dgm:t>
        <a:bodyPr/>
        <a:lstStyle/>
        <a:p>
          <a:endParaRPr lang="en-US"/>
        </a:p>
      </dgm:t>
    </dgm:pt>
    <dgm:pt modelId="{3F164E0E-0E52-4A52-ABA1-0EE702F02808}">
      <dgm:prSet phldrT="[Text]"/>
      <dgm:spPr/>
      <dgm:t>
        <a:bodyPr/>
        <a:lstStyle/>
        <a:p>
          <a:r>
            <a:rPr lang="en-US" b="1">
              <a:latin typeface="Abadi" panose="020B0604020104020204" pitchFamily="34" charset="0"/>
            </a:rPr>
            <a:t>HR Strategies</a:t>
          </a:r>
        </a:p>
        <a:p>
          <a:r>
            <a:rPr lang="en-US">
              <a:latin typeface="Abadi" panose="020B0604020104020204" pitchFamily="34" charset="0"/>
            </a:rPr>
            <a:t>Retention strategies</a:t>
          </a:r>
        </a:p>
        <a:p>
          <a:r>
            <a:rPr lang="en-US">
              <a:latin typeface="Abadi" panose="020B0604020104020204" pitchFamily="34" charset="0"/>
            </a:rPr>
            <a:t>Domestic upskilling</a:t>
          </a:r>
        </a:p>
        <a:p>
          <a:r>
            <a:rPr lang="en-US">
              <a:latin typeface="Abadi" panose="020B0604020104020204" pitchFamily="34" charset="0"/>
            </a:rPr>
            <a:t>Training investment</a:t>
          </a:r>
        </a:p>
        <a:p>
          <a:r>
            <a:rPr lang="en-US">
              <a:latin typeface="Abadi" panose="020B0604020104020204" pitchFamily="34" charset="0"/>
            </a:rPr>
            <a:t>Organisational support</a:t>
          </a:r>
          <a:endParaRPr lang="en-US"/>
        </a:p>
      </dgm:t>
    </dgm:pt>
    <dgm:pt modelId="{E9C86587-CF99-4DF9-98D3-32D5B0A1FDE9}" type="parTrans" cxnId="{2CE5F5FE-8009-4CB5-A162-9BD240A6F681}">
      <dgm:prSet/>
      <dgm:spPr/>
      <dgm:t>
        <a:bodyPr/>
        <a:lstStyle/>
        <a:p>
          <a:endParaRPr lang="en-US"/>
        </a:p>
      </dgm:t>
    </dgm:pt>
    <dgm:pt modelId="{C312A2FF-DEA4-4D09-B246-430D42D2EB16}" type="sibTrans" cxnId="{2CE5F5FE-8009-4CB5-A162-9BD240A6F681}">
      <dgm:prSet/>
      <dgm:spPr/>
      <dgm:t>
        <a:bodyPr/>
        <a:lstStyle/>
        <a:p>
          <a:endParaRPr lang="en-US"/>
        </a:p>
      </dgm:t>
    </dgm:pt>
    <dgm:pt modelId="{5243BE3A-D280-49D6-97BB-2B7FD111D221}">
      <dgm:prSet phldrT="[Text]"/>
      <dgm:spPr/>
      <dgm:t>
        <a:bodyPr/>
        <a:lstStyle/>
        <a:p>
          <a:r>
            <a:rPr lang="en-US" b="1" i="0">
              <a:latin typeface="Abadi" panose="020B0604020104020204" pitchFamily="34" charset="0"/>
            </a:rPr>
            <a:t>COR</a:t>
          </a:r>
        </a:p>
        <a:p>
          <a:r>
            <a:rPr lang="en-US">
              <a:latin typeface="Abadi" panose="020B0604020104020204" pitchFamily="34" charset="0"/>
            </a:rPr>
            <a:t>Resource Threat → Stress → Withdrawal Behaviour</a:t>
          </a:r>
        </a:p>
        <a:p>
          <a:r>
            <a:rPr lang="en-US">
              <a:latin typeface="Abadi" panose="020B0604020104020204" pitchFamily="34" charset="0"/>
            </a:rPr>
            <a:t>Loss of family unity (dependant visa restrictions)</a:t>
          </a:r>
        </a:p>
        <a:p>
          <a:r>
            <a:rPr lang="en-US">
              <a:latin typeface="Abadi" panose="020B0604020104020204" pitchFamily="34" charset="0"/>
            </a:rPr>
            <a:t>Loss of settlement pathway (ILR extension)</a:t>
          </a:r>
        </a:p>
        <a:p>
          <a:r>
            <a:rPr lang="en-US">
              <a:latin typeface="Abadi" panose="020B0604020104020204" pitchFamily="34" charset="0"/>
            </a:rPr>
            <a:t>Loss of job security (temporary status)</a:t>
          </a:r>
          <a:endParaRPr lang="en-US" b="1" i="0">
            <a:latin typeface="Abadi" panose="020B0604020104020204" pitchFamily="34" charset="0"/>
          </a:endParaRPr>
        </a:p>
      </dgm:t>
    </dgm:pt>
    <dgm:pt modelId="{4B89BDB3-8EDB-49AA-8DD6-407AC68B8E03}" type="parTrans" cxnId="{A2D34EB3-051C-4169-8E58-4E16855B569E}">
      <dgm:prSet/>
      <dgm:spPr/>
      <dgm:t>
        <a:bodyPr/>
        <a:lstStyle/>
        <a:p>
          <a:endParaRPr lang="en-US"/>
        </a:p>
      </dgm:t>
    </dgm:pt>
    <dgm:pt modelId="{25B147C6-9D62-4803-9204-31B717A6F7F0}" type="sibTrans" cxnId="{A2D34EB3-051C-4169-8E58-4E16855B569E}">
      <dgm:prSet/>
      <dgm:spPr/>
      <dgm:t>
        <a:bodyPr/>
        <a:lstStyle/>
        <a:p>
          <a:endParaRPr lang="en-US"/>
        </a:p>
      </dgm:t>
    </dgm:pt>
    <dgm:pt modelId="{971B57A9-FE43-4FC4-AA37-0D9BECA54E69}">
      <dgm:prSet phldrT="[Text]"/>
      <dgm:spPr/>
      <dgm:t>
        <a:bodyPr/>
        <a:lstStyle/>
        <a:p>
          <a:r>
            <a:rPr lang="en-US" b="1">
              <a:latin typeface="Abadi" panose="020B0604020104020204" pitchFamily="34" charset="0"/>
            </a:rPr>
            <a:t>Human Capital</a:t>
          </a:r>
        </a:p>
        <a:p>
          <a:r>
            <a:rPr lang="en-US">
              <a:latin typeface="Abadi" panose="020B0604020104020204" pitchFamily="34" charset="0"/>
            </a:rPr>
            <a:t>Loss of Specific Human Capital</a:t>
          </a:r>
        </a:p>
        <a:p>
          <a:r>
            <a:rPr lang="en-US">
              <a:latin typeface="Abadi" panose="020B0604020104020204" pitchFamily="34" charset="0"/>
            </a:rPr>
            <a:t>NHS protocol knowledge</a:t>
          </a:r>
        </a:p>
        <a:p>
          <a:r>
            <a:rPr lang="en-US">
              <a:latin typeface="Abadi" panose="020B0604020104020204" pitchFamily="34" charset="0"/>
            </a:rPr>
            <a:t>Local patient population familiarity</a:t>
          </a:r>
        </a:p>
        <a:p>
          <a:r>
            <a:rPr lang="en-US">
              <a:latin typeface="Abadi" panose="020B0604020104020204" pitchFamily="34" charset="0"/>
            </a:rPr>
            <a:t>Team dynamics and relationships</a:t>
          </a:r>
        </a:p>
        <a:p>
          <a:r>
            <a:rPr lang="en-US">
              <a:latin typeface="Abadi" panose="020B0604020104020204" pitchFamily="34" charset="0"/>
            </a:rPr>
            <a:t>Costly to replace and retrain</a:t>
          </a:r>
        </a:p>
      </dgm:t>
    </dgm:pt>
    <dgm:pt modelId="{8BE3E10B-24CB-4F19-850F-C0F4DBA1D83C}" type="parTrans" cxnId="{F389B5A4-B109-44CA-B5C1-DFAE83F72E11}">
      <dgm:prSet/>
      <dgm:spPr/>
      <dgm:t>
        <a:bodyPr/>
        <a:lstStyle/>
        <a:p>
          <a:endParaRPr lang="en-US"/>
        </a:p>
      </dgm:t>
    </dgm:pt>
    <dgm:pt modelId="{71C7C812-2ED1-4CB5-AA22-C8D4B031D89B}" type="sibTrans" cxnId="{F389B5A4-B109-44CA-B5C1-DFAE83F72E11}">
      <dgm:prSet/>
      <dgm:spPr/>
      <dgm:t>
        <a:bodyPr/>
        <a:lstStyle/>
        <a:p>
          <a:endParaRPr lang="en-US"/>
        </a:p>
      </dgm:t>
    </dgm:pt>
    <dgm:pt modelId="{333EA24D-73DB-4782-9C30-FA422BC8743D}" type="pres">
      <dgm:prSet presAssocID="{A1DD0FD6-0A60-497E-AD81-8C42801039B5}" presName="outerComposite" presStyleCnt="0">
        <dgm:presLayoutVars>
          <dgm:chMax val="5"/>
          <dgm:dir/>
          <dgm:resizeHandles val="exact"/>
        </dgm:presLayoutVars>
      </dgm:prSet>
      <dgm:spPr/>
    </dgm:pt>
    <dgm:pt modelId="{C31F78D3-2A47-4825-9F73-ED7B8C60E06D}" type="pres">
      <dgm:prSet presAssocID="{A1DD0FD6-0A60-497E-AD81-8C42801039B5}" presName="dummyMaxCanvas" presStyleCnt="0">
        <dgm:presLayoutVars/>
      </dgm:prSet>
      <dgm:spPr/>
    </dgm:pt>
    <dgm:pt modelId="{13A4D18E-2FBC-4E5E-94A3-8F72BCDE0DC4}" type="pres">
      <dgm:prSet presAssocID="{A1DD0FD6-0A60-497E-AD81-8C42801039B5}" presName="FiveNodes_1" presStyleLbl="node1" presStyleIdx="0" presStyleCnt="5">
        <dgm:presLayoutVars>
          <dgm:bulletEnabled val="1"/>
        </dgm:presLayoutVars>
      </dgm:prSet>
      <dgm:spPr/>
    </dgm:pt>
    <dgm:pt modelId="{DDC62DB0-6885-4E31-A950-D3B0A54CCD22}" type="pres">
      <dgm:prSet presAssocID="{A1DD0FD6-0A60-497E-AD81-8C42801039B5}" presName="FiveNodes_2" presStyleLbl="node1" presStyleIdx="1" presStyleCnt="5">
        <dgm:presLayoutVars>
          <dgm:bulletEnabled val="1"/>
        </dgm:presLayoutVars>
      </dgm:prSet>
      <dgm:spPr/>
    </dgm:pt>
    <dgm:pt modelId="{6E5E951E-6799-42FB-BC1D-DB78B43292EF}" type="pres">
      <dgm:prSet presAssocID="{A1DD0FD6-0A60-497E-AD81-8C42801039B5}" presName="FiveNodes_3" presStyleLbl="node1" presStyleIdx="2" presStyleCnt="5">
        <dgm:presLayoutVars>
          <dgm:bulletEnabled val="1"/>
        </dgm:presLayoutVars>
      </dgm:prSet>
      <dgm:spPr/>
    </dgm:pt>
    <dgm:pt modelId="{B6D9B570-FC9A-4B1D-B48E-2B819E2BCF36}" type="pres">
      <dgm:prSet presAssocID="{A1DD0FD6-0A60-497E-AD81-8C42801039B5}" presName="FiveNodes_4" presStyleLbl="node1" presStyleIdx="3" presStyleCnt="5">
        <dgm:presLayoutVars>
          <dgm:bulletEnabled val="1"/>
        </dgm:presLayoutVars>
      </dgm:prSet>
      <dgm:spPr/>
    </dgm:pt>
    <dgm:pt modelId="{46A9B2FA-581C-44FF-A7E4-D5479772D6C7}" type="pres">
      <dgm:prSet presAssocID="{A1DD0FD6-0A60-497E-AD81-8C42801039B5}" presName="FiveNodes_5" presStyleLbl="node1" presStyleIdx="4" presStyleCnt="5">
        <dgm:presLayoutVars>
          <dgm:bulletEnabled val="1"/>
        </dgm:presLayoutVars>
      </dgm:prSet>
      <dgm:spPr/>
    </dgm:pt>
    <dgm:pt modelId="{27F0E098-A14E-40AD-A3DD-8F34607D1B96}" type="pres">
      <dgm:prSet presAssocID="{A1DD0FD6-0A60-497E-AD81-8C42801039B5}" presName="FiveConn_1-2" presStyleLbl="fgAccFollowNode1" presStyleIdx="0" presStyleCnt="4">
        <dgm:presLayoutVars>
          <dgm:bulletEnabled val="1"/>
        </dgm:presLayoutVars>
      </dgm:prSet>
      <dgm:spPr/>
    </dgm:pt>
    <dgm:pt modelId="{A634442B-7B00-4C80-973D-31BA41A0A90A}" type="pres">
      <dgm:prSet presAssocID="{A1DD0FD6-0A60-497E-AD81-8C42801039B5}" presName="FiveConn_2-3" presStyleLbl="fgAccFollowNode1" presStyleIdx="1" presStyleCnt="4">
        <dgm:presLayoutVars>
          <dgm:bulletEnabled val="1"/>
        </dgm:presLayoutVars>
      </dgm:prSet>
      <dgm:spPr/>
    </dgm:pt>
    <dgm:pt modelId="{7EDBE588-43BD-473A-8BE5-CF06CE90EBA3}" type="pres">
      <dgm:prSet presAssocID="{A1DD0FD6-0A60-497E-AD81-8C42801039B5}" presName="FiveConn_3-4" presStyleLbl="fgAccFollowNode1" presStyleIdx="2" presStyleCnt="4">
        <dgm:presLayoutVars>
          <dgm:bulletEnabled val="1"/>
        </dgm:presLayoutVars>
      </dgm:prSet>
      <dgm:spPr/>
    </dgm:pt>
    <dgm:pt modelId="{18153CB6-72AA-4262-9BB7-A5178559B3FD}" type="pres">
      <dgm:prSet presAssocID="{A1DD0FD6-0A60-497E-AD81-8C42801039B5}" presName="FiveConn_4-5" presStyleLbl="fgAccFollowNode1" presStyleIdx="3" presStyleCnt="4">
        <dgm:presLayoutVars>
          <dgm:bulletEnabled val="1"/>
        </dgm:presLayoutVars>
      </dgm:prSet>
      <dgm:spPr/>
    </dgm:pt>
    <dgm:pt modelId="{2873A05F-5D2F-4805-921A-72D3EEDC8376}" type="pres">
      <dgm:prSet presAssocID="{A1DD0FD6-0A60-497E-AD81-8C42801039B5}" presName="FiveNodes_1_text" presStyleLbl="node1" presStyleIdx="4" presStyleCnt="5">
        <dgm:presLayoutVars>
          <dgm:bulletEnabled val="1"/>
        </dgm:presLayoutVars>
      </dgm:prSet>
      <dgm:spPr/>
    </dgm:pt>
    <dgm:pt modelId="{5BF2A4E4-E4F2-493E-903E-FE172597B667}" type="pres">
      <dgm:prSet presAssocID="{A1DD0FD6-0A60-497E-AD81-8C42801039B5}" presName="FiveNodes_2_text" presStyleLbl="node1" presStyleIdx="4" presStyleCnt="5">
        <dgm:presLayoutVars>
          <dgm:bulletEnabled val="1"/>
        </dgm:presLayoutVars>
      </dgm:prSet>
      <dgm:spPr/>
    </dgm:pt>
    <dgm:pt modelId="{C32AC086-C2D9-4C5A-B299-03ADB185246C}" type="pres">
      <dgm:prSet presAssocID="{A1DD0FD6-0A60-497E-AD81-8C42801039B5}" presName="FiveNodes_3_text" presStyleLbl="node1" presStyleIdx="4" presStyleCnt="5">
        <dgm:presLayoutVars>
          <dgm:bulletEnabled val="1"/>
        </dgm:presLayoutVars>
      </dgm:prSet>
      <dgm:spPr/>
    </dgm:pt>
    <dgm:pt modelId="{ABB24961-BF70-4EB0-A5DE-C3FAF91EB45F}" type="pres">
      <dgm:prSet presAssocID="{A1DD0FD6-0A60-497E-AD81-8C42801039B5}" presName="FiveNodes_4_text" presStyleLbl="node1" presStyleIdx="4" presStyleCnt="5">
        <dgm:presLayoutVars>
          <dgm:bulletEnabled val="1"/>
        </dgm:presLayoutVars>
      </dgm:prSet>
      <dgm:spPr/>
    </dgm:pt>
    <dgm:pt modelId="{D5672F4A-775E-4E9E-BFD8-4BC42BDD9FCC}" type="pres">
      <dgm:prSet presAssocID="{A1DD0FD6-0A60-497E-AD81-8C42801039B5}" presName="FiveNodes_5_text" presStyleLbl="node1" presStyleIdx="4" presStyleCnt="5">
        <dgm:presLayoutVars>
          <dgm:bulletEnabled val="1"/>
        </dgm:presLayoutVars>
      </dgm:prSet>
      <dgm:spPr/>
    </dgm:pt>
  </dgm:ptLst>
  <dgm:cxnLst>
    <dgm:cxn modelId="{D615F629-DC17-407E-83E7-59C52D45C7F6}" type="presOf" srcId="{971B57A9-FE43-4FC4-AA37-0D9BECA54E69}" destId="{6E5E951E-6799-42FB-BC1D-DB78B43292EF}" srcOrd="0" destOrd="0" presId="urn:microsoft.com/office/officeart/2005/8/layout/vProcess5"/>
    <dgm:cxn modelId="{5249A732-DA7D-4413-963A-5EE2997E66FF}" type="presOf" srcId="{686D0664-6395-478E-91D2-464A37AC351E}" destId="{B6D9B570-FC9A-4B1D-B48E-2B819E2BCF36}" srcOrd="0" destOrd="0" presId="urn:microsoft.com/office/officeart/2005/8/layout/vProcess5"/>
    <dgm:cxn modelId="{99EE1344-8CEA-49C8-8437-45A54DAE919A}" type="presOf" srcId="{3F164E0E-0E52-4A52-ABA1-0EE702F02808}" destId="{46A9B2FA-581C-44FF-A7E4-D5479772D6C7}" srcOrd="0" destOrd="0" presId="urn:microsoft.com/office/officeart/2005/8/layout/vProcess5"/>
    <dgm:cxn modelId="{C0918964-9888-41EE-94A8-2DD6A4AF9FA4}" type="presOf" srcId="{A1DD0FD6-0A60-497E-AD81-8C42801039B5}" destId="{333EA24D-73DB-4782-9C30-FA422BC8743D}" srcOrd="0" destOrd="0" presId="urn:microsoft.com/office/officeart/2005/8/layout/vProcess5"/>
    <dgm:cxn modelId="{288B226A-64C4-4756-B107-6D2A55BA0323}" type="presOf" srcId="{71C7C812-2ED1-4CB5-AA22-C8D4B031D89B}" destId="{7EDBE588-43BD-473A-8BE5-CF06CE90EBA3}" srcOrd="0" destOrd="0" presId="urn:microsoft.com/office/officeart/2005/8/layout/vProcess5"/>
    <dgm:cxn modelId="{86941F52-D05A-48A6-AB4C-540F1835B77E}" type="presOf" srcId="{5243BE3A-D280-49D6-97BB-2B7FD111D221}" destId="{DDC62DB0-6885-4E31-A950-D3B0A54CCD22}" srcOrd="0" destOrd="0" presId="urn:microsoft.com/office/officeart/2005/8/layout/vProcess5"/>
    <dgm:cxn modelId="{F300AD55-5062-48AB-B42C-A96137202D45}" type="presOf" srcId="{25B147C6-9D62-4803-9204-31B717A6F7F0}" destId="{A634442B-7B00-4C80-973D-31BA41A0A90A}" srcOrd="0" destOrd="0" presId="urn:microsoft.com/office/officeart/2005/8/layout/vProcess5"/>
    <dgm:cxn modelId="{2199D896-78DA-462B-834A-8338A65B5215}" type="presOf" srcId="{3D3EFC22-DBD5-4481-AF25-1FB3D9AA3548}" destId="{2873A05F-5D2F-4805-921A-72D3EEDC8376}" srcOrd="1" destOrd="0" presId="urn:microsoft.com/office/officeart/2005/8/layout/vProcess5"/>
    <dgm:cxn modelId="{85563399-1938-466A-93A2-109EB5A8FD74}" type="presOf" srcId="{5243BE3A-D280-49D6-97BB-2B7FD111D221}" destId="{5BF2A4E4-E4F2-493E-903E-FE172597B667}" srcOrd="1" destOrd="0" presId="urn:microsoft.com/office/officeart/2005/8/layout/vProcess5"/>
    <dgm:cxn modelId="{F389B5A4-B109-44CA-B5C1-DFAE83F72E11}" srcId="{A1DD0FD6-0A60-497E-AD81-8C42801039B5}" destId="{971B57A9-FE43-4FC4-AA37-0D9BECA54E69}" srcOrd="2" destOrd="0" parTransId="{8BE3E10B-24CB-4F19-850F-C0F4DBA1D83C}" sibTransId="{71C7C812-2ED1-4CB5-AA22-C8D4B031D89B}"/>
    <dgm:cxn modelId="{36C4B2A5-B2A6-4650-8823-8B47A95A739B}" type="presOf" srcId="{9A89D4AC-9F72-4433-B66E-89AC76F55368}" destId="{27F0E098-A14E-40AD-A3DD-8F34607D1B96}" srcOrd="0" destOrd="0" presId="urn:microsoft.com/office/officeart/2005/8/layout/vProcess5"/>
    <dgm:cxn modelId="{A2D34EB3-051C-4169-8E58-4E16855B569E}" srcId="{A1DD0FD6-0A60-497E-AD81-8C42801039B5}" destId="{5243BE3A-D280-49D6-97BB-2B7FD111D221}" srcOrd="1" destOrd="0" parTransId="{4B89BDB3-8EDB-49AA-8DD6-407AC68B8E03}" sibTransId="{25B147C6-9D62-4803-9204-31B717A6F7F0}"/>
    <dgm:cxn modelId="{F0AD8CB3-7468-471B-AE42-66CEB3806BAE}" type="presOf" srcId="{686D0664-6395-478E-91D2-464A37AC351E}" destId="{ABB24961-BF70-4EB0-A5DE-C3FAF91EB45F}" srcOrd="1" destOrd="0" presId="urn:microsoft.com/office/officeart/2005/8/layout/vProcess5"/>
    <dgm:cxn modelId="{87823DB5-8179-4C28-A5C3-C5CD09BF59E5}" type="presOf" srcId="{971B57A9-FE43-4FC4-AA37-0D9BECA54E69}" destId="{C32AC086-C2D9-4C5A-B299-03ADB185246C}" srcOrd="1" destOrd="0" presId="urn:microsoft.com/office/officeart/2005/8/layout/vProcess5"/>
    <dgm:cxn modelId="{824C89BD-01AE-4FBA-A14D-81DF96B591FC}" type="presOf" srcId="{3D3EFC22-DBD5-4481-AF25-1FB3D9AA3548}" destId="{13A4D18E-2FBC-4E5E-94A3-8F72BCDE0DC4}" srcOrd="0" destOrd="0" presId="urn:microsoft.com/office/officeart/2005/8/layout/vProcess5"/>
    <dgm:cxn modelId="{F098BBCF-A31D-49A7-A340-0B039F640D64}" srcId="{A1DD0FD6-0A60-497E-AD81-8C42801039B5}" destId="{686D0664-6395-478E-91D2-464A37AC351E}" srcOrd="3" destOrd="0" parTransId="{3D53684A-2A0A-4D10-9655-A1C8F66B97F4}" sibTransId="{0A47A25E-0DA3-4A92-9637-95518B78CCF0}"/>
    <dgm:cxn modelId="{BFD2D7E6-0940-4AA8-87CC-D2CB9D519E92}" type="presOf" srcId="{3F164E0E-0E52-4A52-ABA1-0EE702F02808}" destId="{D5672F4A-775E-4E9E-BFD8-4BC42BDD9FCC}" srcOrd="1" destOrd="0" presId="urn:microsoft.com/office/officeart/2005/8/layout/vProcess5"/>
    <dgm:cxn modelId="{46C28BEC-6944-43E7-A691-7E7992AEDFF7}" srcId="{A1DD0FD6-0A60-497E-AD81-8C42801039B5}" destId="{3D3EFC22-DBD5-4481-AF25-1FB3D9AA3548}" srcOrd="0" destOrd="0" parTransId="{EEEF7EE1-0F0B-443A-8E7B-E6A17A991FCD}" sibTransId="{9A89D4AC-9F72-4433-B66E-89AC76F55368}"/>
    <dgm:cxn modelId="{D84A12FC-9BBA-49C0-BBB5-1EC24B431141}" type="presOf" srcId="{0A47A25E-0DA3-4A92-9637-95518B78CCF0}" destId="{18153CB6-72AA-4262-9BB7-A5178559B3FD}" srcOrd="0" destOrd="0" presId="urn:microsoft.com/office/officeart/2005/8/layout/vProcess5"/>
    <dgm:cxn modelId="{2CE5F5FE-8009-4CB5-A162-9BD240A6F681}" srcId="{A1DD0FD6-0A60-497E-AD81-8C42801039B5}" destId="{3F164E0E-0E52-4A52-ABA1-0EE702F02808}" srcOrd="4" destOrd="0" parTransId="{E9C86587-CF99-4DF9-98D3-32D5B0A1FDE9}" sibTransId="{C312A2FF-DEA4-4D09-B246-430D42D2EB16}"/>
    <dgm:cxn modelId="{6A995A03-2F4C-4D8C-A64A-345540EA80DA}" type="presParOf" srcId="{333EA24D-73DB-4782-9C30-FA422BC8743D}" destId="{C31F78D3-2A47-4825-9F73-ED7B8C60E06D}" srcOrd="0" destOrd="0" presId="urn:microsoft.com/office/officeart/2005/8/layout/vProcess5"/>
    <dgm:cxn modelId="{058C0A90-89DA-41CF-953F-A89F66D2AD09}" type="presParOf" srcId="{333EA24D-73DB-4782-9C30-FA422BC8743D}" destId="{13A4D18E-2FBC-4E5E-94A3-8F72BCDE0DC4}" srcOrd="1" destOrd="0" presId="urn:microsoft.com/office/officeart/2005/8/layout/vProcess5"/>
    <dgm:cxn modelId="{A50CFE01-59A9-4AEF-B22E-FE13FDD7173C}" type="presParOf" srcId="{333EA24D-73DB-4782-9C30-FA422BC8743D}" destId="{DDC62DB0-6885-4E31-A950-D3B0A54CCD22}" srcOrd="2" destOrd="0" presId="urn:microsoft.com/office/officeart/2005/8/layout/vProcess5"/>
    <dgm:cxn modelId="{820533E1-903B-4F4E-903A-90F587EF903E}" type="presParOf" srcId="{333EA24D-73DB-4782-9C30-FA422BC8743D}" destId="{6E5E951E-6799-42FB-BC1D-DB78B43292EF}" srcOrd="3" destOrd="0" presId="urn:microsoft.com/office/officeart/2005/8/layout/vProcess5"/>
    <dgm:cxn modelId="{A09056BF-E87A-48A3-8AB2-A4083EFE9FFD}" type="presParOf" srcId="{333EA24D-73DB-4782-9C30-FA422BC8743D}" destId="{B6D9B570-FC9A-4B1D-B48E-2B819E2BCF36}" srcOrd="4" destOrd="0" presId="urn:microsoft.com/office/officeart/2005/8/layout/vProcess5"/>
    <dgm:cxn modelId="{7851C02B-4A3C-404C-AC43-37A3FD9E8467}" type="presParOf" srcId="{333EA24D-73DB-4782-9C30-FA422BC8743D}" destId="{46A9B2FA-581C-44FF-A7E4-D5479772D6C7}" srcOrd="5" destOrd="0" presId="urn:microsoft.com/office/officeart/2005/8/layout/vProcess5"/>
    <dgm:cxn modelId="{E5EE930D-2F07-4A78-B8C0-1F3394EB38C4}" type="presParOf" srcId="{333EA24D-73DB-4782-9C30-FA422BC8743D}" destId="{27F0E098-A14E-40AD-A3DD-8F34607D1B96}" srcOrd="6" destOrd="0" presId="urn:microsoft.com/office/officeart/2005/8/layout/vProcess5"/>
    <dgm:cxn modelId="{1D205AFD-3B27-4BC1-A08E-A5D187971100}" type="presParOf" srcId="{333EA24D-73DB-4782-9C30-FA422BC8743D}" destId="{A634442B-7B00-4C80-973D-31BA41A0A90A}" srcOrd="7" destOrd="0" presId="urn:microsoft.com/office/officeart/2005/8/layout/vProcess5"/>
    <dgm:cxn modelId="{0B076BD2-698B-4F0C-97B7-562B75DB32EF}" type="presParOf" srcId="{333EA24D-73DB-4782-9C30-FA422BC8743D}" destId="{7EDBE588-43BD-473A-8BE5-CF06CE90EBA3}" srcOrd="8" destOrd="0" presId="urn:microsoft.com/office/officeart/2005/8/layout/vProcess5"/>
    <dgm:cxn modelId="{C2BD1636-E838-4E4C-B302-9A806C49140E}" type="presParOf" srcId="{333EA24D-73DB-4782-9C30-FA422BC8743D}" destId="{18153CB6-72AA-4262-9BB7-A5178559B3FD}" srcOrd="9" destOrd="0" presId="urn:microsoft.com/office/officeart/2005/8/layout/vProcess5"/>
    <dgm:cxn modelId="{571A3103-875B-42E7-BDA1-B475C8691A4C}" type="presParOf" srcId="{333EA24D-73DB-4782-9C30-FA422BC8743D}" destId="{2873A05F-5D2F-4805-921A-72D3EEDC8376}" srcOrd="10" destOrd="0" presId="urn:microsoft.com/office/officeart/2005/8/layout/vProcess5"/>
    <dgm:cxn modelId="{EE7E0E23-ED1F-4061-ACCE-E54C401EB6B4}" type="presParOf" srcId="{333EA24D-73DB-4782-9C30-FA422BC8743D}" destId="{5BF2A4E4-E4F2-493E-903E-FE172597B667}" srcOrd="11" destOrd="0" presId="urn:microsoft.com/office/officeart/2005/8/layout/vProcess5"/>
    <dgm:cxn modelId="{9D8DF29F-9CE6-43D0-A599-2C45CA63CF08}" type="presParOf" srcId="{333EA24D-73DB-4782-9C30-FA422BC8743D}" destId="{C32AC086-C2D9-4C5A-B299-03ADB185246C}" srcOrd="12" destOrd="0" presId="urn:microsoft.com/office/officeart/2005/8/layout/vProcess5"/>
    <dgm:cxn modelId="{CE8A08AC-8EB0-4425-8089-E866BCC20494}" type="presParOf" srcId="{333EA24D-73DB-4782-9C30-FA422BC8743D}" destId="{ABB24961-BF70-4EB0-A5DE-C3FAF91EB45F}" srcOrd="13" destOrd="0" presId="urn:microsoft.com/office/officeart/2005/8/layout/vProcess5"/>
    <dgm:cxn modelId="{70C02E58-0A7C-4402-BBD9-F46F9775C6D9}" type="presParOf" srcId="{333EA24D-73DB-4782-9C30-FA422BC8743D}" destId="{D5672F4A-775E-4E9E-BFD8-4BC42BDD9FCC}" srcOrd="14" destOrd="0" presId="urn:microsoft.com/office/officeart/2005/8/layout/vProcess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A4D18E-2FBC-4E5E-94A3-8F72BCDE0DC4}">
      <dsp:nvSpPr>
        <dsp:cNvPr id="0" name=""/>
        <dsp:cNvSpPr/>
      </dsp:nvSpPr>
      <dsp:spPr>
        <a:xfrm>
          <a:off x="0" y="0"/>
          <a:ext cx="3818699" cy="121615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US" sz="800" b="1" i="0" kern="1200">
              <a:latin typeface="Abadi" panose="020B0604020104020204" pitchFamily="34" charset="0"/>
              <a:cs typeface="Aharoni" panose="02010803020104030203" pitchFamily="2" charset="-79"/>
            </a:rPr>
            <a:t>Independent Variable.</a:t>
          </a:r>
        </a:p>
        <a:p>
          <a:pPr marL="0" lvl="0" indent="0" algn="l" defTabSz="355600">
            <a:lnSpc>
              <a:spcPct val="90000"/>
            </a:lnSpc>
            <a:spcBef>
              <a:spcPct val="0"/>
            </a:spcBef>
            <a:spcAft>
              <a:spcPct val="35000"/>
            </a:spcAft>
            <a:buNone/>
          </a:pPr>
          <a:r>
            <a:rPr lang="en-US" sz="800" b="0" kern="1200">
              <a:latin typeface="Abadi" panose="020B0604020104020204" pitchFamily="34" charset="0"/>
              <a:cs typeface="Aharoni" panose="02010803020104030203" pitchFamily="2" charset="-79"/>
            </a:rPr>
            <a:t>UK Immigration Policy Changes (2020–2026)</a:t>
          </a:r>
        </a:p>
        <a:p>
          <a:pPr marL="0" lvl="0" indent="0" algn="l" defTabSz="355600">
            <a:lnSpc>
              <a:spcPct val="90000"/>
            </a:lnSpc>
            <a:spcBef>
              <a:spcPct val="0"/>
            </a:spcBef>
            <a:spcAft>
              <a:spcPct val="35000"/>
            </a:spcAft>
            <a:buNone/>
          </a:pPr>
          <a:r>
            <a:rPr lang="en-US" sz="800" b="0" kern="1200">
              <a:latin typeface="Abadi" panose="020B0604020104020204" pitchFamily="34" charset="0"/>
              <a:cs typeface="Aharoni" panose="02010803020104030203" pitchFamily="2" charset="-79"/>
            </a:rPr>
            <a:t>RQF Level 3 → 6 (skill threshold increase)</a:t>
          </a:r>
        </a:p>
        <a:p>
          <a:pPr marL="0" lvl="0" indent="0" algn="l" defTabSz="355600">
            <a:lnSpc>
              <a:spcPct val="90000"/>
            </a:lnSpc>
            <a:spcBef>
              <a:spcPct val="0"/>
            </a:spcBef>
            <a:spcAft>
              <a:spcPct val="35000"/>
            </a:spcAft>
            <a:buNone/>
          </a:pPr>
          <a:r>
            <a:rPr lang="en-US" sz="800" b="0" kern="1200">
              <a:latin typeface="Abadi" panose="020B0604020104020204" pitchFamily="34" charset="0"/>
              <a:cs typeface="Aharoni" panose="02010803020104030203" pitchFamily="2" charset="-79"/>
            </a:rPr>
            <a:t>Dependant visa restrictions</a:t>
          </a:r>
        </a:p>
        <a:p>
          <a:pPr marL="0" lvl="0" indent="0" algn="l" defTabSz="355600">
            <a:lnSpc>
              <a:spcPct val="90000"/>
            </a:lnSpc>
            <a:spcBef>
              <a:spcPct val="0"/>
            </a:spcBef>
            <a:spcAft>
              <a:spcPct val="35000"/>
            </a:spcAft>
            <a:buNone/>
          </a:pPr>
          <a:r>
            <a:rPr lang="en-US" sz="800" b="0" kern="1200">
              <a:latin typeface="Abadi" panose="020B0604020104020204" pitchFamily="34" charset="0"/>
              <a:cs typeface="Aharoni" panose="02010803020104030203" pitchFamily="2" charset="-79"/>
            </a:rPr>
            <a:t>Closure of overseas recruitment (SOC 6135, 6136)</a:t>
          </a:r>
        </a:p>
        <a:p>
          <a:pPr marL="0" lvl="0" indent="0" algn="l" defTabSz="355600">
            <a:lnSpc>
              <a:spcPct val="90000"/>
            </a:lnSpc>
            <a:spcBef>
              <a:spcPct val="0"/>
            </a:spcBef>
            <a:spcAft>
              <a:spcPct val="35000"/>
            </a:spcAft>
            <a:buNone/>
          </a:pPr>
          <a:r>
            <a:rPr lang="en-US" sz="800" b="0" kern="1200">
              <a:latin typeface="Abadi" panose="020B0604020104020204" pitchFamily="34" charset="0"/>
              <a:cs typeface="Aharoni" panose="02010803020104030203" pitchFamily="2" charset="-79"/>
            </a:rPr>
            <a:t>Salary threshold increases</a:t>
          </a:r>
        </a:p>
        <a:p>
          <a:pPr marL="0" lvl="0" indent="0" algn="l" defTabSz="355600">
            <a:lnSpc>
              <a:spcPct val="90000"/>
            </a:lnSpc>
            <a:spcBef>
              <a:spcPct val="0"/>
            </a:spcBef>
            <a:spcAft>
              <a:spcPct val="35000"/>
            </a:spcAft>
            <a:buNone/>
          </a:pPr>
          <a:r>
            <a:rPr lang="en-US" sz="800" b="0" kern="1200">
              <a:latin typeface="Abadi" panose="020B0604020104020204" pitchFamily="34" charset="0"/>
              <a:cs typeface="Aharoni" panose="02010803020104030203" pitchFamily="2" charset="-79"/>
            </a:rPr>
            <a:t>ILR qualifying period extension (proposed)</a:t>
          </a:r>
          <a:endParaRPr lang="en-US" sz="800" kern="1200"/>
        </a:p>
      </dsp:txBody>
      <dsp:txXfrm>
        <a:off x="35620" y="35620"/>
        <a:ext cx="2364086" cy="1144912"/>
      </dsp:txXfrm>
    </dsp:sp>
    <dsp:sp modelId="{DDC62DB0-6885-4E31-A950-D3B0A54CCD22}">
      <dsp:nvSpPr>
        <dsp:cNvPr id="0" name=""/>
        <dsp:cNvSpPr/>
      </dsp:nvSpPr>
      <dsp:spPr>
        <a:xfrm>
          <a:off x="285162" y="1385062"/>
          <a:ext cx="3818699" cy="121615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US" sz="800" b="1" i="0" kern="1200">
              <a:latin typeface="Abadi" panose="020B0604020104020204" pitchFamily="34" charset="0"/>
            </a:rPr>
            <a:t>COR</a:t>
          </a:r>
        </a:p>
        <a:p>
          <a:pPr marL="0" lvl="0" indent="0" algn="l" defTabSz="355600">
            <a:lnSpc>
              <a:spcPct val="90000"/>
            </a:lnSpc>
            <a:spcBef>
              <a:spcPct val="0"/>
            </a:spcBef>
            <a:spcAft>
              <a:spcPct val="35000"/>
            </a:spcAft>
            <a:buNone/>
          </a:pPr>
          <a:r>
            <a:rPr lang="en-US" sz="800" kern="1200">
              <a:latin typeface="Abadi" panose="020B0604020104020204" pitchFamily="34" charset="0"/>
            </a:rPr>
            <a:t>Resource Threat → Stress → Withdrawal Behaviour</a:t>
          </a:r>
        </a:p>
        <a:p>
          <a:pPr marL="0" lvl="0" indent="0" algn="l" defTabSz="355600">
            <a:lnSpc>
              <a:spcPct val="90000"/>
            </a:lnSpc>
            <a:spcBef>
              <a:spcPct val="0"/>
            </a:spcBef>
            <a:spcAft>
              <a:spcPct val="35000"/>
            </a:spcAft>
            <a:buNone/>
          </a:pPr>
          <a:r>
            <a:rPr lang="en-US" sz="800" kern="1200">
              <a:latin typeface="Abadi" panose="020B0604020104020204" pitchFamily="34" charset="0"/>
            </a:rPr>
            <a:t>Loss of family unity (dependant visa restrictions)</a:t>
          </a:r>
        </a:p>
        <a:p>
          <a:pPr marL="0" lvl="0" indent="0" algn="l" defTabSz="355600">
            <a:lnSpc>
              <a:spcPct val="90000"/>
            </a:lnSpc>
            <a:spcBef>
              <a:spcPct val="0"/>
            </a:spcBef>
            <a:spcAft>
              <a:spcPct val="35000"/>
            </a:spcAft>
            <a:buNone/>
          </a:pPr>
          <a:r>
            <a:rPr lang="en-US" sz="800" kern="1200">
              <a:latin typeface="Abadi" panose="020B0604020104020204" pitchFamily="34" charset="0"/>
            </a:rPr>
            <a:t>Loss of settlement pathway (ILR extension)</a:t>
          </a:r>
        </a:p>
        <a:p>
          <a:pPr marL="0" lvl="0" indent="0" algn="l" defTabSz="355600">
            <a:lnSpc>
              <a:spcPct val="90000"/>
            </a:lnSpc>
            <a:spcBef>
              <a:spcPct val="0"/>
            </a:spcBef>
            <a:spcAft>
              <a:spcPct val="35000"/>
            </a:spcAft>
            <a:buNone/>
          </a:pPr>
          <a:r>
            <a:rPr lang="en-US" sz="800" kern="1200">
              <a:latin typeface="Abadi" panose="020B0604020104020204" pitchFamily="34" charset="0"/>
            </a:rPr>
            <a:t>Loss of job security (temporary status)</a:t>
          </a:r>
          <a:endParaRPr lang="en-US" sz="800" b="1" i="0" kern="1200">
            <a:latin typeface="Abadi" panose="020B0604020104020204" pitchFamily="34" charset="0"/>
          </a:endParaRPr>
        </a:p>
      </dsp:txBody>
      <dsp:txXfrm>
        <a:off x="320782" y="1420682"/>
        <a:ext cx="2671798" cy="1144911"/>
      </dsp:txXfrm>
    </dsp:sp>
    <dsp:sp modelId="{6E5E951E-6799-42FB-BC1D-DB78B43292EF}">
      <dsp:nvSpPr>
        <dsp:cNvPr id="0" name=""/>
        <dsp:cNvSpPr/>
      </dsp:nvSpPr>
      <dsp:spPr>
        <a:xfrm>
          <a:off x="570325" y="2770123"/>
          <a:ext cx="3818699" cy="121615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US" sz="800" b="1" kern="1200">
              <a:latin typeface="Abadi" panose="020B0604020104020204" pitchFamily="34" charset="0"/>
            </a:rPr>
            <a:t>Human Capital</a:t>
          </a:r>
        </a:p>
        <a:p>
          <a:pPr marL="0" lvl="0" indent="0" algn="l" defTabSz="355600">
            <a:lnSpc>
              <a:spcPct val="90000"/>
            </a:lnSpc>
            <a:spcBef>
              <a:spcPct val="0"/>
            </a:spcBef>
            <a:spcAft>
              <a:spcPct val="35000"/>
            </a:spcAft>
            <a:buNone/>
          </a:pPr>
          <a:r>
            <a:rPr lang="en-US" sz="800" kern="1200">
              <a:latin typeface="Abadi" panose="020B0604020104020204" pitchFamily="34" charset="0"/>
            </a:rPr>
            <a:t>Loss of Specific Human Capital</a:t>
          </a:r>
        </a:p>
        <a:p>
          <a:pPr marL="0" lvl="0" indent="0" algn="l" defTabSz="355600">
            <a:lnSpc>
              <a:spcPct val="90000"/>
            </a:lnSpc>
            <a:spcBef>
              <a:spcPct val="0"/>
            </a:spcBef>
            <a:spcAft>
              <a:spcPct val="35000"/>
            </a:spcAft>
            <a:buNone/>
          </a:pPr>
          <a:r>
            <a:rPr lang="en-US" sz="800" kern="1200">
              <a:latin typeface="Abadi" panose="020B0604020104020204" pitchFamily="34" charset="0"/>
            </a:rPr>
            <a:t>NHS protocol knowledge</a:t>
          </a:r>
        </a:p>
        <a:p>
          <a:pPr marL="0" lvl="0" indent="0" algn="l" defTabSz="355600">
            <a:lnSpc>
              <a:spcPct val="90000"/>
            </a:lnSpc>
            <a:spcBef>
              <a:spcPct val="0"/>
            </a:spcBef>
            <a:spcAft>
              <a:spcPct val="35000"/>
            </a:spcAft>
            <a:buNone/>
          </a:pPr>
          <a:r>
            <a:rPr lang="en-US" sz="800" kern="1200">
              <a:latin typeface="Abadi" panose="020B0604020104020204" pitchFamily="34" charset="0"/>
            </a:rPr>
            <a:t>Local patient population familiarity</a:t>
          </a:r>
        </a:p>
        <a:p>
          <a:pPr marL="0" lvl="0" indent="0" algn="l" defTabSz="355600">
            <a:lnSpc>
              <a:spcPct val="90000"/>
            </a:lnSpc>
            <a:spcBef>
              <a:spcPct val="0"/>
            </a:spcBef>
            <a:spcAft>
              <a:spcPct val="35000"/>
            </a:spcAft>
            <a:buNone/>
          </a:pPr>
          <a:r>
            <a:rPr lang="en-US" sz="800" kern="1200">
              <a:latin typeface="Abadi" panose="020B0604020104020204" pitchFamily="34" charset="0"/>
            </a:rPr>
            <a:t>Team dynamics and relationships</a:t>
          </a:r>
        </a:p>
        <a:p>
          <a:pPr marL="0" lvl="0" indent="0" algn="l" defTabSz="355600">
            <a:lnSpc>
              <a:spcPct val="90000"/>
            </a:lnSpc>
            <a:spcBef>
              <a:spcPct val="0"/>
            </a:spcBef>
            <a:spcAft>
              <a:spcPct val="35000"/>
            </a:spcAft>
            <a:buNone/>
          </a:pPr>
          <a:r>
            <a:rPr lang="en-US" sz="800" kern="1200">
              <a:latin typeface="Abadi" panose="020B0604020104020204" pitchFamily="34" charset="0"/>
            </a:rPr>
            <a:t>Costly to replace and retrain</a:t>
          </a:r>
        </a:p>
      </dsp:txBody>
      <dsp:txXfrm>
        <a:off x="605945" y="2805743"/>
        <a:ext cx="2671798" cy="1144912"/>
      </dsp:txXfrm>
    </dsp:sp>
    <dsp:sp modelId="{B6D9B570-FC9A-4B1D-B48E-2B819E2BCF36}">
      <dsp:nvSpPr>
        <dsp:cNvPr id="0" name=""/>
        <dsp:cNvSpPr/>
      </dsp:nvSpPr>
      <dsp:spPr>
        <a:xfrm>
          <a:off x="855487" y="4155186"/>
          <a:ext cx="3818699" cy="121615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US" sz="800" b="1" kern="1200">
              <a:latin typeface="Abadi" panose="020B0604020104020204" pitchFamily="34" charset="0"/>
            </a:rPr>
            <a:t>TBL</a:t>
          </a:r>
        </a:p>
        <a:p>
          <a:pPr marL="0" lvl="0" indent="0" algn="l" defTabSz="355600">
            <a:lnSpc>
              <a:spcPct val="90000"/>
            </a:lnSpc>
            <a:spcBef>
              <a:spcPct val="0"/>
            </a:spcBef>
            <a:spcAft>
              <a:spcPct val="35000"/>
            </a:spcAft>
            <a:buNone/>
          </a:pPr>
          <a:r>
            <a:rPr lang="en-US" sz="800" kern="1200">
              <a:latin typeface="Abadi" panose="020B0604020104020204" pitchFamily="34" charset="0"/>
            </a:rPr>
            <a:t>Social: Falling dependant visa rates, reduced family unity, limited career progression</a:t>
          </a:r>
        </a:p>
        <a:p>
          <a:pPr marL="0" lvl="0" indent="0" algn="l" defTabSz="355600">
            <a:lnSpc>
              <a:spcPct val="90000"/>
            </a:lnSpc>
            <a:spcBef>
              <a:spcPct val="0"/>
            </a:spcBef>
            <a:spcAft>
              <a:spcPct val="35000"/>
            </a:spcAft>
            <a:buNone/>
          </a:pPr>
          <a:r>
            <a:rPr lang="en-US" sz="800" kern="1200">
              <a:latin typeface="Abadi" panose="020B0604020104020204" pitchFamily="34" charset="0"/>
            </a:rPr>
            <a:t>Economic: Increasing turnover costs, rising outflow, workforce instability</a:t>
          </a:r>
          <a:endParaRPr lang="en-US" sz="800" kern="1200"/>
        </a:p>
      </dsp:txBody>
      <dsp:txXfrm>
        <a:off x="891107" y="4190806"/>
        <a:ext cx="2671798" cy="1144911"/>
      </dsp:txXfrm>
    </dsp:sp>
    <dsp:sp modelId="{46A9B2FA-581C-44FF-A7E4-D5479772D6C7}">
      <dsp:nvSpPr>
        <dsp:cNvPr id="0" name=""/>
        <dsp:cNvSpPr/>
      </dsp:nvSpPr>
      <dsp:spPr>
        <a:xfrm>
          <a:off x="1140650" y="5540247"/>
          <a:ext cx="3818699" cy="121615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US" sz="800" b="1" kern="1200">
              <a:latin typeface="Abadi" panose="020B0604020104020204" pitchFamily="34" charset="0"/>
            </a:rPr>
            <a:t>HR Strategies</a:t>
          </a:r>
        </a:p>
        <a:p>
          <a:pPr marL="0" lvl="0" indent="0" algn="l" defTabSz="355600">
            <a:lnSpc>
              <a:spcPct val="90000"/>
            </a:lnSpc>
            <a:spcBef>
              <a:spcPct val="0"/>
            </a:spcBef>
            <a:spcAft>
              <a:spcPct val="35000"/>
            </a:spcAft>
            <a:buNone/>
          </a:pPr>
          <a:r>
            <a:rPr lang="en-US" sz="800" kern="1200">
              <a:latin typeface="Abadi" panose="020B0604020104020204" pitchFamily="34" charset="0"/>
            </a:rPr>
            <a:t>Retention strategies</a:t>
          </a:r>
        </a:p>
        <a:p>
          <a:pPr marL="0" lvl="0" indent="0" algn="l" defTabSz="355600">
            <a:lnSpc>
              <a:spcPct val="90000"/>
            </a:lnSpc>
            <a:spcBef>
              <a:spcPct val="0"/>
            </a:spcBef>
            <a:spcAft>
              <a:spcPct val="35000"/>
            </a:spcAft>
            <a:buNone/>
          </a:pPr>
          <a:r>
            <a:rPr lang="en-US" sz="800" kern="1200">
              <a:latin typeface="Abadi" panose="020B0604020104020204" pitchFamily="34" charset="0"/>
            </a:rPr>
            <a:t>Domestic upskilling</a:t>
          </a:r>
        </a:p>
        <a:p>
          <a:pPr marL="0" lvl="0" indent="0" algn="l" defTabSz="355600">
            <a:lnSpc>
              <a:spcPct val="90000"/>
            </a:lnSpc>
            <a:spcBef>
              <a:spcPct val="0"/>
            </a:spcBef>
            <a:spcAft>
              <a:spcPct val="35000"/>
            </a:spcAft>
            <a:buNone/>
          </a:pPr>
          <a:r>
            <a:rPr lang="en-US" sz="800" kern="1200">
              <a:latin typeface="Abadi" panose="020B0604020104020204" pitchFamily="34" charset="0"/>
            </a:rPr>
            <a:t>Training investment</a:t>
          </a:r>
        </a:p>
        <a:p>
          <a:pPr marL="0" lvl="0" indent="0" algn="l" defTabSz="355600">
            <a:lnSpc>
              <a:spcPct val="90000"/>
            </a:lnSpc>
            <a:spcBef>
              <a:spcPct val="0"/>
            </a:spcBef>
            <a:spcAft>
              <a:spcPct val="35000"/>
            </a:spcAft>
            <a:buNone/>
          </a:pPr>
          <a:r>
            <a:rPr lang="en-US" sz="800" kern="1200">
              <a:latin typeface="Abadi" panose="020B0604020104020204" pitchFamily="34" charset="0"/>
            </a:rPr>
            <a:t>Organisational support</a:t>
          </a:r>
          <a:endParaRPr lang="en-US" sz="800" kern="1200"/>
        </a:p>
      </dsp:txBody>
      <dsp:txXfrm>
        <a:off x="1176270" y="5575867"/>
        <a:ext cx="2671798" cy="1144912"/>
      </dsp:txXfrm>
    </dsp:sp>
    <dsp:sp modelId="{27F0E098-A14E-40AD-A3DD-8F34607D1B96}">
      <dsp:nvSpPr>
        <dsp:cNvPr id="0" name=""/>
        <dsp:cNvSpPr/>
      </dsp:nvSpPr>
      <dsp:spPr>
        <a:xfrm>
          <a:off x="3028200" y="888466"/>
          <a:ext cx="790498" cy="790498"/>
        </a:xfrm>
        <a:prstGeom prst="downArrow">
          <a:avLst>
            <a:gd name="adj1" fmla="val 55000"/>
            <a:gd name="adj2" fmla="val 45000"/>
          </a:avLst>
        </a:prstGeom>
        <a:solidFill>
          <a:schemeClr val="accent1">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4450" tIns="44450" rIns="44450" bIns="44450" numCol="1" spcCol="1270" anchor="ctr" anchorCtr="0">
          <a:noAutofit/>
        </a:bodyPr>
        <a:lstStyle/>
        <a:p>
          <a:pPr marL="0" lvl="0" indent="0" algn="ctr" defTabSz="1555750">
            <a:lnSpc>
              <a:spcPct val="90000"/>
            </a:lnSpc>
            <a:spcBef>
              <a:spcPct val="0"/>
            </a:spcBef>
            <a:spcAft>
              <a:spcPct val="35000"/>
            </a:spcAft>
            <a:buNone/>
          </a:pPr>
          <a:endParaRPr lang="en-US" sz="3500" kern="1200"/>
        </a:p>
      </dsp:txBody>
      <dsp:txXfrm>
        <a:off x="3206062" y="888466"/>
        <a:ext cx="434774" cy="594850"/>
      </dsp:txXfrm>
    </dsp:sp>
    <dsp:sp modelId="{A634442B-7B00-4C80-973D-31BA41A0A90A}">
      <dsp:nvSpPr>
        <dsp:cNvPr id="0" name=""/>
        <dsp:cNvSpPr/>
      </dsp:nvSpPr>
      <dsp:spPr>
        <a:xfrm>
          <a:off x="3313363" y="2273528"/>
          <a:ext cx="790498" cy="790498"/>
        </a:xfrm>
        <a:prstGeom prst="downArrow">
          <a:avLst>
            <a:gd name="adj1" fmla="val 55000"/>
            <a:gd name="adj2" fmla="val 45000"/>
          </a:avLst>
        </a:prstGeom>
        <a:solidFill>
          <a:schemeClr val="accent1">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4450" tIns="44450" rIns="44450" bIns="44450" numCol="1" spcCol="1270" anchor="ctr" anchorCtr="0">
          <a:noAutofit/>
        </a:bodyPr>
        <a:lstStyle/>
        <a:p>
          <a:pPr marL="0" lvl="0" indent="0" algn="ctr" defTabSz="1555750">
            <a:lnSpc>
              <a:spcPct val="90000"/>
            </a:lnSpc>
            <a:spcBef>
              <a:spcPct val="0"/>
            </a:spcBef>
            <a:spcAft>
              <a:spcPct val="35000"/>
            </a:spcAft>
            <a:buNone/>
          </a:pPr>
          <a:endParaRPr lang="en-US" sz="3500" kern="1200"/>
        </a:p>
      </dsp:txBody>
      <dsp:txXfrm>
        <a:off x="3491225" y="2273528"/>
        <a:ext cx="434774" cy="594850"/>
      </dsp:txXfrm>
    </dsp:sp>
    <dsp:sp modelId="{7EDBE588-43BD-473A-8BE5-CF06CE90EBA3}">
      <dsp:nvSpPr>
        <dsp:cNvPr id="0" name=""/>
        <dsp:cNvSpPr/>
      </dsp:nvSpPr>
      <dsp:spPr>
        <a:xfrm>
          <a:off x="3598525" y="3638321"/>
          <a:ext cx="790498" cy="790498"/>
        </a:xfrm>
        <a:prstGeom prst="downArrow">
          <a:avLst>
            <a:gd name="adj1" fmla="val 55000"/>
            <a:gd name="adj2" fmla="val 45000"/>
          </a:avLst>
        </a:prstGeom>
        <a:solidFill>
          <a:schemeClr val="accent1">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4450" tIns="44450" rIns="44450" bIns="44450" numCol="1" spcCol="1270" anchor="ctr" anchorCtr="0">
          <a:noAutofit/>
        </a:bodyPr>
        <a:lstStyle/>
        <a:p>
          <a:pPr marL="0" lvl="0" indent="0" algn="ctr" defTabSz="1555750">
            <a:lnSpc>
              <a:spcPct val="90000"/>
            </a:lnSpc>
            <a:spcBef>
              <a:spcPct val="0"/>
            </a:spcBef>
            <a:spcAft>
              <a:spcPct val="35000"/>
            </a:spcAft>
            <a:buNone/>
          </a:pPr>
          <a:endParaRPr lang="en-US" sz="3500" kern="1200"/>
        </a:p>
      </dsp:txBody>
      <dsp:txXfrm>
        <a:off x="3776387" y="3638321"/>
        <a:ext cx="434774" cy="594850"/>
      </dsp:txXfrm>
    </dsp:sp>
    <dsp:sp modelId="{18153CB6-72AA-4262-9BB7-A5178559B3FD}">
      <dsp:nvSpPr>
        <dsp:cNvPr id="0" name=""/>
        <dsp:cNvSpPr/>
      </dsp:nvSpPr>
      <dsp:spPr>
        <a:xfrm>
          <a:off x="3883688" y="5036896"/>
          <a:ext cx="790498" cy="790498"/>
        </a:xfrm>
        <a:prstGeom prst="downArrow">
          <a:avLst>
            <a:gd name="adj1" fmla="val 55000"/>
            <a:gd name="adj2" fmla="val 45000"/>
          </a:avLst>
        </a:prstGeom>
        <a:solidFill>
          <a:schemeClr val="accent1">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4450" tIns="44450" rIns="44450" bIns="44450" numCol="1" spcCol="1270" anchor="ctr" anchorCtr="0">
          <a:noAutofit/>
        </a:bodyPr>
        <a:lstStyle/>
        <a:p>
          <a:pPr marL="0" lvl="0" indent="0" algn="ctr" defTabSz="1555750">
            <a:lnSpc>
              <a:spcPct val="90000"/>
            </a:lnSpc>
            <a:spcBef>
              <a:spcPct val="0"/>
            </a:spcBef>
            <a:spcAft>
              <a:spcPct val="35000"/>
            </a:spcAft>
            <a:buNone/>
          </a:pPr>
          <a:endParaRPr lang="en-US" sz="3500" kern="1200"/>
        </a:p>
      </dsp:txBody>
      <dsp:txXfrm>
        <a:off x="4061550" y="5036896"/>
        <a:ext cx="434774" cy="594850"/>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5F115E2-C058-4FBB-A0C9-8A98AF072FE6}">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2D0B70-2273-4EF4-BC4F-E8706502B8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23289</TotalTime>
  <Pages>86</Pages>
  <Words>23248</Words>
  <Characters>132518</Characters>
  <Application>Microsoft Office Word</Application>
  <DocSecurity>0</DocSecurity>
  <Lines>1104</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Fazle Rabby Nahi (2515592)</dc:creator>
  <cp:keywords/>
  <dc:description/>
  <cp:lastModifiedBy>Fazle Rabby Nahi (2515592)</cp:lastModifiedBy>
  <cp:revision>261</cp:revision>
  <dcterms:created xsi:type="dcterms:W3CDTF">2026-07-04T13:20:00Z</dcterms:created>
  <dcterms:modified xsi:type="dcterms:W3CDTF">2026-08-21T17:46:00Z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7d56e9d0-85ed-4403-a9aa-985d625b8a58</vt:lpwstr>
  </property>
</Properties>
</file>