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264D9" w14:textId="685D7FED" w:rsidR="00A825A8" w:rsidRDefault="00AC739B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>Homework 3</w:t>
      </w:r>
    </w:p>
    <w:p w14:paraId="64BED1B5" w14:textId="77777777" w:rsidR="00AC739B" w:rsidRDefault="00AC739B">
      <w:pPr>
        <w:rPr>
          <w:b/>
          <w:bCs/>
          <w:u w:val="single"/>
          <w:lang w:val="en-GB"/>
        </w:rPr>
      </w:pPr>
    </w:p>
    <w:p w14:paraId="551C5495" w14:textId="5DED944B" w:rsidR="00AC739B" w:rsidRDefault="000B7800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 xml:space="preserve">Petronius </w:t>
      </w:r>
      <w:r>
        <w:rPr>
          <w:b/>
          <w:bCs/>
          <w:i/>
          <w:iCs/>
          <w:u w:val="single"/>
          <w:lang w:val="en-GB"/>
        </w:rPr>
        <w:t>Satyricon</w:t>
      </w:r>
      <w:r>
        <w:rPr>
          <w:b/>
          <w:bCs/>
          <w:u w:val="single"/>
          <w:lang w:val="en-GB"/>
        </w:rPr>
        <w:t xml:space="preserve"> 39</w:t>
      </w:r>
    </w:p>
    <w:p w14:paraId="1C183DDA" w14:textId="77777777" w:rsidR="000B7800" w:rsidRDefault="000B7800">
      <w:pPr>
        <w:rPr>
          <w:lang w:val="en-GB"/>
        </w:rPr>
      </w:pPr>
    </w:p>
    <w:p w14:paraId="50F5DCC9" w14:textId="32811D80" w:rsidR="008F09CB" w:rsidRDefault="00310393">
      <w:pPr>
        <w:rPr>
          <w:lang w:val="en-GB"/>
        </w:rPr>
      </w:pPr>
      <w:proofErr w:type="spellStart"/>
      <w:r>
        <w:rPr>
          <w:lang w:val="en-GB"/>
        </w:rPr>
        <w:t>Trimalchio</w:t>
      </w:r>
      <w:proofErr w:type="spellEnd"/>
      <w:r>
        <w:rPr>
          <w:lang w:val="en-GB"/>
        </w:rPr>
        <w:t xml:space="preserve"> interrupted the sweet stories; for </w:t>
      </w:r>
      <w:r w:rsidR="00C9096C">
        <w:rPr>
          <w:lang w:val="en-GB"/>
        </w:rPr>
        <w:t xml:space="preserve">already the dish </w:t>
      </w:r>
      <w:r w:rsidR="00246A35">
        <w:rPr>
          <w:lang w:val="en-GB"/>
        </w:rPr>
        <w:t xml:space="preserve">had been lifted and the cheerful guests </w:t>
      </w:r>
      <w:r w:rsidR="00D564E6">
        <w:rPr>
          <w:lang w:val="en-GB"/>
        </w:rPr>
        <w:t xml:space="preserve">had begun to give attention to </w:t>
      </w:r>
      <w:r w:rsidR="007F1A96">
        <w:rPr>
          <w:lang w:val="en-GB"/>
        </w:rPr>
        <w:t xml:space="preserve">general </w:t>
      </w:r>
      <w:r w:rsidR="008B43E9">
        <w:rPr>
          <w:lang w:val="en-GB"/>
        </w:rPr>
        <w:t>conversation and drink.</w:t>
      </w:r>
      <w:r w:rsidR="00BD58B5">
        <w:rPr>
          <w:lang w:val="en-GB"/>
        </w:rPr>
        <w:t xml:space="preserve"> Reclining on his elbow he said “</w:t>
      </w:r>
      <w:r w:rsidR="0081187D">
        <w:rPr>
          <w:lang w:val="en-GB"/>
        </w:rPr>
        <w:t xml:space="preserve">You should </w:t>
      </w:r>
      <w:r w:rsidR="0046029C">
        <w:rPr>
          <w:lang w:val="en-GB"/>
        </w:rPr>
        <w:t xml:space="preserve">enjoy this wine. </w:t>
      </w:r>
      <w:r w:rsidR="009454DE">
        <w:rPr>
          <w:lang w:val="en-GB"/>
        </w:rPr>
        <w:t>Fish should swim. I ask</w:t>
      </w:r>
      <w:r w:rsidR="000A00F0">
        <w:rPr>
          <w:lang w:val="en-GB"/>
        </w:rPr>
        <w:t xml:space="preserve"> you, do you think I am satisfied, </w:t>
      </w:r>
      <w:r w:rsidR="00583952">
        <w:rPr>
          <w:lang w:val="en-GB"/>
        </w:rPr>
        <w:t xml:space="preserve">with </w:t>
      </w:r>
      <w:r w:rsidR="00D529ED">
        <w:rPr>
          <w:lang w:val="en-GB"/>
        </w:rPr>
        <w:t xml:space="preserve">that which you saw on the cover of the tray? </w:t>
      </w:r>
      <w:r w:rsidR="00137C3A">
        <w:rPr>
          <w:lang w:val="en-GB"/>
        </w:rPr>
        <w:t>‘</w:t>
      </w:r>
      <w:r w:rsidR="0088768A">
        <w:rPr>
          <w:lang w:val="en-GB"/>
        </w:rPr>
        <w:t>Is</w:t>
      </w:r>
      <w:r w:rsidR="00137C3A">
        <w:rPr>
          <w:lang w:val="en-GB"/>
        </w:rPr>
        <w:t xml:space="preserve"> Ulysses known</w:t>
      </w:r>
      <w:r w:rsidR="0088768A">
        <w:rPr>
          <w:lang w:val="en-GB"/>
        </w:rPr>
        <w:t xml:space="preserve"> thus</w:t>
      </w:r>
      <w:r w:rsidR="00137C3A">
        <w:rPr>
          <w:lang w:val="en-GB"/>
        </w:rPr>
        <w:t>?’</w:t>
      </w:r>
      <w:r w:rsidR="00BD58B5">
        <w:rPr>
          <w:lang w:val="en-GB"/>
        </w:rPr>
        <w:t xml:space="preserve"> </w:t>
      </w:r>
      <w:r w:rsidR="000F5484">
        <w:rPr>
          <w:lang w:val="en-GB"/>
        </w:rPr>
        <w:t xml:space="preserve">What </w:t>
      </w:r>
      <w:r w:rsidR="00623DE1">
        <w:rPr>
          <w:lang w:val="en-GB"/>
        </w:rPr>
        <w:t xml:space="preserve">therefore is it? </w:t>
      </w:r>
      <w:r w:rsidR="00202CC5">
        <w:rPr>
          <w:lang w:val="en-GB"/>
        </w:rPr>
        <w:t xml:space="preserve">It is proper </w:t>
      </w:r>
      <w:r w:rsidR="00677DB7">
        <w:rPr>
          <w:lang w:val="en-GB"/>
        </w:rPr>
        <w:t xml:space="preserve">to </w:t>
      </w:r>
      <w:r w:rsidR="00572DB3">
        <w:rPr>
          <w:lang w:val="en-GB"/>
        </w:rPr>
        <w:t xml:space="preserve">discuss learned subjects </w:t>
      </w:r>
      <w:r w:rsidR="00D8156F">
        <w:rPr>
          <w:lang w:val="en-GB"/>
        </w:rPr>
        <w:t xml:space="preserve">while dining. </w:t>
      </w:r>
      <w:r w:rsidR="003F54B9">
        <w:rPr>
          <w:lang w:val="en-GB"/>
        </w:rPr>
        <w:t xml:space="preserve">May the bones of my patron sleep peacefully, he who wanted me to be a man amongst men. For </w:t>
      </w:r>
      <w:r w:rsidR="00EE4FEB">
        <w:rPr>
          <w:lang w:val="en-GB"/>
        </w:rPr>
        <w:t xml:space="preserve">you can’t bring anything new to me, </w:t>
      </w:r>
      <w:r w:rsidR="0071701B">
        <w:rPr>
          <w:lang w:val="en-GB"/>
        </w:rPr>
        <w:t>just as that dish</w:t>
      </w:r>
      <w:r w:rsidR="00DF177B">
        <w:rPr>
          <w:lang w:val="en-GB"/>
        </w:rPr>
        <w:t xml:space="preserve"> proves.</w:t>
      </w:r>
      <w:r w:rsidR="00885A5A">
        <w:rPr>
          <w:lang w:val="en-GB"/>
        </w:rPr>
        <w:t xml:space="preserve"> </w:t>
      </w:r>
      <w:r w:rsidR="008608DC">
        <w:rPr>
          <w:lang w:val="en-GB"/>
        </w:rPr>
        <w:t>The sky here</w:t>
      </w:r>
      <w:r w:rsidR="00885A5A">
        <w:rPr>
          <w:lang w:val="en-GB"/>
        </w:rPr>
        <w:t xml:space="preserve"> in which 12 gods live</w:t>
      </w:r>
      <w:r w:rsidR="008608DC">
        <w:rPr>
          <w:lang w:val="en-GB"/>
        </w:rPr>
        <w:t xml:space="preserve">, </w:t>
      </w:r>
      <w:r w:rsidR="00D9587E">
        <w:rPr>
          <w:lang w:val="en-GB"/>
        </w:rPr>
        <w:t xml:space="preserve">changes into just as many shapes. Now it becomes </w:t>
      </w:r>
      <w:r w:rsidR="00E304AB">
        <w:rPr>
          <w:lang w:val="en-GB"/>
        </w:rPr>
        <w:t>the ram</w:t>
      </w:r>
      <w:r w:rsidR="00D9587E">
        <w:rPr>
          <w:lang w:val="en-GB"/>
        </w:rPr>
        <w:t xml:space="preserve">. </w:t>
      </w:r>
      <w:r w:rsidR="00444F9E">
        <w:rPr>
          <w:lang w:val="en-GB"/>
        </w:rPr>
        <w:t xml:space="preserve">And so </w:t>
      </w:r>
      <w:r w:rsidR="00BE3194">
        <w:rPr>
          <w:lang w:val="en-GB"/>
        </w:rPr>
        <w:t xml:space="preserve">whoever is born under that sign has a lot of </w:t>
      </w:r>
      <w:r w:rsidR="009C7DA7">
        <w:rPr>
          <w:lang w:val="en-GB"/>
        </w:rPr>
        <w:t xml:space="preserve">herds, a lot of wool, a hard head </w:t>
      </w:r>
      <w:r w:rsidR="00063552">
        <w:rPr>
          <w:lang w:val="en-GB"/>
        </w:rPr>
        <w:t xml:space="preserve">besides, a shameless forehead, and </w:t>
      </w:r>
      <w:r w:rsidR="00EC1F9B">
        <w:rPr>
          <w:lang w:val="en-GB"/>
        </w:rPr>
        <w:t xml:space="preserve">a sharp horn. </w:t>
      </w:r>
      <w:r w:rsidR="00F35179">
        <w:rPr>
          <w:lang w:val="en-GB"/>
        </w:rPr>
        <w:t>Most scholars are born under this sign, and pushers too.</w:t>
      </w:r>
      <w:r w:rsidR="002972A6">
        <w:rPr>
          <w:lang w:val="en-GB"/>
        </w:rPr>
        <w:t>”</w:t>
      </w:r>
    </w:p>
    <w:p w14:paraId="55990936" w14:textId="77777777" w:rsidR="002972A6" w:rsidRDefault="002972A6">
      <w:pPr>
        <w:rPr>
          <w:lang w:val="en-GB"/>
        </w:rPr>
      </w:pPr>
    </w:p>
    <w:p w14:paraId="73F9C76F" w14:textId="23516C5D" w:rsidR="002972A6" w:rsidRDefault="00430690">
      <w:pPr>
        <w:rPr>
          <w:lang w:val="en-GB"/>
        </w:rPr>
      </w:pPr>
      <w:r>
        <w:rPr>
          <w:lang w:val="en-GB"/>
        </w:rPr>
        <w:t>We praised</w:t>
      </w:r>
      <w:r w:rsidR="00496FB2">
        <w:rPr>
          <w:lang w:val="en-GB"/>
        </w:rPr>
        <w:t xml:space="preserve"> the wit of the astrologer; </w:t>
      </w:r>
      <w:r w:rsidR="00825D05">
        <w:rPr>
          <w:lang w:val="en-GB"/>
        </w:rPr>
        <w:t xml:space="preserve">and he threw out: “Then the whole sky becomes </w:t>
      </w:r>
      <w:r w:rsidR="00E304AB">
        <w:rPr>
          <w:lang w:val="en-GB"/>
        </w:rPr>
        <w:t>a little bull</w:t>
      </w:r>
      <w:r w:rsidR="00825D05">
        <w:rPr>
          <w:lang w:val="en-GB"/>
        </w:rPr>
        <w:t xml:space="preserve">. And then </w:t>
      </w:r>
      <w:r w:rsidR="00A13CEB">
        <w:rPr>
          <w:lang w:val="en-GB"/>
        </w:rPr>
        <w:t xml:space="preserve">those apt to kick are born, and herdsmen and those who </w:t>
      </w:r>
      <w:r w:rsidR="000C3A0D">
        <w:rPr>
          <w:lang w:val="en-GB"/>
        </w:rPr>
        <w:t>feed themselves.</w:t>
      </w:r>
      <w:r w:rsidR="003D4FA5">
        <w:rPr>
          <w:lang w:val="en-GB"/>
        </w:rPr>
        <w:t xml:space="preserve"> Under the twins, however, </w:t>
      </w:r>
      <w:r w:rsidR="004449E6">
        <w:rPr>
          <w:lang w:val="en-GB"/>
        </w:rPr>
        <w:t xml:space="preserve">two-horse teams and oxen and </w:t>
      </w:r>
      <w:r w:rsidR="00706162">
        <w:rPr>
          <w:lang w:val="en-GB"/>
        </w:rPr>
        <w:t>the ballsy and</w:t>
      </w:r>
      <w:r w:rsidR="00976993">
        <w:rPr>
          <w:lang w:val="en-GB"/>
        </w:rPr>
        <w:t xml:space="preserve"> those who</w:t>
      </w:r>
      <w:r w:rsidR="0051769C">
        <w:rPr>
          <w:lang w:val="en-GB"/>
        </w:rPr>
        <w:t xml:space="preserve"> spread both </w:t>
      </w:r>
      <w:r w:rsidR="00E05BC3">
        <w:rPr>
          <w:lang w:val="en-GB"/>
        </w:rPr>
        <w:t>sides. Under Cancer I was born.</w:t>
      </w:r>
    </w:p>
    <w:p w14:paraId="50AB01B4" w14:textId="77777777" w:rsidR="00967826" w:rsidRDefault="00967826">
      <w:pPr>
        <w:rPr>
          <w:lang w:val="en-GB"/>
        </w:rPr>
      </w:pPr>
    </w:p>
    <w:p w14:paraId="38E2A1F5" w14:textId="05F1D356" w:rsidR="00967826" w:rsidRDefault="00967826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 xml:space="preserve">Petronius </w:t>
      </w:r>
      <w:r>
        <w:rPr>
          <w:b/>
          <w:bCs/>
          <w:i/>
          <w:iCs/>
          <w:u w:val="single"/>
          <w:lang w:val="en-GB"/>
        </w:rPr>
        <w:t>Satyricon</w:t>
      </w:r>
      <w:r>
        <w:rPr>
          <w:b/>
          <w:bCs/>
          <w:u w:val="single"/>
          <w:lang w:val="en-GB"/>
        </w:rPr>
        <w:t xml:space="preserve"> 42</w:t>
      </w:r>
    </w:p>
    <w:p w14:paraId="629C73A6" w14:textId="77777777" w:rsidR="00967826" w:rsidRDefault="00967826">
      <w:pPr>
        <w:rPr>
          <w:b/>
          <w:bCs/>
          <w:u w:val="single"/>
          <w:lang w:val="en-GB"/>
        </w:rPr>
      </w:pPr>
    </w:p>
    <w:p w14:paraId="27A2E705" w14:textId="7A1BC15A" w:rsidR="00F8542F" w:rsidRDefault="00E27044">
      <w:pPr>
        <w:rPr>
          <w:lang w:val="en-GB"/>
        </w:rPr>
      </w:pPr>
      <w:r>
        <w:rPr>
          <w:lang w:val="en-GB"/>
        </w:rPr>
        <w:t>C</w:t>
      </w:r>
      <w:r w:rsidR="00FC0D3F">
        <w:rPr>
          <w:lang w:val="en-GB"/>
        </w:rPr>
        <w:t xml:space="preserve">hapter 42 </w:t>
      </w:r>
      <w:r>
        <w:rPr>
          <w:lang w:val="en-GB"/>
        </w:rPr>
        <w:t xml:space="preserve">is </w:t>
      </w:r>
      <w:r w:rsidR="00F21B42">
        <w:rPr>
          <w:lang w:val="en-GB"/>
        </w:rPr>
        <w:t xml:space="preserve">a contribution to the conversation by </w:t>
      </w:r>
      <w:r w:rsidR="008A76C6">
        <w:rPr>
          <w:lang w:val="en-GB"/>
        </w:rPr>
        <w:t>Seleucus</w:t>
      </w:r>
      <w:r w:rsidR="005C218E">
        <w:rPr>
          <w:lang w:val="en-GB"/>
        </w:rPr>
        <w:t>, a freedman whose name suggests Syrian origin</w:t>
      </w:r>
      <w:r w:rsidR="00873B67">
        <w:rPr>
          <w:lang w:val="en-GB"/>
        </w:rPr>
        <w:t>, at a point when</w:t>
      </w:r>
      <w:r w:rsidR="00F21B42">
        <w:rPr>
          <w:lang w:val="en-GB"/>
        </w:rPr>
        <w:t xml:space="preserve"> </w:t>
      </w:r>
      <w:proofErr w:type="spellStart"/>
      <w:r w:rsidR="00F8542F">
        <w:rPr>
          <w:lang w:val="en-GB"/>
        </w:rPr>
        <w:t>Trimalchio</w:t>
      </w:r>
      <w:proofErr w:type="spellEnd"/>
      <w:r w:rsidR="00F8542F">
        <w:rPr>
          <w:lang w:val="en-GB"/>
        </w:rPr>
        <w:t xml:space="preserve"> has left the table to visit the toilet (</w:t>
      </w:r>
      <w:r w:rsidR="00F8542F" w:rsidRPr="003861FE">
        <w:rPr>
          <w:lang w:val="en-GB"/>
        </w:rPr>
        <w:t>41.</w:t>
      </w:r>
      <w:r w:rsidR="003861FE" w:rsidRPr="003861FE">
        <w:rPr>
          <w:lang w:val="en-GB"/>
        </w:rPr>
        <w:t>9</w:t>
      </w:r>
      <w:r w:rsidR="00F8542F" w:rsidRPr="003861FE">
        <w:rPr>
          <w:lang w:val="en-GB"/>
        </w:rPr>
        <w:t>)</w:t>
      </w:r>
      <w:r w:rsidR="00C44F39" w:rsidRPr="003861FE">
        <w:rPr>
          <w:lang w:val="en-GB"/>
        </w:rPr>
        <w:t>. Seleucus</w:t>
      </w:r>
      <w:r w:rsidR="00C44F39">
        <w:rPr>
          <w:lang w:val="en-GB"/>
        </w:rPr>
        <w:t xml:space="preserve"> is responding to a comment by </w:t>
      </w:r>
      <w:r w:rsidR="00873B67">
        <w:rPr>
          <w:lang w:val="en-GB"/>
        </w:rPr>
        <w:t xml:space="preserve">fellow-guest </w:t>
      </w:r>
      <w:r w:rsidR="00C44F39">
        <w:rPr>
          <w:lang w:val="en-GB"/>
        </w:rPr>
        <w:t xml:space="preserve">Dama </w:t>
      </w:r>
      <w:r w:rsidR="00221000">
        <w:rPr>
          <w:lang w:val="en-GB"/>
        </w:rPr>
        <w:t xml:space="preserve">to the effect that he has been enjoying the cold weather </w:t>
      </w:r>
      <w:r w:rsidR="002624E9">
        <w:rPr>
          <w:lang w:val="en-GB"/>
        </w:rPr>
        <w:t>thanks to his habit of taking hot baths and</w:t>
      </w:r>
      <w:r w:rsidR="00221000">
        <w:rPr>
          <w:lang w:val="en-GB"/>
        </w:rPr>
        <w:t xml:space="preserve"> </w:t>
      </w:r>
      <w:r w:rsidR="007A42BF">
        <w:rPr>
          <w:lang w:val="en-GB"/>
        </w:rPr>
        <w:t>drinking alcohol (</w:t>
      </w:r>
      <w:r w:rsidR="007A42BF" w:rsidRPr="003861FE">
        <w:rPr>
          <w:lang w:val="en-GB"/>
        </w:rPr>
        <w:t>41.</w:t>
      </w:r>
      <w:r w:rsidR="003861FE" w:rsidRPr="003861FE">
        <w:rPr>
          <w:lang w:val="en-GB"/>
        </w:rPr>
        <w:t>11-12</w:t>
      </w:r>
      <w:r w:rsidR="007A42BF" w:rsidRPr="003861FE">
        <w:rPr>
          <w:lang w:val="en-GB"/>
        </w:rPr>
        <w:t xml:space="preserve">). </w:t>
      </w:r>
      <w:r w:rsidR="002624E9" w:rsidRPr="003861FE">
        <w:rPr>
          <w:lang w:val="en-GB"/>
        </w:rPr>
        <w:t>Seleucus</w:t>
      </w:r>
      <w:r w:rsidR="0062794C">
        <w:rPr>
          <w:lang w:val="en-GB"/>
        </w:rPr>
        <w:t xml:space="preserve"> comments that he doesn’t bathe every day (42.1</w:t>
      </w:r>
      <w:r w:rsidR="00D55852">
        <w:rPr>
          <w:lang w:val="en-GB"/>
        </w:rPr>
        <w:t>). Seneca</w:t>
      </w:r>
      <w:r w:rsidR="00D55852">
        <w:rPr>
          <w:rStyle w:val="FootnoteReference"/>
          <w:lang w:val="en-GB"/>
        </w:rPr>
        <w:footnoteReference w:id="1"/>
      </w:r>
      <w:r w:rsidR="00D55852">
        <w:rPr>
          <w:lang w:val="en-GB"/>
        </w:rPr>
        <w:t xml:space="preserve"> suggests that ancient</w:t>
      </w:r>
      <w:r w:rsidR="002471AA">
        <w:rPr>
          <w:lang w:val="en-GB"/>
        </w:rPr>
        <w:t xml:space="preserve"> Roman </w:t>
      </w:r>
      <w:r w:rsidR="002471AA">
        <w:rPr>
          <w:i/>
          <w:iCs/>
          <w:lang w:val="en-GB"/>
        </w:rPr>
        <w:t xml:space="preserve">mores </w:t>
      </w:r>
      <w:r w:rsidR="002471AA">
        <w:rPr>
          <w:lang w:val="en-GB"/>
        </w:rPr>
        <w:t>were to wash only the limbs daily, and</w:t>
      </w:r>
      <w:r w:rsidR="00D55852">
        <w:rPr>
          <w:lang w:val="en-GB"/>
        </w:rPr>
        <w:t xml:space="preserve"> to</w:t>
      </w:r>
      <w:r w:rsidR="002471AA">
        <w:rPr>
          <w:lang w:val="en-GB"/>
        </w:rPr>
        <w:t xml:space="preserve"> only fully bathe weekly; though </w:t>
      </w:r>
      <w:r w:rsidR="00D55852">
        <w:rPr>
          <w:lang w:val="en-GB"/>
        </w:rPr>
        <w:t>he</w:t>
      </w:r>
      <w:r w:rsidR="002471AA">
        <w:rPr>
          <w:lang w:val="en-GB"/>
        </w:rPr>
        <w:t xml:space="preserve"> seems to expect a common response to that to be that they must have been </w:t>
      </w:r>
      <w:proofErr w:type="spellStart"/>
      <w:r w:rsidR="002471AA">
        <w:rPr>
          <w:i/>
          <w:iCs/>
          <w:lang w:val="en-GB"/>
        </w:rPr>
        <w:t>inmundissimos</w:t>
      </w:r>
      <w:proofErr w:type="spellEnd"/>
      <w:r w:rsidR="002471AA">
        <w:rPr>
          <w:i/>
          <w:iCs/>
          <w:lang w:val="en-GB"/>
        </w:rPr>
        <w:t xml:space="preserve"> </w:t>
      </w:r>
      <w:r w:rsidR="002471AA">
        <w:rPr>
          <w:lang w:val="en-GB"/>
        </w:rPr>
        <w:t>(very filthy)</w:t>
      </w:r>
      <w:r w:rsidR="001E76B9">
        <w:rPr>
          <w:lang w:val="en-GB"/>
        </w:rPr>
        <w:t>, suggesting that Seleucus’ habits may not be the norm for his contemporaries</w:t>
      </w:r>
      <w:r w:rsidR="00EA488D">
        <w:rPr>
          <w:lang w:val="en-GB"/>
        </w:rPr>
        <w:t>.</w:t>
      </w:r>
      <w:r w:rsidR="00323FF3">
        <w:rPr>
          <w:lang w:val="en-GB"/>
        </w:rPr>
        <w:t xml:space="preserve"> </w:t>
      </w:r>
      <w:r w:rsidR="005C730F">
        <w:rPr>
          <w:lang w:val="en-GB"/>
        </w:rPr>
        <w:t>Seleucus’s comments about bathing suggest that he is not fond of the activity (42.</w:t>
      </w:r>
      <w:r w:rsidR="00070792">
        <w:rPr>
          <w:lang w:val="en-GB"/>
        </w:rPr>
        <w:t>1</w:t>
      </w:r>
      <w:r w:rsidR="005C730F">
        <w:rPr>
          <w:lang w:val="en-GB"/>
        </w:rPr>
        <w:t xml:space="preserve">), but he will form part of the party who go to </w:t>
      </w:r>
      <w:proofErr w:type="spellStart"/>
      <w:r w:rsidR="005C730F">
        <w:rPr>
          <w:lang w:val="en-GB"/>
        </w:rPr>
        <w:t>Trimalchio’s</w:t>
      </w:r>
      <w:proofErr w:type="spellEnd"/>
      <w:r w:rsidR="005C730F">
        <w:rPr>
          <w:lang w:val="en-GB"/>
        </w:rPr>
        <w:t xml:space="preserve"> baths after the dinner (</w:t>
      </w:r>
      <w:r w:rsidR="00910984">
        <w:rPr>
          <w:lang w:val="en-GB"/>
        </w:rPr>
        <w:t xml:space="preserve">72). </w:t>
      </w:r>
    </w:p>
    <w:p w14:paraId="4F6A3256" w14:textId="77777777" w:rsidR="000749EF" w:rsidRDefault="000749EF">
      <w:pPr>
        <w:rPr>
          <w:lang w:val="en-GB"/>
        </w:rPr>
      </w:pPr>
    </w:p>
    <w:p w14:paraId="54FC5FB7" w14:textId="4BCF1B60" w:rsidR="000749EF" w:rsidRDefault="000749EF">
      <w:pPr>
        <w:rPr>
          <w:lang w:val="en-GB"/>
        </w:rPr>
      </w:pPr>
      <w:r>
        <w:rPr>
          <w:lang w:val="en-GB"/>
        </w:rPr>
        <w:t xml:space="preserve">In giving his preference for drinking to keep the cold out, Seleucus uses one of the few </w:t>
      </w:r>
      <w:r w:rsidR="00633AB9">
        <w:rPr>
          <w:lang w:val="en-GB"/>
        </w:rPr>
        <w:t xml:space="preserve">obscenities in the </w:t>
      </w:r>
      <w:r w:rsidR="00633AB9">
        <w:rPr>
          <w:i/>
          <w:iCs/>
          <w:lang w:val="en-GB"/>
        </w:rPr>
        <w:t>Satyricon</w:t>
      </w:r>
      <w:r w:rsidR="00EE2BD1">
        <w:rPr>
          <w:i/>
          <w:iCs/>
          <w:lang w:val="en-GB"/>
        </w:rPr>
        <w:t xml:space="preserve"> </w:t>
      </w:r>
      <w:r w:rsidR="00EE2BD1">
        <w:rPr>
          <w:lang w:val="en-GB"/>
        </w:rPr>
        <w:t>(</w:t>
      </w:r>
      <w:r w:rsidR="000944D8">
        <w:rPr>
          <w:i/>
          <w:iCs/>
          <w:lang w:val="en-GB"/>
        </w:rPr>
        <w:t xml:space="preserve">frigorie </w:t>
      </w:r>
      <w:proofErr w:type="spellStart"/>
      <w:r w:rsidR="000944D8">
        <w:rPr>
          <w:i/>
          <w:iCs/>
          <w:lang w:val="en-GB"/>
        </w:rPr>
        <w:t>laecasin</w:t>
      </w:r>
      <w:proofErr w:type="spellEnd"/>
      <w:r w:rsidR="000944D8">
        <w:rPr>
          <w:lang w:val="en-GB"/>
        </w:rPr>
        <w:t>, 42.2)</w:t>
      </w:r>
      <w:r w:rsidR="00451948">
        <w:rPr>
          <w:lang w:val="en-GB"/>
        </w:rPr>
        <w:t xml:space="preserve">, perhaps underlining his coarseness and the common </w:t>
      </w:r>
      <w:r w:rsidR="006E7929">
        <w:rPr>
          <w:lang w:val="en-GB"/>
        </w:rPr>
        <w:t xml:space="preserve">tenor of </w:t>
      </w:r>
      <w:r w:rsidR="006E7929">
        <w:rPr>
          <w:lang w:val="en-GB"/>
        </w:rPr>
        <w:lastRenderedPageBreak/>
        <w:t xml:space="preserve">his speech. Perhaps he feels able to speak more freely since </w:t>
      </w:r>
      <w:proofErr w:type="spellStart"/>
      <w:r w:rsidR="006E7929">
        <w:rPr>
          <w:lang w:val="en-GB"/>
        </w:rPr>
        <w:t>Trimalchio</w:t>
      </w:r>
      <w:proofErr w:type="spellEnd"/>
      <w:r w:rsidR="006E7929">
        <w:rPr>
          <w:lang w:val="en-GB"/>
        </w:rPr>
        <w:t xml:space="preserve"> has left the room (</w:t>
      </w:r>
      <w:r w:rsidR="006E7929" w:rsidRPr="003861FE">
        <w:rPr>
          <w:lang w:val="en-GB"/>
        </w:rPr>
        <w:t>at 41.</w:t>
      </w:r>
      <w:r w:rsidR="003861FE" w:rsidRPr="003861FE">
        <w:rPr>
          <w:lang w:val="en-GB"/>
        </w:rPr>
        <w:t>9</w:t>
      </w:r>
      <w:r w:rsidR="006E7929">
        <w:rPr>
          <w:lang w:val="en-GB"/>
        </w:rPr>
        <w:t xml:space="preserve"> </w:t>
      </w:r>
      <w:r w:rsidR="00F6321A">
        <w:rPr>
          <w:lang w:val="en-GB"/>
        </w:rPr>
        <w:t xml:space="preserve"> </w:t>
      </w:r>
      <w:proofErr w:type="spellStart"/>
      <w:r w:rsidR="00F6321A">
        <w:rPr>
          <w:lang w:val="en-GB"/>
        </w:rPr>
        <w:t>Encolpius</w:t>
      </w:r>
      <w:proofErr w:type="spellEnd"/>
      <w:r w:rsidR="00F6321A">
        <w:rPr>
          <w:lang w:val="en-GB"/>
        </w:rPr>
        <w:t xml:space="preserve"> suggests that the party relaxed after he left). </w:t>
      </w:r>
      <w:r w:rsidR="00E24660">
        <w:rPr>
          <w:lang w:val="en-GB"/>
        </w:rPr>
        <w:t>Other elements of his speech also suggest something that is not quite eloquent Latin</w:t>
      </w:r>
      <w:r w:rsidR="00D00A48">
        <w:rPr>
          <w:rStyle w:val="FootnoteReference"/>
          <w:lang w:val="en-GB"/>
        </w:rPr>
        <w:footnoteReference w:id="2"/>
      </w:r>
      <w:r w:rsidR="00E24660">
        <w:rPr>
          <w:lang w:val="en-GB"/>
        </w:rPr>
        <w:t>, such as his use of</w:t>
      </w:r>
      <w:r w:rsidR="00E27E86">
        <w:rPr>
          <w:b/>
          <w:bCs/>
          <w:i/>
          <w:iCs/>
          <w:lang w:val="en-GB"/>
        </w:rPr>
        <w:t xml:space="preserve"> </w:t>
      </w:r>
      <w:r w:rsidR="00CF3403">
        <w:rPr>
          <w:lang w:val="en-GB"/>
        </w:rPr>
        <w:t>colloquial vocabulary</w:t>
      </w:r>
      <w:r w:rsidR="00E27E86" w:rsidRPr="005B4981">
        <w:rPr>
          <w:lang w:val="en-GB"/>
        </w:rPr>
        <w:t xml:space="preserve"> (</w:t>
      </w:r>
      <w:proofErr w:type="spellStart"/>
      <w:r w:rsidR="008B3D4C" w:rsidRPr="005B4981">
        <w:rPr>
          <w:i/>
          <w:iCs/>
          <w:lang w:val="en-GB"/>
        </w:rPr>
        <w:t>bellus</w:t>
      </w:r>
      <w:proofErr w:type="spellEnd"/>
      <w:r w:rsidR="00E70CE4" w:rsidRPr="005B4981">
        <w:rPr>
          <w:lang w:val="en-GB"/>
        </w:rPr>
        <w:t>, 42</w:t>
      </w:r>
      <w:r w:rsidR="005B4981" w:rsidRPr="00543548">
        <w:rPr>
          <w:lang w:val="en-GB"/>
        </w:rPr>
        <w:t>.3</w:t>
      </w:r>
      <w:r w:rsidR="00CF3403">
        <w:rPr>
          <w:lang w:val="en-GB"/>
        </w:rPr>
        <w:t xml:space="preserve">; </w:t>
      </w:r>
      <w:proofErr w:type="spellStart"/>
      <w:r w:rsidR="00CF3403">
        <w:rPr>
          <w:i/>
          <w:iCs/>
          <w:lang w:val="en-GB"/>
        </w:rPr>
        <w:t>abstinax</w:t>
      </w:r>
      <w:proofErr w:type="spellEnd"/>
      <w:r w:rsidR="00CF3403">
        <w:rPr>
          <w:lang w:val="en-GB"/>
        </w:rPr>
        <w:t>, 42.5</w:t>
      </w:r>
      <w:r w:rsidR="008B3D4C" w:rsidRPr="00543548">
        <w:rPr>
          <w:lang w:val="en-GB"/>
        </w:rPr>
        <w:t>), his use of proverbs (</w:t>
      </w:r>
      <w:proofErr w:type="spellStart"/>
      <w:r w:rsidR="00543548" w:rsidRPr="00543548">
        <w:rPr>
          <w:i/>
          <w:iCs/>
          <w:lang w:val="en-GB"/>
        </w:rPr>
        <w:t>utres</w:t>
      </w:r>
      <w:proofErr w:type="spellEnd"/>
      <w:r w:rsidR="00543548" w:rsidRPr="00543548">
        <w:rPr>
          <w:i/>
          <w:iCs/>
          <w:lang w:val="en-GB"/>
        </w:rPr>
        <w:t xml:space="preserve"> inflate </w:t>
      </w:r>
      <w:proofErr w:type="spellStart"/>
      <w:r w:rsidR="00543548" w:rsidRPr="00543548">
        <w:rPr>
          <w:i/>
          <w:iCs/>
          <w:lang w:val="en-GB"/>
        </w:rPr>
        <w:t>ambulamus</w:t>
      </w:r>
      <w:proofErr w:type="spellEnd"/>
      <w:r w:rsidR="00543548" w:rsidRPr="00543548">
        <w:rPr>
          <w:lang w:val="en-GB"/>
        </w:rPr>
        <w:t xml:space="preserve">, </w:t>
      </w:r>
      <w:r w:rsidR="00EC5299" w:rsidRPr="00543548">
        <w:rPr>
          <w:lang w:val="en-GB"/>
        </w:rPr>
        <w:t>42.4</w:t>
      </w:r>
      <w:r w:rsidR="00543548" w:rsidRPr="00543548">
        <w:rPr>
          <w:lang w:val="en-GB"/>
        </w:rPr>
        <w:t>)</w:t>
      </w:r>
      <w:r w:rsidR="00543548">
        <w:rPr>
          <w:lang w:val="en-GB"/>
        </w:rPr>
        <w:t xml:space="preserve"> and his use of euphemisms (</w:t>
      </w:r>
      <w:proofErr w:type="spellStart"/>
      <w:r w:rsidR="0030465F">
        <w:rPr>
          <w:i/>
          <w:iCs/>
          <w:lang w:val="en-GB"/>
        </w:rPr>
        <w:t>animam</w:t>
      </w:r>
      <w:proofErr w:type="spellEnd"/>
      <w:r w:rsidR="0030465F">
        <w:rPr>
          <w:i/>
          <w:iCs/>
          <w:lang w:val="en-GB"/>
        </w:rPr>
        <w:t xml:space="preserve"> </w:t>
      </w:r>
      <w:proofErr w:type="spellStart"/>
      <w:r w:rsidR="0030465F">
        <w:rPr>
          <w:i/>
          <w:iCs/>
          <w:lang w:val="en-GB"/>
        </w:rPr>
        <w:t>ebulliit</w:t>
      </w:r>
      <w:proofErr w:type="spellEnd"/>
      <w:r w:rsidR="0030465F">
        <w:rPr>
          <w:lang w:val="en-GB"/>
        </w:rPr>
        <w:t xml:space="preserve">, </w:t>
      </w:r>
      <w:r w:rsidR="00DE364B">
        <w:rPr>
          <w:lang w:val="en-GB"/>
        </w:rPr>
        <w:t xml:space="preserve">42.3; </w:t>
      </w:r>
      <w:proofErr w:type="spellStart"/>
      <w:r w:rsidR="00DE364B">
        <w:rPr>
          <w:i/>
          <w:iCs/>
          <w:lang w:val="en-GB"/>
        </w:rPr>
        <w:t>abiit</w:t>
      </w:r>
      <w:proofErr w:type="spellEnd"/>
      <w:r w:rsidR="00DE364B">
        <w:rPr>
          <w:i/>
          <w:iCs/>
          <w:lang w:val="en-GB"/>
        </w:rPr>
        <w:t xml:space="preserve"> </w:t>
      </w:r>
      <w:proofErr w:type="spellStart"/>
      <w:r w:rsidR="00DE364B">
        <w:rPr>
          <w:i/>
          <w:iCs/>
          <w:lang w:val="en-GB"/>
        </w:rPr>
        <w:t>ad</w:t>
      </w:r>
      <w:proofErr w:type="spellEnd"/>
      <w:r w:rsidR="00DE364B">
        <w:rPr>
          <w:i/>
          <w:iCs/>
          <w:lang w:val="en-GB"/>
        </w:rPr>
        <w:t xml:space="preserve"> </w:t>
      </w:r>
      <w:proofErr w:type="spellStart"/>
      <w:r w:rsidR="00DE364B">
        <w:rPr>
          <w:i/>
          <w:iCs/>
          <w:lang w:val="en-GB"/>
        </w:rPr>
        <w:t>plures</w:t>
      </w:r>
      <w:proofErr w:type="spellEnd"/>
      <w:r w:rsidR="00DE364B">
        <w:rPr>
          <w:lang w:val="en-GB"/>
        </w:rPr>
        <w:t xml:space="preserve">, </w:t>
      </w:r>
      <w:r w:rsidR="005405BC">
        <w:rPr>
          <w:lang w:val="en-GB"/>
        </w:rPr>
        <w:t>42.5)</w:t>
      </w:r>
      <w:r w:rsidR="00A76E62">
        <w:rPr>
          <w:b/>
          <w:bCs/>
          <w:i/>
          <w:iCs/>
          <w:lang w:val="en-GB"/>
        </w:rPr>
        <w:t xml:space="preserve">. </w:t>
      </w:r>
      <w:r w:rsidR="00E24660">
        <w:rPr>
          <w:lang w:val="en-GB"/>
        </w:rPr>
        <w:t xml:space="preserve"> </w:t>
      </w:r>
    </w:p>
    <w:p w14:paraId="318048F6" w14:textId="3DD265C0" w:rsidR="00CC7A59" w:rsidRDefault="00CC7A59">
      <w:pPr>
        <w:rPr>
          <w:lang w:val="en-GB"/>
        </w:rPr>
      </w:pPr>
    </w:p>
    <w:p w14:paraId="60302367" w14:textId="681F5BF3" w:rsidR="00CC7A59" w:rsidRDefault="00CC7A59">
      <w:pPr>
        <w:rPr>
          <w:lang w:val="en-GB"/>
        </w:rPr>
      </w:pPr>
      <w:r>
        <w:rPr>
          <w:lang w:val="en-GB"/>
        </w:rPr>
        <w:t>S</w:t>
      </w:r>
      <w:r w:rsidR="00495FBA">
        <w:rPr>
          <w:lang w:val="en-GB"/>
        </w:rPr>
        <w:t xml:space="preserve">eleucus’ </w:t>
      </w:r>
      <w:r w:rsidR="00C1059C">
        <w:rPr>
          <w:lang w:val="en-GB"/>
        </w:rPr>
        <w:t xml:space="preserve">contribution to the conversation here ranges from his bathing habits, to his </w:t>
      </w:r>
      <w:r w:rsidR="00B1744F">
        <w:rPr>
          <w:lang w:val="en-GB"/>
        </w:rPr>
        <w:t xml:space="preserve">drinking, to a funeral he attended, the dead man’s character, </w:t>
      </w:r>
      <w:r w:rsidR="00CC5C05">
        <w:rPr>
          <w:lang w:val="en-GB"/>
        </w:rPr>
        <w:t xml:space="preserve">philosophical musings on the nature of man, </w:t>
      </w:r>
      <w:r w:rsidR="00190433">
        <w:rPr>
          <w:lang w:val="en-GB"/>
        </w:rPr>
        <w:t>doctors, back to the funeral, and finally to the nature of women</w:t>
      </w:r>
      <w:r w:rsidR="006A1A6D">
        <w:rPr>
          <w:lang w:val="en-GB"/>
        </w:rPr>
        <w:t xml:space="preserve"> and love. </w:t>
      </w:r>
      <w:r w:rsidR="00FD3D6A">
        <w:rPr>
          <w:lang w:val="en-GB"/>
        </w:rPr>
        <w:t xml:space="preserve">This rather rambling speech recalls </w:t>
      </w:r>
      <w:proofErr w:type="spellStart"/>
      <w:r w:rsidR="00FD3D6A">
        <w:rPr>
          <w:lang w:val="en-GB"/>
        </w:rPr>
        <w:t>Trimalchio’s</w:t>
      </w:r>
      <w:proofErr w:type="spellEnd"/>
      <w:r w:rsidR="00FD3D6A">
        <w:rPr>
          <w:lang w:val="en-GB"/>
        </w:rPr>
        <w:t xml:space="preserve"> own </w:t>
      </w:r>
      <w:r w:rsidR="00F5758E">
        <w:rPr>
          <w:lang w:val="en-GB"/>
        </w:rPr>
        <w:t>conversation which jumps from topic to topic</w:t>
      </w:r>
      <w:r w:rsidR="00F5758E">
        <w:rPr>
          <w:rStyle w:val="FootnoteReference"/>
          <w:lang w:val="en-GB"/>
        </w:rPr>
        <w:footnoteReference w:id="3"/>
      </w:r>
      <w:r w:rsidR="003A0BF0">
        <w:rPr>
          <w:lang w:val="en-GB"/>
        </w:rPr>
        <w:t xml:space="preserve">, and </w:t>
      </w:r>
      <w:proofErr w:type="spellStart"/>
      <w:r w:rsidR="003A0BF0">
        <w:rPr>
          <w:lang w:val="en-GB"/>
        </w:rPr>
        <w:t>Encolpius</w:t>
      </w:r>
      <w:proofErr w:type="spellEnd"/>
      <w:r w:rsidR="003A0BF0">
        <w:rPr>
          <w:lang w:val="en-GB"/>
        </w:rPr>
        <w:t xml:space="preserve"> is quite frank with his readers that </w:t>
      </w:r>
      <w:r w:rsidR="00C84C77">
        <w:rPr>
          <w:lang w:val="en-GB"/>
        </w:rPr>
        <w:t>he found it uninteresting (</w:t>
      </w:r>
      <w:proofErr w:type="spellStart"/>
      <w:r w:rsidR="003861FE">
        <w:rPr>
          <w:i/>
          <w:iCs/>
          <w:lang w:val="en-GB"/>
        </w:rPr>
        <w:t>molestus</w:t>
      </w:r>
      <w:proofErr w:type="spellEnd"/>
      <w:r w:rsidR="003861FE">
        <w:rPr>
          <w:i/>
          <w:iCs/>
          <w:lang w:val="en-GB"/>
        </w:rPr>
        <w:t xml:space="preserve"> </w:t>
      </w:r>
      <w:proofErr w:type="spellStart"/>
      <w:r w:rsidR="003861FE">
        <w:rPr>
          <w:i/>
          <w:iCs/>
          <w:lang w:val="en-GB"/>
        </w:rPr>
        <w:t>fuit</w:t>
      </w:r>
      <w:proofErr w:type="spellEnd"/>
      <w:r w:rsidR="00C84C77">
        <w:rPr>
          <w:lang w:val="en-GB"/>
        </w:rPr>
        <w:t xml:space="preserve">, 43.1). </w:t>
      </w:r>
    </w:p>
    <w:p w14:paraId="547A97E9" w14:textId="77777777" w:rsidR="003861FE" w:rsidRDefault="003861FE">
      <w:pPr>
        <w:rPr>
          <w:lang w:val="en-GB"/>
        </w:rPr>
      </w:pPr>
    </w:p>
    <w:p w14:paraId="14D0E13E" w14:textId="2365F5E2" w:rsidR="003861FE" w:rsidRDefault="003861FE">
      <w:pPr>
        <w:rPr>
          <w:lang w:val="en-GB"/>
        </w:rPr>
      </w:pPr>
      <w:r>
        <w:rPr>
          <w:lang w:val="en-GB"/>
        </w:rPr>
        <w:t>Seleucus comments that his friend whose funeral he has just attended freed some slaves in his will (</w:t>
      </w:r>
      <w:proofErr w:type="spellStart"/>
      <w:r>
        <w:rPr>
          <w:i/>
          <w:iCs/>
          <w:lang w:val="en-GB"/>
        </w:rPr>
        <w:t>manu</w:t>
      </w:r>
      <w:proofErr w:type="spellEnd"/>
      <w:r>
        <w:rPr>
          <w:i/>
          <w:iCs/>
          <w:lang w:val="en-GB"/>
        </w:rPr>
        <w:t xml:space="preserve"> </w:t>
      </w:r>
      <w:proofErr w:type="spellStart"/>
      <w:r>
        <w:rPr>
          <w:i/>
          <w:iCs/>
          <w:lang w:val="en-GB"/>
        </w:rPr>
        <w:t>misit</w:t>
      </w:r>
      <w:proofErr w:type="spellEnd"/>
      <w:r>
        <w:rPr>
          <w:i/>
          <w:iCs/>
          <w:lang w:val="en-GB"/>
        </w:rPr>
        <w:t xml:space="preserve"> aliquot</w:t>
      </w:r>
      <w:r>
        <w:rPr>
          <w:lang w:val="en-GB"/>
        </w:rPr>
        <w:t>, 42.6), one of the two types of formal manumission discussed by Roth</w:t>
      </w:r>
      <w:r>
        <w:rPr>
          <w:rStyle w:val="FootnoteReference"/>
          <w:lang w:val="en-GB"/>
        </w:rPr>
        <w:footnoteReference w:id="4"/>
      </w:r>
      <w:r>
        <w:rPr>
          <w:lang w:val="en-GB"/>
        </w:rPr>
        <w:t xml:space="preserve">. The third type of manumission, an informal method </w:t>
      </w:r>
      <w:r>
        <w:rPr>
          <w:i/>
          <w:iCs/>
          <w:lang w:val="en-GB"/>
        </w:rPr>
        <w:t xml:space="preserve">inter </w:t>
      </w:r>
      <w:proofErr w:type="spellStart"/>
      <w:r>
        <w:rPr>
          <w:i/>
          <w:iCs/>
          <w:lang w:val="en-GB"/>
        </w:rPr>
        <w:t>amicos</w:t>
      </w:r>
      <w:proofErr w:type="spellEnd"/>
      <w:r>
        <w:rPr>
          <w:lang w:val="en-GB"/>
        </w:rPr>
        <w:t xml:space="preserve">, is that performed in the </w:t>
      </w:r>
      <w:r>
        <w:rPr>
          <w:i/>
          <w:iCs/>
          <w:lang w:val="en-GB"/>
        </w:rPr>
        <w:t xml:space="preserve">Cena </w:t>
      </w:r>
      <w:r>
        <w:rPr>
          <w:lang w:val="en-GB"/>
        </w:rPr>
        <w:t xml:space="preserve">by </w:t>
      </w:r>
      <w:proofErr w:type="spellStart"/>
      <w:r>
        <w:rPr>
          <w:lang w:val="en-GB"/>
        </w:rPr>
        <w:t>Trimalchio</w:t>
      </w:r>
      <w:proofErr w:type="spellEnd"/>
      <w:r>
        <w:rPr>
          <w:lang w:val="en-GB"/>
        </w:rPr>
        <w:t xml:space="preserve"> (40.3-41.4, 41.6-7, 54.4-5)</w:t>
      </w:r>
      <w:r w:rsidR="004441B7">
        <w:rPr>
          <w:lang w:val="en-GB"/>
        </w:rPr>
        <w:t xml:space="preserve">, which does not confer the same status on the freed slave as formal methods and which will keep the ex-slave below </w:t>
      </w:r>
      <w:proofErr w:type="spellStart"/>
      <w:r w:rsidR="004441B7">
        <w:rPr>
          <w:lang w:val="en-GB"/>
        </w:rPr>
        <w:t>Trimalchio</w:t>
      </w:r>
      <w:proofErr w:type="spellEnd"/>
      <w:r w:rsidR="004441B7">
        <w:rPr>
          <w:lang w:val="en-GB"/>
        </w:rPr>
        <w:t xml:space="preserve"> in Roman hierarchy</w:t>
      </w:r>
      <w:r w:rsidR="004441B7">
        <w:rPr>
          <w:rStyle w:val="FootnoteReference"/>
          <w:lang w:val="en-GB"/>
        </w:rPr>
        <w:footnoteReference w:id="5"/>
      </w:r>
      <w:r w:rsidR="004441B7">
        <w:rPr>
          <w:lang w:val="en-GB"/>
        </w:rPr>
        <w:t xml:space="preserve">. Roth notes the identical phraseology used by </w:t>
      </w:r>
      <w:proofErr w:type="spellStart"/>
      <w:r w:rsidR="004441B7">
        <w:rPr>
          <w:lang w:val="en-GB"/>
        </w:rPr>
        <w:t>Trimalchio</w:t>
      </w:r>
      <w:proofErr w:type="spellEnd"/>
      <w:r w:rsidR="004441B7">
        <w:rPr>
          <w:lang w:val="en-GB"/>
        </w:rPr>
        <w:t xml:space="preserve"> to that prescribed in Gaius’ </w:t>
      </w:r>
      <w:r w:rsidR="004441B7">
        <w:rPr>
          <w:i/>
          <w:iCs/>
          <w:lang w:val="en-GB"/>
        </w:rPr>
        <w:t xml:space="preserve">Institutes </w:t>
      </w:r>
      <w:r w:rsidR="004441B7">
        <w:rPr>
          <w:lang w:val="en-GB"/>
        </w:rPr>
        <w:t>for testamentary manumission</w:t>
      </w:r>
      <w:r w:rsidR="004441B7">
        <w:rPr>
          <w:rStyle w:val="FootnoteReference"/>
          <w:lang w:val="en-GB"/>
        </w:rPr>
        <w:footnoteReference w:id="6"/>
      </w:r>
      <w:r w:rsidR="004441B7">
        <w:rPr>
          <w:lang w:val="en-GB"/>
        </w:rPr>
        <w:t xml:space="preserve">, perhaps another element of the funereal imagery which permeates the </w:t>
      </w:r>
      <w:r w:rsidR="004441B7">
        <w:rPr>
          <w:i/>
          <w:iCs/>
          <w:lang w:val="en-GB"/>
        </w:rPr>
        <w:t>Cena</w:t>
      </w:r>
      <w:r w:rsidR="004441B7">
        <w:rPr>
          <w:lang w:val="en-GB"/>
        </w:rPr>
        <w:t xml:space="preserve">: though </w:t>
      </w:r>
      <w:proofErr w:type="spellStart"/>
      <w:r w:rsidR="004441B7">
        <w:rPr>
          <w:lang w:val="en-GB"/>
        </w:rPr>
        <w:t>Trimalchio</w:t>
      </w:r>
      <w:proofErr w:type="spellEnd"/>
      <w:r w:rsidR="004441B7">
        <w:rPr>
          <w:lang w:val="en-GB"/>
        </w:rPr>
        <w:t xml:space="preserve"> is still alive, he frees his slave as if in his will, and Seleucus’ conversation here is another reminder of that.</w:t>
      </w:r>
    </w:p>
    <w:p w14:paraId="45F70A96" w14:textId="77777777" w:rsidR="004441B7" w:rsidRDefault="004441B7">
      <w:pPr>
        <w:rPr>
          <w:lang w:val="en-GB"/>
        </w:rPr>
      </w:pPr>
    </w:p>
    <w:p w14:paraId="7B7DFB08" w14:textId="7D92F900" w:rsidR="004441B7" w:rsidRPr="00CF3403" w:rsidRDefault="004441B7">
      <w:pPr>
        <w:rPr>
          <w:lang w:val="en-GB"/>
        </w:rPr>
      </w:pPr>
      <w:r>
        <w:rPr>
          <w:lang w:val="en-GB"/>
        </w:rPr>
        <w:t>Seleucus’ comment that the lamentation was very good (</w:t>
      </w:r>
      <w:proofErr w:type="spellStart"/>
      <w:r>
        <w:rPr>
          <w:i/>
          <w:iCs/>
          <w:lang w:val="en-GB"/>
        </w:rPr>
        <w:t>planctus</w:t>
      </w:r>
      <w:proofErr w:type="spellEnd"/>
      <w:r>
        <w:rPr>
          <w:i/>
          <w:iCs/>
          <w:lang w:val="en-GB"/>
        </w:rPr>
        <w:t xml:space="preserve"> est optime</w:t>
      </w:r>
      <w:r>
        <w:rPr>
          <w:lang w:val="en-GB"/>
        </w:rPr>
        <w:t xml:space="preserve">, 42.6) suggests that the funeral contained an element, for Seleucus at least, of an entertaining spectacle, again reflecting the </w:t>
      </w:r>
      <w:r w:rsidR="00CF3403">
        <w:rPr>
          <w:lang w:val="en-GB"/>
        </w:rPr>
        <w:t xml:space="preserve">consistent theme of spectacle in the </w:t>
      </w:r>
      <w:r w:rsidR="00CF3403">
        <w:rPr>
          <w:i/>
          <w:iCs/>
          <w:lang w:val="en-GB"/>
        </w:rPr>
        <w:t>Cena</w:t>
      </w:r>
      <w:r w:rsidR="00CF3403">
        <w:rPr>
          <w:lang w:val="en-GB"/>
        </w:rPr>
        <w:t xml:space="preserve">. </w:t>
      </w:r>
    </w:p>
    <w:p w14:paraId="35B38DC9" w14:textId="77777777" w:rsidR="00457203" w:rsidRDefault="00457203">
      <w:pPr>
        <w:rPr>
          <w:lang w:val="en-GB"/>
        </w:rPr>
      </w:pPr>
    </w:p>
    <w:p w14:paraId="2B73A77E" w14:textId="77777777" w:rsidR="009C049F" w:rsidRDefault="009C049F">
      <w:pPr>
        <w:rPr>
          <w:lang w:val="en-GB"/>
        </w:rPr>
      </w:pPr>
    </w:p>
    <w:p w14:paraId="65B5DBB9" w14:textId="77777777" w:rsidR="00084C6F" w:rsidRDefault="00084C6F">
      <w:pPr>
        <w:rPr>
          <w:lang w:val="en-GB"/>
        </w:rPr>
      </w:pPr>
    </w:p>
    <w:p w14:paraId="2D51555B" w14:textId="77777777" w:rsidR="00682F91" w:rsidRDefault="00682F91">
      <w:pPr>
        <w:rPr>
          <w:lang w:val="en-GB"/>
        </w:rPr>
      </w:pPr>
    </w:p>
    <w:p w14:paraId="69B09C13" w14:textId="77777777" w:rsidR="003629AF" w:rsidRDefault="003629AF">
      <w:pPr>
        <w:rPr>
          <w:lang w:val="en-GB"/>
        </w:rPr>
      </w:pPr>
    </w:p>
    <w:p w14:paraId="5C634A61" w14:textId="4251EDE6" w:rsidR="006B00EE" w:rsidRPr="00292573" w:rsidRDefault="00292573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lastRenderedPageBreak/>
        <w:t xml:space="preserve">Primary Sources </w:t>
      </w:r>
    </w:p>
    <w:p w14:paraId="135AC019" w14:textId="77777777" w:rsidR="00292573" w:rsidRDefault="00292573"/>
    <w:p w14:paraId="146E095E" w14:textId="2E0866C1" w:rsidR="006B00EE" w:rsidRDefault="003629AF">
      <w:pPr>
        <w:rPr>
          <w:lang w:val="en-GB"/>
        </w:rPr>
      </w:pPr>
      <w:r w:rsidRPr="003629AF">
        <w:t>Petronius, Seneca</w:t>
      </w:r>
      <w:r>
        <w:t xml:space="preserve"> (2020)</w:t>
      </w:r>
      <w:r w:rsidRPr="003629AF">
        <w:t> </w:t>
      </w:r>
      <w:r w:rsidRPr="003629AF">
        <w:rPr>
          <w:i/>
          <w:iCs/>
        </w:rPr>
        <w:t xml:space="preserve">Satyricon. </w:t>
      </w:r>
      <w:proofErr w:type="spellStart"/>
      <w:r w:rsidRPr="003629AF">
        <w:rPr>
          <w:i/>
          <w:iCs/>
        </w:rPr>
        <w:t>Apocolocyntosis</w:t>
      </w:r>
      <w:proofErr w:type="spellEnd"/>
      <w:r w:rsidRPr="003629AF">
        <w:rPr>
          <w:i/>
          <w:iCs/>
        </w:rPr>
        <w:t>. </w:t>
      </w:r>
      <w:r w:rsidRPr="003629AF">
        <w:t>Edited and translated by </w:t>
      </w:r>
      <w:r>
        <w:t>G.</w:t>
      </w:r>
      <w:r w:rsidRPr="003629AF">
        <w:t xml:space="preserve"> Schmeling. Loeb Classical Library 15. Cambridge, MA: Harvard University Press.</w:t>
      </w:r>
    </w:p>
    <w:p w14:paraId="692D07C4" w14:textId="77777777" w:rsidR="00682F91" w:rsidRDefault="00682F91">
      <w:pPr>
        <w:rPr>
          <w:lang w:val="en-GB"/>
        </w:rPr>
      </w:pPr>
    </w:p>
    <w:p w14:paraId="3FD28622" w14:textId="77777777" w:rsidR="00292573" w:rsidRDefault="00682F91">
      <w:pPr>
        <w:rPr>
          <w:lang w:val="en-GB"/>
        </w:rPr>
      </w:pPr>
      <w:r w:rsidRPr="00682F91">
        <w:t>Seneca</w:t>
      </w:r>
      <w:r>
        <w:t xml:space="preserve"> (1920)</w:t>
      </w:r>
      <w:r w:rsidRPr="00682F91">
        <w:t> </w:t>
      </w:r>
      <w:r w:rsidRPr="00682F91">
        <w:rPr>
          <w:i/>
          <w:iCs/>
        </w:rPr>
        <w:t>Epistles, Volume II: Epistles 66-92. </w:t>
      </w:r>
      <w:r w:rsidRPr="00682F91">
        <w:t>Translated by </w:t>
      </w:r>
      <w:r>
        <w:t>R.</w:t>
      </w:r>
      <w:r w:rsidRPr="00682F91">
        <w:t xml:space="preserve"> M. Gummere. Loeb Classical Library 76. Cambridge, MA: Harvard University Press.</w:t>
      </w:r>
    </w:p>
    <w:p w14:paraId="1D7F0C52" w14:textId="77777777" w:rsidR="00292573" w:rsidRDefault="00292573">
      <w:pPr>
        <w:rPr>
          <w:lang w:val="en-GB"/>
        </w:rPr>
      </w:pPr>
    </w:p>
    <w:p w14:paraId="21D24998" w14:textId="0A709E8C" w:rsidR="00292573" w:rsidRPr="00292573" w:rsidRDefault="00292573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>Secondary Sources</w:t>
      </w:r>
    </w:p>
    <w:p w14:paraId="10514321" w14:textId="77777777" w:rsidR="008A76C6" w:rsidRDefault="008A76C6">
      <w:pPr>
        <w:rPr>
          <w:lang w:val="en-GB"/>
        </w:rPr>
      </w:pPr>
    </w:p>
    <w:p w14:paraId="46BF9AFF" w14:textId="7E6CF787" w:rsidR="005D42C7" w:rsidRDefault="005D42C7" w:rsidP="005D42C7">
      <w:pPr>
        <w:jc w:val="left"/>
      </w:pPr>
      <w:r w:rsidRPr="005D42C7">
        <w:t xml:space="preserve">Christesen, P., &amp; Torlone, Z. (2002) </w:t>
      </w:r>
      <w:r>
        <w:t>‘</w:t>
      </w:r>
      <w:r w:rsidRPr="005D42C7">
        <w:t xml:space="preserve">Ex omnibus in unum, nec hoc nec </w:t>
      </w:r>
      <w:proofErr w:type="spellStart"/>
      <w:r w:rsidRPr="005D42C7">
        <w:t>illud</w:t>
      </w:r>
      <w:proofErr w:type="spellEnd"/>
      <w:r w:rsidRPr="005D42C7">
        <w:t>: Genre in Petronius</w:t>
      </w:r>
      <w:r>
        <w:t>’, in</w:t>
      </w:r>
      <w:r w:rsidRPr="005D42C7">
        <w:t> </w:t>
      </w:r>
      <w:proofErr w:type="spellStart"/>
      <w:r w:rsidRPr="005D42C7">
        <w:rPr>
          <w:i/>
          <w:iCs/>
        </w:rPr>
        <w:t>Materiali</w:t>
      </w:r>
      <w:proofErr w:type="spellEnd"/>
      <w:r w:rsidRPr="005D42C7">
        <w:rPr>
          <w:i/>
          <w:iCs/>
        </w:rPr>
        <w:t xml:space="preserve"> e </w:t>
      </w:r>
      <w:proofErr w:type="spellStart"/>
      <w:r w:rsidRPr="005D42C7">
        <w:rPr>
          <w:i/>
          <w:iCs/>
        </w:rPr>
        <w:t>Discussioni</w:t>
      </w:r>
      <w:proofErr w:type="spellEnd"/>
      <w:r w:rsidRPr="005D42C7">
        <w:rPr>
          <w:i/>
          <w:iCs/>
        </w:rPr>
        <w:t xml:space="preserve"> per </w:t>
      </w:r>
      <w:proofErr w:type="spellStart"/>
      <w:r w:rsidRPr="005D42C7">
        <w:rPr>
          <w:i/>
          <w:iCs/>
        </w:rPr>
        <w:t>l’analisi</w:t>
      </w:r>
      <w:proofErr w:type="spellEnd"/>
      <w:r w:rsidRPr="005D42C7">
        <w:rPr>
          <w:i/>
          <w:iCs/>
        </w:rPr>
        <w:t xml:space="preserve"> Dei Testi Classici</w:t>
      </w:r>
      <w:r w:rsidRPr="005D42C7">
        <w:t>, </w:t>
      </w:r>
      <w:r w:rsidRPr="005D42C7">
        <w:rPr>
          <w:i/>
          <w:iCs/>
        </w:rPr>
        <w:t>49</w:t>
      </w:r>
      <w:r w:rsidRPr="005D42C7">
        <w:t xml:space="preserve">, </w:t>
      </w:r>
      <w:r>
        <w:t xml:space="preserve">pp. </w:t>
      </w:r>
      <w:r w:rsidRPr="005D42C7">
        <w:t xml:space="preserve">135–172. </w:t>
      </w:r>
      <w:r>
        <w:t xml:space="preserve">Available at: </w:t>
      </w:r>
      <w:hyperlink r:id="rId7" w:history="1">
        <w:r w:rsidRPr="00A41B90">
          <w:rPr>
            <w:rStyle w:val="Hyperlink"/>
          </w:rPr>
          <w:t>https://doi.org/10.2307/40236229</w:t>
        </w:r>
      </w:hyperlink>
      <w:r>
        <w:t xml:space="preserve"> (Accessed: 6 March 2026).</w:t>
      </w:r>
    </w:p>
    <w:p w14:paraId="48998DE1" w14:textId="77777777" w:rsidR="003861FE" w:rsidRDefault="003861FE" w:rsidP="005D42C7">
      <w:pPr>
        <w:jc w:val="left"/>
      </w:pPr>
    </w:p>
    <w:p w14:paraId="76225717" w14:textId="2C14C9FD" w:rsidR="003861FE" w:rsidRPr="00292573" w:rsidRDefault="003861FE" w:rsidP="005D42C7">
      <w:pPr>
        <w:jc w:val="left"/>
        <w:rPr>
          <w:lang w:val="en-GB"/>
        </w:rPr>
      </w:pPr>
      <w:r>
        <w:t xml:space="preserve">Roth, U. (2016) ‘Liberating the “Cena”’, in </w:t>
      </w:r>
      <w:r w:rsidR="00292573">
        <w:rPr>
          <w:i/>
          <w:iCs/>
        </w:rPr>
        <w:t xml:space="preserve">Classical quarterly, </w:t>
      </w:r>
      <w:r w:rsidR="00292573">
        <w:t xml:space="preserve">66(2), pp. 614-34. Available at: </w:t>
      </w:r>
      <w:hyperlink r:id="rId8" w:history="1">
        <w:r w:rsidR="00292573" w:rsidRPr="008D7E2C">
          <w:rPr>
            <w:rStyle w:val="Hyperlink"/>
          </w:rPr>
          <w:t>https://doi.org/10.1017/S0009838816000811</w:t>
        </w:r>
      </w:hyperlink>
      <w:r w:rsidR="00292573">
        <w:t xml:space="preserve"> (Accessed: 2 February 2026). </w:t>
      </w:r>
    </w:p>
    <w:p w14:paraId="7C9D5921" w14:textId="77777777" w:rsidR="004A4D4C" w:rsidRDefault="004A4D4C">
      <w:pPr>
        <w:rPr>
          <w:lang w:val="en-GB"/>
        </w:rPr>
      </w:pPr>
    </w:p>
    <w:sectPr w:rsidR="004A4D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C7D77" w14:textId="77777777" w:rsidR="00C80576" w:rsidRDefault="00C80576" w:rsidP="00C41437">
      <w:pPr>
        <w:spacing w:line="240" w:lineRule="auto"/>
      </w:pPr>
      <w:r>
        <w:separator/>
      </w:r>
    </w:p>
  </w:endnote>
  <w:endnote w:type="continuationSeparator" w:id="0">
    <w:p w14:paraId="2658807F" w14:textId="77777777" w:rsidR="00C80576" w:rsidRDefault="00C80576" w:rsidP="00C414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7B129" w14:textId="77777777" w:rsidR="00C80576" w:rsidRDefault="00C80576" w:rsidP="00C41437">
      <w:pPr>
        <w:spacing w:line="240" w:lineRule="auto"/>
      </w:pPr>
      <w:r>
        <w:separator/>
      </w:r>
    </w:p>
  </w:footnote>
  <w:footnote w:type="continuationSeparator" w:id="0">
    <w:p w14:paraId="3184CE19" w14:textId="77777777" w:rsidR="00C80576" w:rsidRDefault="00C80576" w:rsidP="00C41437">
      <w:pPr>
        <w:spacing w:line="240" w:lineRule="auto"/>
      </w:pPr>
      <w:r>
        <w:continuationSeparator/>
      </w:r>
    </w:p>
  </w:footnote>
  <w:footnote w:id="1">
    <w:p w14:paraId="184AEECD" w14:textId="1954BE8B" w:rsidR="00D55852" w:rsidRPr="00CF102E" w:rsidRDefault="00D55852" w:rsidP="00D5585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Sen. </w:t>
      </w:r>
      <w:r>
        <w:rPr>
          <w:i/>
          <w:iCs/>
          <w:lang w:val="en-GB"/>
        </w:rPr>
        <w:t xml:space="preserve">Ep. </w:t>
      </w:r>
      <w:r>
        <w:rPr>
          <w:lang w:val="en-GB"/>
        </w:rPr>
        <w:t xml:space="preserve">86.12 </w:t>
      </w:r>
    </w:p>
  </w:footnote>
  <w:footnote w:id="2">
    <w:p w14:paraId="61F34962" w14:textId="7A4BC8B7" w:rsidR="00D00A48" w:rsidRPr="00D00A48" w:rsidRDefault="00D00A4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Christesen and Torlone (2002, p.150) contrast the elevated and elaborate speech of </w:t>
      </w:r>
      <w:proofErr w:type="spellStart"/>
      <w:r>
        <w:rPr>
          <w:lang w:val="en-GB"/>
        </w:rPr>
        <w:t>Encolpius</w:t>
      </w:r>
      <w:proofErr w:type="spellEnd"/>
      <w:r>
        <w:rPr>
          <w:lang w:val="en-GB"/>
        </w:rPr>
        <w:t xml:space="preserve"> and Agamemnon with that of the freedmen, </w:t>
      </w:r>
      <w:r w:rsidR="006A1F21">
        <w:rPr>
          <w:lang w:val="en-GB"/>
        </w:rPr>
        <w:t xml:space="preserve">including the freedmen’s use of diminutives, illustrated by Seleucus </w:t>
      </w:r>
    </w:p>
  </w:footnote>
  <w:footnote w:id="3">
    <w:p w14:paraId="1EC39B6D" w14:textId="7C91D08D" w:rsidR="00F5758E" w:rsidRPr="00F5758E" w:rsidRDefault="00F5758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Christesen and Torlone (2002, p.150) see this as reflecting Petronius’ own </w:t>
      </w:r>
      <w:r w:rsidR="003A0BF0">
        <w:rPr>
          <w:lang w:val="en-GB"/>
        </w:rPr>
        <w:t>juxtapositions of different genres.</w:t>
      </w:r>
    </w:p>
  </w:footnote>
  <w:footnote w:id="4">
    <w:p w14:paraId="3F3FADE1" w14:textId="20874103" w:rsidR="003861FE" w:rsidRPr="003861FE" w:rsidRDefault="003861F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2016</w:t>
      </w:r>
    </w:p>
  </w:footnote>
  <w:footnote w:id="5">
    <w:p w14:paraId="4CA4918C" w14:textId="495A895F" w:rsidR="004441B7" w:rsidRPr="004441B7" w:rsidRDefault="004441B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p.633</w:t>
      </w:r>
    </w:p>
  </w:footnote>
  <w:footnote w:id="6">
    <w:p w14:paraId="33ACAE29" w14:textId="3BE2B1BF" w:rsidR="004441B7" w:rsidRPr="004441B7" w:rsidRDefault="004441B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p.618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4AD"/>
    <w:rsid w:val="00063552"/>
    <w:rsid w:val="00070792"/>
    <w:rsid w:val="000749EF"/>
    <w:rsid w:val="00084C6F"/>
    <w:rsid w:val="000944D8"/>
    <w:rsid w:val="000A00F0"/>
    <w:rsid w:val="000B7800"/>
    <w:rsid w:val="000C3A0D"/>
    <w:rsid w:val="000F5484"/>
    <w:rsid w:val="00137C3A"/>
    <w:rsid w:val="00190433"/>
    <w:rsid w:val="001A10A6"/>
    <w:rsid w:val="001E76B9"/>
    <w:rsid w:val="00202CC5"/>
    <w:rsid w:val="00217862"/>
    <w:rsid w:val="00221000"/>
    <w:rsid w:val="00235A1B"/>
    <w:rsid w:val="00246A35"/>
    <w:rsid w:val="002471AA"/>
    <w:rsid w:val="002624E9"/>
    <w:rsid w:val="00275C29"/>
    <w:rsid w:val="002761A2"/>
    <w:rsid w:val="00292573"/>
    <w:rsid w:val="002972A6"/>
    <w:rsid w:val="002F3B24"/>
    <w:rsid w:val="0030465F"/>
    <w:rsid w:val="00310393"/>
    <w:rsid w:val="00323FF3"/>
    <w:rsid w:val="003629AF"/>
    <w:rsid w:val="003861FE"/>
    <w:rsid w:val="003A0BF0"/>
    <w:rsid w:val="003D4FA5"/>
    <w:rsid w:val="003F54B9"/>
    <w:rsid w:val="00430690"/>
    <w:rsid w:val="004441B7"/>
    <w:rsid w:val="004449E6"/>
    <w:rsid w:val="00444F9E"/>
    <w:rsid w:val="00451948"/>
    <w:rsid w:val="00457203"/>
    <w:rsid w:val="0046029C"/>
    <w:rsid w:val="00495FBA"/>
    <w:rsid w:val="00496FB2"/>
    <w:rsid w:val="004A4D4C"/>
    <w:rsid w:val="0051769C"/>
    <w:rsid w:val="005405BC"/>
    <w:rsid w:val="00543548"/>
    <w:rsid w:val="00572DB3"/>
    <w:rsid w:val="00583952"/>
    <w:rsid w:val="005B2372"/>
    <w:rsid w:val="005B4981"/>
    <w:rsid w:val="005C218E"/>
    <w:rsid w:val="005C730F"/>
    <w:rsid w:val="005D42C7"/>
    <w:rsid w:val="00623DE1"/>
    <w:rsid w:val="0062794C"/>
    <w:rsid w:val="00633AB9"/>
    <w:rsid w:val="00677DB7"/>
    <w:rsid w:val="00682F91"/>
    <w:rsid w:val="006A1A6D"/>
    <w:rsid w:val="006A1F21"/>
    <w:rsid w:val="006B00EE"/>
    <w:rsid w:val="006E7929"/>
    <w:rsid w:val="00706162"/>
    <w:rsid w:val="00710651"/>
    <w:rsid w:val="0071701B"/>
    <w:rsid w:val="007A42BF"/>
    <w:rsid w:val="007F1A96"/>
    <w:rsid w:val="007F2DC2"/>
    <w:rsid w:val="0081187D"/>
    <w:rsid w:val="00825D05"/>
    <w:rsid w:val="00826FC4"/>
    <w:rsid w:val="008608DC"/>
    <w:rsid w:val="00873B67"/>
    <w:rsid w:val="00885A5A"/>
    <w:rsid w:val="0088768A"/>
    <w:rsid w:val="008A76C6"/>
    <w:rsid w:val="008B3D4C"/>
    <w:rsid w:val="008B43E9"/>
    <w:rsid w:val="008F09CB"/>
    <w:rsid w:val="00904965"/>
    <w:rsid w:val="00910984"/>
    <w:rsid w:val="009454DE"/>
    <w:rsid w:val="00967826"/>
    <w:rsid w:val="00976993"/>
    <w:rsid w:val="009C049F"/>
    <w:rsid w:val="009C7DA7"/>
    <w:rsid w:val="009E0F71"/>
    <w:rsid w:val="00A13CEB"/>
    <w:rsid w:val="00A76E62"/>
    <w:rsid w:val="00A825A8"/>
    <w:rsid w:val="00AB036E"/>
    <w:rsid w:val="00AC739B"/>
    <w:rsid w:val="00AD1B37"/>
    <w:rsid w:val="00AD5985"/>
    <w:rsid w:val="00B153E7"/>
    <w:rsid w:val="00B1744F"/>
    <w:rsid w:val="00B82CA7"/>
    <w:rsid w:val="00BA5B64"/>
    <w:rsid w:val="00BD07B1"/>
    <w:rsid w:val="00BD58B5"/>
    <w:rsid w:val="00BE3194"/>
    <w:rsid w:val="00C1059C"/>
    <w:rsid w:val="00C231A8"/>
    <w:rsid w:val="00C408CF"/>
    <w:rsid w:val="00C41437"/>
    <w:rsid w:val="00C44F39"/>
    <w:rsid w:val="00C80576"/>
    <w:rsid w:val="00C84C77"/>
    <w:rsid w:val="00C9096C"/>
    <w:rsid w:val="00CB14AD"/>
    <w:rsid w:val="00CC5C05"/>
    <w:rsid w:val="00CC7A59"/>
    <w:rsid w:val="00CF102E"/>
    <w:rsid w:val="00CF3403"/>
    <w:rsid w:val="00D00A48"/>
    <w:rsid w:val="00D529ED"/>
    <w:rsid w:val="00D55852"/>
    <w:rsid w:val="00D564E6"/>
    <w:rsid w:val="00D75B94"/>
    <w:rsid w:val="00D8156F"/>
    <w:rsid w:val="00D9587E"/>
    <w:rsid w:val="00DE364B"/>
    <w:rsid w:val="00DF177B"/>
    <w:rsid w:val="00E0290F"/>
    <w:rsid w:val="00E05BC3"/>
    <w:rsid w:val="00E24660"/>
    <w:rsid w:val="00E27044"/>
    <w:rsid w:val="00E27E86"/>
    <w:rsid w:val="00E304AB"/>
    <w:rsid w:val="00E37770"/>
    <w:rsid w:val="00E6047B"/>
    <w:rsid w:val="00E70CE4"/>
    <w:rsid w:val="00EA488D"/>
    <w:rsid w:val="00EC1F9B"/>
    <w:rsid w:val="00EC5299"/>
    <w:rsid w:val="00EE2BD1"/>
    <w:rsid w:val="00EE4FEB"/>
    <w:rsid w:val="00F21B42"/>
    <w:rsid w:val="00F35179"/>
    <w:rsid w:val="00F5758E"/>
    <w:rsid w:val="00F6321A"/>
    <w:rsid w:val="00F8542F"/>
    <w:rsid w:val="00FC0D3F"/>
    <w:rsid w:val="00FD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BF6DC"/>
  <w15:chartTrackingRefBased/>
  <w15:docId w15:val="{BA1B2816-8846-459C-AD5C-687D092C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6E"/>
    <w:pPr>
      <w:spacing w:after="0" w:line="360" w:lineRule="auto"/>
      <w:jc w:val="both"/>
    </w:pPr>
    <w:rPr>
      <w:lang w:val="en-US"/>
    </w:rPr>
  </w:style>
  <w:style w:type="paragraph" w:styleId="Heading1">
    <w:name w:val="heading 1"/>
    <w:next w:val="Normal"/>
    <w:link w:val="Heading1Char"/>
    <w:uiPriority w:val="9"/>
    <w:qFormat/>
    <w:rsid w:val="00AB036E"/>
    <w:pPr>
      <w:keepNext/>
      <w:keepLines/>
      <w:spacing w:before="120" w:after="40" w:line="360" w:lineRule="auto"/>
      <w:jc w:val="both"/>
      <w:outlineLvl w:val="0"/>
    </w:pPr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4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4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4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4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4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4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4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4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6E"/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AB036E"/>
    <w:pPr>
      <w:numPr>
        <w:ilvl w:val="1"/>
      </w:numPr>
      <w:spacing w:before="0" w:after="0"/>
    </w:pPr>
    <w:rPr>
      <w:rFonts w:eastAsiaTheme="minorEastAsia"/>
      <w:b w:val="0"/>
      <w:i/>
      <w:color w:val="auto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36E"/>
    <w:rPr>
      <w:rFonts w:ascii="Times New Roman" w:eastAsiaTheme="minorEastAsia" w:hAnsi="Times New Roman" w:cstheme="majorBidi"/>
      <w:i/>
      <w:spacing w:val="15"/>
      <w:sz w:val="28"/>
      <w:szCs w:val="32"/>
    </w:rPr>
  </w:style>
  <w:style w:type="character" w:styleId="Emphasis">
    <w:name w:val="Emphasis"/>
    <w:uiPriority w:val="20"/>
    <w:qFormat/>
    <w:rsid w:val="00AB036E"/>
    <w:rPr>
      <w:rFonts w:asciiTheme="minorHAnsi" w:hAnsiTheme="minorHAnsi"/>
      <w:b/>
      <w:i w:val="0"/>
      <w:iCs/>
      <w:color w:val="993366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B036E"/>
    <w:pPr>
      <w:spacing w:before="80" w:after="40"/>
      <w:ind w:left="720" w:right="864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AB036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4A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4AD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4AD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4AD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4AD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4AD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4AD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4AD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CB14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14A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CB14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14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4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4AD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CB14AD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1437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1437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C4143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26FC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6FC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A1F2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F2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6A1F2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F2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7/S000983881600081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2307/4023622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E957F-0623-4726-9663-E20B7AE8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BOYD</dc:creator>
  <cp:keywords/>
  <dc:description/>
  <cp:lastModifiedBy>JANE BOYD</cp:lastModifiedBy>
  <cp:revision>131</cp:revision>
  <dcterms:created xsi:type="dcterms:W3CDTF">2026-03-06T18:39:00Z</dcterms:created>
  <dcterms:modified xsi:type="dcterms:W3CDTF">2026-03-07T18:35:00Z</dcterms:modified>
</cp:coreProperties>
</file>