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879B" w14:textId="77777777" w:rsidR="00A450D7" w:rsidRPr="00F54439" w:rsidRDefault="00A450D7" w:rsidP="00A450D7">
      <w:pPr>
        <w:jc w:val="center"/>
        <w:rPr>
          <w:rFonts w:ascii="Arial" w:hAnsi="Arial" w:cs="Arial"/>
        </w:rPr>
      </w:pPr>
      <w:r w:rsidRPr="00981502">
        <w:rPr>
          <w:rFonts w:ascii="Arial" w:hAnsi="Arial" w:cs="Arial"/>
          <w:b/>
          <w:noProof/>
        </w:rPr>
        <w:drawing>
          <wp:inline distT="0" distB="0" distL="0" distR="0" wp14:anchorId="155A2F75" wp14:editId="3FDB67EE">
            <wp:extent cx="2152650" cy="787400"/>
            <wp:effectExtent l="0" t="0" r="0" b="0"/>
            <wp:docPr id="8782122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52650" cy="787400"/>
                    </a:xfrm>
                    <a:prstGeom prst="rect">
                      <a:avLst/>
                    </a:prstGeom>
                    <a:noFill/>
                    <a:ln>
                      <a:noFill/>
                    </a:ln>
                  </pic:spPr>
                </pic:pic>
              </a:graphicData>
            </a:graphic>
          </wp:inline>
        </w:drawing>
      </w:r>
    </w:p>
    <w:p w14:paraId="53551A0D" w14:textId="77777777" w:rsidR="00A450D7" w:rsidRPr="00F54439" w:rsidRDefault="00A450D7" w:rsidP="00A450D7">
      <w:pPr>
        <w:jc w:val="center"/>
        <w:rPr>
          <w:rFonts w:ascii="Arial" w:hAnsi="Arial" w:cs="Arial"/>
        </w:rPr>
      </w:pPr>
      <w:r w:rsidRPr="00F54439">
        <w:rPr>
          <w:rFonts w:ascii="Arial" w:hAnsi="Arial" w:cs="Arial"/>
        </w:rPr>
        <w:t>Applied Leadership and Management in the Workplace</w:t>
      </w:r>
      <w:r w:rsidRPr="00F54439">
        <w:rPr>
          <w:rFonts w:ascii="Arial" w:hAnsi="Arial" w:cs="Arial"/>
        </w:rPr>
        <w:br/>
        <w:t xml:space="preserve">            Module Assignment Submission </w:t>
      </w:r>
      <w:r w:rsidRPr="00F54439">
        <w:rPr>
          <w:rFonts w:ascii="Arial" w:hAnsi="Arial" w:cs="Arial"/>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A450D7" w:rsidRPr="00F54439" w14:paraId="0B39398F" w14:textId="77777777" w:rsidTr="00FB3F1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2D54F46" w14:textId="77777777" w:rsidR="00A450D7" w:rsidRPr="00F54439" w:rsidRDefault="00A450D7" w:rsidP="00A450D7">
            <w:pPr>
              <w:jc w:val="center"/>
              <w:rPr>
                <w:rFonts w:ascii="Arial" w:hAnsi="Arial" w:cs="Arial"/>
              </w:rPr>
            </w:pPr>
            <w:r w:rsidRPr="00F54439">
              <w:rPr>
                <w:rFonts w:ascii="Arial" w:hAnsi="Arial" w:cs="Ari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4C4EEF25" w14:textId="77777777" w:rsidR="00A450D7" w:rsidRPr="00F54439" w:rsidRDefault="00A450D7" w:rsidP="00A450D7">
            <w:pPr>
              <w:jc w:val="center"/>
              <w:rPr>
                <w:rFonts w:ascii="Arial" w:hAnsi="Arial" w:cs="Arial"/>
              </w:rPr>
            </w:pPr>
            <w:r w:rsidRPr="00F54439">
              <w:rPr>
                <w:rFonts w:ascii="Arial" w:hAnsi="Arial" w:cs="Arial"/>
              </w:rPr>
              <w:t>Mica Davies</w:t>
            </w:r>
          </w:p>
        </w:tc>
      </w:tr>
      <w:tr w:rsidR="00A450D7" w:rsidRPr="00F54439" w14:paraId="7C1DE4E2" w14:textId="77777777" w:rsidTr="00FB3F1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D61E8A2" w14:textId="77777777" w:rsidR="00A450D7" w:rsidRPr="00F54439" w:rsidRDefault="00A450D7" w:rsidP="00A450D7">
            <w:pPr>
              <w:jc w:val="center"/>
              <w:rPr>
                <w:rFonts w:ascii="Arial" w:hAnsi="Arial" w:cs="Arial"/>
              </w:rPr>
            </w:pPr>
            <w:r w:rsidRPr="00F54439">
              <w:rPr>
                <w:rFonts w:ascii="Arial" w:hAnsi="Arial" w:cs="Ari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202665D8" w14:textId="77777777" w:rsidR="00A450D7" w:rsidRPr="00F54439" w:rsidRDefault="00A450D7" w:rsidP="00A450D7">
            <w:pPr>
              <w:jc w:val="center"/>
              <w:rPr>
                <w:rFonts w:ascii="Arial" w:hAnsi="Arial" w:cs="Arial"/>
              </w:rPr>
            </w:pPr>
            <w:r w:rsidRPr="00A450D7">
              <w:rPr>
                <w:rFonts w:ascii="Arial" w:hAnsi="Arial" w:cs="Arial"/>
                <w:sz w:val="22"/>
                <w:szCs w:val="22"/>
              </w:rPr>
              <w:t>2313850</w:t>
            </w:r>
          </w:p>
        </w:tc>
      </w:tr>
      <w:tr w:rsidR="00A450D7" w:rsidRPr="00F54439" w14:paraId="5E91E60D" w14:textId="77777777" w:rsidTr="00FB3F1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1E2B501" w14:textId="77777777" w:rsidR="00A450D7" w:rsidRPr="00F54439" w:rsidRDefault="00A450D7" w:rsidP="00A450D7">
            <w:pPr>
              <w:jc w:val="center"/>
              <w:rPr>
                <w:rFonts w:ascii="Arial" w:hAnsi="Arial" w:cs="Arial"/>
              </w:rPr>
            </w:pPr>
            <w:r w:rsidRPr="00F54439">
              <w:rPr>
                <w:rFonts w:ascii="Arial" w:hAnsi="Arial" w:cs="Ari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1146A76E" w14:textId="3ECEA232" w:rsidR="00A450D7" w:rsidRPr="00F54439" w:rsidRDefault="00A450D7" w:rsidP="00A450D7">
            <w:pPr>
              <w:jc w:val="center"/>
              <w:rPr>
                <w:rFonts w:ascii="Arial" w:hAnsi="Arial" w:cs="Arial"/>
              </w:rPr>
            </w:pPr>
            <w:r w:rsidRPr="00A450D7">
              <w:rPr>
                <w:rFonts w:ascii="Arial" w:hAnsi="Arial" w:cs="Arial"/>
                <w:sz w:val="20"/>
                <w:szCs w:val="20"/>
              </w:rPr>
              <w:t>BMSK5</w:t>
            </w:r>
            <w:r w:rsidRPr="00A450D7">
              <w:rPr>
                <w:rFonts w:ascii="Arial" w:hAnsi="Arial" w:cs="Arial"/>
                <w:sz w:val="20"/>
                <w:szCs w:val="20"/>
              </w:rPr>
              <w:t>009</w:t>
            </w:r>
          </w:p>
        </w:tc>
      </w:tr>
      <w:tr w:rsidR="00A450D7" w:rsidRPr="00F54439" w14:paraId="6B328F37" w14:textId="77777777" w:rsidTr="00FB3F13">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E335851" w14:textId="77777777" w:rsidR="00A450D7" w:rsidRPr="00F54439" w:rsidRDefault="00A450D7" w:rsidP="00A450D7">
            <w:pPr>
              <w:jc w:val="center"/>
              <w:rPr>
                <w:rFonts w:ascii="Arial" w:hAnsi="Arial" w:cs="Arial"/>
              </w:rPr>
            </w:pPr>
            <w:r w:rsidRPr="00F54439">
              <w:rPr>
                <w:rFonts w:ascii="Arial" w:hAnsi="Arial" w:cs="Ari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32CFDBDE" w14:textId="15E2A8A7" w:rsidR="00A450D7" w:rsidRPr="00A450D7" w:rsidRDefault="00A450D7" w:rsidP="00A450D7">
            <w:pPr>
              <w:jc w:val="center"/>
              <w:rPr>
                <w:rFonts w:ascii="Arial" w:hAnsi="Arial" w:cs="Arial"/>
                <w:bCs/>
                <w:sz w:val="22"/>
                <w:szCs w:val="22"/>
              </w:rPr>
            </w:pPr>
            <w:r w:rsidRPr="00A450D7">
              <w:rPr>
                <w:rFonts w:ascii="Arial" w:hAnsi="Arial" w:cs="Arial"/>
                <w:bCs/>
                <w:sz w:val="22"/>
                <w:szCs w:val="22"/>
              </w:rPr>
              <w:t>Developing High-Performance Culture</w:t>
            </w:r>
          </w:p>
        </w:tc>
      </w:tr>
    </w:tbl>
    <w:p w14:paraId="0DAD1A55" w14:textId="77777777" w:rsidR="00A450D7" w:rsidRPr="00F54439" w:rsidRDefault="00A450D7" w:rsidP="00A450D7">
      <w:pPr>
        <w:jc w:val="center"/>
        <w:rPr>
          <w:rFonts w:ascii="Arial" w:hAnsi="Arial" w:cs="Arial"/>
          <w:b/>
        </w:rPr>
      </w:pPr>
      <w:r w:rsidRPr="00F54439">
        <w:rPr>
          <w:rFonts w:ascii="Arial" w:hAnsi="Arial" w:cs="Arial"/>
        </w:rPr>
        <w:br/>
      </w:r>
      <w:r w:rsidRPr="00F54439">
        <w:rPr>
          <w:rFonts w:ascii="Arial" w:hAnsi="Arial" w:cs="Arial"/>
          <w:b/>
        </w:rPr>
        <w:t>Statement of Confirmation of Authenticity</w:t>
      </w:r>
    </w:p>
    <w:p w14:paraId="3E63CCC4" w14:textId="6B42F167" w:rsidR="00EE17E1" w:rsidRPr="001C46F9" w:rsidRDefault="00A450D7" w:rsidP="001C46F9">
      <w:pPr>
        <w:jc w:val="center"/>
        <w:rPr>
          <w:rFonts w:ascii="Arial" w:hAnsi="Arial" w:cs="Arial"/>
        </w:rPr>
      </w:pPr>
      <w:r w:rsidRPr="00F54439">
        <w:rPr>
          <w:rFonts w:ascii="Arial" w:hAnsi="Arial" w:cs="Arial"/>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w:t>
      </w:r>
      <w:r w:rsidR="001C46F9" w:rsidRPr="00F54439">
        <w:rPr>
          <w:rFonts w:ascii="Arial" w:hAnsi="Arial" w:cs="Arial"/>
        </w:rPr>
        <w:t>committed.</w:t>
      </w:r>
      <w:r w:rsidR="001C46F9" w:rsidRPr="001C46F9">
        <w:rPr>
          <w:rFonts w:ascii="Arial" w:hAnsi="Arial" w:cs="Arial"/>
        </w:rPr>
        <w:t xml:space="preserve"> Attention</w:t>
      </w:r>
      <w:r w:rsidRPr="001C46F9">
        <w:rPr>
          <w:rFonts w:ascii="Arial" w:hAnsi="Arial" w:cs="Arial"/>
        </w:rPr>
        <w:t xml:space="preserve"> is drawn to the plagiarism and unfair practice policies of both the University and of ILM.</w:t>
      </w:r>
      <w:r w:rsidRPr="00981502">
        <w:rPr>
          <w:rFonts w:ascii="Arial" w:hAnsi="Arial" w:cs="Arial"/>
        </w:rPr>
        <w:br/>
      </w:r>
      <w:r w:rsidRPr="00981502">
        <w:rPr>
          <w:rFonts w:ascii="Arial" w:hAnsi="Arial" w:cs="Arial"/>
        </w:rPr>
        <w:br/>
      </w:r>
      <w:r>
        <w:br/>
      </w:r>
      <w:r>
        <w:br/>
      </w:r>
      <w:r>
        <w:br/>
      </w:r>
      <w:r>
        <w:br/>
      </w:r>
      <w:r>
        <w:br/>
      </w:r>
      <w:r>
        <w:br/>
      </w:r>
      <w:r>
        <w:br/>
      </w:r>
      <w:r>
        <w:br/>
      </w:r>
      <w:r>
        <w:br/>
      </w:r>
      <w:r>
        <w:br/>
      </w:r>
      <w:r>
        <w:br/>
      </w:r>
      <w:r w:rsidR="00B46A83">
        <w:br/>
      </w:r>
      <w:r w:rsidR="001C46F9">
        <w:rPr>
          <w:rFonts w:ascii="Georgia" w:hAnsi="Georgia"/>
          <w:color w:val="3A7C22" w:themeColor="accent6" w:themeShade="BF"/>
          <w:sz w:val="36"/>
          <w:szCs w:val="36"/>
          <w:u w:val="single"/>
        </w:rPr>
        <w:br/>
      </w:r>
      <w:r w:rsidR="001C46F9">
        <w:rPr>
          <w:rFonts w:ascii="Georgia" w:hAnsi="Georgia"/>
          <w:color w:val="3A7C22" w:themeColor="accent6" w:themeShade="BF"/>
          <w:sz w:val="36"/>
          <w:szCs w:val="36"/>
          <w:u w:val="single"/>
        </w:rPr>
        <w:br/>
      </w:r>
      <w:r w:rsidR="001C46F9">
        <w:rPr>
          <w:rFonts w:ascii="Georgia" w:hAnsi="Georgia"/>
          <w:color w:val="3A7C22" w:themeColor="accent6" w:themeShade="BF"/>
          <w:sz w:val="36"/>
          <w:szCs w:val="36"/>
          <w:u w:val="single"/>
        </w:rPr>
        <w:br/>
      </w:r>
      <w:r w:rsidRPr="00B46A83">
        <w:rPr>
          <w:rFonts w:ascii="Georgia" w:hAnsi="Georgia"/>
          <w:color w:val="3A7C22" w:themeColor="accent6" w:themeShade="BF"/>
          <w:sz w:val="36"/>
          <w:szCs w:val="36"/>
          <w:u w:val="single"/>
        </w:rPr>
        <w:lastRenderedPageBreak/>
        <w:t>TABLE OF CONTENTS</w:t>
      </w:r>
      <w:r>
        <w:br/>
      </w:r>
      <w:r w:rsidR="00B46A83" w:rsidRPr="00B46A83">
        <w:rPr>
          <w:color w:val="4EA72E" w:themeColor="accent6"/>
          <w:sz w:val="28"/>
          <w:szCs w:val="28"/>
          <w:u w:val="single"/>
        </w:rPr>
        <w:br/>
      </w:r>
      <w:r w:rsidR="00B46A83" w:rsidRPr="00A87148">
        <w:rPr>
          <w:i/>
          <w:iCs/>
          <w:color w:val="4EA72E" w:themeColor="accent6"/>
          <w:sz w:val="32"/>
          <w:szCs w:val="32"/>
          <w:u w:val="single"/>
        </w:rPr>
        <w:t>Introduction</w:t>
      </w:r>
      <w:r w:rsidR="00B46A83" w:rsidRPr="00A87148">
        <w:rPr>
          <w:i/>
          <w:iCs/>
          <w:color w:val="4EA72E" w:themeColor="accent6"/>
        </w:rPr>
        <w:br/>
      </w:r>
      <w:r w:rsidRPr="00B46A83">
        <w:rPr>
          <w:i/>
          <w:iCs/>
          <w:color w:val="4EA72E" w:themeColor="accent6"/>
        </w:rPr>
        <w:br/>
      </w:r>
      <w:r w:rsidR="00605566" w:rsidRPr="00B46A83">
        <w:rPr>
          <w:rStyle w:val="Heading2Char"/>
          <w:rFonts w:asciiTheme="minorHAnsi" w:hAnsiTheme="minorHAnsi"/>
          <w:i/>
          <w:iCs/>
          <w:color w:val="4EA72E" w:themeColor="accent6"/>
          <w:sz w:val="28"/>
          <w:szCs w:val="28"/>
          <w:u w:val="single"/>
        </w:rPr>
        <w:t>1. Critical Assessment of the Culture and Context of FSW.</w:t>
      </w:r>
      <w:r w:rsidR="00605566" w:rsidRPr="00B46A83">
        <w:rPr>
          <w:rStyle w:val="Heading2Char"/>
          <w:rFonts w:asciiTheme="minorHAnsi" w:hAnsiTheme="minorHAnsi"/>
          <w:i/>
          <w:iCs/>
          <w:color w:val="4EA72E" w:themeColor="accent6"/>
          <w:sz w:val="28"/>
          <w:szCs w:val="28"/>
          <w:u w:val="single"/>
        </w:rPr>
        <w:br/>
      </w:r>
      <w:r w:rsidRPr="00B46A83">
        <w:rPr>
          <w:i/>
          <w:iCs/>
          <w:color w:val="4EA72E" w:themeColor="accent6"/>
          <w:sz w:val="22"/>
          <w:szCs w:val="22"/>
        </w:rPr>
        <w:br/>
      </w:r>
      <w:r w:rsidR="00605566" w:rsidRPr="00B46A83">
        <w:rPr>
          <w:rStyle w:val="Heading2Char"/>
          <w:rFonts w:asciiTheme="minorHAnsi" w:hAnsiTheme="minorHAnsi"/>
          <w:i/>
          <w:iCs/>
          <w:color w:val="4EA72E" w:themeColor="accent6"/>
          <w:sz w:val="28"/>
          <w:szCs w:val="28"/>
          <w:u w:val="single"/>
        </w:rPr>
        <w:t>2. Evaluation of FSW within its Broader Environment</w:t>
      </w:r>
      <w:r w:rsidR="00B46A83" w:rsidRPr="00B46A83">
        <w:rPr>
          <w:i/>
          <w:iCs/>
        </w:rPr>
        <w:br/>
      </w:r>
      <w:r w:rsidR="00B46A83" w:rsidRPr="00B46A83">
        <w:rPr>
          <w:i/>
          <w:iCs/>
        </w:rPr>
        <w:br/>
      </w:r>
      <w:r w:rsidR="00605566" w:rsidRPr="00B46A83">
        <w:rPr>
          <w:i/>
          <w:iCs/>
          <w:color w:val="4EA72E" w:themeColor="accent6"/>
          <w:sz w:val="28"/>
          <w:szCs w:val="28"/>
          <w:u w:val="single"/>
        </w:rPr>
        <w:t>3</w:t>
      </w:r>
      <w:r w:rsidR="00605566" w:rsidRPr="00B46A83">
        <w:rPr>
          <w:rStyle w:val="Heading2Char"/>
          <w:rFonts w:asciiTheme="minorHAnsi" w:hAnsiTheme="minorHAnsi"/>
          <w:i/>
          <w:iCs/>
          <w:color w:val="4EA72E" w:themeColor="accent6"/>
          <w:sz w:val="28"/>
          <w:szCs w:val="28"/>
          <w:u w:val="single"/>
        </w:rPr>
        <w:t>. Critical Appraisal of Cultural and Ethical Behaviour</w:t>
      </w:r>
      <w:r w:rsidR="00B46A83" w:rsidRPr="00B46A83">
        <w:rPr>
          <w:rStyle w:val="Heading2Char"/>
          <w:rFonts w:asciiTheme="minorHAnsi" w:hAnsiTheme="minorHAnsi"/>
          <w:i/>
          <w:iCs/>
          <w:color w:val="4EA72E" w:themeColor="accent6"/>
          <w:sz w:val="28"/>
          <w:szCs w:val="28"/>
          <w:u w:val="single"/>
        </w:rPr>
        <w:br/>
      </w:r>
      <w:r w:rsidR="00B46A83" w:rsidRPr="00B46A83">
        <w:rPr>
          <w:rStyle w:val="Heading2Char"/>
          <w:rFonts w:asciiTheme="minorHAnsi" w:hAnsiTheme="minorHAnsi"/>
          <w:i/>
          <w:iCs/>
          <w:color w:val="4EA72E" w:themeColor="accent6"/>
          <w:sz w:val="28"/>
          <w:szCs w:val="28"/>
          <w:u w:val="single"/>
        </w:rPr>
        <w:br/>
      </w:r>
      <w:r w:rsidR="00B46A83" w:rsidRPr="00A87148">
        <w:rPr>
          <w:i/>
          <w:iCs/>
          <w:color w:val="4EA72E" w:themeColor="accent6"/>
          <w:sz w:val="32"/>
          <w:szCs w:val="32"/>
          <w:u w:val="single"/>
        </w:rPr>
        <w:t xml:space="preserve">4. Conclusion </w:t>
      </w:r>
      <w:r w:rsidR="00B46A83" w:rsidRPr="00A87148">
        <w:rPr>
          <w:i/>
          <w:iCs/>
          <w:color w:val="4EA72E" w:themeColor="accent6"/>
          <w:sz w:val="32"/>
          <w:szCs w:val="32"/>
          <w:u w:val="single"/>
        </w:rPr>
        <w:br/>
      </w:r>
      <w:r w:rsidR="00B46A83" w:rsidRPr="00B46A83">
        <w:rPr>
          <w:i/>
          <w:iCs/>
          <w:color w:val="4EA72E" w:themeColor="accent6"/>
          <w:sz w:val="28"/>
          <w:szCs w:val="28"/>
          <w:u w:val="single"/>
        </w:rPr>
        <w:br/>
        <w:t>5. References</w:t>
      </w:r>
      <w:r w:rsidRPr="00B46A83">
        <w:rPr>
          <w:i/>
          <w:iCs/>
        </w:rPr>
        <w:br/>
      </w:r>
      <w:r w:rsidRPr="00B46A83">
        <w:br/>
      </w:r>
      <w:r>
        <w:br/>
      </w:r>
      <w:r>
        <w:br/>
      </w:r>
      <w:r>
        <w:br/>
      </w:r>
      <w:r>
        <w:br/>
      </w:r>
      <w:r>
        <w:br/>
      </w:r>
      <w:r>
        <w:br/>
      </w:r>
      <w:r>
        <w:br/>
      </w:r>
      <w:r>
        <w:br/>
      </w:r>
      <w:r>
        <w:br/>
      </w:r>
      <w:r>
        <w:br/>
      </w:r>
      <w: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001C46F9">
        <w:rPr>
          <w:rStyle w:val="Heading2Char"/>
          <w:rFonts w:ascii="Book Antiqua" w:hAnsi="Book Antiqua"/>
          <w:i/>
          <w:iCs/>
          <w:color w:val="47D459" w:themeColor="accent3" w:themeTint="99"/>
          <w:sz w:val="40"/>
          <w:szCs w:val="40"/>
          <w:u w:val="single"/>
        </w:rPr>
        <w:br/>
      </w:r>
      <w:r w:rsidRPr="00280EE7">
        <w:rPr>
          <w:rStyle w:val="Heading2Char"/>
          <w:rFonts w:ascii="Book Antiqua" w:hAnsi="Book Antiqua"/>
          <w:i/>
          <w:iCs/>
          <w:color w:val="47D459" w:themeColor="accent3" w:themeTint="99"/>
          <w:sz w:val="40"/>
          <w:szCs w:val="40"/>
          <w:u w:val="single"/>
        </w:rPr>
        <w:lastRenderedPageBreak/>
        <w:t>Introduction</w:t>
      </w:r>
      <w:r w:rsidR="00FB2301">
        <w:rPr>
          <w:rStyle w:val="Heading2Char"/>
          <w:rFonts w:ascii="Book Antiqua" w:hAnsi="Book Antiqua"/>
          <w:i/>
          <w:iCs/>
          <w:u w:val="single"/>
        </w:rPr>
        <w:br/>
      </w:r>
      <w:r w:rsidR="00FB2301">
        <w:rPr>
          <w:rStyle w:val="Heading2Char"/>
          <w:rFonts w:ascii="Book Antiqua" w:hAnsi="Book Antiqua"/>
          <w:i/>
          <w:iCs/>
          <w:u w:val="single"/>
        </w:rPr>
        <w:br/>
      </w:r>
      <w:r w:rsidR="00FB2301" w:rsidRPr="00EE17E1">
        <w:rPr>
          <w:rStyle w:val="Heading2Char"/>
          <w:rFonts w:ascii="Georgia" w:hAnsi="Georgia"/>
          <w:color w:val="auto"/>
          <w:sz w:val="24"/>
          <w:szCs w:val="24"/>
        </w:rPr>
        <w:t xml:space="preserve">This report will critically examine how a high performance culture can be created, sustained and leveraged within the business I work at as a Support Worker in Family Support Wales (FSW). </w:t>
      </w:r>
      <w:r w:rsidR="00280EE7" w:rsidRPr="00EE17E1">
        <w:rPr>
          <w:rStyle w:val="Heading2Char"/>
          <w:rFonts w:ascii="Georgia" w:hAnsi="Georgia"/>
          <w:color w:val="auto"/>
          <w:sz w:val="24"/>
          <w:szCs w:val="24"/>
        </w:rPr>
        <w:t xml:space="preserve">The service is a </w:t>
      </w:r>
      <w:r w:rsidR="00FB2301" w:rsidRPr="00EE17E1">
        <w:rPr>
          <w:rStyle w:val="Heading2Char"/>
          <w:rFonts w:ascii="Georgia" w:hAnsi="Georgia"/>
          <w:color w:val="auto"/>
          <w:sz w:val="24"/>
          <w:szCs w:val="24"/>
        </w:rPr>
        <w:t>children’s healthcare service delivering support to individuals with complex needs and disabilities</w:t>
      </w:r>
      <w:r w:rsidR="00125184" w:rsidRPr="00EE17E1">
        <w:rPr>
          <w:rStyle w:val="Heading2Char"/>
          <w:rFonts w:ascii="Georgia" w:hAnsi="Georgia"/>
          <w:color w:val="auto"/>
          <w:sz w:val="24"/>
          <w:szCs w:val="24"/>
        </w:rPr>
        <w:t xml:space="preserve"> </w:t>
      </w:r>
      <w:r w:rsidR="00FB2301" w:rsidRPr="00EE17E1">
        <w:rPr>
          <w:rStyle w:val="Heading2Char"/>
          <w:rFonts w:ascii="Georgia" w:hAnsi="Georgia"/>
          <w:color w:val="auto"/>
          <w:sz w:val="24"/>
          <w:szCs w:val="24"/>
        </w:rPr>
        <w:t xml:space="preserve">within their homes and out in the community. </w:t>
      </w:r>
      <w:r w:rsidR="00280EE7" w:rsidRPr="00EE17E1">
        <w:rPr>
          <w:rStyle w:val="Heading2Char"/>
          <w:rFonts w:ascii="Georgia" w:hAnsi="Georgia"/>
          <w:color w:val="auto"/>
          <w:sz w:val="24"/>
          <w:szCs w:val="24"/>
        </w:rPr>
        <w:t xml:space="preserve">The complex needs and disabilities have different ranges and </w:t>
      </w:r>
      <w:r w:rsidR="00EE17E1" w:rsidRPr="00EE17E1">
        <w:rPr>
          <w:rStyle w:val="Heading2Char"/>
          <w:rFonts w:ascii="Georgia" w:hAnsi="Georgia"/>
          <w:color w:val="auto"/>
          <w:sz w:val="24"/>
          <w:szCs w:val="24"/>
        </w:rPr>
        <w:t>severities,</w:t>
      </w:r>
      <w:r w:rsidR="00280EE7" w:rsidRPr="00EE17E1">
        <w:rPr>
          <w:rStyle w:val="Heading2Char"/>
          <w:rFonts w:ascii="Georgia" w:hAnsi="Georgia"/>
          <w:color w:val="auto"/>
          <w:sz w:val="24"/>
          <w:szCs w:val="24"/>
        </w:rPr>
        <w:t xml:space="preserve"> and all staff are fully trained and competent to defuse situations and act appropriately, while keeping the children’s best interest as the </w:t>
      </w:r>
      <w:r w:rsidR="001C46F9" w:rsidRPr="00EE17E1">
        <w:rPr>
          <w:rStyle w:val="Heading2Char"/>
          <w:rFonts w:ascii="Georgia" w:hAnsi="Georgia"/>
          <w:color w:val="auto"/>
          <w:sz w:val="24"/>
          <w:szCs w:val="24"/>
        </w:rPr>
        <w:t>focus</w:t>
      </w:r>
      <w:r w:rsidR="00280EE7" w:rsidRPr="00EE17E1">
        <w:rPr>
          <w:rStyle w:val="Heading2Char"/>
          <w:rFonts w:ascii="Georgia" w:hAnsi="Georgia"/>
          <w:color w:val="auto"/>
          <w:sz w:val="24"/>
          <w:szCs w:val="24"/>
        </w:rPr>
        <w:t xml:space="preserve"> and goal. I will use</w:t>
      </w:r>
      <w:r w:rsidR="00FB2301" w:rsidRPr="00EE17E1">
        <w:rPr>
          <w:rStyle w:val="Heading2Char"/>
          <w:rFonts w:ascii="Georgia" w:hAnsi="Georgia"/>
          <w:color w:val="auto"/>
          <w:sz w:val="24"/>
          <w:szCs w:val="24"/>
        </w:rPr>
        <w:t xml:space="preserve"> methods of academic theory and organisational analysis tool</w:t>
      </w:r>
      <w:r w:rsidR="00280EE7" w:rsidRPr="00EE17E1">
        <w:rPr>
          <w:rStyle w:val="Heading2Char"/>
          <w:rFonts w:ascii="Georgia" w:hAnsi="Georgia"/>
          <w:color w:val="auto"/>
          <w:sz w:val="24"/>
          <w:szCs w:val="24"/>
        </w:rPr>
        <w:t xml:space="preserve">s, </w:t>
      </w:r>
      <w:r w:rsidR="00FB2301" w:rsidRPr="00EE17E1">
        <w:rPr>
          <w:rStyle w:val="Heading2Char"/>
          <w:rFonts w:ascii="Georgia" w:hAnsi="Georgia"/>
          <w:color w:val="auto"/>
          <w:sz w:val="24"/>
          <w:szCs w:val="24"/>
        </w:rPr>
        <w:t xml:space="preserve">this report will evaluate FSW’s culture, context and broader environment and explores how cultural and ethical behaviour among employees directly influences collaboration, wellbeing and the service quality. The analysis applies key models which include Schein’s cultural Model, Handy’s Cultural Typologies, Hofstede’s Dimensions, Johnson &amp; Scholes’ cultural Web, PESTEL, SWOT and the Mckinsey 7s Framework, as well as critical reasoning models such as Person’s RED, and Toulmin. </w:t>
      </w:r>
      <w:r w:rsidR="00FB2301" w:rsidRPr="00EE17E1">
        <w:rPr>
          <w:rStyle w:val="Heading2Char"/>
          <w:rFonts w:ascii="Georgia" w:hAnsi="Georgia"/>
          <w:color w:val="auto"/>
          <w:sz w:val="24"/>
          <w:szCs w:val="24"/>
        </w:rPr>
        <w:br/>
      </w:r>
      <w:r w:rsidR="00FB2301" w:rsidRPr="00EE17E1">
        <w:rPr>
          <w:rStyle w:val="Heading2Char"/>
          <w:rFonts w:ascii="Georgia" w:hAnsi="Georgia"/>
          <w:color w:val="auto"/>
          <w:sz w:val="24"/>
          <w:szCs w:val="24"/>
        </w:rPr>
        <w:br/>
        <w:t xml:space="preserve">FSW is an organisation that strives to provide the highest quality as possible and operates within the sensitive and highly regulated domain of children’s health care, where our organisation’s ability to maximise service-user outcomes depends on a strong, ethical and collaborative workforce culture. </w:t>
      </w:r>
      <w:r w:rsidR="00280EE7" w:rsidRPr="00EE17E1">
        <w:rPr>
          <w:rStyle w:val="Heading2Char"/>
          <w:rFonts w:ascii="Georgia" w:hAnsi="Georgia"/>
          <w:color w:val="auto"/>
          <w:sz w:val="24"/>
          <w:szCs w:val="24"/>
        </w:rPr>
        <w:t>Making the organisation a suitable case for analysing the factors that enable high performance.</w:t>
      </w:r>
      <w:r w:rsidR="00280EE7" w:rsidRPr="00EE17E1">
        <w:rPr>
          <w:rStyle w:val="Heading2Char"/>
          <w:rFonts w:ascii="Georgia" w:hAnsi="Georgia"/>
          <w:color w:val="auto"/>
          <w:sz w:val="24"/>
          <w:szCs w:val="24"/>
        </w:rPr>
        <w:br/>
      </w:r>
      <w:r w:rsidR="00280EE7">
        <w:rPr>
          <w:rStyle w:val="Heading2Char"/>
          <w:rFonts w:ascii="Georgia" w:hAnsi="Georgia"/>
          <w:color w:val="auto"/>
          <w:sz w:val="22"/>
          <w:szCs w:val="22"/>
        </w:rPr>
        <w:br/>
      </w:r>
      <w:r w:rsidR="00280EE7" w:rsidRPr="00605566">
        <w:rPr>
          <w:rStyle w:val="Heading2Char"/>
          <w:u w:val="single"/>
        </w:rPr>
        <w:br/>
      </w:r>
      <w:r w:rsidR="00280EE7" w:rsidRPr="00605566">
        <w:rPr>
          <w:rStyle w:val="Heading2Char"/>
          <w:rFonts w:ascii="Georgia" w:hAnsi="Georgia"/>
          <w:color w:val="47D459" w:themeColor="accent3" w:themeTint="99"/>
          <w:u w:val="single"/>
        </w:rPr>
        <w:t>1. Critical Assessment of the Culture and Context of FSW.</w:t>
      </w:r>
      <w:r w:rsidR="00280EE7">
        <w:rPr>
          <w:rStyle w:val="Heading2Char"/>
          <w:rFonts w:ascii="Georgia" w:hAnsi="Georgia"/>
          <w:i/>
          <w:iCs/>
          <w:color w:val="47D459" w:themeColor="accent3" w:themeTint="99"/>
          <w:u w:val="single"/>
        </w:rPr>
        <w:br/>
      </w:r>
      <w:r w:rsidR="00E61C53">
        <w:rPr>
          <w:rFonts w:ascii="Georgia" w:hAnsi="Georgia"/>
        </w:rPr>
        <w:br/>
      </w:r>
      <w:r w:rsidR="006C6CF7" w:rsidRPr="00EE17E1">
        <w:rPr>
          <w:rFonts w:ascii="Georgia" w:hAnsi="Georgia"/>
        </w:rPr>
        <w:t>Understanding the Culture of Family Support Wales.</w:t>
      </w:r>
      <w:r w:rsidR="006C6CF7" w:rsidRPr="00EE17E1">
        <w:rPr>
          <w:rFonts w:ascii="Georgia" w:hAnsi="Georgia"/>
        </w:rPr>
        <w:br/>
        <w:t xml:space="preserve">FSW’s culture is defined by providing a personalised care, that is inclusive, compassionate, empowering and provide a high quality of care to children under the age of 18, with additional needs, disabilities and challenging behaviour. This report </w:t>
      </w:r>
      <w:r w:rsidR="001C46F9" w:rsidRPr="00EE17E1">
        <w:rPr>
          <w:rFonts w:ascii="Georgia" w:hAnsi="Georgia"/>
        </w:rPr>
        <w:t>investigates</w:t>
      </w:r>
      <w:r w:rsidR="006C6CF7" w:rsidRPr="00EE17E1">
        <w:rPr>
          <w:rFonts w:ascii="Georgia" w:hAnsi="Georgia"/>
        </w:rPr>
        <w:t xml:space="preserve"> the expectations of successful teamwork, emotional resilience, ethical practices and clear effective communication. Using Schein’s Model, </w:t>
      </w:r>
      <w:r w:rsidR="00EE17E1" w:rsidRPr="00EE17E1">
        <w:rPr>
          <w:rFonts w:ascii="Georgia" w:hAnsi="Georgia"/>
        </w:rPr>
        <w:t>it</w:t>
      </w:r>
      <w:r w:rsidR="006C6CF7" w:rsidRPr="00EE17E1">
        <w:rPr>
          <w:rFonts w:ascii="Georgia" w:hAnsi="Georgia"/>
        </w:rPr>
        <w:t xml:space="preserve"> helps analyse FSW’s culture. </w:t>
      </w:r>
      <w:r w:rsidR="006C6CF7" w:rsidRPr="00EE17E1">
        <w:rPr>
          <w:rFonts w:ascii="Arial" w:hAnsi="Arial" w:cs="Arial"/>
          <w:i/>
          <w:iCs/>
          <w:sz w:val="32"/>
          <w:szCs w:val="32"/>
        </w:rPr>
        <w:br/>
      </w:r>
      <w:r w:rsidR="006C6CF7" w:rsidRPr="001C46F9">
        <w:rPr>
          <w:rFonts w:ascii="Arial" w:hAnsi="Arial" w:cs="Arial"/>
          <w:i/>
          <w:iCs/>
          <w:sz w:val="28"/>
          <w:szCs w:val="28"/>
        </w:rPr>
        <w:t>A critical assessment examines what the culture is, why it exists, how it influences behaviour and what the implications are for organisational performance. Culture refers to the shared values, behaviours, and assumptions that shape “how things are done” (Schein, 2010).</w:t>
      </w:r>
      <w:r w:rsidR="006C6CF7">
        <w:rPr>
          <w:rFonts w:ascii="Arial" w:hAnsi="Arial" w:cs="Arial"/>
          <w:i/>
          <w:iCs/>
        </w:rPr>
        <w:br/>
      </w:r>
      <w:r w:rsidR="006C6CF7" w:rsidRPr="001C46F9">
        <w:rPr>
          <w:rFonts w:ascii="Georgia" w:hAnsi="Georgia"/>
          <w:color w:val="45B0E1" w:themeColor="accent1" w:themeTint="99"/>
        </w:rPr>
        <w:t xml:space="preserve">Artefacts (Structures, Visible behaviours and processes) </w:t>
      </w:r>
      <w:r w:rsidR="006C6CF7" w:rsidRPr="001C46F9">
        <w:rPr>
          <w:rFonts w:ascii="Georgia" w:hAnsi="Georgia"/>
        </w:rPr>
        <w:t xml:space="preserve">– Within FSW, staff work closely with each child and their families/guardians at home, education/health settings and within the community. Each child has </w:t>
      </w:r>
      <w:proofErr w:type="gramStart"/>
      <w:r w:rsidR="006C6CF7" w:rsidRPr="001C46F9">
        <w:rPr>
          <w:rFonts w:ascii="Georgia" w:hAnsi="Georgia"/>
        </w:rPr>
        <w:t>different needs</w:t>
      </w:r>
      <w:proofErr w:type="gramEnd"/>
      <w:r w:rsidR="006C6CF7" w:rsidRPr="001C46F9">
        <w:rPr>
          <w:rFonts w:ascii="Georgia" w:hAnsi="Georgia"/>
        </w:rPr>
        <w:t xml:space="preserve"> along with different severities and each care plan is specifically designed to achieve the best </w:t>
      </w:r>
      <w:r w:rsidR="006C6CF7" w:rsidRPr="001C46F9">
        <w:rPr>
          <w:rFonts w:ascii="Georgia" w:hAnsi="Georgia"/>
        </w:rPr>
        <w:lastRenderedPageBreak/>
        <w:t xml:space="preserve">quality of life for the child. Following safeguarding and safe working practices within the sessions, risk assessments are created and put in place to best suit the child and to aid in the safety of all staff members. Team meetings, training and paperwork such as incident reports and daily support </w:t>
      </w:r>
      <w:r w:rsidR="00EE17E1" w:rsidRPr="001C46F9">
        <w:rPr>
          <w:rFonts w:ascii="Georgia" w:hAnsi="Georgia"/>
        </w:rPr>
        <w:t>feedback</w:t>
      </w:r>
      <w:r w:rsidR="006C6CF7" w:rsidRPr="001C46F9">
        <w:rPr>
          <w:rFonts w:ascii="Georgia" w:hAnsi="Georgia"/>
        </w:rPr>
        <w:t>, are mandatory which is explained within our Contracts.</w:t>
      </w:r>
      <w:r w:rsidR="003E4A40" w:rsidRPr="001C46F9">
        <w:rPr>
          <w:rFonts w:ascii="Georgia" w:hAnsi="Georgia"/>
        </w:rPr>
        <w:t xml:space="preserve"> Staff are expected to act Professional, Calm, and display and encouraging Positive Behaviour.</w:t>
      </w:r>
      <w:r w:rsidR="003E4A40" w:rsidRPr="001C46F9">
        <w:rPr>
          <w:rFonts w:ascii="Georgia" w:hAnsi="Georgia"/>
        </w:rPr>
        <w:br/>
      </w:r>
      <w:r w:rsidR="003E4A40" w:rsidRPr="001C46F9">
        <w:rPr>
          <w:rFonts w:ascii="Georgia" w:hAnsi="Georgia"/>
          <w:color w:val="45B0E1" w:themeColor="accent1" w:themeTint="99"/>
        </w:rPr>
        <w:t xml:space="preserve">Espoused Values (Stated Values and Strategies)- </w:t>
      </w:r>
      <w:r w:rsidR="003E4A40" w:rsidRPr="001C46F9">
        <w:rPr>
          <w:rFonts w:ascii="Georgia" w:hAnsi="Georgia"/>
        </w:rPr>
        <w:t xml:space="preserve">The organisation holds itself to high values of empathy, patience, consistency and reliability. The policies in place draw on a vital importance to deliver dignity, safety and personalised support. The organisation emphasises child-centred practices. </w:t>
      </w:r>
      <w:r w:rsidR="00E92CF0" w:rsidRPr="001C46F9">
        <w:rPr>
          <w:rFonts w:ascii="Georgia" w:hAnsi="Georgia"/>
        </w:rPr>
        <w:br/>
      </w:r>
      <w:r w:rsidR="00E92CF0" w:rsidRPr="001C46F9">
        <w:rPr>
          <w:rFonts w:ascii="Georgia" w:hAnsi="Georgia"/>
          <w:color w:val="45B0E1" w:themeColor="accent1" w:themeTint="99"/>
        </w:rPr>
        <w:t xml:space="preserve">Basic Assumptions (Deep, Taken-for-granted beliefs) – </w:t>
      </w:r>
      <w:r w:rsidR="00E92CF0" w:rsidRPr="001C46F9">
        <w:rPr>
          <w:rFonts w:ascii="Georgia" w:hAnsi="Georgia"/>
        </w:rPr>
        <w:t xml:space="preserve">FSW believes in giving each child Respect and Dignity throughout our service. Though there are professional strict boundaries in place to ensure the safety of each child, we also promote independence and personal choice in our sessions. Challenging behaviour is a communication of un-met needs from an individual, not deliberate disobedience, and staff members are expected to deliver understanding and patience when supporting these complex needs, Staff are held to a high standard and must model positive behaviour. </w:t>
      </w:r>
      <w:r w:rsidR="00E92CF0" w:rsidRPr="001C46F9">
        <w:rPr>
          <w:rFonts w:ascii="Georgia" w:hAnsi="Georgia"/>
        </w:rPr>
        <w:br/>
        <w:t xml:space="preserve">Although espoused values are strong, tensions are likely to arise due to the pressures of the job, an excessive workload, personal lives, staff shortages, causing disruption to their delivery of care and its quality. Aligning espoused values and personal experience is critical to continuing high performance in the Organisation. </w:t>
      </w:r>
      <w:r w:rsidR="00E92CF0" w:rsidRPr="001C46F9">
        <w:rPr>
          <w:rFonts w:ascii="Georgia" w:hAnsi="Georgia"/>
        </w:rPr>
        <w:br/>
      </w:r>
      <w:r w:rsidR="00E92CF0" w:rsidRPr="001C46F9">
        <w:rPr>
          <w:rFonts w:ascii="Georgia" w:hAnsi="Georgia"/>
        </w:rPr>
        <w:br/>
      </w:r>
      <w:r w:rsidR="00B46A83" w:rsidRPr="001C46F9">
        <w:rPr>
          <w:rFonts w:ascii="Georgia" w:hAnsi="Georgia"/>
        </w:rPr>
        <w:br/>
      </w:r>
      <w:r w:rsidR="00E92CF0" w:rsidRPr="001C46F9">
        <w:rPr>
          <w:rFonts w:ascii="Georgia" w:hAnsi="Georgia"/>
        </w:rPr>
        <w:t>Handy’s Organisational Culture Typologies</w:t>
      </w:r>
      <w:r w:rsidR="00170B72" w:rsidRPr="001C46F9">
        <w:rPr>
          <w:rFonts w:ascii="Georgia" w:hAnsi="Georgia"/>
        </w:rPr>
        <w:t xml:space="preserve"> </w:t>
      </w:r>
      <w:r w:rsidR="00170B72" w:rsidRPr="001C46F9">
        <w:rPr>
          <w:rFonts w:ascii="Georgia" w:hAnsi="Georgia"/>
        </w:rPr>
        <w:br/>
        <w:t xml:space="preserve">Handy identifies four types being Power, Role, Task and Person. FSW’s organisation displays characteristics of both a role culture and task culture. The way in which FSW embodies role culture is there is a heavy focus on policies, safeguarding practices and compliance. This is a vital part of the job and staff must understand the importance of this along with the clear responsibilities and expectations asked of them. </w:t>
      </w:r>
      <w:r w:rsidR="00561E1E" w:rsidRPr="001C46F9">
        <w:rPr>
          <w:rFonts w:ascii="Georgia" w:hAnsi="Georgia"/>
        </w:rPr>
        <w:t xml:space="preserve">Task Culture is through the way in which we adapt to each child’s needs as a team and collectively work from the same methods. Support workers </w:t>
      </w:r>
      <w:r w:rsidR="001C46F9" w:rsidRPr="001C46F9">
        <w:rPr>
          <w:rFonts w:ascii="Georgia" w:hAnsi="Georgia"/>
        </w:rPr>
        <w:t>can</w:t>
      </w:r>
      <w:r w:rsidR="00561E1E" w:rsidRPr="001C46F9">
        <w:rPr>
          <w:rFonts w:ascii="Georgia" w:hAnsi="Georgia"/>
        </w:rPr>
        <w:t xml:space="preserve"> act in a resilient, flexible manner through adapting plans and tasks to the child’s best ability and well-being. We encourage the importance of a child’s independence, making their own decisions and managing daily life tasks </w:t>
      </w:r>
      <w:r w:rsidR="001C46F9" w:rsidRPr="001C46F9">
        <w:rPr>
          <w:rFonts w:ascii="Georgia" w:hAnsi="Georgia"/>
        </w:rPr>
        <w:t>to</w:t>
      </w:r>
      <w:r w:rsidR="00561E1E" w:rsidRPr="001C46F9">
        <w:rPr>
          <w:rFonts w:ascii="Georgia" w:hAnsi="Georgia"/>
        </w:rPr>
        <w:t xml:space="preserve"> prepare them for later life situations. </w:t>
      </w:r>
      <w:r w:rsidR="00125184" w:rsidRPr="001C46F9">
        <w:rPr>
          <w:rFonts w:ascii="Georgia" w:hAnsi="Georgia"/>
        </w:rPr>
        <w:br/>
      </w:r>
      <w:r w:rsidR="00125184" w:rsidRPr="00125184">
        <w:rPr>
          <w:rFonts w:ascii="Georgia" w:hAnsi="Georgia"/>
          <w:i/>
          <w:iCs/>
          <w:color w:val="45B0E1" w:themeColor="accent1" w:themeTint="99"/>
        </w:rPr>
        <w:t>Kravitz cited 2021 McKinsey &amp; Company data showing that when businesses align their cultures with their strategic goals, they are 2.5 times more likely to outperform competitors.</w:t>
      </w:r>
      <w:r w:rsidR="00125184" w:rsidRPr="00125184">
        <w:rPr>
          <w:rFonts w:ascii="Georgia" w:hAnsi="Georgia"/>
        </w:rPr>
        <w:br/>
      </w:r>
      <w:r w:rsidR="00561E1E">
        <w:rPr>
          <w:rFonts w:ascii="Georgia" w:hAnsi="Georgia"/>
        </w:rPr>
        <w:br/>
      </w:r>
      <w:r w:rsidR="00561E1E" w:rsidRPr="001C46F9">
        <w:rPr>
          <w:rFonts w:ascii="Georgia" w:hAnsi="Georgia"/>
        </w:rPr>
        <w:t xml:space="preserve">Role culture focuses on safety, compliance and procedures but faces risks of creating rigidity within the organisation. Task culture encourages freedom, creativity and fast responses but could lack structure and consistency. I feel that to have a </w:t>
      </w:r>
      <w:r w:rsidR="00EE17E1" w:rsidRPr="001C46F9">
        <w:rPr>
          <w:rFonts w:ascii="Georgia" w:hAnsi="Georgia"/>
        </w:rPr>
        <w:t>high-performance</w:t>
      </w:r>
      <w:r w:rsidR="00561E1E" w:rsidRPr="001C46F9">
        <w:rPr>
          <w:rFonts w:ascii="Georgia" w:hAnsi="Georgia"/>
        </w:rPr>
        <w:t xml:space="preserve"> culture at FSW, a balance of both is needed to succeed fully. Using a combination of both results is best suited to the company’s interests as is delivers a </w:t>
      </w:r>
      <w:r w:rsidR="00561E1E" w:rsidRPr="001C46F9">
        <w:rPr>
          <w:rFonts w:ascii="Georgia" w:hAnsi="Georgia"/>
        </w:rPr>
        <w:lastRenderedPageBreak/>
        <w:t>personalised support that is driven by independence, while following safeguarding procedures and maintaining legal practices.</w:t>
      </w:r>
      <w:r w:rsidR="00125184" w:rsidRPr="001C46F9">
        <w:rPr>
          <w:rFonts w:ascii="Georgia" w:hAnsi="Georgia"/>
        </w:rPr>
        <w:br/>
      </w:r>
      <w:r w:rsidR="00125184" w:rsidRPr="001C46F9">
        <w:rPr>
          <w:rFonts w:ascii="Georgia" w:hAnsi="Georgia"/>
        </w:rPr>
        <w:br/>
      </w:r>
      <w:r w:rsidR="001E5055" w:rsidRPr="001C46F9">
        <w:rPr>
          <w:rFonts w:ascii="Georgia" w:hAnsi="Georgia"/>
        </w:rPr>
        <w:t xml:space="preserve">Hofstede’s Cultural Dimensions in a Care Context </w:t>
      </w:r>
      <w:r w:rsidR="001E5055" w:rsidRPr="001C46F9">
        <w:rPr>
          <w:rFonts w:ascii="Georgia" w:hAnsi="Georgia"/>
        </w:rPr>
        <w:br/>
        <w:t xml:space="preserve">The original purpose was designed for national cultures, Hofstede’s dimensions can highlight workplace tendencies and behaviours, making it a useful tool in a healthcare setting. At FSW, Power Distance is low as staff are encouraged to give their opinions, feedback, challenge decisions if necessary and raise concerns. Uncertainty Avoidance is High as due to the nature of the job there are safeguarding risks and staff perform better when given clear guidance and protocols, even if they appear strict at times. </w:t>
      </w:r>
      <w:r w:rsidR="001E5055" w:rsidRPr="001C46F9">
        <w:rPr>
          <w:rFonts w:ascii="Georgia" w:hAnsi="Georgia"/>
        </w:rPr>
        <w:br/>
        <w:t xml:space="preserve">Individuality and Collectivism – Our organisation is built to work both independently and as a team. We have </w:t>
      </w:r>
      <w:proofErr w:type="gramStart"/>
      <w:r w:rsidR="001E5055" w:rsidRPr="001C46F9">
        <w:rPr>
          <w:rFonts w:ascii="Georgia" w:hAnsi="Georgia"/>
        </w:rPr>
        <w:t>a strong foundation</w:t>
      </w:r>
      <w:proofErr w:type="gramEnd"/>
      <w:r w:rsidR="001E5055" w:rsidRPr="001C46F9">
        <w:rPr>
          <w:rFonts w:ascii="Georgia" w:hAnsi="Georgia"/>
        </w:rPr>
        <w:t xml:space="preserve"> of respect towards each other which allows us to work together successfully and communicate collaboratively. </w:t>
      </w:r>
      <w:r w:rsidR="001E5055" w:rsidRPr="001C46F9">
        <w:rPr>
          <w:rFonts w:ascii="Georgia" w:hAnsi="Georgia"/>
        </w:rPr>
        <w:br/>
        <w:t>High uncertainty avoidance explains the importance and need for supervision, training, protocols and details care and behaviour plans. Without this structured support the company could not operate due to the inconsistency, instability and inevitable resulting in poor quality care.</w:t>
      </w:r>
      <w:r w:rsidR="006961BD" w:rsidRPr="001C46F9">
        <w:rPr>
          <w:rFonts w:ascii="Georgia" w:hAnsi="Georgia"/>
        </w:rPr>
        <w:br/>
      </w:r>
      <w:r w:rsidR="006961BD" w:rsidRPr="001C46F9">
        <w:rPr>
          <w:rFonts w:ascii="Georgia" w:hAnsi="Georgia"/>
        </w:rPr>
        <w:br/>
        <w:t>Using Johnson and Scholes’ Cultural Web model, it allowed me to have a deeper understanding and insight into the following:</w:t>
      </w:r>
      <w:r w:rsidR="006961BD" w:rsidRPr="001C46F9">
        <w:rPr>
          <w:rFonts w:ascii="Georgia" w:hAnsi="Georgia"/>
        </w:rPr>
        <w:br/>
      </w:r>
      <w:r w:rsidR="006961BD" w:rsidRPr="001C46F9">
        <w:rPr>
          <w:rFonts w:ascii="Georgia" w:hAnsi="Georgia"/>
        </w:rPr>
        <w:br/>
      </w:r>
      <w:r w:rsidR="006961BD" w:rsidRPr="001C46F9">
        <w:rPr>
          <w:rFonts w:ascii="Georgia" w:hAnsi="Georgia"/>
          <w:color w:val="EE0000"/>
        </w:rPr>
        <w:t>Routines:</w:t>
      </w:r>
      <w:r w:rsidR="006961BD" w:rsidRPr="001C46F9">
        <w:rPr>
          <w:rFonts w:ascii="Georgia" w:hAnsi="Georgia"/>
        </w:rPr>
        <w:t xml:space="preserve"> Daily support feedbacks and logs, Incident forms and Risk Assessments, Supervisions, regular training courses and Team meetings.</w:t>
      </w:r>
      <w:r w:rsidR="006961BD" w:rsidRPr="001C46F9">
        <w:rPr>
          <w:rFonts w:ascii="Georgia" w:hAnsi="Georgia"/>
        </w:rPr>
        <w:br/>
      </w:r>
      <w:r w:rsidR="006961BD" w:rsidRPr="001C46F9">
        <w:rPr>
          <w:rFonts w:ascii="Georgia" w:hAnsi="Georgia"/>
          <w:color w:val="EE0000"/>
        </w:rPr>
        <w:t>Experiences:</w:t>
      </w:r>
      <w:r w:rsidR="006961BD" w:rsidRPr="001C46F9">
        <w:rPr>
          <w:rFonts w:ascii="Georgia" w:hAnsi="Georgia"/>
        </w:rPr>
        <w:t xml:space="preserve"> Discussing personal past experiences for de-escalation techniques, and stories of reinforcing good practice and resilience. </w:t>
      </w:r>
      <w:r w:rsidR="006961BD" w:rsidRPr="001C46F9">
        <w:rPr>
          <w:rFonts w:ascii="Georgia" w:hAnsi="Georgia"/>
        </w:rPr>
        <w:br/>
      </w:r>
      <w:r w:rsidR="006961BD" w:rsidRPr="001C46F9">
        <w:rPr>
          <w:rFonts w:ascii="Georgia" w:hAnsi="Georgia"/>
          <w:color w:val="EE0000"/>
        </w:rPr>
        <w:t xml:space="preserve">Symbols: </w:t>
      </w:r>
      <w:r w:rsidR="006961BD" w:rsidRPr="001C46F9">
        <w:rPr>
          <w:rFonts w:ascii="Georgia" w:hAnsi="Georgia"/>
        </w:rPr>
        <w:t>Professional Documentation Systems. Uniform and/or Smart appropriate clothing.</w:t>
      </w:r>
      <w:r w:rsidR="006961BD" w:rsidRPr="001C46F9">
        <w:rPr>
          <w:rFonts w:ascii="Georgia" w:hAnsi="Georgia"/>
        </w:rPr>
        <w:br/>
      </w:r>
      <w:r w:rsidR="006961BD" w:rsidRPr="001C46F9">
        <w:rPr>
          <w:rFonts w:ascii="Georgia" w:hAnsi="Georgia"/>
          <w:color w:val="EE0000"/>
        </w:rPr>
        <w:t>Structure:</w:t>
      </w:r>
      <w:r w:rsidR="006961BD" w:rsidRPr="001C46F9">
        <w:rPr>
          <w:rFonts w:ascii="Georgia" w:hAnsi="Georgia"/>
        </w:rPr>
        <w:t xml:space="preserve"> Limited Hierarchy; Small-medium staff teams; Line managers and Senior Support Workers.</w:t>
      </w:r>
      <w:r w:rsidR="006961BD" w:rsidRPr="001C46F9">
        <w:rPr>
          <w:rFonts w:ascii="Georgia" w:hAnsi="Georgia"/>
        </w:rPr>
        <w:br/>
      </w:r>
      <w:r w:rsidR="006961BD" w:rsidRPr="001C46F9">
        <w:rPr>
          <w:rFonts w:ascii="Georgia" w:hAnsi="Georgia"/>
          <w:color w:val="EE0000"/>
        </w:rPr>
        <w:t>Control Systems:</w:t>
      </w:r>
      <w:r w:rsidR="006961BD" w:rsidRPr="001C46F9">
        <w:rPr>
          <w:rFonts w:ascii="Georgia" w:hAnsi="Georgia"/>
        </w:rPr>
        <w:t xml:space="preserve"> Strict adherence to Policies and Procedures such as Safeguarding protocols, Audits and Re</w:t>
      </w:r>
      <w:r w:rsidR="00A04474" w:rsidRPr="001C46F9">
        <w:rPr>
          <w:rFonts w:ascii="Georgia" w:hAnsi="Georgia"/>
        </w:rPr>
        <w:t>view processes.</w:t>
      </w:r>
      <w:r w:rsidR="00A04474" w:rsidRPr="001C46F9">
        <w:rPr>
          <w:rFonts w:ascii="Georgia" w:hAnsi="Georgia"/>
        </w:rPr>
        <w:br/>
      </w:r>
      <w:r w:rsidR="00A04474" w:rsidRPr="001C46F9">
        <w:rPr>
          <w:rFonts w:ascii="Georgia" w:hAnsi="Georgia"/>
          <w:color w:val="EE0000"/>
        </w:rPr>
        <w:t>Power Structures:</w:t>
      </w:r>
      <w:r w:rsidR="00A04474" w:rsidRPr="001C46F9">
        <w:rPr>
          <w:rFonts w:ascii="Georgia" w:hAnsi="Georgia"/>
        </w:rPr>
        <w:t xml:space="preserve"> Managers have the power to make and change decisions around the policies of the company and care plans for the Children. Staff hold autonomy in real-life behavioural responses and are trained to be capable of acting accordingly. </w:t>
      </w:r>
      <w:r w:rsidR="00A04474" w:rsidRPr="001C46F9">
        <w:rPr>
          <w:rFonts w:ascii="Georgia" w:hAnsi="Georgia"/>
        </w:rPr>
        <w:br/>
      </w:r>
      <w:r w:rsidR="00A04474" w:rsidRPr="001C46F9">
        <w:rPr>
          <w:rFonts w:ascii="Georgia" w:hAnsi="Georgia"/>
        </w:rPr>
        <w:br/>
        <w:t>FSW shapes culture in important ways due to following and implementing:</w:t>
      </w:r>
      <w:r w:rsidR="00A04474" w:rsidRPr="001C46F9">
        <w:rPr>
          <w:rFonts w:ascii="Georgia" w:hAnsi="Georgia"/>
        </w:rPr>
        <w:br/>
        <w:t>- Regulatory frameworks: CIW, Safeguarding legislation, Health and Safety.</w:t>
      </w:r>
      <w:r w:rsidR="00A04474" w:rsidRPr="001C46F9">
        <w:rPr>
          <w:rFonts w:ascii="Georgia" w:hAnsi="Georgia"/>
        </w:rPr>
        <w:br/>
        <w:t>- Increasing behavioural complexities among the service users we deliver care to. Difference scales of severity with some escalating.</w:t>
      </w:r>
      <w:r w:rsidR="00A04474" w:rsidRPr="001C46F9">
        <w:rPr>
          <w:rFonts w:ascii="Georgia" w:hAnsi="Georgia"/>
        </w:rPr>
        <w:br/>
        <w:t>- Workforce shortages in the Health and Social care sector.</w:t>
      </w:r>
      <w:r w:rsidR="00A04474" w:rsidRPr="001C46F9">
        <w:rPr>
          <w:rFonts w:ascii="Georgia" w:hAnsi="Georgia"/>
        </w:rPr>
        <w:br/>
        <w:t>- The emotional intensity and impact that supporting children with trauma, complex needs and disabilities can have on staff’s mental health and well-being.</w:t>
      </w:r>
      <w:r w:rsidR="00A04474" w:rsidRPr="001C46F9">
        <w:rPr>
          <w:rFonts w:ascii="Georgia" w:hAnsi="Georgia"/>
        </w:rPr>
        <w:br/>
      </w:r>
      <w:r w:rsidR="00A04474" w:rsidRPr="001C46F9">
        <w:rPr>
          <w:rFonts w:ascii="Georgia" w:hAnsi="Georgia"/>
        </w:rPr>
        <w:lastRenderedPageBreak/>
        <w:br/>
      </w:r>
      <w:r w:rsidR="00605566" w:rsidRPr="001C46F9">
        <w:rPr>
          <w:rFonts w:ascii="Georgia" w:hAnsi="Georgia"/>
        </w:rPr>
        <w:t xml:space="preserve">FSW explains that focusing on the training and support given can help prepare you to deliver the care and act in a resilient professional manner and why as an organisation we value teamwork and inclusion. A </w:t>
      </w:r>
      <w:r w:rsidR="00EE17E1" w:rsidRPr="001C46F9">
        <w:rPr>
          <w:rFonts w:ascii="Georgia" w:hAnsi="Georgia"/>
        </w:rPr>
        <w:t>high-performance</w:t>
      </w:r>
      <w:r w:rsidR="00605566" w:rsidRPr="001C46F9">
        <w:rPr>
          <w:rFonts w:ascii="Georgia" w:hAnsi="Georgia"/>
        </w:rPr>
        <w:t xml:space="preserve"> culture is essential to the safe practice, health and well-being of the child, as well as holding a competitive advantage. </w:t>
      </w:r>
      <w:r w:rsidR="00605566" w:rsidRPr="001C46F9">
        <w:rPr>
          <w:rFonts w:ascii="Georgia" w:hAnsi="Georgia"/>
        </w:rPr>
        <w:br/>
      </w:r>
      <w:r w:rsidR="00605566" w:rsidRPr="001C46F9">
        <w:rPr>
          <w:rFonts w:ascii="Georgia" w:hAnsi="Georgia"/>
        </w:rPr>
        <w:br/>
        <w:t>Synthesising Culture and Context</w:t>
      </w:r>
      <w:r w:rsidR="00605566" w:rsidRPr="001C46F9">
        <w:rPr>
          <w:rFonts w:ascii="Georgia" w:hAnsi="Georgia"/>
        </w:rPr>
        <w:br/>
        <w:t>Culture and Context reinforce each other. The regulatory environment in healthcare shapes the need for a structured role culture. The nature of community-cased work requires autonomy and adaptability (task culture). Emotional labour requires a supportive, empathetic cultural environment. Family Support Wales’s culture is deep-rooted and strong in their values, but requires on-going reinforcement through support via management, supervisions and clear, direct communication. Achieving high performance depends on the alignment between cultural expectations and contextual realities.</w:t>
      </w:r>
      <w:r w:rsidR="00605566">
        <w:rPr>
          <w:rFonts w:ascii="Georgia" w:hAnsi="Georgia"/>
        </w:rPr>
        <w:br/>
      </w:r>
      <w:r w:rsidR="00605566">
        <w:rPr>
          <w:rFonts w:ascii="Georgia" w:hAnsi="Georgia"/>
        </w:rPr>
        <w:br/>
      </w:r>
      <w:r w:rsidR="00605566" w:rsidRPr="00605566">
        <w:rPr>
          <w:rStyle w:val="Heading2Char"/>
          <w:rFonts w:ascii="Georgia" w:hAnsi="Georgia"/>
          <w:i/>
          <w:iCs/>
          <w:color w:val="8DD873" w:themeColor="accent6" w:themeTint="99"/>
          <w:u w:val="single"/>
        </w:rPr>
        <w:t>2. Evaluation of FSW within its Broader Environment</w:t>
      </w:r>
      <w:r w:rsidR="00B46A83">
        <w:rPr>
          <w:rStyle w:val="Heading2Char"/>
          <w:rFonts w:ascii="Georgia" w:hAnsi="Georgia"/>
          <w:i/>
          <w:iCs/>
          <w:color w:val="8DD873" w:themeColor="accent6" w:themeTint="99"/>
          <w:u w:val="single"/>
        </w:rPr>
        <w:br/>
      </w:r>
      <w:r w:rsidR="00B46A83">
        <w:rPr>
          <w:rStyle w:val="Heading2Char"/>
          <w:rFonts w:ascii="Georgia" w:hAnsi="Georgia"/>
          <w:i/>
          <w:iCs/>
          <w:color w:val="8DD873" w:themeColor="accent6" w:themeTint="99"/>
          <w:u w:val="single"/>
        </w:rPr>
        <w:br/>
      </w:r>
      <w:r w:rsidR="00B46A83">
        <w:rPr>
          <w:rStyle w:val="Heading2Char"/>
          <w:rFonts w:ascii="Georgia" w:hAnsi="Georgia"/>
          <w:color w:val="auto"/>
          <w:sz w:val="24"/>
          <w:szCs w:val="24"/>
        </w:rPr>
        <w:t xml:space="preserve">Healthcare organisations must understand both the internal and external influences </w:t>
      </w:r>
      <w:r w:rsidR="001C46F9">
        <w:rPr>
          <w:rStyle w:val="Heading2Char"/>
          <w:rFonts w:ascii="Georgia" w:hAnsi="Georgia"/>
          <w:color w:val="auto"/>
          <w:sz w:val="24"/>
          <w:szCs w:val="24"/>
        </w:rPr>
        <w:t>to</w:t>
      </w:r>
      <w:r w:rsidR="00B46A83">
        <w:rPr>
          <w:rStyle w:val="Heading2Char"/>
          <w:rFonts w:ascii="Georgia" w:hAnsi="Georgia"/>
          <w:color w:val="auto"/>
          <w:sz w:val="24"/>
          <w:szCs w:val="24"/>
        </w:rPr>
        <w:t xml:space="preserve"> maintain performance. During this section of the report, I will use PESTEL, SWOT and the McKinsey 7s Framework in order to evaluate Family Support Wales’s broader environment. </w:t>
      </w:r>
      <w:r w:rsidR="00B46A83">
        <w:rPr>
          <w:rStyle w:val="Heading2Char"/>
          <w:rFonts w:ascii="Georgia" w:hAnsi="Georgia"/>
          <w:color w:val="auto"/>
          <w:sz w:val="24"/>
          <w:szCs w:val="24"/>
        </w:rPr>
        <w:br/>
      </w:r>
      <w:r w:rsidR="00B46A83">
        <w:rPr>
          <w:rStyle w:val="Heading2Char"/>
          <w:rFonts w:ascii="Georgia" w:hAnsi="Georgia"/>
          <w:color w:val="auto"/>
          <w:sz w:val="24"/>
          <w:szCs w:val="24"/>
        </w:rPr>
        <w:br/>
        <w:t>PESTEL Analysis:</w:t>
      </w:r>
      <w:r w:rsidR="00B46A83">
        <w:rPr>
          <w:rStyle w:val="Heading2Char"/>
          <w:rFonts w:ascii="Georgia" w:hAnsi="Georgia"/>
          <w:color w:val="auto"/>
          <w:sz w:val="24"/>
          <w:szCs w:val="24"/>
        </w:rPr>
        <w:br/>
      </w:r>
      <w:r w:rsidR="00B46A83" w:rsidRPr="004573B9">
        <w:rPr>
          <w:rStyle w:val="Heading2Char"/>
          <w:rFonts w:ascii="Georgia" w:hAnsi="Georgia"/>
          <w:color w:val="EE0000"/>
          <w:sz w:val="24"/>
          <w:szCs w:val="24"/>
        </w:rPr>
        <w:t>Political-</w:t>
      </w:r>
      <w:r w:rsidR="00B46A83">
        <w:rPr>
          <w:rStyle w:val="Heading2Char"/>
          <w:rFonts w:ascii="Georgia" w:hAnsi="Georgia"/>
          <w:color w:val="auto"/>
          <w:sz w:val="24"/>
          <w:szCs w:val="24"/>
        </w:rPr>
        <w:t xml:space="preserve"> Political shifts have an impact on the funding for Children’s Services. Children’s safeguarding legislation dictates operations.</w:t>
      </w:r>
      <w:r w:rsidR="00B46A83">
        <w:rPr>
          <w:rStyle w:val="Heading2Char"/>
          <w:rFonts w:ascii="Georgia" w:hAnsi="Georgia"/>
          <w:color w:val="auto"/>
          <w:sz w:val="24"/>
          <w:szCs w:val="24"/>
        </w:rPr>
        <w:br/>
      </w:r>
      <w:r w:rsidR="00B46A83" w:rsidRPr="004573B9">
        <w:rPr>
          <w:rStyle w:val="Heading2Char"/>
          <w:rFonts w:ascii="Georgia" w:hAnsi="Georgia"/>
          <w:color w:val="EE0000"/>
          <w:sz w:val="24"/>
          <w:szCs w:val="24"/>
        </w:rPr>
        <w:t>Economic</w:t>
      </w:r>
      <w:r w:rsidR="00B46A83">
        <w:rPr>
          <w:rStyle w:val="Heading2Char"/>
          <w:rFonts w:ascii="Georgia" w:hAnsi="Georgia"/>
          <w:color w:val="auto"/>
          <w:sz w:val="24"/>
          <w:szCs w:val="24"/>
        </w:rPr>
        <w:t xml:space="preserve">- </w:t>
      </w:r>
      <w:r w:rsidR="004573B9">
        <w:rPr>
          <w:rStyle w:val="Heading2Char"/>
          <w:rFonts w:ascii="Georgia" w:hAnsi="Georgia"/>
          <w:color w:val="auto"/>
          <w:sz w:val="24"/>
          <w:szCs w:val="24"/>
        </w:rPr>
        <w:t xml:space="preserve">Cost-of-living pressures increase staff turnover. Low pay rates across Health and Social Care sectors, lack of funding for wages which </w:t>
      </w:r>
      <w:r w:rsidR="001C46F9">
        <w:rPr>
          <w:rStyle w:val="Heading2Char"/>
          <w:rFonts w:ascii="Georgia" w:hAnsi="Georgia"/>
          <w:color w:val="auto"/>
          <w:sz w:val="24"/>
          <w:szCs w:val="24"/>
        </w:rPr>
        <w:t>influences</w:t>
      </w:r>
      <w:r w:rsidR="004573B9">
        <w:rPr>
          <w:rStyle w:val="Heading2Char"/>
          <w:rFonts w:ascii="Georgia" w:hAnsi="Georgia"/>
          <w:color w:val="auto"/>
          <w:sz w:val="24"/>
          <w:szCs w:val="24"/>
        </w:rPr>
        <w:t xml:space="preserve"> recruitment. </w:t>
      </w:r>
      <w:r w:rsidR="00B46A83">
        <w:rPr>
          <w:rStyle w:val="Heading2Char"/>
          <w:rFonts w:ascii="Georgia" w:hAnsi="Georgia"/>
          <w:color w:val="auto"/>
          <w:sz w:val="24"/>
          <w:szCs w:val="24"/>
        </w:rPr>
        <w:br/>
      </w:r>
      <w:r w:rsidR="00B46A83" w:rsidRPr="004573B9">
        <w:rPr>
          <w:rStyle w:val="Heading2Char"/>
          <w:rFonts w:ascii="Georgia" w:hAnsi="Georgia"/>
          <w:color w:val="EE0000"/>
          <w:sz w:val="24"/>
          <w:szCs w:val="24"/>
        </w:rPr>
        <w:t>Social-</w:t>
      </w:r>
      <w:r w:rsidR="00B46A83">
        <w:rPr>
          <w:rStyle w:val="Heading2Char"/>
          <w:rFonts w:ascii="Georgia" w:hAnsi="Georgia"/>
          <w:color w:val="auto"/>
          <w:sz w:val="24"/>
          <w:szCs w:val="24"/>
        </w:rPr>
        <w:t xml:space="preserve"> </w:t>
      </w:r>
      <w:r w:rsidR="004573B9">
        <w:rPr>
          <w:rStyle w:val="Heading2Char"/>
          <w:rFonts w:ascii="Georgia" w:hAnsi="Georgia"/>
          <w:color w:val="auto"/>
          <w:sz w:val="24"/>
          <w:szCs w:val="24"/>
        </w:rPr>
        <w:t>Creating awareness and acceptance of mental health and neurodiversity increases demand.</w:t>
      </w:r>
      <w:r w:rsidR="004573B9">
        <w:rPr>
          <w:rStyle w:val="Heading2Char"/>
          <w:rFonts w:ascii="Georgia" w:hAnsi="Georgia"/>
          <w:color w:val="auto"/>
          <w:sz w:val="24"/>
          <w:szCs w:val="24"/>
        </w:rPr>
        <w:t xml:space="preserve"> </w:t>
      </w:r>
      <w:r w:rsidR="004573B9">
        <w:rPr>
          <w:rStyle w:val="Heading2Char"/>
          <w:rFonts w:ascii="Georgia" w:hAnsi="Georgia"/>
          <w:color w:val="auto"/>
          <w:sz w:val="24"/>
          <w:szCs w:val="24"/>
        </w:rPr>
        <w:t xml:space="preserve">Families hold an expectation of personalised, </w:t>
      </w:r>
      <w:r w:rsidR="00EE17E1">
        <w:rPr>
          <w:rStyle w:val="Heading2Char"/>
          <w:rFonts w:ascii="Georgia" w:hAnsi="Georgia"/>
          <w:color w:val="auto"/>
          <w:sz w:val="24"/>
          <w:szCs w:val="24"/>
        </w:rPr>
        <w:t>high-quality</w:t>
      </w:r>
      <w:r w:rsidR="004573B9">
        <w:rPr>
          <w:rStyle w:val="Heading2Char"/>
          <w:rFonts w:ascii="Georgia" w:hAnsi="Georgia"/>
          <w:color w:val="auto"/>
          <w:sz w:val="24"/>
          <w:szCs w:val="24"/>
        </w:rPr>
        <w:t xml:space="preserve"> care.</w:t>
      </w:r>
      <w:r w:rsidR="00B46A83">
        <w:rPr>
          <w:rStyle w:val="Heading2Char"/>
          <w:rFonts w:ascii="Georgia" w:hAnsi="Georgia"/>
          <w:color w:val="auto"/>
          <w:sz w:val="24"/>
          <w:szCs w:val="24"/>
        </w:rPr>
        <w:br/>
      </w:r>
      <w:r w:rsidR="00B46A83" w:rsidRPr="004573B9">
        <w:rPr>
          <w:rStyle w:val="Heading2Char"/>
          <w:rFonts w:ascii="Georgia" w:hAnsi="Georgia"/>
          <w:color w:val="EE0000"/>
          <w:sz w:val="24"/>
          <w:szCs w:val="24"/>
        </w:rPr>
        <w:t>Technological-</w:t>
      </w:r>
      <w:r w:rsidR="004573B9">
        <w:rPr>
          <w:rStyle w:val="Heading2Char"/>
          <w:rFonts w:ascii="Georgia" w:hAnsi="Georgia"/>
          <w:color w:val="EE0000"/>
          <w:sz w:val="24"/>
          <w:szCs w:val="24"/>
        </w:rPr>
        <w:t xml:space="preserve"> </w:t>
      </w:r>
      <w:r w:rsidR="004573B9" w:rsidRPr="004573B9">
        <w:rPr>
          <w:rStyle w:val="Heading2Char"/>
          <w:rFonts w:ascii="Georgia" w:hAnsi="Georgia"/>
          <w:color w:val="auto"/>
          <w:sz w:val="24"/>
          <w:szCs w:val="24"/>
        </w:rPr>
        <w:t>Digital reporting/documenting systems improve monitoring quality and processes. Assistive technologies support communication for service users.</w:t>
      </w:r>
      <w:r w:rsidR="00B46A83" w:rsidRPr="004573B9">
        <w:rPr>
          <w:rStyle w:val="Heading2Char"/>
          <w:rFonts w:ascii="Georgia" w:hAnsi="Georgia"/>
          <w:color w:val="auto"/>
          <w:sz w:val="24"/>
          <w:szCs w:val="24"/>
        </w:rPr>
        <w:br/>
      </w:r>
      <w:r w:rsidR="00B46A83" w:rsidRPr="004573B9">
        <w:rPr>
          <w:rStyle w:val="Heading2Char"/>
          <w:rFonts w:ascii="Georgia" w:hAnsi="Georgia"/>
          <w:color w:val="EE0000"/>
          <w:sz w:val="24"/>
          <w:szCs w:val="24"/>
        </w:rPr>
        <w:t>Environmental-</w:t>
      </w:r>
      <w:r w:rsidR="004573B9">
        <w:rPr>
          <w:rStyle w:val="Heading2Char"/>
          <w:rFonts w:ascii="Georgia" w:hAnsi="Georgia"/>
          <w:color w:val="EE0000"/>
          <w:sz w:val="24"/>
          <w:szCs w:val="24"/>
        </w:rPr>
        <w:t xml:space="preserve"> </w:t>
      </w:r>
      <w:r w:rsidR="004573B9" w:rsidRPr="004573B9">
        <w:rPr>
          <w:rStyle w:val="Heading2Char"/>
          <w:rFonts w:ascii="Georgia" w:hAnsi="Georgia"/>
          <w:color w:val="auto"/>
          <w:sz w:val="24"/>
          <w:szCs w:val="24"/>
        </w:rPr>
        <w:t xml:space="preserve">Home- Based support </w:t>
      </w:r>
      <w:r w:rsidR="004573B9">
        <w:rPr>
          <w:rStyle w:val="Heading2Char"/>
          <w:rFonts w:ascii="Georgia" w:hAnsi="Georgia"/>
          <w:color w:val="auto"/>
          <w:sz w:val="24"/>
          <w:szCs w:val="24"/>
        </w:rPr>
        <w:t>along with in the community, reduces need for larger in-house facilities. Sustainability requirements influence travel planning.</w:t>
      </w:r>
      <w:r w:rsidR="00B46A83" w:rsidRPr="004573B9">
        <w:rPr>
          <w:rStyle w:val="Heading2Char"/>
          <w:rFonts w:ascii="Georgia" w:hAnsi="Georgia"/>
          <w:color w:val="auto"/>
          <w:sz w:val="24"/>
          <w:szCs w:val="24"/>
        </w:rPr>
        <w:br/>
      </w:r>
      <w:r w:rsidR="00B46A83" w:rsidRPr="004573B9">
        <w:rPr>
          <w:rStyle w:val="Heading2Char"/>
          <w:rFonts w:ascii="Georgia" w:hAnsi="Georgia"/>
          <w:color w:val="EE0000"/>
          <w:sz w:val="24"/>
          <w:szCs w:val="24"/>
        </w:rPr>
        <w:t xml:space="preserve">Legal- </w:t>
      </w:r>
      <w:r w:rsidR="004573B9" w:rsidRPr="004573B9">
        <w:rPr>
          <w:rStyle w:val="Heading2Char"/>
          <w:rFonts w:ascii="Georgia" w:hAnsi="Georgia"/>
          <w:color w:val="auto"/>
          <w:sz w:val="24"/>
          <w:szCs w:val="24"/>
        </w:rPr>
        <w:t>GDPR and Data Protection Legislation.</w:t>
      </w:r>
      <w:r w:rsidR="004573B9" w:rsidRPr="004573B9">
        <w:rPr>
          <w:rStyle w:val="Heading2Char"/>
          <w:rFonts w:ascii="Georgia" w:hAnsi="Georgia"/>
          <w:color w:val="auto"/>
          <w:sz w:val="24"/>
          <w:szCs w:val="24"/>
        </w:rPr>
        <w:br/>
        <w:t>Regulatory compliance framework (CIW)</w:t>
      </w:r>
      <w:r w:rsidR="004573B9">
        <w:rPr>
          <w:rStyle w:val="Heading2Char"/>
          <w:rFonts w:ascii="Georgia" w:hAnsi="Georgia"/>
          <w:color w:val="auto"/>
          <w:sz w:val="24"/>
          <w:szCs w:val="24"/>
        </w:rPr>
        <w:t>.</w:t>
      </w:r>
      <w:r w:rsidR="004573B9">
        <w:rPr>
          <w:rStyle w:val="Heading2Char"/>
          <w:rFonts w:ascii="Georgia" w:hAnsi="Georgia"/>
          <w:color w:val="auto"/>
          <w:sz w:val="24"/>
          <w:szCs w:val="24"/>
        </w:rPr>
        <w:br/>
        <w:t>Critically evaluating this, External constraints such as political, legal and economic factors can limit FSW’s strategic flexibility, but the social and technological trends can create and highlight opportunities for innovation and independence.</w:t>
      </w:r>
      <w:r w:rsidR="004573B9">
        <w:rPr>
          <w:rStyle w:val="Heading2Char"/>
          <w:rFonts w:ascii="Georgia" w:hAnsi="Georgia"/>
          <w:color w:val="auto"/>
          <w:sz w:val="24"/>
          <w:szCs w:val="24"/>
        </w:rPr>
        <w:br/>
      </w:r>
      <w:r w:rsidR="004573B9">
        <w:rPr>
          <w:rStyle w:val="Heading2Char"/>
          <w:rFonts w:ascii="Georgia" w:hAnsi="Georgia"/>
          <w:color w:val="auto"/>
          <w:sz w:val="24"/>
          <w:szCs w:val="24"/>
        </w:rPr>
        <w:br/>
        <w:t>SWOT analysis:</w:t>
      </w:r>
      <w:r w:rsidR="004573B9">
        <w:rPr>
          <w:rStyle w:val="Heading2Char"/>
          <w:rFonts w:ascii="Georgia" w:hAnsi="Georgia"/>
          <w:color w:val="auto"/>
          <w:sz w:val="24"/>
          <w:szCs w:val="24"/>
        </w:rPr>
        <w:br/>
      </w:r>
      <w:r w:rsidR="004573B9" w:rsidRPr="00C82304">
        <w:rPr>
          <w:rStyle w:val="Heading2Char"/>
          <w:rFonts w:ascii="Georgia" w:hAnsi="Georgia"/>
          <w:color w:val="4C94D8" w:themeColor="text2" w:themeTint="80"/>
          <w:sz w:val="24"/>
          <w:szCs w:val="24"/>
        </w:rPr>
        <w:lastRenderedPageBreak/>
        <w:t>Strengths</w:t>
      </w:r>
      <w:r w:rsidR="004573B9">
        <w:rPr>
          <w:rStyle w:val="Heading2Char"/>
          <w:rFonts w:ascii="Georgia" w:hAnsi="Georgia"/>
          <w:color w:val="auto"/>
          <w:sz w:val="24"/>
          <w:szCs w:val="24"/>
        </w:rPr>
        <w:t>- Hold strong values and child-centred ethos. Highly skilled staff with extensive training and experience in challenging behaviour and complex needs. Valued reputation among children’s services, families and within the local community.</w:t>
      </w:r>
      <w:r w:rsidR="004573B9">
        <w:rPr>
          <w:rStyle w:val="Heading2Char"/>
          <w:rFonts w:ascii="Georgia" w:hAnsi="Georgia"/>
          <w:color w:val="auto"/>
          <w:sz w:val="24"/>
          <w:szCs w:val="24"/>
        </w:rPr>
        <w:br/>
      </w:r>
      <w:r w:rsidR="00C82304" w:rsidRPr="00C82304">
        <w:rPr>
          <w:rStyle w:val="Heading2Char"/>
          <w:rFonts w:ascii="Georgia" w:hAnsi="Georgia"/>
          <w:color w:val="4C94D8" w:themeColor="text2" w:themeTint="80"/>
          <w:sz w:val="24"/>
          <w:szCs w:val="24"/>
        </w:rPr>
        <w:t>Weaknesses</w:t>
      </w:r>
      <w:r w:rsidR="004573B9">
        <w:rPr>
          <w:rStyle w:val="Heading2Char"/>
          <w:rFonts w:ascii="Georgia" w:hAnsi="Georgia"/>
          <w:color w:val="auto"/>
          <w:sz w:val="24"/>
          <w:szCs w:val="24"/>
        </w:rPr>
        <w:t>- Staff shortages and sickness rates can be unpredictable. High emotional labour and expectations which can lead to staff burn out and struggles with mental health</w:t>
      </w:r>
      <w:r w:rsidR="00C82304">
        <w:rPr>
          <w:rStyle w:val="Heading2Char"/>
          <w:rFonts w:ascii="Georgia" w:hAnsi="Georgia"/>
          <w:color w:val="auto"/>
          <w:sz w:val="24"/>
          <w:szCs w:val="24"/>
        </w:rPr>
        <w:t xml:space="preserve">. Inconsistent and unreliable communication between other staff and management due to dispersed working locations, leading to frustrations and possible risks. </w:t>
      </w:r>
      <w:r w:rsidR="00C82304">
        <w:rPr>
          <w:rStyle w:val="Heading2Char"/>
          <w:rFonts w:ascii="Georgia" w:hAnsi="Georgia"/>
          <w:color w:val="auto"/>
          <w:sz w:val="24"/>
          <w:szCs w:val="24"/>
        </w:rPr>
        <w:br/>
      </w:r>
      <w:r w:rsidR="00C82304" w:rsidRPr="00C82304">
        <w:rPr>
          <w:rStyle w:val="Heading2Char"/>
          <w:rFonts w:ascii="Georgia" w:hAnsi="Georgia"/>
          <w:color w:val="4C94D8" w:themeColor="text2" w:themeTint="80"/>
          <w:sz w:val="24"/>
          <w:szCs w:val="24"/>
        </w:rPr>
        <w:t>Opportunities</w:t>
      </w:r>
      <w:r w:rsidR="00C82304">
        <w:rPr>
          <w:rStyle w:val="Heading2Char"/>
          <w:rFonts w:ascii="Georgia" w:hAnsi="Georgia"/>
          <w:color w:val="auto"/>
          <w:sz w:val="24"/>
          <w:szCs w:val="24"/>
        </w:rPr>
        <w:t>- Expansion into specialist behavioural support for children under 18 years of age. Partnerships and more involvement with schools, health services and charities working in alignment with the same values and interests.</w:t>
      </w:r>
      <w:r w:rsidR="00C82304">
        <w:rPr>
          <w:rStyle w:val="Heading2Char"/>
          <w:rFonts w:ascii="Georgia" w:hAnsi="Georgia"/>
          <w:color w:val="auto"/>
          <w:sz w:val="24"/>
          <w:szCs w:val="24"/>
        </w:rPr>
        <w:br/>
        <w:t>Enhanced digital reporting and more detailed accessible training opportunities.</w:t>
      </w:r>
      <w:r w:rsidR="00C82304">
        <w:rPr>
          <w:rStyle w:val="Heading2Char"/>
          <w:rFonts w:ascii="Georgia" w:hAnsi="Georgia"/>
          <w:color w:val="auto"/>
          <w:sz w:val="24"/>
          <w:szCs w:val="24"/>
        </w:rPr>
        <w:br/>
      </w:r>
      <w:r w:rsidR="00C82304" w:rsidRPr="00C82304">
        <w:rPr>
          <w:rStyle w:val="Heading2Char"/>
          <w:rFonts w:ascii="Georgia" w:hAnsi="Georgia"/>
          <w:color w:val="4C94D8" w:themeColor="text2" w:themeTint="80"/>
          <w:sz w:val="24"/>
          <w:szCs w:val="24"/>
        </w:rPr>
        <w:t>Threats</w:t>
      </w:r>
      <w:r w:rsidR="00C82304">
        <w:rPr>
          <w:rStyle w:val="Heading2Char"/>
          <w:rFonts w:ascii="Georgia" w:hAnsi="Georgia"/>
          <w:color w:val="auto"/>
          <w:sz w:val="24"/>
          <w:szCs w:val="24"/>
        </w:rPr>
        <w:t xml:space="preserve">- Funding and budgeting cuts for Children’s Services. The rising demand without sufficient resources available. Increased safeguarding scrutiny. Higher turn over of staff if not adequately paid for the service they are providing, leading to inconsistency to the children’s care and quality. </w:t>
      </w:r>
      <w:r w:rsidR="00C82304">
        <w:rPr>
          <w:rStyle w:val="Heading2Char"/>
          <w:rFonts w:ascii="Georgia" w:hAnsi="Georgia"/>
          <w:color w:val="auto"/>
          <w:sz w:val="24"/>
          <w:szCs w:val="24"/>
        </w:rPr>
        <w:br/>
        <w:t xml:space="preserve">SWOT analysis was able to help me identify the strong alignment between opportunities and strengths, as well as look into threats that could potentially escalate current weaknesses, unless </w:t>
      </w:r>
      <w:proofErr w:type="gramStart"/>
      <w:r w:rsidR="00C82304">
        <w:rPr>
          <w:rStyle w:val="Heading2Char"/>
          <w:rFonts w:ascii="Georgia" w:hAnsi="Georgia"/>
          <w:color w:val="auto"/>
          <w:sz w:val="24"/>
          <w:szCs w:val="24"/>
        </w:rPr>
        <w:t>handled</w:t>
      </w:r>
      <w:proofErr w:type="gramEnd"/>
      <w:r w:rsidR="00C82304">
        <w:rPr>
          <w:rStyle w:val="Heading2Char"/>
          <w:rFonts w:ascii="Georgia" w:hAnsi="Georgia"/>
          <w:color w:val="auto"/>
          <w:sz w:val="24"/>
          <w:szCs w:val="24"/>
        </w:rPr>
        <w:t xml:space="preserve"> correctly by strong leadership culture. </w:t>
      </w:r>
      <w:r w:rsidR="00C82304">
        <w:rPr>
          <w:rStyle w:val="Heading2Char"/>
          <w:rFonts w:ascii="Georgia" w:hAnsi="Georgia"/>
          <w:color w:val="auto"/>
          <w:sz w:val="24"/>
          <w:szCs w:val="24"/>
        </w:rPr>
        <w:br/>
      </w:r>
      <w:r w:rsidR="00C82304">
        <w:rPr>
          <w:rStyle w:val="Heading2Char"/>
          <w:rFonts w:ascii="Georgia" w:hAnsi="Georgia"/>
          <w:color w:val="auto"/>
          <w:sz w:val="24"/>
          <w:szCs w:val="24"/>
        </w:rPr>
        <w:br/>
        <w:t xml:space="preserve">McKinseys 7s Framework </w:t>
      </w:r>
      <w:r w:rsidR="00C82304">
        <w:rPr>
          <w:rStyle w:val="Heading2Char"/>
          <w:rFonts w:ascii="Georgia" w:hAnsi="Georgia"/>
          <w:color w:val="auto"/>
          <w:sz w:val="24"/>
          <w:szCs w:val="24"/>
        </w:rPr>
        <w:br/>
        <w:t xml:space="preserve">The McKinsey model evaluates the internal alignment across seven key organisational elements. </w:t>
      </w:r>
      <w:r w:rsidR="00C82304">
        <w:rPr>
          <w:rStyle w:val="Heading2Char"/>
          <w:rFonts w:ascii="Georgia" w:hAnsi="Georgia"/>
          <w:color w:val="auto"/>
          <w:sz w:val="24"/>
          <w:szCs w:val="24"/>
        </w:rPr>
        <w:br/>
        <w:t>Structure- Flat hierarchy, community based teams.</w:t>
      </w:r>
      <w:r w:rsidR="00C82304">
        <w:rPr>
          <w:rStyle w:val="Heading2Char"/>
          <w:rFonts w:ascii="Georgia" w:hAnsi="Georgia"/>
          <w:color w:val="auto"/>
          <w:sz w:val="24"/>
          <w:szCs w:val="24"/>
        </w:rPr>
        <w:br/>
        <w:t>Strategy- Deliver personalised, safe, high-quality children’s care service.</w:t>
      </w:r>
      <w:r w:rsidR="00C82304">
        <w:rPr>
          <w:rStyle w:val="Heading2Char"/>
          <w:rFonts w:ascii="Georgia" w:hAnsi="Georgia"/>
          <w:color w:val="auto"/>
          <w:sz w:val="24"/>
          <w:szCs w:val="24"/>
        </w:rPr>
        <w:br/>
        <w:t>Systems- Digital documentation reporting systems, safeguarding processes and supervisions.</w:t>
      </w:r>
      <w:r w:rsidR="00C82304">
        <w:rPr>
          <w:rStyle w:val="Heading2Char"/>
          <w:rFonts w:ascii="Georgia" w:hAnsi="Georgia"/>
          <w:color w:val="auto"/>
          <w:sz w:val="24"/>
          <w:szCs w:val="24"/>
        </w:rPr>
        <w:br/>
        <w:t>Style- Supportive and collaborative yet sometimes reactive.</w:t>
      </w:r>
      <w:r w:rsidR="00C82304">
        <w:rPr>
          <w:rStyle w:val="Heading2Char"/>
          <w:rFonts w:ascii="Georgia" w:hAnsi="Georgia"/>
          <w:color w:val="auto"/>
          <w:sz w:val="24"/>
          <w:szCs w:val="24"/>
        </w:rPr>
        <w:br/>
        <w:t>Staff- Values-driven but stretched.</w:t>
      </w:r>
      <w:r w:rsidR="00C82304">
        <w:rPr>
          <w:rStyle w:val="Heading2Char"/>
          <w:rFonts w:ascii="Georgia" w:hAnsi="Georgia"/>
          <w:color w:val="auto"/>
          <w:sz w:val="24"/>
          <w:szCs w:val="24"/>
        </w:rPr>
        <w:br/>
        <w:t>Skills- Positive Behaviour management, De-Escalation techniques, Clear consistent communication.</w:t>
      </w:r>
      <w:r w:rsidR="00C82304">
        <w:rPr>
          <w:rStyle w:val="Heading2Char"/>
          <w:rFonts w:ascii="Georgia" w:hAnsi="Georgia"/>
          <w:color w:val="auto"/>
          <w:sz w:val="24"/>
          <w:szCs w:val="24"/>
        </w:rPr>
        <w:br/>
        <w:t xml:space="preserve">Shared Values- Compassion, Empathy, Understanding, Dignity, Respect, Safety, Inclusion and </w:t>
      </w:r>
      <w:r w:rsidR="00146351">
        <w:rPr>
          <w:rStyle w:val="Heading2Char"/>
          <w:rFonts w:ascii="Georgia" w:hAnsi="Georgia"/>
          <w:color w:val="auto"/>
          <w:sz w:val="24"/>
          <w:szCs w:val="24"/>
        </w:rPr>
        <w:t>Support.</w:t>
      </w:r>
      <w:r w:rsidR="00146351">
        <w:rPr>
          <w:rStyle w:val="Heading2Char"/>
          <w:rFonts w:ascii="Georgia" w:hAnsi="Georgia"/>
          <w:color w:val="auto"/>
          <w:sz w:val="24"/>
          <w:szCs w:val="24"/>
        </w:rPr>
        <w:br/>
        <w:t xml:space="preserve">The organisations strongest alignment exists around our shares values and skills, where as the weakest alignment concerns staff capacity and communication systems. </w:t>
      </w:r>
      <w:r w:rsidR="00146351">
        <w:rPr>
          <w:rStyle w:val="Heading2Char"/>
          <w:rFonts w:ascii="Georgia" w:hAnsi="Georgia"/>
          <w:color w:val="auto"/>
          <w:sz w:val="24"/>
          <w:szCs w:val="24"/>
        </w:rPr>
        <w:br/>
        <w:t xml:space="preserve">The evaluation shows that an organisation such as FSW is challenging but </w:t>
      </w:r>
      <w:r w:rsidR="00EE17E1">
        <w:rPr>
          <w:rStyle w:val="Heading2Char"/>
          <w:rFonts w:ascii="Georgia" w:hAnsi="Georgia"/>
          <w:color w:val="auto"/>
          <w:sz w:val="24"/>
          <w:szCs w:val="24"/>
        </w:rPr>
        <w:t>an</w:t>
      </w:r>
      <w:r w:rsidR="00146351">
        <w:rPr>
          <w:rStyle w:val="Heading2Char"/>
          <w:rFonts w:ascii="Georgia" w:hAnsi="Georgia"/>
          <w:color w:val="auto"/>
          <w:sz w:val="24"/>
          <w:szCs w:val="24"/>
        </w:rPr>
        <w:t xml:space="preserve"> opportunity-rich environment for us all. To allow us to maintain the level of high performance, we must continue to dedicate ourself to developing robust communication channels, invest in our staff team, workforce wellbeing and align our systems with the demands of community-based care and the health and well-being of the children and families using our service.</w:t>
      </w:r>
      <w:r w:rsidR="004A559F">
        <w:rPr>
          <w:rStyle w:val="Heading2Char"/>
          <w:rFonts w:ascii="Georgia" w:hAnsi="Georgia"/>
          <w:color w:val="auto"/>
          <w:sz w:val="24"/>
          <w:szCs w:val="24"/>
        </w:rPr>
        <w:br/>
      </w:r>
      <w:r w:rsidR="004A559F">
        <w:rPr>
          <w:rStyle w:val="Heading2Char"/>
          <w:rFonts w:ascii="Georgia" w:hAnsi="Georgia"/>
          <w:color w:val="auto"/>
          <w:sz w:val="24"/>
          <w:szCs w:val="24"/>
        </w:rPr>
        <w:br/>
      </w:r>
      <w:r w:rsidR="004A559F">
        <w:rPr>
          <w:noProof/>
        </w:rPr>
        <w:lastRenderedPageBreak/>
        <w:drawing>
          <wp:inline distT="0" distB="0" distL="0" distR="0" wp14:anchorId="3DC3872A" wp14:editId="5C850E65">
            <wp:extent cx="6877878" cy="3596675"/>
            <wp:effectExtent l="0" t="0" r="0" b="3810"/>
            <wp:docPr id="1418487131" name="Picture 1" descr="The 7 Elements of the 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 Elements of the McKinsey 7-S Frame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81718" cy="3598683"/>
                    </a:xfrm>
                    <a:prstGeom prst="rect">
                      <a:avLst/>
                    </a:prstGeom>
                    <a:noFill/>
                    <a:ln>
                      <a:noFill/>
                    </a:ln>
                  </pic:spPr>
                </pic:pic>
              </a:graphicData>
            </a:graphic>
          </wp:inline>
        </w:drawing>
      </w:r>
      <w:r w:rsidR="00F42BC1">
        <w:rPr>
          <w:rStyle w:val="Heading2Char"/>
          <w:rFonts w:ascii="Georgia" w:hAnsi="Georgia"/>
          <w:color w:val="auto"/>
          <w:sz w:val="24"/>
          <w:szCs w:val="24"/>
        </w:rPr>
        <w:br/>
      </w:r>
      <w:r w:rsidR="00F42BC1">
        <w:rPr>
          <w:rStyle w:val="Heading2Char"/>
          <w:rFonts w:ascii="Georgia" w:hAnsi="Georgia"/>
          <w:color w:val="auto"/>
          <w:sz w:val="24"/>
          <w:szCs w:val="24"/>
        </w:rPr>
        <w:br/>
      </w:r>
      <w:r w:rsidR="00F42BC1" w:rsidRPr="00F42BC1">
        <w:rPr>
          <w:rStyle w:val="Heading2Char"/>
          <w:color w:val="4EA72E" w:themeColor="accent6"/>
          <w:u w:val="single"/>
        </w:rPr>
        <w:t>Critical Appraisal of Cultural and Ethical Behaviour</w:t>
      </w:r>
      <w:r w:rsidR="00F42BC1">
        <w:rPr>
          <w:rStyle w:val="Heading2Char"/>
          <w:color w:val="4EA72E" w:themeColor="accent6"/>
          <w:u w:val="single"/>
        </w:rPr>
        <w:br/>
      </w:r>
      <w:r w:rsidR="00F42BC1">
        <w:rPr>
          <w:rStyle w:val="Heading2Char"/>
          <w:rFonts w:ascii="Georgia" w:hAnsi="Georgia"/>
          <w:color w:val="auto"/>
          <w:sz w:val="24"/>
          <w:szCs w:val="24"/>
        </w:rPr>
        <w:br/>
        <w:t xml:space="preserve">Culture refers to shared believes, values and norms guiding behaviour. </w:t>
      </w:r>
      <w:r w:rsidR="00F42BC1">
        <w:rPr>
          <w:rStyle w:val="Heading2Char"/>
          <w:rFonts w:ascii="Georgia" w:hAnsi="Georgia"/>
          <w:color w:val="auto"/>
          <w:sz w:val="24"/>
          <w:szCs w:val="24"/>
        </w:rPr>
        <w:br/>
        <w:t>Ethical behaviour refers more to moral principles, professionalism, integrity and doing what is right for the children’s health and wellbeing. Within FSW, ethical behaviour includes processes such as safeguarding, truthful reports, respecting the value of confidentiality, while maintaining boundaries. Ethical behaviour is vitally important in Children’s care as those with complex needs and challenging behaviour are often vulnerable. Meaning that if staff led with poor ethics such as dishonesty, neglect as well as unsafe legal practices, this would have an undeniable effect on the child. A high performance culture requires ethical behaviours and practices.</w:t>
      </w:r>
      <w:r w:rsidR="00F42BC1">
        <w:rPr>
          <w:rStyle w:val="Heading2Char"/>
          <w:rFonts w:ascii="Georgia" w:hAnsi="Georgia"/>
          <w:color w:val="auto"/>
          <w:sz w:val="24"/>
          <w:szCs w:val="24"/>
        </w:rPr>
        <w:br/>
        <w:t>Using Toulmin’s Argumentation model</w:t>
      </w:r>
      <w:r w:rsidR="009F6F2E">
        <w:rPr>
          <w:rStyle w:val="Heading2Char"/>
          <w:rFonts w:ascii="Georgia" w:hAnsi="Georgia"/>
          <w:color w:val="auto"/>
          <w:sz w:val="24"/>
          <w:szCs w:val="24"/>
        </w:rPr>
        <w:t>:</w:t>
      </w:r>
      <w:r w:rsidR="009F6F2E">
        <w:rPr>
          <w:rStyle w:val="Heading2Char"/>
          <w:rFonts w:ascii="Georgia" w:hAnsi="Georgia"/>
          <w:color w:val="auto"/>
          <w:sz w:val="24"/>
          <w:szCs w:val="24"/>
        </w:rPr>
        <w:br/>
        <w:t>Claim: “This response/strategy is within the best interest for the child.”</w:t>
      </w:r>
      <w:r w:rsidR="009F6F2E">
        <w:rPr>
          <w:rStyle w:val="Heading2Char"/>
          <w:rFonts w:ascii="Georgia" w:hAnsi="Georgia"/>
          <w:color w:val="auto"/>
          <w:sz w:val="24"/>
          <w:szCs w:val="24"/>
        </w:rPr>
        <w:br/>
        <w:t>Grounds: Observations, Care and behaviour plans, Risk assessments.</w:t>
      </w:r>
      <w:r w:rsidR="009F6F2E">
        <w:rPr>
          <w:rStyle w:val="Heading2Char"/>
          <w:rFonts w:ascii="Georgia" w:hAnsi="Georgia"/>
          <w:color w:val="auto"/>
          <w:sz w:val="24"/>
          <w:szCs w:val="24"/>
        </w:rPr>
        <w:br/>
        <w:t>Warrant: Safeguarding principles and Safe-working guidelines.</w:t>
      </w:r>
      <w:r w:rsidR="009F6F2E">
        <w:rPr>
          <w:rStyle w:val="Heading2Char"/>
          <w:rFonts w:ascii="Georgia" w:hAnsi="Georgia"/>
          <w:color w:val="auto"/>
          <w:sz w:val="24"/>
          <w:szCs w:val="24"/>
        </w:rPr>
        <w:br/>
        <w:t>Backing: Legislation, Policies and Procedures.</w:t>
      </w:r>
      <w:r w:rsidR="009F6F2E">
        <w:rPr>
          <w:rStyle w:val="Heading2Char"/>
          <w:rFonts w:ascii="Georgia" w:hAnsi="Georgia"/>
          <w:color w:val="auto"/>
          <w:sz w:val="24"/>
          <w:szCs w:val="24"/>
        </w:rPr>
        <w:br/>
        <w:t xml:space="preserve">Rebuttal: Consider alternative approaches in order to handle situations to maximise the best outcome. </w:t>
      </w:r>
      <w:r w:rsidR="009F6F2E">
        <w:rPr>
          <w:rStyle w:val="Heading2Char"/>
          <w:rFonts w:ascii="Georgia" w:hAnsi="Georgia"/>
          <w:color w:val="auto"/>
          <w:sz w:val="24"/>
          <w:szCs w:val="24"/>
        </w:rPr>
        <w:br/>
        <w:t xml:space="preserve">Qualifier: “Within this situation, </w:t>
      </w:r>
      <w:r w:rsidR="00EE17E1">
        <w:rPr>
          <w:rStyle w:val="Heading2Char"/>
          <w:rFonts w:ascii="Georgia" w:hAnsi="Georgia"/>
          <w:color w:val="auto"/>
          <w:sz w:val="24"/>
          <w:szCs w:val="24"/>
        </w:rPr>
        <w:t>it</w:t>
      </w:r>
      <w:r w:rsidR="009F6F2E">
        <w:rPr>
          <w:rStyle w:val="Heading2Char"/>
          <w:rFonts w:ascii="Georgia" w:hAnsi="Georgia"/>
          <w:color w:val="auto"/>
          <w:sz w:val="24"/>
          <w:szCs w:val="24"/>
        </w:rPr>
        <w:t xml:space="preserve"> is likely that</w:t>
      </w:r>
      <w:r w:rsidR="00EE17E1">
        <w:rPr>
          <w:rStyle w:val="Heading2Char"/>
          <w:rFonts w:ascii="Georgia" w:hAnsi="Georgia"/>
          <w:color w:val="auto"/>
          <w:sz w:val="24"/>
          <w:szCs w:val="24"/>
        </w:rPr>
        <w:t>….</w:t>
      </w:r>
      <w:r w:rsidR="009F6F2E">
        <w:rPr>
          <w:rStyle w:val="Heading2Char"/>
          <w:rFonts w:ascii="Georgia" w:hAnsi="Georgia"/>
          <w:color w:val="auto"/>
          <w:sz w:val="24"/>
          <w:szCs w:val="24"/>
        </w:rPr>
        <w:t xml:space="preserve">” Situations are often </w:t>
      </w:r>
      <w:r w:rsidR="00EE17E1">
        <w:rPr>
          <w:rStyle w:val="Heading2Char"/>
          <w:rFonts w:ascii="Georgia" w:hAnsi="Georgia"/>
          <w:color w:val="auto"/>
          <w:sz w:val="24"/>
          <w:szCs w:val="24"/>
        </w:rPr>
        <w:t>unpredictable,</w:t>
      </w:r>
      <w:r w:rsidR="009F6F2E">
        <w:rPr>
          <w:rStyle w:val="Heading2Char"/>
          <w:rFonts w:ascii="Georgia" w:hAnsi="Georgia"/>
          <w:color w:val="auto"/>
          <w:sz w:val="24"/>
          <w:szCs w:val="24"/>
        </w:rPr>
        <w:t xml:space="preserve"> but risk assessments help weigh up the most likely outcomes and results. </w:t>
      </w:r>
      <w:r w:rsidR="009F6F2E">
        <w:rPr>
          <w:rStyle w:val="Heading2Char"/>
          <w:rFonts w:ascii="Georgia" w:hAnsi="Georgia"/>
          <w:color w:val="auto"/>
          <w:sz w:val="24"/>
          <w:szCs w:val="24"/>
        </w:rPr>
        <w:br/>
        <w:t xml:space="preserve">Pearson’s RED model is a useful tool within Health care as it aids staff in recognising behavioural cues, triggers and risks in sessions. Evaluating </w:t>
      </w:r>
      <w:proofErr w:type="gramStart"/>
      <w:r w:rsidR="009F6F2E">
        <w:rPr>
          <w:rStyle w:val="Heading2Char"/>
          <w:rFonts w:ascii="Georgia" w:hAnsi="Georgia"/>
          <w:color w:val="auto"/>
          <w:sz w:val="24"/>
          <w:szCs w:val="24"/>
        </w:rPr>
        <w:t>possible causes</w:t>
      </w:r>
      <w:proofErr w:type="gramEnd"/>
      <w:r w:rsidR="009F6F2E">
        <w:rPr>
          <w:rStyle w:val="Heading2Char"/>
          <w:rFonts w:ascii="Georgia" w:hAnsi="Georgia"/>
          <w:color w:val="auto"/>
          <w:sz w:val="24"/>
          <w:szCs w:val="24"/>
        </w:rPr>
        <w:t xml:space="preserve">, whether that be trauma related, sensory, unmet physical or emotional needs. Drawing on </w:t>
      </w:r>
      <w:r w:rsidR="009F6F2E">
        <w:rPr>
          <w:rStyle w:val="Heading2Char"/>
          <w:rFonts w:ascii="Georgia" w:hAnsi="Georgia"/>
          <w:color w:val="auto"/>
          <w:sz w:val="24"/>
          <w:szCs w:val="24"/>
        </w:rPr>
        <w:lastRenderedPageBreak/>
        <w:t xml:space="preserve">conclusions through the evidence collected, reports and </w:t>
      </w:r>
      <w:r w:rsidR="00EE17E1">
        <w:rPr>
          <w:rStyle w:val="Heading2Char"/>
          <w:rFonts w:ascii="Georgia" w:hAnsi="Georgia"/>
          <w:color w:val="auto"/>
          <w:sz w:val="24"/>
          <w:szCs w:val="24"/>
        </w:rPr>
        <w:t>documentations,</w:t>
      </w:r>
      <w:r w:rsidR="009F6F2E">
        <w:rPr>
          <w:rStyle w:val="Heading2Char"/>
          <w:rFonts w:ascii="Georgia" w:hAnsi="Georgia"/>
          <w:color w:val="auto"/>
          <w:sz w:val="24"/>
          <w:szCs w:val="24"/>
        </w:rPr>
        <w:t xml:space="preserve"> promoting the vitality for factual based documents, not assumption or bias. The reduction of bias within the workplace improves behaviour support decisions</w:t>
      </w:r>
      <w:r w:rsidR="004D6A24">
        <w:rPr>
          <w:rStyle w:val="Heading2Char"/>
          <w:rFonts w:ascii="Georgia" w:hAnsi="Georgia"/>
          <w:color w:val="auto"/>
          <w:sz w:val="24"/>
          <w:szCs w:val="24"/>
        </w:rPr>
        <w:t xml:space="preserve">. </w:t>
      </w:r>
      <w:r w:rsidR="004D6A24">
        <w:rPr>
          <w:rStyle w:val="Heading2Char"/>
          <w:rFonts w:ascii="Georgia" w:hAnsi="Georgia"/>
          <w:color w:val="auto"/>
          <w:sz w:val="24"/>
          <w:szCs w:val="24"/>
        </w:rPr>
        <w:br/>
      </w:r>
      <w:r w:rsidR="004D6A24">
        <w:rPr>
          <w:rStyle w:val="Heading2Char"/>
          <w:rFonts w:ascii="Georgia" w:hAnsi="Georgia"/>
          <w:color w:val="auto"/>
          <w:sz w:val="24"/>
          <w:szCs w:val="24"/>
        </w:rPr>
        <w:br/>
        <w:t xml:space="preserve">Ethical behaviour grows from cultural norms. At Family Support Wales, if the culture values </w:t>
      </w:r>
      <w:r w:rsidR="0067513C">
        <w:rPr>
          <w:rStyle w:val="Heading2Char"/>
          <w:rFonts w:ascii="Georgia" w:hAnsi="Georgia"/>
          <w:color w:val="auto"/>
          <w:sz w:val="24"/>
          <w:szCs w:val="24"/>
        </w:rPr>
        <w:t xml:space="preserve">dignity, staff act respectfully and professionally. If the culture emphasises </w:t>
      </w:r>
      <w:r w:rsidR="00EE17E1">
        <w:rPr>
          <w:rStyle w:val="Heading2Char"/>
          <w:rFonts w:ascii="Georgia" w:hAnsi="Georgia"/>
          <w:color w:val="auto"/>
          <w:sz w:val="24"/>
          <w:szCs w:val="24"/>
        </w:rPr>
        <w:t>teamwork,</w:t>
      </w:r>
      <w:r w:rsidR="0067513C">
        <w:rPr>
          <w:rStyle w:val="Heading2Char"/>
          <w:rFonts w:ascii="Georgia" w:hAnsi="Georgia"/>
          <w:color w:val="auto"/>
          <w:sz w:val="24"/>
          <w:szCs w:val="24"/>
        </w:rPr>
        <w:t xml:space="preserve"> then staff are more likely to communicate truthfully and by rewarding transparency, staff report concerns and incidents promptly to management. </w:t>
      </w:r>
      <w:r w:rsidR="0067513C">
        <w:rPr>
          <w:rStyle w:val="Heading2Char"/>
          <w:rFonts w:ascii="Georgia" w:hAnsi="Georgia"/>
          <w:color w:val="auto"/>
          <w:sz w:val="24"/>
          <w:szCs w:val="24"/>
        </w:rPr>
        <w:br/>
        <w:t xml:space="preserve">Weak culture in HSC enables ethical drift, </w:t>
      </w:r>
      <w:r w:rsidR="00EE17E1">
        <w:rPr>
          <w:rStyle w:val="Heading2Char"/>
          <w:rFonts w:ascii="Georgia" w:hAnsi="Georgia"/>
          <w:color w:val="auto"/>
          <w:sz w:val="24"/>
          <w:szCs w:val="24"/>
        </w:rPr>
        <w:t>whereas</w:t>
      </w:r>
      <w:r w:rsidR="0067513C">
        <w:rPr>
          <w:rStyle w:val="Heading2Char"/>
          <w:rFonts w:ascii="Georgia" w:hAnsi="Georgia"/>
          <w:color w:val="auto"/>
          <w:sz w:val="24"/>
          <w:szCs w:val="24"/>
        </w:rPr>
        <w:t xml:space="preserve"> Strong culture reinforces ethical consistency. </w:t>
      </w:r>
      <w:r w:rsidR="0067513C">
        <w:rPr>
          <w:rStyle w:val="Heading2Char"/>
          <w:rFonts w:ascii="Georgia" w:hAnsi="Georgia"/>
          <w:color w:val="auto"/>
          <w:sz w:val="24"/>
          <w:szCs w:val="24"/>
        </w:rPr>
        <w:br/>
        <w:t>Factors that influence Ethical Behaviour in FSW are:</w:t>
      </w:r>
      <w:r w:rsidR="0067513C">
        <w:rPr>
          <w:rStyle w:val="Heading2Char"/>
          <w:rFonts w:ascii="Georgia" w:hAnsi="Georgia"/>
          <w:color w:val="auto"/>
          <w:sz w:val="24"/>
          <w:szCs w:val="24"/>
        </w:rPr>
        <w:br/>
      </w:r>
      <w:r w:rsidR="00A87148">
        <w:rPr>
          <w:rStyle w:val="Heading2Char"/>
          <w:rFonts w:ascii="Georgia" w:hAnsi="Georgia"/>
          <w:color w:val="auto"/>
          <w:sz w:val="24"/>
          <w:szCs w:val="24"/>
        </w:rPr>
        <w:t xml:space="preserve">1. </w:t>
      </w:r>
      <w:r w:rsidR="0067513C">
        <w:rPr>
          <w:rStyle w:val="Heading2Char"/>
          <w:rFonts w:ascii="Georgia" w:hAnsi="Georgia"/>
          <w:color w:val="auto"/>
          <w:sz w:val="24"/>
          <w:szCs w:val="24"/>
        </w:rPr>
        <w:t xml:space="preserve">Leadership Style- Supportive management and senior leadership encourages honesty and reflective practice within the team, leading to an inclusive, approachable environment. </w:t>
      </w:r>
      <w:r w:rsidR="00A87148">
        <w:rPr>
          <w:rStyle w:val="Heading2Char"/>
          <w:rFonts w:ascii="Georgia" w:hAnsi="Georgia"/>
          <w:color w:val="auto"/>
          <w:sz w:val="24"/>
          <w:szCs w:val="24"/>
        </w:rPr>
        <w:br/>
        <w:t xml:space="preserve">2. Team Climate- To apply trust within a staff Team, this improves clear communication, strengthens professional relationships and reduces errors/incidents within the Organisation. </w:t>
      </w:r>
      <w:r w:rsidR="00A87148">
        <w:rPr>
          <w:rStyle w:val="Heading2Char"/>
          <w:rFonts w:ascii="Georgia" w:hAnsi="Georgia"/>
          <w:color w:val="auto"/>
          <w:sz w:val="24"/>
          <w:szCs w:val="24"/>
        </w:rPr>
        <w:br/>
        <w:t xml:space="preserve">3. Workload and Stress- </w:t>
      </w:r>
      <w:proofErr w:type="gramStart"/>
      <w:r w:rsidR="00A87148">
        <w:rPr>
          <w:rStyle w:val="Heading2Char"/>
          <w:rFonts w:ascii="Georgia" w:hAnsi="Georgia"/>
          <w:color w:val="auto"/>
          <w:sz w:val="24"/>
          <w:szCs w:val="24"/>
        </w:rPr>
        <w:t>High levels</w:t>
      </w:r>
      <w:proofErr w:type="gramEnd"/>
      <w:r w:rsidR="00A87148">
        <w:rPr>
          <w:rStyle w:val="Heading2Char"/>
          <w:rFonts w:ascii="Georgia" w:hAnsi="Georgia"/>
          <w:color w:val="auto"/>
          <w:sz w:val="24"/>
          <w:szCs w:val="24"/>
        </w:rPr>
        <w:t xml:space="preserve"> of stress can impact the staff team greatly as it can impair judgement and response time. Highlighting the need for wellbeing support is crucial to the management of MH within a team. </w:t>
      </w:r>
      <w:r w:rsidR="00A87148">
        <w:rPr>
          <w:rStyle w:val="Heading2Char"/>
          <w:rFonts w:ascii="Georgia" w:hAnsi="Georgia"/>
          <w:color w:val="auto"/>
          <w:sz w:val="24"/>
          <w:szCs w:val="24"/>
        </w:rPr>
        <w:br/>
        <w:t xml:space="preserve">4. Training and Competence- To follow safe working guidelines and safeguarding practices is vital to the safety of the children, therefore Adequate training ensures staff understand ethical procedures and adhere to them. </w:t>
      </w:r>
      <w:r w:rsidR="00A87148">
        <w:rPr>
          <w:rStyle w:val="Heading2Char"/>
          <w:rFonts w:ascii="Georgia" w:hAnsi="Georgia"/>
          <w:color w:val="auto"/>
          <w:sz w:val="24"/>
          <w:szCs w:val="24"/>
        </w:rPr>
        <w:br/>
        <w:t xml:space="preserve">5. Personal Values- To align staff values with organisational culture improves reliability and promotes organisational growth overall. </w:t>
      </w:r>
      <w:r w:rsidR="00A87148">
        <w:rPr>
          <w:rStyle w:val="Heading2Char"/>
          <w:rFonts w:ascii="Georgia" w:hAnsi="Georgia"/>
          <w:color w:val="auto"/>
          <w:sz w:val="24"/>
          <w:szCs w:val="24"/>
        </w:rPr>
        <w:br/>
      </w:r>
      <w:r w:rsidR="00A87148">
        <w:rPr>
          <w:rStyle w:val="Heading2Char"/>
          <w:rFonts w:ascii="Georgia" w:hAnsi="Georgia"/>
          <w:color w:val="auto"/>
          <w:sz w:val="24"/>
          <w:szCs w:val="24"/>
        </w:rPr>
        <w:br/>
      </w:r>
      <w:r w:rsidR="00A87148" w:rsidRPr="00A87148">
        <w:rPr>
          <w:rStyle w:val="Heading2Char"/>
          <w:color w:val="4EA72E" w:themeColor="accent6"/>
          <w:sz w:val="36"/>
          <w:szCs w:val="36"/>
        </w:rPr>
        <w:t>4. Conclusion</w:t>
      </w:r>
      <w:r w:rsidR="00A87148" w:rsidRPr="00A87148">
        <w:rPr>
          <w:rFonts w:ascii="Georgia" w:eastAsiaTheme="majorEastAsia" w:hAnsi="Georgia" w:cstheme="majorBidi"/>
          <w:color w:val="4EA72E" w:themeColor="accent6"/>
          <w:sz w:val="28"/>
          <w:szCs w:val="28"/>
        </w:rPr>
        <w:t xml:space="preserve"> </w:t>
      </w:r>
      <w:r w:rsidR="00A87148">
        <w:rPr>
          <w:rFonts w:ascii="Georgia" w:eastAsiaTheme="majorEastAsia" w:hAnsi="Georgia" w:cstheme="majorBidi"/>
          <w:color w:val="4EA72E" w:themeColor="accent6"/>
          <w:sz w:val="28"/>
          <w:szCs w:val="28"/>
        </w:rPr>
        <w:br/>
      </w:r>
      <w:r w:rsidR="00A87148" w:rsidRPr="00EE17E1">
        <w:rPr>
          <w:rFonts w:ascii="Georgia" w:eastAsiaTheme="majorEastAsia" w:hAnsi="Georgia" w:cstheme="majorBidi"/>
        </w:rPr>
        <w:t xml:space="preserve">To summarise this report overall, Family Support Wales operates in </w:t>
      </w:r>
      <w:proofErr w:type="gramStart"/>
      <w:r w:rsidR="00A87148" w:rsidRPr="00EE17E1">
        <w:rPr>
          <w:rFonts w:ascii="Georgia" w:eastAsiaTheme="majorEastAsia" w:hAnsi="Georgia" w:cstheme="majorBidi"/>
        </w:rPr>
        <w:t xml:space="preserve">a </w:t>
      </w:r>
      <w:r w:rsidR="00396E11" w:rsidRPr="00EE17E1">
        <w:rPr>
          <w:rFonts w:ascii="Georgia" w:eastAsiaTheme="majorEastAsia" w:hAnsi="Georgia" w:cstheme="majorBidi"/>
        </w:rPr>
        <w:t>highly complex</w:t>
      </w:r>
      <w:proofErr w:type="gramEnd"/>
      <w:r w:rsidR="00396E11" w:rsidRPr="00EE17E1">
        <w:rPr>
          <w:rFonts w:ascii="Georgia" w:eastAsiaTheme="majorEastAsia" w:hAnsi="Georgia" w:cstheme="majorBidi"/>
        </w:rPr>
        <w:t>, demanding environment where cultural strengths and ethical behaviours are crucial to high performance. The organisation delivers a strong value base, with staff dedicating themselves to child-centred support. While knowing there is a high demand, external pressures and dispersed working patterns need continuous investment in effective communication, staff health and well-being and strong, consistent leadership from Management and Senior roles.</w:t>
      </w:r>
      <w:r w:rsidR="00396E11" w:rsidRPr="00EE17E1">
        <w:rPr>
          <w:rFonts w:ascii="Georgia" w:eastAsiaTheme="majorEastAsia" w:hAnsi="Georgia" w:cstheme="majorBidi"/>
        </w:rPr>
        <w:br/>
      </w:r>
      <w:r w:rsidR="00396E11" w:rsidRPr="00EE17E1">
        <w:rPr>
          <w:rFonts w:ascii="Georgia" w:eastAsiaTheme="majorEastAsia" w:hAnsi="Georgia" w:cstheme="majorBidi"/>
        </w:rPr>
        <w:br/>
        <w:t>A high performance culture throughout FSW depends on whether our systems align with our values. Aiming to maintain ethical behaviour throughout our deliverance of care, support and training. With continuous aims to grow the organisations staff team, our approach is to strengthen working relationships, and have collective discussions across dispersed teams to improve quality of service.</w:t>
      </w:r>
      <w:r w:rsidR="00396E11" w:rsidRPr="00EE17E1">
        <w:rPr>
          <w:rFonts w:ascii="Georgia" w:eastAsiaTheme="majorEastAsia" w:hAnsi="Georgia" w:cstheme="majorBidi"/>
        </w:rPr>
        <w:br/>
        <w:t xml:space="preserve">With all of these factors considered and in place, Family Support Wales can continue to deliver safe, ethical, honest, high-quality care to Children and Families in their homes and within the Community. </w:t>
      </w:r>
      <w:r w:rsidR="00EE17E1" w:rsidRPr="00EE17E1">
        <w:rPr>
          <w:rFonts w:ascii="Georgia" w:eastAsiaTheme="majorEastAsia" w:hAnsi="Georgia" w:cstheme="majorBidi"/>
        </w:rPr>
        <w:br/>
      </w:r>
      <w:r w:rsidR="00EE17E1" w:rsidRPr="00EE17E1">
        <w:rPr>
          <w:rFonts w:ascii="Georgia" w:eastAsiaTheme="majorEastAsia" w:hAnsi="Georgia" w:cstheme="majorBidi"/>
        </w:rPr>
        <w:lastRenderedPageBreak/>
        <w:br/>
      </w:r>
      <w:r w:rsidR="00EE17E1" w:rsidRPr="00EE17E1">
        <w:rPr>
          <w:color w:val="8DD873" w:themeColor="accent6" w:themeTint="99"/>
          <w:sz w:val="28"/>
          <w:szCs w:val="28"/>
        </w:rPr>
        <w:br/>
      </w:r>
      <w:r w:rsidR="00EE17E1">
        <w:rPr>
          <w:color w:val="8DD873" w:themeColor="accent6" w:themeTint="99"/>
          <w:sz w:val="36"/>
          <w:szCs w:val="36"/>
        </w:rPr>
        <w:br/>
        <w:t xml:space="preserve">5. </w:t>
      </w:r>
      <w:r w:rsidR="00EE17E1" w:rsidRPr="00CB59CB">
        <w:rPr>
          <w:color w:val="8DD873" w:themeColor="accent6" w:themeTint="99"/>
          <w:sz w:val="36"/>
          <w:szCs w:val="36"/>
        </w:rPr>
        <w:t>References</w:t>
      </w:r>
      <w:r w:rsidR="00EE17E1">
        <w:br/>
      </w:r>
      <w:r w:rsidR="00EE17E1">
        <w:br/>
      </w:r>
      <w:r w:rsidR="00EE17E1" w:rsidRPr="00EE17E1">
        <w:t xml:space="preserve">1. </w:t>
      </w:r>
      <w:r w:rsidR="00EE17E1" w:rsidRPr="00EE17E1">
        <w:rPr>
          <w:rFonts w:eastAsiaTheme="majorEastAsia" w:cstheme="majorBidi"/>
          <w:color w:val="0F4761" w:themeColor="accent1" w:themeShade="BF"/>
        </w:rPr>
        <w:t xml:space="preserve">Schein, E.H. “Organizational Culture and Leadership (4th Ed.). San Francisco, ca Jossey-Bass. - References - Scientific Research Publishing.” </w:t>
      </w:r>
      <w:r w:rsidR="00EE17E1" w:rsidRPr="00EE17E1">
        <w:rPr>
          <w:rFonts w:eastAsiaTheme="majorEastAsia" w:cstheme="majorBidi"/>
          <w:i/>
          <w:iCs/>
          <w:color w:val="0F4761" w:themeColor="accent1" w:themeShade="BF"/>
        </w:rPr>
        <w:t>Www.scirp.org</w:t>
      </w:r>
      <w:r w:rsidR="00EE17E1" w:rsidRPr="00EE17E1">
        <w:rPr>
          <w:rFonts w:eastAsiaTheme="majorEastAsia" w:cstheme="majorBidi"/>
          <w:color w:val="0F4761" w:themeColor="accent1" w:themeShade="BF"/>
        </w:rPr>
        <w:t>, 2010, www.scirp.org/reference/ReferencesPapers?ReferenceID=1848176.</w:t>
      </w:r>
      <w:r w:rsidR="00EE17E1" w:rsidRPr="00EE17E1">
        <w:br/>
      </w:r>
      <w:r w:rsidR="00EE17E1" w:rsidRPr="00EE17E1">
        <w:br/>
        <w:t xml:space="preserve">2. </w:t>
      </w:r>
      <w:r w:rsidR="00EE17E1" w:rsidRPr="00EE17E1">
        <w:rPr>
          <w:rFonts w:eastAsiaTheme="majorEastAsia" w:cstheme="majorBidi"/>
          <w:color w:val="0F4761" w:themeColor="accent1" w:themeShade="BF"/>
        </w:rPr>
        <w:t xml:space="preserve">Geraghty, Tom. “Edgar Schein’s Three Layers of Organisational Culture.” </w:t>
      </w:r>
      <w:r w:rsidR="00EE17E1" w:rsidRPr="00EE17E1">
        <w:rPr>
          <w:rFonts w:eastAsiaTheme="majorEastAsia" w:cstheme="majorBidi"/>
          <w:i/>
          <w:iCs/>
          <w:color w:val="0F4761" w:themeColor="accent1" w:themeShade="BF"/>
        </w:rPr>
        <w:t>Psych Safety</w:t>
      </w:r>
      <w:r w:rsidR="00EE17E1" w:rsidRPr="00EE17E1">
        <w:rPr>
          <w:rFonts w:eastAsiaTheme="majorEastAsia" w:cstheme="majorBidi"/>
          <w:color w:val="0F4761" w:themeColor="accent1" w:themeShade="BF"/>
        </w:rPr>
        <w:t>, 3 Feb. 2023, psychsafety.com/psychological-safety-edgar-scheins-three-layers-of-organisational-culture/.</w:t>
      </w:r>
      <w:r w:rsidR="00EE17E1" w:rsidRPr="00EE17E1">
        <w:br/>
      </w:r>
      <w:r w:rsidR="00EE17E1" w:rsidRPr="00EE17E1">
        <w:br/>
        <w:t xml:space="preserve">3. </w:t>
      </w:r>
      <w:r w:rsidR="00EE17E1" w:rsidRPr="00EE17E1">
        <w:rPr>
          <w:rFonts w:eastAsiaTheme="majorEastAsia" w:cstheme="majorBidi"/>
          <w:color w:val="0F4761" w:themeColor="accent1" w:themeShade="BF"/>
        </w:rPr>
        <w:t xml:space="preserve">Freedman, Max. “Management Theory of Charles Handy.” </w:t>
      </w:r>
      <w:r w:rsidR="00EE17E1" w:rsidRPr="00EE17E1">
        <w:rPr>
          <w:rFonts w:eastAsiaTheme="majorEastAsia" w:cstheme="majorBidi"/>
          <w:i/>
          <w:iCs/>
          <w:color w:val="0F4761" w:themeColor="accent1" w:themeShade="BF"/>
        </w:rPr>
        <w:t>Business.com</w:t>
      </w:r>
      <w:r w:rsidR="00EE17E1" w:rsidRPr="00EE17E1">
        <w:rPr>
          <w:rFonts w:eastAsiaTheme="majorEastAsia" w:cstheme="majorBidi"/>
          <w:color w:val="0F4761" w:themeColor="accent1" w:themeShade="BF"/>
        </w:rPr>
        <w:t>, business.com, 28 Apr. 2025, www.business.com/articles/management-theory-of-charles-handy/.</w:t>
      </w:r>
    </w:p>
    <w:p w14:paraId="15B363E1"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lastRenderedPageBreak/>
        <w:t xml:space="preserve">4. The Strategy Institute. “The McKinsey 7-S Model for Organizational Alignment and Success.” </w:t>
      </w:r>
      <w:r w:rsidRPr="00EE17E1">
        <w:rPr>
          <w:rFonts w:asciiTheme="minorHAnsi" w:hAnsiTheme="minorHAnsi"/>
          <w:i/>
          <w:iCs/>
          <w:sz w:val="24"/>
          <w:szCs w:val="24"/>
        </w:rPr>
        <w:t>The Strategy Institute</w:t>
      </w:r>
      <w:r w:rsidRPr="00EE17E1">
        <w:rPr>
          <w:rFonts w:asciiTheme="minorHAnsi" w:hAnsiTheme="minorHAnsi"/>
          <w:sz w:val="24"/>
          <w:szCs w:val="24"/>
        </w:rPr>
        <w:t>, 2024, www.thestrategyinstitute.org/insights/the-mckinsey-7-s-model-for-organizational-alignment-and-success.</w:t>
      </w:r>
    </w:p>
    <w:p w14:paraId="1E0B7F10"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5. Care Quality Commission. “Culturally Appropriate Care.” </w:t>
      </w:r>
      <w:r w:rsidRPr="00EE17E1">
        <w:rPr>
          <w:rFonts w:asciiTheme="minorHAnsi" w:hAnsiTheme="minorHAnsi"/>
          <w:i/>
          <w:iCs/>
          <w:sz w:val="24"/>
          <w:szCs w:val="24"/>
        </w:rPr>
        <w:t>Www.cqc.org.uk</w:t>
      </w:r>
      <w:r w:rsidRPr="00EE17E1">
        <w:rPr>
          <w:rFonts w:asciiTheme="minorHAnsi" w:hAnsiTheme="minorHAnsi"/>
          <w:sz w:val="24"/>
          <w:szCs w:val="24"/>
        </w:rPr>
        <w:t>, 2024, www.cqc.org.uk/guidance-providers/adult-social-care/culturally-appropriate-care.</w:t>
      </w:r>
    </w:p>
    <w:p w14:paraId="3A1657DD"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6. Wulandari, Riska, et al. “Measuring Critical Thinking Skills with the RED Model.” </w:t>
      </w:r>
      <w:r w:rsidRPr="00EE17E1">
        <w:rPr>
          <w:rFonts w:asciiTheme="minorHAnsi" w:hAnsiTheme="minorHAnsi"/>
          <w:i/>
          <w:iCs/>
          <w:sz w:val="24"/>
          <w:szCs w:val="24"/>
        </w:rPr>
        <w:t>Journal of Physics: Conference Series</w:t>
      </w:r>
      <w:r w:rsidRPr="00EE17E1">
        <w:rPr>
          <w:rFonts w:asciiTheme="minorHAnsi" w:hAnsiTheme="minorHAnsi"/>
          <w:sz w:val="24"/>
          <w:szCs w:val="24"/>
        </w:rPr>
        <w:t>, vol. 1808, no. 1, 1 Mar. 2021, p. 012030, https://doi.org/10.1088/1742-6596/1808/1/012030.</w:t>
      </w:r>
    </w:p>
    <w:p w14:paraId="063584F7"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7. Oxford College Of Marketing. “What Is a PESTEL Analysis?” </w:t>
      </w:r>
      <w:r w:rsidRPr="00EE17E1">
        <w:rPr>
          <w:rFonts w:asciiTheme="minorHAnsi" w:hAnsiTheme="minorHAnsi"/>
          <w:i/>
          <w:iCs/>
          <w:sz w:val="24"/>
          <w:szCs w:val="24"/>
        </w:rPr>
        <w:t>Oxford College of Marketing Blog</w:t>
      </w:r>
      <w:r w:rsidRPr="00EE17E1">
        <w:rPr>
          <w:rFonts w:asciiTheme="minorHAnsi" w:hAnsiTheme="minorHAnsi"/>
          <w:sz w:val="24"/>
          <w:szCs w:val="24"/>
        </w:rPr>
        <w:t>, 30 June 2016, blog.oxfordcollegeofmarketing.com/2016/06/30/pestel-analysis/.</w:t>
      </w:r>
    </w:p>
    <w:p w14:paraId="4E3ABCBD"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8. Professional Academy. “Marketing Theories – PESTEL Analysis.” </w:t>
      </w:r>
      <w:r w:rsidRPr="00EE17E1">
        <w:rPr>
          <w:rFonts w:asciiTheme="minorHAnsi" w:hAnsiTheme="minorHAnsi"/>
          <w:i/>
          <w:iCs/>
          <w:sz w:val="24"/>
          <w:szCs w:val="24"/>
        </w:rPr>
        <w:t>Www.professionalacademy.com</w:t>
      </w:r>
      <w:r w:rsidRPr="00EE17E1">
        <w:rPr>
          <w:rFonts w:asciiTheme="minorHAnsi" w:hAnsiTheme="minorHAnsi"/>
          <w:sz w:val="24"/>
          <w:szCs w:val="24"/>
        </w:rPr>
        <w:t>, Professional Academy, 2024, www.professionalacademy.com/blogs/marketing-theories-pestel-analysis/.</w:t>
      </w:r>
    </w:p>
    <w:p w14:paraId="3E6783AA"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9. Reitano, Kiley. “Overcoming 3 Common Barriers to Organizational Change.” </w:t>
      </w:r>
      <w:r w:rsidRPr="00EE17E1">
        <w:rPr>
          <w:rFonts w:asciiTheme="minorHAnsi" w:hAnsiTheme="minorHAnsi"/>
          <w:i/>
          <w:iCs/>
          <w:sz w:val="24"/>
          <w:szCs w:val="24"/>
        </w:rPr>
        <w:t>Business Insights Blog</w:t>
      </w:r>
      <w:r w:rsidRPr="00EE17E1">
        <w:rPr>
          <w:rFonts w:asciiTheme="minorHAnsi" w:hAnsiTheme="minorHAnsi"/>
          <w:sz w:val="24"/>
          <w:szCs w:val="24"/>
        </w:rPr>
        <w:t>, 5 Dec. 2024, online.hbs.edu/blog/post/organizational-barriers-to-change.</w:t>
      </w:r>
    </w:p>
    <w:p w14:paraId="2432E4E8"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10. Agarwal, Pragya . “How to Create a Positive Workplace Culture.” </w:t>
      </w:r>
      <w:r w:rsidRPr="00EE17E1">
        <w:rPr>
          <w:rFonts w:asciiTheme="minorHAnsi" w:hAnsiTheme="minorHAnsi"/>
          <w:i/>
          <w:iCs/>
          <w:sz w:val="24"/>
          <w:szCs w:val="24"/>
        </w:rPr>
        <w:t>Forbes</w:t>
      </w:r>
      <w:r w:rsidRPr="00EE17E1">
        <w:rPr>
          <w:rFonts w:asciiTheme="minorHAnsi" w:hAnsiTheme="minorHAnsi"/>
          <w:sz w:val="24"/>
          <w:szCs w:val="24"/>
        </w:rPr>
        <w:t>, 30 Aug. 2018, www.forbes.com/sites/pragyaagarwaleurope/2018/08/29/how-to-create-a-positive-work-place-culture/.</w:t>
      </w:r>
    </w:p>
    <w:p w14:paraId="4F844B15"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11. Health and Safety Executive. “Human Factors/Ergonomics – Organisational Culture.” </w:t>
      </w:r>
      <w:r w:rsidRPr="00EE17E1">
        <w:rPr>
          <w:rFonts w:asciiTheme="minorHAnsi" w:hAnsiTheme="minorHAnsi"/>
          <w:i/>
          <w:iCs/>
          <w:sz w:val="24"/>
          <w:szCs w:val="24"/>
        </w:rPr>
        <w:t>Hse.gov.uk</w:t>
      </w:r>
      <w:r w:rsidRPr="00EE17E1">
        <w:rPr>
          <w:rFonts w:asciiTheme="minorHAnsi" w:hAnsiTheme="minorHAnsi"/>
          <w:sz w:val="24"/>
          <w:szCs w:val="24"/>
        </w:rPr>
        <w:t>, 2019, www.hse.gov.uk/humanfactors/topics/culture.htm.</w:t>
      </w:r>
    </w:p>
    <w:p w14:paraId="21414451"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12. Stobierski, Tim. “What Is Corporate Social Responsibility? .” </w:t>
      </w:r>
      <w:r w:rsidRPr="00EE17E1">
        <w:rPr>
          <w:rFonts w:asciiTheme="minorHAnsi" w:hAnsiTheme="minorHAnsi"/>
          <w:i/>
          <w:iCs/>
          <w:sz w:val="24"/>
          <w:szCs w:val="24"/>
        </w:rPr>
        <w:t>Harvard Business School</w:t>
      </w:r>
      <w:r w:rsidRPr="00EE17E1">
        <w:rPr>
          <w:rFonts w:asciiTheme="minorHAnsi" w:hAnsiTheme="minorHAnsi"/>
          <w:sz w:val="24"/>
          <w:szCs w:val="24"/>
        </w:rPr>
        <w:t>, 8 Apr. 2021, online.hbs.edu/blog/post/types-of-corporate-social-responsibility.</w:t>
      </w:r>
    </w:p>
    <w:p w14:paraId="5FE6892D"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13. tri.x. “Guidance for Culturally Appropriate Practice.” </w:t>
      </w:r>
      <w:r w:rsidRPr="00EE17E1">
        <w:rPr>
          <w:rFonts w:asciiTheme="minorHAnsi" w:hAnsiTheme="minorHAnsi"/>
          <w:i/>
          <w:iCs/>
          <w:sz w:val="24"/>
          <w:szCs w:val="24"/>
        </w:rPr>
        <w:t>Trixonline.co.uk</w:t>
      </w:r>
      <w:r w:rsidRPr="00EE17E1">
        <w:rPr>
          <w:rFonts w:asciiTheme="minorHAnsi" w:hAnsiTheme="minorHAnsi"/>
          <w:sz w:val="24"/>
          <w:szCs w:val="24"/>
        </w:rPr>
        <w:t>, 2 Jan. 2024, greatermanchesterscp.trixonline.co.uk/chapter/guidance-for-culturally-appropriate-practice.</w:t>
      </w:r>
    </w:p>
    <w:p w14:paraId="2A297491"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lastRenderedPageBreak/>
        <w:t xml:space="preserve">14. Mackenzie , Derek . “How to Cultivate a High-Performance Culture.” </w:t>
      </w:r>
      <w:r w:rsidRPr="00EE17E1">
        <w:rPr>
          <w:rFonts w:asciiTheme="minorHAnsi" w:hAnsiTheme="minorHAnsi"/>
          <w:i/>
          <w:iCs/>
          <w:sz w:val="24"/>
          <w:szCs w:val="24"/>
        </w:rPr>
        <w:t>Www.peoplemanagement.co.uk</w:t>
      </w:r>
      <w:r w:rsidRPr="00EE17E1">
        <w:rPr>
          <w:rFonts w:asciiTheme="minorHAnsi" w:hAnsiTheme="minorHAnsi"/>
          <w:sz w:val="24"/>
          <w:szCs w:val="24"/>
        </w:rPr>
        <w:t>, 6 Oct. 2023, www.peoplemanagement.co.uk/article/1839814/cultivate-high-performance-culture.</w:t>
      </w:r>
    </w:p>
    <w:p w14:paraId="1369A3C3"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15. Brearley, Ben. “Performance Management: Do It Well with the 5 "C"S - Thoughtful Leader.” </w:t>
      </w:r>
      <w:r w:rsidRPr="00EE17E1">
        <w:rPr>
          <w:rFonts w:asciiTheme="minorHAnsi" w:hAnsiTheme="minorHAnsi"/>
          <w:i/>
          <w:iCs/>
          <w:sz w:val="24"/>
          <w:szCs w:val="24"/>
        </w:rPr>
        <w:t>Thoughtful Leader</w:t>
      </w:r>
      <w:r w:rsidRPr="00EE17E1">
        <w:rPr>
          <w:rFonts w:asciiTheme="minorHAnsi" w:hAnsiTheme="minorHAnsi"/>
          <w:sz w:val="24"/>
          <w:szCs w:val="24"/>
        </w:rPr>
        <w:t>, 31 Oct. 2024, www.thoughtfulleader.com/people-management/performance-management/.</w:t>
      </w:r>
    </w:p>
    <w:p w14:paraId="56BC3572"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16. Mckinsey. “Creating a High-Performance Culture | McKinsey.” </w:t>
      </w:r>
      <w:r w:rsidRPr="00EE17E1">
        <w:rPr>
          <w:rFonts w:asciiTheme="minorHAnsi" w:hAnsiTheme="minorHAnsi"/>
          <w:i/>
          <w:iCs/>
          <w:sz w:val="24"/>
          <w:szCs w:val="24"/>
        </w:rPr>
        <w:t>Www.mckinsey.com</w:t>
      </w:r>
      <w:r w:rsidRPr="00EE17E1">
        <w:rPr>
          <w:rFonts w:asciiTheme="minorHAnsi" w:hAnsiTheme="minorHAnsi"/>
          <w:sz w:val="24"/>
          <w:szCs w:val="24"/>
        </w:rPr>
        <w:t>, 3 Oct. 2017, www.mckinsey.com/capabilities/operations/our-insights/creating-a-high-performance-culture.</w:t>
      </w:r>
    </w:p>
    <w:p w14:paraId="0D5B4CCE"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17. Ryba, Kristin. “8 Characteristics of High-Performing Teams (and How to Build One).” </w:t>
      </w:r>
      <w:r w:rsidRPr="00EE17E1">
        <w:rPr>
          <w:rFonts w:asciiTheme="minorHAnsi" w:hAnsiTheme="minorHAnsi"/>
          <w:i/>
          <w:iCs/>
          <w:sz w:val="24"/>
          <w:szCs w:val="24"/>
        </w:rPr>
        <w:t>Www.quantumworkplace.com</w:t>
      </w:r>
      <w:r w:rsidRPr="00EE17E1">
        <w:rPr>
          <w:rFonts w:asciiTheme="minorHAnsi" w:hAnsiTheme="minorHAnsi"/>
          <w:sz w:val="24"/>
          <w:szCs w:val="24"/>
        </w:rPr>
        <w:t>, 25 July 2023, www.quantumworkplace.com/future-of-work/characteristics-of-high-performing-teams.</w:t>
      </w:r>
    </w:p>
    <w:p w14:paraId="029E2E04"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18. The Kings Fund. “Improving NHS Culture.” </w:t>
      </w:r>
      <w:r w:rsidRPr="00EE17E1">
        <w:rPr>
          <w:rFonts w:asciiTheme="minorHAnsi" w:hAnsiTheme="minorHAnsi"/>
          <w:i/>
          <w:iCs/>
          <w:sz w:val="24"/>
          <w:szCs w:val="24"/>
        </w:rPr>
        <w:t>THE KINGS FUND</w:t>
      </w:r>
      <w:r w:rsidRPr="00EE17E1">
        <w:rPr>
          <w:rFonts w:asciiTheme="minorHAnsi" w:hAnsiTheme="minorHAnsi"/>
          <w:sz w:val="24"/>
          <w:szCs w:val="24"/>
        </w:rPr>
        <w:t>, 2015, www.kingsfund.org.uk/insight-and-analysis/projects/improving-nhs-culture.</w:t>
      </w:r>
      <w:r w:rsidRPr="00EE17E1">
        <w:rPr>
          <w:rFonts w:asciiTheme="minorHAnsi" w:hAnsiTheme="minorHAnsi"/>
          <w:sz w:val="24"/>
          <w:szCs w:val="24"/>
        </w:rPr>
        <w:br/>
        <w:t xml:space="preserve">19. Rabkin, Simon W., and Mark Frein. “Overcoming Obstacles to Develop High-Performance Teams Involving Physician in Health Care Organizations.” </w:t>
      </w:r>
      <w:r w:rsidRPr="00EE17E1">
        <w:rPr>
          <w:rFonts w:asciiTheme="minorHAnsi" w:hAnsiTheme="minorHAnsi"/>
          <w:i/>
          <w:iCs/>
          <w:sz w:val="24"/>
          <w:szCs w:val="24"/>
        </w:rPr>
        <w:t>Healthcare</w:t>
      </w:r>
      <w:r w:rsidRPr="00EE17E1">
        <w:rPr>
          <w:rFonts w:asciiTheme="minorHAnsi" w:hAnsiTheme="minorHAnsi"/>
          <w:sz w:val="24"/>
          <w:szCs w:val="24"/>
        </w:rPr>
        <w:t>, vol. 9, no. 9, 31 Aug. 2021, p. 1136, pmc.ncbi.nlm.nih.gov/articles/PMC8469144/, https://doi.org/10.3390/healthcare9091136.</w:t>
      </w:r>
    </w:p>
    <w:p w14:paraId="09580541"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19. Nightingale, Adele. “Developing the Organisational Culture in a Healthcare Setting.” </w:t>
      </w:r>
      <w:r w:rsidRPr="00EE17E1">
        <w:rPr>
          <w:rFonts w:asciiTheme="minorHAnsi" w:hAnsiTheme="minorHAnsi"/>
          <w:i/>
          <w:iCs/>
          <w:sz w:val="24"/>
          <w:szCs w:val="24"/>
        </w:rPr>
        <w:t>Nursing Standard</w:t>
      </w:r>
      <w:r w:rsidRPr="00EE17E1">
        <w:rPr>
          <w:rFonts w:asciiTheme="minorHAnsi" w:hAnsiTheme="minorHAnsi"/>
          <w:sz w:val="24"/>
          <w:szCs w:val="24"/>
        </w:rPr>
        <w:t>, vol. 32, no. 21, 17 Jan. 2018, pp. 53–63, https://doi.org/10.7748/ns.2018.e11021.</w:t>
      </w:r>
    </w:p>
    <w:p w14:paraId="10CE5221" w14:textId="77777777" w:rsidR="00EE17E1" w:rsidRPr="00EE17E1" w:rsidRDefault="00EE17E1" w:rsidP="00EE17E1">
      <w:pPr>
        <w:pStyle w:val="Heading2"/>
        <w:spacing w:line="360" w:lineRule="auto"/>
        <w:rPr>
          <w:rFonts w:asciiTheme="minorHAnsi" w:hAnsiTheme="minorHAnsi"/>
          <w:sz w:val="24"/>
          <w:szCs w:val="24"/>
        </w:rPr>
      </w:pPr>
      <w:r w:rsidRPr="00EE17E1">
        <w:rPr>
          <w:rFonts w:asciiTheme="minorHAnsi" w:hAnsiTheme="minorHAnsi"/>
          <w:sz w:val="24"/>
          <w:szCs w:val="24"/>
        </w:rPr>
        <w:t xml:space="preserve">20. Jobs, The Guardian. “What Is Workplace Culture? | Guardian Recruiters.” </w:t>
      </w:r>
      <w:r w:rsidRPr="00EE17E1">
        <w:rPr>
          <w:rFonts w:asciiTheme="minorHAnsi" w:hAnsiTheme="minorHAnsi"/>
          <w:i/>
          <w:iCs/>
          <w:sz w:val="24"/>
          <w:szCs w:val="24"/>
        </w:rPr>
        <w:t>What Is Workplace Culture? | Guardian Recruiters</w:t>
      </w:r>
      <w:r w:rsidRPr="00EE17E1">
        <w:rPr>
          <w:rFonts w:asciiTheme="minorHAnsi" w:hAnsiTheme="minorHAnsi"/>
          <w:sz w:val="24"/>
          <w:szCs w:val="24"/>
        </w:rPr>
        <w:t>, The Guardian Jobs, 29 July 2024, recruiters.theguardian.com/advice/workplace-culture.</w:t>
      </w:r>
    </w:p>
    <w:p w14:paraId="56317958" w14:textId="77777777" w:rsidR="00EE17E1" w:rsidRPr="00A4470D" w:rsidRDefault="00EE17E1" w:rsidP="00EE17E1">
      <w:pPr>
        <w:pStyle w:val="Heading2"/>
        <w:rPr>
          <w:rFonts w:asciiTheme="minorHAnsi" w:hAnsiTheme="minorHAnsi"/>
        </w:rPr>
      </w:pPr>
    </w:p>
    <w:p w14:paraId="11CBCE65" w14:textId="43090CDB" w:rsidR="00F42BC1" w:rsidRPr="00A87148" w:rsidRDefault="00F42BC1" w:rsidP="00F42BC1">
      <w:pPr>
        <w:spacing w:line="360" w:lineRule="auto"/>
        <w:jc w:val="center"/>
        <w:rPr>
          <w:rFonts w:ascii="Georgia" w:eastAsiaTheme="majorEastAsia" w:hAnsi="Georgia" w:cstheme="majorBidi"/>
        </w:rPr>
      </w:pPr>
    </w:p>
    <w:sectPr w:rsidR="00F42BC1" w:rsidRPr="00A87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0D7"/>
    <w:rsid w:val="00051A71"/>
    <w:rsid w:val="00125184"/>
    <w:rsid w:val="00146351"/>
    <w:rsid w:val="00170B72"/>
    <w:rsid w:val="001C46F9"/>
    <w:rsid w:val="001E5055"/>
    <w:rsid w:val="00280EE7"/>
    <w:rsid w:val="00396E11"/>
    <w:rsid w:val="003E4A40"/>
    <w:rsid w:val="004573B9"/>
    <w:rsid w:val="004A559F"/>
    <w:rsid w:val="004D6A24"/>
    <w:rsid w:val="00561E1E"/>
    <w:rsid w:val="00605566"/>
    <w:rsid w:val="0067513C"/>
    <w:rsid w:val="006961BD"/>
    <w:rsid w:val="006C6CF7"/>
    <w:rsid w:val="009F6F2E"/>
    <w:rsid w:val="00A04474"/>
    <w:rsid w:val="00A450D7"/>
    <w:rsid w:val="00A87148"/>
    <w:rsid w:val="00B46A83"/>
    <w:rsid w:val="00C82304"/>
    <w:rsid w:val="00E61C53"/>
    <w:rsid w:val="00E92CF0"/>
    <w:rsid w:val="00EE17E1"/>
    <w:rsid w:val="00F42BC1"/>
    <w:rsid w:val="00FB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06F5"/>
  <w15:chartTrackingRefBased/>
  <w15:docId w15:val="{129AF083-050D-451B-AAC5-1A5704CE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0D7"/>
  </w:style>
  <w:style w:type="paragraph" w:styleId="Heading1">
    <w:name w:val="heading 1"/>
    <w:basedOn w:val="Normal"/>
    <w:next w:val="Normal"/>
    <w:link w:val="Heading1Char"/>
    <w:uiPriority w:val="9"/>
    <w:qFormat/>
    <w:rsid w:val="00A45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5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5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0D7"/>
    <w:rPr>
      <w:rFonts w:eastAsiaTheme="majorEastAsia" w:cstheme="majorBidi"/>
      <w:color w:val="272727" w:themeColor="text1" w:themeTint="D8"/>
    </w:rPr>
  </w:style>
  <w:style w:type="paragraph" w:styleId="Title">
    <w:name w:val="Title"/>
    <w:basedOn w:val="Normal"/>
    <w:next w:val="Normal"/>
    <w:link w:val="TitleChar"/>
    <w:uiPriority w:val="10"/>
    <w:qFormat/>
    <w:rsid w:val="00A45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0D7"/>
    <w:pPr>
      <w:spacing w:before="160"/>
      <w:jc w:val="center"/>
    </w:pPr>
    <w:rPr>
      <w:i/>
      <w:iCs/>
      <w:color w:val="404040" w:themeColor="text1" w:themeTint="BF"/>
    </w:rPr>
  </w:style>
  <w:style w:type="character" w:customStyle="1" w:styleId="QuoteChar">
    <w:name w:val="Quote Char"/>
    <w:basedOn w:val="DefaultParagraphFont"/>
    <w:link w:val="Quote"/>
    <w:uiPriority w:val="29"/>
    <w:rsid w:val="00A450D7"/>
    <w:rPr>
      <w:i/>
      <w:iCs/>
      <w:color w:val="404040" w:themeColor="text1" w:themeTint="BF"/>
    </w:rPr>
  </w:style>
  <w:style w:type="paragraph" w:styleId="ListParagraph">
    <w:name w:val="List Paragraph"/>
    <w:basedOn w:val="Normal"/>
    <w:uiPriority w:val="34"/>
    <w:qFormat/>
    <w:rsid w:val="00A450D7"/>
    <w:pPr>
      <w:ind w:left="720"/>
      <w:contextualSpacing/>
    </w:pPr>
  </w:style>
  <w:style w:type="character" w:styleId="IntenseEmphasis">
    <w:name w:val="Intense Emphasis"/>
    <w:basedOn w:val="DefaultParagraphFont"/>
    <w:uiPriority w:val="21"/>
    <w:qFormat/>
    <w:rsid w:val="00A450D7"/>
    <w:rPr>
      <w:i/>
      <w:iCs/>
      <w:color w:val="0F4761" w:themeColor="accent1" w:themeShade="BF"/>
    </w:rPr>
  </w:style>
  <w:style w:type="paragraph" w:styleId="IntenseQuote">
    <w:name w:val="Intense Quote"/>
    <w:basedOn w:val="Normal"/>
    <w:next w:val="Normal"/>
    <w:link w:val="IntenseQuoteChar"/>
    <w:uiPriority w:val="30"/>
    <w:qFormat/>
    <w:rsid w:val="00A45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0D7"/>
    <w:rPr>
      <w:i/>
      <w:iCs/>
      <w:color w:val="0F4761" w:themeColor="accent1" w:themeShade="BF"/>
    </w:rPr>
  </w:style>
  <w:style w:type="character" w:styleId="IntenseReference">
    <w:name w:val="Intense Reference"/>
    <w:basedOn w:val="DefaultParagraphFont"/>
    <w:uiPriority w:val="32"/>
    <w:qFormat/>
    <w:rsid w:val="00A450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2025-11-25T20:00:00Z</dcterms:created>
  <dcterms:modified xsi:type="dcterms:W3CDTF">2025-11-25T20:00:00Z</dcterms:modified>
</cp:coreProperties>
</file>