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BDA02">
      <w:pPr>
        <w:pStyle w:val="9"/>
        <w:spacing w:before="100" w:beforeAutospacing="1" w:after="100" w:afterAutospacing="1" w:line="480" w:lineRule="auto"/>
        <w:jc w:val="center"/>
        <w:rPr>
          <w:rFonts w:hint="default" w:ascii="Arial" w:hAnsi="Arial" w:cs="Arial"/>
          <w:color w:val="auto"/>
          <w:sz w:val="24"/>
          <w:szCs w:val="24"/>
        </w:rPr>
      </w:pPr>
      <w:r>
        <w:rPr>
          <w:rFonts w:hint="default" w:ascii="Arial" w:hAnsi="Arial" w:cs="Arial"/>
          <w:color w:val="auto"/>
          <w:sz w:val="24"/>
          <w:szCs w:val="24"/>
        </w:rPr>
        <w:t>Unit name: Global Ethics</w:t>
      </w:r>
    </w:p>
    <w:p w14:paraId="3C077407">
      <w:pPr>
        <w:pStyle w:val="9"/>
        <w:spacing w:before="100" w:beforeAutospacing="1" w:after="100" w:afterAutospacing="1" w:line="480" w:lineRule="auto"/>
        <w:jc w:val="center"/>
        <w:rPr>
          <w:rFonts w:hint="default" w:ascii="Arial" w:hAnsi="Arial" w:cs="Arial" w:eastAsiaTheme="majorEastAsia"/>
          <w:color w:val="auto"/>
          <w:sz w:val="24"/>
          <w:szCs w:val="24"/>
          <w:lang w:val="en-US" w:eastAsia="zh-CN"/>
        </w:rPr>
      </w:pPr>
      <w:r>
        <w:rPr>
          <w:rFonts w:hint="default" w:ascii="Arial" w:hAnsi="Arial" w:cs="Arial"/>
          <w:color w:val="auto"/>
          <w:sz w:val="24"/>
          <w:szCs w:val="24"/>
        </w:rPr>
        <w:t xml:space="preserve">Module code: </w:t>
      </w:r>
      <w:r>
        <w:rPr>
          <w:rFonts w:hint="default" w:ascii="Arial" w:hAnsi="Arial" w:cs="Arial"/>
          <w:color w:val="auto"/>
          <w:sz w:val="24"/>
          <w:szCs w:val="24"/>
          <w:lang w:val="en-US" w:eastAsia="zh-CN"/>
        </w:rPr>
        <w:t>BMBM6012</w:t>
      </w:r>
    </w:p>
    <w:p w14:paraId="58938BA4">
      <w:pPr>
        <w:spacing w:before="100" w:beforeAutospacing="1" w:after="100" w:afterAutospacing="1" w:line="480" w:lineRule="auto"/>
        <w:jc w:val="center"/>
        <w:rPr>
          <w:rFonts w:hint="default" w:ascii="Arial" w:hAnsi="Arial" w:cs="Arial"/>
          <w:color w:val="auto"/>
          <w:sz w:val="24"/>
          <w:szCs w:val="24"/>
        </w:rPr>
      </w:pPr>
    </w:p>
    <w:p w14:paraId="77982C88">
      <w:pPr>
        <w:spacing w:before="100" w:beforeAutospacing="1" w:after="100" w:afterAutospacing="1" w:line="480" w:lineRule="auto"/>
        <w:jc w:val="center"/>
        <w:rPr>
          <w:rFonts w:hint="default" w:ascii="Arial" w:hAnsi="Arial" w:cs="Arial"/>
          <w:color w:val="auto"/>
          <w:sz w:val="24"/>
          <w:szCs w:val="24"/>
        </w:rPr>
      </w:pPr>
      <w:r>
        <w:rPr>
          <w:rFonts w:hint="default" w:ascii="Arial" w:hAnsi="Arial" w:cs="Arial"/>
          <w:color w:val="auto"/>
          <w:sz w:val="24"/>
          <w:szCs w:val="24"/>
          <w:lang w:val="en-US" w:eastAsia="zh-CN"/>
        </w:rPr>
        <w:t>Ethical Issues in the BMW Company</w:t>
      </w:r>
    </w:p>
    <w:p w14:paraId="77672712">
      <w:pPr>
        <w:spacing w:before="100" w:beforeAutospacing="1" w:after="100" w:afterAutospacing="1" w:line="480" w:lineRule="auto"/>
        <w:jc w:val="center"/>
        <w:rPr>
          <w:rFonts w:hint="default" w:ascii="Arial" w:hAnsi="Arial" w:cs="Arial"/>
          <w:color w:val="auto"/>
          <w:sz w:val="24"/>
          <w:szCs w:val="24"/>
        </w:rPr>
      </w:pPr>
    </w:p>
    <w:p w14:paraId="3AEA45B1">
      <w:pPr>
        <w:spacing w:before="100" w:beforeAutospacing="1" w:after="100" w:afterAutospacing="1" w:line="480" w:lineRule="auto"/>
        <w:jc w:val="center"/>
        <w:rPr>
          <w:rFonts w:hint="default" w:ascii="Arial" w:hAnsi="Arial" w:cs="Arial" w:eastAsiaTheme="minorEastAsia"/>
          <w:color w:val="auto"/>
          <w:sz w:val="24"/>
          <w:szCs w:val="24"/>
          <w:lang w:val="en-US" w:eastAsia="zh-CN"/>
        </w:rPr>
      </w:pPr>
      <w:r>
        <w:rPr>
          <w:rFonts w:hint="default" w:ascii="Arial" w:hAnsi="Arial" w:cs="Arial"/>
          <w:color w:val="auto"/>
          <w:sz w:val="24"/>
          <w:szCs w:val="24"/>
        </w:rPr>
        <w:t xml:space="preserve">Written by: </w:t>
      </w:r>
      <w:r>
        <w:rPr>
          <w:rFonts w:hint="default" w:ascii="Arial" w:hAnsi="Arial" w:cs="Arial"/>
          <w:color w:val="auto"/>
          <w:sz w:val="24"/>
          <w:szCs w:val="24"/>
          <w:lang w:val="en-US" w:eastAsia="zh-CN"/>
        </w:rPr>
        <w:t>Yuyang Chen</w:t>
      </w:r>
    </w:p>
    <w:p w14:paraId="488070EA">
      <w:pPr>
        <w:spacing w:before="100" w:beforeAutospacing="1" w:after="100" w:afterAutospacing="1" w:line="480" w:lineRule="auto"/>
        <w:jc w:val="center"/>
        <w:rPr>
          <w:rFonts w:hint="default" w:ascii="Arial" w:hAnsi="Arial" w:cs="Arial" w:eastAsiaTheme="minorEastAsia"/>
          <w:color w:val="auto"/>
          <w:sz w:val="24"/>
          <w:szCs w:val="24"/>
          <w:lang w:val="en-US" w:eastAsia="zh-CN"/>
        </w:rPr>
      </w:pPr>
      <w:r>
        <w:rPr>
          <w:rFonts w:hint="default" w:ascii="Arial" w:hAnsi="Arial" w:cs="Arial"/>
          <w:color w:val="auto"/>
          <w:sz w:val="24"/>
          <w:szCs w:val="24"/>
        </w:rPr>
        <w:t xml:space="preserve">Student ID: </w:t>
      </w:r>
      <w:r>
        <w:rPr>
          <w:rFonts w:hint="eastAsia" w:ascii="Arial" w:hAnsi="Arial" w:cs="Arial"/>
          <w:color w:val="auto"/>
          <w:sz w:val="24"/>
          <w:szCs w:val="24"/>
          <w:lang w:val="en-US" w:eastAsia="zh-CN"/>
        </w:rPr>
        <w:t>2400262</w:t>
      </w:r>
    </w:p>
    <w:p w14:paraId="0278A424">
      <w:pPr>
        <w:spacing w:before="100" w:beforeAutospacing="1" w:after="100" w:afterAutospacing="1" w:line="480" w:lineRule="auto"/>
        <w:jc w:val="center"/>
        <w:rPr>
          <w:rFonts w:hint="default" w:ascii="Arial" w:hAnsi="Arial" w:cs="Arial" w:eastAsiaTheme="minorEastAsia"/>
          <w:color w:val="auto"/>
          <w:sz w:val="24"/>
          <w:szCs w:val="24"/>
          <w:lang w:val="en-US" w:eastAsia="zh-CN"/>
        </w:rPr>
      </w:pPr>
      <w:r>
        <w:rPr>
          <w:rFonts w:hint="default" w:ascii="Arial" w:hAnsi="Arial" w:cs="Arial"/>
          <w:color w:val="auto"/>
          <w:sz w:val="24"/>
          <w:szCs w:val="24"/>
        </w:rPr>
        <w:t xml:space="preserve">Date submitted: </w:t>
      </w:r>
      <w:r>
        <w:rPr>
          <w:rFonts w:hint="eastAsia" w:ascii="Arial" w:hAnsi="Arial" w:cs="Arial"/>
          <w:color w:val="auto"/>
          <w:sz w:val="24"/>
          <w:szCs w:val="24"/>
          <w:lang w:val="en-US" w:eastAsia="zh-CN"/>
        </w:rPr>
        <w:t>8/12/2024</w:t>
      </w:r>
    </w:p>
    <w:p w14:paraId="6D75A741">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7FEA7591">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3F072E5D">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27F6C00E">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73F9E896">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0581BD87">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1EF9E12A">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251F9A3C">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2DF1A31D">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59912FAD">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555DED26">
      <w:pPr>
        <w:keepNext w:val="0"/>
        <w:keepLines w:val="0"/>
        <w:widowControl/>
        <w:suppressLineNumbers w:val="0"/>
        <w:spacing w:line="480" w:lineRule="auto"/>
        <w:jc w:val="both"/>
        <w:rPr>
          <w:rFonts w:hint="default" w:ascii="Arial" w:hAnsi="Arial" w:eastAsia="TimesNewRomanPS-BoldMT" w:cs="Arial"/>
          <w:b/>
          <w:bCs/>
          <w:color w:val="auto"/>
          <w:kern w:val="0"/>
          <w:sz w:val="24"/>
          <w:szCs w:val="24"/>
          <w:lang w:val="en-US" w:eastAsia="zh-CN" w:bidi="ar"/>
        </w:rPr>
      </w:pPr>
    </w:p>
    <w:p w14:paraId="5C343440">
      <w:pPr>
        <w:keepNext w:val="0"/>
        <w:keepLines w:val="0"/>
        <w:widowControl/>
        <w:suppressLineNumbers w:val="0"/>
        <w:spacing w:line="480" w:lineRule="auto"/>
        <w:jc w:val="both"/>
        <w:rPr>
          <w:rFonts w:hint="default" w:ascii="Arial" w:hAnsi="Arial" w:cs="Arial"/>
          <w:color w:val="auto"/>
          <w:sz w:val="24"/>
          <w:szCs w:val="24"/>
        </w:rPr>
      </w:pPr>
      <w:r>
        <w:rPr>
          <w:rFonts w:hint="default" w:ascii="Arial" w:hAnsi="Arial" w:eastAsia="TimesNewRomanPS-BoldMT" w:cs="Arial"/>
          <w:b/>
          <w:bCs/>
          <w:color w:val="auto"/>
          <w:kern w:val="0"/>
          <w:sz w:val="24"/>
          <w:szCs w:val="24"/>
          <w:lang w:val="en-US" w:eastAsia="zh-CN" w:bidi="ar"/>
        </w:rPr>
        <w:t>Executive Summary</w:t>
      </w:r>
    </w:p>
    <w:p w14:paraId="36768D00">
      <w:pPr>
        <w:spacing w:line="480" w:lineRule="auto"/>
        <w:jc w:val="both"/>
        <w:rPr>
          <w:rFonts w:hint="default" w:ascii="Arial" w:hAnsi="Arial" w:cs="Arial"/>
          <w:color w:val="auto"/>
          <w:sz w:val="24"/>
          <w:szCs w:val="24"/>
        </w:rPr>
      </w:pPr>
    </w:p>
    <w:p w14:paraId="6A32DC6C">
      <w:pPr>
        <w:spacing w:line="480" w:lineRule="auto"/>
        <w:jc w:val="both"/>
        <w:rPr>
          <w:rFonts w:hint="default" w:ascii="Arial" w:hAnsi="Arial" w:cs="Arial"/>
          <w:color w:val="auto"/>
          <w:sz w:val="24"/>
          <w:szCs w:val="24"/>
        </w:rPr>
        <w:sectPr>
          <w:pgSz w:w="11906" w:h="16838"/>
          <w:pgMar w:top="1440" w:right="1800" w:bottom="1440" w:left="1800" w:header="851" w:footer="992" w:gutter="0"/>
          <w:cols w:space="425" w:num="1"/>
          <w:docGrid w:type="lines" w:linePitch="312" w:charSpace="0"/>
        </w:sectPr>
      </w:pPr>
      <w:r>
        <w:rPr>
          <w:rFonts w:hint="default" w:ascii="Arial" w:hAnsi="Arial" w:cs="Arial"/>
          <w:color w:val="auto"/>
          <w:sz w:val="24"/>
          <w:szCs w:val="24"/>
        </w:rPr>
        <w:t>This report explores critical aspects of international business communication (IBC) essential for the successful expansion of a large clothing retail group into the Asian market. It identifies challenges such as cultural differences, communication styles, and relationship-building while proposing strategies to address these issues. The report integrates theories like Trompenaars’ cultural dimensions, Hofstede’s framework, and Hall’s high- and low-context theory to highlight the importance of understanding cultural nuances for effective communication. Strengthening skills such as oral expression and critical thinking are important for success in cross-cultural environments. Such competencies contribute to developing effective strategies for dealing with cultural differences and communication challenges. Which supports the development of strategies to address cultural and communication challenges effectively. These elements collectively ensure the apparel group’s adaptability and long-term success in the Asian market. The importance of trust-building and fostering strong interpersonal relationships. The insights and references used in this report are primarily derived from academic literature available on Google Scholar.</w:t>
      </w:r>
    </w:p>
    <w:p w14:paraId="539BE986">
      <w:pPr>
        <w:spacing w:line="480" w:lineRule="auto"/>
        <w:jc w:val="both"/>
        <w:rPr>
          <w:rFonts w:hint="default" w:ascii="Arial" w:hAnsi="Arial" w:cs="Arial"/>
          <w:color w:val="auto"/>
          <w:sz w:val="24"/>
          <w:szCs w:val="24"/>
        </w:rPr>
      </w:pPr>
    </w:p>
    <w:sdt>
      <w:sdtPr>
        <w:rPr>
          <w:rFonts w:hint="default" w:ascii="Arial" w:hAnsi="Arial" w:eastAsia="宋体" w:cs="Arial"/>
          <w:color w:val="auto"/>
          <w:kern w:val="2"/>
          <w:sz w:val="24"/>
          <w:szCs w:val="24"/>
          <w:lang w:val="en-US" w:eastAsia="zh-CN" w:bidi="ar-SA"/>
        </w:rPr>
        <w:id w:val="147453781"/>
        <w15:color w:val="DBDBDB"/>
        <w:docPartObj>
          <w:docPartGallery w:val="Table of Contents"/>
          <w:docPartUnique/>
        </w:docPartObj>
      </w:sdtPr>
      <w:sdtEndPr>
        <w:rPr>
          <w:rFonts w:hint="default" w:ascii="Arial" w:hAnsi="Arial" w:cs="Arial" w:eastAsiaTheme="minorEastAsia"/>
          <w:color w:val="auto"/>
          <w:kern w:val="2"/>
          <w:sz w:val="24"/>
          <w:szCs w:val="24"/>
          <w:lang w:val="en-US" w:eastAsia="zh-CN" w:bidi="ar-SA"/>
        </w:rPr>
      </w:sdtEndPr>
      <w:sdtContent>
        <w:p w14:paraId="066EA359">
          <w:pPr>
            <w:spacing w:before="0" w:beforeLines="0" w:after="0" w:afterLines="0" w:line="480" w:lineRule="auto"/>
            <w:ind w:left="0" w:leftChars="0" w:right="0" w:rightChars="0" w:firstLine="0" w:firstLineChars="0"/>
            <w:jc w:val="both"/>
            <w:rPr>
              <w:rFonts w:hint="default" w:ascii="Arial" w:hAnsi="Arial" w:eastAsia="宋体" w:cs="Arial"/>
              <w:color w:val="auto"/>
              <w:kern w:val="2"/>
              <w:sz w:val="24"/>
              <w:szCs w:val="24"/>
              <w:lang w:val="en-US" w:eastAsia="zh-CN" w:bidi="ar-SA"/>
            </w:rPr>
          </w:pPr>
          <w:r>
            <w:rPr>
              <w:rFonts w:hint="default" w:ascii="Arial" w:hAnsi="Arial" w:eastAsia="宋体" w:cs="Arial"/>
              <w:color w:val="auto"/>
              <w:kern w:val="2"/>
              <w:sz w:val="24"/>
              <w:szCs w:val="24"/>
              <w:lang w:val="en-US" w:eastAsia="zh-CN" w:bidi="ar-SA"/>
            </w:rPr>
            <w:t>Content Page</w:t>
          </w:r>
        </w:p>
        <w:p w14:paraId="10B5FE17">
          <w:pPr>
            <w:spacing w:before="0" w:beforeLines="0" w:after="0" w:afterLines="0" w:line="480" w:lineRule="auto"/>
            <w:ind w:left="0" w:leftChars="0" w:right="0" w:rightChars="0" w:firstLine="0" w:firstLineChars="0"/>
            <w:jc w:val="both"/>
            <w:rPr>
              <w:rFonts w:hint="default" w:ascii="Arial" w:hAnsi="Arial" w:eastAsia="宋体" w:cs="Arial"/>
              <w:color w:val="auto"/>
              <w:kern w:val="2"/>
              <w:sz w:val="24"/>
              <w:szCs w:val="24"/>
              <w:lang w:val="en-US" w:eastAsia="zh-CN" w:bidi="ar-SA"/>
            </w:rPr>
          </w:pPr>
        </w:p>
        <w:p w14:paraId="3E1BCF8D">
          <w:pPr>
            <w:pStyle w:val="6"/>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TOC \o "1-3" \h \u </w:instrText>
          </w:r>
          <w:r>
            <w:rPr>
              <w:rFonts w:hint="default" w:ascii="Arial" w:hAnsi="Arial" w:cs="Arial"/>
              <w:color w:val="auto"/>
              <w:sz w:val="24"/>
              <w:szCs w:val="24"/>
            </w:rPr>
            <w:fldChar w:fldCharType="separate"/>
          </w: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_Toc20808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1.0 Introduction</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_Toc20808 \h </w:instrText>
          </w:r>
          <w:r>
            <w:rPr>
              <w:rFonts w:hint="default" w:ascii="Arial" w:hAnsi="Arial" w:cs="Arial"/>
              <w:color w:val="auto"/>
              <w:sz w:val="24"/>
              <w:szCs w:val="24"/>
            </w:rPr>
            <w:fldChar w:fldCharType="separate"/>
          </w:r>
          <w:r>
            <w:rPr>
              <w:rFonts w:hint="default" w:ascii="Arial" w:hAnsi="Arial" w:cs="Arial"/>
              <w:color w:val="auto"/>
              <w:sz w:val="24"/>
              <w:szCs w:val="24"/>
            </w:rPr>
            <w:t>3</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612016B3">
          <w:pPr>
            <w:pStyle w:val="6"/>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_Toc10528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2.0 Main findings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_Toc10528 \h </w:instrText>
          </w:r>
          <w:r>
            <w:rPr>
              <w:rFonts w:hint="default" w:ascii="Arial" w:hAnsi="Arial" w:cs="Arial"/>
              <w:color w:val="auto"/>
              <w:sz w:val="24"/>
              <w:szCs w:val="24"/>
            </w:rPr>
            <w:fldChar w:fldCharType="separate"/>
          </w:r>
          <w:r>
            <w:rPr>
              <w:rFonts w:hint="default" w:ascii="Arial" w:hAnsi="Arial" w:cs="Arial"/>
              <w:color w:val="auto"/>
              <w:sz w:val="24"/>
              <w:szCs w:val="24"/>
            </w:rPr>
            <w:t>4</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30E1F432">
          <w:pPr>
            <w:pStyle w:val="7"/>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_Toc2644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2.1 – International Business Communication</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_Toc2644 \h </w:instrText>
          </w:r>
          <w:r>
            <w:rPr>
              <w:rFonts w:hint="default" w:ascii="Arial" w:hAnsi="Arial" w:cs="Arial"/>
              <w:color w:val="auto"/>
              <w:sz w:val="24"/>
              <w:szCs w:val="24"/>
            </w:rPr>
            <w:fldChar w:fldCharType="separate"/>
          </w:r>
          <w:r>
            <w:rPr>
              <w:rFonts w:hint="default" w:ascii="Arial" w:hAnsi="Arial" w:cs="Arial"/>
              <w:color w:val="auto"/>
              <w:sz w:val="24"/>
              <w:szCs w:val="24"/>
            </w:rPr>
            <w:t>4</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74622029">
          <w:pPr>
            <w:pStyle w:val="7"/>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_Toc24692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2.2 – Skills Requirements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_Toc24692 \h </w:instrText>
          </w:r>
          <w:r>
            <w:rPr>
              <w:rFonts w:hint="default" w:ascii="Arial" w:hAnsi="Arial" w:cs="Arial"/>
              <w:color w:val="auto"/>
              <w:sz w:val="24"/>
              <w:szCs w:val="24"/>
            </w:rPr>
            <w:fldChar w:fldCharType="separate"/>
          </w:r>
          <w:r>
            <w:rPr>
              <w:rFonts w:hint="default" w:ascii="Arial" w:hAnsi="Arial" w:cs="Arial"/>
              <w:color w:val="auto"/>
              <w:sz w:val="24"/>
              <w:szCs w:val="24"/>
            </w:rPr>
            <w:t>5</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23CAFA0E">
          <w:pPr>
            <w:pStyle w:val="5"/>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_Toc5394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2.2.1 Oral ability</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_Toc5394 \h </w:instrText>
          </w:r>
          <w:r>
            <w:rPr>
              <w:rFonts w:hint="default" w:ascii="Arial" w:hAnsi="Arial" w:cs="Arial"/>
              <w:color w:val="auto"/>
              <w:sz w:val="24"/>
              <w:szCs w:val="24"/>
            </w:rPr>
            <w:fldChar w:fldCharType="separate"/>
          </w:r>
          <w:r>
            <w:rPr>
              <w:rFonts w:hint="default" w:ascii="Arial" w:hAnsi="Arial" w:cs="Arial"/>
              <w:color w:val="auto"/>
              <w:sz w:val="24"/>
              <w:szCs w:val="24"/>
            </w:rPr>
            <w:t>5</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05F3209F">
          <w:pPr>
            <w:pStyle w:val="5"/>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_Toc9645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2.2.2 Critical thinking</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_Toc9645 \h </w:instrText>
          </w:r>
          <w:r>
            <w:rPr>
              <w:rFonts w:hint="default" w:ascii="Arial" w:hAnsi="Arial" w:cs="Arial"/>
              <w:color w:val="auto"/>
              <w:sz w:val="24"/>
              <w:szCs w:val="24"/>
            </w:rPr>
            <w:fldChar w:fldCharType="separate"/>
          </w:r>
          <w:r>
            <w:rPr>
              <w:rFonts w:hint="default" w:ascii="Arial" w:hAnsi="Arial" w:cs="Arial"/>
              <w:color w:val="auto"/>
              <w:sz w:val="24"/>
              <w:szCs w:val="24"/>
            </w:rPr>
            <w:t>6</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7C374642">
          <w:pPr>
            <w:pStyle w:val="7"/>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_Toc11817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2.3 – Methods of Communication</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_Toc11817 \h </w:instrText>
          </w:r>
          <w:r>
            <w:rPr>
              <w:rFonts w:hint="default" w:ascii="Arial" w:hAnsi="Arial" w:cs="Arial"/>
              <w:color w:val="auto"/>
              <w:sz w:val="24"/>
              <w:szCs w:val="24"/>
            </w:rPr>
            <w:fldChar w:fldCharType="separate"/>
          </w:r>
          <w:r>
            <w:rPr>
              <w:rFonts w:hint="default" w:ascii="Arial" w:hAnsi="Arial" w:cs="Arial"/>
              <w:color w:val="auto"/>
              <w:sz w:val="24"/>
              <w:szCs w:val="24"/>
            </w:rPr>
            <w:t>6</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510F40B1">
          <w:pPr>
            <w:pStyle w:val="5"/>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_Toc21690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2.3.1 Trompenaars' theory of cultural dimensions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_Toc21690 \h </w:instrText>
          </w:r>
          <w:r>
            <w:rPr>
              <w:rFonts w:hint="default" w:ascii="Arial" w:hAnsi="Arial" w:cs="Arial"/>
              <w:color w:val="auto"/>
              <w:sz w:val="24"/>
              <w:szCs w:val="24"/>
            </w:rPr>
            <w:fldChar w:fldCharType="separate"/>
          </w:r>
          <w:r>
            <w:rPr>
              <w:rFonts w:hint="default" w:ascii="Arial" w:hAnsi="Arial" w:cs="Arial"/>
              <w:color w:val="auto"/>
              <w:sz w:val="24"/>
              <w:szCs w:val="24"/>
            </w:rPr>
            <w:t>7</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456C61A7">
          <w:pPr>
            <w:pStyle w:val="5"/>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_Toc5164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2.3.2 Hall's Theory of High and Low Context</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_Toc5164 \h </w:instrText>
          </w:r>
          <w:r>
            <w:rPr>
              <w:rFonts w:hint="default" w:ascii="Arial" w:hAnsi="Arial" w:cs="Arial"/>
              <w:color w:val="auto"/>
              <w:sz w:val="24"/>
              <w:szCs w:val="24"/>
            </w:rPr>
            <w:fldChar w:fldCharType="separate"/>
          </w:r>
          <w:r>
            <w:rPr>
              <w:rFonts w:hint="default" w:ascii="Arial" w:hAnsi="Arial" w:cs="Arial"/>
              <w:color w:val="auto"/>
              <w:sz w:val="24"/>
              <w:szCs w:val="24"/>
            </w:rPr>
            <w:t>8</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16671993">
          <w:pPr>
            <w:pStyle w:val="5"/>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_Toc8913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2.3.3 Hofstede's theory of cultural dimensions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_Toc8913 \h </w:instrText>
          </w:r>
          <w:r>
            <w:rPr>
              <w:rFonts w:hint="default" w:ascii="Arial" w:hAnsi="Arial" w:cs="Arial"/>
              <w:color w:val="auto"/>
              <w:sz w:val="24"/>
              <w:szCs w:val="24"/>
            </w:rPr>
            <w:fldChar w:fldCharType="separate"/>
          </w:r>
          <w:r>
            <w:rPr>
              <w:rFonts w:hint="default" w:ascii="Arial" w:hAnsi="Arial" w:cs="Arial"/>
              <w:color w:val="auto"/>
              <w:sz w:val="24"/>
              <w:szCs w:val="24"/>
            </w:rPr>
            <w:t>9</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5980DC4E">
          <w:pPr>
            <w:pStyle w:val="7"/>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_Toc7329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2.4 – Effective Communication</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_Toc7329 \h </w:instrText>
          </w:r>
          <w:r>
            <w:rPr>
              <w:rFonts w:hint="default" w:ascii="Arial" w:hAnsi="Arial" w:cs="Arial"/>
              <w:color w:val="auto"/>
              <w:sz w:val="24"/>
              <w:szCs w:val="24"/>
            </w:rPr>
            <w:fldChar w:fldCharType="separate"/>
          </w:r>
          <w:r>
            <w:rPr>
              <w:rFonts w:hint="default" w:ascii="Arial" w:hAnsi="Arial" w:cs="Arial"/>
              <w:color w:val="auto"/>
              <w:sz w:val="24"/>
              <w:szCs w:val="24"/>
            </w:rPr>
            <w:t>11</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561D74BF">
          <w:pPr>
            <w:pStyle w:val="7"/>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_Toc22503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2.5 – International Culture</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_Toc22503 \h </w:instrText>
          </w:r>
          <w:r>
            <w:rPr>
              <w:rFonts w:hint="default" w:ascii="Arial" w:hAnsi="Arial" w:cs="Arial"/>
              <w:color w:val="auto"/>
              <w:sz w:val="24"/>
              <w:szCs w:val="24"/>
            </w:rPr>
            <w:fldChar w:fldCharType="separate"/>
          </w:r>
          <w:r>
            <w:rPr>
              <w:rFonts w:hint="default" w:ascii="Arial" w:hAnsi="Arial" w:cs="Arial"/>
              <w:color w:val="auto"/>
              <w:sz w:val="24"/>
              <w:szCs w:val="24"/>
            </w:rPr>
            <w:t>13</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6416F9B4">
          <w:pPr>
            <w:pStyle w:val="5"/>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_Toc7713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2.5.1 Trompenaars’ Cultural Dimensions（7 types）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_Toc7713 \h </w:instrText>
          </w:r>
          <w:r>
            <w:rPr>
              <w:rFonts w:hint="default" w:ascii="Arial" w:hAnsi="Arial" w:cs="Arial"/>
              <w:color w:val="auto"/>
              <w:sz w:val="24"/>
              <w:szCs w:val="24"/>
            </w:rPr>
            <w:fldChar w:fldCharType="separate"/>
          </w:r>
          <w:r>
            <w:rPr>
              <w:rFonts w:hint="default" w:ascii="Arial" w:hAnsi="Arial" w:cs="Arial"/>
              <w:color w:val="auto"/>
              <w:sz w:val="24"/>
              <w:szCs w:val="24"/>
            </w:rPr>
            <w:t>13</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671E39C2">
          <w:pPr>
            <w:pStyle w:val="7"/>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_Toc19649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2.6 Importance of Building Relationships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_Toc19649 \h </w:instrText>
          </w:r>
          <w:r>
            <w:rPr>
              <w:rFonts w:hint="default" w:ascii="Arial" w:hAnsi="Arial" w:cs="Arial"/>
              <w:color w:val="auto"/>
              <w:sz w:val="24"/>
              <w:szCs w:val="24"/>
            </w:rPr>
            <w:fldChar w:fldCharType="separate"/>
          </w:r>
          <w:r>
            <w:rPr>
              <w:rFonts w:hint="default" w:ascii="Arial" w:hAnsi="Arial" w:cs="Arial"/>
              <w:color w:val="auto"/>
              <w:sz w:val="24"/>
              <w:szCs w:val="24"/>
            </w:rPr>
            <w:t>14</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787A5DB2">
          <w:pPr>
            <w:pStyle w:val="7"/>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_Toc16553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2.7  How to build Trust</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_Toc16553 \h </w:instrText>
          </w:r>
          <w:r>
            <w:rPr>
              <w:rFonts w:hint="default" w:ascii="Arial" w:hAnsi="Arial" w:cs="Arial"/>
              <w:color w:val="auto"/>
              <w:sz w:val="24"/>
              <w:szCs w:val="24"/>
            </w:rPr>
            <w:fldChar w:fldCharType="separate"/>
          </w:r>
          <w:r>
            <w:rPr>
              <w:rFonts w:hint="default" w:ascii="Arial" w:hAnsi="Arial" w:cs="Arial"/>
              <w:color w:val="auto"/>
              <w:sz w:val="24"/>
              <w:szCs w:val="24"/>
            </w:rPr>
            <w:t>15</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70729BFF">
          <w:pPr>
            <w:pStyle w:val="6"/>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_Toc6791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2.8 Failed Relationships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_Toc6791 \h </w:instrText>
          </w:r>
          <w:r>
            <w:rPr>
              <w:rFonts w:hint="default" w:ascii="Arial" w:hAnsi="Arial" w:cs="Arial"/>
              <w:color w:val="auto"/>
              <w:sz w:val="24"/>
              <w:szCs w:val="24"/>
            </w:rPr>
            <w:fldChar w:fldCharType="separate"/>
          </w:r>
          <w:r>
            <w:rPr>
              <w:rFonts w:hint="default" w:ascii="Arial" w:hAnsi="Arial" w:cs="Arial"/>
              <w:color w:val="auto"/>
              <w:sz w:val="24"/>
              <w:szCs w:val="24"/>
            </w:rPr>
            <w:t>16</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2C63E024">
          <w:pPr>
            <w:pStyle w:val="6"/>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_Toc3420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3.0 – Conclusions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_Toc3420 \h </w:instrText>
          </w:r>
          <w:r>
            <w:rPr>
              <w:rFonts w:hint="default" w:ascii="Arial" w:hAnsi="Arial" w:cs="Arial"/>
              <w:color w:val="auto"/>
              <w:sz w:val="24"/>
              <w:szCs w:val="24"/>
            </w:rPr>
            <w:fldChar w:fldCharType="separate"/>
          </w:r>
          <w:r>
            <w:rPr>
              <w:rFonts w:hint="default" w:ascii="Arial" w:hAnsi="Arial" w:cs="Arial"/>
              <w:color w:val="auto"/>
              <w:sz w:val="24"/>
              <w:szCs w:val="24"/>
            </w:rPr>
            <w:t>16</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3C3038C9">
          <w:pPr>
            <w:pStyle w:val="6"/>
            <w:tabs>
              <w:tab w:val="right" w:leader="dot" w:pos="8306"/>
            </w:tabs>
            <w:spacing w:line="480" w:lineRule="auto"/>
            <w:jc w:val="both"/>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_Toc4103 </w:instrText>
          </w:r>
          <w:r>
            <w:rPr>
              <w:rFonts w:hint="default" w:ascii="Arial" w:hAnsi="Arial" w:cs="Arial"/>
              <w:color w:val="auto"/>
              <w:sz w:val="24"/>
              <w:szCs w:val="24"/>
            </w:rPr>
            <w:fldChar w:fldCharType="separate"/>
          </w:r>
          <w:r>
            <w:rPr>
              <w:rFonts w:hint="default" w:ascii="Arial" w:hAnsi="Arial" w:cs="Arial"/>
              <w:color w:val="auto"/>
              <w:sz w:val="24"/>
              <w:szCs w:val="24"/>
              <w:lang w:val="en-US" w:eastAsia="zh-CN"/>
            </w:rPr>
            <w:t>4.0 – Recommendations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_Toc4103 \h </w:instrText>
          </w:r>
          <w:r>
            <w:rPr>
              <w:rFonts w:hint="default" w:ascii="Arial" w:hAnsi="Arial" w:cs="Arial"/>
              <w:color w:val="auto"/>
              <w:sz w:val="24"/>
              <w:szCs w:val="24"/>
            </w:rPr>
            <w:fldChar w:fldCharType="separate"/>
          </w:r>
          <w:r>
            <w:rPr>
              <w:rFonts w:hint="default" w:ascii="Arial" w:hAnsi="Arial" w:cs="Arial"/>
              <w:color w:val="auto"/>
              <w:sz w:val="24"/>
              <w:szCs w:val="24"/>
            </w:rPr>
            <w:t>17</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14:paraId="0C6A2B3D">
          <w:pPr>
            <w:spacing w:line="480" w:lineRule="auto"/>
            <w:jc w:val="both"/>
            <w:rPr>
              <w:rFonts w:hint="default" w:ascii="Arial" w:hAnsi="Arial" w:cs="Arial" w:eastAsiaTheme="minorEastAsia"/>
              <w:color w:val="auto"/>
              <w:kern w:val="2"/>
              <w:sz w:val="24"/>
              <w:szCs w:val="24"/>
              <w:lang w:val="en-US" w:eastAsia="zh-CN" w:bidi="ar-SA"/>
            </w:rPr>
            <w:sectPr>
              <w:pgSz w:w="11906" w:h="16838"/>
              <w:pgMar w:top="1440" w:right="1800" w:bottom="1440" w:left="1800" w:header="851" w:footer="992" w:gutter="0"/>
              <w:cols w:space="425" w:num="1"/>
              <w:docGrid w:type="lines" w:linePitch="312" w:charSpace="0"/>
            </w:sectPr>
          </w:pPr>
          <w:r>
            <w:rPr>
              <w:rFonts w:hint="default" w:ascii="Arial" w:hAnsi="Arial" w:cs="Arial"/>
              <w:color w:val="auto"/>
              <w:sz w:val="24"/>
              <w:szCs w:val="24"/>
            </w:rPr>
            <w:fldChar w:fldCharType="end"/>
          </w:r>
        </w:p>
      </w:sdtContent>
    </w:sdt>
    <w:p w14:paraId="0DE89422">
      <w:pPr>
        <w:pStyle w:val="2"/>
        <w:bidi w:val="0"/>
        <w:spacing w:line="480" w:lineRule="auto"/>
        <w:jc w:val="both"/>
        <w:rPr>
          <w:rFonts w:hint="default" w:ascii="Arial" w:hAnsi="Arial" w:cs="Arial"/>
          <w:color w:val="auto"/>
          <w:sz w:val="24"/>
          <w:szCs w:val="24"/>
          <w:lang w:val="en-US" w:eastAsia="zh-CN"/>
        </w:rPr>
      </w:pPr>
      <w:bookmarkStart w:id="0" w:name="_Toc20808"/>
      <w:r>
        <w:rPr>
          <w:rFonts w:hint="default" w:ascii="Arial" w:hAnsi="Arial" w:cs="Arial"/>
          <w:color w:val="auto"/>
          <w:sz w:val="24"/>
          <w:szCs w:val="24"/>
          <w:lang w:val="en-US" w:eastAsia="zh-CN"/>
        </w:rPr>
        <w:t>1.0 Introduction</w:t>
      </w:r>
      <w:bookmarkEnd w:id="0"/>
    </w:p>
    <w:p w14:paraId="23B7697F">
      <w:pPr>
        <w:spacing w:line="480" w:lineRule="auto"/>
        <w:jc w:val="both"/>
        <w:rPr>
          <w:rFonts w:hint="default" w:ascii="Arial" w:hAnsi="Arial" w:cs="Arial"/>
          <w:color w:val="auto"/>
          <w:sz w:val="24"/>
          <w:szCs w:val="24"/>
          <w:lang w:val="en-US" w:eastAsia="zh-CN"/>
        </w:rPr>
      </w:pPr>
      <w:r>
        <w:rPr>
          <w:rFonts w:hint="default" w:ascii="Arial" w:hAnsi="Arial" w:eastAsia="宋体" w:cs="Arial"/>
          <w:color w:val="auto"/>
          <w:sz w:val="24"/>
          <w:szCs w:val="24"/>
          <w:lang w:val="en-US" w:eastAsia="zh-CN"/>
        </w:rPr>
        <w:t>In an increasingly globalized world, cross-cultural exchanges have enabled companies from some countries to expand their markets and import and export across the globe. Yao X. (2022) points out that Eastern and Western cultures are formed for a variety of reasons, with Confucianism in the East and legal and religious beliefs in the West, to the extent that they are directly different from each other in terms of their cultural backgrounds. Therefore, there are numerous problems and challenges that companies need to face in the process of expanding their business across borders. For example, cultural differences, communication, relationship building, and whether or not the relationship is established will mean that the two companies will be able to cooperate for a long period of time.At the centre of this report is the case of a large clothing retail group. The group is looking to expand its business into the highly promising Asian market through successful and effective International Business Communication.</w:t>
      </w:r>
    </w:p>
    <w:p w14:paraId="12F5849D">
      <w:pPr>
        <w:spacing w:line="480" w:lineRule="auto"/>
        <w:jc w:val="both"/>
        <w:rPr>
          <w:rFonts w:hint="default" w:ascii="Arial" w:hAnsi="Arial" w:cs="Arial"/>
          <w:color w:val="auto"/>
          <w:sz w:val="24"/>
          <w:szCs w:val="24"/>
          <w:lang w:val="en-US" w:eastAsia="zh-CN"/>
        </w:rPr>
      </w:pPr>
    </w:p>
    <w:p w14:paraId="5B6766FC">
      <w:pPr>
        <w:spacing w:line="480" w:lineRule="auto"/>
        <w:jc w:val="both"/>
        <w:rPr>
          <w:rFonts w:hint="default" w:ascii="Arial" w:hAnsi="Arial" w:cs="Arial"/>
          <w:color w:val="auto"/>
          <w:sz w:val="24"/>
          <w:szCs w:val="24"/>
          <w:lang w:val="en-US" w:eastAsia="zh-CN"/>
        </w:rPr>
      </w:pPr>
    </w:p>
    <w:p w14:paraId="5A1517E6">
      <w:pPr>
        <w:spacing w:line="480" w:lineRule="auto"/>
        <w:jc w:val="both"/>
        <w:rPr>
          <w:rFonts w:hint="default" w:ascii="Arial" w:hAnsi="Arial" w:cs="Arial"/>
          <w:color w:val="auto"/>
          <w:sz w:val="24"/>
          <w:szCs w:val="24"/>
          <w:lang w:val="en-US" w:eastAsia="zh-CN"/>
        </w:rPr>
      </w:pPr>
    </w:p>
    <w:p w14:paraId="6DA33DFB">
      <w:pPr>
        <w:spacing w:line="480" w:lineRule="auto"/>
        <w:jc w:val="both"/>
        <w:rPr>
          <w:rFonts w:hint="default" w:ascii="Arial" w:hAnsi="Arial" w:cs="Arial"/>
          <w:color w:val="auto"/>
          <w:sz w:val="24"/>
          <w:szCs w:val="24"/>
          <w:lang w:val="en-US" w:eastAsia="zh-CN"/>
        </w:rPr>
      </w:pPr>
    </w:p>
    <w:p w14:paraId="65896D16">
      <w:pPr>
        <w:pStyle w:val="2"/>
        <w:bidi w:val="0"/>
        <w:spacing w:line="480" w:lineRule="auto"/>
        <w:jc w:val="both"/>
        <w:rPr>
          <w:rFonts w:hint="default" w:ascii="Arial" w:hAnsi="Arial" w:cs="Arial"/>
          <w:color w:val="auto"/>
          <w:sz w:val="24"/>
          <w:szCs w:val="24"/>
          <w:lang w:val="en-US" w:eastAsia="zh-CN"/>
        </w:rPr>
      </w:pPr>
      <w:bookmarkStart w:id="1" w:name="_Toc10528"/>
      <w:r>
        <w:rPr>
          <w:rFonts w:hint="default" w:ascii="Arial" w:hAnsi="Arial" w:cs="Arial"/>
          <w:color w:val="auto"/>
          <w:sz w:val="24"/>
          <w:szCs w:val="24"/>
          <w:lang w:val="en-US" w:eastAsia="zh-CN"/>
        </w:rPr>
        <w:t>2.0 Main findings</w:t>
      </w:r>
      <w:bookmarkEnd w:id="1"/>
    </w:p>
    <w:p w14:paraId="4B5442C8">
      <w:pPr>
        <w:spacing w:line="480" w:lineRule="auto"/>
        <w:jc w:val="both"/>
        <w:rPr>
          <w:rFonts w:hint="default" w:ascii="Arial" w:hAnsi="Arial" w:eastAsia="宋体" w:cs="Arial"/>
          <w:color w:val="auto"/>
          <w:sz w:val="24"/>
          <w:szCs w:val="24"/>
          <w:lang w:val="en-US" w:eastAsia="zh-CN"/>
        </w:rPr>
      </w:pPr>
      <w:r>
        <w:rPr>
          <w:rFonts w:hint="default" w:ascii="Arial" w:hAnsi="Arial" w:eastAsia="宋体" w:cs="Arial"/>
          <w:color w:val="auto"/>
          <w:sz w:val="24"/>
          <w:szCs w:val="24"/>
          <w:lang w:val="en-US" w:eastAsia="zh-CN"/>
        </w:rPr>
        <w:t>This section will look at the 8 perspectives of business communication. Each perspective will be analyzed to enable the apparel group to successfully communicate with the Asian market.</w:t>
      </w:r>
    </w:p>
    <w:p w14:paraId="73F67FA8">
      <w:pPr>
        <w:pStyle w:val="3"/>
        <w:bidi w:val="0"/>
        <w:spacing w:line="480" w:lineRule="auto"/>
        <w:jc w:val="both"/>
        <w:rPr>
          <w:rFonts w:hint="default" w:ascii="Arial" w:hAnsi="Arial" w:cs="Arial"/>
          <w:color w:val="auto"/>
          <w:sz w:val="24"/>
          <w:szCs w:val="24"/>
          <w:lang w:val="en-US" w:eastAsia="zh-CN"/>
        </w:rPr>
      </w:pPr>
      <w:bookmarkStart w:id="2" w:name="_Toc2644"/>
      <w:r>
        <w:rPr>
          <w:rFonts w:hint="default" w:ascii="Arial" w:hAnsi="Arial" w:cs="Arial"/>
          <w:color w:val="auto"/>
          <w:sz w:val="24"/>
          <w:szCs w:val="24"/>
          <w:lang w:val="en-US" w:eastAsia="zh-CN"/>
        </w:rPr>
        <w:t>2.1 – International Business Communication</w:t>
      </w:r>
      <w:bookmarkEnd w:id="2"/>
    </w:p>
    <w:p w14:paraId="23744ADD">
      <w:pPr>
        <w:keepNext w:val="0"/>
        <w:keepLines w:val="0"/>
        <w:widowControl/>
        <w:suppressLineNumbers w:val="0"/>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Segoe UI" w:cs="Arial"/>
          <w:i w:val="0"/>
          <w:iCs w:val="0"/>
          <w:caps w:val="0"/>
          <w:color w:val="auto"/>
          <w:spacing w:val="0"/>
          <w:sz w:val="24"/>
          <w:szCs w:val="24"/>
          <w:shd w:val="clear" w:fill="FFFFFF"/>
        </w:rPr>
        <w:t xml:space="preserve">International business </w:t>
      </w:r>
      <w:r>
        <w:rPr>
          <w:rFonts w:hint="default" w:ascii="Arial" w:hAnsi="Arial" w:eastAsia="宋体" w:cs="Arial"/>
          <w:i w:val="0"/>
          <w:iCs w:val="0"/>
          <w:caps w:val="0"/>
          <w:color w:val="auto"/>
          <w:spacing w:val="0"/>
          <w:sz w:val="24"/>
          <w:szCs w:val="24"/>
          <w:shd w:val="clear" w:fill="FFFFFF"/>
          <w:lang w:val="en-US" w:eastAsia="zh-CN"/>
        </w:rPr>
        <w:t>c</w:t>
      </w:r>
      <w:r>
        <w:rPr>
          <w:rFonts w:hint="default" w:ascii="Arial" w:hAnsi="Arial" w:eastAsia="宋体" w:cs="Arial"/>
          <w:b w:val="0"/>
          <w:bCs w:val="0"/>
          <w:color w:val="auto"/>
          <w:kern w:val="0"/>
          <w:sz w:val="24"/>
          <w:szCs w:val="24"/>
          <w:lang w:val="en-US" w:eastAsia="zh-CN" w:bidi="ar"/>
        </w:rPr>
        <w:t>ommunication</w:t>
      </w:r>
      <w:r>
        <w:rPr>
          <w:rFonts w:hint="default" w:ascii="Arial" w:hAnsi="Arial" w:eastAsia="Segoe UI" w:cs="Arial"/>
          <w:i w:val="0"/>
          <w:iCs w:val="0"/>
          <w:caps w:val="0"/>
          <w:color w:val="auto"/>
          <w:spacing w:val="0"/>
          <w:sz w:val="24"/>
          <w:szCs w:val="24"/>
          <w:shd w:val="clear" w:fill="FFFFFF"/>
        </w:rPr>
        <w:t xml:space="preserve"> is a form of transnational interaction, commonly referred to as 'globalization' and 'cross-cultural exchange'. Some scholars illustrate the case of China and Finland as an instance of international business exchange, where greeting cards and other means are employed for communication (You 2013). The objective of international business communication is to facilitate effective interaction between individuals, organizations, or companies from diverse cultures and countries, enabling them to address challenges arising from language and cultural disparities. Certain scholars have proposed that varying laws and policies across different nations create discrepancies in trade development levels, making it more challenging for companies to engage in mutual trade (L.H. 2024). The presence of international business communication aims to overcome these obstacles. Various methods such as verbal expression, written correspondence, and non-verbal cues are extensively utilized in international business communication to enhance mutual understanding between parties involved. Some scholars have referred to the importance of giving due consideration to important information such as the other party's socio-cultural background, psychological characteristics, habits, and preferences when developing negotiation strategies/tactics and selecting arguments (Xoldarova 2024)</w:t>
      </w:r>
      <w:r>
        <w:rPr>
          <w:rFonts w:hint="default" w:ascii="Arial" w:hAnsi="Arial" w:eastAsia="宋体" w:cs="Arial"/>
          <w:i w:val="0"/>
          <w:iCs w:val="0"/>
          <w:caps w:val="0"/>
          <w:color w:val="auto"/>
          <w:spacing w:val="0"/>
          <w:sz w:val="24"/>
          <w:szCs w:val="24"/>
          <w:shd w:val="clear" w:fill="FFFFFF"/>
          <w:lang w:val="en-US" w:eastAsia="zh-CN"/>
        </w:rPr>
        <w:t xml:space="preserve"> </w:t>
      </w:r>
      <w:r>
        <w:rPr>
          <w:rFonts w:hint="default" w:ascii="Arial" w:hAnsi="Arial" w:eastAsia="Segoe UI" w:cs="Arial"/>
          <w:i w:val="0"/>
          <w:iCs w:val="0"/>
          <w:caps w:val="0"/>
          <w:color w:val="auto"/>
          <w:spacing w:val="0"/>
          <w:sz w:val="24"/>
          <w:szCs w:val="24"/>
          <w:shd w:val="clear" w:fill="FFFFFF"/>
        </w:rPr>
        <w:t xml:space="preserve">This knowledge facilitates rapid establishment of mutual understanding during negotiations. </w:t>
      </w:r>
    </w:p>
    <w:p w14:paraId="7A3662F4">
      <w:pPr>
        <w:pStyle w:val="3"/>
        <w:bidi w:val="0"/>
        <w:spacing w:line="480" w:lineRule="auto"/>
        <w:jc w:val="both"/>
        <w:rPr>
          <w:rFonts w:hint="default" w:ascii="Arial" w:hAnsi="Arial" w:cs="Arial"/>
          <w:color w:val="auto"/>
          <w:sz w:val="24"/>
          <w:szCs w:val="24"/>
          <w:lang w:val="en-US" w:eastAsia="zh-CN"/>
        </w:rPr>
      </w:pPr>
      <w:bookmarkStart w:id="3" w:name="_Toc24692"/>
      <w:r>
        <w:rPr>
          <w:rFonts w:hint="default" w:ascii="Arial" w:hAnsi="Arial" w:cs="Arial"/>
          <w:color w:val="auto"/>
          <w:sz w:val="24"/>
          <w:szCs w:val="24"/>
          <w:lang w:val="en-US" w:eastAsia="zh-CN"/>
        </w:rPr>
        <w:t>2.2 – Skills Requirements</w:t>
      </w:r>
      <w:bookmarkEnd w:id="3"/>
    </w:p>
    <w:p w14:paraId="2E1D0290">
      <w:pPr>
        <w:pStyle w:val="4"/>
        <w:bidi w:val="0"/>
        <w:spacing w:line="480" w:lineRule="auto"/>
        <w:jc w:val="both"/>
        <w:rPr>
          <w:rFonts w:hint="default" w:ascii="Arial" w:hAnsi="Arial" w:cs="Arial"/>
          <w:color w:val="auto"/>
          <w:sz w:val="24"/>
          <w:szCs w:val="24"/>
          <w:lang w:val="en-US" w:eastAsia="zh-CN"/>
        </w:rPr>
      </w:pPr>
      <w:bookmarkStart w:id="4" w:name="_Toc5394"/>
      <w:r>
        <w:rPr>
          <w:rFonts w:hint="default" w:ascii="Arial" w:hAnsi="Arial" w:cs="Arial"/>
          <w:color w:val="auto"/>
          <w:sz w:val="24"/>
          <w:szCs w:val="24"/>
          <w:lang w:val="en-US" w:eastAsia="zh-CN"/>
        </w:rPr>
        <w:t>2.2.1 Oral ability</w:t>
      </w:r>
      <w:bookmarkEnd w:id="4"/>
    </w:p>
    <w:p w14:paraId="63DDFFB2">
      <w:pPr>
        <w:keepNext w:val="0"/>
        <w:keepLines w:val="0"/>
        <w:widowControl/>
        <w:suppressLineNumbers w:val="0"/>
        <w:spacing w:line="480" w:lineRule="auto"/>
        <w:jc w:val="both"/>
        <w:rPr>
          <w:rFonts w:hint="default" w:ascii="Arial" w:hAnsi="Arial" w:eastAsia="宋体" w:cs="Arial"/>
          <w:color w:val="auto"/>
          <w:sz w:val="24"/>
          <w:szCs w:val="24"/>
          <w:lang w:val="en-US" w:eastAsia="zh-CN"/>
        </w:rPr>
      </w:pPr>
      <w:r>
        <w:rPr>
          <w:rFonts w:hint="default" w:ascii="Arial" w:hAnsi="Arial" w:eastAsia="Segoe UI" w:cs="Arial"/>
          <w:i w:val="0"/>
          <w:iCs w:val="0"/>
          <w:caps w:val="0"/>
          <w:color w:val="auto"/>
          <w:spacing w:val="0"/>
          <w:sz w:val="24"/>
          <w:szCs w:val="24"/>
          <w:shd w:val="clear" w:fill="FFFFFF"/>
        </w:rPr>
        <w:t>A scholar argues that linguistic expression presents the greatest challenge in cross-cultural communication due to varying cultural backgrounds (Ge Zhihong, 2004). Proficiency in oral expression is of utmost importance in international business communication as it serves as the fundamental basis for successful interactions. This ability enables accurate transmission of information and facilitates effective and precise acquisition of information. In an international business environment, clear expression helps mitigate misunderstandings arising from language differences. For instance, envision a negotiation scenario where ambiguous verbal expressions by a business representative lead to uncertainty regarding crucial factors such as delivery time and quality standards. This can result in disputes and conflicts between the parties during contract fulfillment. Consequently, inadequate verbal expression can give rise to various transactional issues that significantly impact a company's reputation, subsequent collaborations, or even lead to legal disputes. Enterprises can adopt diverse language training approaches to assist employees in acquiring professional skills. Some scholars suggest that online resources could be utilized by proficient language teachers who establish teaching platforms enabling students to practice negotiation and communication skills through self-study (Ho Chi Kuen, 2024). Additionally, apparel companies can leverage the internet to identify professionals for training purposes.</w:t>
      </w:r>
    </w:p>
    <w:p w14:paraId="7ECDA7C2">
      <w:pPr>
        <w:pStyle w:val="4"/>
        <w:bidi w:val="0"/>
        <w:spacing w:line="480" w:lineRule="auto"/>
        <w:jc w:val="both"/>
        <w:rPr>
          <w:rFonts w:hint="default" w:ascii="Arial" w:hAnsi="Arial" w:cs="Arial"/>
          <w:color w:val="auto"/>
          <w:sz w:val="24"/>
          <w:szCs w:val="24"/>
          <w:lang w:val="en-US" w:eastAsia="zh-CN"/>
        </w:rPr>
      </w:pPr>
      <w:bookmarkStart w:id="5" w:name="_Toc9645"/>
      <w:r>
        <w:rPr>
          <w:rFonts w:hint="default" w:ascii="Arial" w:hAnsi="Arial" w:cs="Arial"/>
          <w:color w:val="auto"/>
          <w:sz w:val="24"/>
          <w:szCs w:val="24"/>
          <w:lang w:val="en-US" w:eastAsia="zh-CN"/>
        </w:rPr>
        <w:t>2.2.2 Critical thinking</w:t>
      </w:r>
      <w:bookmarkEnd w:id="5"/>
    </w:p>
    <w:p w14:paraId="6FE87D9E">
      <w:pPr>
        <w:keepNext w:val="0"/>
        <w:keepLines w:val="0"/>
        <w:widowControl/>
        <w:suppressLineNumbers w:val="0"/>
        <w:spacing w:line="480" w:lineRule="auto"/>
        <w:jc w:val="both"/>
        <w:rPr>
          <w:rFonts w:hint="default" w:ascii="Arial" w:hAnsi="Arial" w:eastAsia="Segoe UI" w:cs="Arial"/>
          <w:i w:val="0"/>
          <w:iCs w:val="0"/>
          <w:caps w:val="0"/>
          <w:color w:val="auto"/>
          <w:spacing w:val="0"/>
          <w:sz w:val="24"/>
          <w:szCs w:val="24"/>
          <w:shd w:val="clear" w:fill="FFFFFF"/>
        </w:rPr>
      </w:pPr>
      <w:r>
        <w:rPr>
          <w:rFonts w:hint="default" w:ascii="Arial" w:hAnsi="Arial" w:eastAsia="Segoe UI" w:cs="Arial"/>
          <w:i w:val="0"/>
          <w:iCs w:val="0"/>
          <w:caps w:val="0"/>
          <w:color w:val="auto"/>
          <w:spacing w:val="0"/>
          <w:sz w:val="24"/>
          <w:szCs w:val="24"/>
          <w:shd w:val="clear" w:fill="FFFFFF"/>
        </w:rPr>
        <w:t xml:space="preserve">Critical thinking skills are </w:t>
      </w:r>
      <w:r>
        <w:rPr>
          <w:rFonts w:hint="default" w:ascii="Arial" w:hAnsi="Arial" w:eastAsia="宋体" w:cs="Arial"/>
          <w:i w:val="0"/>
          <w:iCs w:val="0"/>
          <w:caps w:val="0"/>
          <w:color w:val="auto"/>
          <w:spacing w:val="0"/>
          <w:sz w:val="24"/>
          <w:szCs w:val="24"/>
          <w:shd w:val="clear" w:fill="FFFFFF"/>
          <w:lang w:val="en-US" w:eastAsia="zh-CN"/>
        </w:rPr>
        <w:t>essential</w:t>
      </w:r>
      <w:r>
        <w:rPr>
          <w:rFonts w:hint="default" w:ascii="Arial" w:hAnsi="Arial" w:eastAsia="Segoe UI" w:cs="Arial"/>
          <w:i w:val="0"/>
          <w:iCs w:val="0"/>
          <w:caps w:val="0"/>
          <w:color w:val="auto"/>
          <w:spacing w:val="0"/>
          <w:sz w:val="24"/>
          <w:szCs w:val="24"/>
          <w:shd w:val="clear" w:fill="FFFFFF"/>
        </w:rPr>
        <w:t xml:space="preserve"> in IBC. </w:t>
      </w:r>
      <w:r>
        <w:rPr>
          <w:rFonts w:hint="default" w:ascii="Arial" w:hAnsi="Arial" w:eastAsia="宋体" w:cs="Arial"/>
          <w:i w:val="0"/>
          <w:iCs w:val="0"/>
          <w:caps w:val="0"/>
          <w:color w:val="auto"/>
          <w:spacing w:val="0"/>
          <w:sz w:val="24"/>
          <w:szCs w:val="24"/>
          <w:shd w:val="clear" w:fill="FFFFFF"/>
          <w:lang w:val="en-US" w:eastAsia="zh-CN"/>
        </w:rPr>
        <w:t>I</w:t>
      </w:r>
      <w:r>
        <w:rPr>
          <w:rFonts w:hint="default" w:ascii="Arial" w:hAnsi="Arial" w:eastAsia="Segoe UI" w:cs="Arial"/>
          <w:i w:val="0"/>
          <w:iCs w:val="0"/>
          <w:caps w:val="0"/>
          <w:color w:val="auto"/>
          <w:spacing w:val="0"/>
          <w:sz w:val="24"/>
          <w:szCs w:val="24"/>
          <w:shd w:val="clear" w:fill="FFFFFF"/>
        </w:rPr>
        <w:t xml:space="preserve">t helps communicators to analyze problems and make the right decisions when faced with complex environmental factors. </w:t>
      </w:r>
      <w:r>
        <w:rPr>
          <w:rFonts w:hint="default" w:ascii="Arial" w:hAnsi="Arial" w:eastAsia="宋体" w:cs="Arial"/>
          <w:i w:val="0"/>
          <w:iCs w:val="0"/>
          <w:caps w:val="0"/>
          <w:color w:val="auto"/>
          <w:spacing w:val="0"/>
          <w:sz w:val="24"/>
          <w:szCs w:val="24"/>
          <w:shd w:val="clear" w:fill="FFFFFF"/>
          <w:lang w:val="en-US" w:eastAsia="zh-CN"/>
        </w:rPr>
        <w:t xml:space="preserve"> Some </w:t>
      </w:r>
      <w:r>
        <w:rPr>
          <w:rFonts w:hint="default" w:ascii="Arial" w:hAnsi="Arial" w:eastAsia="Segoe UI" w:cs="Arial"/>
          <w:i w:val="0"/>
          <w:iCs w:val="0"/>
          <w:caps w:val="0"/>
          <w:color w:val="auto"/>
          <w:spacing w:val="0"/>
          <w:sz w:val="24"/>
          <w:szCs w:val="24"/>
          <w:shd w:val="clear" w:fill="FFFFFF"/>
        </w:rPr>
        <w:t xml:space="preserve">scholars mentioned that critical thinking skills can be observed, thought, and solved abilities in the most scientific way. The existence of this ability is of great importance Santos </w:t>
      </w:r>
      <w:r>
        <w:rPr>
          <w:rFonts w:hint="default" w:ascii="Arial" w:hAnsi="Arial" w:eastAsia="宋体" w:cs="Arial"/>
          <w:i w:val="0"/>
          <w:iCs w:val="0"/>
          <w:caps w:val="0"/>
          <w:color w:val="auto"/>
          <w:spacing w:val="0"/>
          <w:sz w:val="24"/>
          <w:szCs w:val="24"/>
          <w:shd w:val="clear" w:fill="FFFFFF"/>
          <w:lang w:eastAsia="zh-CN"/>
        </w:rPr>
        <w:t>（</w:t>
      </w:r>
      <w:r>
        <w:rPr>
          <w:rFonts w:hint="default" w:ascii="Arial" w:hAnsi="Arial" w:eastAsia="Segoe UI" w:cs="Arial"/>
          <w:i w:val="0"/>
          <w:iCs w:val="0"/>
          <w:caps w:val="0"/>
          <w:color w:val="auto"/>
          <w:spacing w:val="0"/>
          <w:sz w:val="24"/>
          <w:szCs w:val="24"/>
          <w:shd w:val="clear" w:fill="FFFFFF"/>
        </w:rPr>
        <w:t>Luis 2017)The international business environment is full of variables. When interests are at stake, critical thinking helps communicators see issues from multiple perspectives. The major apparel retailer wants to enter the Asian market and must deal with the challenges of cultural diversity, different national policies, and a changing economic environment. Critical thinking can help communicators synthesize cultural, economic, and governmental policies in order to reach comprehensive conclusions.</w:t>
      </w:r>
    </w:p>
    <w:p w14:paraId="7C9B2B29">
      <w:pPr>
        <w:keepNext w:val="0"/>
        <w:keepLines w:val="0"/>
        <w:widowControl/>
        <w:suppressLineNumbers w:val="0"/>
        <w:spacing w:line="480" w:lineRule="auto"/>
        <w:jc w:val="both"/>
        <w:rPr>
          <w:rFonts w:hint="default" w:ascii="Arial" w:hAnsi="Arial" w:eastAsia="Segoe UI" w:cs="Arial"/>
          <w:i w:val="0"/>
          <w:iCs w:val="0"/>
          <w:caps w:val="0"/>
          <w:color w:val="auto"/>
          <w:spacing w:val="0"/>
          <w:sz w:val="24"/>
          <w:szCs w:val="24"/>
          <w:shd w:val="clear" w:fill="FFFFFF"/>
        </w:rPr>
      </w:pPr>
    </w:p>
    <w:p w14:paraId="168B6EC2">
      <w:pPr>
        <w:pStyle w:val="3"/>
        <w:bidi w:val="0"/>
        <w:spacing w:line="480" w:lineRule="auto"/>
        <w:jc w:val="both"/>
        <w:rPr>
          <w:rFonts w:hint="default" w:ascii="Arial" w:hAnsi="Arial" w:cs="Arial"/>
          <w:color w:val="auto"/>
          <w:sz w:val="24"/>
          <w:szCs w:val="24"/>
          <w:lang w:val="en-US" w:eastAsia="zh-CN"/>
        </w:rPr>
      </w:pPr>
      <w:bookmarkStart w:id="6" w:name="_Toc11817"/>
      <w:r>
        <w:rPr>
          <w:rFonts w:hint="default" w:ascii="Arial" w:hAnsi="Arial" w:cs="Arial"/>
          <w:color w:val="auto"/>
          <w:sz w:val="24"/>
          <w:szCs w:val="24"/>
          <w:lang w:val="en-US" w:eastAsia="zh-CN"/>
        </w:rPr>
        <w:t>2.3 – Methods of Communication</w:t>
      </w:r>
      <w:bookmarkEnd w:id="6"/>
      <w:bookmarkStart w:id="7" w:name="_Toc21690"/>
    </w:p>
    <w:p w14:paraId="132EABB8">
      <w:pPr>
        <w:pStyle w:val="3"/>
        <w:bidi w:val="0"/>
        <w:spacing w:line="480" w:lineRule="auto"/>
        <w:jc w:val="both"/>
        <w:rPr>
          <w:rFonts w:hint="default" w:ascii="Arial" w:hAnsi="Arial" w:cs="Arial"/>
          <w:color w:val="auto"/>
          <w:sz w:val="24"/>
          <w:szCs w:val="24"/>
          <w:lang w:val="en-US" w:eastAsia="zh-CN"/>
        </w:rPr>
      </w:pPr>
      <w:r>
        <w:rPr>
          <w:rFonts w:hint="default" w:ascii="Arial" w:hAnsi="Arial" w:cs="Arial"/>
          <w:color w:val="auto"/>
          <w:sz w:val="24"/>
          <w:szCs w:val="24"/>
          <w:lang w:val="en-US" w:eastAsia="zh-CN"/>
        </w:rPr>
        <w:t>2.3.1 Trompenaars' theory of cultural dimensions</w:t>
      </w:r>
      <w:bookmarkEnd w:id="7"/>
    </w:p>
    <w:p w14:paraId="547E171B">
      <w:pPr>
        <w:keepNext w:val="0"/>
        <w:keepLines w:val="0"/>
        <w:widowControl/>
        <w:suppressLineNumbers w:val="0"/>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Trompenaars proposes seven cultural dimensions that reflect the opposing attitudes that exist in different cultures.... (2013) </w:t>
      </w:r>
    </w:p>
    <w:p w14:paraId="2912E40F">
      <w:pPr>
        <w:keepNext w:val="0"/>
        <w:keepLines w:val="0"/>
        <w:widowControl/>
        <w:numPr>
          <w:ilvl w:val="0"/>
          <w:numId w:val="1"/>
        </w:numPr>
        <w:suppressLineNumbers w:val="0"/>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Universalism and particularism: reflecting the influence of culture on rules and human-machine relationships. Universalism favors applicability, while particularism is more concerned with context and relationships. </w:t>
      </w:r>
    </w:p>
    <w:p w14:paraId="0B780E44">
      <w:pPr>
        <w:keepNext w:val="0"/>
        <w:keepLines w:val="0"/>
        <w:widowControl/>
        <w:numPr>
          <w:ilvl w:val="0"/>
          <w:numId w:val="1"/>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Individualism and collectivism: different values, individualist culture focuses on independence, and collectivist culture has limited consideration of the collective. Nekane and Maria (2005) mentioned that the core of individualism lies in the emphasis on the independence and uniqueness of the individual and that the opinions as well as the instructions of others are not relevant to oneself.</w:t>
      </w:r>
    </w:p>
    <w:p w14:paraId="2DD75CFE">
      <w:pPr>
        <w:keepNext w:val="0"/>
        <w:keepLines w:val="0"/>
        <w:widowControl/>
        <w:numPr>
          <w:ilvl w:val="0"/>
          <w:numId w:val="1"/>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Neutral vs. explicit: emotional expression, neutral emotions are more rational and restrained, and explicit emotions are more openly expressed. </w:t>
      </w:r>
    </w:p>
    <w:p w14:paraId="13C546D1">
      <w:pPr>
        <w:keepNext w:val="0"/>
        <w:keepLines w:val="0"/>
        <w:widowControl/>
        <w:numPr>
          <w:ilvl w:val="0"/>
          <w:numId w:val="1"/>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Specificity versus diffusion: this dimension shows the culture's attitude towards the boundaries between professional and personal life: specificity cultures emphasize the separation of the two, while diffusion cultures tend to intermingle the two. </w:t>
      </w:r>
    </w:p>
    <w:p w14:paraId="507C6607">
      <w:pPr>
        <w:keepNext w:val="0"/>
        <w:keepLines w:val="0"/>
        <w:widowControl/>
        <w:numPr>
          <w:ilvl w:val="0"/>
          <w:numId w:val="1"/>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Achievement-orientation and attribution-orientation: Emphasising differences in the sources of status, achievement-orientation focuses on competence and achievement, while attribution-orientation places more emphasis on age and gender. Some scholars believe that achievement goal orientation mediates the relationship between leadership-differentiated empowerment and employee innovative performance (Zhao. 2024) </w:t>
      </w:r>
    </w:p>
    <w:p w14:paraId="6E13521C">
      <w:pPr>
        <w:keepNext w:val="0"/>
        <w:keepLines w:val="0"/>
        <w:widowControl/>
        <w:numPr>
          <w:ilvl w:val="0"/>
          <w:numId w:val="1"/>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Linear versus synchronous time: the two sides have different understandings of time, with linear time cultures strictly adhering to time schedules and synchronous time being more flexible. </w:t>
      </w:r>
    </w:p>
    <w:p w14:paraId="0AD2B8B0">
      <w:pPr>
        <w:keepNext w:val="0"/>
        <w:keepLines w:val="0"/>
        <w:widowControl/>
        <w:numPr>
          <w:ilvl w:val="0"/>
          <w:numId w:val="1"/>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Internal versus external control: reflects the attitudes of both parties towards the environment, with internal control cultures favoring personal control and external control cultures favoring external forces.</w:t>
      </w:r>
    </w:p>
    <w:p w14:paraId="3282B32F">
      <w:pPr>
        <w:pStyle w:val="4"/>
        <w:bidi w:val="0"/>
        <w:spacing w:line="480" w:lineRule="auto"/>
        <w:jc w:val="both"/>
        <w:rPr>
          <w:rFonts w:hint="default" w:ascii="Arial" w:hAnsi="Arial" w:cs="Arial"/>
          <w:color w:val="auto"/>
          <w:sz w:val="24"/>
          <w:szCs w:val="24"/>
          <w:lang w:val="en-US" w:eastAsia="zh-CN"/>
        </w:rPr>
      </w:pPr>
      <w:bookmarkStart w:id="8" w:name="_Toc5164"/>
      <w:r>
        <w:rPr>
          <w:rFonts w:hint="default" w:ascii="Arial" w:hAnsi="Arial" w:cs="Arial"/>
          <w:color w:val="auto"/>
          <w:sz w:val="24"/>
          <w:szCs w:val="24"/>
          <w:lang w:val="en-US" w:eastAsia="zh-CN"/>
        </w:rPr>
        <w:t>2.3.2</w:t>
      </w:r>
      <w:r>
        <w:rPr>
          <w:rFonts w:hint="eastAsia" w:ascii="Arial" w:hAnsi="Arial" w:cs="Arial"/>
          <w:color w:val="auto"/>
          <w:sz w:val="24"/>
          <w:szCs w:val="24"/>
          <w:lang w:val="en-US" w:eastAsia="zh-CN"/>
        </w:rPr>
        <w:t xml:space="preserve"> </w:t>
      </w:r>
      <w:r>
        <w:rPr>
          <w:rFonts w:hint="default" w:ascii="Arial" w:hAnsi="Arial" w:cs="Arial"/>
          <w:color w:val="auto"/>
          <w:sz w:val="24"/>
          <w:szCs w:val="24"/>
          <w:lang w:val="en-US" w:eastAsia="zh-CN"/>
        </w:rPr>
        <w:t>Hall's Theory of High and Low Context</w:t>
      </w:r>
      <w:bookmarkEnd w:id="8"/>
    </w:p>
    <w:p w14:paraId="56A7E6B8">
      <w:pPr>
        <w:keepNext w:val="0"/>
        <w:keepLines w:val="0"/>
        <w:widowControl/>
        <w:suppressLineNumbers w:val="0"/>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Hall categorizes context into high and low context in Beyond Culture.‘Xia (2024) also says that Hall defines context as ‘information that surrounds an event; it is inseparable from the meaning of the event’. He categorizes context into high context and low context. Meihan Chen (2024) illustrated the difference in communication styles between high and low-context communicators by comparing a Chinese company with a British company. She mentioned that Chinese expressions are more intimate and friendly. For example, ‘Dear’ is used to address people. The British expression is more direct and objective. These differences are mainly in the degree of dependence on context in the transmission of information. High-context communicative cultures are more euphemistic and rely on non-verbal cues to imply a message. Information is conveyed through indirect means. Examples of Asian markets are China and Japan. Both countries have high-context cultures and therefore must use high-context cultures in business communication. On the contrary, low-context cultures focus more on conveying information through language itself to make communication more direct and objective. Some scholars even say that if both companies belong to low-context cultures, misunderstanding is less likely because people communicate directly according to their habits. However, if the cultures are different, especially when two high-context cultures are involved, the possibility of conflict is high. (Vescovi, Greselin 2017-2018) Therefore, if the apparel group wants to enter the Asian market, it needs to analyze in detail the high- and low-context cultures of the target market to better communicate in international business.</w:t>
      </w:r>
    </w:p>
    <w:p w14:paraId="5703FCD7">
      <w:pPr>
        <w:pStyle w:val="4"/>
        <w:bidi w:val="0"/>
        <w:spacing w:line="480" w:lineRule="auto"/>
        <w:jc w:val="both"/>
        <w:rPr>
          <w:rFonts w:hint="default" w:ascii="Arial" w:hAnsi="Arial" w:cs="Arial"/>
          <w:color w:val="auto"/>
          <w:sz w:val="24"/>
          <w:szCs w:val="24"/>
          <w:lang w:val="en-US" w:eastAsia="zh-CN"/>
        </w:rPr>
      </w:pPr>
      <w:bookmarkStart w:id="9" w:name="_Toc8913"/>
      <w:r>
        <w:rPr>
          <w:rFonts w:hint="default" w:ascii="Arial" w:hAnsi="Arial" w:cs="Arial"/>
          <w:color w:val="auto"/>
          <w:sz w:val="24"/>
          <w:szCs w:val="24"/>
          <w:lang w:val="en-US" w:eastAsia="zh-CN"/>
        </w:rPr>
        <w:t>2.3.3 Hofstede's theory of cultural dimensions</w:t>
      </w:r>
      <w:bookmarkEnd w:id="9"/>
    </w:p>
    <w:p w14:paraId="4165FB58">
      <w:pPr>
        <w:keepNext w:val="0"/>
        <w:keepLines w:val="0"/>
        <w:widowControl/>
        <w:suppressLineNumbers w:val="0"/>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Hofstede's cultural theory is divided into 6 core points: power distance, individualism vs. collectivism, masculinity vs. femininity, uncertainty avoidance, long-term vs. short-term orientation, and indulgence vs. restraint, Wei (2024) mentions that this framework explains the attitudes of people in different cultures in dealing with work, relationships, and life </w:t>
      </w:r>
    </w:p>
    <w:p w14:paraId="6D5EE477">
      <w:pPr>
        <w:keepNext w:val="0"/>
        <w:keepLines w:val="0"/>
        <w:widowControl/>
        <w:numPr>
          <w:ilvl w:val="0"/>
          <w:numId w:val="2"/>
        </w:numPr>
        <w:suppressLineNumbers w:val="0"/>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Power Distance: reflects the acceptance of unequal power in a society. Acceptance of unequal power. High power distance cultures emphasize registration, where there is a huge power gap. Low power distance cultures, on the other hand, focus more on equality and free expression, where everyone has almost the same rights. Several scholars have pointed out that how employees feel about the organization can be a conditioning factor for job satisfaction and intention to leave. An example is leadership style. The more satisfied the job is, the more inclined the employee is to stay in the organization (Talat et al. 4 2024) </w:t>
      </w:r>
    </w:p>
    <w:p w14:paraId="5D716EB8">
      <w:pPr>
        <w:keepNext w:val="0"/>
        <w:keepLines w:val="0"/>
        <w:widowControl/>
        <w:numPr>
          <w:ilvl w:val="0"/>
          <w:numId w:val="0"/>
        </w:numPr>
        <w:suppressLineNumbers w:val="0"/>
        <w:spacing w:line="480" w:lineRule="auto"/>
        <w:jc w:val="both"/>
        <w:rPr>
          <w:rFonts w:hint="default" w:ascii="Arial" w:hAnsi="Arial" w:eastAsia="宋体" w:cs="Arial"/>
          <w:color w:val="auto"/>
          <w:kern w:val="0"/>
          <w:sz w:val="24"/>
          <w:szCs w:val="24"/>
          <w:lang w:val="en-US" w:eastAsia="zh-CN" w:bidi="ar"/>
        </w:rPr>
      </w:pPr>
      <w:bookmarkStart w:id="20" w:name="_GoBack"/>
      <w:bookmarkEnd w:id="20"/>
    </w:p>
    <w:p w14:paraId="738B6C11">
      <w:pPr>
        <w:keepNext w:val="0"/>
        <w:keepLines w:val="0"/>
        <w:widowControl/>
        <w:numPr>
          <w:ilvl w:val="0"/>
          <w:numId w:val="3"/>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Individualism and collectivism: distinguishing between independent individuals and groups. Individualism places more emphasis on individual achievement, whereas group culture prioritizes group achievement. </w:t>
      </w:r>
    </w:p>
    <w:p w14:paraId="583A03BA">
      <w:pPr>
        <w:keepNext w:val="0"/>
        <w:keepLines w:val="0"/>
        <w:widowControl/>
        <w:numPr>
          <w:ilvl w:val="0"/>
          <w:numId w:val="0"/>
        </w:numPr>
        <w:suppressLineNumbers w:val="0"/>
        <w:spacing w:line="480" w:lineRule="auto"/>
        <w:ind w:leftChars="0"/>
        <w:jc w:val="both"/>
        <w:rPr>
          <w:rFonts w:hint="default" w:ascii="Arial" w:hAnsi="Arial" w:eastAsia="宋体" w:cs="Arial"/>
          <w:color w:val="auto"/>
          <w:kern w:val="0"/>
          <w:sz w:val="24"/>
          <w:szCs w:val="24"/>
          <w:lang w:val="en-US" w:eastAsia="zh-CN" w:bidi="ar"/>
        </w:rPr>
      </w:pPr>
    </w:p>
    <w:p w14:paraId="6ABEDF8F">
      <w:pPr>
        <w:keepNext w:val="0"/>
        <w:keepLines w:val="0"/>
        <w:widowControl/>
        <w:numPr>
          <w:ilvl w:val="0"/>
          <w:numId w:val="4"/>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Masculinity and femininity: reflect the culture's assignment of values. Masculine cultures seek achievement, while feminized cultures place more emphasis on quality of life and equality. </w:t>
      </w:r>
    </w:p>
    <w:p w14:paraId="105B7511">
      <w:pPr>
        <w:keepNext w:val="0"/>
        <w:keepLines w:val="0"/>
        <w:widowControl/>
        <w:numPr>
          <w:ilvl w:val="0"/>
          <w:numId w:val="0"/>
        </w:numPr>
        <w:suppressLineNumbers w:val="0"/>
        <w:spacing w:line="480" w:lineRule="auto"/>
        <w:ind w:leftChars="0"/>
        <w:jc w:val="both"/>
        <w:rPr>
          <w:rFonts w:hint="default" w:ascii="Arial" w:hAnsi="Arial" w:eastAsia="宋体" w:cs="Arial"/>
          <w:color w:val="auto"/>
          <w:kern w:val="0"/>
          <w:sz w:val="24"/>
          <w:szCs w:val="24"/>
          <w:lang w:val="en-US" w:eastAsia="zh-CN" w:bidi="ar"/>
        </w:rPr>
      </w:pPr>
    </w:p>
    <w:p w14:paraId="2351E940">
      <w:pPr>
        <w:keepNext w:val="0"/>
        <w:keepLines w:val="0"/>
        <w:widowControl/>
        <w:numPr>
          <w:ilvl w:val="0"/>
          <w:numId w:val="5"/>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Uncertainty Avoidance: A culture's tolerance for risk and ambiguity, with cultures with high avoidance values favoring rules and stability, while cultures with low avoidance values are more open to change and innovation. </w:t>
      </w:r>
    </w:p>
    <w:p w14:paraId="669CC7AF">
      <w:pPr>
        <w:keepNext w:val="0"/>
        <w:keepLines w:val="0"/>
        <w:widowControl/>
        <w:numPr>
          <w:ilvl w:val="0"/>
          <w:numId w:val="0"/>
        </w:numPr>
        <w:suppressLineNumbers w:val="0"/>
        <w:spacing w:line="480" w:lineRule="auto"/>
        <w:ind w:left="0" w:leftChars="0" w:firstLine="0" w:firstLine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(5) Long-term-orientated cultures emphasize persistence and frugality, whereas short-term-orientated cultures emphasize quick results and tradition. There is a need to be more open to change and innovation. </w:t>
      </w:r>
    </w:p>
    <w:p w14:paraId="590E9246">
      <w:pPr>
        <w:keepNext w:val="0"/>
        <w:keepLines w:val="0"/>
        <w:widowControl/>
        <w:numPr>
          <w:ilvl w:val="0"/>
          <w:numId w:val="0"/>
        </w:numPr>
        <w:suppressLineNumbers w:val="0"/>
        <w:spacing w:line="480" w:lineRule="auto"/>
        <w:ind w:left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（6）There is a difference between indulgent and restrained cultures in terms of satisfying desires and controlling behavior. A culture of indulgence promotes free enjoyment, a culture of restraint promotes free enjoyment, and a culture of restraint promotes free enjoyment. There is a difference between indulgent and restrained cultures in terms of satisfying desires and controlling behavior. Some scholars have also interpreted Hofstede's 6 theories Kujtim (2024). </w:t>
      </w:r>
    </w:p>
    <w:p w14:paraId="561F979D">
      <w:pPr>
        <w:keepNext w:val="0"/>
        <w:keepLines w:val="0"/>
        <w:widowControl/>
        <w:numPr>
          <w:ilvl w:val="0"/>
          <w:numId w:val="0"/>
        </w:numPr>
        <w:suppressLineNumbers w:val="0"/>
        <w:spacing w:line="480" w:lineRule="auto"/>
        <w:ind w:leftChars="0"/>
        <w:jc w:val="both"/>
        <w:rPr>
          <w:rFonts w:hint="default" w:ascii="Arial" w:hAnsi="Arial" w:eastAsia="宋体" w:cs="Arial"/>
          <w:color w:val="auto"/>
          <w:kern w:val="0"/>
          <w:sz w:val="24"/>
          <w:szCs w:val="24"/>
          <w:lang w:val="en-US" w:eastAsia="zh-CN" w:bidi="ar"/>
        </w:rPr>
      </w:pPr>
    </w:p>
    <w:p w14:paraId="19765EB0">
      <w:pPr>
        <w:keepNext w:val="0"/>
        <w:keepLines w:val="0"/>
        <w:widowControl/>
        <w:numPr>
          <w:ilvl w:val="0"/>
          <w:numId w:val="0"/>
        </w:numPr>
        <w:suppressLineNumbers w:val="0"/>
        <w:spacing w:line="480" w:lineRule="auto"/>
        <w:ind w:leftChars="0"/>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In addition, some scholars have made a study to analyze and solve the problems through Hofstede's six theories by taking the examples of two companies, NipponElectro and TechInnovate. They believe that companies should cultivate a team that is not only technically but also culturally proficient. This will enable the company to face the challenges better. (Hanzheng Lin, Lingling Lou2024)</w:t>
      </w:r>
    </w:p>
    <w:p w14:paraId="1893EE53">
      <w:pPr>
        <w:pStyle w:val="3"/>
        <w:bidi w:val="0"/>
        <w:spacing w:line="480" w:lineRule="auto"/>
        <w:jc w:val="both"/>
        <w:rPr>
          <w:rFonts w:hint="default" w:ascii="Arial" w:hAnsi="Arial" w:cs="Arial"/>
          <w:color w:val="auto"/>
          <w:sz w:val="24"/>
          <w:szCs w:val="24"/>
          <w:lang w:val="en-US" w:eastAsia="zh-CN"/>
        </w:rPr>
      </w:pPr>
      <w:bookmarkStart w:id="10" w:name="_Toc7329"/>
      <w:r>
        <w:rPr>
          <w:rFonts w:hint="default" w:ascii="Arial" w:hAnsi="Arial" w:cs="Arial"/>
          <w:color w:val="auto"/>
          <w:sz w:val="24"/>
          <w:szCs w:val="24"/>
          <w:lang w:val="en-US" w:eastAsia="zh-CN"/>
        </w:rPr>
        <w:t>2.4 – Effective Communication</w:t>
      </w:r>
      <w:bookmarkEnd w:id="10"/>
    </w:p>
    <w:p w14:paraId="5033EC37">
      <w:pPr>
        <w:keepNext w:val="0"/>
        <w:keepLines w:val="0"/>
        <w:widowControl/>
        <w:suppressLineNumbers w:val="0"/>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Effective communication can be achieved by developing relationships to build trust. Hanqi Yue and Siqi Huang (2024) pointed out that in the context of cultural differences, cross-cultural teams need to face and make adjustments to the values and behavioral norms of different cultures to prevent conflicts and ensure harmonious coexistence of the team. Take Asian countries as an example. Unlike Western cultures, many Asian countries place great importance on building and nurturing relationships before engaging in formal business cooperation. Rather than a simple written agreement or a few deals, relationship building requires long-term interaction and communication between the parties, face-to-face meetings, and shared experiences to develop. As Wen Wanhe (2024) mentions the operating mechanism of the company's cooperation is based on the mutual interests and long-term relationship between the two parties.  For examole，the apparel group wishes to enter the Chinese market, it is apparel company wishes to enter the Chinese market, it is important to first understand that in China, relationships between partners are long term and therefore building trust takes time and effort. together. Therefore, the clothing group needed to gain an in-depth understanding of the various ways of socializing in China to help the group gain the goodwill of the other party. As one scholar suggests effective international co-operation relies on the understanding of different cultures and languages. Communication barriers or cultural misunderstandings may hinder the cooperation process and even threaten the success of multinational enterprises. Nkechi (2024)</w:t>
      </w:r>
    </w:p>
    <w:p w14:paraId="0037E59F">
      <w:pPr>
        <w:pStyle w:val="3"/>
        <w:bidi w:val="0"/>
        <w:spacing w:line="480" w:lineRule="auto"/>
        <w:jc w:val="both"/>
        <w:rPr>
          <w:rFonts w:hint="default" w:ascii="Arial" w:hAnsi="Arial" w:cs="Arial"/>
          <w:color w:val="auto"/>
          <w:sz w:val="24"/>
          <w:szCs w:val="24"/>
        </w:rPr>
      </w:pPr>
      <w:bookmarkStart w:id="11" w:name="_Toc22503"/>
      <w:r>
        <w:rPr>
          <w:rFonts w:hint="default" w:ascii="Arial" w:hAnsi="Arial" w:cs="Arial"/>
          <w:color w:val="auto"/>
          <w:sz w:val="24"/>
          <w:szCs w:val="24"/>
          <w:lang w:val="en-US" w:eastAsia="zh-CN"/>
        </w:rPr>
        <w:t>2.5 – International Culture</w:t>
      </w:r>
      <w:bookmarkEnd w:id="11"/>
    </w:p>
    <w:p w14:paraId="268E98B4">
      <w:pPr>
        <w:keepNext w:val="0"/>
        <w:keepLines w:val="0"/>
        <w:widowControl/>
        <w:suppressLineNumbers w:val="0"/>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sz w:val="24"/>
          <w:szCs w:val="24"/>
        </w:rPr>
        <w:t>International culture is a product of the intertwining of globalization and cultural diversity, which transcends national boundaries, encompassing common values and behavioral patterns while retaining the unique cultural characteristics of each place. Understanding cultural differences, adapting to different needs, and respecting local customs and practices are the keys to success in international business. For example, Liu (2024) argues that when entering a new market, the translation of a product's logo must respect the cultural characteristics of the target market, including political significance, religious beliefs, and moral concepts. Therefore, the global apparel group should also respect the cultural characteristics of the target market when entering the Asian market.</w:t>
      </w:r>
    </w:p>
    <w:p w14:paraId="5319D19B">
      <w:pPr>
        <w:pStyle w:val="4"/>
        <w:bidi w:val="0"/>
        <w:spacing w:line="480" w:lineRule="auto"/>
        <w:jc w:val="both"/>
        <w:rPr>
          <w:rFonts w:hint="default" w:ascii="Arial" w:hAnsi="Arial" w:cs="Arial"/>
          <w:color w:val="auto"/>
          <w:sz w:val="24"/>
          <w:szCs w:val="24"/>
          <w:lang w:val="en-US" w:eastAsia="zh-CN"/>
        </w:rPr>
      </w:pPr>
      <w:bookmarkStart w:id="12" w:name="_Toc7713"/>
      <w:r>
        <w:rPr>
          <w:rFonts w:hint="default" w:ascii="Arial" w:hAnsi="Arial" w:cs="Arial"/>
          <w:color w:val="auto"/>
          <w:sz w:val="24"/>
          <w:szCs w:val="24"/>
          <w:lang w:val="en-US" w:eastAsia="zh-CN"/>
        </w:rPr>
        <w:t xml:space="preserve">2.5.1 </w:t>
      </w:r>
      <w:bookmarkStart w:id="13" w:name="OLE_LINK2"/>
      <w:bookmarkStart w:id="14" w:name="OLE_LINK1"/>
      <w:r>
        <w:rPr>
          <w:rFonts w:hint="default" w:ascii="Arial" w:hAnsi="Arial" w:cs="Arial"/>
          <w:color w:val="auto"/>
          <w:sz w:val="24"/>
          <w:szCs w:val="24"/>
          <w:lang w:val="en-US" w:eastAsia="zh-CN"/>
        </w:rPr>
        <w:t>Trompenaars’</w:t>
      </w:r>
      <w:bookmarkEnd w:id="13"/>
      <w:r>
        <w:rPr>
          <w:rFonts w:hint="default" w:ascii="Arial" w:hAnsi="Arial" w:cs="Arial"/>
          <w:color w:val="auto"/>
          <w:sz w:val="24"/>
          <w:szCs w:val="24"/>
          <w:lang w:val="en-US" w:eastAsia="zh-CN"/>
        </w:rPr>
        <w:t xml:space="preserve"> Cultural Dimensions</w:t>
      </w:r>
      <w:bookmarkEnd w:id="14"/>
      <w:r>
        <w:rPr>
          <w:rFonts w:hint="default" w:ascii="Arial" w:hAnsi="Arial" w:cs="Arial"/>
          <w:color w:val="auto"/>
          <w:sz w:val="24"/>
          <w:szCs w:val="24"/>
          <w:lang w:val="en-US" w:eastAsia="zh-CN"/>
        </w:rPr>
        <w:t>（7 types）</w:t>
      </w:r>
      <w:bookmarkEnd w:id="12"/>
    </w:p>
    <w:p w14:paraId="300233F7">
      <w:pPr>
        <w:keepNext w:val="0"/>
        <w:keepLines w:val="0"/>
        <w:widowControl/>
        <w:suppressLineNumbers w:val="0"/>
        <w:spacing w:line="480" w:lineRule="auto"/>
        <w:jc w:val="both"/>
        <w:rPr>
          <w:rFonts w:hint="default" w:ascii="Arial" w:hAnsi="Arial" w:eastAsia="宋体" w:cs="Arial"/>
          <w:color w:val="auto"/>
          <w:sz w:val="24"/>
          <w:szCs w:val="24"/>
          <w:lang w:val="en-US" w:eastAsia="zh-CN"/>
        </w:rPr>
      </w:pPr>
      <w:r>
        <w:rPr>
          <w:rFonts w:hint="default" w:ascii="Arial" w:hAnsi="Arial" w:eastAsia="宋体" w:cs="Arial"/>
          <w:color w:val="auto"/>
          <w:sz w:val="24"/>
          <w:szCs w:val="24"/>
          <w:lang w:val="en-US" w:eastAsia="zh-CN"/>
        </w:rPr>
        <w:t>The seven theories of Trompenaars' cultural dimensions can be explored and deepened about the apparel group's entry into the Asian market. Groupism versus individualism is an important cultural dimension in the Asian market, highlighting the differences in business practices between countries such as China and South Korea.I was once in a Chinese company as an intern. During a business negotiation, my company sent a senior manager to negotiate with other companies. This shows that my company favored the use of individualism to conduct business communication. The delegate was the main decision-maker and communicated on behalf of the company. In contrast, Korean companies send delegations to international business negotiations. The delegation represents the company as a collective, with one person acting as a spokesperson to communicate. This approach is consistent with the Korean culture of groupism, which emphasizes group participation and collective decision-making.</w:t>
      </w:r>
    </w:p>
    <w:p w14:paraId="13203343">
      <w:pPr>
        <w:pStyle w:val="3"/>
        <w:bidi w:val="0"/>
        <w:spacing w:line="480" w:lineRule="auto"/>
        <w:jc w:val="both"/>
        <w:rPr>
          <w:rFonts w:hint="default" w:ascii="Arial" w:hAnsi="Arial" w:cs="Arial"/>
          <w:color w:val="auto"/>
          <w:sz w:val="24"/>
          <w:szCs w:val="24"/>
        </w:rPr>
      </w:pPr>
      <w:bookmarkStart w:id="15" w:name="_Toc19649"/>
      <w:r>
        <w:rPr>
          <w:rFonts w:hint="default" w:ascii="Arial" w:hAnsi="Arial" w:cs="Arial"/>
          <w:color w:val="auto"/>
          <w:sz w:val="24"/>
          <w:szCs w:val="24"/>
          <w:lang w:val="en-US" w:eastAsia="zh-CN"/>
        </w:rPr>
        <w:t>2.6 Importance of Building Relationships</w:t>
      </w:r>
      <w:bookmarkEnd w:id="15"/>
    </w:p>
    <w:p w14:paraId="416B651A">
      <w:pPr>
        <w:keepNext w:val="0"/>
        <w:keepLines w:val="0"/>
        <w:widowControl/>
        <w:suppressLineNumbers w:val="0"/>
        <w:spacing w:line="480" w:lineRule="auto"/>
        <w:jc w:val="both"/>
        <w:rPr>
          <w:rFonts w:hint="default" w:ascii="Arial" w:hAnsi="Arial" w:eastAsia="宋体" w:cs="Arial"/>
          <w:color w:val="auto"/>
          <w:sz w:val="24"/>
          <w:szCs w:val="24"/>
          <w:lang w:val="en-US" w:eastAsia="zh-CN"/>
        </w:rPr>
      </w:pPr>
      <w:r>
        <w:rPr>
          <w:rFonts w:hint="default" w:ascii="Arial" w:hAnsi="Arial" w:eastAsia="宋体" w:cs="Arial"/>
          <w:color w:val="auto"/>
          <w:sz w:val="24"/>
          <w:szCs w:val="24"/>
          <w:lang w:val="en-US" w:eastAsia="zh-CN"/>
        </w:rPr>
        <w:t>For enterprises, relationship building is the basis for long-term development, but also to strengthen cultural exchanges, in business cooperation, a good relationship can help enterprises better understand the needs of partners. For example, if the apparel company wants to enter the Asian market, relationship building is the key to smooth business cooperation, after finding a suitable market partner, you need to establish a relationship of trust with each other. Mutual trust is an important basis for signing contracts and long-term cooperation. Some scholars point out that enterprises can carry out corresponding tax relief through tax agreements and other ways of cross-border cooperation, tax credits for tax pointed out. (Wang Xiaolei et al. 2024) Therefore, the apparel group can examine the policy of the target market, choose the appropriate cooperation target, and carry out tax relief reasonably and legally.</w:t>
      </w:r>
    </w:p>
    <w:p w14:paraId="733437B6">
      <w:pPr>
        <w:pStyle w:val="3"/>
        <w:bidi w:val="0"/>
        <w:spacing w:line="480" w:lineRule="auto"/>
        <w:jc w:val="both"/>
        <w:rPr>
          <w:rFonts w:hint="default" w:ascii="Arial" w:hAnsi="Arial" w:cs="Arial"/>
          <w:color w:val="auto"/>
          <w:sz w:val="24"/>
          <w:szCs w:val="24"/>
          <w:lang w:val="en-US" w:eastAsia="zh-CN"/>
        </w:rPr>
      </w:pPr>
      <w:bookmarkStart w:id="16" w:name="_Toc16553"/>
      <w:r>
        <w:rPr>
          <w:rFonts w:hint="default" w:ascii="Arial" w:hAnsi="Arial" w:cs="Arial"/>
          <w:color w:val="auto"/>
          <w:sz w:val="24"/>
          <w:szCs w:val="24"/>
          <w:lang w:val="en-US" w:eastAsia="zh-CN"/>
        </w:rPr>
        <w:t>2.7  How to build Trust</w:t>
      </w:r>
      <w:bookmarkEnd w:id="16"/>
    </w:p>
    <w:p w14:paraId="53192279">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 xml:space="preserve">Building relationships in international business is a gradual process. It is a process that takes time and patience to hone. The first step in entering the Asian market is to choose the right local partner. The first meeting with the partner is the first step in building a relationship. A mutual understanding of needs, culture, and business model allows for appropriate business transformation and modifications. </w:t>
      </w:r>
    </w:p>
    <w:p w14:paraId="783B4C1A">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Then, at a later stage, the relationship is deepened through emails, conference calls, and even face-to-face meetings to share information and solidify the relationship through frequent communication. Some scholars have pointed out that enterprises can cooperate with universities and research institutions. Combining the excellent resources of both parties to cultivate talents. (Dai Ji 2024) It is possible to communicate better by sending these talents out to the partner's company for in-depth communication.</w:t>
      </w:r>
    </w:p>
    <w:p w14:paraId="541EAD88">
      <w:pPr>
        <w:pStyle w:val="2"/>
        <w:bidi w:val="0"/>
        <w:spacing w:line="480" w:lineRule="auto"/>
        <w:jc w:val="both"/>
        <w:rPr>
          <w:rFonts w:hint="default" w:ascii="Arial" w:hAnsi="Arial" w:cs="Arial"/>
          <w:color w:val="auto"/>
          <w:sz w:val="24"/>
          <w:szCs w:val="24"/>
        </w:rPr>
      </w:pPr>
      <w:bookmarkStart w:id="17" w:name="_Toc6791"/>
      <w:r>
        <w:rPr>
          <w:rFonts w:hint="default" w:ascii="Arial" w:hAnsi="Arial" w:cs="Arial"/>
          <w:color w:val="auto"/>
          <w:sz w:val="24"/>
          <w:szCs w:val="24"/>
          <w:lang w:val="en-US" w:eastAsia="zh-CN"/>
        </w:rPr>
        <w:t>2.8 Failed Relationships</w:t>
      </w:r>
      <w:bookmarkEnd w:id="17"/>
    </w:p>
    <w:p w14:paraId="3663D79B">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There are many reasons for failure in international business cooperation. For example, companies fail to establish reliable and trusting relationships with local markets and partners, thus making it difficult to gain a foothold in the target market. The second is the impact of language barriers, cultural differences, and non-verbal communication. Liu Baiyu (2005) mentions having been involved in a business negotiation involving a deal for sanding machines between an American trading company and a Chinese manufacturer. Even though both parties were well prepared, the Chinese side's request for an irrevocable demand letter of credit from the US side was rejected during the contract negotiation, which ultimately led to the failure of the negotiation.</w:t>
      </w:r>
    </w:p>
    <w:p w14:paraId="351A2E97">
      <w:pPr>
        <w:pStyle w:val="2"/>
        <w:bidi w:val="0"/>
        <w:spacing w:line="480" w:lineRule="auto"/>
        <w:jc w:val="both"/>
        <w:rPr>
          <w:rFonts w:hint="default" w:ascii="Arial" w:hAnsi="Arial" w:cs="Arial"/>
          <w:color w:val="auto"/>
          <w:sz w:val="24"/>
          <w:szCs w:val="24"/>
        </w:rPr>
      </w:pPr>
      <w:bookmarkStart w:id="18" w:name="_Toc3420"/>
      <w:r>
        <w:rPr>
          <w:rFonts w:hint="default" w:ascii="Arial" w:hAnsi="Arial" w:cs="Arial"/>
          <w:color w:val="auto"/>
          <w:sz w:val="24"/>
          <w:szCs w:val="24"/>
          <w:lang w:val="en-US" w:eastAsia="zh-CN"/>
        </w:rPr>
        <w:t>3.0 – Conclusions</w:t>
      </w:r>
      <w:bookmarkEnd w:id="18"/>
    </w:p>
    <w:p w14:paraId="527CD0A6">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sz w:val="24"/>
          <w:szCs w:val="24"/>
        </w:rPr>
        <w:t>This report explores the importance of International Business Communication (IBC) in cross-border expansion, with particular reference to the case of a clothing retail group's foray into the Asian market.  The report emphasizes the importance of oral and written communication skills, critical thinking, and cross-cultural understanding in addressing complex environments. Through theoretical frameworks such as Hall's Cultural Context Theory and Hofstede's Cultural Dimensions Theory, organizations are able to understand and adapt to different cultures' communication styles, thereby reducing misunderstandings and building trust. The report also points out that relationship building is crucial in Asian markets and that trust is built through long-term social interactions and cultural understanding.</w:t>
      </w:r>
    </w:p>
    <w:p w14:paraId="4F4CC92C">
      <w:pPr>
        <w:pStyle w:val="2"/>
        <w:bidi w:val="0"/>
        <w:spacing w:line="480" w:lineRule="auto"/>
        <w:jc w:val="both"/>
        <w:rPr>
          <w:rFonts w:hint="default" w:ascii="Arial" w:hAnsi="Arial" w:cs="Arial"/>
          <w:color w:val="auto"/>
          <w:sz w:val="24"/>
          <w:szCs w:val="24"/>
          <w:lang w:val="en-US" w:eastAsia="zh-CN"/>
        </w:rPr>
      </w:pPr>
      <w:bookmarkStart w:id="19" w:name="_Toc4103"/>
      <w:r>
        <w:rPr>
          <w:rFonts w:hint="default" w:ascii="Arial" w:hAnsi="Arial" w:cs="Arial"/>
          <w:color w:val="auto"/>
          <w:sz w:val="24"/>
          <w:szCs w:val="24"/>
          <w:lang w:val="en-US" w:eastAsia="zh-CN"/>
        </w:rPr>
        <w:t>4.0 – Recommendations</w:t>
      </w:r>
      <w:bookmarkEnd w:id="19"/>
    </w:p>
    <w:p w14:paraId="1692F518">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Based on the case in 2.8, the author believes that the understanding and adaptation of cultural differences need to be emphasized in cross-cultural business exchanges. China's request for the U.S. to issue an irrevocable demand letter of credit indicates a lack of trust between the two parties, which may stem from differences in cultural backgrounds and business habits.</w:t>
      </w:r>
    </w:p>
    <w:p w14:paraId="3022ED4E">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p>
    <w:p w14:paraId="49BA4AAD">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To build trust, enterprises can open cooperation through small transactions and gradually accumulate confidence. At the same time, strengthening communication, enhancing transparency, and respecting each other's culture and habits, such as the Asian market's emphasis on relationship orientation and long-term cooperation, can lay a solid foundation for future cooperation.</w:t>
      </w:r>
    </w:p>
    <w:p w14:paraId="1564792A">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p>
    <w:p w14:paraId="59E392BF">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p>
    <w:p w14:paraId="769804AB">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p>
    <w:p w14:paraId="62824E55">
      <w:pPr>
        <w:widowControl w:val="0"/>
        <w:numPr>
          <w:ilvl w:val="0"/>
          <w:numId w:val="0"/>
        </w:numPr>
        <w:spacing w:line="480" w:lineRule="auto"/>
        <w:jc w:val="both"/>
        <w:rPr>
          <w:rFonts w:hint="default" w:ascii="Arial" w:hAnsi="Arial" w:eastAsia="宋体" w:cs="Arial"/>
          <w:color w:val="auto"/>
          <w:kern w:val="0"/>
          <w:sz w:val="24"/>
          <w:szCs w:val="24"/>
          <w:lang w:val="en-US" w:eastAsia="zh-CN" w:bidi="ar"/>
        </w:rPr>
      </w:pPr>
      <w:r>
        <w:rPr>
          <w:rFonts w:hint="default" w:ascii="Arial" w:hAnsi="Arial" w:eastAsia="宋体" w:cs="Arial"/>
          <w:bCs/>
          <w:color w:val="auto"/>
          <w:sz w:val="24"/>
          <w:szCs w:val="24"/>
        </w:rPr>
        <w:t xml:space="preserve">Word count: </w:t>
      </w:r>
      <w:r>
        <w:rPr>
          <w:rFonts w:hint="default" w:ascii="Arial" w:hAnsi="Arial" w:eastAsia="宋体" w:cs="Arial"/>
          <w:bCs/>
          <w:color w:val="auto"/>
          <w:sz w:val="24"/>
          <w:szCs w:val="24"/>
          <w:lang w:val="en-US" w:eastAsia="zh-CN"/>
        </w:rPr>
        <w:t>2731</w:t>
      </w:r>
      <w:r>
        <w:rPr>
          <w:rFonts w:hint="default" w:ascii="Arial" w:hAnsi="Arial" w:eastAsia="宋体" w:cs="Arial"/>
          <w:bCs/>
          <w:color w:val="auto"/>
          <w:sz w:val="24"/>
          <w:szCs w:val="24"/>
        </w:rPr>
        <w:br w:type="page"/>
      </w:r>
    </w:p>
    <w:p w14:paraId="1639E332">
      <w:pPr>
        <w:keepNext w:val="0"/>
        <w:keepLines w:val="0"/>
        <w:widowControl/>
        <w:suppressLineNumbers w:val="0"/>
        <w:spacing w:line="480" w:lineRule="auto"/>
        <w:jc w:val="left"/>
        <w:rPr>
          <w:rFonts w:hint="default" w:ascii="Arial" w:hAnsi="Arial" w:eastAsia="TimesNewRomanPS-BoldMT" w:cs="Arial"/>
          <w:b/>
          <w:bCs/>
          <w:color w:val="auto"/>
          <w:kern w:val="0"/>
          <w:sz w:val="24"/>
          <w:szCs w:val="24"/>
          <w:lang w:val="en-US" w:eastAsia="zh-CN" w:bidi="ar"/>
        </w:rPr>
      </w:pPr>
      <w:r>
        <w:rPr>
          <w:rFonts w:hint="default" w:ascii="Arial" w:hAnsi="Arial" w:eastAsia="TimesNewRomanPS-BoldMT" w:cs="Arial"/>
          <w:b/>
          <w:bCs/>
          <w:color w:val="auto"/>
          <w:kern w:val="0"/>
          <w:sz w:val="24"/>
          <w:szCs w:val="24"/>
          <w:lang w:val="en-US" w:eastAsia="zh-CN" w:bidi="ar"/>
        </w:rPr>
        <w:t>Reference</w:t>
      </w:r>
    </w:p>
    <w:p w14:paraId="5522847D">
      <w:pPr>
        <w:pStyle w:val="8"/>
        <w:keepNext w:val="0"/>
        <w:keepLines w:val="0"/>
        <w:widowControl/>
        <w:suppressLineNumbers w:val="0"/>
        <w:spacing w:before="0" w:beforeAutospacing="0" w:after="0" w:afterAutospacing="0" w:line="480" w:lineRule="auto"/>
        <w:jc w:val="left"/>
        <w:rPr>
          <w:rFonts w:hint="default" w:ascii="Arial" w:hAnsi="Arial" w:cs="Arial"/>
          <w:color w:val="auto"/>
          <w:sz w:val="24"/>
          <w:szCs w:val="24"/>
          <w:lang w:val="en-US" w:eastAsia="zh-CN"/>
        </w:rPr>
      </w:pPr>
      <w:r>
        <w:rPr>
          <w:rFonts w:hint="default" w:ascii="Arial" w:hAnsi="Arial" w:cs="Arial"/>
          <w:color w:val="auto"/>
          <w:sz w:val="24"/>
          <w:szCs w:val="24"/>
        </w:rPr>
        <w:t xml:space="preserve">Bãlan, S. and Vreja, L.O. (2013) 'THE TROMPENAARS’ SEVEN-DIMENSION CULTURAL MODEL AND CULTURAL ORIENTATIONS OF ROMANIAN </w:t>
      </w:r>
    </w:p>
    <w:p w14:paraId="2D5FCBFD">
      <w:pPr>
        <w:pStyle w:val="8"/>
        <w:keepNext w:val="0"/>
        <w:keepLines w:val="0"/>
        <w:widowControl/>
        <w:suppressLineNumbers w:val="0"/>
        <w:spacing w:before="0" w:beforeAutospacing="0" w:after="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Chebykin, O. </w:t>
      </w:r>
      <w:r>
        <w:rPr>
          <w:rFonts w:hint="default" w:ascii="Arial" w:hAnsi="Arial" w:cs="Arial"/>
          <w:i/>
          <w:iCs/>
          <w:color w:val="auto"/>
          <w:sz w:val="24"/>
          <w:szCs w:val="24"/>
        </w:rPr>
        <w:t>et al.</w:t>
      </w:r>
      <w:r>
        <w:rPr>
          <w:rFonts w:hint="default" w:ascii="Arial" w:hAnsi="Arial" w:cs="Arial"/>
          <w:color w:val="auto"/>
          <w:sz w:val="24"/>
          <w:szCs w:val="24"/>
        </w:rPr>
        <w:t xml:space="preserve"> (eds) (2024) '</w:t>
      </w:r>
      <w:r>
        <w:rPr>
          <w:rFonts w:hint="default" w:ascii="Arial" w:hAnsi="Arial" w:cs="Arial"/>
          <w:color w:val="auto"/>
          <w:sz w:val="24"/>
          <w:szCs w:val="24"/>
          <w:lang w:val="en-US" w:eastAsia="zh-CN"/>
        </w:rPr>
        <w:t>M</w:t>
      </w:r>
      <w:r>
        <w:rPr>
          <w:rFonts w:hint="default" w:ascii="Arial" w:hAnsi="Arial" w:cs="Arial"/>
          <w:color w:val="auto"/>
          <w:sz w:val="24"/>
          <w:szCs w:val="24"/>
        </w:rPr>
        <w:t xml:space="preserve">odern </w:t>
      </w:r>
      <w:r>
        <w:rPr>
          <w:rFonts w:hint="default" w:ascii="Arial" w:hAnsi="Arial" w:cs="Arial"/>
          <w:color w:val="auto"/>
          <w:sz w:val="24"/>
          <w:szCs w:val="24"/>
          <w:lang w:val="en-US" w:eastAsia="zh-CN"/>
        </w:rPr>
        <w:t>V</w:t>
      </w:r>
      <w:r>
        <w:rPr>
          <w:rFonts w:hint="default" w:ascii="Arial" w:hAnsi="Arial" w:cs="Arial"/>
          <w:color w:val="auto"/>
          <w:sz w:val="24"/>
          <w:szCs w:val="24"/>
        </w:rPr>
        <w:t xml:space="preserve">ectors of </w:t>
      </w:r>
      <w:r>
        <w:rPr>
          <w:rFonts w:hint="default" w:ascii="Arial" w:hAnsi="Arial" w:cs="Arial"/>
          <w:color w:val="auto"/>
          <w:sz w:val="24"/>
          <w:szCs w:val="24"/>
          <w:lang w:val="en-US" w:eastAsia="zh-CN"/>
        </w:rPr>
        <w:t>S</w:t>
      </w:r>
      <w:r>
        <w:rPr>
          <w:rFonts w:hint="default" w:ascii="Arial" w:hAnsi="Arial" w:cs="Arial"/>
          <w:color w:val="auto"/>
          <w:sz w:val="24"/>
          <w:szCs w:val="24"/>
        </w:rPr>
        <w:t xml:space="preserve">cience and </w:t>
      </w:r>
      <w:r>
        <w:rPr>
          <w:rFonts w:hint="default" w:ascii="Arial" w:hAnsi="Arial" w:cs="Arial"/>
          <w:color w:val="auto"/>
          <w:sz w:val="24"/>
          <w:szCs w:val="24"/>
          <w:lang w:val="en-US" w:eastAsia="zh-CN"/>
        </w:rPr>
        <w:t>E</w:t>
      </w:r>
      <w:r>
        <w:rPr>
          <w:rFonts w:hint="default" w:ascii="Arial" w:hAnsi="Arial" w:cs="Arial"/>
          <w:color w:val="auto"/>
          <w:sz w:val="24"/>
          <w:szCs w:val="24"/>
        </w:rPr>
        <w:t xml:space="preserve">ducation </w:t>
      </w:r>
      <w:r>
        <w:rPr>
          <w:rFonts w:hint="default" w:ascii="Arial" w:hAnsi="Arial" w:cs="Arial"/>
          <w:color w:val="auto"/>
          <w:sz w:val="24"/>
          <w:szCs w:val="24"/>
          <w:lang w:val="en-US" w:eastAsia="zh-CN"/>
        </w:rPr>
        <w:t>D</w:t>
      </w:r>
      <w:r>
        <w:rPr>
          <w:rFonts w:hint="default" w:ascii="Arial" w:hAnsi="Arial" w:cs="Arial"/>
          <w:color w:val="auto"/>
          <w:sz w:val="24"/>
          <w:szCs w:val="24"/>
        </w:rPr>
        <w:t xml:space="preserve">evelopment in </w:t>
      </w:r>
      <w:r>
        <w:rPr>
          <w:rFonts w:hint="default" w:ascii="Arial" w:hAnsi="Arial" w:cs="Arial"/>
          <w:color w:val="auto"/>
          <w:sz w:val="24"/>
          <w:szCs w:val="24"/>
          <w:lang w:val="en-US" w:eastAsia="zh-CN"/>
        </w:rPr>
        <w:t>C</w:t>
      </w:r>
      <w:r>
        <w:rPr>
          <w:rFonts w:hint="default" w:ascii="Arial" w:hAnsi="Arial" w:cs="Arial"/>
          <w:color w:val="auto"/>
          <w:sz w:val="24"/>
          <w:szCs w:val="24"/>
        </w:rPr>
        <w:t xml:space="preserve">hina and </w:t>
      </w:r>
      <w:r>
        <w:rPr>
          <w:rFonts w:hint="default" w:ascii="Arial" w:hAnsi="Arial" w:cs="Arial"/>
          <w:color w:val="auto"/>
          <w:sz w:val="24"/>
          <w:szCs w:val="24"/>
          <w:lang w:val="en-US" w:eastAsia="zh-CN"/>
        </w:rPr>
        <w:t>U</w:t>
      </w:r>
      <w:r>
        <w:rPr>
          <w:rFonts w:hint="default" w:ascii="Arial" w:hAnsi="Arial" w:cs="Arial"/>
          <w:color w:val="auto"/>
          <w:sz w:val="24"/>
          <w:szCs w:val="24"/>
        </w:rPr>
        <w:t>kraine,' (10), p. 390.</w:t>
      </w:r>
    </w:p>
    <w:p w14:paraId="284ABE36">
      <w:pPr>
        <w:pStyle w:val="8"/>
        <w:keepNext w:val="0"/>
        <w:keepLines w:val="0"/>
        <w:widowControl/>
        <w:suppressLineNumbers w:val="0"/>
        <w:spacing w:before="0" w:beforeAutospacing="0" w:after="0" w:afterAutospacing="0" w:line="480" w:lineRule="auto"/>
        <w:jc w:val="left"/>
        <w:rPr>
          <w:rFonts w:hint="default" w:ascii="Arial" w:hAnsi="Arial" w:cs="Arial"/>
          <w:color w:val="auto"/>
          <w:sz w:val="24"/>
          <w:szCs w:val="24"/>
        </w:rPr>
      </w:pPr>
      <w:r>
        <w:rPr>
          <w:rFonts w:hint="default" w:ascii="Arial" w:hAnsi="Arial" w:cs="Arial"/>
          <w:color w:val="auto"/>
          <w:sz w:val="24"/>
          <w:szCs w:val="24"/>
          <w:lang w:val="en-US" w:eastAsia="zh-CN"/>
        </w:rPr>
        <w:t>Chen M.</w:t>
      </w:r>
      <w:r>
        <w:rPr>
          <w:rFonts w:hint="default" w:ascii="Arial" w:hAnsi="Arial" w:cs="Arial"/>
          <w:color w:val="auto"/>
          <w:sz w:val="24"/>
          <w:szCs w:val="24"/>
        </w:rPr>
        <w:t xml:space="preserve"> (2024) 'A Comparative Study of Discourse in Cross-Cultural Business Communication,' </w:t>
      </w:r>
      <w:r>
        <w:rPr>
          <w:rFonts w:hint="default" w:ascii="Arial" w:hAnsi="Arial" w:cs="Arial"/>
          <w:i/>
          <w:iCs/>
          <w:color w:val="auto"/>
          <w:sz w:val="24"/>
          <w:szCs w:val="24"/>
        </w:rPr>
        <w:t>Modern Linguistics</w:t>
      </w:r>
      <w:r>
        <w:rPr>
          <w:rFonts w:hint="default" w:ascii="Arial" w:hAnsi="Arial" w:cs="Arial"/>
          <w:color w:val="auto"/>
          <w:sz w:val="24"/>
          <w:szCs w:val="24"/>
        </w:rPr>
        <w:t xml:space="preserve">, 12(07), pp. 174–179. </w:t>
      </w:r>
    </w:p>
    <w:p w14:paraId="343D514E">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Dai, J. (2024). Challenges and Breakthroughs Faced by Enterprise Management in the Context of Accelerated Technological Iteration. </w:t>
      </w:r>
      <w:r>
        <w:rPr>
          <w:rFonts w:hint="default" w:ascii="Arial" w:hAnsi="Arial" w:cs="Arial"/>
          <w:i/>
          <w:iCs/>
          <w:color w:val="auto"/>
          <w:sz w:val="24"/>
          <w:szCs w:val="24"/>
        </w:rPr>
        <w:t xml:space="preserve">Environment and Development </w:t>
      </w:r>
      <w:r>
        <w:rPr>
          <w:rFonts w:hint="default" w:ascii="Arial" w:hAnsi="Arial" w:cs="Arial"/>
          <w:color w:val="auto"/>
          <w:sz w:val="24"/>
          <w:szCs w:val="24"/>
        </w:rPr>
        <w:t>, 6(9), pp.223–225.</w:t>
      </w:r>
    </w:p>
    <w:p w14:paraId="0CC19ACA">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GE, Z. (2004) ‘On Intercultural Communication in International Trade and Business Environments’, </w:t>
      </w:r>
      <w:r>
        <w:rPr>
          <w:rFonts w:hint="default" w:ascii="Arial" w:hAnsi="Arial" w:cs="Arial"/>
          <w:i/>
          <w:iCs/>
          <w:color w:val="auto"/>
          <w:sz w:val="24"/>
          <w:szCs w:val="24"/>
        </w:rPr>
        <w:t>Journal of Beijing Polytechnic University (Social Science Edition)</w:t>
      </w:r>
      <w:r>
        <w:rPr>
          <w:rFonts w:hint="default" w:ascii="Arial" w:hAnsi="Arial" w:cs="Arial"/>
          <w:color w:val="auto"/>
          <w:sz w:val="24"/>
          <w:szCs w:val="24"/>
        </w:rPr>
        <w:t>, 6(5), pp. 58–60.</w:t>
      </w:r>
    </w:p>
    <w:p w14:paraId="7F03B8B4">
      <w:pPr>
        <w:widowControl w:val="0"/>
        <w:numPr>
          <w:ilvl w:val="0"/>
          <w:numId w:val="0"/>
        </w:numPr>
        <w:spacing w:line="480" w:lineRule="auto"/>
        <w:jc w:val="left"/>
        <w:rPr>
          <w:rFonts w:hint="default" w:ascii="Arial" w:hAnsi="Arial" w:cs="Arial"/>
          <w:color w:val="auto"/>
          <w:sz w:val="24"/>
          <w:szCs w:val="24"/>
          <w:lang w:val="en-US" w:eastAsia="zh-CN"/>
        </w:rPr>
      </w:pPr>
      <w:r>
        <w:rPr>
          <w:rFonts w:hint="default" w:ascii="Arial" w:hAnsi="Arial" w:eastAsia="宋体" w:cs="Arial"/>
          <w:color w:val="auto"/>
          <w:sz w:val="24"/>
          <w:szCs w:val="24"/>
          <w:lang w:val="en-US" w:eastAsia="zh-CN"/>
        </w:rPr>
        <w:t>Hall, E.T. (1976) Beyond Culture. Double-Day.</w:t>
      </w:r>
      <w:r>
        <w:rPr>
          <w:rFonts w:hint="default" w:ascii="Arial" w:hAnsi="Arial" w:eastAsia="宋体" w:cs="Arial"/>
          <w:color w:val="auto"/>
          <w:sz w:val="24"/>
          <w:szCs w:val="24"/>
          <w:lang w:val="en-US" w:eastAsia="zh-CN"/>
        </w:rPr>
        <w:tab/>
      </w:r>
      <w:r>
        <w:rPr>
          <w:rFonts w:hint="default" w:ascii="Arial" w:hAnsi="Arial" w:cs="Arial"/>
          <w:color w:val="auto"/>
          <w:sz w:val="24"/>
          <w:szCs w:val="24"/>
        </w:rPr>
        <w:t>pp.</w:t>
      </w:r>
      <w:r>
        <w:rPr>
          <w:rFonts w:hint="default" w:ascii="Arial" w:hAnsi="Arial" w:cs="Arial"/>
          <w:color w:val="auto"/>
          <w:sz w:val="24"/>
          <w:szCs w:val="24"/>
          <w:lang w:val="en-US" w:eastAsia="zh-CN"/>
        </w:rPr>
        <w:t>105-116</w:t>
      </w:r>
    </w:p>
    <w:p w14:paraId="44383D97">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Hameli, K. (2024). Foundations of Organizational Culture: a Comprehensive Review. </w:t>
      </w:r>
      <w:r>
        <w:rPr>
          <w:rFonts w:hint="default" w:ascii="Arial" w:hAnsi="Arial" w:cs="Arial"/>
          <w:i/>
          <w:iCs/>
          <w:color w:val="auto"/>
          <w:sz w:val="24"/>
          <w:szCs w:val="24"/>
        </w:rPr>
        <w:t>Journal of Balkan Economies and Management</w:t>
      </w:r>
      <w:r>
        <w:rPr>
          <w:rFonts w:hint="default" w:ascii="Arial" w:hAnsi="Arial" w:cs="Arial"/>
          <w:color w:val="auto"/>
          <w:sz w:val="24"/>
          <w:szCs w:val="24"/>
        </w:rPr>
        <w:t>, [online] 1(1), pp.54–65. doi:https://doi.org/http//doi.org%20/10.51331/bemA03.</w:t>
      </w:r>
    </w:p>
    <w:p w14:paraId="1F856A9F">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He, Z. (2024). Teaching of International Business Negotiation Course for Applied Undergraduates in the Context of New Liberal Arts Reform Study. </w:t>
      </w:r>
      <w:r>
        <w:rPr>
          <w:rFonts w:hint="default" w:ascii="Arial" w:hAnsi="Arial" w:cs="Arial"/>
          <w:i/>
          <w:iCs/>
          <w:color w:val="auto"/>
          <w:sz w:val="24"/>
          <w:szCs w:val="24"/>
        </w:rPr>
        <w:t>International Business Negotiations</w:t>
      </w:r>
      <w:r>
        <w:rPr>
          <w:rFonts w:hint="default" w:ascii="Arial" w:hAnsi="Arial" w:cs="Arial"/>
          <w:color w:val="auto"/>
          <w:sz w:val="24"/>
          <w:szCs w:val="24"/>
        </w:rPr>
        <w:t>, 6(03), pp.45–46.</w:t>
      </w:r>
    </w:p>
    <w:p w14:paraId="2784698F">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Islam, T., Sharif, S., Fawad Ali, H. and Jamil , S. (2024). Zooming into Paternalistic leadership: Evidence from High Power Distance Culture. </w:t>
      </w:r>
      <w:r>
        <w:rPr>
          <w:rFonts w:hint="default" w:ascii="Arial" w:hAnsi="Arial" w:cs="Arial"/>
          <w:i/>
          <w:iCs/>
          <w:color w:val="auto"/>
          <w:sz w:val="24"/>
          <w:szCs w:val="24"/>
        </w:rPr>
        <w:t>European Journal of Management and Business Economics</w:t>
      </w:r>
      <w:r>
        <w:rPr>
          <w:rFonts w:hint="default" w:ascii="Arial" w:hAnsi="Arial" w:cs="Arial"/>
          <w:color w:val="auto"/>
          <w:sz w:val="24"/>
          <w:szCs w:val="24"/>
        </w:rPr>
        <w:t>, 33(4).</w:t>
      </w:r>
    </w:p>
    <w:p w14:paraId="14C976B1">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Lin, H. and Lou, L. (2024). A Study on Cross-Cultural Business Communication Based on Hofstede’s Cultural Dimensions Theory. </w:t>
      </w:r>
      <w:r>
        <w:rPr>
          <w:rFonts w:hint="default" w:ascii="Arial" w:hAnsi="Arial" w:cs="Arial"/>
          <w:i/>
          <w:iCs/>
          <w:color w:val="auto"/>
          <w:sz w:val="24"/>
          <w:szCs w:val="24"/>
        </w:rPr>
        <w:t>Open Journal of Social Sciences</w:t>
      </w:r>
      <w:r>
        <w:rPr>
          <w:rFonts w:hint="default" w:ascii="Arial" w:hAnsi="Arial" w:cs="Arial"/>
          <w:color w:val="auto"/>
          <w:sz w:val="24"/>
          <w:szCs w:val="24"/>
        </w:rPr>
        <w:t>, 12(9).</w:t>
      </w:r>
    </w:p>
    <w:p w14:paraId="28C7576E">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Liu, B. (2005) ‘On the Quality of International Business Negotiators’, </w:t>
      </w:r>
      <w:r>
        <w:rPr>
          <w:rFonts w:hint="default" w:ascii="Arial" w:hAnsi="Arial" w:cs="Arial"/>
          <w:i/>
          <w:iCs/>
          <w:color w:val="auto"/>
          <w:sz w:val="24"/>
          <w:szCs w:val="24"/>
        </w:rPr>
        <w:t>Coastal Enterprises and Technology</w:t>
      </w:r>
      <w:r>
        <w:rPr>
          <w:rFonts w:hint="default" w:ascii="Arial" w:hAnsi="Arial" w:cs="Arial"/>
          <w:color w:val="auto"/>
          <w:sz w:val="24"/>
          <w:szCs w:val="24"/>
        </w:rPr>
        <w:t>, 64(6), pp. 182–183.</w:t>
      </w:r>
    </w:p>
    <w:p w14:paraId="4A1B5461">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Lv, H. (2024). A Brief Analysis of the Application of Foreign Trade English Correspondence in International Trade. </w:t>
      </w:r>
      <w:r>
        <w:rPr>
          <w:rFonts w:hint="default" w:ascii="Arial" w:hAnsi="Arial" w:cs="Arial"/>
          <w:i/>
          <w:iCs/>
          <w:color w:val="auto"/>
          <w:sz w:val="24"/>
          <w:szCs w:val="24"/>
        </w:rPr>
        <w:t>E-Commerce Review</w:t>
      </w:r>
      <w:r>
        <w:rPr>
          <w:rFonts w:hint="default" w:ascii="Arial" w:hAnsi="Arial" w:cs="Arial"/>
          <w:color w:val="auto"/>
          <w:sz w:val="24"/>
          <w:szCs w:val="24"/>
        </w:rPr>
        <w:t>, 13(2).</w:t>
      </w:r>
    </w:p>
    <w:p w14:paraId="12E7DBE5">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Nekane, B. and María, R. (2005). Cultural dimensions and social behavior correlates: Individualism-Collectivism and Power Distance. </w:t>
      </w:r>
      <w:r>
        <w:rPr>
          <w:rFonts w:hint="default" w:ascii="Arial" w:hAnsi="Arial" w:cs="Arial"/>
          <w:i/>
          <w:iCs/>
          <w:color w:val="auto"/>
          <w:sz w:val="24"/>
          <w:szCs w:val="24"/>
        </w:rPr>
        <w:t xml:space="preserve">REVUE INTERNATIONALE DE PSYCHOLOGIE SOCIALE </w:t>
      </w:r>
      <w:r>
        <w:rPr>
          <w:rFonts w:hint="default" w:ascii="Arial" w:hAnsi="Arial" w:cs="Arial"/>
          <w:color w:val="auto"/>
          <w:sz w:val="24"/>
          <w:szCs w:val="24"/>
        </w:rPr>
        <w:t>, 18(1), pp.189–193.</w:t>
      </w:r>
    </w:p>
    <w:p w14:paraId="36719F77">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Nkechi, E.E. (2024). CORPORATE LAW IN THE ERA OF GLOBALIZATION: A REVIEW OF ETHICAL IMPLICATIONS AND GLOBAL IMPACTS. </w:t>
      </w:r>
      <w:r>
        <w:rPr>
          <w:rFonts w:hint="default" w:ascii="Arial" w:hAnsi="Arial" w:cs="Arial"/>
          <w:i/>
          <w:iCs/>
          <w:color w:val="auto"/>
          <w:sz w:val="24"/>
          <w:szCs w:val="24"/>
        </w:rPr>
        <w:t>Finance &amp; Accounting Research Journal</w:t>
      </w:r>
      <w:r>
        <w:rPr>
          <w:rFonts w:hint="default" w:ascii="Arial" w:hAnsi="Arial" w:cs="Arial"/>
          <w:color w:val="auto"/>
          <w:sz w:val="24"/>
          <w:szCs w:val="24"/>
        </w:rPr>
        <w:t>, 6(3), 9 Mar., pp.304–310.</w:t>
      </w:r>
    </w:p>
    <w:p w14:paraId="47165758">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Santos, L.F. (2017) ‘The Role of Critical Thinking in Science Education’, </w:t>
      </w:r>
      <w:r>
        <w:rPr>
          <w:rFonts w:hint="default" w:ascii="Arial" w:hAnsi="Arial" w:cs="Arial"/>
          <w:i/>
          <w:iCs/>
          <w:color w:val="auto"/>
          <w:sz w:val="24"/>
          <w:szCs w:val="24"/>
        </w:rPr>
        <w:t>Journal of Education and Practice</w:t>
      </w:r>
      <w:r>
        <w:rPr>
          <w:rFonts w:hint="default" w:ascii="Arial" w:hAnsi="Arial" w:cs="Arial"/>
          <w:color w:val="auto"/>
          <w:sz w:val="24"/>
          <w:szCs w:val="24"/>
        </w:rPr>
        <w:t>, 8(20), p. 161.</w:t>
      </w:r>
    </w:p>
    <w:p w14:paraId="2219486A">
      <w:pPr>
        <w:pStyle w:val="8"/>
        <w:keepNext w:val="0"/>
        <w:keepLines w:val="0"/>
        <w:widowControl/>
        <w:suppressLineNumbers w:val="0"/>
        <w:spacing w:before="0" w:beforeAutospacing="0" w:after="0" w:afterAutospacing="0" w:line="480" w:lineRule="auto"/>
        <w:jc w:val="left"/>
        <w:rPr>
          <w:rFonts w:hint="default" w:ascii="Arial" w:hAnsi="Arial" w:cs="Arial"/>
          <w:color w:val="auto"/>
          <w:sz w:val="24"/>
          <w:szCs w:val="24"/>
        </w:rPr>
      </w:pPr>
      <w:r>
        <w:rPr>
          <w:rFonts w:hint="default" w:ascii="Arial" w:hAnsi="Arial" w:cs="Arial"/>
          <w:color w:val="auto"/>
          <w:sz w:val="24"/>
          <w:szCs w:val="24"/>
        </w:rPr>
        <w:t>STUDENTS IN MANAGEMENT</w:t>
      </w:r>
      <w:r>
        <w:rPr>
          <w:rFonts w:hint="eastAsia" w:ascii="Arial" w:hAnsi="Arial" w:cs="Arial"/>
          <w:color w:val="auto"/>
          <w:sz w:val="24"/>
          <w:szCs w:val="24"/>
          <w:lang w:val="en-US" w:eastAsia="zh-CN"/>
        </w:rPr>
        <w:t>.</w:t>
      </w:r>
      <w:r>
        <w:rPr>
          <w:rFonts w:hint="default" w:ascii="Arial" w:hAnsi="Arial" w:cs="Arial"/>
          <w:color w:val="auto"/>
          <w:sz w:val="24"/>
          <w:szCs w:val="24"/>
        </w:rPr>
        <w:t xml:space="preserve">(2024)' </w:t>
      </w:r>
      <w:r>
        <w:rPr>
          <w:rFonts w:hint="default" w:ascii="Arial" w:hAnsi="Arial" w:cs="Arial"/>
          <w:i/>
          <w:iCs/>
          <w:color w:val="auto"/>
          <w:sz w:val="24"/>
          <w:szCs w:val="24"/>
        </w:rPr>
        <w:t>Proceedings of the INTERNATIONAL MANAGEMENT CONFERENCE</w:t>
      </w:r>
      <w:r>
        <w:rPr>
          <w:rFonts w:hint="default" w:ascii="Arial" w:hAnsi="Arial" w:cs="Arial"/>
          <w:color w:val="auto"/>
          <w:sz w:val="24"/>
          <w:szCs w:val="24"/>
        </w:rPr>
        <w:t xml:space="preserve">, 7(1), pp. 95–107. </w:t>
      </w:r>
    </w:p>
    <w:p w14:paraId="53C8B4CB">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Tuxtabayevna, X.F. (2024) ‘Intercultural Competence in International Business Negotiations’, </w:t>
      </w:r>
      <w:r>
        <w:rPr>
          <w:rFonts w:hint="default" w:ascii="Arial" w:hAnsi="Arial" w:cs="Arial"/>
          <w:i/>
          <w:iCs/>
          <w:color w:val="auto"/>
          <w:sz w:val="24"/>
          <w:szCs w:val="24"/>
        </w:rPr>
        <w:t>“Yangi O‘zbekiston huquqiy, Dunyoviy Va Ijtimoiy Davlat Sifatida Rivojlanishining ijtimoiy, falsafiy, Iqtisodiy Va Siyosiy Masalalari</w:t>
      </w:r>
      <w:r>
        <w:rPr>
          <w:rFonts w:hint="default" w:ascii="Arial" w:hAnsi="Arial" w:cs="Arial"/>
          <w:color w:val="auto"/>
          <w:sz w:val="24"/>
          <w:szCs w:val="24"/>
        </w:rPr>
        <w:t>, 4(21), pp. 320–321.</w:t>
      </w:r>
    </w:p>
    <w:p w14:paraId="6AB02B6F">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Vescovi , T. (2018). </w:t>
      </w:r>
      <w:r>
        <w:rPr>
          <w:rFonts w:hint="default" w:ascii="Arial" w:hAnsi="Arial" w:cs="Arial"/>
          <w:i/>
          <w:iCs/>
          <w:color w:val="auto"/>
          <w:sz w:val="24"/>
          <w:szCs w:val="24"/>
        </w:rPr>
        <w:t>Dealing with the Chinese culture and its critical aspects in a Sino-Italian Joint Venture</w:t>
      </w:r>
      <w:r>
        <w:rPr>
          <w:rFonts w:hint="default" w:ascii="Arial" w:hAnsi="Arial" w:cs="Arial"/>
          <w:color w:val="auto"/>
          <w:sz w:val="24"/>
          <w:szCs w:val="24"/>
        </w:rPr>
        <w:t>. Master’s degree Program. pp.4–9.</w:t>
      </w:r>
    </w:p>
    <w:p w14:paraId="7289676F">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Wang, X., Zhang, R., Li, L. and Liu, Y. (2024). Tax Management and Planning for the Installation and Commissioning Phase of Multinational Engineering Projects. </w:t>
      </w:r>
      <w:r>
        <w:rPr>
          <w:rFonts w:hint="default" w:ascii="Arial" w:hAnsi="Arial" w:cs="Arial"/>
          <w:i/>
          <w:iCs/>
          <w:color w:val="auto"/>
          <w:sz w:val="24"/>
          <w:szCs w:val="24"/>
        </w:rPr>
        <w:t>International Economy and Management</w:t>
      </w:r>
      <w:r>
        <w:rPr>
          <w:rFonts w:hint="default" w:ascii="Arial" w:hAnsi="Arial" w:cs="Arial"/>
          <w:color w:val="auto"/>
          <w:sz w:val="24"/>
          <w:szCs w:val="24"/>
        </w:rPr>
        <w:t>, 5(5), pp.131–133.</w:t>
      </w:r>
    </w:p>
    <w:p w14:paraId="7BC3BD01">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Wei, S. (2024). Discussion of Cross-Culture Management in Cultural Diversified Workplace. </w:t>
      </w:r>
      <w:r>
        <w:rPr>
          <w:rFonts w:hint="default" w:ascii="Arial" w:hAnsi="Arial" w:cs="Arial"/>
          <w:i/>
          <w:iCs/>
          <w:color w:val="auto"/>
          <w:sz w:val="24"/>
          <w:szCs w:val="24"/>
        </w:rPr>
        <w:t>Journal of Sociology and Ethnology</w:t>
      </w:r>
      <w:r>
        <w:rPr>
          <w:rFonts w:hint="default" w:ascii="Arial" w:hAnsi="Arial" w:cs="Arial"/>
          <w:color w:val="auto"/>
          <w:sz w:val="24"/>
          <w:szCs w:val="24"/>
        </w:rPr>
        <w:t>, 6(1), pp.164–168.</w:t>
      </w:r>
    </w:p>
    <w:p w14:paraId="6D36650B">
      <w:pPr>
        <w:pStyle w:val="8"/>
        <w:keepNext w:val="0"/>
        <w:keepLines w:val="0"/>
        <w:widowControl/>
        <w:suppressLineNumbers w:val="0"/>
        <w:spacing w:before="0" w:beforeAutospacing="0" w:after="0" w:afterAutospacing="0" w:line="480" w:lineRule="auto"/>
        <w:jc w:val="left"/>
        <w:rPr>
          <w:rFonts w:hint="default" w:ascii="Arial" w:hAnsi="Arial" w:eastAsia="宋体" w:cs="Arial"/>
          <w:color w:val="auto"/>
          <w:sz w:val="24"/>
          <w:szCs w:val="24"/>
        </w:rPr>
      </w:pPr>
      <w:r>
        <w:rPr>
          <w:rFonts w:hint="default" w:ascii="Arial" w:hAnsi="Arial" w:eastAsia="宋体" w:cs="Arial"/>
          <w:color w:val="auto"/>
          <w:sz w:val="24"/>
          <w:szCs w:val="24"/>
        </w:rPr>
        <w:t xml:space="preserve">Wen, W. and CMAX International Exhibition Co., Ltd. (2024) 'Corporate collaboration and sponsorship models in domestic and international exhibition management,' </w:t>
      </w:r>
      <w:r>
        <w:rPr>
          <w:rStyle w:val="14"/>
          <w:rFonts w:hint="default" w:ascii="Arial" w:hAnsi="Arial" w:eastAsia="宋体" w:cs="Arial"/>
          <w:color w:val="auto"/>
          <w:sz w:val="24"/>
          <w:szCs w:val="24"/>
        </w:rPr>
        <w:t>Engineering Management and Technology Exploration</w:t>
      </w:r>
      <w:r>
        <w:rPr>
          <w:rFonts w:hint="default" w:ascii="Arial" w:hAnsi="Arial" w:eastAsia="宋体" w:cs="Arial"/>
          <w:color w:val="auto"/>
          <w:sz w:val="24"/>
          <w:szCs w:val="24"/>
        </w:rPr>
        <w:t>, 6(15), pp. 156–158.</w:t>
      </w:r>
    </w:p>
    <w:p w14:paraId="1DCC4EC1">
      <w:pPr>
        <w:pStyle w:val="8"/>
        <w:keepNext w:val="0"/>
        <w:keepLines w:val="0"/>
        <w:widowControl/>
        <w:suppressLineNumbers w:val="0"/>
        <w:spacing w:before="0" w:beforeAutospacing="0" w:after="0" w:afterAutospacing="0" w:line="480" w:lineRule="auto"/>
        <w:jc w:val="left"/>
        <w:rPr>
          <w:rFonts w:hint="default" w:ascii="Arial" w:hAnsi="Arial" w:cs="Arial"/>
          <w:color w:val="auto"/>
          <w:sz w:val="24"/>
          <w:szCs w:val="24"/>
        </w:rPr>
      </w:pPr>
      <w:r>
        <w:rPr>
          <w:rFonts w:hint="default" w:ascii="Arial" w:hAnsi="Arial" w:cs="Arial"/>
          <w:color w:val="auto"/>
          <w:sz w:val="24"/>
          <w:szCs w:val="24"/>
          <w:lang w:val="en-US" w:eastAsia="zh-CN"/>
        </w:rPr>
        <w:t>XIA N.</w:t>
      </w:r>
      <w:r>
        <w:rPr>
          <w:rFonts w:hint="default" w:ascii="Arial" w:hAnsi="Arial" w:cs="Arial"/>
          <w:color w:val="auto"/>
          <w:sz w:val="24"/>
          <w:szCs w:val="24"/>
        </w:rPr>
        <w:t xml:space="preserve"> (2024b) 'A Comparative Study on the Characteristics of Chinese and English Cultural Speeches from the Perspective of Interactional Metadiscourse,' </w:t>
      </w:r>
      <w:r>
        <w:rPr>
          <w:rFonts w:hint="default" w:ascii="Arial" w:hAnsi="Arial" w:cs="Arial"/>
          <w:i/>
          <w:iCs/>
          <w:color w:val="auto"/>
          <w:sz w:val="24"/>
          <w:szCs w:val="24"/>
        </w:rPr>
        <w:t>Modern Linguistics</w:t>
      </w:r>
      <w:r>
        <w:rPr>
          <w:rFonts w:hint="default" w:ascii="Arial" w:hAnsi="Arial" w:cs="Arial"/>
          <w:color w:val="auto"/>
          <w:sz w:val="24"/>
          <w:szCs w:val="24"/>
        </w:rPr>
        <w:t xml:space="preserve">, 12(10), pp. 425–433. </w:t>
      </w:r>
    </w:p>
    <w:p w14:paraId="213FEA75">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Yao, X. (2022). Analysis of the impact of Cultural Differences between China and the West on InterculturalCommunication. </w:t>
      </w:r>
      <w:r>
        <w:rPr>
          <w:rFonts w:hint="default" w:ascii="Arial" w:hAnsi="Arial" w:cs="Arial"/>
          <w:i/>
          <w:iCs/>
          <w:color w:val="auto"/>
          <w:sz w:val="24"/>
          <w:szCs w:val="24"/>
        </w:rPr>
        <w:t>Modern Education and Practice</w:t>
      </w:r>
      <w:r>
        <w:rPr>
          <w:rFonts w:hint="default" w:ascii="Arial" w:hAnsi="Arial" w:cs="Arial"/>
          <w:color w:val="auto"/>
          <w:sz w:val="24"/>
          <w:szCs w:val="24"/>
        </w:rPr>
        <w:t>, 4(7), pp.254–256.</w:t>
      </w:r>
    </w:p>
    <w:p w14:paraId="0AA39F53">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You, X. (2013). </w:t>
      </w:r>
      <w:r>
        <w:rPr>
          <w:rFonts w:hint="default" w:ascii="Arial" w:hAnsi="Arial" w:cs="Arial"/>
          <w:i/>
          <w:iCs/>
          <w:color w:val="auto"/>
          <w:sz w:val="24"/>
          <w:szCs w:val="24"/>
        </w:rPr>
        <w:t>Insights into Greeting Cards to Enhance the Business Communication and Relation between Finnish and Chinese Companies</w:t>
      </w:r>
      <w:r>
        <w:rPr>
          <w:rFonts w:hint="default" w:ascii="Arial" w:hAnsi="Arial" w:cs="Arial"/>
          <w:color w:val="auto"/>
          <w:sz w:val="24"/>
          <w:szCs w:val="24"/>
        </w:rPr>
        <w:t>. [Master’s thesis] pp.1–99. Available at: https://aaltodoc.aalto.fi/server/api/core/bitstreams/daaaf35a-fc74-491b-9e11-2a923909b37e/content [Accessed 30 Nov. 2024].</w:t>
      </w:r>
    </w:p>
    <w:p w14:paraId="519DB195">
      <w:pPr>
        <w:pStyle w:val="8"/>
        <w:keepNext w:val="0"/>
        <w:keepLines w:val="0"/>
        <w:widowControl/>
        <w:suppressLineNumbers w:val="0"/>
        <w:spacing w:before="0" w:beforeAutospacing="0" w:after="0" w:afterAutospacing="0" w:line="480" w:lineRule="auto"/>
        <w:jc w:val="left"/>
        <w:rPr>
          <w:rFonts w:hint="default" w:ascii="Arial" w:hAnsi="Arial" w:eastAsia="宋体" w:cs="Arial"/>
          <w:color w:val="auto"/>
          <w:sz w:val="24"/>
          <w:szCs w:val="24"/>
        </w:rPr>
      </w:pPr>
      <w:r>
        <w:rPr>
          <w:rFonts w:hint="default" w:ascii="Arial" w:hAnsi="Arial" w:eastAsia="宋体" w:cs="Arial"/>
          <w:color w:val="auto"/>
          <w:sz w:val="24"/>
          <w:szCs w:val="24"/>
        </w:rPr>
        <w:t xml:space="preserve">Yue, H. and Huang, S. (2024) ‘Leadership challenges and coping strategies in cross-cultural team management in multinational companies’, </w:t>
      </w:r>
      <w:r>
        <w:rPr>
          <w:rStyle w:val="14"/>
          <w:rFonts w:hint="default" w:ascii="Arial" w:hAnsi="Arial" w:eastAsia="宋体" w:cs="Arial"/>
          <w:color w:val="auto"/>
          <w:sz w:val="24"/>
          <w:szCs w:val="24"/>
        </w:rPr>
        <w:t>Finance and Management-International Academic Forum</w:t>
      </w:r>
      <w:r>
        <w:rPr>
          <w:rFonts w:hint="default" w:ascii="Arial" w:hAnsi="Arial" w:eastAsia="宋体" w:cs="Arial"/>
          <w:color w:val="auto"/>
          <w:sz w:val="24"/>
          <w:szCs w:val="24"/>
        </w:rPr>
        <w:t>, 3(5)</w:t>
      </w:r>
    </w:p>
    <w:p w14:paraId="071B0DB8">
      <w:pPr>
        <w:pStyle w:val="8"/>
        <w:keepNext w:val="0"/>
        <w:keepLines w:val="0"/>
        <w:widowControl/>
        <w:suppressLineNumbers w:val="0"/>
        <w:spacing w:before="0" w:beforeAutospacing="0" w:after="210" w:afterAutospacing="0" w:line="480" w:lineRule="auto"/>
        <w:jc w:val="left"/>
        <w:rPr>
          <w:rFonts w:hint="default" w:ascii="Arial" w:hAnsi="Arial" w:cs="Arial"/>
          <w:color w:val="auto"/>
          <w:sz w:val="24"/>
          <w:szCs w:val="24"/>
        </w:rPr>
      </w:pPr>
      <w:r>
        <w:rPr>
          <w:rFonts w:hint="default" w:ascii="Arial" w:hAnsi="Arial" w:cs="Arial"/>
          <w:color w:val="auto"/>
          <w:sz w:val="24"/>
          <w:szCs w:val="24"/>
        </w:rPr>
        <w:t xml:space="preserve">Zhao, X., Wang , B., Xiao, J., Wang , M. and Zhang , Y. (2024). How Differentiated Empowering Leadership Promotes Employees’ Innovation Performance: the Role of Achievement Goal Orientation and Job Crafting. </w:t>
      </w:r>
      <w:r>
        <w:rPr>
          <w:rFonts w:hint="default" w:ascii="Arial" w:hAnsi="Arial" w:cs="Arial"/>
          <w:i/>
          <w:iCs/>
          <w:color w:val="auto"/>
          <w:sz w:val="24"/>
          <w:szCs w:val="24"/>
        </w:rPr>
        <w:t>Xihua University Graduate Education Reform and Innovation Project</w:t>
      </w:r>
      <w:r>
        <w:rPr>
          <w:rFonts w:hint="default" w:ascii="Arial" w:hAnsi="Arial" w:cs="Arial"/>
          <w:color w:val="auto"/>
          <w:sz w:val="24"/>
          <w:szCs w:val="24"/>
        </w:rPr>
        <w:t>, 35(2). doi:https://doi.org/10.12181/jjgl.2024.02.06.</w:t>
      </w:r>
    </w:p>
    <w:p w14:paraId="0DF12D1B">
      <w:pPr>
        <w:pStyle w:val="8"/>
        <w:keepNext w:val="0"/>
        <w:keepLines w:val="0"/>
        <w:widowControl/>
        <w:suppressLineNumbers w:val="0"/>
        <w:spacing w:before="0" w:beforeAutospacing="0" w:after="0" w:afterAutospacing="0" w:line="480" w:lineRule="auto"/>
        <w:jc w:val="left"/>
        <w:rPr>
          <w:rFonts w:hint="default" w:ascii="Arial" w:hAnsi="Arial" w:cs="Arial"/>
          <w:color w:val="auto"/>
          <w:sz w:val="24"/>
          <w:szCs w:val="24"/>
        </w:rPr>
      </w:pPr>
    </w:p>
    <w:p w14:paraId="3D0FA488">
      <w:pPr>
        <w:pStyle w:val="8"/>
        <w:keepNext w:val="0"/>
        <w:keepLines w:val="0"/>
        <w:widowControl/>
        <w:suppressLineNumbers w:val="0"/>
        <w:spacing w:before="0" w:beforeAutospacing="0" w:after="0" w:afterAutospacing="0" w:line="480" w:lineRule="auto"/>
        <w:jc w:val="left"/>
        <w:rPr>
          <w:rFonts w:hint="default" w:ascii="Arial" w:hAnsi="Arial" w:eastAsia="宋体" w:cs="Arial"/>
          <w:color w:val="auto"/>
          <w:sz w:val="24"/>
          <w:szCs w:val="24"/>
        </w:rPr>
      </w:pPr>
    </w:p>
    <w:p w14:paraId="1D84FB37">
      <w:pPr>
        <w:pStyle w:val="8"/>
        <w:keepNext w:val="0"/>
        <w:keepLines w:val="0"/>
        <w:widowControl/>
        <w:suppressLineNumbers w:val="0"/>
        <w:spacing w:before="0" w:beforeAutospacing="0" w:after="0" w:afterAutospacing="0" w:line="480" w:lineRule="auto"/>
        <w:jc w:val="left"/>
        <w:rPr>
          <w:rFonts w:hint="default" w:ascii="Arial" w:hAnsi="Arial" w:eastAsia="宋体" w:cs="Arial"/>
          <w:color w:val="auto"/>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AE2F14"/>
    <w:multiLevelType w:val="singleLevel"/>
    <w:tmpl w:val="ADAE2F14"/>
    <w:lvl w:ilvl="0" w:tentative="0">
      <w:start w:val="3"/>
      <w:numFmt w:val="decimal"/>
      <w:suff w:val="space"/>
      <w:lvlText w:val="(%1)"/>
      <w:lvlJc w:val="left"/>
    </w:lvl>
  </w:abstractNum>
  <w:abstractNum w:abstractNumId="1">
    <w:nsid w:val="34754C2F"/>
    <w:multiLevelType w:val="singleLevel"/>
    <w:tmpl w:val="34754C2F"/>
    <w:lvl w:ilvl="0" w:tentative="0">
      <w:start w:val="1"/>
      <w:numFmt w:val="decimal"/>
      <w:suff w:val="space"/>
      <w:lvlText w:val="(%1)"/>
      <w:lvlJc w:val="left"/>
    </w:lvl>
  </w:abstractNum>
  <w:abstractNum w:abstractNumId="2">
    <w:nsid w:val="347AFF4B"/>
    <w:multiLevelType w:val="singleLevel"/>
    <w:tmpl w:val="347AFF4B"/>
    <w:lvl w:ilvl="0" w:tentative="0">
      <w:start w:val="2"/>
      <w:numFmt w:val="decimal"/>
      <w:suff w:val="space"/>
      <w:lvlText w:val="(%1)"/>
      <w:lvlJc w:val="left"/>
    </w:lvl>
  </w:abstractNum>
  <w:abstractNum w:abstractNumId="3">
    <w:nsid w:val="4EC141A1"/>
    <w:multiLevelType w:val="singleLevel"/>
    <w:tmpl w:val="4EC141A1"/>
    <w:lvl w:ilvl="0" w:tentative="0">
      <w:start w:val="1"/>
      <w:numFmt w:val="decimal"/>
      <w:suff w:val="space"/>
      <w:lvlText w:val="%1."/>
      <w:lvlJc w:val="left"/>
    </w:lvl>
  </w:abstractNum>
  <w:abstractNum w:abstractNumId="4">
    <w:nsid w:val="6487B78F"/>
    <w:multiLevelType w:val="singleLevel"/>
    <w:tmpl w:val="6487B78F"/>
    <w:lvl w:ilvl="0" w:tentative="0">
      <w:start w:val="4"/>
      <w:numFmt w:val="decimal"/>
      <w:suff w:val="space"/>
      <w:lvlText w:val="(%1)"/>
      <w:lvlJc w:val="left"/>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MWFkMDJkZWE2OTY3ZjhlNDk5NDVhMWEzY2M0ZTYifQ=="/>
  </w:docVars>
  <w:rsids>
    <w:rsidRoot w:val="00000000"/>
    <w:rsid w:val="09140455"/>
    <w:rsid w:val="0FCA1921"/>
    <w:rsid w:val="136C6BDF"/>
    <w:rsid w:val="171A7DA4"/>
    <w:rsid w:val="172367CF"/>
    <w:rsid w:val="1CB41EC6"/>
    <w:rsid w:val="1D862F93"/>
    <w:rsid w:val="1E6A1C2E"/>
    <w:rsid w:val="1EAF2075"/>
    <w:rsid w:val="1F287571"/>
    <w:rsid w:val="213A1EF9"/>
    <w:rsid w:val="23227577"/>
    <w:rsid w:val="24521E21"/>
    <w:rsid w:val="259A582D"/>
    <w:rsid w:val="2A0E4EC0"/>
    <w:rsid w:val="2D1E4F96"/>
    <w:rsid w:val="2D7C1CBC"/>
    <w:rsid w:val="2E24482E"/>
    <w:rsid w:val="301E4334"/>
    <w:rsid w:val="32FB4BAD"/>
    <w:rsid w:val="33B026C0"/>
    <w:rsid w:val="33D75E9F"/>
    <w:rsid w:val="34735BC7"/>
    <w:rsid w:val="39A13F26"/>
    <w:rsid w:val="3A743A79"/>
    <w:rsid w:val="3E6D7B2B"/>
    <w:rsid w:val="41DA54D8"/>
    <w:rsid w:val="49670BB2"/>
    <w:rsid w:val="4A8C30E7"/>
    <w:rsid w:val="4CB93F3C"/>
    <w:rsid w:val="4F0F16CB"/>
    <w:rsid w:val="51AC406F"/>
    <w:rsid w:val="56A30136"/>
    <w:rsid w:val="58412E3B"/>
    <w:rsid w:val="5BA109BC"/>
    <w:rsid w:val="60566219"/>
    <w:rsid w:val="62911C74"/>
    <w:rsid w:val="63EB3C23"/>
    <w:rsid w:val="6A072332"/>
    <w:rsid w:val="6DDA08F5"/>
    <w:rsid w:val="71557E27"/>
    <w:rsid w:val="73EB05CF"/>
    <w:rsid w:val="76F63747"/>
    <w:rsid w:val="781C169F"/>
    <w:rsid w:val="786348B4"/>
    <w:rsid w:val="793C3015"/>
    <w:rsid w:val="7A396538"/>
    <w:rsid w:val="7C362457"/>
    <w:rsid w:val="7DAC5C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Title"/>
    <w:basedOn w:val="1"/>
    <w:next w:val="1"/>
    <w:qFormat/>
    <w:uiPriority w:val="10"/>
    <w:pPr>
      <w:pBdr>
        <w:bottom w:val="single" w:color="4874CB" w:themeColor="accent1" w:sz="8" w:space="4"/>
      </w:pBdr>
      <w:spacing w:after="300" w:line="240" w:lineRule="auto"/>
      <w:contextualSpacing/>
    </w:pPr>
    <w:rPr>
      <w:rFonts w:asciiTheme="majorHAnsi" w:hAnsiTheme="majorHAnsi" w:eastAsiaTheme="majorEastAsia" w:cstheme="majorBidi"/>
      <w:color w:val="333F50" w:themeColor="text2" w:themeShade="BF"/>
      <w:spacing w:val="5"/>
      <w:sz w:val="52"/>
      <w:szCs w:val="52"/>
    </w:rPr>
  </w:style>
  <w:style w:type="character" w:styleId="12">
    <w:name w:val="Strong"/>
    <w:basedOn w:val="11"/>
    <w:qFormat/>
    <w:uiPriority w:val="0"/>
    <w:rPr>
      <w:b/>
    </w:rPr>
  </w:style>
  <w:style w:type="character" w:styleId="13">
    <w:name w:val="FollowedHyperlink"/>
    <w:basedOn w:val="11"/>
    <w:qFormat/>
    <w:uiPriority w:val="0"/>
    <w:rPr>
      <w:color w:val="800080"/>
      <w:u w:val="single"/>
    </w:rPr>
  </w:style>
  <w:style w:type="character" w:styleId="14">
    <w:name w:val="Emphasis"/>
    <w:basedOn w:val="11"/>
    <w:qFormat/>
    <w:uiPriority w:val="0"/>
    <w:rPr>
      <w:i/>
    </w:rPr>
  </w:style>
  <w:style w:type="character" w:styleId="15">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3622</Words>
  <Characters>22590</Characters>
  <Lines>0</Lines>
  <Paragraphs>0</Paragraphs>
  <TotalTime>15</TotalTime>
  <ScaleCrop>false</ScaleCrop>
  <LinksUpToDate>false</LinksUpToDate>
  <CharactersWithSpaces>26155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2024-11-15T19:24:00Z</dcterms:created>
  <dc:creator>17158</dc:creator>
  <cp:lastModifiedBy>WPS_1479666331</cp:lastModifiedBy>
  <dcterms:modified xsi:type="dcterms:W3CDTF">2024-12-08T18:14:35Z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9875E71AC1154A88AC7D9F2DF90F9B51_12</vt:lpwstr>
  </property>
</Properties>
</file>