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E5F47" w14:textId="77777777" w:rsidR="001E7A43" w:rsidRDefault="00000000">
      <w:pPr>
        <w:spacing w:line="360" w:lineRule="auto"/>
        <w:rPr>
          <w:rFonts w:ascii="Arial" w:eastAsia="Arial" w:hAnsi="Arial" w:cs="Arial"/>
          <w:b/>
          <w:bCs/>
          <w:color w:val="000000"/>
          <w:sz w:val="28"/>
          <w:szCs w:val="28"/>
        </w:rPr>
      </w:pPr>
      <w:r>
        <w:rPr>
          <w:noProof/>
        </w:rPr>
        <w:drawing>
          <wp:anchor distT="0" distB="0" distL="114300" distR="114300" simplePos="0" relativeHeight="251658240" behindDoc="0" locked="0" layoutInCell="1" hidden="0" allowOverlap="1" wp14:anchorId="75FCB0E0" wp14:editId="7A1A767C">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606A0460" w14:textId="77777777" w:rsidR="001E7A43" w:rsidRDefault="001E7A43">
      <w:pPr>
        <w:spacing w:line="360" w:lineRule="auto"/>
        <w:rPr>
          <w:rFonts w:ascii="Arial" w:eastAsia="Arial" w:hAnsi="Arial" w:cs="Arial"/>
          <w:b/>
          <w:bCs/>
          <w:color w:val="000000"/>
          <w:sz w:val="28"/>
          <w:szCs w:val="28"/>
        </w:rPr>
      </w:pPr>
    </w:p>
    <w:p w14:paraId="5E36D20E" w14:textId="77777777" w:rsidR="001E7A43" w:rsidRDefault="001E7A43">
      <w:pPr>
        <w:spacing w:line="360" w:lineRule="auto"/>
        <w:rPr>
          <w:rFonts w:ascii="Arial" w:eastAsia="Arial" w:hAnsi="Arial" w:cs="Arial"/>
          <w:b/>
          <w:bCs/>
          <w:color w:val="000000"/>
          <w:sz w:val="28"/>
          <w:szCs w:val="28"/>
        </w:rPr>
      </w:pPr>
    </w:p>
    <w:p w14:paraId="78255499" w14:textId="77777777" w:rsidR="001E7A43" w:rsidRDefault="001E7A43">
      <w:pPr>
        <w:spacing w:line="360" w:lineRule="auto"/>
        <w:rPr>
          <w:rFonts w:ascii="Arial" w:eastAsia="Arial" w:hAnsi="Arial" w:cs="Arial"/>
          <w:b/>
          <w:bCs/>
          <w:color w:val="000000"/>
          <w:sz w:val="28"/>
          <w:szCs w:val="28"/>
        </w:rPr>
      </w:pPr>
    </w:p>
    <w:p w14:paraId="4B2B78E7"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Student name: Ndeye Rokheya Bop</w:t>
      </w:r>
    </w:p>
    <w:p w14:paraId="5DCA118E"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Student ID: 2419596</w:t>
      </w:r>
    </w:p>
    <w:p w14:paraId="2C10540C"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Module name: Protecting and Supporting Families in Health and Care</w:t>
      </w:r>
    </w:p>
    <w:p w14:paraId="09751393"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Module code: BMHP5021</w:t>
      </w:r>
    </w:p>
    <w:p w14:paraId="6B7C9F41"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Lecturer name: G1 Amanda Jones</w:t>
      </w:r>
    </w:p>
    <w:p w14:paraId="26F66AF0"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 xml:space="preserve">                           </w:t>
      </w:r>
    </w:p>
    <w:p w14:paraId="5671496F" w14:textId="77777777" w:rsidR="001E7A43" w:rsidRDefault="00000000">
      <w:pPr>
        <w:spacing w:line="360" w:lineRule="auto"/>
        <w:rPr>
          <w:rFonts w:ascii="Arial" w:eastAsia="Arial" w:hAnsi="Arial" w:cs="Arial"/>
          <w:b/>
          <w:bCs/>
          <w:color w:val="000000"/>
          <w:sz w:val="32"/>
          <w:szCs w:val="32"/>
        </w:rPr>
      </w:pPr>
      <w:r>
        <w:rPr>
          <w:rFonts w:ascii="Arial" w:eastAsia="Arial" w:hAnsi="Arial" w:cs="Arial"/>
          <w:b/>
          <w:bCs/>
          <w:color w:val="000000"/>
          <w:sz w:val="32"/>
          <w:szCs w:val="32"/>
        </w:rPr>
        <w:t>Assessment (REPORT): An examination and analysis of how the ‘Early Help’ system is signposted to UK families by their local authority website.</w:t>
      </w:r>
    </w:p>
    <w:p w14:paraId="531B15C5" w14:textId="77777777" w:rsidR="001E7A43" w:rsidRDefault="00000000">
      <w:pPr>
        <w:spacing w:line="360" w:lineRule="auto"/>
        <w:rPr>
          <w:rFonts w:ascii="Arial" w:eastAsia="Arial" w:hAnsi="Arial" w:cs="Arial"/>
          <w:b/>
          <w:bCs/>
          <w:color w:val="000000"/>
          <w:sz w:val="32"/>
          <w:szCs w:val="32"/>
        </w:rPr>
      </w:pPr>
      <w:r>
        <w:br w:type="page"/>
      </w:r>
    </w:p>
    <w:p w14:paraId="511EF65D" w14:textId="77777777" w:rsidR="001E7A43" w:rsidRDefault="00000000">
      <w:pPr>
        <w:keepNext/>
        <w:keepLines/>
        <w:pBdr>
          <w:top w:val="nil"/>
          <w:left w:val="nil"/>
          <w:bottom w:val="nil"/>
          <w:right w:val="nil"/>
          <w:between w:val="nil"/>
        </w:pBdr>
        <w:spacing w:before="240" w:after="0" w:line="360" w:lineRule="auto"/>
        <w:rPr>
          <w:rFonts w:ascii="Arial" w:eastAsia="Arial" w:hAnsi="Arial" w:cs="Arial"/>
          <w:b/>
          <w:bCs/>
          <w:color w:val="000000"/>
          <w:sz w:val="24"/>
          <w:szCs w:val="24"/>
        </w:rPr>
      </w:pPr>
      <w:r>
        <w:rPr>
          <w:rFonts w:ascii="Arial" w:eastAsia="Arial" w:hAnsi="Arial" w:cs="Arial"/>
          <w:b/>
          <w:bCs/>
          <w:color w:val="000000"/>
          <w:sz w:val="24"/>
          <w:szCs w:val="24"/>
        </w:rPr>
        <w:lastRenderedPageBreak/>
        <w:t>Contents</w:t>
      </w:r>
    </w:p>
    <w:sdt>
      <w:sdtPr>
        <w:id w:val="-742699059"/>
        <w:docPartObj>
          <w:docPartGallery w:val="Table of Contents"/>
          <w:docPartUnique/>
        </w:docPartObj>
      </w:sdtPr>
      <w:sdtContent>
        <w:p w14:paraId="2BDE38C9" w14:textId="77777777" w:rsidR="001E7A43" w:rsidRDefault="00000000">
          <w:pPr>
            <w:pBdr>
              <w:top w:val="nil"/>
              <w:left w:val="nil"/>
              <w:bottom w:val="nil"/>
              <w:right w:val="nil"/>
              <w:between w:val="nil"/>
            </w:pBdr>
            <w:tabs>
              <w:tab w:val="right" w:leader="dot" w:pos="9016"/>
            </w:tabs>
            <w:spacing w:after="100" w:line="360" w:lineRule="auto"/>
            <w:rPr>
              <w:rFonts w:ascii="Arial" w:eastAsia="Arial" w:hAnsi="Arial" w:cs="Arial"/>
              <w:color w:val="000000"/>
            </w:rPr>
          </w:pPr>
          <w:r>
            <w:fldChar w:fldCharType="begin"/>
          </w:r>
          <w:r>
            <w:instrText xml:space="preserve"> TOC \h \u \z \t "Heading 1,1,Heading 2,2,Heading 3,3,"</w:instrText>
          </w:r>
          <w:r>
            <w:fldChar w:fldCharType="separate"/>
          </w:r>
          <w:hyperlink w:anchor="_bqzcltg4rzpo">
            <w:r w:rsidR="001E7A43">
              <w:rPr>
                <w:rFonts w:ascii="Arial" w:eastAsia="Arial" w:hAnsi="Arial" w:cs="Arial"/>
                <w:color w:val="000000"/>
              </w:rPr>
              <w:t>An Examination and Analysis of How the ‘Early Help’ System is Signposted to UK Families by Their Local Authority Website</w:t>
            </w:r>
            <w:r w:rsidR="001E7A43">
              <w:rPr>
                <w:rFonts w:ascii="Arial" w:eastAsia="Arial" w:hAnsi="Arial" w:cs="Arial"/>
                <w:color w:val="000000"/>
              </w:rPr>
              <w:tab/>
              <w:t>3</w:t>
            </w:r>
          </w:hyperlink>
        </w:p>
        <w:p w14:paraId="0735392F"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5ea6q4yhaok0">
            <w:r>
              <w:rPr>
                <w:rFonts w:ascii="Arial" w:eastAsia="Arial" w:hAnsi="Arial" w:cs="Arial"/>
                <w:color w:val="000000"/>
              </w:rPr>
              <w:t>1. Introduction</w:t>
            </w:r>
            <w:r>
              <w:rPr>
                <w:rFonts w:ascii="Arial" w:eastAsia="Arial" w:hAnsi="Arial" w:cs="Arial"/>
                <w:color w:val="000000"/>
              </w:rPr>
              <w:tab/>
              <w:t>3</w:t>
            </w:r>
          </w:hyperlink>
        </w:p>
        <w:p w14:paraId="1FDF8277"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7vo2v2gbalj3">
            <w:r>
              <w:rPr>
                <w:rFonts w:ascii="Arial" w:eastAsia="Arial" w:hAnsi="Arial" w:cs="Arial"/>
                <w:color w:val="000000"/>
              </w:rPr>
              <w:t>2. Understanding the Early Help System</w:t>
            </w:r>
            <w:r>
              <w:rPr>
                <w:rFonts w:ascii="Arial" w:eastAsia="Arial" w:hAnsi="Arial" w:cs="Arial"/>
                <w:color w:val="000000"/>
              </w:rPr>
              <w:tab/>
              <w:t>3</w:t>
            </w:r>
          </w:hyperlink>
        </w:p>
        <w:p w14:paraId="5C9CC028"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fyv7xlx8kz1e">
            <w:r>
              <w:rPr>
                <w:rFonts w:ascii="Arial" w:eastAsia="Arial" w:hAnsi="Arial" w:cs="Arial"/>
                <w:color w:val="000000"/>
              </w:rPr>
              <w:t>3. Multi Agency Working and Safeguarding Partnerships</w:t>
            </w:r>
            <w:r>
              <w:rPr>
                <w:rFonts w:ascii="Arial" w:eastAsia="Arial" w:hAnsi="Arial" w:cs="Arial"/>
                <w:color w:val="000000"/>
              </w:rPr>
              <w:tab/>
              <w:t>4</w:t>
            </w:r>
          </w:hyperlink>
        </w:p>
        <w:p w14:paraId="0484AFD4"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tz9awgcakuyy">
            <w:r>
              <w:rPr>
                <w:rFonts w:ascii="Arial" w:eastAsia="Arial" w:hAnsi="Arial" w:cs="Arial"/>
                <w:color w:val="000000"/>
              </w:rPr>
              <w:t>4. Evaluation of Local Authority Websites</w:t>
            </w:r>
            <w:r>
              <w:rPr>
                <w:rFonts w:ascii="Arial" w:eastAsia="Arial" w:hAnsi="Arial" w:cs="Arial"/>
                <w:color w:val="000000"/>
              </w:rPr>
              <w:tab/>
              <w:t>5</w:t>
            </w:r>
          </w:hyperlink>
        </w:p>
        <w:p w14:paraId="7159FDB4"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hab6qpkp9ibb">
            <w:r>
              <w:rPr>
                <w:rFonts w:ascii="Arial" w:eastAsia="Arial" w:hAnsi="Arial" w:cs="Arial"/>
                <w:color w:val="000000"/>
              </w:rPr>
              <w:t>4.1 Leeds City Council</w:t>
            </w:r>
            <w:r>
              <w:rPr>
                <w:rFonts w:ascii="Arial" w:eastAsia="Arial" w:hAnsi="Arial" w:cs="Arial"/>
                <w:color w:val="000000"/>
              </w:rPr>
              <w:tab/>
              <w:t>5</w:t>
            </w:r>
          </w:hyperlink>
        </w:p>
        <w:p w14:paraId="2466CA3E"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6kjthimi5yqm">
            <w:r>
              <w:rPr>
                <w:rFonts w:ascii="Arial" w:eastAsia="Arial" w:hAnsi="Arial" w:cs="Arial"/>
                <w:color w:val="000000"/>
              </w:rPr>
              <w:t>4.2 Norfolk County Council</w:t>
            </w:r>
            <w:r>
              <w:rPr>
                <w:rFonts w:ascii="Arial" w:eastAsia="Arial" w:hAnsi="Arial" w:cs="Arial"/>
                <w:color w:val="000000"/>
              </w:rPr>
              <w:tab/>
              <w:t>6</w:t>
            </w:r>
          </w:hyperlink>
        </w:p>
        <w:p w14:paraId="16697D13"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bm7r44k18lv8">
            <w:r>
              <w:rPr>
                <w:rFonts w:ascii="Arial" w:eastAsia="Arial" w:hAnsi="Arial" w:cs="Arial"/>
                <w:color w:val="000000"/>
              </w:rPr>
              <w:t>4.3 Tower Hamlets Council</w:t>
            </w:r>
            <w:r>
              <w:rPr>
                <w:rFonts w:ascii="Arial" w:eastAsia="Arial" w:hAnsi="Arial" w:cs="Arial"/>
                <w:color w:val="000000"/>
              </w:rPr>
              <w:tab/>
              <w:t>7</w:t>
            </w:r>
          </w:hyperlink>
        </w:p>
        <w:p w14:paraId="67EFFF7E"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wue7gkn6rh62">
            <w:r>
              <w:rPr>
                <w:rFonts w:ascii="Arial" w:eastAsia="Arial" w:hAnsi="Arial" w:cs="Arial"/>
                <w:color w:val="000000"/>
              </w:rPr>
              <w:t>5. Comparative Analysis of Local Authority Approaches</w:t>
            </w:r>
            <w:r>
              <w:rPr>
                <w:rFonts w:ascii="Arial" w:eastAsia="Arial" w:hAnsi="Arial" w:cs="Arial"/>
                <w:color w:val="000000"/>
              </w:rPr>
              <w:tab/>
              <w:t>8</w:t>
            </w:r>
          </w:hyperlink>
        </w:p>
        <w:p w14:paraId="7D296A73"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ilueixji254q">
            <w:r>
              <w:rPr>
                <w:rFonts w:ascii="Arial" w:eastAsia="Arial" w:hAnsi="Arial" w:cs="Arial"/>
                <w:color w:val="000000"/>
              </w:rPr>
              <w:t>6. Conclusion</w:t>
            </w:r>
            <w:r>
              <w:rPr>
                <w:rFonts w:ascii="Arial" w:eastAsia="Arial" w:hAnsi="Arial" w:cs="Arial"/>
                <w:color w:val="000000"/>
              </w:rPr>
              <w:tab/>
              <w:t>9</w:t>
            </w:r>
          </w:hyperlink>
        </w:p>
        <w:p w14:paraId="5DC219DE" w14:textId="57A6520E"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wf4phnkry8rx">
            <w:r>
              <w:rPr>
                <w:rFonts w:ascii="Arial" w:eastAsia="Arial" w:hAnsi="Arial" w:cs="Arial"/>
                <w:color w:val="000000"/>
              </w:rPr>
              <w:t>7. Recommendations</w:t>
            </w:r>
            <w:r>
              <w:rPr>
                <w:rFonts w:ascii="Arial" w:eastAsia="Arial" w:hAnsi="Arial" w:cs="Arial"/>
                <w:color w:val="000000"/>
              </w:rPr>
              <w:tab/>
              <w:t>9</w:t>
            </w:r>
          </w:hyperlink>
        </w:p>
        <w:p w14:paraId="7A673CB3" w14:textId="77777777" w:rsidR="001E7A43" w:rsidRDefault="001E7A43">
          <w:pPr>
            <w:pBdr>
              <w:top w:val="nil"/>
              <w:left w:val="nil"/>
              <w:bottom w:val="nil"/>
              <w:right w:val="nil"/>
              <w:between w:val="nil"/>
            </w:pBdr>
            <w:tabs>
              <w:tab w:val="right" w:leader="dot" w:pos="9016"/>
            </w:tabs>
            <w:spacing w:after="100" w:line="360" w:lineRule="auto"/>
            <w:rPr>
              <w:rFonts w:ascii="Arial" w:eastAsia="Arial" w:hAnsi="Arial" w:cs="Arial"/>
              <w:color w:val="000000"/>
            </w:rPr>
          </w:pPr>
          <w:hyperlink w:anchor="_1mnx80g9834v">
            <w:r>
              <w:rPr>
                <w:rFonts w:ascii="Arial" w:eastAsia="Arial" w:hAnsi="Arial" w:cs="Arial"/>
                <w:color w:val="000000"/>
              </w:rPr>
              <w:t>References</w:t>
            </w:r>
            <w:r>
              <w:rPr>
                <w:rFonts w:ascii="Arial" w:eastAsia="Arial" w:hAnsi="Arial" w:cs="Arial"/>
                <w:color w:val="000000"/>
              </w:rPr>
              <w:tab/>
              <w:t>11</w:t>
            </w:r>
          </w:hyperlink>
        </w:p>
        <w:p w14:paraId="6590A42C" w14:textId="77777777" w:rsidR="001E7A43" w:rsidRDefault="00000000">
          <w:pPr>
            <w:spacing w:line="360" w:lineRule="auto"/>
            <w:rPr>
              <w:rFonts w:ascii="Arial" w:eastAsia="Arial" w:hAnsi="Arial" w:cs="Arial"/>
            </w:rPr>
          </w:pPr>
          <w:r>
            <w:fldChar w:fldCharType="end"/>
          </w:r>
        </w:p>
      </w:sdtContent>
    </w:sdt>
    <w:p w14:paraId="78F723A4" w14:textId="77777777" w:rsidR="001E7A43" w:rsidRDefault="00000000">
      <w:pPr>
        <w:spacing w:line="360" w:lineRule="auto"/>
        <w:rPr>
          <w:rFonts w:ascii="Arial" w:eastAsia="Arial" w:hAnsi="Arial" w:cs="Arial"/>
          <w:b/>
          <w:bCs/>
          <w:color w:val="000000"/>
          <w:sz w:val="24"/>
          <w:szCs w:val="24"/>
        </w:rPr>
      </w:pPr>
      <w:r>
        <w:br w:type="page"/>
      </w:r>
    </w:p>
    <w:p w14:paraId="3C1F4DDA" w14:textId="77777777" w:rsidR="001E7A43" w:rsidRDefault="00000000">
      <w:pPr>
        <w:pStyle w:val="Heading1"/>
        <w:spacing w:line="360" w:lineRule="auto"/>
        <w:jc w:val="center"/>
        <w:rPr>
          <w:rFonts w:ascii="Arial" w:eastAsia="Arial" w:hAnsi="Arial" w:cs="Arial"/>
          <w:b/>
          <w:bCs/>
          <w:color w:val="000000"/>
          <w:sz w:val="24"/>
          <w:szCs w:val="24"/>
        </w:rPr>
      </w:pPr>
      <w:bookmarkStart w:id="0" w:name="_bqzcltg4rzpo" w:colFirst="0" w:colLast="0"/>
      <w:bookmarkEnd w:id="0"/>
      <w:r>
        <w:rPr>
          <w:rFonts w:ascii="Arial" w:eastAsia="Arial" w:hAnsi="Arial" w:cs="Arial"/>
          <w:b/>
          <w:bCs/>
          <w:color w:val="000000"/>
          <w:sz w:val="24"/>
          <w:szCs w:val="24"/>
        </w:rPr>
        <w:lastRenderedPageBreak/>
        <w:t>An Examination and Analysis of How the ‘Early Help’ System is Signposted to UK Families by Their Local Authority Website</w:t>
      </w:r>
    </w:p>
    <w:p w14:paraId="17FA8707" w14:textId="77777777" w:rsidR="001E7A43" w:rsidRDefault="00000000">
      <w:pPr>
        <w:pStyle w:val="Heading1"/>
        <w:spacing w:after="240" w:line="360" w:lineRule="auto"/>
        <w:rPr>
          <w:rFonts w:ascii="Arial" w:eastAsia="Arial" w:hAnsi="Arial" w:cs="Arial"/>
          <w:sz w:val="24"/>
          <w:szCs w:val="24"/>
        </w:rPr>
      </w:pPr>
      <w:bookmarkStart w:id="1" w:name="_5ea6q4yhaok0" w:colFirst="0" w:colLast="0"/>
      <w:bookmarkEnd w:id="1"/>
      <w:r>
        <w:rPr>
          <w:rFonts w:ascii="Arial" w:eastAsia="Arial" w:hAnsi="Arial" w:cs="Arial"/>
          <w:b/>
          <w:bCs/>
          <w:color w:val="000000"/>
          <w:sz w:val="24"/>
          <w:szCs w:val="24"/>
        </w:rPr>
        <w:t>1. Introduction</w:t>
      </w:r>
    </w:p>
    <w:p w14:paraId="011AE16D" w14:textId="77777777" w:rsidR="001E7A43"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Early Help is an established part of England’s safeguarding system and is intended to support children, young people and families before emerging difficulties develop into more serious concerns. Although its purpose is clear, the way Early Help is communicated to families varies considerably across local authorities. Families need straightforward information that explains what Early Help involves and how they can access support, yet online communication often falls short of this. When websites use unclear language, offer limited detail or are difficult to navigate, they risk creating barriers for families who may already feel uncertain about seeking help. This raises important questions about how effectively Early Help is promoted and whether local authorities are meeting their responsibility to make support accessible.</w:t>
      </w:r>
    </w:p>
    <w:p w14:paraId="7F46C9D1" w14:textId="77777777" w:rsidR="001E7A43"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report examines how three contrasting local authorities present Early Help information on their websites. Leeds City Council represents a large metropolitan area with established partnership arrangements. Norfolk County Council illustrates the challenges of delivering Early Help across a rural county where access to services can be uneven. Tower Hamlets Council reflects the complexity of communicating support within a diverse London borough that experiences significant social need. By analysing these different contexts, the report considers not only the clarity of the information provided but also how each authority frames Early Help, engages families and supports multi‑agency working. The discussion will compare the strengths and limitations of each approach and identify which authority communicates Early Help most effectively. It will also highlight areas where improvements are needed to ensure families receive clear, meaningful and accessible guidance.</w:t>
      </w:r>
    </w:p>
    <w:p w14:paraId="59B9521C" w14:textId="77777777" w:rsidR="001E7A43" w:rsidRDefault="001E7A43">
      <w:pPr>
        <w:spacing w:before="240" w:after="240" w:line="360" w:lineRule="auto"/>
        <w:jc w:val="both"/>
        <w:rPr>
          <w:rFonts w:ascii="Arial" w:eastAsia="Arial" w:hAnsi="Arial" w:cs="Arial"/>
          <w:sz w:val="24"/>
          <w:szCs w:val="24"/>
        </w:rPr>
      </w:pPr>
    </w:p>
    <w:p w14:paraId="358FD2DD" w14:textId="77777777" w:rsidR="001E7A43" w:rsidRDefault="001E7A43">
      <w:pPr>
        <w:spacing w:line="360" w:lineRule="auto"/>
        <w:jc w:val="both"/>
        <w:rPr>
          <w:rFonts w:ascii="Arial" w:eastAsia="Arial" w:hAnsi="Arial" w:cs="Arial"/>
          <w:sz w:val="24"/>
          <w:szCs w:val="24"/>
        </w:rPr>
      </w:pPr>
    </w:p>
    <w:p w14:paraId="69994831" w14:textId="77777777" w:rsidR="001E7A43" w:rsidRDefault="00000000">
      <w:pPr>
        <w:pStyle w:val="Heading1"/>
        <w:spacing w:after="240" w:line="360" w:lineRule="auto"/>
        <w:rPr>
          <w:rFonts w:ascii="Arial" w:eastAsia="Arial" w:hAnsi="Arial" w:cs="Arial"/>
          <w:b/>
          <w:bCs/>
          <w:color w:val="000000"/>
          <w:sz w:val="24"/>
          <w:szCs w:val="24"/>
        </w:rPr>
      </w:pPr>
      <w:bookmarkStart w:id="2" w:name="_7vo2v2gbalj3" w:colFirst="0" w:colLast="0"/>
      <w:bookmarkEnd w:id="2"/>
      <w:r>
        <w:rPr>
          <w:rFonts w:ascii="Arial" w:eastAsia="Arial" w:hAnsi="Arial" w:cs="Arial"/>
          <w:b/>
          <w:bCs/>
          <w:color w:val="000000"/>
          <w:sz w:val="24"/>
          <w:szCs w:val="24"/>
        </w:rPr>
        <w:lastRenderedPageBreak/>
        <w:t>2. Understanding the Early Help System</w:t>
      </w:r>
    </w:p>
    <w:p w14:paraId="38736CD2" w14:textId="77777777" w:rsidR="001E7A43"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Early Help refers to the support offered to children, young people and families when emerging concerns are recognised at an early stage. Its purpose is to prevent difficulties from developing into more serious problems and to reduce reliance on statutory intervention. According to the Early Help System Guide, effective practice depends on coordinated support, timely identification of need and genuine involvement of families in decisions about their care (Department for Education, 2022). This perspective acknowledges that children’s lives are shaped by a wide range of influences, including family relationships, education, health, housing and wider social conditions. As a result, Early Help extends beyond traditional safeguarding activity and relies on contributions from a broad network of professionals and community organisations.</w:t>
      </w:r>
    </w:p>
    <w:p w14:paraId="3F229925" w14:textId="77777777" w:rsidR="001E7A43"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significance of Early Help is reinforced by legislation such as the Children Act 1989 and the Children Act 2004. These Acts place clear duties on local authorities and partner agencies to promote children’s welfare and to work together within safeguarding arrangements. The Children Act 2004 </w:t>
      </w:r>
      <w:proofErr w:type="gramStart"/>
      <w:r>
        <w:rPr>
          <w:rFonts w:ascii="Arial" w:eastAsia="Arial" w:hAnsi="Arial" w:cs="Arial"/>
          <w:sz w:val="24"/>
          <w:szCs w:val="24"/>
        </w:rPr>
        <w:t>in particular emphasises</w:t>
      </w:r>
      <w:proofErr w:type="gramEnd"/>
      <w:r>
        <w:rPr>
          <w:rFonts w:ascii="Arial" w:eastAsia="Arial" w:hAnsi="Arial" w:cs="Arial"/>
          <w:sz w:val="24"/>
          <w:szCs w:val="24"/>
        </w:rPr>
        <w:t xml:space="preserve"> the value of partnership working, recognising that children’s needs are best met when services collaborate rather than operate in isolation.</w:t>
      </w:r>
    </w:p>
    <w:p w14:paraId="2D59E6A7" w14:textId="77777777" w:rsidR="001E7A43"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Early Help System Guide (Department for Education, 2022) outlines several characteristics of effective Early Help, including accessible provision, clear communication and support that reflects the circumstances of individual families. Local authority websites play an important role in this process because they are often the first place families look for information. However, digital communication requires careful design. Families who are already experiencing stress or uncertainty may struggle with professional terminology, unclear explanations or websites that are difficult to navigate. When this happens, Early Help becomes harder to access, and the intention of early intervention is undermined.</w:t>
      </w:r>
    </w:p>
    <w:p w14:paraId="6CF24FB6" w14:textId="77777777" w:rsidR="001E7A43" w:rsidRDefault="001E7A43">
      <w:pPr>
        <w:spacing w:line="360" w:lineRule="auto"/>
        <w:jc w:val="both"/>
        <w:rPr>
          <w:rFonts w:ascii="Arial" w:eastAsia="Arial" w:hAnsi="Arial" w:cs="Arial"/>
          <w:sz w:val="24"/>
          <w:szCs w:val="24"/>
        </w:rPr>
      </w:pPr>
    </w:p>
    <w:p w14:paraId="26E8D80E" w14:textId="77777777" w:rsidR="001E7A43" w:rsidRDefault="001E7A43">
      <w:pPr>
        <w:spacing w:line="360" w:lineRule="auto"/>
        <w:jc w:val="both"/>
        <w:rPr>
          <w:rFonts w:ascii="Arial" w:eastAsia="Arial" w:hAnsi="Arial" w:cs="Arial"/>
          <w:sz w:val="24"/>
          <w:szCs w:val="24"/>
        </w:rPr>
      </w:pPr>
    </w:p>
    <w:p w14:paraId="4DB549F5" w14:textId="77777777" w:rsidR="001E7A43" w:rsidRDefault="00000000">
      <w:pPr>
        <w:pStyle w:val="Heading1"/>
        <w:spacing w:after="240" w:line="360" w:lineRule="auto"/>
        <w:rPr>
          <w:rFonts w:ascii="Arial" w:eastAsia="Arial" w:hAnsi="Arial" w:cs="Arial"/>
          <w:b/>
          <w:bCs/>
          <w:color w:val="000000"/>
          <w:sz w:val="24"/>
          <w:szCs w:val="24"/>
        </w:rPr>
      </w:pPr>
      <w:bookmarkStart w:id="3" w:name="_fyv7xlx8kz1e" w:colFirst="0" w:colLast="0"/>
      <w:bookmarkEnd w:id="3"/>
      <w:r>
        <w:rPr>
          <w:rFonts w:ascii="Arial" w:eastAsia="Arial" w:hAnsi="Arial" w:cs="Arial"/>
          <w:b/>
          <w:bCs/>
          <w:color w:val="000000"/>
          <w:sz w:val="24"/>
          <w:szCs w:val="24"/>
        </w:rPr>
        <w:lastRenderedPageBreak/>
        <w:t>3. Multi-Agency Working and Safeguarding Partnerships</w:t>
      </w:r>
    </w:p>
    <w:p w14:paraId="3EE310AC" w14:textId="77777777" w:rsidR="001E7A43" w:rsidRDefault="00000000" w:rsidP="00D64EBB">
      <w:pPr>
        <w:pStyle w:val="Heading1"/>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Early Help relies on strong multi agency working because the difficulties faced by families are rarely confined to a single issue or service. Families often experience overlapping challenges that require input from a range of professionals, which means support must be coordinated rather than fragmented. Multi agency working refers to cooperation between organisations such as schools, health services, social care, housing providers and voluntary groups, all contributing to shared aims for children’s wellbeing. Working Together to Safeguard Children (Department for Education, 2026) reinforces this expectation by stating that safeguarding depends on cooperation, timely information sharing and coordinated responses. When agencies work together effectively, concerns can be recognised </w:t>
      </w:r>
      <w:proofErr w:type="gramStart"/>
      <w:r>
        <w:rPr>
          <w:rFonts w:ascii="Arial" w:eastAsia="Arial" w:hAnsi="Arial" w:cs="Arial"/>
          <w:color w:val="000000"/>
          <w:sz w:val="24"/>
          <w:szCs w:val="24"/>
        </w:rPr>
        <w:t>earlier</w:t>
      </w:r>
      <w:proofErr w:type="gramEnd"/>
      <w:r>
        <w:rPr>
          <w:rFonts w:ascii="Arial" w:eastAsia="Arial" w:hAnsi="Arial" w:cs="Arial"/>
          <w:color w:val="000000"/>
          <w:sz w:val="24"/>
          <w:szCs w:val="24"/>
        </w:rPr>
        <w:t xml:space="preserve"> and support is more likely to reflect the complexity of a family’s circumstances.</w:t>
      </w:r>
    </w:p>
    <w:p w14:paraId="28037A11" w14:textId="77777777" w:rsidR="001E7A43" w:rsidRDefault="00000000" w:rsidP="00D64EBB">
      <w:pPr>
        <w:pStyle w:val="Heading1"/>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Interdisciplinary practice strengthens this further because it brings together different forms of professional knowledge. A child who is struggling at school may need involvement from education staff, health practitioners and family support workers. A single service response would not capture the full picture. This illustrates why Early Help requires a holistic understanding of children’s lives rather than narrow assessments based on one professional viewpoint.</w:t>
      </w:r>
    </w:p>
    <w:p w14:paraId="286EA103" w14:textId="77777777" w:rsidR="001E7A43" w:rsidRDefault="00000000" w:rsidP="00D64EBB">
      <w:pPr>
        <w:pStyle w:val="Heading1"/>
        <w:spacing w:after="240" w:line="360" w:lineRule="auto"/>
        <w:jc w:val="both"/>
        <w:rPr>
          <w:rFonts w:ascii="Arial" w:eastAsia="Arial" w:hAnsi="Arial" w:cs="Arial"/>
          <w:color w:val="000000"/>
          <w:sz w:val="24"/>
          <w:szCs w:val="24"/>
        </w:rPr>
      </w:pPr>
      <w:bookmarkStart w:id="4" w:name="_ou6whhucnrk3" w:colFirst="0" w:colLast="0"/>
      <w:bookmarkEnd w:id="4"/>
      <w:r>
        <w:rPr>
          <w:rFonts w:ascii="Arial" w:eastAsia="Arial" w:hAnsi="Arial" w:cs="Arial"/>
          <w:color w:val="000000"/>
          <w:sz w:val="24"/>
          <w:szCs w:val="24"/>
        </w:rPr>
        <w:t xml:space="preserve">Although the value of </w:t>
      </w:r>
      <w:proofErr w:type="spellStart"/>
      <w:r>
        <w:rPr>
          <w:rFonts w:ascii="Arial" w:eastAsia="Arial" w:hAnsi="Arial" w:cs="Arial"/>
          <w:color w:val="000000"/>
          <w:sz w:val="24"/>
          <w:szCs w:val="24"/>
        </w:rPr>
        <w:t>multi agency</w:t>
      </w:r>
      <w:proofErr w:type="spellEnd"/>
      <w:r>
        <w:rPr>
          <w:rFonts w:ascii="Arial" w:eastAsia="Arial" w:hAnsi="Arial" w:cs="Arial"/>
          <w:color w:val="000000"/>
          <w:sz w:val="24"/>
          <w:szCs w:val="24"/>
        </w:rPr>
        <w:t xml:space="preserve"> working is widely acknowledged, significant challenges continue to limit its effectiveness. Differences in professional cultures, uncertainty about information sharing and pressure on resources can lead to inconsistent collaboration. These issues often result in fragmented support, which undermines the purpose of Early Help. For Early Help to function as intended, cooperation between professionals must be matched by clear and accessible communication with families. Local authority websites therefore play an important role because they often act as the first point of contact for families seeking support. If information is unclear, overly technical or difficult to navigate, families may struggle to understand what Early Help offers or how to access it. This highlights a wider tension between policy expectations of early intervention and the practical realities of how information is presented to the public.</w:t>
      </w:r>
    </w:p>
    <w:p w14:paraId="3723CAD4" w14:textId="77777777" w:rsidR="001E7A43" w:rsidRDefault="001E7A43" w:rsidP="00D64EBB">
      <w:pPr>
        <w:jc w:val="both"/>
      </w:pPr>
    </w:p>
    <w:p w14:paraId="7328FF94" w14:textId="77777777" w:rsidR="001E7A43" w:rsidRDefault="00000000">
      <w:pPr>
        <w:pStyle w:val="Heading1"/>
        <w:spacing w:line="360" w:lineRule="auto"/>
        <w:rPr>
          <w:rFonts w:ascii="Arial" w:eastAsia="Arial" w:hAnsi="Arial" w:cs="Arial"/>
          <w:b/>
          <w:bCs/>
          <w:color w:val="000000"/>
          <w:sz w:val="24"/>
          <w:szCs w:val="24"/>
        </w:rPr>
      </w:pPr>
      <w:bookmarkStart w:id="5" w:name="_tz9awgcakuyy" w:colFirst="0" w:colLast="0"/>
      <w:bookmarkEnd w:id="5"/>
      <w:r>
        <w:rPr>
          <w:rFonts w:ascii="Arial" w:eastAsia="Arial" w:hAnsi="Arial" w:cs="Arial"/>
          <w:b/>
          <w:bCs/>
          <w:color w:val="000000"/>
          <w:sz w:val="24"/>
          <w:szCs w:val="24"/>
        </w:rPr>
        <w:lastRenderedPageBreak/>
        <w:t>4. Evaluation of Local Authority Websites</w:t>
      </w:r>
    </w:p>
    <w:p w14:paraId="06E1C56F" w14:textId="77777777" w:rsidR="001E7A43" w:rsidRDefault="00000000">
      <w:pPr>
        <w:pStyle w:val="Heading1"/>
        <w:spacing w:line="360" w:lineRule="auto"/>
        <w:rPr>
          <w:rFonts w:ascii="Arial" w:eastAsia="Arial" w:hAnsi="Arial" w:cs="Arial"/>
          <w:b/>
          <w:bCs/>
          <w:color w:val="000000"/>
          <w:sz w:val="24"/>
          <w:szCs w:val="24"/>
        </w:rPr>
      </w:pPr>
      <w:bookmarkStart w:id="6" w:name="_hab6qpkp9ibb" w:colFirst="0" w:colLast="0"/>
      <w:bookmarkEnd w:id="6"/>
      <w:r>
        <w:rPr>
          <w:rFonts w:ascii="Arial" w:eastAsia="Arial" w:hAnsi="Arial" w:cs="Arial"/>
          <w:b/>
          <w:bCs/>
          <w:color w:val="000000"/>
          <w:sz w:val="24"/>
          <w:szCs w:val="24"/>
        </w:rPr>
        <w:t>4.1 Leeds City Council</w:t>
      </w:r>
    </w:p>
    <w:p w14:paraId="1E5FDFC2" w14:textId="77777777" w:rsidR="001E7A43" w:rsidRDefault="00000000">
      <w:pPr>
        <w:spacing w:line="360" w:lineRule="auto"/>
        <w:jc w:val="both"/>
        <w:rPr>
          <w:rFonts w:ascii="Arial" w:eastAsia="Arial" w:hAnsi="Arial" w:cs="Arial"/>
          <w:b/>
          <w:bCs/>
          <w:color w:val="000000"/>
          <w:sz w:val="24"/>
          <w:szCs w:val="24"/>
        </w:rPr>
      </w:pPr>
      <w:r>
        <w:rPr>
          <w:rFonts w:ascii="Arial" w:eastAsia="Arial" w:hAnsi="Arial" w:cs="Arial"/>
          <w:b/>
          <w:bCs/>
          <w:noProof/>
          <w:color w:val="000000"/>
          <w:sz w:val="24"/>
          <w:szCs w:val="24"/>
        </w:rPr>
        <w:drawing>
          <wp:inline distT="0" distB="0" distL="0" distR="0" wp14:anchorId="64406FA7" wp14:editId="17083635">
            <wp:extent cx="5731510" cy="2391032"/>
            <wp:effectExtent l="0" t="0" r="0" b="0"/>
            <wp:docPr id="3" name="image4.png" descr="C:\Users\lenovo\Downloads\Screenshot 2026-07-27 at 08-05-17 One minute guide Early help Leeds.gov.uk.png"/>
            <wp:cNvGraphicFramePr/>
            <a:graphic xmlns:a="http://schemas.openxmlformats.org/drawingml/2006/main">
              <a:graphicData uri="http://schemas.openxmlformats.org/drawingml/2006/picture">
                <pic:pic xmlns:pic="http://schemas.openxmlformats.org/drawingml/2006/picture">
                  <pic:nvPicPr>
                    <pic:cNvPr id="0" name="image4.png" descr="C:\Users\lenovo\Downloads\Screenshot 2026-07-27 at 08-05-17 One minute guide Early help Leeds.gov.uk.png"/>
                    <pic:cNvPicPr preferRelativeResize="0"/>
                  </pic:nvPicPr>
                  <pic:blipFill>
                    <a:blip r:embed="rId8"/>
                    <a:srcRect/>
                    <a:stretch>
                      <a:fillRect/>
                    </a:stretch>
                  </pic:blipFill>
                  <pic:spPr>
                    <a:xfrm>
                      <a:off x="0" y="0"/>
                      <a:ext cx="5731510" cy="2391032"/>
                    </a:xfrm>
                    <a:prstGeom prst="rect">
                      <a:avLst/>
                    </a:prstGeom>
                    <a:ln/>
                  </pic:spPr>
                </pic:pic>
              </a:graphicData>
            </a:graphic>
          </wp:inline>
        </w:drawing>
      </w:r>
    </w:p>
    <w:p w14:paraId="5F17E44D" w14:textId="77777777" w:rsidR="001E7A43" w:rsidRDefault="00000000">
      <w:pPr>
        <w:spacing w:line="360" w:lineRule="auto"/>
        <w:rPr>
          <w:rFonts w:ascii="Arial" w:eastAsia="Arial" w:hAnsi="Arial" w:cs="Arial"/>
          <w:i/>
          <w:iCs/>
          <w:color w:val="000000"/>
          <w:sz w:val="24"/>
          <w:szCs w:val="24"/>
        </w:rPr>
      </w:pPr>
      <w:r>
        <w:rPr>
          <w:rFonts w:ascii="Arial" w:eastAsia="Arial" w:hAnsi="Arial" w:cs="Arial"/>
          <w:i/>
          <w:iCs/>
          <w:color w:val="000000"/>
          <w:sz w:val="24"/>
          <w:szCs w:val="24"/>
        </w:rPr>
        <w:t xml:space="preserve">Figure 1: Leeds City Council Early Help webpage navigation </w:t>
      </w:r>
    </w:p>
    <w:p w14:paraId="329E3B1C"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Leeds City Council provides Early Help information through its family support and safeguarding webpages. The website outlines a range of services relating to parenting, education, wellbeing and family difficulties.</w:t>
      </w:r>
    </w:p>
    <w:p w14:paraId="7B4E728A"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 key strength of the Leeds approach is its focus on presenting support around family needs rather than only professional service categories. This may make information more accessible because families can identify support based on their circumstances rather than needing to understand the structure of local authority services.</w:t>
      </w:r>
    </w:p>
    <w:p w14:paraId="0B8D2261"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approach also reflects the partnership principles outlined in </w:t>
      </w:r>
      <w:r>
        <w:rPr>
          <w:rFonts w:ascii="Arial" w:eastAsia="Arial" w:hAnsi="Arial" w:cs="Arial"/>
          <w:i/>
          <w:iCs/>
          <w:color w:val="000000"/>
          <w:sz w:val="24"/>
          <w:szCs w:val="24"/>
        </w:rPr>
        <w:t>Working Together to Safeguard Children</w:t>
      </w:r>
      <w:r>
        <w:rPr>
          <w:rFonts w:ascii="Arial" w:eastAsia="Arial" w:hAnsi="Arial" w:cs="Arial"/>
          <w:color w:val="000000"/>
          <w:sz w:val="24"/>
          <w:szCs w:val="24"/>
        </w:rPr>
        <w:t xml:space="preserve"> (Department for Education, 2026), demonstrating the importance of coordinated support between agencies.</w:t>
      </w:r>
    </w:p>
    <w:p w14:paraId="406C9BA9"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However, the amount of information available may create difficulties for some users. Large local authority websites can become complex, requiring families to navigate several pages before finding suitable support. While Leeds provides comprehensive information, clearer pathways for families unsure where to begin could improve accessibility</w:t>
      </w:r>
    </w:p>
    <w:p w14:paraId="219C739E" w14:textId="77777777" w:rsidR="001E7A43" w:rsidRDefault="00000000">
      <w:pPr>
        <w:pStyle w:val="Heading1"/>
        <w:spacing w:after="240" w:line="360" w:lineRule="auto"/>
        <w:rPr>
          <w:rFonts w:ascii="Arial" w:eastAsia="Arial" w:hAnsi="Arial" w:cs="Arial"/>
          <w:b/>
          <w:bCs/>
          <w:color w:val="000000"/>
          <w:sz w:val="24"/>
          <w:szCs w:val="24"/>
        </w:rPr>
      </w:pPr>
      <w:bookmarkStart w:id="7" w:name="_6kjthimi5yqm" w:colFirst="0" w:colLast="0"/>
      <w:bookmarkEnd w:id="7"/>
      <w:r>
        <w:rPr>
          <w:rFonts w:ascii="Arial" w:eastAsia="Arial" w:hAnsi="Arial" w:cs="Arial"/>
          <w:b/>
          <w:bCs/>
          <w:color w:val="000000"/>
          <w:sz w:val="24"/>
          <w:szCs w:val="24"/>
        </w:rPr>
        <w:lastRenderedPageBreak/>
        <w:t>4.2 Norfolk County Council</w:t>
      </w:r>
    </w:p>
    <w:p w14:paraId="0A0C4A58" w14:textId="77777777" w:rsidR="001E7A43" w:rsidRDefault="00000000">
      <w:pPr>
        <w:spacing w:line="360" w:lineRule="auto"/>
        <w:jc w:val="both"/>
        <w:rPr>
          <w:rFonts w:ascii="Arial" w:eastAsia="Arial" w:hAnsi="Arial" w:cs="Arial"/>
          <w:b/>
          <w:bCs/>
          <w:color w:val="000000"/>
          <w:sz w:val="24"/>
          <w:szCs w:val="24"/>
        </w:rPr>
      </w:pPr>
      <w:r>
        <w:rPr>
          <w:rFonts w:ascii="Arial" w:eastAsia="Arial" w:hAnsi="Arial" w:cs="Arial"/>
          <w:b/>
          <w:bCs/>
          <w:noProof/>
          <w:color w:val="000000"/>
          <w:sz w:val="24"/>
          <w:szCs w:val="24"/>
        </w:rPr>
        <w:drawing>
          <wp:inline distT="0" distB="0" distL="0" distR="0" wp14:anchorId="31144F3E" wp14:editId="7330DC01">
            <wp:extent cx="5731510" cy="2547621"/>
            <wp:effectExtent l="0" t="0" r="0" b="0"/>
            <wp:docPr id="2" name="image3.png" descr="C:\Users\lenovo\Downloads\Screenshot 2026-07-27 at 08-10-41 Early help for children and families - Norfolk County Council.png"/>
            <wp:cNvGraphicFramePr/>
            <a:graphic xmlns:a="http://schemas.openxmlformats.org/drawingml/2006/main">
              <a:graphicData uri="http://schemas.openxmlformats.org/drawingml/2006/picture">
                <pic:pic xmlns:pic="http://schemas.openxmlformats.org/drawingml/2006/picture">
                  <pic:nvPicPr>
                    <pic:cNvPr id="0" name="image3.png" descr="C:\Users\lenovo\Downloads\Screenshot 2026-07-27 at 08-10-41 Early help for children and families - Norfolk County Council.png"/>
                    <pic:cNvPicPr preferRelativeResize="0"/>
                  </pic:nvPicPr>
                  <pic:blipFill>
                    <a:blip r:embed="rId9"/>
                    <a:srcRect/>
                    <a:stretch>
                      <a:fillRect/>
                    </a:stretch>
                  </pic:blipFill>
                  <pic:spPr>
                    <a:xfrm>
                      <a:off x="0" y="0"/>
                      <a:ext cx="5731510" cy="2547621"/>
                    </a:xfrm>
                    <a:prstGeom prst="rect">
                      <a:avLst/>
                    </a:prstGeom>
                    <a:ln/>
                  </pic:spPr>
                </pic:pic>
              </a:graphicData>
            </a:graphic>
          </wp:inline>
        </w:drawing>
      </w:r>
      <w:r>
        <w:rPr>
          <w:rFonts w:ascii="Arial" w:eastAsia="Arial" w:hAnsi="Arial" w:cs="Arial"/>
          <w:b/>
          <w:bCs/>
          <w:color w:val="000000"/>
          <w:sz w:val="24"/>
          <w:szCs w:val="24"/>
        </w:rPr>
        <w:t xml:space="preserve"> </w:t>
      </w:r>
      <w:r>
        <w:rPr>
          <w:rFonts w:ascii="Arial" w:eastAsia="Arial" w:hAnsi="Arial" w:cs="Arial"/>
          <w:i/>
          <w:iCs/>
          <w:color w:val="000000"/>
          <w:sz w:val="24"/>
          <w:szCs w:val="24"/>
        </w:rPr>
        <w:t>Figure 2: Norfolk County Council webpage navigation</w:t>
      </w:r>
    </w:p>
    <w:p w14:paraId="148CD28F"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Norfolk County Council provides Early Help information through its family support webpages, explaining available services and how families can request assistance. As a large rural authority, Norfolk faces </w:t>
      </w:r>
      <w:proofErr w:type="gramStart"/>
      <w:r>
        <w:rPr>
          <w:rFonts w:ascii="Arial" w:eastAsia="Arial" w:hAnsi="Arial" w:cs="Arial"/>
          <w:color w:val="000000"/>
          <w:sz w:val="24"/>
          <w:szCs w:val="24"/>
        </w:rPr>
        <w:t>particular challenges</w:t>
      </w:r>
      <w:proofErr w:type="gramEnd"/>
      <w:r>
        <w:rPr>
          <w:rFonts w:ascii="Arial" w:eastAsia="Arial" w:hAnsi="Arial" w:cs="Arial"/>
          <w:color w:val="000000"/>
          <w:sz w:val="24"/>
          <w:szCs w:val="24"/>
        </w:rPr>
        <w:t xml:space="preserve"> in ensuring services are accessible across geographically dispersed communities.</w:t>
      </w:r>
    </w:p>
    <w:p w14:paraId="79768173"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 strength of the Norfolk website is its practical and straightforward explanation of Early Help. The information helps families understand that support is available before problems become serious, reflecting the preventative principles of Early Help.</w:t>
      </w:r>
    </w:p>
    <w:p w14:paraId="5251203F"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However, rural communities may experience barriers that cannot be addressed through online information alone. Issues such as transport, internet access and distance from services may affect accessibility. Therefore, digital communication must be supported by strong </w:t>
      </w:r>
      <w:proofErr w:type="gramStart"/>
      <w:r>
        <w:rPr>
          <w:rFonts w:ascii="Arial" w:eastAsia="Arial" w:hAnsi="Arial" w:cs="Arial"/>
          <w:color w:val="000000"/>
          <w:sz w:val="24"/>
          <w:szCs w:val="24"/>
        </w:rPr>
        <w:t>community based</w:t>
      </w:r>
      <w:proofErr w:type="gramEnd"/>
      <w:r>
        <w:rPr>
          <w:rFonts w:ascii="Arial" w:eastAsia="Arial" w:hAnsi="Arial" w:cs="Arial"/>
          <w:color w:val="000000"/>
          <w:sz w:val="24"/>
          <w:szCs w:val="24"/>
        </w:rPr>
        <w:t xml:space="preserve"> services.</w:t>
      </w:r>
    </w:p>
    <w:p w14:paraId="0D4EFA50" w14:textId="77777777" w:rsidR="001E7A43" w:rsidRDefault="00000000">
      <w:pPr>
        <w:pStyle w:val="Heading1"/>
        <w:spacing w:after="240" w:line="360" w:lineRule="auto"/>
        <w:rPr>
          <w:rFonts w:ascii="Arial" w:eastAsia="Arial" w:hAnsi="Arial" w:cs="Arial"/>
          <w:b/>
          <w:bCs/>
          <w:color w:val="000000"/>
          <w:sz w:val="24"/>
          <w:szCs w:val="24"/>
        </w:rPr>
      </w:pPr>
      <w:bookmarkStart w:id="8" w:name="_bm7r44k18lv8" w:colFirst="0" w:colLast="0"/>
      <w:bookmarkEnd w:id="8"/>
      <w:r>
        <w:rPr>
          <w:rFonts w:ascii="Arial" w:eastAsia="Arial" w:hAnsi="Arial" w:cs="Arial"/>
          <w:b/>
          <w:bCs/>
          <w:color w:val="000000"/>
          <w:sz w:val="24"/>
          <w:szCs w:val="24"/>
        </w:rPr>
        <w:lastRenderedPageBreak/>
        <w:t>4.3 Tower Hamlets Council</w:t>
      </w:r>
    </w:p>
    <w:p w14:paraId="29E59858" w14:textId="77777777" w:rsidR="001E7A43" w:rsidRDefault="00000000">
      <w:pPr>
        <w:spacing w:line="360" w:lineRule="auto"/>
        <w:jc w:val="both"/>
        <w:rPr>
          <w:rFonts w:ascii="Arial" w:eastAsia="Arial" w:hAnsi="Arial" w:cs="Arial"/>
          <w:b/>
          <w:bCs/>
          <w:color w:val="000000"/>
          <w:sz w:val="24"/>
          <w:szCs w:val="24"/>
        </w:rPr>
      </w:pPr>
      <w:r>
        <w:rPr>
          <w:rFonts w:ascii="Arial" w:eastAsia="Arial" w:hAnsi="Arial" w:cs="Arial"/>
          <w:b/>
          <w:bCs/>
          <w:noProof/>
          <w:color w:val="000000"/>
          <w:sz w:val="24"/>
          <w:szCs w:val="24"/>
        </w:rPr>
        <w:drawing>
          <wp:inline distT="0" distB="0" distL="0" distR="0" wp14:anchorId="34751471" wp14:editId="0A9DF31E">
            <wp:extent cx="5731510" cy="2655125"/>
            <wp:effectExtent l="0" t="0" r="0" b="0"/>
            <wp:docPr id="4" name="image2.png" descr="C:\Users\lenovo\Downloads\Screenshot 2026-07-27 at 08-12-41 MAST Early Help &amp; Children and Families Service.png"/>
            <wp:cNvGraphicFramePr/>
            <a:graphic xmlns:a="http://schemas.openxmlformats.org/drawingml/2006/main">
              <a:graphicData uri="http://schemas.openxmlformats.org/drawingml/2006/picture">
                <pic:pic xmlns:pic="http://schemas.openxmlformats.org/drawingml/2006/picture">
                  <pic:nvPicPr>
                    <pic:cNvPr id="0" name="image2.png" descr="C:\Users\lenovo\Downloads\Screenshot 2026-07-27 at 08-12-41 MAST Early Help &amp; Children and Families Service.png"/>
                    <pic:cNvPicPr preferRelativeResize="0"/>
                  </pic:nvPicPr>
                  <pic:blipFill>
                    <a:blip r:embed="rId10"/>
                    <a:srcRect/>
                    <a:stretch>
                      <a:fillRect/>
                    </a:stretch>
                  </pic:blipFill>
                  <pic:spPr>
                    <a:xfrm>
                      <a:off x="0" y="0"/>
                      <a:ext cx="5731510" cy="2655125"/>
                    </a:xfrm>
                    <a:prstGeom prst="rect">
                      <a:avLst/>
                    </a:prstGeom>
                    <a:ln/>
                  </pic:spPr>
                </pic:pic>
              </a:graphicData>
            </a:graphic>
          </wp:inline>
        </w:drawing>
      </w:r>
    </w:p>
    <w:p w14:paraId="6812342B" w14:textId="77777777" w:rsidR="001E7A43" w:rsidRDefault="00000000">
      <w:pPr>
        <w:spacing w:line="360" w:lineRule="auto"/>
        <w:jc w:val="both"/>
        <w:rPr>
          <w:rFonts w:ascii="Arial" w:eastAsia="Arial" w:hAnsi="Arial" w:cs="Arial"/>
          <w:i/>
          <w:iCs/>
          <w:color w:val="000000"/>
          <w:sz w:val="24"/>
          <w:szCs w:val="24"/>
        </w:rPr>
      </w:pPr>
      <w:r>
        <w:rPr>
          <w:rFonts w:ascii="Arial" w:eastAsia="Arial" w:hAnsi="Arial" w:cs="Arial"/>
          <w:i/>
          <w:iCs/>
          <w:color w:val="000000"/>
          <w:sz w:val="24"/>
          <w:szCs w:val="24"/>
        </w:rPr>
        <w:t>Figure 3: Tower Hamlets Early Help service page</w:t>
      </w:r>
    </w:p>
    <w:p w14:paraId="1D684B69"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Tower Hamlets Council provides Early Help information within the wider context of family support services across the borough. The website reflects the needs of a diverse urban population by highlighting support relating to parenting, family wellbeing and community services.</w:t>
      </w:r>
    </w:p>
    <w:p w14:paraId="4521C34D"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 strength of the Tower Hamlets approach is its recognition that Early Help must respond to wider social factors affecting families, including inequality and community needs. This aligns with the Early Help System Guide, which emphasises personalised and coordinated support (Department for Education, 2022).</w:t>
      </w:r>
    </w:p>
    <w:p w14:paraId="3B4E37BD"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However, accessibility could be improved through clearer explanations of services and greater consideration of families with different language needs or varying levels of digital confidence. Simplified information and stronger multilingual options could increase engagement.</w:t>
      </w:r>
    </w:p>
    <w:p w14:paraId="42BD3489" w14:textId="77777777" w:rsidR="001E7A43" w:rsidRDefault="00000000">
      <w:pPr>
        <w:pStyle w:val="Heading1"/>
        <w:spacing w:after="240" w:line="360" w:lineRule="auto"/>
        <w:rPr>
          <w:rFonts w:ascii="Arial" w:eastAsia="Arial" w:hAnsi="Arial" w:cs="Arial"/>
          <w:b/>
          <w:bCs/>
          <w:color w:val="000000"/>
          <w:sz w:val="24"/>
          <w:szCs w:val="24"/>
        </w:rPr>
      </w:pPr>
      <w:bookmarkStart w:id="9" w:name="_wue7gkn6rh62" w:colFirst="0" w:colLast="0"/>
      <w:bookmarkEnd w:id="9"/>
      <w:r>
        <w:rPr>
          <w:rFonts w:ascii="Arial" w:eastAsia="Arial" w:hAnsi="Arial" w:cs="Arial"/>
          <w:b/>
          <w:bCs/>
          <w:color w:val="000000"/>
          <w:sz w:val="24"/>
          <w:szCs w:val="24"/>
        </w:rPr>
        <w:t>5. Comparative Analysis of Local Authority Approaches</w:t>
      </w:r>
    </w:p>
    <w:p w14:paraId="6F9554AB" w14:textId="77777777" w:rsidR="001E7A43" w:rsidRDefault="00000000">
      <w:pPr>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The evaluation of Leeds City Council, Norfolk County Council and Tower Hamlets Council shows that all three authorities recognise the importance of Early Help and provide families with information about available support. However, the effectiveness of their communication varies depending on accessibility, clarity and how easily families can identify suitable services.</w:t>
      </w:r>
    </w:p>
    <w:p w14:paraId="4EDE0959"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A common strength across the three websites is their focus on prevention. Each authority presents Early Help as support available before difficulties become more serious, reflecting the principles of early identification and coordinated intervention outlined in the </w:t>
      </w:r>
      <w:r>
        <w:rPr>
          <w:rFonts w:ascii="Arial" w:eastAsia="Arial" w:hAnsi="Arial" w:cs="Arial"/>
          <w:i/>
          <w:iCs/>
          <w:color w:val="000000"/>
          <w:sz w:val="24"/>
          <w:szCs w:val="24"/>
        </w:rPr>
        <w:t>Early Help System Guide</w:t>
      </w:r>
      <w:r>
        <w:rPr>
          <w:rFonts w:ascii="Arial" w:eastAsia="Arial" w:hAnsi="Arial" w:cs="Arial"/>
          <w:color w:val="000000"/>
          <w:sz w:val="24"/>
          <w:szCs w:val="24"/>
        </w:rPr>
        <w:t xml:space="preserve"> (Department for Education, 2022). The websites also demonstrate that Early Help extends beyond safeguarding concerns and includes support relating to parenting, education, emotional wellbeing and family circumstances.</w:t>
      </w:r>
    </w:p>
    <w:p w14:paraId="37198475"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importance of partnership working is also reflected across the three authorities. Their approaches align with </w:t>
      </w:r>
      <w:r>
        <w:rPr>
          <w:rFonts w:ascii="Arial" w:eastAsia="Arial" w:hAnsi="Arial" w:cs="Arial"/>
          <w:i/>
          <w:iCs/>
          <w:color w:val="000000"/>
          <w:sz w:val="24"/>
          <w:szCs w:val="24"/>
        </w:rPr>
        <w:t>Working Together to Safeguard Children</w:t>
      </w:r>
      <w:r>
        <w:rPr>
          <w:rFonts w:ascii="Arial" w:eastAsia="Arial" w:hAnsi="Arial" w:cs="Arial"/>
          <w:color w:val="000000"/>
          <w:sz w:val="24"/>
          <w:szCs w:val="24"/>
        </w:rPr>
        <w:t xml:space="preserve"> (Department for Education, 2026), which highlights the need for agencies to work collaboratively to improve outcomes for children and families.</w:t>
      </w:r>
    </w:p>
    <w:p w14:paraId="68FB5046"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However, differences exist in how effectively information is communicated. Leeds provides extensive information and demonstrates a strong partnership approach, but the volume of content may make navigation difficult for families who require immediate guidance. Norfolk provides a clearer and more straightforward explanation of Early Help, making it easier for families to understand available support. However, as a rural authority, challenges remain regarding accessibility for families who experience geographical or digital barriers.</w:t>
      </w:r>
    </w:p>
    <w:p w14:paraId="0C436A1F"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Tower Hamlets demonstrates strong awareness of the needs of a diverse urban population. Its focus on community support and targeted services reflects local needs, although greater use of simplified language and multilingual resources could improve accessibility.</w:t>
      </w:r>
    </w:p>
    <w:p w14:paraId="114ACED4"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Overall, Norfolk County Council appears to provide the most effective online signposting approach because it balances information, clarity and ease of access. However, the strongest overall model would combine Norfolk’s clear communication, </w:t>
      </w:r>
      <w:proofErr w:type="spellStart"/>
      <w:r>
        <w:rPr>
          <w:rFonts w:ascii="Arial" w:eastAsia="Arial" w:hAnsi="Arial" w:cs="Arial"/>
          <w:color w:val="000000"/>
          <w:sz w:val="24"/>
          <w:szCs w:val="24"/>
        </w:rPr>
        <w:t>Leeds’</w:t>
      </w:r>
      <w:proofErr w:type="spellEnd"/>
      <w:r>
        <w:rPr>
          <w:rFonts w:ascii="Arial" w:eastAsia="Arial" w:hAnsi="Arial" w:cs="Arial"/>
          <w:color w:val="000000"/>
          <w:sz w:val="24"/>
          <w:szCs w:val="24"/>
        </w:rPr>
        <w:t xml:space="preserve"> partnership approach and Tower Hamlets’ focus on diversity and community needs.</w:t>
      </w:r>
    </w:p>
    <w:p w14:paraId="7DED4AE4" w14:textId="77777777" w:rsidR="001E7A43" w:rsidRDefault="00000000">
      <w:pPr>
        <w:pStyle w:val="Heading1"/>
        <w:spacing w:after="240" w:line="360" w:lineRule="auto"/>
        <w:rPr>
          <w:rFonts w:ascii="Arial" w:eastAsia="Arial" w:hAnsi="Arial" w:cs="Arial"/>
          <w:b/>
          <w:bCs/>
          <w:color w:val="000000"/>
          <w:sz w:val="24"/>
          <w:szCs w:val="24"/>
        </w:rPr>
      </w:pPr>
      <w:bookmarkStart w:id="10" w:name="_ilueixji254q" w:colFirst="0" w:colLast="0"/>
      <w:bookmarkEnd w:id="10"/>
      <w:r>
        <w:rPr>
          <w:rFonts w:ascii="Arial" w:eastAsia="Arial" w:hAnsi="Arial" w:cs="Arial"/>
          <w:b/>
          <w:bCs/>
          <w:color w:val="000000"/>
          <w:sz w:val="24"/>
          <w:szCs w:val="24"/>
        </w:rPr>
        <w:t>6. Conclusion</w:t>
      </w:r>
    </w:p>
    <w:p w14:paraId="135F0FA8" w14:textId="77777777" w:rsidR="001E7A43" w:rsidRDefault="00000000">
      <w:pPr>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report examined how Early Help is communicated to families through the websites of Leeds City Council, Norfolk County Council and Tower Hamlets Council. Early Help is a key element of the safeguarding system because it aims to identify </w:t>
      </w:r>
      <w:r>
        <w:rPr>
          <w:rFonts w:ascii="Arial" w:eastAsia="Arial" w:hAnsi="Arial" w:cs="Arial"/>
          <w:color w:val="000000"/>
          <w:sz w:val="24"/>
          <w:szCs w:val="24"/>
        </w:rPr>
        <w:lastRenderedPageBreak/>
        <w:t xml:space="preserve">difficulties early and provide support before problems escalate. The effectiveness of this approach </w:t>
      </w:r>
      <w:r>
        <w:rPr>
          <w:rFonts w:ascii="Arial" w:eastAsia="Arial" w:hAnsi="Arial" w:cs="Arial"/>
          <w:sz w:val="24"/>
          <w:szCs w:val="24"/>
        </w:rPr>
        <w:t>relies</w:t>
      </w:r>
      <w:r>
        <w:rPr>
          <w:rFonts w:ascii="Arial" w:eastAsia="Arial" w:hAnsi="Arial" w:cs="Arial"/>
          <w:color w:val="000000"/>
          <w:sz w:val="24"/>
          <w:szCs w:val="24"/>
        </w:rPr>
        <w:t xml:space="preserve"> not only on professional services but also on whether families can easily understand and access available support.</w:t>
      </w:r>
    </w:p>
    <w:p w14:paraId="40E85934"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analysis shows that local authority websites play an important </w:t>
      </w:r>
      <w:r>
        <w:rPr>
          <w:rFonts w:ascii="Arial" w:eastAsia="Arial" w:hAnsi="Arial" w:cs="Arial"/>
          <w:sz w:val="24"/>
          <w:szCs w:val="24"/>
        </w:rPr>
        <w:t>function</w:t>
      </w:r>
      <w:r>
        <w:rPr>
          <w:rFonts w:ascii="Arial" w:eastAsia="Arial" w:hAnsi="Arial" w:cs="Arial"/>
          <w:color w:val="000000"/>
          <w:sz w:val="24"/>
          <w:szCs w:val="24"/>
        </w:rPr>
        <w:t xml:space="preserve"> in connecting families with services. Digital information can increase accessibility by allowing families to seek advice at a time that suits them. However, websites must be designed carefully because complex navigation or professional language may discourage families from seeking help.</w:t>
      </w:r>
    </w:p>
    <w:p w14:paraId="2CB2EA12"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Leeds provides comprehensive information and demonstrates strong partnership working, although the quantity of information may affect accessibility. Norfolk offers the clearest online communication by explaining Early Help in a practical and </w:t>
      </w:r>
      <w:r>
        <w:rPr>
          <w:rFonts w:ascii="Arial" w:eastAsia="Arial" w:hAnsi="Arial" w:cs="Arial"/>
          <w:sz w:val="24"/>
          <w:szCs w:val="24"/>
        </w:rPr>
        <w:t>family-friendly</w:t>
      </w:r>
      <w:r>
        <w:rPr>
          <w:rFonts w:ascii="Arial" w:eastAsia="Arial" w:hAnsi="Arial" w:cs="Arial"/>
          <w:color w:val="000000"/>
          <w:sz w:val="24"/>
          <w:szCs w:val="24"/>
        </w:rPr>
        <w:t xml:space="preserve"> way. Tower Hamlets demonstrates responsiveness to community diversity but could further improve accessibility through clearer language and additional support for families from different backgrounds.</w:t>
      </w:r>
    </w:p>
    <w:p w14:paraId="66CA87A2"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Based on the comparison, Norfolk County Council provides the most effective online Early Help information because it communicates services clearly and supports families to understand how assistance can be accessed. Nevertheless, effective Early Help requires more than online information. Local authorities must continue combining digital communication with community engagement and strong </w:t>
      </w:r>
      <w:r>
        <w:rPr>
          <w:rFonts w:ascii="Arial" w:eastAsia="Arial" w:hAnsi="Arial" w:cs="Arial"/>
          <w:sz w:val="24"/>
          <w:szCs w:val="24"/>
        </w:rPr>
        <w:t>multi-agency</w:t>
      </w:r>
      <w:r>
        <w:rPr>
          <w:rFonts w:ascii="Arial" w:eastAsia="Arial" w:hAnsi="Arial" w:cs="Arial"/>
          <w:color w:val="000000"/>
          <w:sz w:val="24"/>
          <w:szCs w:val="24"/>
        </w:rPr>
        <w:t xml:space="preserve"> partnerships.</w:t>
      </w:r>
    </w:p>
    <w:p w14:paraId="02C23C8E" w14:textId="77777777" w:rsidR="001E7A43" w:rsidRDefault="00000000">
      <w:pPr>
        <w:pStyle w:val="Heading1"/>
        <w:spacing w:after="240" w:line="360" w:lineRule="auto"/>
        <w:rPr>
          <w:rFonts w:ascii="Arial" w:eastAsia="Arial" w:hAnsi="Arial" w:cs="Arial"/>
          <w:b/>
          <w:bCs/>
          <w:color w:val="000000"/>
          <w:sz w:val="24"/>
          <w:szCs w:val="24"/>
        </w:rPr>
      </w:pPr>
      <w:bookmarkStart w:id="11" w:name="_wf4phnkry8rx" w:colFirst="0" w:colLast="0"/>
      <w:bookmarkEnd w:id="11"/>
      <w:r>
        <w:rPr>
          <w:rFonts w:ascii="Arial" w:eastAsia="Arial" w:hAnsi="Arial" w:cs="Arial"/>
          <w:b/>
          <w:bCs/>
          <w:color w:val="000000"/>
          <w:sz w:val="24"/>
          <w:szCs w:val="24"/>
        </w:rPr>
        <w:t>7. Recommendations</w:t>
      </w:r>
    </w:p>
    <w:p w14:paraId="7099B9DF" w14:textId="77777777" w:rsidR="001E7A43" w:rsidRDefault="00000000">
      <w:pPr>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The analysis identifies several areas where Early Help communication could be improved.</w:t>
      </w:r>
    </w:p>
    <w:p w14:paraId="547C993F"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Firstly, local authorities should use simpler and more family focused language. Professional terminology may create uncertainty, so websites should clearly explain that Early Help is supportive and preventative rather than only associated with safeguarding concerns.</w:t>
      </w:r>
    </w:p>
    <w:p w14:paraId="4B0FF2C2"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Secondly, websites should include clearer pathways for families seeking assistance. A “find support for my situation” approach could help users identify relevant services without searching through multiple pages.</w:t>
      </w:r>
    </w:p>
    <w:p w14:paraId="3DE0D365"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Thirdly, councils should consider accessibility needs by providing translated information, easy read formats and alternative ways of accessing support. Digital services should complement rather than replace face to face support.</w:t>
      </w:r>
    </w:p>
    <w:p w14:paraId="751A9823"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Finally, local authorities should regularly seek feedback from families who use Early Help services. This would help identify barriers and ensure online information remains relevant, accessible and responsive to community needs</w:t>
      </w:r>
    </w:p>
    <w:p w14:paraId="184B7DBD" w14:textId="77777777" w:rsidR="001E7A43" w:rsidRDefault="001E7A43">
      <w:pPr>
        <w:pStyle w:val="Heading1"/>
        <w:spacing w:after="240" w:line="360" w:lineRule="auto"/>
        <w:rPr>
          <w:rFonts w:ascii="Arial" w:eastAsia="Arial" w:hAnsi="Arial" w:cs="Arial"/>
          <w:b/>
          <w:bCs/>
          <w:color w:val="000000"/>
          <w:sz w:val="24"/>
          <w:szCs w:val="24"/>
        </w:rPr>
      </w:pPr>
      <w:bookmarkStart w:id="12" w:name="_wn5xu2gj3vxi" w:colFirst="0" w:colLast="0"/>
      <w:bookmarkEnd w:id="12"/>
    </w:p>
    <w:p w14:paraId="23237B6D" w14:textId="77777777" w:rsidR="001E7A43" w:rsidRDefault="001E7A43">
      <w:pPr>
        <w:pStyle w:val="Heading1"/>
        <w:spacing w:after="240" w:line="360" w:lineRule="auto"/>
        <w:rPr>
          <w:rFonts w:ascii="Arial" w:eastAsia="Arial" w:hAnsi="Arial" w:cs="Arial"/>
          <w:b/>
          <w:bCs/>
          <w:color w:val="000000"/>
          <w:sz w:val="24"/>
          <w:szCs w:val="24"/>
        </w:rPr>
      </w:pPr>
    </w:p>
    <w:p w14:paraId="2342CE2E" w14:textId="77777777" w:rsidR="001E7A43" w:rsidRDefault="001E7A43">
      <w:pPr>
        <w:pStyle w:val="Heading1"/>
        <w:spacing w:after="240" w:line="360" w:lineRule="auto"/>
        <w:rPr>
          <w:rFonts w:ascii="Arial" w:eastAsia="Arial" w:hAnsi="Arial" w:cs="Arial"/>
          <w:b/>
          <w:bCs/>
          <w:color w:val="000000"/>
          <w:sz w:val="24"/>
          <w:szCs w:val="24"/>
        </w:rPr>
      </w:pPr>
    </w:p>
    <w:p w14:paraId="54EC7C6C" w14:textId="77777777" w:rsidR="001E7A43" w:rsidRDefault="001E7A43">
      <w:pPr>
        <w:pStyle w:val="Heading1"/>
        <w:spacing w:after="240" w:line="360" w:lineRule="auto"/>
        <w:rPr>
          <w:rFonts w:ascii="Arial" w:eastAsia="Arial" w:hAnsi="Arial" w:cs="Arial"/>
          <w:b/>
          <w:bCs/>
          <w:color w:val="000000"/>
          <w:sz w:val="24"/>
          <w:szCs w:val="24"/>
        </w:rPr>
      </w:pPr>
    </w:p>
    <w:p w14:paraId="0F6E208A" w14:textId="77777777" w:rsidR="001E7A43" w:rsidRDefault="001E7A43">
      <w:pPr>
        <w:pStyle w:val="Heading1"/>
        <w:spacing w:after="240" w:line="360" w:lineRule="auto"/>
        <w:rPr>
          <w:rFonts w:ascii="Arial" w:eastAsia="Arial" w:hAnsi="Arial" w:cs="Arial"/>
          <w:b/>
          <w:bCs/>
          <w:color w:val="000000"/>
          <w:sz w:val="24"/>
          <w:szCs w:val="24"/>
        </w:rPr>
      </w:pPr>
    </w:p>
    <w:p w14:paraId="0EE317CA" w14:textId="77777777" w:rsidR="001E7A43" w:rsidRDefault="001E7A43">
      <w:pPr>
        <w:pStyle w:val="Heading1"/>
        <w:spacing w:after="240" w:line="360" w:lineRule="auto"/>
        <w:rPr>
          <w:rFonts w:ascii="Arial" w:eastAsia="Arial" w:hAnsi="Arial" w:cs="Arial"/>
          <w:b/>
          <w:bCs/>
          <w:color w:val="000000"/>
          <w:sz w:val="24"/>
          <w:szCs w:val="24"/>
        </w:rPr>
      </w:pPr>
    </w:p>
    <w:p w14:paraId="39146910" w14:textId="77777777" w:rsidR="001E7A43" w:rsidRDefault="001E7A43">
      <w:pPr>
        <w:pStyle w:val="Heading1"/>
        <w:spacing w:after="240" w:line="360" w:lineRule="auto"/>
        <w:rPr>
          <w:rFonts w:ascii="Arial" w:eastAsia="Arial" w:hAnsi="Arial" w:cs="Arial"/>
          <w:b/>
          <w:bCs/>
          <w:color w:val="000000"/>
          <w:sz w:val="24"/>
          <w:szCs w:val="24"/>
        </w:rPr>
      </w:pPr>
    </w:p>
    <w:p w14:paraId="5F0F6BFE" w14:textId="77777777" w:rsidR="001E7A43" w:rsidRDefault="001E7A43">
      <w:pPr>
        <w:pStyle w:val="Heading1"/>
        <w:spacing w:after="240" w:line="360" w:lineRule="auto"/>
        <w:rPr>
          <w:rFonts w:ascii="Arial" w:eastAsia="Arial" w:hAnsi="Arial" w:cs="Arial"/>
          <w:b/>
          <w:bCs/>
          <w:color w:val="000000"/>
          <w:sz w:val="24"/>
          <w:szCs w:val="24"/>
        </w:rPr>
      </w:pPr>
    </w:p>
    <w:p w14:paraId="6DAEDFAA" w14:textId="77777777" w:rsidR="001E7A43" w:rsidRDefault="001E7A43">
      <w:pPr>
        <w:pStyle w:val="Heading1"/>
        <w:spacing w:after="240" w:line="360" w:lineRule="auto"/>
        <w:rPr>
          <w:rFonts w:ascii="Arial" w:eastAsia="Arial" w:hAnsi="Arial" w:cs="Arial"/>
          <w:b/>
          <w:bCs/>
          <w:color w:val="000000"/>
          <w:sz w:val="24"/>
          <w:szCs w:val="24"/>
        </w:rPr>
      </w:pPr>
    </w:p>
    <w:p w14:paraId="68C76847" w14:textId="77777777" w:rsidR="001E7A43" w:rsidRDefault="001E7A43">
      <w:pPr>
        <w:pStyle w:val="Heading1"/>
        <w:spacing w:after="240" w:line="360" w:lineRule="auto"/>
        <w:rPr>
          <w:rFonts w:ascii="Arial" w:eastAsia="Arial" w:hAnsi="Arial" w:cs="Arial"/>
          <w:b/>
          <w:bCs/>
          <w:color w:val="000000"/>
          <w:sz w:val="24"/>
          <w:szCs w:val="24"/>
        </w:rPr>
      </w:pPr>
    </w:p>
    <w:p w14:paraId="44F85ECF" w14:textId="77777777" w:rsidR="001E7A43" w:rsidRDefault="001E7A43">
      <w:pPr>
        <w:pStyle w:val="Heading1"/>
        <w:spacing w:after="240" w:line="360" w:lineRule="auto"/>
        <w:rPr>
          <w:rFonts w:ascii="Arial" w:eastAsia="Arial" w:hAnsi="Arial" w:cs="Arial"/>
          <w:b/>
          <w:bCs/>
          <w:color w:val="000000"/>
          <w:sz w:val="24"/>
          <w:szCs w:val="24"/>
        </w:rPr>
      </w:pPr>
    </w:p>
    <w:p w14:paraId="0759FE13" w14:textId="77777777" w:rsidR="001E7A43" w:rsidRDefault="001E7A43">
      <w:pPr>
        <w:pStyle w:val="Heading1"/>
        <w:spacing w:after="240" w:line="360" w:lineRule="auto"/>
        <w:rPr>
          <w:rFonts w:ascii="Arial" w:eastAsia="Arial" w:hAnsi="Arial" w:cs="Arial"/>
          <w:b/>
          <w:bCs/>
          <w:color w:val="000000"/>
          <w:sz w:val="24"/>
          <w:szCs w:val="24"/>
        </w:rPr>
      </w:pPr>
    </w:p>
    <w:p w14:paraId="2274CE56" w14:textId="77777777" w:rsidR="001E7A43" w:rsidRDefault="001E7A43">
      <w:pPr>
        <w:pStyle w:val="Heading1"/>
        <w:spacing w:after="240" w:line="360" w:lineRule="auto"/>
        <w:rPr>
          <w:rFonts w:ascii="Arial" w:eastAsia="Arial" w:hAnsi="Arial" w:cs="Arial"/>
          <w:b/>
          <w:bCs/>
          <w:color w:val="000000"/>
          <w:sz w:val="24"/>
          <w:szCs w:val="24"/>
        </w:rPr>
      </w:pPr>
    </w:p>
    <w:p w14:paraId="761C6BE4" w14:textId="77777777" w:rsidR="001E7A43" w:rsidRDefault="001E7A43">
      <w:pPr>
        <w:pStyle w:val="Heading1"/>
        <w:spacing w:after="240" w:line="360" w:lineRule="auto"/>
        <w:rPr>
          <w:rFonts w:ascii="Arial" w:eastAsia="Arial" w:hAnsi="Arial" w:cs="Arial"/>
          <w:b/>
          <w:bCs/>
          <w:color w:val="000000"/>
          <w:sz w:val="24"/>
          <w:szCs w:val="24"/>
        </w:rPr>
      </w:pPr>
    </w:p>
    <w:p w14:paraId="3B6401F0" w14:textId="77777777" w:rsidR="001E7A43" w:rsidRDefault="001E7A43">
      <w:pPr>
        <w:pStyle w:val="Heading1"/>
        <w:spacing w:after="240" w:line="360" w:lineRule="auto"/>
        <w:rPr>
          <w:rFonts w:ascii="Arial" w:eastAsia="Arial" w:hAnsi="Arial" w:cs="Arial"/>
          <w:b/>
          <w:bCs/>
          <w:color w:val="000000"/>
          <w:sz w:val="24"/>
          <w:szCs w:val="24"/>
        </w:rPr>
      </w:pPr>
    </w:p>
    <w:p w14:paraId="06AB34A0" w14:textId="77777777" w:rsidR="001E7A43" w:rsidRDefault="001E7A43">
      <w:pPr>
        <w:spacing w:line="360" w:lineRule="auto"/>
        <w:rPr>
          <w:rFonts w:ascii="Arial" w:eastAsia="Arial" w:hAnsi="Arial" w:cs="Arial"/>
        </w:rPr>
      </w:pPr>
    </w:p>
    <w:p w14:paraId="710E88D5" w14:textId="77777777" w:rsidR="001E7A43" w:rsidRDefault="00000000">
      <w:pPr>
        <w:pStyle w:val="Heading1"/>
        <w:spacing w:after="240" w:line="360" w:lineRule="auto"/>
        <w:rPr>
          <w:rFonts w:ascii="Arial" w:eastAsia="Arial" w:hAnsi="Arial" w:cs="Arial"/>
          <w:b/>
          <w:bCs/>
          <w:color w:val="000000"/>
          <w:sz w:val="24"/>
          <w:szCs w:val="24"/>
        </w:rPr>
      </w:pPr>
      <w:bookmarkStart w:id="13" w:name="_1mnx80g9834v" w:colFirst="0" w:colLast="0"/>
      <w:bookmarkEnd w:id="13"/>
      <w:r>
        <w:rPr>
          <w:rFonts w:ascii="Arial" w:eastAsia="Arial" w:hAnsi="Arial" w:cs="Arial"/>
          <w:b/>
          <w:bCs/>
          <w:color w:val="000000"/>
          <w:sz w:val="24"/>
          <w:szCs w:val="24"/>
        </w:rPr>
        <w:lastRenderedPageBreak/>
        <w:t>References</w:t>
      </w:r>
    </w:p>
    <w:p w14:paraId="55A441BF" w14:textId="77777777" w:rsidR="001E7A43" w:rsidRDefault="00000000">
      <w:pPr>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Department for Education (2022) </w:t>
      </w:r>
      <w:r>
        <w:rPr>
          <w:rFonts w:ascii="Arial" w:eastAsia="Arial" w:hAnsi="Arial" w:cs="Arial"/>
          <w:i/>
          <w:iCs/>
          <w:color w:val="000000"/>
          <w:sz w:val="24"/>
          <w:szCs w:val="24"/>
        </w:rPr>
        <w:t>The Early Help System Guide: Effective practice and support for children, young people and families</w:t>
      </w:r>
      <w:r>
        <w:rPr>
          <w:rFonts w:ascii="Arial" w:eastAsia="Arial" w:hAnsi="Arial" w:cs="Arial"/>
          <w:color w:val="000000"/>
          <w:sz w:val="24"/>
          <w:szCs w:val="24"/>
        </w:rPr>
        <w:t>. London: Department for Education.</w:t>
      </w:r>
    </w:p>
    <w:p w14:paraId="197B2BA8"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Department for Education (2026) </w:t>
      </w:r>
      <w:r>
        <w:rPr>
          <w:rFonts w:ascii="Arial" w:eastAsia="Arial" w:hAnsi="Arial" w:cs="Arial"/>
          <w:i/>
          <w:iCs/>
          <w:color w:val="000000"/>
          <w:sz w:val="24"/>
          <w:szCs w:val="24"/>
        </w:rPr>
        <w:t>Working Together to Safeguard Children: A guide to multi agency working to help, protect and promote the welfare of children</w:t>
      </w:r>
      <w:r>
        <w:rPr>
          <w:rFonts w:ascii="Arial" w:eastAsia="Arial" w:hAnsi="Arial" w:cs="Arial"/>
          <w:color w:val="000000"/>
          <w:sz w:val="24"/>
          <w:szCs w:val="24"/>
        </w:rPr>
        <w:t>. London: Department for Education.</w:t>
      </w:r>
    </w:p>
    <w:p w14:paraId="25469BC2"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HM Government (1989) </w:t>
      </w:r>
      <w:r>
        <w:rPr>
          <w:rFonts w:ascii="Arial" w:eastAsia="Arial" w:hAnsi="Arial" w:cs="Arial"/>
          <w:i/>
          <w:iCs/>
          <w:color w:val="000000"/>
          <w:sz w:val="24"/>
          <w:szCs w:val="24"/>
        </w:rPr>
        <w:t>Children Act 1989</w:t>
      </w:r>
      <w:r>
        <w:rPr>
          <w:rFonts w:ascii="Arial" w:eastAsia="Arial" w:hAnsi="Arial" w:cs="Arial"/>
          <w:color w:val="000000"/>
          <w:sz w:val="24"/>
          <w:szCs w:val="24"/>
        </w:rPr>
        <w:t>. London: The Stationery Office.</w:t>
      </w:r>
    </w:p>
    <w:p w14:paraId="20D21F25"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HM Government (2004) </w:t>
      </w:r>
      <w:r>
        <w:rPr>
          <w:rFonts w:ascii="Arial" w:eastAsia="Arial" w:hAnsi="Arial" w:cs="Arial"/>
          <w:i/>
          <w:iCs/>
          <w:color w:val="000000"/>
          <w:sz w:val="24"/>
          <w:szCs w:val="24"/>
        </w:rPr>
        <w:t>Children Act 2004</w:t>
      </w:r>
      <w:r>
        <w:rPr>
          <w:rFonts w:ascii="Arial" w:eastAsia="Arial" w:hAnsi="Arial" w:cs="Arial"/>
          <w:color w:val="000000"/>
          <w:sz w:val="24"/>
          <w:szCs w:val="24"/>
        </w:rPr>
        <w:t>. London: The Stationery Office.</w:t>
      </w:r>
    </w:p>
    <w:p w14:paraId="380194BA"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Leeds City Council (2026) </w:t>
      </w:r>
      <w:r>
        <w:rPr>
          <w:rFonts w:ascii="Arial" w:eastAsia="Arial" w:hAnsi="Arial" w:cs="Arial"/>
          <w:i/>
          <w:iCs/>
          <w:color w:val="000000"/>
          <w:sz w:val="24"/>
          <w:szCs w:val="24"/>
        </w:rPr>
        <w:t>Early Help and family support services</w:t>
      </w:r>
      <w:r>
        <w:rPr>
          <w:rFonts w:ascii="Arial" w:eastAsia="Arial" w:hAnsi="Arial" w:cs="Arial"/>
          <w:color w:val="000000"/>
          <w:sz w:val="24"/>
          <w:szCs w:val="24"/>
        </w:rPr>
        <w:t>. Available at: Leeds City Council website (Accessed: 27 July 2026).</w:t>
      </w:r>
    </w:p>
    <w:p w14:paraId="2FB36595"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Norfolk County Council (2026) </w:t>
      </w:r>
      <w:r>
        <w:rPr>
          <w:rFonts w:ascii="Arial" w:eastAsia="Arial" w:hAnsi="Arial" w:cs="Arial"/>
          <w:i/>
          <w:iCs/>
          <w:color w:val="000000"/>
          <w:sz w:val="24"/>
          <w:szCs w:val="24"/>
        </w:rPr>
        <w:t>Early Help and family support</w:t>
      </w:r>
      <w:r>
        <w:rPr>
          <w:rFonts w:ascii="Arial" w:eastAsia="Arial" w:hAnsi="Arial" w:cs="Arial"/>
          <w:color w:val="000000"/>
          <w:sz w:val="24"/>
          <w:szCs w:val="24"/>
        </w:rPr>
        <w:t>. Available at: Norfolk County Council website (Accessed: 27 July 2026).</w:t>
      </w:r>
    </w:p>
    <w:p w14:paraId="104CDFF2"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Tower Hamlets Council (2026) </w:t>
      </w:r>
      <w:r>
        <w:rPr>
          <w:rFonts w:ascii="Arial" w:eastAsia="Arial" w:hAnsi="Arial" w:cs="Arial"/>
          <w:i/>
          <w:iCs/>
          <w:color w:val="000000"/>
          <w:sz w:val="24"/>
          <w:szCs w:val="24"/>
        </w:rPr>
        <w:t>Early Help and family support services</w:t>
      </w:r>
      <w:r>
        <w:rPr>
          <w:rFonts w:ascii="Arial" w:eastAsia="Arial" w:hAnsi="Arial" w:cs="Arial"/>
          <w:color w:val="000000"/>
          <w:sz w:val="24"/>
          <w:szCs w:val="24"/>
        </w:rPr>
        <w:t>. Available at: Tower Hamlets Council website (Accessed: 27 July 2026).</w:t>
      </w:r>
    </w:p>
    <w:p w14:paraId="70380015"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Munro, E. (2011) </w:t>
      </w:r>
      <w:r>
        <w:rPr>
          <w:rFonts w:ascii="Arial" w:eastAsia="Arial" w:hAnsi="Arial" w:cs="Arial"/>
          <w:i/>
          <w:iCs/>
          <w:color w:val="000000"/>
          <w:sz w:val="24"/>
          <w:szCs w:val="24"/>
        </w:rPr>
        <w:t>The Munro Review of Child Protection: Final Report. A Child Centred System</w:t>
      </w:r>
      <w:r>
        <w:rPr>
          <w:rFonts w:ascii="Arial" w:eastAsia="Arial" w:hAnsi="Arial" w:cs="Arial"/>
          <w:color w:val="000000"/>
          <w:sz w:val="24"/>
          <w:szCs w:val="24"/>
        </w:rPr>
        <w:t>. London: Department for Education.</w:t>
      </w:r>
    </w:p>
    <w:p w14:paraId="2F68162C"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Parton, N. (2020) </w:t>
      </w:r>
      <w:r>
        <w:rPr>
          <w:rFonts w:ascii="Arial" w:eastAsia="Arial" w:hAnsi="Arial" w:cs="Arial"/>
          <w:i/>
          <w:iCs/>
          <w:color w:val="000000"/>
          <w:sz w:val="24"/>
          <w:szCs w:val="24"/>
        </w:rPr>
        <w:t>The Politics of Child Protection: Contemporary Developments and Future Directions</w:t>
      </w:r>
      <w:r>
        <w:rPr>
          <w:rFonts w:ascii="Arial" w:eastAsia="Arial" w:hAnsi="Arial" w:cs="Arial"/>
          <w:color w:val="000000"/>
          <w:sz w:val="24"/>
          <w:szCs w:val="24"/>
        </w:rPr>
        <w:t>. London: Palgrave Macmillan.</w:t>
      </w:r>
    </w:p>
    <w:p w14:paraId="4727693B" w14:textId="77777777" w:rsidR="001E7A43"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Spratt, T. and Kennedy, M. (2021) ‘Early intervention and prevention in child welfare: Challenges and opportunities’, </w:t>
      </w:r>
      <w:r>
        <w:rPr>
          <w:rFonts w:ascii="Arial" w:eastAsia="Arial" w:hAnsi="Arial" w:cs="Arial"/>
          <w:i/>
          <w:iCs/>
          <w:color w:val="000000"/>
          <w:sz w:val="24"/>
          <w:szCs w:val="24"/>
        </w:rPr>
        <w:t>Child and Family Social Work</w:t>
      </w:r>
      <w:r>
        <w:rPr>
          <w:rFonts w:ascii="Arial" w:eastAsia="Arial" w:hAnsi="Arial" w:cs="Arial"/>
          <w:color w:val="000000"/>
          <w:sz w:val="24"/>
          <w:szCs w:val="24"/>
        </w:rPr>
        <w:t>, 26(4), pp.583–592.</w:t>
      </w:r>
    </w:p>
    <w:p w14:paraId="4DFCCEB4" w14:textId="77777777" w:rsidR="001E7A43" w:rsidRDefault="001E7A43">
      <w:pPr>
        <w:spacing w:line="360" w:lineRule="auto"/>
        <w:jc w:val="both"/>
        <w:rPr>
          <w:rFonts w:ascii="Arial" w:eastAsia="Arial" w:hAnsi="Arial" w:cs="Arial"/>
          <w:color w:val="000000"/>
          <w:sz w:val="24"/>
          <w:szCs w:val="24"/>
        </w:rPr>
      </w:pPr>
    </w:p>
    <w:p w14:paraId="7692BA29" w14:textId="77777777" w:rsidR="001E7A43" w:rsidRDefault="001E7A43">
      <w:pPr>
        <w:spacing w:line="360" w:lineRule="auto"/>
        <w:jc w:val="both"/>
        <w:rPr>
          <w:rFonts w:ascii="Arial" w:eastAsia="Arial" w:hAnsi="Arial" w:cs="Arial"/>
          <w:color w:val="000000"/>
          <w:sz w:val="24"/>
          <w:szCs w:val="24"/>
        </w:rPr>
      </w:pPr>
    </w:p>
    <w:sectPr w:rsidR="001E7A43">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28C14" w14:textId="77777777" w:rsidR="008B4443" w:rsidRDefault="008B4443">
      <w:pPr>
        <w:spacing w:after="0" w:line="240" w:lineRule="auto"/>
      </w:pPr>
      <w:r>
        <w:separator/>
      </w:r>
    </w:p>
  </w:endnote>
  <w:endnote w:type="continuationSeparator" w:id="0">
    <w:p w14:paraId="70E66662" w14:textId="77777777" w:rsidR="008B4443" w:rsidRDefault="008B4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82FC9EB0-6BE2-41B3-9A84-41CFA7823426}"/>
    <w:embedBold r:id="rId2" w:fontKey="{EF2C3C1A-3A69-4B22-B643-523F04BA1A21}"/>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F3D3B01F-E50F-4891-B7C3-9B790E5C83F1}"/>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48E639AD-8815-44D6-955B-5198183791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3663E" w14:textId="77777777" w:rsidR="001E7A43"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64192">
      <w:rPr>
        <w:noProof/>
        <w:color w:val="000000"/>
      </w:rPr>
      <w:t>1</w:t>
    </w:r>
    <w:r>
      <w:rPr>
        <w:color w:val="000000"/>
      </w:rPr>
      <w:fldChar w:fldCharType="end"/>
    </w:r>
  </w:p>
  <w:p w14:paraId="6746172A" w14:textId="77777777" w:rsidR="001E7A43" w:rsidRDefault="001E7A4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C893D" w14:textId="77777777" w:rsidR="008B4443" w:rsidRDefault="008B4443">
      <w:pPr>
        <w:spacing w:after="0" w:line="240" w:lineRule="auto"/>
      </w:pPr>
      <w:r>
        <w:separator/>
      </w:r>
    </w:p>
  </w:footnote>
  <w:footnote w:type="continuationSeparator" w:id="0">
    <w:p w14:paraId="2418F960" w14:textId="77777777" w:rsidR="008B4443" w:rsidRDefault="008B44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A43"/>
    <w:rsid w:val="001E7A43"/>
    <w:rsid w:val="00564192"/>
    <w:rsid w:val="005F48F1"/>
    <w:rsid w:val="008B4443"/>
    <w:rsid w:val="00C009B4"/>
    <w:rsid w:val="00D64EBB"/>
    <w:rsid w:val="00E41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9A2ED"/>
  <w15:docId w15:val="{7AF999DF-3EB9-482A-B012-0A2F53BC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D64EBB"/>
    <w:pPr>
      <w:spacing w:after="100"/>
    </w:pPr>
  </w:style>
  <w:style w:type="character" w:styleId="Hyperlink">
    <w:name w:val="Hyperlink"/>
    <w:basedOn w:val="DefaultParagraphFont"/>
    <w:uiPriority w:val="99"/>
    <w:unhideWhenUsed/>
    <w:rsid w:val="00D64E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7E8FD-9AA1-464A-9F75-C78A5EDC2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2571</Words>
  <Characters>14660</Characters>
  <Application>Microsoft Office Word</Application>
  <DocSecurity>0</DocSecurity>
  <Lines>122</Lines>
  <Paragraphs>34</Paragraphs>
  <ScaleCrop>false</ScaleCrop>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Ndeye rokheya Bop</dc:creator>
  <cp:lastModifiedBy>Ndeye rokheya Bop</cp:lastModifiedBy>
  <cp:revision>3</cp:revision>
  <dcterms:created xsi:type="dcterms:W3CDTF">2026-08-04T06:19:00Z</dcterms:created>
  <dcterms:modified xsi:type="dcterms:W3CDTF">2026-08-04T07:37:00Z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ac5c1473-22be-47d6-9cb2-e073d6248d4d</vt:lpwstr>
  </property>
</Properties>
</file>