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bookmarkStart w:id="0" w:name="_Hlk203294555"/>
      <w:bookmarkEnd w:id="0"/>
      <w:r>
        <w:rPr>
          <w:noProof/>
        </w:rPr>
        <w:drawing>
          <wp:anchor distT="0" distB="0" distL="114300" distR="114300" simplePos="0" relativeHeight="251658240" behindDoc="1" locked="0" layoutInCell="1" allowOverlap="1" wp14:anchorId="28585CD4" wp14:editId="1E353A8E">
            <wp:simplePos x="0" y="0"/>
            <wp:positionH relativeFrom="margin">
              <wp:align>center</wp:align>
            </wp:positionH>
            <wp:positionV relativeFrom="paragraph">
              <wp:posOffset>11430</wp:posOffset>
            </wp:positionV>
            <wp:extent cx="4152900" cy="1089660"/>
            <wp:effectExtent l="0" t="0" r="0" b="0"/>
            <wp:wrapTight wrapText="bothSides">
              <wp:wrapPolygon edited="0">
                <wp:start x="892" y="3399"/>
                <wp:lineTo x="892" y="11329"/>
                <wp:lineTo x="1883" y="16238"/>
                <wp:lineTo x="2378" y="17748"/>
                <wp:lineTo x="12980" y="17748"/>
                <wp:lineTo x="12980" y="16238"/>
                <wp:lineTo x="14862" y="16238"/>
                <wp:lineTo x="17339" y="12839"/>
                <wp:lineTo x="17240" y="10196"/>
                <wp:lineTo x="21303" y="8685"/>
                <wp:lineTo x="21402" y="5287"/>
                <wp:lineTo x="19321" y="3399"/>
                <wp:lineTo x="892" y="3399"/>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089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396377" w14:textId="74AF5F5A" w:rsidR="00063B4C" w:rsidRDefault="00063B4C"/>
    <w:p w14:paraId="00DE7510" w14:textId="684CC594" w:rsidR="00063B4C" w:rsidRDefault="00063B4C"/>
    <w:p w14:paraId="62B6C1AB" w14:textId="77777777" w:rsidR="00063B4C" w:rsidRDefault="00063B4C"/>
    <w:p w14:paraId="4BD32C57" w14:textId="2FA64C13" w:rsidR="00063B4C" w:rsidRPr="00063B4C" w:rsidRDefault="00063B4C" w:rsidP="003E58B0">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3E58B0">
      <w:pPr>
        <w:pStyle w:val="BodyText"/>
        <w:jc w:val="both"/>
        <w:rPr>
          <w:rFonts w:ascii="Aptos" w:hAnsi="Aptos" w:cs="Arial"/>
          <w:sz w:val="20"/>
        </w:rPr>
      </w:pPr>
    </w:p>
    <w:p w14:paraId="3BB39D3F" w14:textId="77777777" w:rsidR="003E58B0" w:rsidRDefault="00063B4C" w:rsidP="003E58B0">
      <w:pPr>
        <w:spacing w:line="813" w:lineRule="exact"/>
        <w:rPr>
          <w:rFonts w:cs="Arial"/>
          <w:sz w:val="60"/>
          <w:szCs w:val="60"/>
        </w:rPr>
      </w:pPr>
      <w:r w:rsidRPr="00063B4C">
        <w:rPr>
          <w:rFonts w:cs="Arial"/>
          <w:sz w:val="60"/>
          <w:szCs w:val="60"/>
        </w:rPr>
        <w:t>BSc (Hons) Health and Social Care</w:t>
      </w:r>
    </w:p>
    <w:p w14:paraId="5B270734" w14:textId="220F8FE4" w:rsidR="00063B4C" w:rsidRDefault="00063B4C" w:rsidP="005E5036">
      <w:pPr>
        <w:spacing w:line="813" w:lineRule="exact"/>
        <w:jc w:val="center"/>
      </w:pPr>
      <w:r w:rsidRPr="00063B4C">
        <w:rPr>
          <w:rFonts w:cs="Arial"/>
          <w:sz w:val="60"/>
          <w:szCs w:val="60"/>
        </w:rPr>
        <w:br/>
      </w:r>
      <w:r w:rsidRPr="00063B4C">
        <w:rPr>
          <w:rFonts w:cs="Arial"/>
          <w:sz w:val="70"/>
          <w:szCs w:val="70"/>
        </w:rPr>
        <w:t>DISSERTATION</w:t>
      </w:r>
    </w:p>
    <w:p w14:paraId="2C0F81B3" w14:textId="77777777" w:rsidR="00995444" w:rsidRDefault="00995444" w:rsidP="00995444">
      <w:pPr>
        <w:pStyle w:val="Heading1"/>
        <w:ind w:left="0"/>
        <w:rPr>
          <w:rFonts w:ascii="Aptos" w:hAnsi="Aptos" w:cs="Arial"/>
        </w:rPr>
      </w:pPr>
    </w:p>
    <w:p w14:paraId="6D29CD44" w14:textId="75C545B1" w:rsidR="00063B4C" w:rsidRPr="003B5BA2" w:rsidRDefault="00063B4C" w:rsidP="00995444">
      <w:pPr>
        <w:pStyle w:val="Heading1"/>
        <w:ind w:left="0"/>
        <w:rPr>
          <w:rFonts w:cs="Arial"/>
        </w:rPr>
      </w:pPr>
      <w:bookmarkStart w:id="1" w:name="_Toc204256354"/>
      <w:r w:rsidRPr="003B5BA2">
        <w:rPr>
          <w:rFonts w:cs="Arial"/>
        </w:rPr>
        <w:t>Disclaimer</w:t>
      </w:r>
      <w:bookmarkEnd w:id="1"/>
    </w:p>
    <w:p w14:paraId="2E1C9484" w14:textId="475C79BF"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E82C18" w:rsidRPr="00063B4C">
        <w:rPr>
          <w:rFonts w:cs="Arial"/>
          <w:sz w:val="20"/>
        </w:rPr>
        <w:t>statement,</w:t>
      </w:r>
      <w:r w:rsidRPr="00063B4C">
        <w:rPr>
          <w:rFonts w:cs="Arial"/>
          <w:sz w:val="20"/>
        </w:rPr>
        <w:t xml:space="preserve"> if necessary, make variations to the content or methods of delivery of programmes of study,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620048A3" w:rsidR="005E5036" w:rsidRDefault="005E5036" w:rsidP="00604A87">
      <w:pPr>
        <w:rPr>
          <w:rFonts w:eastAsia="Times New Roman" w:cs="Arial"/>
          <w:b/>
          <w:sz w:val="28"/>
          <w:szCs w:val="28"/>
        </w:rPr>
      </w:pPr>
    </w:p>
    <w:p w14:paraId="3FEF7CD7" w14:textId="77777777" w:rsidR="005E5036" w:rsidRDefault="005E5036">
      <w:pPr>
        <w:spacing w:line="259" w:lineRule="auto"/>
        <w:jc w:val="left"/>
        <w:rPr>
          <w:rFonts w:eastAsia="Times New Roman" w:cs="Arial"/>
          <w:b/>
          <w:sz w:val="28"/>
          <w:szCs w:val="28"/>
        </w:rPr>
      </w:pPr>
      <w:r>
        <w:rPr>
          <w:rFonts w:eastAsia="Times New Roman" w:cs="Arial"/>
          <w:b/>
          <w:sz w:val="28"/>
          <w:szCs w:val="28"/>
        </w:rPr>
        <w:br w:type="page"/>
      </w:r>
    </w:p>
    <w:p w14:paraId="619525F6" w14:textId="77777777" w:rsidR="005E5036" w:rsidRPr="00875F1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i/>
          <w:iCs/>
          <w:sz w:val="52"/>
          <w:szCs w:val="52"/>
        </w:rPr>
      </w:pPr>
      <w:r w:rsidRPr="00875F14">
        <w:rPr>
          <w:rFonts w:eastAsia="Arial Unicode MS" w:cs="Arial"/>
          <w:b/>
          <w:bCs/>
          <w:i/>
          <w:iCs/>
          <w:sz w:val="52"/>
          <w:szCs w:val="52"/>
        </w:rPr>
        <w:lastRenderedPageBreak/>
        <w:t>How does the quality of care received by patients with dementia compare between those in care homes and those living at home in the UK?</w:t>
      </w:r>
    </w:p>
    <w:p w14:paraId="31DE30C0" w14:textId="77777777" w:rsidR="005E5036"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i/>
          <w:iCs/>
          <w:sz w:val="56"/>
          <w:szCs w:val="56"/>
        </w:rPr>
      </w:pPr>
    </w:p>
    <w:p w14:paraId="3400FC2F" w14:textId="77777777" w:rsidR="005E5036" w:rsidRPr="00875F1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i/>
          <w:iCs/>
          <w:sz w:val="52"/>
          <w:szCs w:val="52"/>
        </w:rPr>
      </w:pPr>
      <w:r w:rsidRPr="00875F14">
        <w:rPr>
          <w:rFonts w:eastAsia="Arial Unicode MS" w:cs="Arial"/>
          <w:b/>
          <w:bCs/>
          <w:i/>
          <w:iCs/>
          <w:sz w:val="52"/>
          <w:szCs w:val="52"/>
        </w:rPr>
        <w:t>By</w:t>
      </w:r>
    </w:p>
    <w:p w14:paraId="24D76706" w14:textId="77777777" w:rsidR="005E5036" w:rsidRPr="00875F1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2"/>
          <w:szCs w:val="52"/>
        </w:rPr>
      </w:pPr>
      <w:r w:rsidRPr="00875F14">
        <w:rPr>
          <w:rFonts w:eastAsia="Arial Unicode MS" w:cs="Arial"/>
          <w:b/>
          <w:sz w:val="52"/>
          <w:szCs w:val="52"/>
        </w:rPr>
        <w:t xml:space="preserve">Franceline FANCEY </w:t>
      </w:r>
    </w:p>
    <w:p w14:paraId="769823BF" w14:textId="77777777" w:rsidR="005E5036" w:rsidRPr="00875F1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2"/>
          <w:szCs w:val="52"/>
        </w:rPr>
      </w:pPr>
      <w:r w:rsidRPr="00875F14">
        <w:rPr>
          <w:rFonts w:eastAsia="Arial Unicode MS" w:cs="Arial"/>
          <w:b/>
          <w:sz w:val="52"/>
          <w:szCs w:val="52"/>
        </w:rPr>
        <w:t>2129818</w:t>
      </w:r>
    </w:p>
    <w:p w14:paraId="45A05D08" w14:textId="77777777" w:rsidR="005E5036" w:rsidRPr="0099544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41DE57B" w14:textId="77777777" w:rsidR="005E5036" w:rsidRPr="0099544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79F976E6" w14:textId="77777777" w:rsidR="005E5036" w:rsidRPr="0099544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2533FE0" w14:textId="77777777" w:rsidR="005E5036" w:rsidRPr="0099544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7EC66AFC" w14:textId="77777777" w:rsidR="005E5036" w:rsidRPr="00995444" w:rsidRDefault="005E5036" w:rsidP="005E5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r>
        <w:rPr>
          <w:rFonts w:eastAsia="Arial Unicode MS" w:cs="Arial"/>
          <w:sz w:val="40"/>
          <w:szCs w:val="40"/>
        </w:rPr>
        <w:t>.</w:t>
      </w:r>
    </w:p>
    <w:p w14:paraId="701B2B7C" w14:textId="77777777" w:rsidR="005E5036" w:rsidRDefault="005E5036" w:rsidP="00604A87">
      <w:pPr>
        <w:rPr>
          <w:rFonts w:eastAsia="Times New Roman" w:cs="Arial"/>
          <w:b/>
          <w:sz w:val="28"/>
          <w:szCs w:val="28"/>
        </w:rPr>
      </w:pPr>
    </w:p>
    <w:p w14:paraId="3492E4C4" w14:textId="36B20AA1"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0CAA577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r w:rsidR="003B5BA2">
        <w:rPr>
          <w:rFonts w:eastAsia="Times New Roman" w:cs="Arial"/>
        </w:rPr>
        <w:t>.</w:t>
      </w:r>
    </w:p>
    <w:p w14:paraId="67BE4FDB" w14:textId="2B9F0324" w:rsidR="00CC450F" w:rsidRPr="00604A87" w:rsidRDefault="00CC450F" w:rsidP="00CC450F">
      <w:pPr>
        <w:rPr>
          <w:rFonts w:eastAsia="Times New Roman" w:cs="Arial"/>
        </w:rPr>
      </w:pPr>
      <w:r w:rsidRPr="00604A87">
        <w:rPr>
          <w:rFonts w:eastAsia="Times New Roman" w:cs="Arial"/>
        </w:rPr>
        <w:t>Signed</w:t>
      </w:r>
      <w:r>
        <w:rPr>
          <w:rFonts w:eastAsia="Times New Roman" w:cs="Arial"/>
        </w:rPr>
        <w:t>…</w:t>
      </w:r>
      <w:r w:rsidRPr="00CC450F">
        <w:rPr>
          <w:rFonts w:eastAsia="Times New Roman" w:cs="Arial"/>
          <w:b/>
          <w:bCs/>
        </w:rPr>
        <w:t>Franceline Fancey</w:t>
      </w:r>
      <w:r w:rsidR="0019361E">
        <w:rPr>
          <w:rFonts w:eastAsia="Times New Roman" w:cs="Arial"/>
          <w:b/>
          <w:bCs/>
        </w:rPr>
        <w:t xml:space="preserve"> </w:t>
      </w:r>
    </w:p>
    <w:p w14:paraId="0B0A8357" w14:textId="77777777" w:rsidR="00CC450F" w:rsidRPr="00604A87" w:rsidRDefault="00CC450F" w:rsidP="00CC450F">
      <w:pPr>
        <w:rPr>
          <w:rFonts w:eastAsia="Times New Roman" w:cs="Arial"/>
        </w:rPr>
      </w:pPr>
      <w:r w:rsidRPr="00604A87">
        <w:rPr>
          <w:rFonts w:eastAsia="Times New Roman" w:cs="Arial"/>
        </w:rPr>
        <w:t>Date…</w:t>
      </w:r>
      <w:r w:rsidRPr="00CC450F">
        <w:rPr>
          <w:rFonts w:eastAsia="Times New Roman" w:cs="Arial"/>
          <w:b/>
          <w:bCs/>
        </w:rPr>
        <w:t>21/07/2025</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1F7E55D" w14:textId="0B41E8DA" w:rsidR="00CC450F" w:rsidRPr="00604A87" w:rsidRDefault="00CC450F" w:rsidP="00CC450F">
      <w:pPr>
        <w:rPr>
          <w:rFonts w:eastAsia="Times New Roman" w:cs="Arial"/>
        </w:rPr>
      </w:pPr>
      <w:r w:rsidRPr="00604A87">
        <w:rPr>
          <w:rFonts w:eastAsia="Times New Roman" w:cs="Arial"/>
        </w:rPr>
        <w:t>Signed</w:t>
      </w:r>
      <w:r>
        <w:rPr>
          <w:rFonts w:eastAsia="Times New Roman" w:cs="Arial"/>
        </w:rPr>
        <w:t>…</w:t>
      </w:r>
      <w:r w:rsidRPr="00CC450F">
        <w:rPr>
          <w:rFonts w:eastAsia="Times New Roman" w:cs="Arial"/>
          <w:b/>
          <w:bCs/>
        </w:rPr>
        <w:t>Franceline Fancey</w:t>
      </w:r>
    </w:p>
    <w:p w14:paraId="0E26EE7D" w14:textId="77777777" w:rsidR="00CC450F" w:rsidRPr="00604A87" w:rsidRDefault="00CC450F" w:rsidP="00CC450F">
      <w:pPr>
        <w:rPr>
          <w:rFonts w:eastAsia="Times New Roman" w:cs="Arial"/>
        </w:rPr>
      </w:pPr>
      <w:r w:rsidRPr="00604A87">
        <w:rPr>
          <w:rFonts w:eastAsia="Times New Roman" w:cs="Arial"/>
        </w:rPr>
        <w:t>Date…</w:t>
      </w:r>
      <w:r w:rsidRPr="00CC450F">
        <w:rPr>
          <w:rFonts w:eastAsia="Times New Roman" w:cs="Arial"/>
          <w:b/>
          <w:bCs/>
        </w:rPr>
        <w:t>21/07/2025</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2D5D60F8" w14:textId="77777777" w:rsidR="00CC450F" w:rsidRPr="00604A87" w:rsidRDefault="00CC450F" w:rsidP="00CC450F">
      <w:pPr>
        <w:rPr>
          <w:rFonts w:eastAsia="Times New Roman" w:cs="Arial"/>
        </w:rPr>
      </w:pPr>
      <w:r w:rsidRPr="00604A87">
        <w:rPr>
          <w:rFonts w:eastAsia="Times New Roman" w:cs="Arial"/>
        </w:rPr>
        <w:t>Signed</w:t>
      </w:r>
      <w:r>
        <w:rPr>
          <w:rFonts w:eastAsia="Times New Roman" w:cs="Arial"/>
        </w:rPr>
        <w:t>…</w:t>
      </w:r>
      <w:r w:rsidRPr="00CC450F">
        <w:rPr>
          <w:rFonts w:eastAsia="Times New Roman" w:cs="Arial"/>
          <w:b/>
          <w:bCs/>
        </w:rPr>
        <w:t>Franceline Fancey</w:t>
      </w:r>
    </w:p>
    <w:p w14:paraId="725DE50E" w14:textId="77777777" w:rsidR="00CC450F" w:rsidRPr="00604A87" w:rsidRDefault="00CC450F" w:rsidP="00CC450F">
      <w:pPr>
        <w:rPr>
          <w:rFonts w:eastAsia="Times New Roman" w:cs="Arial"/>
        </w:rPr>
      </w:pPr>
      <w:r w:rsidRPr="00604A87">
        <w:rPr>
          <w:rFonts w:eastAsia="Times New Roman" w:cs="Arial"/>
        </w:rPr>
        <w:t>Date…</w:t>
      </w:r>
      <w:r w:rsidRPr="00CC450F">
        <w:rPr>
          <w:rFonts w:eastAsia="Times New Roman" w:cs="Arial"/>
          <w:b/>
          <w:bCs/>
        </w:rPr>
        <w:t>21/07/2025</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1729378F" w14:textId="77777777" w:rsidR="00CC450F" w:rsidRPr="00604A87" w:rsidRDefault="00CC450F" w:rsidP="00CC450F">
      <w:pPr>
        <w:rPr>
          <w:rFonts w:eastAsia="Times New Roman" w:cs="Arial"/>
        </w:rPr>
      </w:pPr>
      <w:r w:rsidRPr="00604A87">
        <w:rPr>
          <w:rFonts w:eastAsia="Times New Roman" w:cs="Arial"/>
        </w:rPr>
        <w:t>Signed</w:t>
      </w:r>
      <w:r>
        <w:rPr>
          <w:rFonts w:eastAsia="Times New Roman" w:cs="Arial"/>
        </w:rPr>
        <w:t>…</w:t>
      </w:r>
      <w:r w:rsidRPr="00CC450F">
        <w:rPr>
          <w:rFonts w:eastAsia="Times New Roman" w:cs="Arial"/>
          <w:b/>
          <w:bCs/>
        </w:rPr>
        <w:t>Franceline Fancey</w:t>
      </w:r>
    </w:p>
    <w:p w14:paraId="23452AF7" w14:textId="77777777" w:rsidR="00CC450F" w:rsidRPr="00604A87" w:rsidRDefault="00CC450F" w:rsidP="00CC450F">
      <w:pPr>
        <w:rPr>
          <w:rFonts w:eastAsia="Times New Roman" w:cs="Arial"/>
        </w:rPr>
      </w:pPr>
      <w:r w:rsidRPr="00604A87">
        <w:rPr>
          <w:rFonts w:eastAsia="Times New Roman" w:cs="Arial"/>
        </w:rPr>
        <w:t>Date…</w:t>
      </w:r>
      <w:r w:rsidRPr="00CC450F">
        <w:rPr>
          <w:rFonts w:eastAsia="Times New Roman" w:cs="Arial"/>
          <w:b/>
          <w:bCs/>
        </w:rPr>
        <w:t>21/07/2025</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2F8DFA2E" w14:textId="77777777" w:rsidR="00CC450F" w:rsidRPr="00604A87" w:rsidRDefault="00CC450F" w:rsidP="00CC450F">
      <w:pPr>
        <w:rPr>
          <w:rFonts w:eastAsia="Times New Roman" w:cs="Arial"/>
        </w:rPr>
      </w:pPr>
      <w:r w:rsidRPr="00604A87">
        <w:rPr>
          <w:rFonts w:eastAsia="Times New Roman" w:cs="Arial"/>
        </w:rPr>
        <w:t>Signed</w:t>
      </w:r>
      <w:r>
        <w:rPr>
          <w:rFonts w:eastAsia="Times New Roman" w:cs="Arial"/>
        </w:rPr>
        <w:t>…</w:t>
      </w:r>
      <w:r w:rsidRPr="00CC450F">
        <w:rPr>
          <w:rFonts w:eastAsia="Times New Roman" w:cs="Arial"/>
          <w:b/>
          <w:bCs/>
        </w:rPr>
        <w:t>Franceline Fancey</w:t>
      </w:r>
    </w:p>
    <w:p w14:paraId="74C3963E" w14:textId="77777777" w:rsidR="00CC450F" w:rsidRPr="00604A87" w:rsidRDefault="00CC450F" w:rsidP="00CC450F">
      <w:pPr>
        <w:rPr>
          <w:rFonts w:eastAsia="Times New Roman" w:cs="Arial"/>
        </w:rPr>
      </w:pPr>
      <w:r w:rsidRPr="00604A87">
        <w:rPr>
          <w:rFonts w:eastAsia="Times New Roman" w:cs="Arial"/>
        </w:rPr>
        <w:t>Date…</w:t>
      </w:r>
      <w:r w:rsidRPr="00CC450F">
        <w:rPr>
          <w:rFonts w:eastAsia="Times New Roman" w:cs="Arial"/>
          <w:b/>
          <w:bCs/>
        </w:rPr>
        <w:t>21/07/2025</w:t>
      </w:r>
    </w:p>
    <w:p w14:paraId="03004EEE" w14:textId="77777777" w:rsidR="00063B4C" w:rsidRDefault="00063B4C"/>
    <w:p w14:paraId="65358A57" w14:textId="77777777" w:rsidR="00995444" w:rsidRDefault="00995444"/>
    <w:p w14:paraId="0F4A849F" w14:textId="1DE73F65" w:rsidR="00995444"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rPr>
      </w:pPr>
      <w:r w:rsidRPr="00995444">
        <w:rPr>
          <w:rFonts w:eastAsia="Arial Unicode MS" w:cs="Arial"/>
          <w:b/>
          <w:sz w:val="28"/>
          <w:szCs w:val="28"/>
        </w:rPr>
        <w:t>ACKNOWLEDGEMENTS</w:t>
      </w:r>
      <w:r w:rsidRPr="0025020C">
        <w:rPr>
          <w:rFonts w:eastAsia="Arial Unicode MS" w:cs="Arial"/>
          <w:b/>
        </w:rPr>
        <w:t xml:space="preserve"> </w:t>
      </w:r>
    </w:p>
    <w:p w14:paraId="25BC6133" w14:textId="77777777" w:rsidR="00875F14" w:rsidRPr="0025020C" w:rsidRDefault="00875F1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p>
    <w:p w14:paraId="66EF8FB9" w14:textId="16B98325" w:rsidR="00875F14" w:rsidRPr="00875F14" w:rsidRDefault="00875F14" w:rsidP="00875F14">
      <w:pPr>
        <w:jc w:val="center"/>
        <w:rPr>
          <w:i/>
          <w:iCs/>
          <w:lang w:eastAsia="en-GB"/>
        </w:rPr>
      </w:pPr>
      <w:r w:rsidRPr="00875F14">
        <w:rPr>
          <w:u w:val="single"/>
          <w:lang w:eastAsia="en-GB"/>
        </w:rPr>
        <w:t>Psalm 71:16</w:t>
      </w:r>
      <w:r>
        <w:rPr>
          <w:lang w:eastAsia="en-GB"/>
        </w:rPr>
        <w:t xml:space="preserve"> reminds me that </w:t>
      </w:r>
      <w:r w:rsidRPr="00875F14">
        <w:rPr>
          <w:i/>
          <w:iCs/>
          <w:lang w:eastAsia="en-GB"/>
        </w:rPr>
        <w:t>“I will go in the strength of the Lord God”</w:t>
      </w:r>
    </w:p>
    <w:p w14:paraId="090DEF7D" w14:textId="3FC24E24" w:rsidR="00DE42C8" w:rsidRDefault="00DE42C8" w:rsidP="00DE42C8">
      <w:pPr>
        <w:rPr>
          <w:lang w:eastAsia="en-GB"/>
        </w:rPr>
      </w:pPr>
      <w:r>
        <w:rPr>
          <w:lang w:eastAsia="en-GB"/>
        </w:rPr>
        <w:t>I sincerely thank God for providing me with the strength</w:t>
      </w:r>
      <w:r w:rsidR="00D63A22">
        <w:rPr>
          <w:lang w:eastAsia="en-GB"/>
        </w:rPr>
        <w:t xml:space="preserve"> that has seen me </w:t>
      </w:r>
      <w:r>
        <w:rPr>
          <w:lang w:eastAsia="en-GB"/>
        </w:rPr>
        <w:t>throughout this journey.</w:t>
      </w:r>
    </w:p>
    <w:p w14:paraId="5ADF4CDB" w14:textId="6724B6D3" w:rsidR="00DE42C8" w:rsidRDefault="00DE42C8" w:rsidP="00DE42C8">
      <w:pPr>
        <w:rPr>
          <w:lang w:eastAsia="en-GB"/>
        </w:rPr>
      </w:pPr>
      <w:r>
        <w:rPr>
          <w:lang w:eastAsia="en-GB"/>
        </w:rPr>
        <w:t xml:space="preserve">I sincerely thank my amazing husband for his endless patience, love, and </w:t>
      </w:r>
      <w:r w:rsidR="00D63A22">
        <w:rPr>
          <w:lang w:eastAsia="en-GB"/>
        </w:rPr>
        <w:t>immense</w:t>
      </w:r>
      <w:r>
        <w:rPr>
          <w:lang w:eastAsia="en-GB"/>
        </w:rPr>
        <w:t xml:space="preserve"> support. I am also grateful to my four children, my parents, and my beloved mother-in-law, who </w:t>
      </w:r>
      <w:r w:rsidR="00D63A22">
        <w:rPr>
          <w:lang w:eastAsia="en-GB"/>
        </w:rPr>
        <w:t>passed away during my second academic year, leaving</w:t>
      </w:r>
      <w:r>
        <w:rPr>
          <w:lang w:eastAsia="en-GB"/>
        </w:rPr>
        <w:t xml:space="preserve"> a void that words cannot describe. </w:t>
      </w:r>
    </w:p>
    <w:p w14:paraId="3EBAD52D" w14:textId="332F9D7C" w:rsidR="00B07D04" w:rsidRPr="00B07D04" w:rsidRDefault="00DE42C8" w:rsidP="00E87C76">
      <w:pPr>
        <w:rPr>
          <w:lang w:eastAsia="en-GB"/>
        </w:rPr>
      </w:pPr>
      <w:r>
        <w:rPr>
          <w:lang w:eastAsia="en-GB"/>
        </w:rPr>
        <w:t>I also thank all my Level 6 lecturers for their support and inspiration, as well as the librarians for their assistance during my research process.</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16D78A60" w14:textId="77777777" w:rsidR="0073280B" w:rsidRDefault="0073280B"/>
    <w:p w14:paraId="3DA0E374" w14:textId="77777777" w:rsidR="003E58B0" w:rsidRDefault="003E58B0"/>
    <w:p w14:paraId="70626517" w14:textId="77777777" w:rsidR="00875F14" w:rsidRDefault="00875F14"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45368A3B" w14:textId="77777777" w:rsidR="001E631D" w:rsidRDefault="001E631D"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AAA4214" w14:textId="77777777" w:rsidR="001E631D" w:rsidRDefault="001E631D"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310D40A5" w14:textId="7A74A886" w:rsidR="0073280B" w:rsidRPr="0025020C" w:rsidRDefault="0073280B" w:rsidP="00B152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p>
    <w:p w14:paraId="39E767A2" w14:textId="5285CA68" w:rsidR="00303C67" w:rsidRDefault="00303C67" w:rsidP="00303C67">
      <w:r>
        <w:t xml:space="preserve">This dissertation critically examines </w:t>
      </w:r>
      <w:r>
        <w:t xml:space="preserve">the </w:t>
      </w:r>
      <w:r>
        <w:t xml:space="preserve">comparative quality of care for </w:t>
      </w:r>
      <w:r>
        <w:t>individuals with dementia in care homes versus</w:t>
      </w:r>
      <w:r>
        <w:t xml:space="preserve"> those receiving care at home across the United Kingdom. It considers the </w:t>
      </w:r>
      <w:r>
        <w:t xml:space="preserve">Impact of care environments on quality of life, caregiver burden, and access to </w:t>
      </w:r>
      <w:r>
        <w:t xml:space="preserve">essential services. With the </w:t>
      </w:r>
      <w:r>
        <w:t>ageing</w:t>
      </w:r>
      <w:r>
        <w:t xml:space="preserve"> population (ONS, 2023), the prevalence of dementia rises (Alzheimer's Society, 2023; NHS England, 2023), and model assessment is now a national priority.</w:t>
      </w:r>
    </w:p>
    <w:p w14:paraId="360EAE66" w14:textId="5230570C" w:rsidR="00303C67" w:rsidRDefault="003846C8" w:rsidP="00303C67">
      <w:r>
        <w:t>A qualitative approach was employed, incorporating thematic analysis and a review of ten peer-reviewed journal articles published between 2017 and 2024. Three main themes emerged: Person-Centred Care and Quality of Life, Carer Burden and Support Systems, and Continuity and Access to Services. Evidence indicates that person-centred care enhances wellbeing, which is increasingly adopted in care homes, supported by systematic practices and tailored activities (Ballard et al., 2018; Möhler et al., 2023; Ho et al., 2021). Dementia care mapping, aromatherapy, and art interventions have all been found to be cost-effective in the care setting (Meads et al., 2020; Owen-Booth et al., 2020; Ciofi, 2021). Conversely, caregivers for home-care recipients face challenges related to emotional workload, limited access to services, and discontinuity (Cross et al., 2024; Nguyen et al., 2022). While some promising integrated home-based care systems exist, inequalities remain (Nguyen et al., 2022).</w:t>
      </w:r>
    </w:p>
    <w:p w14:paraId="4B65C5F3" w14:textId="75770E80" w:rsidR="00730C3C" w:rsidRDefault="003846C8" w:rsidP="00303C67">
      <w:r>
        <w:t>Limitations include the use of secondary data, geographical variations in services, and the underestimation of minority representation. Implications involve increased investment in training carers, implementing integrated care pathways, and promoting greater use of person-centred practices, as supported by NICE (2018), the Department of Health and Social Care (2023), and the EU Dementia Strategy (European Commission, 2021). These findings provide valuable recommendations for planning equitable and sustainable dementia care in the UK.</w:t>
      </w:r>
    </w:p>
    <w:p w14:paraId="0067A7C9" w14:textId="77777777" w:rsidR="003E58B0" w:rsidRDefault="003E58B0"/>
    <w:p w14:paraId="3E4B7A73" w14:textId="77777777" w:rsidR="00B15287" w:rsidRDefault="00B15287"/>
    <w:p w14:paraId="42AA5C40" w14:textId="77777777" w:rsidR="003B5BA2" w:rsidRDefault="003B5BA2"/>
    <w:p w14:paraId="1CC08545" w14:textId="77777777" w:rsidR="00303C67" w:rsidRDefault="00303C67"/>
    <w:p w14:paraId="50669D5F" w14:textId="77777777" w:rsidR="00303C67" w:rsidRDefault="00303C67"/>
    <w:p w14:paraId="1A453D2C" w14:textId="77777777" w:rsidR="00303C67" w:rsidRDefault="00303C67"/>
    <w:p w14:paraId="756C3EE0" w14:textId="03265590" w:rsidR="00804B94" w:rsidRPr="003B5BA2" w:rsidRDefault="00804B94" w:rsidP="003E58B0">
      <w:pPr>
        <w:pStyle w:val="Heading1"/>
        <w:spacing w:line="360" w:lineRule="auto"/>
        <w:ind w:left="0"/>
        <w:jc w:val="center"/>
        <w:rPr>
          <w:rFonts w:cs="Arial"/>
          <w:b w:val="0"/>
        </w:rPr>
      </w:pPr>
      <w:bookmarkStart w:id="2" w:name="_Toc204256355"/>
      <w:r w:rsidRPr="003B5BA2">
        <w:rPr>
          <w:rFonts w:cs="Arial"/>
        </w:rPr>
        <w:lastRenderedPageBreak/>
        <w:t>Table of Contents</w:t>
      </w:r>
      <w:bookmarkEnd w:id="2"/>
    </w:p>
    <w:sdt>
      <w:sdtPr>
        <w:rPr>
          <w:rFonts w:ascii="Arial" w:eastAsiaTheme="minorEastAsia" w:hAnsi="Arial" w:cstheme="minorBidi"/>
          <w:color w:val="auto"/>
          <w:kern w:val="2"/>
          <w:sz w:val="22"/>
          <w:szCs w:val="22"/>
          <w:lang w:val="en-GB" w:eastAsia="zh-CN"/>
          <w14:ligatures w14:val="standardContextual"/>
        </w:rPr>
        <w:id w:val="-1546988979"/>
        <w:docPartObj>
          <w:docPartGallery w:val="Table of Contents"/>
          <w:docPartUnique/>
        </w:docPartObj>
      </w:sdtPr>
      <w:sdtEndPr>
        <w:rPr>
          <w:b/>
          <w:bCs/>
          <w:noProof/>
        </w:rPr>
      </w:sdtEndPr>
      <w:sdtContent>
        <w:p w14:paraId="42663501" w14:textId="03CBEC3C" w:rsidR="0097734C" w:rsidRPr="0097734C" w:rsidRDefault="0097734C" w:rsidP="00243649">
          <w:pPr>
            <w:pStyle w:val="TOCHeading"/>
          </w:pPr>
        </w:p>
        <w:p w14:paraId="24DBA518" w14:textId="080358AE" w:rsidR="0068521A" w:rsidRDefault="0097734C">
          <w:pPr>
            <w:pStyle w:val="TOC1"/>
            <w:rPr>
              <w:rFonts w:asciiTheme="minorHAnsi" w:hAnsiTheme="minorHAnsi"/>
              <w:noProof/>
              <w:sz w:val="24"/>
              <w:szCs w:val="24"/>
              <w:lang w:eastAsia="en-GB"/>
            </w:rPr>
          </w:pPr>
          <w:r>
            <w:fldChar w:fldCharType="begin"/>
          </w:r>
          <w:r>
            <w:instrText xml:space="preserve"> TOC \o "1-3" \h \z \u </w:instrText>
          </w:r>
          <w:r>
            <w:fldChar w:fldCharType="separate"/>
          </w:r>
          <w:hyperlink w:anchor="_Toc204256354" w:history="1">
            <w:r w:rsidR="0068521A" w:rsidRPr="004F7DC0">
              <w:rPr>
                <w:rStyle w:val="Hyperlink"/>
                <w:rFonts w:cs="Arial"/>
                <w:noProof/>
                <w:lang w:bidi="en-GB"/>
              </w:rPr>
              <w:t>Disclaimer</w:t>
            </w:r>
            <w:r w:rsidR="0068521A">
              <w:rPr>
                <w:noProof/>
                <w:webHidden/>
              </w:rPr>
              <w:tab/>
            </w:r>
            <w:r w:rsidR="0068521A">
              <w:rPr>
                <w:noProof/>
                <w:webHidden/>
              </w:rPr>
              <w:fldChar w:fldCharType="begin"/>
            </w:r>
            <w:r w:rsidR="0068521A">
              <w:rPr>
                <w:noProof/>
                <w:webHidden/>
              </w:rPr>
              <w:instrText xml:space="preserve"> PAGEREF _Toc204256354 \h </w:instrText>
            </w:r>
            <w:r w:rsidR="0068521A">
              <w:rPr>
                <w:noProof/>
                <w:webHidden/>
              </w:rPr>
            </w:r>
            <w:r w:rsidR="0068521A">
              <w:rPr>
                <w:noProof/>
                <w:webHidden/>
              </w:rPr>
              <w:fldChar w:fldCharType="separate"/>
            </w:r>
            <w:r w:rsidR="0068521A">
              <w:rPr>
                <w:noProof/>
                <w:webHidden/>
              </w:rPr>
              <w:t>1</w:t>
            </w:r>
            <w:r w:rsidR="0068521A">
              <w:rPr>
                <w:noProof/>
                <w:webHidden/>
              </w:rPr>
              <w:fldChar w:fldCharType="end"/>
            </w:r>
          </w:hyperlink>
        </w:p>
        <w:p w14:paraId="19594BE2" w14:textId="21B55495" w:rsidR="0068521A" w:rsidRDefault="0068521A">
          <w:pPr>
            <w:pStyle w:val="TOC1"/>
            <w:rPr>
              <w:rFonts w:asciiTheme="minorHAnsi" w:hAnsiTheme="minorHAnsi"/>
              <w:noProof/>
              <w:sz w:val="24"/>
              <w:szCs w:val="24"/>
              <w:lang w:eastAsia="en-GB"/>
            </w:rPr>
          </w:pPr>
          <w:hyperlink w:anchor="_Toc204256355" w:history="1">
            <w:r w:rsidRPr="004F7DC0">
              <w:rPr>
                <w:rStyle w:val="Hyperlink"/>
                <w:rFonts w:cs="Arial"/>
                <w:noProof/>
                <w:lang w:bidi="en-GB"/>
              </w:rPr>
              <w:t>Table of Contents</w:t>
            </w:r>
            <w:r>
              <w:rPr>
                <w:noProof/>
                <w:webHidden/>
              </w:rPr>
              <w:tab/>
            </w:r>
            <w:r>
              <w:rPr>
                <w:noProof/>
                <w:webHidden/>
              </w:rPr>
              <w:fldChar w:fldCharType="begin"/>
            </w:r>
            <w:r>
              <w:rPr>
                <w:noProof/>
                <w:webHidden/>
              </w:rPr>
              <w:instrText xml:space="preserve"> PAGEREF _Toc204256355 \h </w:instrText>
            </w:r>
            <w:r>
              <w:rPr>
                <w:noProof/>
                <w:webHidden/>
              </w:rPr>
            </w:r>
            <w:r>
              <w:rPr>
                <w:noProof/>
                <w:webHidden/>
              </w:rPr>
              <w:fldChar w:fldCharType="separate"/>
            </w:r>
            <w:r>
              <w:rPr>
                <w:noProof/>
                <w:webHidden/>
              </w:rPr>
              <w:t>6</w:t>
            </w:r>
            <w:r>
              <w:rPr>
                <w:noProof/>
                <w:webHidden/>
              </w:rPr>
              <w:fldChar w:fldCharType="end"/>
            </w:r>
          </w:hyperlink>
        </w:p>
        <w:p w14:paraId="11C0DF7E" w14:textId="2C95479F" w:rsidR="0068521A" w:rsidRDefault="0068521A">
          <w:pPr>
            <w:pStyle w:val="TOC1"/>
            <w:rPr>
              <w:rFonts w:asciiTheme="minorHAnsi" w:hAnsiTheme="minorHAnsi"/>
              <w:noProof/>
              <w:sz w:val="24"/>
              <w:szCs w:val="24"/>
              <w:lang w:eastAsia="en-GB"/>
            </w:rPr>
          </w:pPr>
          <w:hyperlink w:anchor="_Toc204256356" w:history="1">
            <w:r w:rsidRPr="004F7DC0">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_Toc204256356 \h </w:instrText>
            </w:r>
            <w:r>
              <w:rPr>
                <w:noProof/>
                <w:webHidden/>
              </w:rPr>
            </w:r>
            <w:r>
              <w:rPr>
                <w:noProof/>
                <w:webHidden/>
              </w:rPr>
              <w:fldChar w:fldCharType="separate"/>
            </w:r>
            <w:r>
              <w:rPr>
                <w:noProof/>
                <w:webHidden/>
              </w:rPr>
              <w:t>8</w:t>
            </w:r>
            <w:r>
              <w:rPr>
                <w:noProof/>
                <w:webHidden/>
              </w:rPr>
              <w:fldChar w:fldCharType="end"/>
            </w:r>
          </w:hyperlink>
        </w:p>
        <w:p w14:paraId="2F4A95B4" w14:textId="142432E7" w:rsidR="0068521A" w:rsidRDefault="0068521A">
          <w:pPr>
            <w:pStyle w:val="TOC1"/>
            <w:rPr>
              <w:rFonts w:asciiTheme="minorHAnsi" w:hAnsiTheme="minorHAnsi"/>
              <w:noProof/>
              <w:sz w:val="24"/>
              <w:szCs w:val="24"/>
              <w:lang w:eastAsia="en-GB"/>
            </w:rPr>
          </w:pPr>
          <w:hyperlink w:anchor="_Toc204256357" w:history="1">
            <w:r w:rsidRPr="004F7DC0">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_Toc204256357 \h </w:instrText>
            </w:r>
            <w:r>
              <w:rPr>
                <w:noProof/>
                <w:webHidden/>
              </w:rPr>
            </w:r>
            <w:r>
              <w:rPr>
                <w:noProof/>
                <w:webHidden/>
              </w:rPr>
              <w:fldChar w:fldCharType="separate"/>
            </w:r>
            <w:r>
              <w:rPr>
                <w:noProof/>
                <w:webHidden/>
              </w:rPr>
              <w:t>12</w:t>
            </w:r>
            <w:r>
              <w:rPr>
                <w:noProof/>
                <w:webHidden/>
              </w:rPr>
              <w:fldChar w:fldCharType="end"/>
            </w:r>
          </w:hyperlink>
        </w:p>
        <w:p w14:paraId="5B5DE551" w14:textId="5A1792CF" w:rsidR="0068521A" w:rsidRDefault="0068521A">
          <w:pPr>
            <w:pStyle w:val="TOC1"/>
            <w:rPr>
              <w:rFonts w:asciiTheme="minorHAnsi" w:hAnsiTheme="minorHAnsi"/>
              <w:noProof/>
              <w:sz w:val="24"/>
              <w:szCs w:val="24"/>
              <w:lang w:eastAsia="en-GB"/>
            </w:rPr>
          </w:pPr>
          <w:hyperlink w:anchor="_Toc204256358" w:history="1">
            <w:r w:rsidRPr="004F7DC0">
              <w:rPr>
                <w:rStyle w:val="Hyperlink"/>
                <w:rFonts w:cs="Arial"/>
                <w:noProof/>
                <w:lang w:bidi="en-GB"/>
              </w:rPr>
              <w:t>CHAPTER 3 – Academic Methodology Poster</w:t>
            </w:r>
            <w:r>
              <w:rPr>
                <w:noProof/>
                <w:webHidden/>
              </w:rPr>
              <w:tab/>
            </w:r>
            <w:r>
              <w:rPr>
                <w:noProof/>
                <w:webHidden/>
              </w:rPr>
              <w:fldChar w:fldCharType="begin"/>
            </w:r>
            <w:r>
              <w:rPr>
                <w:noProof/>
                <w:webHidden/>
              </w:rPr>
              <w:instrText xml:space="preserve"> PAGEREF _Toc204256358 \h </w:instrText>
            </w:r>
            <w:r>
              <w:rPr>
                <w:noProof/>
                <w:webHidden/>
              </w:rPr>
            </w:r>
            <w:r>
              <w:rPr>
                <w:noProof/>
                <w:webHidden/>
              </w:rPr>
              <w:fldChar w:fldCharType="separate"/>
            </w:r>
            <w:r>
              <w:rPr>
                <w:noProof/>
                <w:webHidden/>
              </w:rPr>
              <w:t>19</w:t>
            </w:r>
            <w:r>
              <w:rPr>
                <w:noProof/>
                <w:webHidden/>
              </w:rPr>
              <w:fldChar w:fldCharType="end"/>
            </w:r>
          </w:hyperlink>
        </w:p>
        <w:p w14:paraId="3C3346D8" w14:textId="0FC2A688" w:rsidR="0068521A" w:rsidRDefault="0068521A">
          <w:pPr>
            <w:pStyle w:val="TOC2"/>
            <w:tabs>
              <w:tab w:val="right" w:leader="dot" w:pos="9016"/>
            </w:tabs>
            <w:rPr>
              <w:rFonts w:asciiTheme="minorHAnsi" w:hAnsiTheme="minorHAnsi"/>
              <w:noProof/>
              <w:sz w:val="24"/>
              <w:szCs w:val="24"/>
              <w:lang w:eastAsia="en-GB"/>
            </w:rPr>
          </w:pPr>
          <w:hyperlink w:anchor="_Toc204256359" w:history="1">
            <w:r w:rsidRPr="004F7DC0">
              <w:rPr>
                <w:rStyle w:val="Hyperlink"/>
                <w:rFonts w:cs="Arial"/>
                <w:noProof/>
              </w:rPr>
              <w:t>3.1 Academic Methodology Poster</w:t>
            </w:r>
            <w:r>
              <w:rPr>
                <w:noProof/>
                <w:webHidden/>
              </w:rPr>
              <w:tab/>
            </w:r>
            <w:r>
              <w:rPr>
                <w:noProof/>
                <w:webHidden/>
              </w:rPr>
              <w:fldChar w:fldCharType="begin"/>
            </w:r>
            <w:r>
              <w:rPr>
                <w:noProof/>
                <w:webHidden/>
              </w:rPr>
              <w:instrText xml:space="preserve"> PAGEREF _Toc204256359 \h </w:instrText>
            </w:r>
            <w:r>
              <w:rPr>
                <w:noProof/>
                <w:webHidden/>
              </w:rPr>
            </w:r>
            <w:r>
              <w:rPr>
                <w:noProof/>
                <w:webHidden/>
              </w:rPr>
              <w:fldChar w:fldCharType="separate"/>
            </w:r>
            <w:r>
              <w:rPr>
                <w:noProof/>
                <w:webHidden/>
              </w:rPr>
              <w:t>19</w:t>
            </w:r>
            <w:r>
              <w:rPr>
                <w:noProof/>
                <w:webHidden/>
              </w:rPr>
              <w:fldChar w:fldCharType="end"/>
            </w:r>
          </w:hyperlink>
        </w:p>
        <w:p w14:paraId="16318DF5" w14:textId="4CE0D188" w:rsidR="0068521A" w:rsidRDefault="0068521A">
          <w:pPr>
            <w:pStyle w:val="TOC2"/>
            <w:tabs>
              <w:tab w:val="right" w:leader="dot" w:pos="9016"/>
            </w:tabs>
            <w:rPr>
              <w:rFonts w:asciiTheme="minorHAnsi" w:hAnsiTheme="minorHAnsi"/>
              <w:noProof/>
              <w:sz w:val="24"/>
              <w:szCs w:val="24"/>
              <w:lang w:eastAsia="en-GB"/>
            </w:rPr>
          </w:pPr>
          <w:hyperlink w:anchor="_Toc204256360" w:history="1">
            <w:r w:rsidRPr="004F7DC0">
              <w:rPr>
                <w:rStyle w:val="Hyperlink"/>
                <w:rFonts w:cs="Arial"/>
                <w:noProof/>
              </w:rPr>
              <w:t>3.2 Additional Information</w:t>
            </w:r>
            <w:r>
              <w:rPr>
                <w:noProof/>
                <w:webHidden/>
              </w:rPr>
              <w:tab/>
            </w:r>
            <w:r>
              <w:rPr>
                <w:noProof/>
                <w:webHidden/>
              </w:rPr>
              <w:fldChar w:fldCharType="begin"/>
            </w:r>
            <w:r>
              <w:rPr>
                <w:noProof/>
                <w:webHidden/>
              </w:rPr>
              <w:instrText xml:space="preserve"> PAGEREF _Toc204256360 \h </w:instrText>
            </w:r>
            <w:r>
              <w:rPr>
                <w:noProof/>
                <w:webHidden/>
              </w:rPr>
            </w:r>
            <w:r>
              <w:rPr>
                <w:noProof/>
                <w:webHidden/>
              </w:rPr>
              <w:fldChar w:fldCharType="separate"/>
            </w:r>
            <w:r>
              <w:rPr>
                <w:noProof/>
                <w:webHidden/>
              </w:rPr>
              <w:t>20</w:t>
            </w:r>
            <w:r>
              <w:rPr>
                <w:noProof/>
                <w:webHidden/>
              </w:rPr>
              <w:fldChar w:fldCharType="end"/>
            </w:r>
          </w:hyperlink>
        </w:p>
        <w:p w14:paraId="061FC068" w14:textId="2D39EDDA" w:rsidR="0068521A" w:rsidRDefault="0068521A">
          <w:pPr>
            <w:pStyle w:val="TOC2"/>
            <w:tabs>
              <w:tab w:val="right" w:leader="dot" w:pos="9016"/>
            </w:tabs>
            <w:rPr>
              <w:rFonts w:asciiTheme="minorHAnsi" w:hAnsiTheme="minorHAnsi"/>
              <w:noProof/>
              <w:sz w:val="24"/>
              <w:szCs w:val="24"/>
              <w:lang w:eastAsia="en-GB"/>
            </w:rPr>
          </w:pPr>
          <w:hyperlink w:anchor="_Toc204256361" w:history="1">
            <w:r w:rsidRPr="004F7DC0">
              <w:rPr>
                <w:rStyle w:val="Hyperlink"/>
                <w:rFonts w:cs="Arial"/>
                <w:noProof/>
              </w:rPr>
              <w:t>3.2.1 – Introduction</w:t>
            </w:r>
            <w:r>
              <w:rPr>
                <w:noProof/>
                <w:webHidden/>
              </w:rPr>
              <w:tab/>
            </w:r>
            <w:r>
              <w:rPr>
                <w:noProof/>
                <w:webHidden/>
              </w:rPr>
              <w:fldChar w:fldCharType="begin"/>
            </w:r>
            <w:r>
              <w:rPr>
                <w:noProof/>
                <w:webHidden/>
              </w:rPr>
              <w:instrText xml:space="preserve"> PAGEREF _Toc204256361 \h </w:instrText>
            </w:r>
            <w:r>
              <w:rPr>
                <w:noProof/>
                <w:webHidden/>
              </w:rPr>
            </w:r>
            <w:r>
              <w:rPr>
                <w:noProof/>
                <w:webHidden/>
              </w:rPr>
              <w:fldChar w:fldCharType="separate"/>
            </w:r>
            <w:r>
              <w:rPr>
                <w:noProof/>
                <w:webHidden/>
              </w:rPr>
              <w:t>20</w:t>
            </w:r>
            <w:r>
              <w:rPr>
                <w:noProof/>
                <w:webHidden/>
              </w:rPr>
              <w:fldChar w:fldCharType="end"/>
            </w:r>
          </w:hyperlink>
        </w:p>
        <w:p w14:paraId="0B250570" w14:textId="50D8C9D8" w:rsidR="0068521A" w:rsidRDefault="0068521A">
          <w:pPr>
            <w:pStyle w:val="TOC2"/>
            <w:tabs>
              <w:tab w:val="right" w:leader="dot" w:pos="9016"/>
            </w:tabs>
            <w:rPr>
              <w:rFonts w:asciiTheme="minorHAnsi" w:hAnsiTheme="minorHAnsi"/>
              <w:noProof/>
              <w:sz w:val="24"/>
              <w:szCs w:val="24"/>
              <w:lang w:eastAsia="en-GB"/>
            </w:rPr>
          </w:pPr>
          <w:hyperlink w:anchor="_Toc204256362" w:history="1">
            <w:r w:rsidRPr="004F7DC0">
              <w:rPr>
                <w:rStyle w:val="Hyperlink"/>
                <w:rFonts w:cs="Arial"/>
                <w:noProof/>
              </w:rPr>
              <w:t>3.2.2 – Search Strategy</w:t>
            </w:r>
            <w:r>
              <w:rPr>
                <w:noProof/>
                <w:webHidden/>
              </w:rPr>
              <w:tab/>
            </w:r>
            <w:r>
              <w:rPr>
                <w:noProof/>
                <w:webHidden/>
              </w:rPr>
              <w:fldChar w:fldCharType="begin"/>
            </w:r>
            <w:r>
              <w:rPr>
                <w:noProof/>
                <w:webHidden/>
              </w:rPr>
              <w:instrText xml:space="preserve"> PAGEREF _Toc204256362 \h </w:instrText>
            </w:r>
            <w:r>
              <w:rPr>
                <w:noProof/>
                <w:webHidden/>
              </w:rPr>
            </w:r>
            <w:r>
              <w:rPr>
                <w:noProof/>
                <w:webHidden/>
              </w:rPr>
              <w:fldChar w:fldCharType="separate"/>
            </w:r>
            <w:r>
              <w:rPr>
                <w:noProof/>
                <w:webHidden/>
              </w:rPr>
              <w:t>20</w:t>
            </w:r>
            <w:r>
              <w:rPr>
                <w:noProof/>
                <w:webHidden/>
              </w:rPr>
              <w:fldChar w:fldCharType="end"/>
            </w:r>
          </w:hyperlink>
        </w:p>
        <w:p w14:paraId="264E613F" w14:textId="2FE6808F" w:rsidR="0068521A" w:rsidRDefault="0068521A">
          <w:pPr>
            <w:pStyle w:val="TOC2"/>
            <w:tabs>
              <w:tab w:val="right" w:leader="dot" w:pos="9016"/>
            </w:tabs>
            <w:rPr>
              <w:rFonts w:asciiTheme="minorHAnsi" w:hAnsiTheme="minorHAnsi"/>
              <w:noProof/>
              <w:sz w:val="24"/>
              <w:szCs w:val="24"/>
              <w:lang w:eastAsia="en-GB"/>
            </w:rPr>
          </w:pPr>
          <w:hyperlink w:anchor="_Toc204256363" w:history="1">
            <w:r w:rsidRPr="004F7DC0">
              <w:rPr>
                <w:rStyle w:val="Hyperlink"/>
                <w:rFonts w:cs="Arial"/>
                <w:noProof/>
              </w:rPr>
              <w:t>3.2.3 – Searching for Information</w:t>
            </w:r>
            <w:r>
              <w:rPr>
                <w:noProof/>
                <w:webHidden/>
              </w:rPr>
              <w:tab/>
            </w:r>
            <w:r>
              <w:rPr>
                <w:noProof/>
                <w:webHidden/>
              </w:rPr>
              <w:fldChar w:fldCharType="begin"/>
            </w:r>
            <w:r>
              <w:rPr>
                <w:noProof/>
                <w:webHidden/>
              </w:rPr>
              <w:instrText xml:space="preserve"> PAGEREF _Toc204256363 \h </w:instrText>
            </w:r>
            <w:r>
              <w:rPr>
                <w:noProof/>
                <w:webHidden/>
              </w:rPr>
            </w:r>
            <w:r>
              <w:rPr>
                <w:noProof/>
                <w:webHidden/>
              </w:rPr>
              <w:fldChar w:fldCharType="separate"/>
            </w:r>
            <w:r>
              <w:rPr>
                <w:noProof/>
                <w:webHidden/>
              </w:rPr>
              <w:t>20</w:t>
            </w:r>
            <w:r>
              <w:rPr>
                <w:noProof/>
                <w:webHidden/>
              </w:rPr>
              <w:fldChar w:fldCharType="end"/>
            </w:r>
          </w:hyperlink>
        </w:p>
        <w:p w14:paraId="27F57346" w14:textId="55C5E080" w:rsidR="0068521A" w:rsidRDefault="0068521A">
          <w:pPr>
            <w:pStyle w:val="TOC2"/>
            <w:tabs>
              <w:tab w:val="left" w:pos="960"/>
              <w:tab w:val="right" w:leader="dot" w:pos="9016"/>
            </w:tabs>
            <w:rPr>
              <w:rFonts w:asciiTheme="minorHAnsi" w:hAnsiTheme="minorHAnsi"/>
              <w:noProof/>
              <w:sz w:val="24"/>
              <w:szCs w:val="24"/>
              <w:lang w:eastAsia="en-GB"/>
            </w:rPr>
          </w:pPr>
          <w:hyperlink w:anchor="_Toc204256364" w:history="1">
            <w:r w:rsidRPr="004F7DC0">
              <w:rPr>
                <w:rStyle w:val="Hyperlink"/>
                <w:rFonts w:cs="Arial"/>
                <w:noProof/>
              </w:rPr>
              <w:t>3.2.3</w:t>
            </w:r>
            <w:r>
              <w:rPr>
                <w:rFonts w:asciiTheme="minorHAnsi" w:hAnsiTheme="minorHAnsi"/>
                <w:noProof/>
                <w:sz w:val="24"/>
                <w:szCs w:val="24"/>
                <w:lang w:eastAsia="en-GB"/>
              </w:rPr>
              <w:tab/>
            </w:r>
            <w:r w:rsidRPr="004F7DC0">
              <w:rPr>
                <w:rStyle w:val="Hyperlink"/>
                <w:rFonts w:cs="Arial"/>
                <w:noProof/>
              </w:rPr>
              <w:t>– Research Validation</w:t>
            </w:r>
            <w:r>
              <w:rPr>
                <w:noProof/>
                <w:webHidden/>
              </w:rPr>
              <w:tab/>
            </w:r>
            <w:r>
              <w:rPr>
                <w:noProof/>
                <w:webHidden/>
              </w:rPr>
              <w:fldChar w:fldCharType="begin"/>
            </w:r>
            <w:r>
              <w:rPr>
                <w:noProof/>
                <w:webHidden/>
              </w:rPr>
              <w:instrText xml:space="preserve"> PAGEREF _Toc204256364 \h </w:instrText>
            </w:r>
            <w:r>
              <w:rPr>
                <w:noProof/>
                <w:webHidden/>
              </w:rPr>
            </w:r>
            <w:r>
              <w:rPr>
                <w:noProof/>
                <w:webHidden/>
              </w:rPr>
              <w:fldChar w:fldCharType="separate"/>
            </w:r>
            <w:r>
              <w:rPr>
                <w:noProof/>
                <w:webHidden/>
              </w:rPr>
              <w:t>21</w:t>
            </w:r>
            <w:r>
              <w:rPr>
                <w:noProof/>
                <w:webHidden/>
              </w:rPr>
              <w:fldChar w:fldCharType="end"/>
            </w:r>
          </w:hyperlink>
        </w:p>
        <w:p w14:paraId="0E53FF8D" w14:textId="49AEB4FA" w:rsidR="0068521A" w:rsidRDefault="0068521A">
          <w:pPr>
            <w:pStyle w:val="TOC2"/>
            <w:tabs>
              <w:tab w:val="right" w:leader="dot" w:pos="9016"/>
            </w:tabs>
            <w:rPr>
              <w:rFonts w:asciiTheme="minorHAnsi" w:hAnsiTheme="minorHAnsi"/>
              <w:noProof/>
              <w:sz w:val="24"/>
              <w:szCs w:val="24"/>
              <w:lang w:eastAsia="en-GB"/>
            </w:rPr>
          </w:pPr>
          <w:hyperlink w:anchor="_Toc204256365" w:history="1">
            <w:r w:rsidRPr="004F7DC0">
              <w:rPr>
                <w:rStyle w:val="Hyperlink"/>
                <w:rFonts w:cs="Arial"/>
                <w:noProof/>
              </w:rPr>
              <w:t>3.2.4 - Inclusion and Exclusion Criteria</w:t>
            </w:r>
            <w:r>
              <w:rPr>
                <w:noProof/>
                <w:webHidden/>
              </w:rPr>
              <w:tab/>
            </w:r>
            <w:r>
              <w:rPr>
                <w:noProof/>
                <w:webHidden/>
              </w:rPr>
              <w:fldChar w:fldCharType="begin"/>
            </w:r>
            <w:r>
              <w:rPr>
                <w:noProof/>
                <w:webHidden/>
              </w:rPr>
              <w:instrText xml:space="preserve"> PAGEREF _Toc204256365 \h </w:instrText>
            </w:r>
            <w:r>
              <w:rPr>
                <w:noProof/>
                <w:webHidden/>
              </w:rPr>
            </w:r>
            <w:r>
              <w:rPr>
                <w:noProof/>
                <w:webHidden/>
              </w:rPr>
              <w:fldChar w:fldCharType="separate"/>
            </w:r>
            <w:r>
              <w:rPr>
                <w:noProof/>
                <w:webHidden/>
              </w:rPr>
              <w:t>21</w:t>
            </w:r>
            <w:r>
              <w:rPr>
                <w:noProof/>
                <w:webHidden/>
              </w:rPr>
              <w:fldChar w:fldCharType="end"/>
            </w:r>
          </w:hyperlink>
        </w:p>
        <w:p w14:paraId="477F83C3" w14:textId="186A65E4" w:rsidR="0068521A" w:rsidRDefault="0068521A">
          <w:pPr>
            <w:pStyle w:val="TOC2"/>
            <w:tabs>
              <w:tab w:val="left" w:pos="960"/>
              <w:tab w:val="right" w:leader="dot" w:pos="9016"/>
            </w:tabs>
            <w:rPr>
              <w:rFonts w:asciiTheme="minorHAnsi" w:hAnsiTheme="minorHAnsi"/>
              <w:noProof/>
              <w:sz w:val="24"/>
              <w:szCs w:val="24"/>
              <w:lang w:eastAsia="en-GB"/>
            </w:rPr>
          </w:pPr>
          <w:hyperlink w:anchor="_Toc204256366" w:history="1">
            <w:r w:rsidRPr="004F7DC0">
              <w:rPr>
                <w:rStyle w:val="Hyperlink"/>
                <w:rFonts w:cs="Arial"/>
                <w:noProof/>
              </w:rPr>
              <w:t>3.2.4</w:t>
            </w:r>
            <w:r>
              <w:rPr>
                <w:rFonts w:asciiTheme="minorHAnsi" w:hAnsiTheme="minorHAnsi"/>
                <w:noProof/>
                <w:sz w:val="24"/>
                <w:szCs w:val="24"/>
                <w:lang w:eastAsia="en-GB"/>
              </w:rPr>
              <w:tab/>
            </w:r>
            <w:r w:rsidRPr="004F7DC0">
              <w:rPr>
                <w:rStyle w:val="Hyperlink"/>
                <w:rFonts w:cs="Arial"/>
                <w:noProof/>
              </w:rPr>
              <w:t>– Analysing Research</w:t>
            </w:r>
            <w:r>
              <w:rPr>
                <w:noProof/>
                <w:webHidden/>
              </w:rPr>
              <w:tab/>
            </w:r>
            <w:r>
              <w:rPr>
                <w:noProof/>
                <w:webHidden/>
              </w:rPr>
              <w:fldChar w:fldCharType="begin"/>
            </w:r>
            <w:r>
              <w:rPr>
                <w:noProof/>
                <w:webHidden/>
              </w:rPr>
              <w:instrText xml:space="preserve"> PAGEREF _Toc204256366 \h </w:instrText>
            </w:r>
            <w:r>
              <w:rPr>
                <w:noProof/>
                <w:webHidden/>
              </w:rPr>
            </w:r>
            <w:r>
              <w:rPr>
                <w:noProof/>
                <w:webHidden/>
              </w:rPr>
              <w:fldChar w:fldCharType="separate"/>
            </w:r>
            <w:r>
              <w:rPr>
                <w:noProof/>
                <w:webHidden/>
              </w:rPr>
              <w:t>22</w:t>
            </w:r>
            <w:r>
              <w:rPr>
                <w:noProof/>
                <w:webHidden/>
              </w:rPr>
              <w:fldChar w:fldCharType="end"/>
            </w:r>
          </w:hyperlink>
        </w:p>
        <w:p w14:paraId="01EEAAE2" w14:textId="079A020F" w:rsidR="0068521A" w:rsidRDefault="0068521A">
          <w:pPr>
            <w:pStyle w:val="TOC2"/>
            <w:tabs>
              <w:tab w:val="right" w:leader="dot" w:pos="9016"/>
            </w:tabs>
            <w:rPr>
              <w:rFonts w:asciiTheme="minorHAnsi" w:hAnsiTheme="minorHAnsi"/>
              <w:noProof/>
              <w:sz w:val="24"/>
              <w:szCs w:val="24"/>
              <w:lang w:eastAsia="en-GB"/>
            </w:rPr>
          </w:pPr>
          <w:hyperlink w:anchor="_Toc204256367" w:history="1">
            <w:r w:rsidRPr="004F7DC0">
              <w:rPr>
                <w:rStyle w:val="Hyperlink"/>
                <w:rFonts w:cs="Arial"/>
                <w:noProof/>
              </w:rPr>
              <w:t>3.2.5 – Ethical Considerations</w:t>
            </w:r>
            <w:r>
              <w:rPr>
                <w:noProof/>
                <w:webHidden/>
              </w:rPr>
              <w:tab/>
            </w:r>
            <w:r>
              <w:rPr>
                <w:noProof/>
                <w:webHidden/>
              </w:rPr>
              <w:fldChar w:fldCharType="begin"/>
            </w:r>
            <w:r>
              <w:rPr>
                <w:noProof/>
                <w:webHidden/>
              </w:rPr>
              <w:instrText xml:space="preserve"> PAGEREF _Toc204256367 \h </w:instrText>
            </w:r>
            <w:r>
              <w:rPr>
                <w:noProof/>
                <w:webHidden/>
              </w:rPr>
            </w:r>
            <w:r>
              <w:rPr>
                <w:noProof/>
                <w:webHidden/>
              </w:rPr>
              <w:fldChar w:fldCharType="separate"/>
            </w:r>
            <w:r>
              <w:rPr>
                <w:noProof/>
                <w:webHidden/>
              </w:rPr>
              <w:t>22</w:t>
            </w:r>
            <w:r>
              <w:rPr>
                <w:noProof/>
                <w:webHidden/>
              </w:rPr>
              <w:fldChar w:fldCharType="end"/>
            </w:r>
          </w:hyperlink>
        </w:p>
        <w:p w14:paraId="3C1E47D0" w14:textId="4F016803" w:rsidR="0068521A" w:rsidRDefault="0068521A">
          <w:pPr>
            <w:pStyle w:val="TOC2"/>
            <w:tabs>
              <w:tab w:val="left" w:pos="960"/>
              <w:tab w:val="right" w:leader="dot" w:pos="9016"/>
            </w:tabs>
            <w:rPr>
              <w:rFonts w:asciiTheme="minorHAnsi" w:hAnsiTheme="minorHAnsi"/>
              <w:noProof/>
              <w:sz w:val="24"/>
              <w:szCs w:val="24"/>
              <w:lang w:eastAsia="en-GB"/>
            </w:rPr>
          </w:pPr>
          <w:hyperlink w:anchor="_Toc204256368" w:history="1">
            <w:r w:rsidRPr="004F7DC0">
              <w:rPr>
                <w:rStyle w:val="Hyperlink"/>
                <w:rFonts w:cs="Arial"/>
                <w:noProof/>
              </w:rPr>
              <w:t>3.2.5</w:t>
            </w:r>
            <w:r>
              <w:rPr>
                <w:rFonts w:asciiTheme="minorHAnsi" w:hAnsiTheme="minorHAnsi"/>
                <w:noProof/>
                <w:sz w:val="24"/>
                <w:szCs w:val="24"/>
                <w:lang w:eastAsia="en-GB"/>
              </w:rPr>
              <w:tab/>
            </w:r>
            <w:r w:rsidRPr="004F7DC0">
              <w:rPr>
                <w:rStyle w:val="Hyperlink"/>
                <w:rFonts w:cs="Arial"/>
                <w:noProof/>
              </w:rPr>
              <w:t>– Chapter Conclusion</w:t>
            </w:r>
            <w:r>
              <w:rPr>
                <w:noProof/>
                <w:webHidden/>
              </w:rPr>
              <w:tab/>
            </w:r>
            <w:r>
              <w:rPr>
                <w:noProof/>
                <w:webHidden/>
              </w:rPr>
              <w:fldChar w:fldCharType="begin"/>
            </w:r>
            <w:r>
              <w:rPr>
                <w:noProof/>
                <w:webHidden/>
              </w:rPr>
              <w:instrText xml:space="preserve"> PAGEREF _Toc204256368 \h </w:instrText>
            </w:r>
            <w:r>
              <w:rPr>
                <w:noProof/>
                <w:webHidden/>
              </w:rPr>
            </w:r>
            <w:r>
              <w:rPr>
                <w:noProof/>
                <w:webHidden/>
              </w:rPr>
              <w:fldChar w:fldCharType="separate"/>
            </w:r>
            <w:r>
              <w:rPr>
                <w:noProof/>
                <w:webHidden/>
              </w:rPr>
              <w:t>22</w:t>
            </w:r>
            <w:r>
              <w:rPr>
                <w:noProof/>
                <w:webHidden/>
              </w:rPr>
              <w:fldChar w:fldCharType="end"/>
            </w:r>
          </w:hyperlink>
        </w:p>
        <w:p w14:paraId="70B5DABE" w14:textId="14DBE15B" w:rsidR="0068521A" w:rsidRDefault="0068521A">
          <w:pPr>
            <w:pStyle w:val="TOC1"/>
            <w:rPr>
              <w:rFonts w:asciiTheme="minorHAnsi" w:hAnsiTheme="minorHAnsi"/>
              <w:noProof/>
              <w:sz w:val="24"/>
              <w:szCs w:val="24"/>
              <w:lang w:eastAsia="en-GB"/>
            </w:rPr>
          </w:pPr>
          <w:hyperlink w:anchor="_Toc204256369" w:history="1">
            <w:r w:rsidRPr="004F7DC0">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_Toc204256369 \h </w:instrText>
            </w:r>
            <w:r>
              <w:rPr>
                <w:noProof/>
                <w:webHidden/>
              </w:rPr>
            </w:r>
            <w:r>
              <w:rPr>
                <w:noProof/>
                <w:webHidden/>
              </w:rPr>
              <w:fldChar w:fldCharType="separate"/>
            </w:r>
            <w:r>
              <w:rPr>
                <w:noProof/>
                <w:webHidden/>
              </w:rPr>
              <w:t>24</w:t>
            </w:r>
            <w:r>
              <w:rPr>
                <w:noProof/>
                <w:webHidden/>
              </w:rPr>
              <w:fldChar w:fldCharType="end"/>
            </w:r>
          </w:hyperlink>
        </w:p>
        <w:p w14:paraId="0B959640" w14:textId="73A42481" w:rsidR="0068521A" w:rsidRDefault="0068521A">
          <w:pPr>
            <w:pStyle w:val="TOC2"/>
            <w:tabs>
              <w:tab w:val="right" w:leader="dot" w:pos="9016"/>
            </w:tabs>
            <w:rPr>
              <w:rFonts w:asciiTheme="minorHAnsi" w:hAnsiTheme="minorHAnsi"/>
              <w:noProof/>
              <w:sz w:val="24"/>
              <w:szCs w:val="24"/>
              <w:lang w:eastAsia="en-GB"/>
            </w:rPr>
          </w:pPr>
          <w:hyperlink w:anchor="_Toc204256370" w:history="1">
            <w:r w:rsidRPr="004F7DC0">
              <w:rPr>
                <w:rStyle w:val="Hyperlink"/>
                <w:rFonts w:cs="Arial"/>
                <w:noProof/>
              </w:rPr>
              <w:t>4.1 – Introduction</w:t>
            </w:r>
            <w:r>
              <w:rPr>
                <w:noProof/>
                <w:webHidden/>
              </w:rPr>
              <w:tab/>
            </w:r>
            <w:r>
              <w:rPr>
                <w:noProof/>
                <w:webHidden/>
              </w:rPr>
              <w:fldChar w:fldCharType="begin"/>
            </w:r>
            <w:r>
              <w:rPr>
                <w:noProof/>
                <w:webHidden/>
              </w:rPr>
              <w:instrText xml:space="preserve"> PAGEREF _Toc204256370 \h </w:instrText>
            </w:r>
            <w:r>
              <w:rPr>
                <w:noProof/>
                <w:webHidden/>
              </w:rPr>
            </w:r>
            <w:r>
              <w:rPr>
                <w:noProof/>
                <w:webHidden/>
              </w:rPr>
              <w:fldChar w:fldCharType="separate"/>
            </w:r>
            <w:r>
              <w:rPr>
                <w:noProof/>
                <w:webHidden/>
              </w:rPr>
              <w:t>24</w:t>
            </w:r>
            <w:r>
              <w:rPr>
                <w:noProof/>
                <w:webHidden/>
              </w:rPr>
              <w:fldChar w:fldCharType="end"/>
            </w:r>
          </w:hyperlink>
        </w:p>
        <w:p w14:paraId="04B1C608" w14:textId="17A45127" w:rsidR="0068521A" w:rsidRDefault="0068521A">
          <w:pPr>
            <w:pStyle w:val="TOC2"/>
            <w:tabs>
              <w:tab w:val="right" w:leader="dot" w:pos="9016"/>
            </w:tabs>
            <w:rPr>
              <w:rFonts w:asciiTheme="minorHAnsi" w:hAnsiTheme="minorHAnsi"/>
              <w:noProof/>
              <w:sz w:val="24"/>
              <w:szCs w:val="24"/>
              <w:lang w:eastAsia="en-GB"/>
            </w:rPr>
          </w:pPr>
          <w:hyperlink w:anchor="_Toc204256371" w:history="1">
            <w:r w:rsidRPr="004F7DC0">
              <w:rPr>
                <w:rStyle w:val="Hyperlink"/>
                <w:rFonts w:cs="Arial"/>
                <w:noProof/>
              </w:rPr>
              <w:t>4.2 – Thematic Analysis</w:t>
            </w:r>
            <w:r>
              <w:rPr>
                <w:noProof/>
                <w:webHidden/>
              </w:rPr>
              <w:tab/>
            </w:r>
            <w:r>
              <w:rPr>
                <w:noProof/>
                <w:webHidden/>
              </w:rPr>
              <w:fldChar w:fldCharType="begin"/>
            </w:r>
            <w:r>
              <w:rPr>
                <w:noProof/>
                <w:webHidden/>
              </w:rPr>
              <w:instrText xml:space="preserve"> PAGEREF _Toc204256371 \h </w:instrText>
            </w:r>
            <w:r>
              <w:rPr>
                <w:noProof/>
                <w:webHidden/>
              </w:rPr>
            </w:r>
            <w:r>
              <w:rPr>
                <w:noProof/>
                <w:webHidden/>
              </w:rPr>
              <w:fldChar w:fldCharType="separate"/>
            </w:r>
            <w:r>
              <w:rPr>
                <w:noProof/>
                <w:webHidden/>
              </w:rPr>
              <w:t>24</w:t>
            </w:r>
            <w:r>
              <w:rPr>
                <w:noProof/>
                <w:webHidden/>
              </w:rPr>
              <w:fldChar w:fldCharType="end"/>
            </w:r>
          </w:hyperlink>
        </w:p>
        <w:p w14:paraId="3306DDE6" w14:textId="00436465" w:rsidR="0068521A" w:rsidRDefault="0068521A">
          <w:pPr>
            <w:pStyle w:val="TOC2"/>
            <w:tabs>
              <w:tab w:val="right" w:leader="dot" w:pos="9016"/>
            </w:tabs>
            <w:rPr>
              <w:rFonts w:asciiTheme="minorHAnsi" w:hAnsiTheme="minorHAnsi"/>
              <w:noProof/>
              <w:sz w:val="24"/>
              <w:szCs w:val="24"/>
              <w:lang w:eastAsia="en-GB"/>
            </w:rPr>
          </w:pPr>
          <w:hyperlink w:anchor="_Toc204256372" w:history="1">
            <w:r w:rsidRPr="004F7DC0">
              <w:rPr>
                <w:rStyle w:val="Hyperlink"/>
                <w:rFonts w:cs="Arial"/>
                <w:noProof/>
              </w:rPr>
              <w:t>4.3 – Theme 1 Person-Centred Care and Quality of Life</w:t>
            </w:r>
            <w:r>
              <w:rPr>
                <w:noProof/>
                <w:webHidden/>
              </w:rPr>
              <w:tab/>
            </w:r>
            <w:r>
              <w:rPr>
                <w:noProof/>
                <w:webHidden/>
              </w:rPr>
              <w:fldChar w:fldCharType="begin"/>
            </w:r>
            <w:r>
              <w:rPr>
                <w:noProof/>
                <w:webHidden/>
              </w:rPr>
              <w:instrText xml:space="preserve"> PAGEREF _Toc204256372 \h </w:instrText>
            </w:r>
            <w:r>
              <w:rPr>
                <w:noProof/>
                <w:webHidden/>
              </w:rPr>
            </w:r>
            <w:r>
              <w:rPr>
                <w:noProof/>
                <w:webHidden/>
              </w:rPr>
              <w:fldChar w:fldCharType="separate"/>
            </w:r>
            <w:r>
              <w:rPr>
                <w:noProof/>
                <w:webHidden/>
              </w:rPr>
              <w:t>24</w:t>
            </w:r>
            <w:r>
              <w:rPr>
                <w:noProof/>
                <w:webHidden/>
              </w:rPr>
              <w:fldChar w:fldCharType="end"/>
            </w:r>
          </w:hyperlink>
        </w:p>
        <w:p w14:paraId="297B94DA" w14:textId="25951D9C" w:rsidR="0068521A" w:rsidRDefault="0068521A">
          <w:pPr>
            <w:pStyle w:val="TOC2"/>
            <w:tabs>
              <w:tab w:val="right" w:leader="dot" w:pos="9016"/>
            </w:tabs>
            <w:rPr>
              <w:rFonts w:asciiTheme="minorHAnsi" w:hAnsiTheme="minorHAnsi"/>
              <w:noProof/>
              <w:sz w:val="24"/>
              <w:szCs w:val="24"/>
              <w:lang w:eastAsia="en-GB"/>
            </w:rPr>
          </w:pPr>
          <w:hyperlink w:anchor="_Toc204256373" w:history="1">
            <w:r w:rsidRPr="004F7DC0">
              <w:rPr>
                <w:rStyle w:val="Hyperlink"/>
                <w:rFonts w:cs="Arial"/>
                <w:noProof/>
              </w:rPr>
              <w:t>4.4 – Theme 2: Carer Burden and Support Systems</w:t>
            </w:r>
            <w:r>
              <w:rPr>
                <w:noProof/>
                <w:webHidden/>
              </w:rPr>
              <w:tab/>
            </w:r>
            <w:r>
              <w:rPr>
                <w:noProof/>
                <w:webHidden/>
              </w:rPr>
              <w:fldChar w:fldCharType="begin"/>
            </w:r>
            <w:r>
              <w:rPr>
                <w:noProof/>
                <w:webHidden/>
              </w:rPr>
              <w:instrText xml:space="preserve"> PAGEREF _Toc204256373 \h </w:instrText>
            </w:r>
            <w:r>
              <w:rPr>
                <w:noProof/>
                <w:webHidden/>
              </w:rPr>
            </w:r>
            <w:r>
              <w:rPr>
                <w:noProof/>
                <w:webHidden/>
              </w:rPr>
              <w:fldChar w:fldCharType="separate"/>
            </w:r>
            <w:r>
              <w:rPr>
                <w:noProof/>
                <w:webHidden/>
              </w:rPr>
              <w:t>28</w:t>
            </w:r>
            <w:r>
              <w:rPr>
                <w:noProof/>
                <w:webHidden/>
              </w:rPr>
              <w:fldChar w:fldCharType="end"/>
            </w:r>
          </w:hyperlink>
        </w:p>
        <w:p w14:paraId="050A2FF0" w14:textId="10D8A77E" w:rsidR="0068521A" w:rsidRDefault="0068521A">
          <w:pPr>
            <w:pStyle w:val="TOC2"/>
            <w:tabs>
              <w:tab w:val="right" w:leader="dot" w:pos="9016"/>
            </w:tabs>
            <w:rPr>
              <w:rFonts w:asciiTheme="minorHAnsi" w:hAnsiTheme="minorHAnsi"/>
              <w:noProof/>
              <w:sz w:val="24"/>
              <w:szCs w:val="24"/>
              <w:lang w:eastAsia="en-GB"/>
            </w:rPr>
          </w:pPr>
          <w:hyperlink w:anchor="_Toc204256374" w:history="1">
            <w:r w:rsidRPr="004F7DC0">
              <w:rPr>
                <w:rStyle w:val="Hyperlink"/>
                <w:rFonts w:cs="Arial"/>
                <w:noProof/>
              </w:rPr>
              <w:t>4.5 – Theme 3: Access to Services and Continuity of Care</w:t>
            </w:r>
            <w:r>
              <w:rPr>
                <w:noProof/>
                <w:webHidden/>
              </w:rPr>
              <w:tab/>
            </w:r>
            <w:r>
              <w:rPr>
                <w:noProof/>
                <w:webHidden/>
              </w:rPr>
              <w:fldChar w:fldCharType="begin"/>
            </w:r>
            <w:r>
              <w:rPr>
                <w:noProof/>
                <w:webHidden/>
              </w:rPr>
              <w:instrText xml:space="preserve"> PAGEREF _Toc204256374 \h </w:instrText>
            </w:r>
            <w:r>
              <w:rPr>
                <w:noProof/>
                <w:webHidden/>
              </w:rPr>
            </w:r>
            <w:r>
              <w:rPr>
                <w:noProof/>
                <w:webHidden/>
              </w:rPr>
              <w:fldChar w:fldCharType="separate"/>
            </w:r>
            <w:r>
              <w:rPr>
                <w:noProof/>
                <w:webHidden/>
              </w:rPr>
              <w:t>31</w:t>
            </w:r>
            <w:r>
              <w:rPr>
                <w:noProof/>
                <w:webHidden/>
              </w:rPr>
              <w:fldChar w:fldCharType="end"/>
            </w:r>
          </w:hyperlink>
        </w:p>
        <w:p w14:paraId="72DDBB43" w14:textId="6D9A9755" w:rsidR="0068521A" w:rsidRDefault="0068521A">
          <w:pPr>
            <w:pStyle w:val="TOC2"/>
            <w:tabs>
              <w:tab w:val="right" w:leader="dot" w:pos="9016"/>
            </w:tabs>
            <w:rPr>
              <w:rFonts w:asciiTheme="minorHAnsi" w:hAnsiTheme="minorHAnsi"/>
              <w:noProof/>
              <w:sz w:val="24"/>
              <w:szCs w:val="24"/>
              <w:lang w:eastAsia="en-GB"/>
            </w:rPr>
          </w:pPr>
          <w:hyperlink w:anchor="_Toc204256375" w:history="1">
            <w:r w:rsidRPr="004F7DC0">
              <w:rPr>
                <w:rStyle w:val="Hyperlink"/>
                <w:rFonts w:cs="Arial"/>
                <w:noProof/>
              </w:rPr>
              <w:t>4.6 – Chapter Conclusion</w:t>
            </w:r>
            <w:r>
              <w:rPr>
                <w:noProof/>
                <w:webHidden/>
              </w:rPr>
              <w:tab/>
            </w:r>
            <w:r>
              <w:rPr>
                <w:noProof/>
                <w:webHidden/>
              </w:rPr>
              <w:fldChar w:fldCharType="begin"/>
            </w:r>
            <w:r>
              <w:rPr>
                <w:noProof/>
                <w:webHidden/>
              </w:rPr>
              <w:instrText xml:space="preserve"> PAGEREF _Toc204256375 \h </w:instrText>
            </w:r>
            <w:r>
              <w:rPr>
                <w:noProof/>
                <w:webHidden/>
              </w:rPr>
            </w:r>
            <w:r>
              <w:rPr>
                <w:noProof/>
                <w:webHidden/>
              </w:rPr>
              <w:fldChar w:fldCharType="separate"/>
            </w:r>
            <w:r>
              <w:rPr>
                <w:noProof/>
                <w:webHidden/>
              </w:rPr>
              <w:t>34</w:t>
            </w:r>
            <w:r>
              <w:rPr>
                <w:noProof/>
                <w:webHidden/>
              </w:rPr>
              <w:fldChar w:fldCharType="end"/>
            </w:r>
          </w:hyperlink>
        </w:p>
        <w:p w14:paraId="3F65F892" w14:textId="1AC11881" w:rsidR="0068521A" w:rsidRDefault="0068521A">
          <w:pPr>
            <w:pStyle w:val="TOC1"/>
            <w:rPr>
              <w:rFonts w:asciiTheme="minorHAnsi" w:hAnsiTheme="minorHAnsi"/>
              <w:noProof/>
              <w:sz w:val="24"/>
              <w:szCs w:val="24"/>
              <w:lang w:eastAsia="en-GB"/>
            </w:rPr>
          </w:pPr>
          <w:hyperlink w:anchor="_Toc204256376" w:history="1">
            <w:r w:rsidRPr="004F7DC0">
              <w:rPr>
                <w:rStyle w:val="Hyperlink"/>
                <w:rFonts w:cs="Arial"/>
                <w:noProof/>
                <w:lang w:bidi="en-GB"/>
              </w:rPr>
              <w:t>CHAPTER 5 – Conclusion and Recommendations</w:t>
            </w:r>
            <w:r>
              <w:rPr>
                <w:noProof/>
                <w:webHidden/>
              </w:rPr>
              <w:tab/>
            </w:r>
            <w:r>
              <w:rPr>
                <w:noProof/>
                <w:webHidden/>
              </w:rPr>
              <w:fldChar w:fldCharType="begin"/>
            </w:r>
            <w:r>
              <w:rPr>
                <w:noProof/>
                <w:webHidden/>
              </w:rPr>
              <w:instrText xml:space="preserve"> PAGEREF _Toc204256376 \h </w:instrText>
            </w:r>
            <w:r>
              <w:rPr>
                <w:noProof/>
                <w:webHidden/>
              </w:rPr>
            </w:r>
            <w:r>
              <w:rPr>
                <w:noProof/>
                <w:webHidden/>
              </w:rPr>
              <w:fldChar w:fldCharType="separate"/>
            </w:r>
            <w:r>
              <w:rPr>
                <w:noProof/>
                <w:webHidden/>
              </w:rPr>
              <w:t>34</w:t>
            </w:r>
            <w:r>
              <w:rPr>
                <w:noProof/>
                <w:webHidden/>
              </w:rPr>
              <w:fldChar w:fldCharType="end"/>
            </w:r>
          </w:hyperlink>
        </w:p>
        <w:p w14:paraId="45FDBD00" w14:textId="3126656C" w:rsidR="0068521A" w:rsidRDefault="0068521A">
          <w:pPr>
            <w:pStyle w:val="TOC2"/>
            <w:tabs>
              <w:tab w:val="right" w:leader="dot" w:pos="9016"/>
            </w:tabs>
            <w:rPr>
              <w:rFonts w:asciiTheme="minorHAnsi" w:hAnsiTheme="minorHAnsi"/>
              <w:noProof/>
              <w:sz w:val="24"/>
              <w:szCs w:val="24"/>
              <w:lang w:eastAsia="en-GB"/>
            </w:rPr>
          </w:pPr>
          <w:hyperlink w:anchor="_Toc204256377" w:history="1">
            <w:r w:rsidRPr="004F7DC0">
              <w:rPr>
                <w:rStyle w:val="Hyperlink"/>
                <w:rFonts w:cs="Arial"/>
                <w:noProof/>
              </w:rPr>
              <w:t>5.1 – Overall Conclusion</w:t>
            </w:r>
            <w:r>
              <w:rPr>
                <w:noProof/>
                <w:webHidden/>
              </w:rPr>
              <w:tab/>
            </w:r>
            <w:r>
              <w:rPr>
                <w:noProof/>
                <w:webHidden/>
              </w:rPr>
              <w:fldChar w:fldCharType="begin"/>
            </w:r>
            <w:r>
              <w:rPr>
                <w:noProof/>
                <w:webHidden/>
              </w:rPr>
              <w:instrText xml:space="preserve"> PAGEREF _Toc204256377 \h </w:instrText>
            </w:r>
            <w:r>
              <w:rPr>
                <w:noProof/>
                <w:webHidden/>
              </w:rPr>
            </w:r>
            <w:r>
              <w:rPr>
                <w:noProof/>
                <w:webHidden/>
              </w:rPr>
              <w:fldChar w:fldCharType="separate"/>
            </w:r>
            <w:r>
              <w:rPr>
                <w:noProof/>
                <w:webHidden/>
              </w:rPr>
              <w:t>35</w:t>
            </w:r>
            <w:r>
              <w:rPr>
                <w:noProof/>
                <w:webHidden/>
              </w:rPr>
              <w:fldChar w:fldCharType="end"/>
            </w:r>
          </w:hyperlink>
        </w:p>
        <w:p w14:paraId="3248792D" w14:textId="0DB6C771" w:rsidR="0068521A" w:rsidRDefault="0068521A">
          <w:pPr>
            <w:pStyle w:val="TOC2"/>
            <w:tabs>
              <w:tab w:val="right" w:leader="dot" w:pos="9016"/>
            </w:tabs>
            <w:rPr>
              <w:rFonts w:asciiTheme="minorHAnsi" w:hAnsiTheme="minorHAnsi"/>
              <w:noProof/>
              <w:sz w:val="24"/>
              <w:szCs w:val="24"/>
              <w:lang w:eastAsia="en-GB"/>
            </w:rPr>
          </w:pPr>
          <w:hyperlink w:anchor="_Toc204256378" w:history="1">
            <w:r w:rsidRPr="004F7DC0">
              <w:rPr>
                <w:rStyle w:val="Hyperlink"/>
                <w:rFonts w:cs="Arial"/>
                <w:noProof/>
              </w:rPr>
              <w:t>5.2 – Recommendations</w:t>
            </w:r>
            <w:r>
              <w:rPr>
                <w:noProof/>
                <w:webHidden/>
              </w:rPr>
              <w:tab/>
            </w:r>
            <w:r>
              <w:rPr>
                <w:noProof/>
                <w:webHidden/>
              </w:rPr>
              <w:fldChar w:fldCharType="begin"/>
            </w:r>
            <w:r>
              <w:rPr>
                <w:noProof/>
                <w:webHidden/>
              </w:rPr>
              <w:instrText xml:space="preserve"> PAGEREF _Toc204256378 \h </w:instrText>
            </w:r>
            <w:r>
              <w:rPr>
                <w:noProof/>
                <w:webHidden/>
              </w:rPr>
            </w:r>
            <w:r>
              <w:rPr>
                <w:noProof/>
                <w:webHidden/>
              </w:rPr>
              <w:fldChar w:fldCharType="separate"/>
            </w:r>
            <w:r>
              <w:rPr>
                <w:noProof/>
                <w:webHidden/>
              </w:rPr>
              <w:t>35</w:t>
            </w:r>
            <w:r>
              <w:rPr>
                <w:noProof/>
                <w:webHidden/>
              </w:rPr>
              <w:fldChar w:fldCharType="end"/>
            </w:r>
          </w:hyperlink>
        </w:p>
        <w:p w14:paraId="215D7476" w14:textId="096F64F1" w:rsidR="0068521A" w:rsidRDefault="0068521A">
          <w:pPr>
            <w:pStyle w:val="TOC1"/>
            <w:rPr>
              <w:rFonts w:asciiTheme="minorHAnsi" w:hAnsiTheme="minorHAnsi"/>
              <w:noProof/>
              <w:sz w:val="24"/>
              <w:szCs w:val="24"/>
              <w:lang w:eastAsia="en-GB"/>
            </w:rPr>
          </w:pPr>
          <w:hyperlink w:anchor="_Toc204256379" w:history="1">
            <w:r w:rsidRPr="004F7DC0">
              <w:rPr>
                <w:rStyle w:val="Hyperlink"/>
                <w:rFonts w:cs="Arial"/>
                <w:noProof/>
                <w:lang w:bidi="en-GB"/>
              </w:rPr>
              <w:t>5.2.1 Recommendation 1: Increase Person-Centred Training across All Dementia Care Environments</w:t>
            </w:r>
            <w:r>
              <w:rPr>
                <w:noProof/>
                <w:webHidden/>
              </w:rPr>
              <w:tab/>
            </w:r>
            <w:r>
              <w:rPr>
                <w:noProof/>
                <w:webHidden/>
              </w:rPr>
              <w:fldChar w:fldCharType="begin"/>
            </w:r>
            <w:r>
              <w:rPr>
                <w:noProof/>
                <w:webHidden/>
              </w:rPr>
              <w:instrText xml:space="preserve"> PAGEREF _Toc204256379 \h </w:instrText>
            </w:r>
            <w:r>
              <w:rPr>
                <w:noProof/>
                <w:webHidden/>
              </w:rPr>
            </w:r>
            <w:r>
              <w:rPr>
                <w:noProof/>
                <w:webHidden/>
              </w:rPr>
              <w:fldChar w:fldCharType="separate"/>
            </w:r>
            <w:r>
              <w:rPr>
                <w:noProof/>
                <w:webHidden/>
              </w:rPr>
              <w:t>35</w:t>
            </w:r>
            <w:r>
              <w:rPr>
                <w:noProof/>
                <w:webHidden/>
              </w:rPr>
              <w:fldChar w:fldCharType="end"/>
            </w:r>
          </w:hyperlink>
        </w:p>
        <w:p w14:paraId="1949A6CA" w14:textId="7E133873" w:rsidR="0068521A" w:rsidRDefault="0068521A">
          <w:pPr>
            <w:pStyle w:val="TOC1"/>
            <w:rPr>
              <w:rFonts w:asciiTheme="minorHAnsi" w:hAnsiTheme="minorHAnsi"/>
              <w:noProof/>
              <w:sz w:val="24"/>
              <w:szCs w:val="24"/>
              <w:lang w:eastAsia="en-GB"/>
            </w:rPr>
          </w:pPr>
          <w:hyperlink w:anchor="_Toc204256380" w:history="1">
            <w:r w:rsidRPr="004F7DC0">
              <w:rPr>
                <w:rStyle w:val="Hyperlink"/>
                <w:rFonts w:cs="Arial"/>
                <w:noProof/>
                <w:lang w:bidi="en-GB"/>
              </w:rPr>
              <w:t>5.2.2 Recommendation 2: Improve Carer Support Services and Respite Provision</w:t>
            </w:r>
            <w:r>
              <w:rPr>
                <w:noProof/>
                <w:webHidden/>
              </w:rPr>
              <w:tab/>
            </w:r>
            <w:r>
              <w:rPr>
                <w:noProof/>
                <w:webHidden/>
              </w:rPr>
              <w:fldChar w:fldCharType="begin"/>
            </w:r>
            <w:r>
              <w:rPr>
                <w:noProof/>
                <w:webHidden/>
              </w:rPr>
              <w:instrText xml:space="preserve"> PAGEREF _Toc204256380 \h </w:instrText>
            </w:r>
            <w:r>
              <w:rPr>
                <w:noProof/>
                <w:webHidden/>
              </w:rPr>
            </w:r>
            <w:r>
              <w:rPr>
                <w:noProof/>
                <w:webHidden/>
              </w:rPr>
              <w:fldChar w:fldCharType="separate"/>
            </w:r>
            <w:r>
              <w:rPr>
                <w:noProof/>
                <w:webHidden/>
              </w:rPr>
              <w:t>36</w:t>
            </w:r>
            <w:r>
              <w:rPr>
                <w:noProof/>
                <w:webHidden/>
              </w:rPr>
              <w:fldChar w:fldCharType="end"/>
            </w:r>
          </w:hyperlink>
        </w:p>
        <w:p w14:paraId="399057A5" w14:textId="67D7907F" w:rsidR="0068521A" w:rsidRDefault="0068521A">
          <w:pPr>
            <w:pStyle w:val="TOC1"/>
            <w:rPr>
              <w:rFonts w:asciiTheme="minorHAnsi" w:hAnsiTheme="minorHAnsi"/>
              <w:noProof/>
              <w:sz w:val="24"/>
              <w:szCs w:val="24"/>
              <w:lang w:eastAsia="en-GB"/>
            </w:rPr>
          </w:pPr>
          <w:hyperlink w:anchor="_Toc204256381" w:history="1">
            <w:r w:rsidRPr="004F7DC0">
              <w:rPr>
                <w:rStyle w:val="Hyperlink"/>
                <w:rFonts w:cs="Arial"/>
                <w:noProof/>
                <w:lang w:bidi="en-GB"/>
              </w:rPr>
              <w:t>CHAPTER 6 – References and Appendices</w:t>
            </w:r>
            <w:r>
              <w:rPr>
                <w:noProof/>
                <w:webHidden/>
              </w:rPr>
              <w:tab/>
            </w:r>
            <w:r>
              <w:rPr>
                <w:noProof/>
                <w:webHidden/>
              </w:rPr>
              <w:fldChar w:fldCharType="begin"/>
            </w:r>
            <w:r>
              <w:rPr>
                <w:noProof/>
                <w:webHidden/>
              </w:rPr>
              <w:instrText xml:space="preserve"> PAGEREF _Toc204256381 \h </w:instrText>
            </w:r>
            <w:r>
              <w:rPr>
                <w:noProof/>
                <w:webHidden/>
              </w:rPr>
            </w:r>
            <w:r>
              <w:rPr>
                <w:noProof/>
                <w:webHidden/>
              </w:rPr>
              <w:fldChar w:fldCharType="separate"/>
            </w:r>
            <w:r>
              <w:rPr>
                <w:noProof/>
                <w:webHidden/>
              </w:rPr>
              <w:t>37</w:t>
            </w:r>
            <w:r>
              <w:rPr>
                <w:noProof/>
                <w:webHidden/>
              </w:rPr>
              <w:fldChar w:fldCharType="end"/>
            </w:r>
          </w:hyperlink>
        </w:p>
        <w:p w14:paraId="717F1A9F" w14:textId="5285C9E9" w:rsidR="0068521A" w:rsidRDefault="0068521A">
          <w:pPr>
            <w:pStyle w:val="TOC1"/>
            <w:rPr>
              <w:rFonts w:asciiTheme="minorHAnsi" w:hAnsiTheme="minorHAnsi"/>
              <w:noProof/>
              <w:sz w:val="24"/>
              <w:szCs w:val="24"/>
              <w:lang w:eastAsia="en-GB"/>
            </w:rPr>
          </w:pPr>
          <w:hyperlink w:anchor="_Toc204256382" w:history="1">
            <w:r w:rsidRPr="004F7DC0">
              <w:rPr>
                <w:rStyle w:val="Hyperlink"/>
                <w:rFonts w:cs="Arial"/>
                <w:noProof/>
                <w:lang w:bidi="en-GB"/>
              </w:rPr>
              <w:t>6.1 – References</w:t>
            </w:r>
            <w:r>
              <w:rPr>
                <w:noProof/>
                <w:webHidden/>
              </w:rPr>
              <w:tab/>
            </w:r>
            <w:r>
              <w:rPr>
                <w:noProof/>
                <w:webHidden/>
              </w:rPr>
              <w:fldChar w:fldCharType="begin"/>
            </w:r>
            <w:r>
              <w:rPr>
                <w:noProof/>
                <w:webHidden/>
              </w:rPr>
              <w:instrText xml:space="preserve"> PAGEREF _Toc204256382 \h </w:instrText>
            </w:r>
            <w:r>
              <w:rPr>
                <w:noProof/>
                <w:webHidden/>
              </w:rPr>
            </w:r>
            <w:r>
              <w:rPr>
                <w:noProof/>
                <w:webHidden/>
              </w:rPr>
              <w:fldChar w:fldCharType="separate"/>
            </w:r>
            <w:r>
              <w:rPr>
                <w:noProof/>
                <w:webHidden/>
              </w:rPr>
              <w:t>38</w:t>
            </w:r>
            <w:r>
              <w:rPr>
                <w:noProof/>
                <w:webHidden/>
              </w:rPr>
              <w:fldChar w:fldCharType="end"/>
            </w:r>
          </w:hyperlink>
        </w:p>
        <w:p w14:paraId="342D431E" w14:textId="18C819D1" w:rsidR="0068521A" w:rsidRDefault="0068521A">
          <w:pPr>
            <w:pStyle w:val="TOC1"/>
            <w:rPr>
              <w:rFonts w:asciiTheme="minorHAnsi" w:hAnsiTheme="minorHAnsi"/>
              <w:noProof/>
              <w:sz w:val="24"/>
              <w:szCs w:val="24"/>
              <w:lang w:eastAsia="en-GB"/>
            </w:rPr>
          </w:pPr>
          <w:hyperlink w:anchor="_Toc204256383" w:history="1">
            <w:r w:rsidRPr="004F7DC0">
              <w:rPr>
                <w:rStyle w:val="Hyperlink"/>
                <w:rFonts w:cs="Arial"/>
                <w:noProof/>
                <w:lang w:bidi="en-GB"/>
              </w:rPr>
              <w:t>6.2 – Appendices</w:t>
            </w:r>
            <w:r>
              <w:rPr>
                <w:noProof/>
                <w:webHidden/>
              </w:rPr>
              <w:tab/>
            </w:r>
            <w:r>
              <w:rPr>
                <w:noProof/>
                <w:webHidden/>
              </w:rPr>
              <w:fldChar w:fldCharType="begin"/>
            </w:r>
            <w:r>
              <w:rPr>
                <w:noProof/>
                <w:webHidden/>
              </w:rPr>
              <w:instrText xml:space="preserve"> PAGEREF _Toc204256383 \h </w:instrText>
            </w:r>
            <w:r>
              <w:rPr>
                <w:noProof/>
                <w:webHidden/>
              </w:rPr>
            </w:r>
            <w:r>
              <w:rPr>
                <w:noProof/>
                <w:webHidden/>
              </w:rPr>
              <w:fldChar w:fldCharType="separate"/>
            </w:r>
            <w:r>
              <w:rPr>
                <w:noProof/>
                <w:webHidden/>
              </w:rPr>
              <w:t>45</w:t>
            </w:r>
            <w:r>
              <w:rPr>
                <w:noProof/>
                <w:webHidden/>
              </w:rPr>
              <w:fldChar w:fldCharType="end"/>
            </w:r>
          </w:hyperlink>
        </w:p>
        <w:p w14:paraId="4774AB64" w14:textId="5D6DC4CA" w:rsidR="0068521A" w:rsidRDefault="0068521A">
          <w:pPr>
            <w:pStyle w:val="TOC2"/>
            <w:tabs>
              <w:tab w:val="right" w:leader="dot" w:pos="9016"/>
            </w:tabs>
            <w:rPr>
              <w:rFonts w:asciiTheme="minorHAnsi" w:hAnsiTheme="minorHAnsi"/>
              <w:noProof/>
              <w:sz w:val="24"/>
              <w:szCs w:val="24"/>
              <w:lang w:eastAsia="en-GB"/>
            </w:rPr>
          </w:pPr>
          <w:hyperlink w:anchor="_Toc204256384" w:history="1">
            <w:r w:rsidRPr="004F7DC0">
              <w:rPr>
                <w:rStyle w:val="Hyperlink"/>
                <w:rFonts w:cs="Arial"/>
                <w:noProof/>
              </w:rPr>
              <w:t>6.2.1 UWTSD Code of Practice for Research Ethics and Integrity</w:t>
            </w:r>
            <w:r>
              <w:rPr>
                <w:noProof/>
                <w:webHidden/>
              </w:rPr>
              <w:tab/>
            </w:r>
            <w:r>
              <w:rPr>
                <w:noProof/>
                <w:webHidden/>
              </w:rPr>
              <w:fldChar w:fldCharType="begin"/>
            </w:r>
            <w:r>
              <w:rPr>
                <w:noProof/>
                <w:webHidden/>
              </w:rPr>
              <w:instrText xml:space="preserve"> PAGEREF _Toc204256384 \h </w:instrText>
            </w:r>
            <w:r>
              <w:rPr>
                <w:noProof/>
                <w:webHidden/>
              </w:rPr>
            </w:r>
            <w:r>
              <w:rPr>
                <w:noProof/>
                <w:webHidden/>
              </w:rPr>
              <w:fldChar w:fldCharType="separate"/>
            </w:r>
            <w:r>
              <w:rPr>
                <w:noProof/>
                <w:webHidden/>
              </w:rPr>
              <w:t>45</w:t>
            </w:r>
            <w:r>
              <w:rPr>
                <w:noProof/>
                <w:webHidden/>
              </w:rPr>
              <w:fldChar w:fldCharType="end"/>
            </w:r>
          </w:hyperlink>
        </w:p>
        <w:p w14:paraId="61DFFED5" w14:textId="044A6035" w:rsidR="0068521A" w:rsidRDefault="0068521A">
          <w:pPr>
            <w:pStyle w:val="TOC2"/>
            <w:tabs>
              <w:tab w:val="right" w:leader="dot" w:pos="9016"/>
            </w:tabs>
            <w:rPr>
              <w:rFonts w:asciiTheme="minorHAnsi" w:hAnsiTheme="minorHAnsi"/>
              <w:noProof/>
              <w:sz w:val="24"/>
              <w:szCs w:val="24"/>
              <w:lang w:eastAsia="en-GB"/>
            </w:rPr>
          </w:pPr>
          <w:hyperlink w:anchor="_Toc204256385" w:history="1">
            <w:r w:rsidRPr="004F7DC0">
              <w:rPr>
                <w:rStyle w:val="Hyperlink"/>
                <w:rFonts w:cs="Arial"/>
                <w:noProof/>
              </w:rPr>
              <w:t>6.2.2 Result Summary Table</w:t>
            </w:r>
            <w:r>
              <w:rPr>
                <w:noProof/>
                <w:webHidden/>
              </w:rPr>
              <w:tab/>
            </w:r>
            <w:r>
              <w:rPr>
                <w:noProof/>
                <w:webHidden/>
              </w:rPr>
              <w:fldChar w:fldCharType="begin"/>
            </w:r>
            <w:r>
              <w:rPr>
                <w:noProof/>
                <w:webHidden/>
              </w:rPr>
              <w:instrText xml:space="preserve"> PAGEREF _Toc204256385 \h </w:instrText>
            </w:r>
            <w:r>
              <w:rPr>
                <w:noProof/>
                <w:webHidden/>
              </w:rPr>
            </w:r>
            <w:r>
              <w:rPr>
                <w:noProof/>
                <w:webHidden/>
              </w:rPr>
              <w:fldChar w:fldCharType="separate"/>
            </w:r>
            <w:r>
              <w:rPr>
                <w:noProof/>
                <w:webHidden/>
              </w:rPr>
              <w:t>46</w:t>
            </w:r>
            <w:r>
              <w:rPr>
                <w:noProof/>
                <w:webHidden/>
              </w:rPr>
              <w:fldChar w:fldCharType="end"/>
            </w:r>
          </w:hyperlink>
        </w:p>
        <w:p w14:paraId="6940139C" w14:textId="67F29ADD" w:rsidR="0068521A" w:rsidRDefault="0068521A">
          <w:pPr>
            <w:pStyle w:val="TOC2"/>
            <w:tabs>
              <w:tab w:val="right" w:leader="dot" w:pos="9016"/>
            </w:tabs>
            <w:rPr>
              <w:rFonts w:asciiTheme="minorHAnsi" w:hAnsiTheme="minorHAnsi"/>
              <w:noProof/>
              <w:sz w:val="24"/>
              <w:szCs w:val="24"/>
              <w:lang w:eastAsia="en-GB"/>
            </w:rPr>
          </w:pPr>
          <w:hyperlink w:anchor="_Toc204256386" w:history="1">
            <w:r w:rsidRPr="004F7DC0">
              <w:rPr>
                <w:rStyle w:val="Hyperlink"/>
                <w:rFonts w:cs="Arial"/>
                <w:noProof/>
              </w:rPr>
              <w:t>6.2.3 Theme Planning Activity Table</w:t>
            </w:r>
            <w:r>
              <w:rPr>
                <w:noProof/>
                <w:webHidden/>
              </w:rPr>
              <w:tab/>
            </w:r>
            <w:r>
              <w:rPr>
                <w:noProof/>
                <w:webHidden/>
              </w:rPr>
              <w:fldChar w:fldCharType="begin"/>
            </w:r>
            <w:r>
              <w:rPr>
                <w:noProof/>
                <w:webHidden/>
              </w:rPr>
              <w:instrText xml:space="preserve"> PAGEREF _Toc204256386 \h </w:instrText>
            </w:r>
            <w:r>
              <w:rPr>
                <w:noProof/>
                <w:webHidden/>
              </w:rPr>
            </w:r>
            <w:r>
              <w:rPr>
                <w:noProof/>
                <w:webHidden/>
              </w:rPr>
              <w:fldChar w:fldCharType="separate"/>
            </w:r>
            <w:r>
              <w:rPr>
                <w:noProof/>
                <w:webHidden/>
              </w:rPr>
              <w:t>48</w:t>
            </w:r>
            <w:r>
              <w:rPr>
                <w:noProof/>
                <w:webHidden/>
              </w:rPr>
              <w:fldChar w:fldCharType="end"/>
            </w:r>
          </w:hyperlink>
        </w:p>
        <w:p w14:paraId="5A3D2688" w14:textId="7092F353" w:rsidR="0068521A" w:rsidRDefault="0068521A">
          <w:pPr>
            <w:pStyle w:val="TOC1"/>
            <w:rPr>
              <w:rFonts w:asciiTheme="minorHAnsi" w:hAnsiTheme="minorHAnsi"/>
              <w:noProof/>
              <w:sz w:val="24"/>
              <w:szCs w:val="24"/>
              <w:lang w:eastAsia="en-GB"/>
            </w:rPr>
          </w:pPr>
          <w:hyperlink w:anchor="_Toc204256387" w:history="1">
            <w:r w:rsidRPr="004F7DC0">
              <w:rPr>
                <w:rStyle w:val="Hyperlink"/>
                <w:rFonts w:cs="Arial"/>
                <w:noProof/>
                <w:lang w:bidi="en-GB"/>
              </w:rPr>
              <w:t>Additional Information</w:t>
            </w:r>
            <w:r>
              <w:rPr>
                <w:noProof/>
                <w:webHidden/>
              </w:rPr>
              <w:tab/>
            </w:r>
            <w:r>
              <w:rPr>
                <w:noProof/>
                <w:webHidden/>
              </w:rPr>
              <w:fldChar w:fldCharType="begin"/>
            </w:r>
            <w:r>
              <w:rPr>
                <w:noProof/>
                <w:webHidden/>
              </w:rPr>
              <w:instrText xml:space="preserve"> PAGEREF _Toc204256387 \h </w:instrText>
            </w:r>
            <w:r>
              <w:rPr>
                <w:noProof/>
                <w:webHidden/>
              </w:rPr>
            </w:r>
            <w:r>
              <w:rPr>
                <w:noProof/>
                <w:webHidden/>
              </w:rPr>
              <w:fldChar w:fldCharType="separate"/>
            </w:r>
            <w:r>
              <w:rPr>
                <w:noProof/>
                <w:webHidden/>
              </w:rPr>
              <w:t>50</w:t>
            </w:r>
            <w:r>
              <w:rPr>
                <w:noProof/>
                <w:webHidden/>
              </w:rPr>
              <w:fldChar w:fldCharType="end"/>
            </w:r>
          </w:hyperlink>
        </w:p>
        <w:p w14:paraId="108E7418" w14:textId="76FC0798" w:rsidR="0097734C" w:rsidRDefault="0097734C">
          <w:r>
            <w:rPr>
              <w:b/>
              <w:bCs/>
              <w:noProof/>
            </w:rPr>
            <w:fldChar w:fldCharType="end"/>
          </w:r>
        </w:p>
      </w:sdtContent>
    </w:sdt>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6074963A" w14:textId="77777777" w:rsidR="00E1525C" w:rsidRDefault="00E1525C" w:rsidP="00EF6341">
      <w:pPr>
        <w:pStyle w:val="Heading1"/>
        <w:spacing w:line="360" w:lineRule="auto"/>
        <w:ind w:left="0"/>
        <w:rPr>
          <w:rFonts w:cs="Arial"/>
        </w:rPr>
      </w:pPr>
    </w:p>
    <w:p w14:paraId="6BC519DD" w14:textId="77777777" w:rsidR="00875F14" w:rsidRDefault="00875F14" w:rsidP="00EF6341">
      <w:pPr>
        <w:pStyle w:val="Heading1"/>
        <w:spacing w:line="360" w:lineRule="auto"/>
        <w:ind w:left="0"/>
        <w:rPr>
          <w:rFonts w:cs="Arial"/>
        </w:rPr>
      </w:pPr>
    </w:p>
    <w:p w14:paraId="1ACC5CB2" w14:textId="77777777" w:rsidR="00875F14" w:rsidRDefault="00875F14" w:rsidP="00EF6341">
      <w:pPr>
        <w:pStyle w:val="Heading1"/>
        <w:spacing w:line="360" w:lineRule="auto"/>
        <w:ind w:left="0"/>
        <w:rPr>
          <w:rFonts w:cs="Arial"/>
        </w:rPr>
      </w:pPr>
    </w:p>
    <w:p w14:paraId="607EA18C" w14:textId="77777777" w:rsidR="00875F14" w:rsidRDefault="00875F14" w:rsidP="00EF6341">
      <w:pPr>
        <w:pStyle w:val="Heading1"/>
        <w:spacing w:line="360" w:lineRule="auto"/>
        <w:ind w:left="0"/>
        <w:rPr>
          <w:rFonts w:cs="Arial"/>
        </w:rPr>
      </w:pPr>
    </w:p>
    <w:p w14:paraId="5F3B0345" w14:textId="77777777" w:rsidR="00875F14" w:rsidRDefault="00875F14" w:rsidP="00EF6341">
      <w:pPr>
        <w:pStyle w:val="Heading1"/>
        <w:spacing w:line="360" w:lineRule="auto"/>
        <w:ind w:left="0"/>
        <w:rPr>
          <w:rFonts w:cs="Arial"/>
        </w:rPr>
      </w:pPr>
    </w:p>
    <w:p w14:paraId="79BB04C2" w14:textId="77777777" w:rsidR="00875F14" w:rsidRDefault="00875F14" w:rsidP="00EF6341">
      <w:pPr>
        <w:pStyle w:val="Heading1"/>
        <w:spacing w:line="360" w:lineRule="auto"/>
        <w:ind w:left="0"/>
        <w:rPr>
          <w:rFonts w:cs="Arial"/>
        </w:rPr>
      </w:pPr>
    </w:p>
    <w:p w14:paraId="58452D18" w14:textId="75F9583D" w:rsidR="00730C3C" w:rsidRPr="00F91C8D" w:rsidRDefault="00730C3C" w:rsidP="00EF6341">
      <w:pPr>
        <w:pStyle w:val="Heading1"/>
        <w:spacing w:line="360" w:lineRule="auto"/>
        <w:ind w:left="0"/>
        <w:rPr>
          <w:rFonts w:cs="Arial"/>
          <w:b w:val="0"/>
        </w:rPr>
      </w:pPr>
      <w:bookmarkStart w:id="3" w:name="_Toc204256356"/>
      <w:r w:rsidRPr="00F91C8D">
        <w:rPr>
          <w:rFonts w:cs="Arial"/>
        </w:rPr>
        <w:t>CHAPTER 1: Introduction</w:t>
      </w:r>
      <w:bookmarkEnd w:id="3"/>
      <w:r w:rsidRPr="00F91C8D">
        <w:rPr>
          <w:rFonts w:cs="Arial"/>
        </w:rPr>
        <w:t xml:space="preserve"> </w:t>
      </w:r>
    </w:p>
    <w:p w14:paraId="69941E5D" w14:textId="77777777" w:rsidR="00EF6341" w:rsidRPr="00F91C8D" w:rsidRDefault="00EF6341" w:rsidP="00EF6341">
      <w:pPr>
        <w:pStyle w:val="BodyText"/>
        <w:spacing w:line="360" w:lineRule="auto"/>
        <w:rPr>
          <w:rFonts w:cs="Arial"/>
        </w:rPr>
      </w:pPr>
    </w:p>
    <w:p w14:paraId="7EB24CC9" w14:textId="7328E164" w:rsidR="00BD2909" w:rsidRPr="00F91C8D" w:rsidRDefault="00BD2909" w:rsidP="001E631D">
      <w:pPr>
        <w:pStyle w:val="paragraph"/>
        <w:numPr>
          <w:ilvl w:val="1"/>
          <w:numId w:val="25"/>
        </w:numPr>
        <w:spacing w:before="0" w:beforeAutospacing="0" w:after="0" w:afterAutospacing="0" w:line="360" w:lineRule="auto"/>
        <w:textAlignment w:val="baseline"/>
        <w:rPr>
          <w:rStyle w:val="eop"/>
          <w:rFonts w:ascii="Arial" w:hAnsi="Arial" w:cs="Arial"/>
          <w:color w:val="0F4761"/>
        </w:rPr>
      </w:pPr>
      <w:r w:rsidRPr="00F91C8D">
        <w:rPr>
          <w:rStyle w:val="normaltextrun"/>
          <w:rFonts w:ascii="Arial" w:hAnsi="Arial" w:cs="Arial"/>
          <w:color w:val="0F4761"/>
        </w:rPr>
        <w:t xml:space="preserve">Introduction </w:t>
      </w:r>
    </w:p>
    <w:p w14:paraId="2E834CC7" w14:textId="77777777" w:rsidR="007B65CD" w:rsidRPr="00F91C8D" w:rsidRDefault="007B65CD" w:rsidP="007B65CD">
      <w:pPr>
        <w:pStyle w:val="paragraph"/>
        <w:spacing w:before="0" w:beforeAutospacing="0" w:after="0" w:afterAutospacing="0" w:line="360" w:lineRule="auto"/>
        <w:ind w:left="372"/>
        <w:textAlignment w:val="baseline"/>
        <w:rPr>
          <w:rFonts w:ascii="Arial" w:hAnsi="Arial" w:cs="Arial"/>
          <w:color w:val="0F4761"/>
          <w:sz w:val="16"/>
          <w:szCs w:val="16"/>
        </w:rPr>
      </w:pPr>
    </w:p>
    <w:p w14:paraId="7AB67CC0" w14:textId="6BD1AFDB" w:rsidR="00E25216" w:rsidRPr="00F91C8D" w:rsidRDefault="00332171" w:rsidP="00E87C76">
      <w:pPr>
        <w:rPr>
          <w:rStyle w:val="normaltextrun"/>
          <w:rFonts w:cs="Arial"/>
        </w:rPr>
      </w:pPr>
      <w:r w:rsidRPr="00F91C8D">
        <w:rPr>
          <w:rStyle w:val="normaltextrun"/>
          <w:rFonts w:cs="Arial"/>
        </w:rPr>
        <w:t xml:space="preserve">Dementia is a degenerative neurological disorder that impairs memory, cognition, speech, and functioning, significantly reducing patients' quality of life.  Dementia is a </w:t>
      </w:r>
      <w:r w:rsidR="00F63CB5" w:rsidRPr="00F91C8D">
        <w:rPr>
          <w:rStyle w:val="normaltextrun"/>
          <w:rFonts w:cs="Arial"/>
        </w:rPr>
        <w:t>significant</w:t>
      </w:r>
      <w:r w:rsidRPr="00F91C8D">
        <w:rPr>
          <w:rStyle w:val="normaltextrun"/>
          <w:rFonts w:cs="Arial"/>
        </w:rPr>
        <w:t xml:space="preserve"> public health concern in the UK, with an estimated 944,000 people suffering from the disorder (Alzheimer's Society, 2024).  With an ageing population, there is a greater demand for high-quality, compassionate dementia care, particularly in terms of where and how people are cared for</w:t>
      </w:r>
      <w:r w:rsidR="00E87C76" w:rsidRPr="00F91C8D">
        <w:rPr>
          <w:rStyle w:val="normaltextrun"/>
          <w:rFonts w:cs="Arial"/>
        </w:rPr>
        <w:t xml:space="preserve"> </w:t>
      </w:r>
      <w:r w:rsidRPr="00F91C8D">
        <w:rPr>
          <w:rStyle w:val="normaltextrun"/>
          <w:rFonts w:cs="Arial"/>
        </w:rPr>
        <w:t xml:space="preserve">at home or in care homes.  This dissertation </w:t>
      </w:r>
      <w:r w:rsidR="00F63CB5" w:rsidRPr="00F91C8D">
        <w:rPr>
          <w:rStyle w:val="normaltextrun"/>
          <w:rFonts w:cs="Arial"/>
        </w:rPr>
        <w:t xml:space="preserve">examines the quality of care provided to dementia patients in both settings, </w:t>
      </w:r>
      <w:r w:rsidR="00F91C8D" w:rsidRPr="00F91C8D">
        <w:rPr>
          <w:rStyle w:val="normaltextrun"/>
          <w:rFonts w:cs="Arial"/>
        </w:rPr>
        <w:t xml:space="preserve">with a focus on individuality, dignity, safety, and support for both </w:t>
      </w:r>
      <w:r w:rsidR="00F63CB5" w:rsidRPr="00F91C8D">
        <w:rPr>
          <w:rStyle w:val="normaltextrun"/>
          <w:rFonts w:cs="Arial"/>
        </w:rPr>
        <w:t>the individual and their caregivers</w:t>
      </w:r>
      <w:r w:rsidRPr="00F91C8D">
        <w:rPr>
          <w:rStyle w:val="normaltextrun"/>
          <w:rFonts w:cs="Arial"/>
        </w:rPr>
        <w:t>.</w:t>
      </w:r>
    </w:p>
    <w:p w14:paraId="43135387" w14:textId="10460B9C" w:rsidR="00E25216" w:rsidRPr="00F91C8D" w:rsidRDefault="00E25216" w:rsidP="00E87C76">
      <w:pPr>
        <w:rPr>
          <w:rStyle w:val="normaltextrun"/>
          <w:rFonts w:cs="Arial"/>
        </w:rPr>
      </w:pPr>
      <w:r w:rsidRPr="00F91C8D">
        <w:rPr>
          <w:rStyle w:val="normaltextrun"/>
          <w:rFonts w:cs="Arial"/>
        </w:rPr>
        <w:t xml:space="preserve">The UK dementia care landscape has </w:t>
      </w:r>
      <w:r w:rsidR="00F63CB5" w:rsidRPr="00F91C8D">
        <w:rPr>
          <w:rStyle w:val="normaltextrun"/>
          <w:rFonts w:cs="Arial"/>
        </w:rPr>
        <w:t>undergone significant changes</w:t>
      </w:r>
      <w:r w:rsidRPr="00F91C8D">
        <w:rPr>
          <w:rStyle w:val="normaltextrun"/>
          <w:rFonts w:cs="Arial"/>
        </w:rPr>
        <w:t xml:space="preserve"> over time. Care homes have traditionally been used as a first-line solution for severe cases</w:t>
      </w:r>
      <w:r w:rsidR="00F63CB5" w:rsidRPr="00F91C8D">
        <w:rPr>
          <w:rStyle w:val="normaltextrun"/>
          <w:rFonts w:cs="Arial"/>
        </w:rPr>
        <w:t xml:space="preserve">; however, an increased focus on ageing in place and person-centred care has shifted the </w:t>
      </w:r>
      <w:r w:rsidRPr="00F91C8D">
        <w:rPr>
          <w:rStyle w:val="normaltextrun"/>
          <w:rFonts w:cs="Arial"/>
        </w:rPr>
        <w:t xml:space="preserve">focus to home-based care supplemented by family and community services. The most important policy developments, including the Care Act 2014 and </w:t>
      </w:r>
      <w:r w:rsidR="00F63CB5" w:rsidRPr="00F91C8D">
        <w:rPr>
          <w:rStyle w:val="normaltextrun"/>
          <w:rFonts w:cs="Arial"/>
        </w:rPr>
        <w:t xml:space="preserve">the </w:t>
      </w:r>
      <w:r w:rsidRPr="00F91C8D">
        <w:rPr>
          <w:rStyle w:val="normaltextrun"/>
          <w:rFonts w:cs="Arial"/>
        </w:rPr>
        <w:t>NHS Long Term Plan (2019), have been promoting increasingly person-centred and integrated care, irrespective of location. It has not been straightforward to observe these translated into reduced inequities in quality of care, with staffing, training, and access remaining challenges in both locations.</w:t>
      </w:r>
    </w:p>
    <w:p w14:paraId="1A43824E" w14:textId="3DB2DD2D" w:rsidR="00C65AFD" w:rsidRPr="00F91C8D" w:rsidRDefault="00332171" w:rsidP="00C65AFD">
      <w:pPr>
        <w:rPr>
          <w:rStyle w:val="eop"/>
          <w:rFonts w:cs="Arial"/>
        </w:rPr>
      </w:pPr>
      <w:r w:rsidRPr="00F91C8D">
        <w:rPr>
          <w:rStyle w:val="normaltextrun"/>
          <w:rFonts w:cs="Arial"/>
        </w:rPr>
        <w:t xml:space="preserve">This dissertation </w:t>
      </w:r>
      <w:r w:rsidR="00F63CB5" w:rsidRPr="00F91C8D">
        <w:rPr>
          <w:rStyle w:val="normaltextrun"/>
          <w:rFonts w:cs="Arial"/>
        </w:rPr>
        <w:t xml:space="preserve">aims to critically analyse the gap in the standard of dementia patient care provided within care homes compared to that of </w:t>
      </w:r>
      <w:r w:rsidR="00E25216" w:rsidRPr="00F91C8D">
        <w:rPr>
          <w:rStyle w:val="normaltextrun"/>
          <w:rFonts w:cs="Arial"/>
        </w:rPr>
        <w:t xml:space="preserve">those living at home in the UK. Grounded in </w:t>
      </w:r>
      <w:r w:rsidRPr="00F91C8D">
        <w:rPr>
          <w:rStyle w:val="normaltextrun"/>
          <w:rFonts w:cs="Arial"/>
        </w:rPr>
        <w:t xml:space="preserve">the </w:t>
      </w:r>
      <w:r w:rsidR="00E25216" w:rsidRPr="00F91C8D">
        <w:rPr>
          <w:rStyle w:val="normaltextrun"/>
          <w:rFonts w:cs="Arial"/>
        </w:rPr>
        <w:t xml:space="preserve">discovery of practice, policy, and lived experience, this research aims to </w:t>
      </w:r>
      <w:r w:rsidR="00F63CB5" w:rsidRPr="00F91C8D">
        <w:rPr>
          <w:rStyle w:val="normaltextrun"/>
          <w:rFonts w:cs="Arial"/>
        </w:rPr>
        <w:t>facilitate enhanced decision-making, support services, and improved outcomes for individuals affected</w:t>
      </w:r>
      <w:r w:rsidR="00E25216" w:rsidRPr="00F91C8D">
        <w:rPr>
          <w:rStyle w:val="normaltextrun"/>
          <w:rFonts w:cs="Arial"/>
        </w:rPr>
        <w:t xml:space="preserve"> by dementia.</w:t>
      </w:r>
      <w:r w:rsidR="00BD2909" w:rsidRPr="00F91C8D">
        <w:rPr>
          <w:rStyle w:val="eop"/>
          <w:rFonts w:cs="Arial"/>
        </w:rPr>
        <w:t> </w:t>
      </w:r>
    </w:p>
    <w:p w14:paraId="39FA8E6E" w14:textId="77777777" w:rsidR="00C65AFD" w:rsidRPr="00F91C8D" w:rsidRDefault="00C65AFD" w:rsidP="00C65AFD">
      <w:pPr>
        <w:rPr>
          <w:rStyle w:val="normaltextrun"/>
          <w:rFonts w:cs="Arial"/>
          <w:sz w:val="16"/>
          <w:szCs w:val="16"/>
        </w:rPr>
      </w:pPr>
    </w:p>
    <w:p w14:paraId="66501BF4" w14:textId="28714854" w:rsidR="00BD2909" w:rsidRPr="00F91C8D"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 xml:space="preserve">1.2 Definitions and Terminology </w:t>
      </w:r>
    </w:p>
    <w:p w14:paraId="2A4D5667" w14:textId="77777777" w:rsidR="00BD2909" w:rsidRPr="00F91C8D" w:rsidRDefault="00BD2909" w:rsidP="001E631D">
      <w:pPr>
        <w:pStyle w:val="paragraph"/>
        <w:numPr>
          <w:ilvl w:val="0"/>
          <w:numId w:val="4"/>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F91C8D">
        <w:rPr>
          <w:rStyle w:val="normaltextrun"/>
          <w:rFonts w:ascii="Arial" w:hAnsi="Arial" w:cs="Arial"/>
          <w:b/>
          <w:bCs/>
          <w:sz w:val="22"/>
          <w:szCs w:val="22"/>
        </w:rPr>
        <w:t>Key Definitions:</w:t>
      </w:r>
      <w:r w:rsidRPr="00F91C8D">
        <w:rPr>
          <w:rStyle w:val="eop"/>
          <w:rFonts w:ascii="Arial" w:hAnsi="Arial" w:cs="Arial"/>
          <w:sz w:val="22"/>
          <w:szCs w:val="22"/>
        </w:rPr>
        <w:t> </w:t>
      </w:r>
    </w:p>
    <w:p w14:paraId="20214168" w14:textId="77777777" w:rsidR="00E87C76" w:rsidRPr="00F91C8D" w:rsidRDefault="00E87C76" w:rsidP="00E87C76">
      <w:pPr>
        <w:pStyle w:val="paragraph"/>
        <w:spacing w:before="0" w:beforeAutospacing="0" w:after="0" w:afterAutospacing="0" w:line="360" w:lineRule="auto"/>
        <w:textAlignment w:val="baseline"/>
        <w:rPr>
          <w:rFonts w:ascii="Arial" w:hAnsi="Arial" w:cs="Arial"/>
          <w:sz w:val="22"/>
          <w:szCs w:val="22"/>
        </w:rPr>
      </w:pPr>
    </w:p>
    <w:p w14:paraId="7C5CB9DC" w14:textId="58BC880E" w:rsidR="001731C2" w:rsidRPr="00F91C8D" w:rsidRDefault="001731C2" w:rsidP="00E87C76">
      <w:pPr>
        <w:rPr>
          <w:rStyle w:val="normaltextrun"/>
          <w:rFonts w:eastAsia="Calibri Light" w:cs="Arial"/>
          <w:lang w:eastAsia="en-GB" w:bidi="en-GB"/>
        </w:rPr>
      </w:pPr>
      <w:r w:rsidRPr="00F91C8D">
        <w:rPr>
          <w:rStyle w:val="normaltextrun"/>
          <w:rFonts w:eastAsia="Calibri Light" w:cs="Arial"/>
          <w:lang w:eastAsia="en-GB" w:bidi="en-GB"/>
        </w:rPr>
        <w:t xml:space="preserve">• </w:t>
      </w:r>
      <w:r w:rsidRPr="00F91C8D">
        <w:rPr>
          <w:rStyle w:val="normaltextrun"/>
          <w:rFonts w:eastAsia="Calibri Light" w:cs="Arial"/>
          <w:b/>
          <w:bCs/>
          <w:lang w:eastAsia="en-GB" w:bidi="en-GB"/>
        </w:rPr>
        <w:t>Dementia:</w:t>
      </w:r>
      <w:r w:rsidRPr="00F91C8D">
        <w:rPr>
          <w:rStyle w:val="normaltextrun"/>
          <w:rFonts w:eastAsia="Calibri Light" w:cs="Arial"/>
          <w:lang w:eastAsia="en-GB" w:bidi="en-GB"/>
        </w:rPr>
        <w:t xml:space="preserve"> Dementia is a generic term for a group of progressive neurological diseases that impair brain function, resulting in memory loss, confusion, poor reasoning, and changes in behaviour. The most prevalent one is Alzheimer's disease (World Health Organization, 2023). </w:t>
      </w:r>
      <w:r w:rsidRPr="00F91C8D">
        <w:rPr>
          <w:rStyle w:val="normaltextrun"/>
          <w:rFonts w:eastAsia="Calibri Light" w:cs="Arial"/>
          <w:lang w:eastAsia="en-GB" w:bidi="en-GB"/>
        </w:rPr>
        <w:lastRenderedPageBreak/>
        <w:t xml:space="preserve">Dementia is the </w:t>
      </w:r>
      <w:r w:rsidR="001C135D">
        <w:rPr>
          <w:rStyle w:val="normaltextrun"/>
          <w:rFonts w:eastAsia="Calibri Light" w:cs="Arial"/>
          <w:lang w:eastAsia="en-GB" w:bidi="en-GB"/>
        </w:rPr>
        <w:t xml:space="preserve">primary focus of this dissertation because it significantly </w:t>
      </w:r>
      <w:r w:rsidR="00F63CB5" w:rsidRPr="00F91C8D">
        <w:rPr>
          <w:rStyle w:val="normaltextrun"/>
          <w:rFonts w:eastAsia="Calibri Light" w:cs="Arial"/>
          <w:lang w:eastAsia="en-GB" w:bidi="en-GB"/>
        </w:rPr>
        <w:t>influences the quality and type of care required</w:t>
      </w:r>
      <w:r w:rsidRPr="00F91C8D">
        <w:rPr>
          <w:rStyle w:val="normaltextrun"/>
          <w:rFonts w:eastAsia="Calibri Light" w:cs="Arial"/>
          <w:lang w:eastAsia="en-GB" w:bidi="en-GB"/>
        </w:rPr>
        <w:t>.</w:t>
      </w:r>
    </w:p>
    <w:p w14:paraId="6DF6F65F" w14:textId="0D999620" w:rsidR="001731C2" w:rsidRPr="00F91C8D" w:rsidRDefault="001731C2" w:rsidP="00E87C76">
      <w:pPr>
        <w:rPr>
          <w:rStyle w:val="normaltextrun"/>
          <w:rFonts w:eastAsia="Calibri Light" w:cs="Arial"/>
          <w:lang w:eastAsia="en-GB" w:bidi="en-GB"/>
        </w:rPr>
      </w:pPr>
      <w:r w:rsidRPr="00F91C8D">
        <w:rPr>
          <w:rStyle w:val="normaltextrun"/>
          <w:rFonts w:eastAsia="Calibri Light" w:cs="Arial"/>
          <w:lang w:eastAsia="en-GB" w:bidi="en-GB"/>
        </w:rPr>
        <w:t xml:space="preserve">• </w:t>
      </w:r>
      <w:r w:rsidRPr="00F91C8D">
        <w:rPr>
          <w:rStyle w:val="normaltextrun"/>
          <w:rFonts w:eastAsia="Calibri Light" w:cs="Arial"/>
          <w:b/>
          <w:bCs/>
          <w:lang w:eastAsia="en-GB" w:bidi="en-GB"/>
        </w:rPr>
        <w:t>Quality of Care:</w:t>
      </w:r>
      <w:r w:rsidRPr="00F91C8D">
        <w:rPr>
          <w:rStyle w:val="normaltextrun"/>
          <w:rFonts w:eastAsia="Calibri Light" w:cs="Arial"/>
          <w:lang w:eastAsia="en-GB" w:bidi="en-GB"/>
        </w:rPr>
        <w:t xml:space="preserve"> It is a measure of the extent to which health and social care for people and populations makes desired outcomes more likely, according to </w:t>
      </w:r>
      <w:r w:rsidR="00935510" w:rsidRPr="00F91C8D">
        <w:rPr>
          <w:rStyle w:val="normaltextrun"/>
          <w:rFonts w:eastAsia="Calibri Light" w:cs="Arial"/>
          <w:lang w:eastAsia="en-GB" w:bidi="en-GB"/>
        </w:rPr>
        <w:t xml:space="preserve">the </w:t>
      </w:r>
      <w:r w:rsidRPr="00F91C8D">
        <w:rPr>
          <w:rStyle w:val="normaltextrun"/>
          <w:rFonts w:eastAsia="Calibri Light" w:cs="Arial"/>
          <w:lang w:eastAsia="en-GB" w:bidi="en-GB"/>
        </w:rPr>
        <w:t>best current professional knowledge (NHS, 2020). Safety, effectiveness, compassion, dignity, and person-centredness are included in the quality of care for dementia patients.</w:t>
      </w:r>
    </w:p>
    <w:p w14:paraId="2EB48744" w14:textId="15ACB523" w:rsidR="001731C2" w:rsidRPr="00F91C8D" w:rsidRDefault="001731C2" w:rsidP="00E87C76">
      <w:pPr>
        <w:rPr>
          <w:rStyle w:val="normaltextrun"/>
          <w:rFonts w:eastAsia="Calibri Light" w:cs="Arial"/>
          <w:lang w:eastAsia="en-GB" w:bidi="en-GB"/>
        </w:rPr>
      </w:pPr>
      <w:r w:rsidRPr="00F91C8D">
        <w:rPr>
          <w:rStyle w:val="normaltextrun"/>
          <w:rFonts w:eastAsia="Calibri Light" w:cs="Arial"/>
          <w:lang w:eastAsia="en-GB" w:bidi="en-GB"/>
        </w:rPr>
        <w:t xml:space="preserve">• </w:t>
      </w:r>
      <w:r w:rsidRPr="00F91C8D">
        <w:rPr>
          <w:rStyle w:val="normaltextrun"/>
          <w:rFonts w:eastAsia="Calibri Light" w:cs="Arial"/>
          <w:b/>
          <w:bCs/>
          <w:lang w:eastAsia="en-GB" w:bidi="en-GB"/>
        </w:rPr>
        <w:t>Care Homes:</w:t>
      </w:r>
      <w:r w:rsidRPr="00F91C8D">
        <w:rPr>
          <w:rStyle w:val="normaltextrun"/>
          <w:rFonts w:eastAsia="Calibri Light" w:cs="Arial"/>
          <w:lang w:eastAsia="en-GB" w:bidi="en-GB"/>
        </w:rPr>
        <w:t xml:space="preserve"> Residential facilities that offer housing, personal care, and occasionally nursing care for those who can no longer support themselves independently. Care homes play an important role in dementia's long-term care, especially in the later stages of the condition.</w:t>
      </w:r>
    </w:p>
    <w:p w14:paraId="43915349" w14:textId="3CFA03C6" w:rsidR="001731C2" w:rsidRPr="00F91C8D" w:rsidRDefault="001731C2" w:rsidP="00E87C76">
      <w:pPr>
        <w:rPr>
          <w:rStyle w:val="normaltextrun"/>
          <w:rFonts w:eastAsia="Calibri Light" w:cs="Arial"/>
          <w:lang w:eastAsia="en-GB" w:bidi="en-GB"/>
        </w:rPr>
      </w:pPr>
      <w:r w:rsidRPr="00F91C8D">
        <w:rPr>
          <w:rStyle w:val="normaltextrun"/>
          <w:rFonts w:eastAsia="Calibri Light" w:cs="Arial"/>
          <w:lang w:eastAsia="en-GB" w:bidi="en-GB"/>
        </w:rPr>
        <w:t xml:space="preserve">• </w:t>
      </w:r>
      <w:r w:rsidRPr="00F91C8D">
        <w:rPr>
          <w:rStyle w:val="normaltextrun"/>
          <w:rFonts w:eastAsia="Calibri Light" w:cs="Arial"/>
          <w:b/>
          <w:bCs/>
          <w:lang w:eastAsia="en-GB" w:bidi="en-GB"/>
        </w:rPr>
        <w:t>Home-Based Care:</w:t>
      </w:r>
      <w:r w:rsidRPr="00F91C8D">
        <w:rPr>
          <w:rStyle w:val="normaltextrun"/>
          <w:rFonts w:eastAsia="Calibri Light" w:cs="Arial"/>
          <w:lang w:eastAsia="en-GB" w:bidi="en-GB"/>
        </w:rPr>
        <w:t xml:space="preserve"> This </w:t>
      </w:r>
      <w:r w:rsidR="00F63CB5" w:rsidRPr="00F91C8D">
        <w:rPr>
          <w:rStyle w:val="normaltextrun"/>
          <w:rFonts w:eastAsia="Calibri Light" w:cs="Arial"/>
          <w:lang w:eastAsia="en-GB" w:bidi="en-GB"/>
        </w:rPr>
        <w:t>refers to care provided in a person's home, typically by caregivers funded by the individual, paid caregivers</w:t>
      </w:r>
      <w:r w:rsidRPr="00F91C8D">
        <w:rPr>
          <w:rStyle w:val="normaltextrun"/>
          <w:rFonts w:eastAsia="Calibri Light" w:cs="Arial"/>
          <w:lang w:eastAsia="en-GB" w:bidi="en-GB"/>
        </w:rPr>
        <w:t xml:space="preserve">, or local community services. It promotes independence and familiarity, which can be beneficial to a person with dementia, especially in the early to </w:t>
      </w:r>
      <w:r w:rsidR="00F63CB5" w:rsidRPr="00F91C8D">
        <w:rPr>
          <w:rStyle w:val="normaltextrun"/>
          <w:rFonts w:eastAsia="Calibri Light" w:cs="Arial"/>
          <w:lang w:eastAsia="en-GB" w:bidi="en-GB"/>
        </w:rPr>
        <w:t>mid-stages</w:t>
      </w:r>
      <w:r w:rsidRPr="00F91C8D">
        <w:rPr>
          <w:rStyle w:val="normaltextrun"/>
          <w:rFonts w:eastAsia="Calibri Light" w:cs="Arial"/>
          <w:lang w:eastAsia="en-GB" w:bidi="en-GB"/>
        </w:rPr>
        <w:t>.</w:t>
      </w:r>
    </w:p>
    <w:p w14:paraId="48695849" w14:textId="2BBA70BC" w:rsidR="001731C2" w:rsidRPr="00F91C8D" w:rsidRDefault="001731C2" w:rsidP="00E87C76">
      <w:pPr>
        <w:rPr>
          <w:rStyle w:val="normaltextrun"/>
          <w:rFonts w:eastAsia="Times New Roman" w:cs="Arial"/>
        </w:rPr>
      </w:pPr>
      <w:r w:rsidRPr="00F91C8D">
        <w:rPr>
          <w:rStyle w:val="normaltextrun"/>
          <w:rFonts w:eastAsia="Calibri Light" w:cs="Arial"/>
          <w:lang w:eastAsia="en-GB" w:bidi="en-GB"/>
        </w:rPr>
        <w:t xml:space="preserve">• </w:t>
      </w:r>
      <w:r w:rsidRPr="00F91C8D">
        <w:rPr>
          <w:rStyle w:val="normaltextrun"/>
          <w:rFonts w:eastAsia="Calibri Light" w:cs="Arial"/>
          <w:b/>
          <w:bCs/>
          <w:lang w:eastAsia="en-GB" w:bidi="en-GB"/>
        </w:rPr>
        <w:t>Person-Centred Care:</w:t>
      </w:r>
      <w:r w:rsidRPr="00F91C8D">
        <w:rPr>
          <w:rStyle w:val="normaltextrun"/>
          <w:rFonts w:eastAsia="Calibri Light" w:cs="Arial"/>
          <w:lang w:eastAsia="en-GB" w:bidi="en-GB"/>
        </w:rPr>
        <w:t xml:space="preserve"> One of the primary approaches to dementia care, founded on the person's unique special needs, values, and preferences. It supports dignity, autonomy, and involvement.</w:t>
      </w:r>
    </w:p>
    <w:p w14:paraId="51217DF6" w14:textId="38CD59C0" w:rsidR="00EB61E9" w:rsidRPr="00720BFF" w:rsidRDefault="00BD2909" w:rsidP="00720BFF">
      <w:pPr>
        <w:pStyle w:val="paragraph"/>
        <w:numPr>
          <w:ilvl w:val="0"/>
          <w:numId w:val="5"/>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Acronyms and Abbreviations:</w:t>
      </w:r>
      <w:r w:rsidRPr="00F91C8D">
        <w:rPr>
          <w:rStyle w:val="eop"/>
          <w:rFonts w:ascii="Arial" w:hAnsi="Arial" w:cs="Arial"/>
          <w:sz w:val="22"/>
          <w:szCs w:val="22"/>
        </w:rPr>
        <w:t> </w:t>
      </w:r>
    </w:p>
    <w:tbl>
      <w:tblPr>
        <w:tblStyle w:val="PlainTable3"/>
        <w:tblW w:w="0" w:type="auto"/>
        <w:tblLook w:val="04A0" w:firstRow="1" w:lastRow="0" w:firstColumn="1" w:lastColumn="0" w:noHBand="0" w:noVBand="1"/>
      </w:tblPr>
      <w:tblGrid>
        <w:gridCol w:w="1456"/>
        <w:gridCol w:w="7044"/>
      </w:tblGrid>
      <w:tr w:rsidR="00E87C76" w:rsidRPr="00F91C8D" w14:paraId="3C383884" w14:textId="77777777" w:rsidTr="00E87C7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B806E9D" w14:textId="77777777" w:rsidR="00E87C76" w:rsidRPr="00F91C8D" w:rsidRDefault="00E87C76" w:rsidP="00E87C76">
            <w:pPr>
              <w:pStyle w:val="paragraph"/>
              <w:spacing w:line="360" w:lineRule="auto"/>
              <w:jc w:val="center"/>
              <w:textAlignment w:val="baseline"/>
              <w:rPr>
                <w:rFonts w:ascii="Arial" w:hAnsi="Arial" w:cs="Arial"/>
              </w:rPr>
            </w:pPr>
            <w:r w:rsidRPr="00F91C8D">
              <w:rPr>
                <w:rFonts w:ascii="Arial" w:hAnsi="Arial" w:cs="Arial"/>
              </w:rPr>
              <w:t>Acronym</w:t>
            </w:r>
          </w:p>
        </w:tc>
        <w:tc>
          <w:tcPr>
            <w:tcW w:w="0" w:type="auto"/>
            <w:hideMark/>
          </w:tcPr>
          <w:p w14:paraId="09206E68" w14:textId="77777777" w:rsidR="00E87C76" w:rsidRPr="00F91C8D" w:rsidRDefault="00E87C76" w:rsidP="00E87C76">
            <w:pPr>
              <w:pStyle w:val="paragraph"/>
              <w:spacing w:line="360" w:lineRule="auto"/>
              <w:ind w:left="1080"/>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rPr>
            </w:pPr>
            <w:r w:rsidRPr="00F91C8D">
              <w:rPr>
                <w:rFonts w:ascii="Arial" w:hAnsi="Arial" w:cs="Arial"/>
              </w:rPr>
              <w:t>Definition</w:t>
            </w:r>
          </w:p>
        </w:tc>
      </w:tr>
      <w:tr w:rsidR="00E87C76" w:rsidRPr="00F91C8D" w14:paraId="0743D5A5"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DCE449" w14:textId="77777777" w:rsidR="00E87C76" w:rsidRPr="00F91C8D" w:rsidRDefault="00E87C76" w:rsidP="00E87C76">
            <w:pPr>
              <w:jc w:val="center"/>
              <w:rPr>
                <w:rFonts w:cs="Arial"/>
              </w:rPr>
            </w:pPr>
            <w:r w:rsidRPr="00F91C8D">
              <w:rPr>
                <w:rFonts w:cs="Arial"/>
              </w:rPr>
              <w:t>NHS</w:t>
            </w:r>
          </w:p>
        </w:tc>
        <w:tc>
          <w:tcPr>
            <w:tcW w:w="0" w:type="auto"/>
            <w:hideMark/>
          </w:tcPr>
          <w:p w14:paraId="5C2EB788" w14:textId="77777777" w:rsidR="00E87C76" w:rsidRPr="00F91C8D" w:rsidRDefault="00E87C76" w:rsidP="00E87C76">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National Health Service</w:t>
            </w:r>
          </w:p>
        </w:tc>
      </w:tr>
      <w:tr w:rsidR="00E87C76" w:rsidRPr="00F91C8D" w14:paraId="70B547C9" w14:textId="77777777" w:rsidTr="00E87C76">
        <w:tc>
          <w:tcPr>
            <w:cnfStyle w:val="001000000000" w:firstRow="0" w:lastRow="0" w:firstColumn="1" w:lastColumn="0" w:oddVBand="0" w:evenVBand="0" w:oddHBand="0" w:evenHBand="0" w:firstRowFirstColumn="0" w:firstRowLastColumn="0" w:lastRowFirstColumn="0" w:lastRowLastColumn="0"/>
            <w:tcW w:w="0" w:type="auto"/>
            <w:hideMark/>
          </w:tcPr>
          <w:p w14:paraId="5067CA5F" w14:textId="77777777" w:rsidR="00E87C76" w:rsidRPr="00F91C8D" w:rsidRDefault="00E87C76" w:rsidP="00E87C76">
            <w:pPr>
              <w:jc w:val="center"/>
              <w:rPr>
                <w:rFonts w:cs="Arial"/>
              </w:rPr>
            </w:pPr>
            <w:r w:rsidRPr="00F91C8D">
              <w:rPr>
                <w:rFonts w:cs="Arial"/>
              </w:rPr>
              <w:t>NICE</w:t>
            </w:r>
          </w:p>
        </w:tc>
        <w:tc>
          <w:tcPr>
            <w:tcW w:w="0" w:type="auto"/>
            <w:hideMark/>
          </w:tcPr>
          <w:p w14:paraId="38CB7787" w14:textId="77777777" w:rsidR="00E87C76" w:rsidRPr="00F91C8D" w:rsidRDefault="00E87C76" w:rsidP="00E87C76">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91C8D">
              <w:rPr>
                <w:rFonts w:ascii="Arial" w:hAnsi="Arial" w:cs="Arial"/>
                <w:sz w:val="22"/>
                <w:szCs w:val="22"/>
              </w:rPr>
              <w:t>National Institute for Health and Care Excellence</w:t>
            </w:r>
          </w:p>
        </w:tc>
      </w:tr>
      <w:tr w:rsidR="00E87C76" w:rsidRPr="00F91C8D" w14:paraId="3B3A44EF"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8FF0BD" w14:textId="77777777" w:rsidR="00E87C76" w:rsidRPr="00F91C8D" w:rsidRDefault="00E87C76" w:rsidP="00E87C76">
            <w:pPr>
              <w:jc w:val="center"/>
              <w:rPr>
                <w:rFonts w:cs="Arial"/>
              </w:rPr>
            </w:pPr>
            <w:r w:rsidRPr="00F91C8D">
              <w:rPr>
                <w:rFonts w:cs="Arial"/>
              </w:rPr>
              <w:t>ADLs</w:t>
            </w:r>
          </w:p>
        </w:tc>
        <w:tc>
          <w:tcPr>
            <w:tcW w:w="0" w:type="auto"/>
            <w:hideMark/>
          </w:tcPr>
          <w:p w14:paraId="2E137347" w14:textId="77777777" w:rsidR="00E87C76" w:rsidRPr="00F91C8D" w:rsidRDefault="00E87C76" w:rsidP="00E87C76">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Activities of Daily Living</w:t>
            </w:r>
          </w:p>
        </w:tc>
      </w:tr>
      <w:tr w:rsidR="00E87C76" w:rsidRPr="00F91C8D" w14:paraId="3AA66393" w14:textId="77777777" w:rsidTr="00E87C76">
        <w:tc>
          <w:tcPr>
            <w:cnfStyle w:val="001000000000" w:firstRow="0" w:lastRow="0" w:firstColumn="1" w:lastColumn="0" w:oddVBand="0" w:evenVBand="0" w:oddHBand="0" w:evenHBand="0" w:firstRowFirstColumn="0" w:firstRowLastColumn="0" w:lastRowFirstColumn="0" w:lastRowLastColumn="0"/>
            <w:tcW w:w="0" w:type="auto"/>
            <w:hideMark/>
          </w:tcPr>
          <w:p w14:paraId="45734C02" w14:textId="77777777" w:rsidR="00E87C76" w:rsidRPr="00F91C8D" w:rsidRDefault="00E87C76" w:rsidP="00E87C76">
            <w:pPr>
              <w:jc w:val="center"/>
              <w:rPr>
                <w:rFonts w:cs="Arial"/>
              </w:rPr>
            </w:pPr>
            <w:r w:rsidRPr="00F91C8D">
              <w:rPr>
                <w:rFonts w:cs="Arial"/>
              </w:rPr>
              <w:t>CQC</w:t>
            </w:r>
          </w:p>
        </w:tc>
        <w:tc>
          <w:tcPr>
            <w:tcW w:w="0" w:type="auto"/>
            <w:hideMark/>
          </w:tcPr>
          <w:p w14:paraId="7337B1A1" w14:textId="77777777" w:rsidR="00E87C76" w:rsidRPr="00F91C8D" w:rsidRDefault="00E87C76" w:rsidP="00E87C76">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91C8D">
              <w:rPr>
                <w:rFonts w:ascii="Arial" w:hAnsi="Arial" w:cs="Arial"/>
                <w:sz w:val="22"/>
                <w:szCs w:val="22"/>
              </w:rPr>
              <w:t>Care Quality Commission</w:t>
            </w:r>
          </w:p>
        </w:tc>
      </w:tr>
      <w:tr w:rsidR="00E87C76" w:rsidRPr="00F91C8D" w14:paraId="78C45CAE"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46E26F" w14:textId="77777777" w:rsidR="00E87C76" w:rsidRPr="00F91C8D" w:rsidRDefault="00E87C76" w:rsidP="00E87C76">
            <w:pPr>
              <w:jc w:val="center"/>
              <w:rPr>
                <w:rFonts w:cs="Arial"/>
              </w:rPr>
            </w:pPr>
            <w:r w:rsidRPr="00F91C8D">
              <w:rPr>
                <w:rFonts w:cs="Arial"/>
              </w:rPr>
              <w:t>GP</w:t>
            </w:r>
          </w:p>
        </w:tc>
        <w:tc>
          <w:tcPr>
            <w:tcW w:w="0" w:type="auto"/>
            <w:hideMark/>
          </w:tcPr>
          <w:p w14:paraId="6669829B" w14:textId="77777777" w:rsidR="00E87C76" w:rsidRPr="00F91C8D" w:rsidRDefault="00E87C76" w:rsidP="00E87C76">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General Practitioner</w:t>
            </w:r>
          </w:p>
        </w:tc>
      </w:tr>
      <w:tr w:rsidR="00A41383" w:rsidRPr="00F91C8D" w14:paraId="10FCC106" w14:textId="77777777" w:rsidTr="00E87C76">
        <w:tc>
          <w:tcPr>
            <w:cnfStyle w:val="001000000000" w:firstRow="0" w:lastRow="0" w:firstColumn="1" w:lastColumn="0" w:oddVBand="0" w:evenVBand="0" w:oddHBand="0" w:evenHBand="0" w:firstRowFirstColumn="0" w:firstRowLastColumn="0" w:lastRowFirstColumn="0" w:lastRowLastColumn="0"/>
            <w:tcW w:w="0" w:type="auto"/>
          </w:tcPr>
          <w:p w14:paraId="7F876F0C" w14:textId="3B431C59" w:rsidR="00A41383" w:rsidRPr="00F91C8D" w:rsidRDefault="00A41383" w:rsidP="00E87C76">
            <w:pPr>
              <w:jc w:val="center"/>
              <w:rPr>
                <w:rFonts w:cs="Arial"/>
              </w:rPr>
            </w:pPr>
            <w:r>
              <w:rPr>
                <w:rFonts w:cs="Arial"/>
              </w:rPr>
              <w:t>GDPR</w:t>
            </w:r>
          </w:p>
        </w:tc>
        <w:tc>
          <w:tcPr>
            <w:tcW w:w="0" w:type="auto"/>
          </w:tcPr>
          <w:p w14:paraId="09BC1EF8" w14:textId="494A0384" w:rsidR="00A41383" w:rsidRPr="00A41383" w:rsidRDefault="00A41383" w:rsidP="00E87C76">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41383">
              <w:rPr>
                <w:rFonts w:ascii="Arial" w:hAnsi="Arial" w:cs="Arial"/>
                <w:sz w:val="22"/>
                <w:szCs w:val="22"/>
              </w:rPr>
              <w:t>General Data Protection Regulation</w:t>
            </w:r>
          </w:p>
        </w:tc>
      </w:tr>
      <w:tr w:rsidR="001C135D" w:rsidRPr="00F91C8D" w14:paraId="1A606EA2"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1B8ABAA" w14:textId="31D84AF8" w:rsidR="001C135D" w:rsidRPr="00F91C8D" w:rsidRDefault="001C135D" w:rsidP="00E87C76">
            <w:pPr>
              <w:jc w:val="center"/>
              <w:rPr>
                <w:rFonts w:cs="Arial"/>
              </w:rPr>
            </w:pPr>
            <w:r>
              <w:rPr>
                <w:rFonts w:cs="Arial"/>
              </w:rPr>
              <w:t>GPS</w:t>
            </w:r>
          </w:p>
        </w:tc>
        <w:tc>
          <w:tcPr>
            <w:tcW w:w="0" w:type="auto"/>
          </w:tcPr>
          <w:p w14:paraId="149E5CF2" w14:textId="0A1C3F15" w:rsidR="001C135D" w:rsidRPr="00F91C8D" w:rsidRDefault="001C135D" w:rsidP="00E87C76">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Global Position System</w:t>
            </w:r>
          </w:p>
        </w:tc>
      </w:tr>
      <w:tr w:rsidR="00E87C76" w:rsidRPr="00F91C8D" w14:paraId="403739AE" w14:textId="77777777" w:rsidTr="00E87C76">
        <w:tc>
          <w:tcPr>
            <w:cnfStyle w:val="001000000000" w:firstRow="0" w:lastRow="0" w:firstColumn="1" w:lastColumn="0" w:oddVBand="0" w:evenVBand="0" w:oddHBand="0" w:evenHBand="0" w:firstRowFirstColumn="0" w:firstRowLastColumn="0" w:lastRowFirstColumn="0" w:lastRowLastColumn="0"/>
            <w:tcW w:w="0" w:type="auto"/>
            <w:hideMark/>
          </w:tcPr>
          <w:p w14:paraId="20248064" w14:textId="77777777" w:rsidR="00E87C76" w:rsidRPr="00F91C8D" w:rsidRDefault="00E87C76" w:rsidP="00E87C76">
            <w:pPr>
              <w:jc w:val="center"/>
              <w:rPr>
                <w:rFonts w:cs="Arial"/>
              </w:rPr>
            </w:pPr>
            <w:r w:rsidRPr="00F91C8D">
              <w:rPr>
                <w:rFonts w:cs="Arial"/>
              </w:rPr>
              <w:t>UK</w:t>
            </w:r>
          </w:p>
        </w:tc>
        <w:tc>
          <w:tcPr>
            <w:tcW w:w="0" w:type="auto"/>
            <w:hideMark/>
          </w:tcPr>
          <w:p w14:paraId="335E3580" w14:textId="77777777" w:rsidR="00E87C76" w:rsidRPr="00F91C8D" w:rsidRDefault="00E87C76" w:rsidP="00E87C76">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91C8D">
              <w:rPr>
                <w:rFonts w:ascii="Arial" w:hAnsi="Arial" w:cs="Arial"/>
                <w:sz w:val="22"/>
                <w:szCs w:val="22"/>
              </w:rPr>
              <w:t>United Kingdom</w:t>
            </w:r>
          </w:p>
        </w:tc>
      </w:tr>
      <w:tr w:rsidR="00E87C76" w:rsidRPr="00F91C8D" w14:paraId="1DF527EC"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AC9B4F" w14:textId="77777777" w:rsidR="00E87C76" w:rsidRPr="00F91C8D" w:rsidRDefault="00E87C76" w:rsidP="00E87C76">
            <w:pPr>
              <w:jc w:val="center"/>
              <w:rPr>
                <w:rFonts w:cs="Arial"/>
              </w:rPr>
            </w:pPr>
            <w:r w:rsidRPr="00F91C8D">
              <w:rPr>
                <w:rFonts w:cs="Arial"/>
              </w:rPr>
              <w:t>WHO</w:t>
            </w:r>
          </w:p>
        </w:tc>
        <w:tc>
          <w:tcPr>
            <w:tcW w:w="0" w:type="auto"/>
            <w:hideMark/>
          </w:tcPr>
          <w:p w14:paraId="75CEEA08" w14:textId="0FB24BB4" w:rsidR="00E87C76" w:rsidRPr="00F91C8D" w:rsidRDefault="00E87C76" w:rsidP="00E87C76">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World Health Organi</w:t>
            </w:r>
            <w:r w:rsidR="000D1C56" w:rsidRPr="00F91C8D">
              <w:rPr>
                <w:rFonts w:ascii="Arial" w:hAnsi="Arial" w:cs="Arial"/>
                <w:sz w:val="22"/>
                <w:szCs w:val="22"/>
              </w:rPr>
              <w:t>s</w:t>
            </w:r>
            <w:r w:rsidRPr="00F91C8D">
              <w:rPr>
                <w:rFonts w:ascii="Arial" w:hAnsi="Arial" w:cs="Arial"/>
                <w:sz w:val="22"/>
                <w:szCs w:val="22"/>
              </w:rPr>
              <w:t>ation</w:t>
            </w:r>
          </w:p>
        </w:tc>
      </w:tr>
      <w:tr w:rsidR="00E87C76" w:rsidRPr="00F91C8D" w14:paraId="5329D0AA" w14:textId="77777777" w:rsidTr="00E87C76">
        <w:tc>
          <w:tcPr>
            <w:cnfStyle w:val="001000000000" w:firstRow="0" w:lastRow="0" w:firstColumn="1" w:lastColumn="0" w:oddVBand="0" w:evenVBand="0" w:oddHBand="0" w:evenHBand="0" w:firstRowFirstColumn="0" w:firstRowLastColumn="0" w:lastRowFirstColumn="0" w:lastRowLastColumn="0"/>
            <w:tcW w:w="0" w:type="auto"/>
          </w:tcPr>
          <w:p w14:paraId="65A44ED0" w14:textId="1677DD66" w:rsidR="00E87C76" w:rsidRPr="00F91C8D" w:rsidRDefault="00965049" w:rsidP="00E87C76">
            <w:pPr>
              <w:jc w:val="center"/>
              <w:rPr>
                <w:rFonts w:cs="Arial"/>
              </w:rPr>
            </w:pPr>
            <w:r w:rsidRPr="00F91C8D">
              <w:rPr>
                <w:rFonts w:cs="Arial"/>
              </w:rPr>
              <w:t>EU</w:t>
            </w:r>
          </w:p>
        </w:tc>
        <w:tc>
          <w:tcPr>
            <w:tcW w:w="0" w:type="auto"/>
          </w:tcPr>
          <w:p w14:paraId="6B706D9B" w14:textId="5251C790" w:rsidR="00E87C76" w:rsidRPr="00F91C8D" w:rsidRDefault="000D1C56" w:rsidP="00E87C76">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91C8D">
              <w:rPr>
                <w:rFonts w:ascii="Arial" w:hAnsi="Arial" w:cs="Arial"/>
                <w:sz w:val="22"/>
                <w:szCs w:val="22"/>
              </w:rPr>
              <w:t>European Union</w:t>
            </w:r>
          </w:p>
        </w:tc>
      </w:tr>
      <w:tr w:rsidR="00E87C76" w:rsidRPr="00F91C8D" w14:paraId="59AF1768"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EDE12EE" w14:textId="39099BC5" w:rsidR="00E87C76" w:rsidRPr="00F91C8D" w:rsidRDefault="00965049" w:rsidP="00E87C76">
            <w:pPr>
              <w:jc w:val="center"/>
              <w:rPr>
                <w:rFonts w:cs="Arial"/>
              </w:rPr>
            </w:pPr>
            <w:r w:rsidRPr="00F91C8D">
              <w:rPr>
                <w:rFonts w:cs="Arial"/>
              </w:rPr>
              <w:t>NGO</w:t>
            </w:r>
          </w:p>
        </w:tc>
        <w:tc>
          <w:tcPr>
            <w:tcW w:w="0" w:type="auto"/>
          </w:tcPr>
          <w:p w14:paraId="1888F86C" w14:textId="3EE39138" w:rsidR="003E58B0" w:rsidRPr="00F91C8D" w:rsidRDefault="00852C7E" w:rsidP="003E58B0">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Non-Governmental Organisation</w:t>
            </w:r>
          </w:p>
        </w:tc>
      </w:tr>
      <w:tr w:rsidR="003E58B0" w:rsidRPr="00F91C8D" w14:paraId="70690258" w14:textId="77777777" w:rsidTr="00E87C76">
        <w:tc>
          <w:tcPr>
            <w:cnfStyle w:val="001000000000" w:firstRow="0" w:lastRow="0" w:firstColumn="1" w:lastColumn="0" w:oddVBand="0" w:evenVBand="0" w:oddHBand="0" w:evenHBand="0" w:firstRowFirstColumn="0" w:firstRowLastColumn="0" w:lastRowFirstColumn="0" w:lastRowLastColumn="0"/>
            <w:tcW w:w="0" w:type="auto"/>
          </w:tcPr>
          <w:p w14:paraId="5B7ABDB8" w14:textId="126FDEFF" w:rsidR="003E58B0" w:rsidRPr="00F91C8D" w:rsidRDefault="003E58B0" w:rsidP="00E87C76">
            <w:pPr>
              <w:jc w:val="center"/>
              <w:rPr>
                <w:rFonts w:cs="Arial"/>
              </w:rPr>
            </w:pPr>
            <w:r w:rsidRPr="00F91C8D">
              <w:rPr>
                <w:rFonts w:cs="Arial"/>
              </w:rPr>
              <w:t>PCC</w:t>
            </w:r>
          </w:p>
        </w:tc>
        <w:tc>
          <w:tcPr>
            <w:tcW w:w="0" w:type="auto"/>
          </w:tcPr>
          <w:p w14:paraId="0ECD2DF6" w14:textId="50D98CEF" w:rsidR="003E58B0" w:rsidRPr="00F91C8D" w:rsidRDefault="003E58B0" w:rsidP="003E58B0">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91C8D">
              <w:rPr>
                <w:rFonts w:ascii="Arial" w:hAnsi="Arial" w:cs="Arial"/>
                <w:sz w:val="22"/>
                <w:szCs w:val="22"/>
              </w:rPr>
              <w:t>Person-Centred Care</w:t>
            </w:r>
          </w:p>
        </w:tc>
      </w:tr>
      <w:tr w:rsidR="003E58B0" w:rsidRPr="00F91C8D" w14:paraId="162BCD03"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15C47F6" w14:textId="28C9141D" w:rsidR="003E58B0" w:rsidRPr="00F91C8D" w:rsidRDefault="003E58B0" w:rsidP="00E87C76">
            <w:pPr>
              <w:jc w:val="center"/>
              <w:rPr>
                <w:rFonts w:cs="Arial"/>
              </w:rPr>
            </w:pPr>
            <w:r w:rsidRPr="00F91C8D">
              <w:rPr>
                <w:rFonts w:cs="Arial"/>
              </w:rPr>
              <w:t>WHELD</w:t>
            </w:r>
          </w:p>
        </w:tc>
        <w:tc>
          <w:tcPr>
            <w:tcW w:w="0" w:type="auto"/>
          </w:tcPr>
          <w:p w14:paraId="1C4174D5" w14:textId="4395822D" w:rsidR="003E58B0" w:rsidRPr="00F91C8D" w:rsidRDefault="003E58B0" w:rsidP="003E58B0">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Wellbeing and Health for People with Dementia</w:t>
            </w:r>
          </w:p>
        </w:tc>
      </w:tr>
      <w:tr w:rsidR="00EE606B" w:rsidRPr="00F91C8D" w14:paraId="438B9075" w14:textId="77777777" w:rsidTr="00E87C76">
        <w:tc>
          <w:tcPr>
            <w:cnfStyle w:val="001000000000" w:firstRow="0" w:lastRow="0" w:firstColumn="1" w:lastColumn="0" w:oddVBand="0" w:evenVBand="0" w:oddHBand="0" w:evenHBand="0" w:firstRowFirstColumn="0" w:firstRowLastColumn="0" w:lastRowFirstColumn="0" w:lastRowLastColumn="0"/>
            <w:tcW w:w="0" w:type="auto"/>
          </w:tcPr>
          <w:p w14:paraId="4AA8551B" w14:textId="7695357A" w:rsidR="00EE606B" w:rsidRPr="00F91C8D" w:rsidRDefault="000F7EC4" w:rsidP="00E87C76">
            <w:pPr>
              <w:jc w:val="center"/>
              <w:rPr>
                <w:rFonts w:cs="Arial"/>
              </w:rPr>
            </w:pPr>
            <w:r w:rsidRPr="00F91C8D">
              <w:rPr>
                <w:rFonts w:cs="Arial"/>
              </w:rPr>
              <w:t>MARQUE</w:t>
            </w:r>
          </w:p>
        </w:tc>
        <w:tc>
          <w:tcPr>
            <w:tcW w:w="0" w:type="auto"/>
          </w:tcPr>
          <w:p w14:paraId="36D5CFA4" w14:textId="0223DA7A" w:rsidR="00EE606B" w:rsidRPr="00F91C8D" w:rsidRDefault="00EE606B" w:rsidP="003E58B0">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91C8D">
              <w:rPr>
                <w:rFonts w:ascii="Arial" w:hAnsi="Arial" w:cs="Arial"/>
                <w:sz w:val="22"/>
                <w:szCs w:val="22"/>
              </w:rPr>
              <w:t>Managing Agitation and Raising Quality of Life in Dementia</w:t>
            </w:r>
          </w:p>
        </w:tc>
      </w:tr>
      <w:tr w:rsidR="0019361E" w:rsidRPr="00F91C8D" w14:paraId="4D0B500B" w14:textId="77777777" w:rsidTr="00E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20F17D2" w14:textId="39146D1E" w:rsidR="0019361E" w:rsidRPr="00F91C8D" w:rsidRDefault="0019361E" w:rsidP="00E87C76">
            <w:pPr>
              <w:jc w:val="center"/>
              <w:rPr>
                <w:rFonts w:cs="Arial"/>
              </w:rPr>
            </w:pPr>
            <w:r w:rsidRPr="00F91C8D">
              <w:rPr>
                <w:rFonts w:cs="Arial"/>
              </w:rPr>
              <w:t>NAPA</w:t>
            </w:r>
          </w:p>
        </w:tc>
        <w:tc>
          <w:tcPr>
            <w:tcW w:w="0" w:type="auto"/>
          </w:tcPr>
          <w:p w14:paraId="2811C6FB" w14:textId="70B76D1E" w:rsidR="0019361E" w:rsidRPr="00F91C8D" w:rsidRDefault="0019361E" w:rsidP="003E58B0">
            <w:pPr>
              <w:pStyle w:val="paragraph"/>
              <w:spacing w:line="360" w:lineRule="auto"/>
              <w:ind w:left="108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91C8D">
              <w:rPr>
                <w:rFonts w:ascii="Arial" w:hAnsi="Arial" w:cs="Arial"/>
                <w:sz w:val="22"/>
                <w:szCs w:val="22"/>
              </w:rPr>
              <w:t>National Activity Providers Association</w:t>
            </w:r>
          </w:p>
        </w:tc>
      </w:tr>
      <w:tr w:rsidR="0097542E" w:rsidRPr="00F91C8D" w14:paraId="21C2356D" w14:textId="77777777" w:rsidTr="00E87C76">
        <w:tc>
          <w:tcPr>
            <w:cnfStyle w:val="001000000000" w:firstRow="0" w:lastRow="0" w:firstColumn="1" w:lastColumn="0" w:oddVBand="0" w:evenVBand="0" w:oddHBand="0" w:evenHBand="0" w:firstRowFirstColumn="0" w:firstRowLastColumn="0" w:lastRowFirstColumn="0" w:lastRowLastColumn="0"/>
            <w:tcW w:w="0" w:type="auto"/>
          </w:tcPr>
          <w:p w14:paraId="192608B3" w14:textId="6664E4E3" w:rsidR="0097542E" w:rsidRPr="00F91C8D" w:rsidRDefault="001C135D" w:rsidP="00E87C76">
            <w:pPr>
              <w:jc w:val="center"/>
              <w:rPr>
                <w:rFonts w:cs="Arial"/>
              </w:rPr>
            </w:pPr>
            <w:r>
              <w:rPr>
                <w:rFonts w:cs="Arial"/>
              </w:rPr>
              <w:t>ALL</w:t>
            </w:r>
          </w:p>
        </w:tc>
        <w:tc>
          <w:tcPr>
            <w:tcW w:w="0" w:type="auto"/>
          </w:tcPr>
          <w:p w14:paraId="6328729F" w14:textId="1889C499" w:rsidR="0097542E" w:rsidRPr="001C135D" w:rsidRDefault="001C135D" w:rsidP="003E58B0">
            <w:pPr>
              <w:pStyle w:val="paragraph"/>
              <w:spacing w:line="360" w:lineRule="auto"/>
              <w:ind w:left="108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C135D">
              <w:rPr>
                <w:rFonts w:ascii="Arial" w:eastAsia="Calibri Light" w:hAnsi="Arial" w:cs="Arial"/>
                <w:sz w:val="22"/>
                <w:szCs w:val="22"/>
                <w:lang w:eastAsia="en-GB" w:bidi="en-GB"/>
              </w:rPr>
              <w:t xml:space="preserve">Ambient Assisted Living </w:t>
            </w:r>
          </w:p>
        </w:tc>
      </w:tr>
    </w:tbl>
    <w:p w14:paraId="4BC66D2F" w14:textId="275A348E" w:rsidR="00BD2909" w:rsidRPr="00F91C8D" w:rsidRDefault="00EB61E9" w:rsidP="00EB61E9">
      <w:pPr>
        <w:rPr>
          <w:rFonts w:cs="Arial"/>
          <w:sz w:val="16"/>
          <w:szCs w:val="16"/>
        </w:rPr>
      </w:pPr>
      <w:r w:rsidRPr="00F91C8D">
        <w:rPr>
          <w:rStyle w:val="eop"/>
          <w:rFonts w:cs="Arial"/>
        </w:rPr>
        <w:lastRenderedPageBreak/>
        <w:t>These acronyms and abbreviations are used consistently throughout this dissertation to refer to institutions, tests, and terms that are commonly used in UK dementia care.</w:t>
      </w:r>
    </w:p>
    <w:p w14:paraId="5D845BC8" w14:textId="77777777" w:rsidR="00E1525C" w:rsidRDefault="00E1525C" w:rsidP="00BD2909">
      <w:pPr>
        <w:pStyle w:val="paragraph"/>
        <w:spacing w:before="0" w:beforeAutospacing="0" w:after="0" w:afterAutospacing="0" w:line="360" w:lineRule="auto"/>
        <w:textAlignment w:val="baseline"/>
        <w:rPr>
          <w:rStyle w:val="normaltextrun"/>
          <w:rFonts w:ascii="Arial" w:hAnsi="Arial" w:cs="Arial"/>
          <w:color w:val="0F4761"/>
        </w:rPr>
      </w:pPr>
    </w:p>
    <w:p w14:paraId="165773A7" w14:textId="39C1DD9A" w:rsidR="00BD2909" w:rsidRPr="00F91C8D"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1.3 Rationale for Research</w:t>
      </w:r>
    </w:p>
    <w:p w14:paraId="0292D0BD" w14:textId="1BC5EC4C" w:rsidR="002D2571" w:rsidRDefault="00121F32" w:rsidP="00121F32">
      <w:pPr>
        <w:pStyle w:val="paragraph"/>
        <w:spacing w:before="0" w:beforeAutospacing="0" w:after="0" w:afterAutospacing="0" w:line="360" w:lineRule="auto"/>
        <w:textAlignment w:val="baseline"/>
        <w:rPr>
          <w:rStyle w:val="normaltextrun"/>
          <w:rFonts w:ascii="Arial" w:hAnsi="Arial" w:cs="Arial"/>
          <w:sz w:val="22"/>
          <w:szCs w:val="22"/>
        </w:rPr>
      </w:pPr>
      <w:r w:rsidRPr="00F91C8D">
        <w:rPr>
          <w:rStyle w:val="normaltextrun"/>
          <w:rFonts w:ascii="Arial" w:hAnsi="Arial" w:cs="Arial"/>
          <w:sz w:val="22"/>
          <w:szCs w:val="22"/>
        </w:rPr>
        <w:t>This dissertation contrasts the comparative</w:t>
      </w:r>
      <w:r w:rsidR="0068521A">
        <w:rPr>
          <w:rStyle w:val="normaltextrun"/>
          <w:rFonts w:ascii="Arial" w:hAnsi="Arial" w:cs="Arial"/>
          <w:sz w:val="22"/>
          <w:szCs w:val="22"/>
        </w:rPr>
        <w:t xml:space="preserve"> quality of care received by people with dementia within care home environments with those staying at home in the UK, a subject brought increasingly into focus by increasing diagnoses</w:t>
      </w:r>
      <w:r w:rsidRPr="00F91C8D">
        <w:rPr>
          <w:rStyle w:val="normaltextrun"/>
          <w:rFonts w:ascii="Arial" w:hAnsi="Arial" w:cs="Arial"/>
          <w:sz w:val="22"/>
          <w:szCs w:val="22"/>
        </w:rPr>
        <w:t xml:space="preserve"> and pressure on residential and community-based care establishments. Dementia is a </w:t>
      </w:r>
      <w:r w:rsidR="00F63CB5" w:rsidRPr="00F91C8D">
        <w:rPr>
          <w:rStyle w:val="normaltextrun"/>
          <w:rFonts w:ascii="Arial" w:hAnsi="Arial" w:cs="Arial"/>
          <w:sz w:val="22"/>
          <w:szCs w:val="22"/>
        </w:rPr>
        <w:t>progressive disease that impacts the memory, cognition, and activities of daily living in</w:t>
      </w:r>
      <w:r w:rsidRPr="00F91C8D">
        <w:rPr>
          <w:rStyle w:val="normaltextrun"/>
          <w:rFonts w:ascii="Arial" w:hAnsi="Arial" w:cs="Arial"/>
          <w:sz w:val="22"/>
          <w:szCs w:val="22"/>
        </w:rPr>
        <w:t xml:space="preserve"> large numbers of people, families, and carers. With the UK population anticipated to be more than 11 million individuals over 65 years of age by 2023 (Office for National Statistics, 2023), demand for dementia care continues. Alzheimer's Society (2023) states that there are more than 900,000 people with dementia in the UK and that this will increase to 1.6 million by 2040. </w:t>
      </w:r>
    </w:p>
    <w:p w14:paraId="5CC108B4" w14:textId="61819CDB" w:rsidR="00121F32" w:rsidRPr="00F91C8D" w:rsidRDefault="00121F32" w:rsidP="00121F32">
      <w:pPr>
        <w:pStyle w:val="paragraph"/>
        <w:spacing w:before="0" w:beforeAutospacing="0" w:after="0" w:afterAutospacing="0" w:line="360" w:lineRule="auto"/>
        <w:textAlignment w:val="baseline"/>
        <w:rPr>
          <w:rStyle w:val="normaltextrun"/>
          <w:rFonts w:ascii="Arial" w:hAnsi="Arial" w:cs="Arial"/>
          <w:sz w:val="22"/>
          <w:szCs w:val="22"/>
        </w:rPr>
      </w:pPr>
      <w:r w:rsidRPr="00F91C8D">
        <w:rPr>
          <w:rStyle w:val="normaltextrun"/>
          <w:rFonts w:ascii="Arial" w:hAnsi="Arial" w:cs="Arial"/>
          <w:sz w:val="22"/>
          <w:szCs w:val="22"/>
        </w:rPr>
        <w:t xml:space="preserve">Care homes offer </w:t>
      </w:r>
      <w:r w:rsidR="00F63CB5" w:rsidRPr="00F91C8D">
        <w:rPr>
          <w:rStyle w:val="normaltextrun"/>
          <w:rFonts w:ascii="Arial" w:hAnsi="Arial" w:cs="Arial"/>
          <w:sz w:val="22"/>
          <w:szCs w:val="22"/>
        </w:rPr>
        <w:t>organised management and professional care, allowing medical oversight and social interaction,</w:t>
      </w:r>
      <w:r w:rsidRPr="00F91C8D">
        <w:rPr>
          <w:rStyle w:val="normaltextrun"/>
          <w:rFonts w:ascii="Arial" w:hAnsi="Arial" w:cs="Arial"/>
          <w:sz w:val="22"/>
          <w:szCs w:val="22"/>
        </w:rPr>
        <w:t xml:space="preserve"> but less often addressing emotional and psychological needs (Ballard et al., 2018). In contrast, home care enables people to stay in familiar settings, supporting </w:t>
      </w:r>
      <w:r w:rsidR="0068521A">
        <w:rPr>
          <w:rStyle w:val="normaltextrun"/>
          <w:rFonts w:ascii="Arial" w:hAnsi="Arial" w:cs="Arial"/>
          <w:sz w:val="22"/>
          <w:szCs w:val="22"/>
        </w:rPr>
        <w:t xml:space="preserve">identity and emotional security, but is highly demanding on informal carers, who provide </w:t>
      </w:r>
      <w:r w:rsidRPr="00F91C8D">
        <w:rPr>
          <w:rStyle w:val="normaltextrun"/>
          <w:rFonts w:ascii="Arial" w:hAnsi="Arial" w:cs="Arial"/>
          <w:sz w:val="22"/>
          <w:szCs w:val="22"/>
        </w:rPr>
        <w:t xml:space="preserve">approximately 70% of dementia care (Carers UK, 2021) and frequently lack adequate medical or emotional support (Diminic et al., 2019). Despite the merits of each model, knowledge gaps </w:t>
      </w:r>
      <w:r w:rsidR="002D2571">
        <w:rPr>
          <w:rStyle w:val="normaltextrun"/>
          <w:rFonts w:ascii="Arial" w:hAnsi="Arial" w:cs="Arial"/>
          <w:sz w:val="22"/>
          <w:szCs w:val="22"/>
        </w:rPr>
        <w:t>persist regarding their relative effectiveness</w:t>
      </w:r>
      <w:r w:rsidRPr="00F91C8D">
        <w:rPr>
          <w:rStyle w:val="normaltextrun"/>
          <w:rFonts w:ascii="Arial" w:hAnsi="Arial" w:cs="Arial"/>
          <w:sz w:val="22"/>
          <w:szCs w:val="22"/>
        </w:rPr>
        <w:t xml:space="preserve">. This dissertation </w:t>
      </w:r>
      <w:r w:rsidR="002D2571">
        <w:rPr>
          <w:rStyle w:val="normaltextrun"/>
          <w:rFonts w:ascii="Arial" w:hAnsi="Arial" w:cs="Arial"/>
          <w:sz w:val="22"/>
          <w:szCs w:val="22"/>
        </w:rPr>
        <w:t xml:space="preserve">aims to address existing gaps by exploring well-being, safety, and satisfaction within care homes and home care environments, to present findings that inform policy and practice guidance </w:t>
      </w:r>
      <w:r w:rsidRPr="00F91C8D">
        <w:rPr>
          <w:rStyle w:val="normaltextrun"/>
          <w:rFonts w:ascii="Arial" w:hAnsi="Arial" w:cs="Arial"/>
          <w:sz w:val="22"/>
          <w:szCs w:val="22"/>
        </w:rPr>
        <w:t>for dementia care (Heward et al., 2022; Hayward et al., 2023; Reilly et al., 2015).</w:t>
      </w:r>
    </w:p>
    <w:p w14:paraId="34056DB0" w14:textId="77777777" w:rsidR="00121F32" w:rsidRPr="00F91C8D" w:rsidRDefault="00121F32" w:rsidP="00BD2909">
      <w:pPr>
        <w:pStyle w:val="paragraph"/>
        <w:spacing w:before="0" w:beforeAutospacing="0" w:after="0" w:afterAutospacing="0" w:line="360" w:lineRule="auto"/>
        <w:textAlignment w:val="baseline"/>
        <w:rPr>
          <w:rStyle w:val="normaltextrun"/>
          <w:rFonts w:ascii="Arial" w:hAnsi="Arial" w:cs="Arial"/>
          <w:sz w:val="22"/>
          <w:szCs w:val="22"/>
        </w:rPr>
      </w:pPr>
    </w:p>
    <w:p w14:paraId="669241A7" w14:textId="18590092" w:rsidR="00BD2909" w:rsidRPr="00F91C8D"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 xml:space="preserve">1.4 Aim and Objectives </w:t>
      </w:r>
    </w:p>
    <w:p w14:paraId="13ED95C9" w14:textId="77777777" w:rsidR="00BD2909" w:rsidRPr="00F91C8D" w:rsidRDefault="00BD2909" w:rsidP="001E631D">
      <w:pPr>
        <w:pStyle w:val="paragraph"/>
        <w:numPr>
          <w:ilvl w:val="0"/>
          <w:numId w:val="4"/>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Research Aim:</w:t>
      </w:r>
      <w:r w:rsidRPr="00F91C8D">
        <w:rPr>
          <w:rStyle w:val="eop"/>
          <w:rFonts w:ascii="Arial" w:hAnsi="Arial" w:cs="Arial"/>
          <w:sz w:val="22"/>
          <w:szCs w:val="22"/>
        </w:rPr>
        <w:t> </w:t>
      </w:r>
    </w:p>
    <w:p w14:paraId="5744FC10" w14:textId="57B6E0C0" w:rsidR="000A04D4" w:rsidRPr="00F91C8D" w:rsidRDefault="0068521A" w:rsidP="00121F32">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This research aims to compare the quality of care given to dementia patients in care homes with those living at home, focusing on aspects such as medical attention, social support, mental stimulation, and well-being to determine the most effective care for these individuals and better guide decisions about their choice of caregiver. </w:t>
      </w:r>
    </w:p>
    <w:p w14:paraId="505E50CE" w14:textId="77777777" w:rsidR="00D90050" w:rsidRPr="00F91C8D" w:rsidRDefault="00D90050" w:rsidP="00D90050">
      <w:pPr>
        <w:pStyle w:val="paragraph"/>
        <w:spacing w:before="0" w:beforeAutospacing="0" w:after="0" w:afterAutospacing="0" w:line="360" w:lineRule="auto"/>
        <w:textAlignment w:val="baseline"/>
        <w:rPr>
          <w:rStyle w:val="normaltextrun"/>
          <w:rFonts w:ascii="Arial" w:hAnsi="Arial" w:cs="Arial"/>
          <w:sz w:val="22"/>
          <w:szCs w:val="22"/>
        </w:rPr>
      </w:pPr>
    </w:p>
    <w:p w14:paraId="79904C54" w14:textId="50330547" w:rsidR="00D90050" w:rsidRPr="00F91C8D" w:rsidRDefault="00BD2909" w:rsidP="001E631D">
      <w:pPr>
        <w:pStyle w:val="paragraph"/>
        <w:numPr>
          <w:ilvl w:val="0"/>
          <w:numId w:val="4"/>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Research Objectives:</w:t>
      </w:r>
      <w:r w:rsidRPr="00F91C8D">
        <w:rPr>
          <w:rStyle w:val="eop"/>
          <w:rFonts w:ascii="Arial" w:hAnsi="Arial" w:cs="Arial"/>
          <w:sz w:val="22"/>
          <w:szCs w:val="22"/>
        </w:rPr>
        <w:t> </w:t>
      </w:r>
    </w:p>
    <w:p w14:paraId="78F45682" w14:textId="4F3E1296" w:rsidR="00121F32" w:rsidRPr="00F91C8D" w:rsidRDefault="00121F32" w:rsidP="001E631D">
      <w:pPr>
        <w:pStyle w:val="ListParagraph"/>
        <w:numPr>
          <w:ilvl w:val="0"/>
          <w:numId w:val="4"/>
        </w:numPr>
        <w:spacing w:line="360" w:lineRule="auto"/>
        <w:rPr>
          <w:rFonts w:ascii="Arial" w:hAnsi="Arial" w:cs="Arial"/>
        </w:rPr>
      </w:pPr>
      <w:r w:rsidRPr="00F91C8D">
        <w:rPr>
          <w:rFonts w:ascii="Arial" w:hAnsi="Arial" w:cs="Arial"/>
        </w:rPr>
        <w:t>Outline and explain the different levels of care available for dementia patients in elderly care facilities, considering health policies, caregiving approaches, and support mechanisms. </w:t>
      </w:r>
    </w:p>
    <w:p w14:paraId="04F2B640" w14:textId="2E24A797" w:rsidR="00121F32" w:rsidRPr="00F91C8D" w:rsidRDefault="00121F32" w:rsidP="001E631D">
      <w:pPr>
        <w:pStyle w:val="ListParagraph"/>
        <w:numPr>
          <w:ilvl w:val="0"/>
          <w:numId w:val="4"/>
        </w:numPr>
        <w:spacing w:line="360" w:lineRule="auto"/>
        <w:rPr>
          <w:rFonts w:ascii="Arial" w:hAnsi="Arial" w:cs="Arial"/>
        </w:rPr>
      </w:pPr>
      <w:r w:rsidRPr="00F91C8D">
        <w:rPr>
          <w:rFonts w:ascii="Arial" w:hAnsi="Arial" w:cs="Arial"/>
        </w:rPr>
        <w:t xml:space="preserve">Assess and compare the impacts of medical treatment, social engagement, and </w:t>
      </w:r>
      <w:r w:rsidRPr="00F91C8D">
        <w:rPr>
          <w:rFonts w:ascii="Arial" w:hAnsi="Arial" w:cs="Arial"/>
        </w:rPr>
        <w:lastRenderedPageBreak/>
        <w:t>cognitive stimulation on the well-being of dementia patients across these environments. </w:t>
      </w:r>
    </w:p>
    <w:p w14:paraId="37581FF0" w14:textId="311F1584" w:rsidR="00121F32" w:rsidRPr="00F91C8D" w:rsidRDefault="00121F32" w:rsidP="001E631D">
      <w:pPr>
        <w:pStyle w:val="ListParagraph"/>
        <w:numPr>
          <w:ilvl w:val="0"/>
          <w:numId w:val="4"/>
        </w:numPr>
        <w:spacing w:line="360" w:lineRule="auto"/>
        <w:rPr>
          <w:rFonts w:ascii="Arial" w:hAnsi="Arial" w:cs="Arial"/>
        </w:rPr>
      </w:pPr>
      <w:r w:rsidRPr="00F91C8D">
        <w:rPr>
          <w:rFonts w:ascii="Arial" w:hAnsi="Arial" w:cs="Arial"/>
        </w:rPr>
        <w:t>Conduct a thematic analysis to identify the strengths and weaknesses of each care model concerning patient results, family involvement, and resource accessibility. </w:t>
      </w:r>
    </w:p>
    <w:p w14:paraId="61462B77" w14:textId="78452BEC" w:rsidR="000A04D4" w:rsidRPr="00F91C8D" w:rsidRDefault="00121F32" w:rsidP="001E631D">
      <w:pPr>
        <w:pStyle w:val="ListParagraph"/>
        <w:numPr>
          <w:ilvl w:val="0"/>
          <w:numId w:val="4"/>
        </w:numPr>
        <w:spacing w:line="360" w:lineRule="auto"/>
        <w:rPr>
          <w:rFonts w:ascii="Arial" w:hAnsi="Arial" w:cs="Arial"/>
        </w:rPr>
      </w:pPr>
      <w:r w:rsidRPr="00F91C8D">
        <w:rPr>
          <w:rFonts w:ascii="Arial" w:hAnsi="Arial" w:cs="Arial"/>
        </w:rPr>
        <w:t>Provide best-practice suggestions to improve dementia care, focusing on areas where service delivery can be enhanced for better patient outcomes. </w:t>
      </w:r>
    </w:p>
    <w:p w14:paraId="422EE713" w14:textId="0D3E7BCE" w:rsidR="00C65AFD" w:rsidRPr="002D2571" w:rsidRDefault="00BD2909" w:rsidP="00BD2909">
      <w:pPr>
        <w:pStyle w:val="paragraph"/>
        <w:spacing w:before="0" w:beforeAutospacing="0" w:after="0" w:afterAutospacing="0" w:line="360" w:lineRule="auto"/>
        <w:textAlignment w:val="baseline"/>
        <w:rPr>
          <w:rStyle w:val="normaltextrun"/>
          <w:rFonts w:ascii="Arial" w:hAnsi="Arial" w:cs="Arial"/>
          <w:sz w:val="16"/>
          <w:szCs w:val="16"/>
        </w:rPr>
      </w:pPr>
      <w:r w:rsidRPr="00F91C8D">
        <w:rPr>
          <w:rStyle w:val="eop"/>
          <w:rFonts w:ascii="Arial" w:hAnsi="Arial" w:cs="Arial"/>
          <w:sz w:val="22"/>
          <w:szCs w:val="22"/>
        </w:rPr>
        <w:t> </w:t>
      </w:r>
    </w:p>
    <w:p w14:paraId="363401D9" w14:textId="77777777" w:rsidR="00C65AFD" w:rsidRPr="00F91C8D" w:rsidRDefault="00C65AFD" w:rsidP="00BD2909">
      <w:pPr>
        <w:pStyle w:val="paragraph"/>
        <w:spacing w:before="0" w:beforeAutospacing="0" w:after="0" w:afterAutospacing="0" w:line="360" w:lineRule="auto"/>
        <w:textAlignment w:val="baseline"/>
        <w:rPr>
          <w:rStyle w:val="normaltextrun"/>
          <w:rFonts w:ascii="Arial" w:hAnsi="Arial" w:cs="Arial"/>
          <w:color w:val="0F4761"/>
        </w:rPr>
      </w:pPr>
    </w:p>
    <w:p w14:paraId="4FCBBEC2" w14:textId="0F2F0F68" w:rsidR="00BD2909" w:rsidRPr="00F91C8D" w:rsidRDefault="00BD2909" w:rsidP="00BD2909">
      <w:pPr>
        <w:pStyle w:val="paragraph"/>
        <w:spacing w:before="0" w:beforeAutospacing="0" w:after="0" w:afterAutospacing="0" w:line="360" w:lineRule="auto"/>
        <w:textAlignment w:val="baseline"/>
        <w:rPr>
          <w:rStyle w:val="eop"/>
          <w:rFonts w:ascii="Arial" w:hAnsi="Arial" w:cs="Arial"/>
          <w:color w:val="0F4761"/>
        </w:rPr>
      </w:pPr>
      <w:r w:rsidRPr="00F91C8D">
        <w:rPr>
          <w:rStyle w:val="normaltextrun"/>
          <w:rFonts w:ascii="Arial" w:hAnsi="Arial" w:cs="Arial"/>
          <w:color w:val="0F4761"/>
        </w:rPr>
        <w:t xml:space="preserve">1.5 Conclusion </w:t>
      </w:r>
    </w:p>
    <w:p w14:paraId="7C6AE13C" w14:textId="77777777" w:rsidR="007B65CD" w:rsidRPr="00F91C8D" w:rsidRDefault="007B65CD" w:rsidP="00BD2909">
      <w:pPr>
        <w:pStyle w:val="paragraph"/>
        <w:spacing w:before="0" w:beforeAutospacing="0" w:after="0" w:afterAutospacing="0" w:line="360" w:lineRule="auto"/>
        <w:textAlignment w:val="baseline"/>
        <w:rPr>
          <w:rFonts w:ascii="Arial" w:hAnsi="Arial" w:cs="Arial"/>
          <w:color w:val="0F4761"/>
          <w:sz w:val="16"/>
          <w:szCs w:val="16"/>
        </w:rPr>
      </w:pPr>
    </w:p>
    <w:p w14:paraId="576003A4" w14:textId="189447B5" w:rsidR="00121F32" w:rsidRPr="00F91C8D" w:rsidRDefault="002D2571" w:rsidP="00121F32">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Chapter 1 outlines the purpose of the dissertation, which is to evaluate the quality of care for people with dementia in care homes compared to those receiving care in their own homes in the UK. It highlights the increasing need for dementia care, driven by an ageing population and rising dementia diagnoses. The chapter also discusses the advantages and disadvantages of each care setting, noting that care homes offer structured care and professional support but may not promote independence as well. Conversely, home care encourages independence but places significant pressure on informal carers. The research aims to fill a gap in comparative studies by measuring effectiveness, wellbeing, safety, and satisfaction across different environments. Through this analysis, the dissertation intends to provide valuable insights to inform policy and improve practice in dementia care in the UK. The chapter sets the context for understanding the critical issues in dementia care, emphasising the importance of these care models in improving the lives of people with dementia.</w:t>
      </w:r>
    </w:p>
    <w:p w14:paraId="6F405D53" w14:textId="77777777" w:rsidR="00B65ACC" w:rsidRPr="00F91C8D" w:rsidRDefault="00B65ACC" w:rsidP="00B65ACC">
      <w:pPr>
        <w:pStyle w:val="paragraph"/>
        <w:spacing w:before="0" w:beforeAutospacing="0" w:after="0" w:afterAutospacing="0" w:line="360" w:lineRule="auto"/>
        <w:textAlignment w:val="baseline"/>
        <w:rPr>
          <w:rStyle w:val="normaltextrun"/>
          <w:rFonts w:ascii="Arial" w:hAnsi="Arial" w:cs="Arial"/>
          <w:sz w:val="22"/>
          <w:szCs w:val="22"/>
        </w:rPr>
      </w:pPr>
    </w:p>
    <w:p w14:paraId="60BC6C87" w14:textId="166657BB" w:rsidR="00BD2909" w:rsidRPr="00F91C8D" w:rsidRDefault="00BD2909" w:rsidP="001E631D">
      <w:pPr>
        <w:pStyle w:val="paragraph"/>
        <w:numPr>
          <w:ilvl w:val="0"/>
          <w:numId w:val="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Signposting to Chapter 2:</w:t>
      </w:r>
      <w:r w:rsidRPr="00F91C8D">
        <w:rPr>
          <w:rStyle w:val="eop"/>
          <w:rFonts w:ascii="Arial" w:hAnsi="Arial" w:cs="Arial"/>
          <w:sz w:val="22"/>
          <w:szCs w:val="22"/>
        </w:rPr>
        <w:t> </w:t>
      </w:r>
    </w:p>
    <w:p w14:paraId="68CFBDC1" w14:textId="77777777" w:rsidR="0068521A" w:rsidRDefault="002D2571">
      <w:pPr>
        <w:rPr>
          <w:rStyle w:val="normaltextrun"/>
          <w:rFonts w:eastAsia="Times New Roman" w:cs="Arial"/>
          <w:kern w:val="0"/>
          <w14:ligatures w14:val="none"/>
        </w:rPr>
      </w:pPr>
      <w:r>
        <w:rPr>
          <w:rStyle w:val="normaltextrun"/>
          <w:rFonts w:eastAsia="Times New Roman" w:cs="Arial"/>
          <w:kern w:val="0"/>
          <w14:ligatures w14:val="none"/>
        </w:rPr>
        <w:t xml:space="preserve">Chapter 2, "Background Information and Analysis," presents a comprehensive literature review and examines current theoretical models of dementia care. The chapter explores the history and contemporary landscape of dementia care, encompassing the evolution of care models, patient and caregiver experiences, as well as policy and healthcare services in the UK. It also examines classic studies comparing care home environments with home care and summarises the strengths and limitations of each model. </w:t>
      </w:r>
    </w:p>
    <w:p w14:paraId="4A886E55" w14:textId="2A325ABD" w:rsidR="00730C3C" w:rsidRPr="00F91C8D" w:rsidRDefault="0068521A">
      <w:pPr>
        <w:rPr>
          <w:rFonts w:cs="Arial"/>
        </w:rPr>
      </w:pPr>
      <w:r>
        <w:rPr>
          <w:rStyle w:val="normaltextrun"/>
          <w:rFonts w:eastAsia="Times New Roman" w:cs="Arial"/>
          <w:kern w:val="0"/>
          <w14:ligatures w14:val="none"/>
        </w:rPr>
        <w:t>This chapter aims</w:t>
      </w:r>
      <w:r w:rsidR="002D2571">
        <w:rPr>
          <w:rStyle w:val="normaltextrun"/>
          <w:rFonts w:eastAsia="Times New Roman" w:cs="Arial"/>
          <w:kern w:val="0"/>
          <w14:ligatures w14:val="none"/>
        </w:rPr>
        <w:t xml:space="preserve"> to establish a solid background of information and set the context for the research methods and data analysis in the following chapters. By critically analysing the context of dementia care, Chapter 2 will frame the research aim of the dissertation, emphasising the importance of comparing different care settings.</w:t>
      </w:r>
    </w:p>
    <w:p w14:paraId="1BF2BE46" w14:textId="77777777" w:rsidR="00DC37A1" w:rsidRDefault="00DC37A1" w:rsidP="00F63CB5">
      <w:pPr>
        <w:pStyle w:val="Heading1"/>
        <w:ind w:left="0"/>
        <w:rPr>
          <w:rFonts w:cs="Arial"/>
        </w:rPr>
      </w:pPr>
    </w:p>
    <w:p w14:paraId="3A61D304" w14:textId="77777777" w:rsidR="00DC37A1" w:rsidRDefault="00DC37A1" w:rsidP="00F63CB5">
      <w:pPr>
        <w:pStyle w:val="Heading1"/>
        <w:ind w:left="0"/>
        <w:rPr>
          <w:rFonts w:cs="Arial"/>
        </w:rPr>
      </w:pPr>
    </w:p>
    <w:p w14:paraId="3A28157F" w14:textId="67BF8BC4" w:rsidR="000D0641" w:rsidRPr="00F91C8D" w:rsidRDefault="000D0641" w:rsidP="00F31354">
      <w:pPr>
        <w:pStyle w:val="Heading1"/>
      </w:pPr>
      <w:bookmarkStart w:id="4" w:name="_Toc204256357"/>
      <w:r w:rsidRPr="00F91C8D">
        <w:t xml:space="preserve">CHAPTER 2 – </w:t>
      </w:r>
      <w:r w:rsidR="00BD2909" w:rsidRPr="00F91C8D">
        <w:t xml:space="preserve">Background </w:t>
      </w:r>
      <w:r w:rsidR="00F44833" w:rsidRPr="00F91C8D">
        <w:t xml:space="preserve">Information and </w:t>
      </w:r>
      <w:r w:rsidR="00BD2909" w:rsidRPr="00F91C8D">
        <w:t>Analysis</w:t>
      </w:r>
      <w:bookmarkEnd w:id="4"/>
      <w:r w:rsidRPr="00F91C8D">
        <w:t xml:space="preserve"> </w:t>
      </w:r>
    </w:p>
    <w:p w14:paraId="6BA7DF87" w14:textId="77777777" w:rsidR="00BD2909" w:rsidRPr="00F91C8D" w:rsidRDefault="00BD2909" w:rsidP="00BD2909">
      <w:pPr>
        <w:pStyle w:val="paragraph"/>
        <w:spacing w:before="0" w:beforeAutospacing="0" w:after="0" w:afterAutospacing="0"/>
        <w:textAlignment w:val="baseline"/>
        <w:rPr>
          <w:rFonts w:ascii="Arial" w:hAnsi="Arial" w:cs="Arial"/>
          <w:color w:val="0F4761"/>
          <w:sz w:val="18"/>
          <w:szCs w:val="18"/>
        </w:rPr>
      </w:pPr>
      <w:r w:rsidRPr="00F91C8D">
        <w:rPr>
          <w:rStyle w:val="eop"/>
          <w:rFonts w:ascii="Arial" w:eastAsia="Calibri Light" w:hAnsi="Arial" w:cs="Arial"/>
          <w:color w:val="0F4761"/>
          <w:sz w:val="40"/>
          <w:szCs w:val="40"/>
        </w:rPr>
        <w:t> </w:t>
      </w:r>
    </w:p>
    <w:p w14:paraId="223734F5" w14:textId="3B3B582B" w:rsidR="00BD2909" w:rsidRPr="00F91C8D"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 xml:space="preserve">2.1 Introduction </w:t>
      </w:r>
    </w:p>
    <w:p w14:paraId="3AF758AC" w14:textId="77777777" w:rsidR="00BD2909" w:rsidRPr="00F91C8D" w:rsidRDefault="00BD2909" w:rsidP="00F44833">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3E1184C4" w14:textId="77777777" w:rsidR="00BD2909" w:rsidRPr="00F91C8D" w:rsidRDefault="00BD2909" w:rsidP="001E631D">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Purpose of the Chapter:</w:t>
      </w:r>
      <w:r w:rsidRPr="00F91C8D">
        <w:rPr>
          <w:rStyle w:val="eop"/>
          <w:rFonts w:ascii="Arial" w:eastAsia="Calibri Light" w:hAnsi="Arial" w:cs="Arial"/>
          <w:sz w:val="22"/>
          <w:szCs w:val="22"/>
        </w:rPr>
        <w:t> </w:t>
      </w:r>
    </w:p>
    <w:p w14:paraId="1ADF7C27" w14:textId="0E4DC8B4" w:rsidR="00BD2909" w:rsidRPr="00F91C8D" w:rsidRDefault="002D2571" w:rsidP="00D90050">
      <w:pPr>
        <w:rPr>
          <w:rFonts w:cs="Arial"/>
          <w:sz w:val="16"/>
          <w:szCs w:val="16"/>
        </w:rPr>
      </w:pPr>
      <w:r>
        <w:rPr>
          <w:rStyle w:val="normaltextrun"/>
          <w:rFonts w:cs="Arial"/>
        </w:rPr>
        <w:t xml:space="preserve">The aim of Chapter 2 is to provide essential background information that sets the context for this research. It offers a historical overview of dementia care in the UK, highlighting how care practices have evolved in both care home and home settings. Additionally, it discusses relevant theoretical concepts and policy changes that influence current dementia care. By examining pertinent literature and contextual factors, this chapter establishes the foundation for the dissertation, explaining why comparing home-based care with care home options is </w:t>
      </w:r>
      <w:r w:rsidR="00D91C40">
        <w:rPr>
          <w:rStyle w:val="normaltextrun"/>
          <w:rFonts w:cs="Arial"/>
        </w:rPr>
        <w:t>essential</w:t>
      </w:r>
      <w:r>
        <w:rPr>
          <w:rStyle w:val="normaltextrun"/>
          <w:rFonts w:cs="Arial"/>
        </w:rPr>
        <w:t>. It serves as an informed starting point for the research, based on an understanding of existing systems, societal needs, and the challenges faced by individuals with dementia and their caregivers. Finally, Chapter 2 broadens the context, ensuring that the rationale for the study's focus is clear and that the subsequent analysis is justified. </w:t>
      </w:r>
    </w:p>
    <w:p w14:paraId="0AAAB744" w14:textId="23ACEE56" w:rsidR="00BD2909" w:rsidRPr="00F91C8D"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 xml:space="preserve">2.2 Historical Background </w:t>
      </w:r>
    </w:p>
    <w:p w14:paraId="52457009" w14:textId="77777777" w:rsidR="00BD2909" w:rsidRPr="00F91C8D" w:rsidRDefault="00BD2909" w:rsidP="00F44833">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2E9F7EDE" w14:textId="77777777" w:rsidR="007B65CD" w:rsidRPr="00F91C8D" w:rsidRDefault="00BD2909" w:rsidP="001E631D">
      <w:pPr>
        <w:pStyle w:val="paragraph"/>
        <w:numPr>
          <w:ilvl w:val="0"/>
          <w:numId w:val="8"/>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Development of the Topic:</w:t>
      </w:r>
      <w:r w:rsidRPr="00F91C8D">
        <w:rPr>
          <w:rStyle w:val="eop"/>
          <w:rFonts w:ascii="Arial" w:eastAsia="Calibri Light" w:hAnsi="Arial" w:cs="Arial"/>
          <w:sz w:val="22"/>
          <w:szCs w:val="22"/>
        </w:rPr>
        <w:t> </w:t>
      </w:r>
    </w:p>
    <w:p w14:paraId="5269A9F8" w14:textId="37F0F512" w:rsidR="00B14066" w:rsidRPr="00F91C8D" w:rsidRDefault="00D91C40" w:rsidP="007B65CD">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The care of people with dementia in the UK has evolved significantly over the last century. In the past, individuals with dementia were often placed in psychiatric units or care homes that prioritised containment over therapeutic intervention (Alzheimer's Society, 2023). The establishment of the NHS in 1948 brought gradual improvements, but dementia remained poorly understood and highly stigmatised during the mid-20th century.</w:t>
      </w:r>
    </w:p>
    <w:p w14:paraId="352F7A04" w14:textId="7B0AB8FE" w:rsidR="00B14066" w:rsidRPr="00F91C8D" w:rsidRDefault="002D2571" w:rsidP="00B14066">
      <w:pPr>
        <w:pStyle w:val="paragraph"/>
        <w:spacing w:after="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This was followed by a pivotal moment with the introduction of the National Dementia Strategy (2009), which emphasised early diagnosis, increased awareness, and improved </w:t>
      </w:r>
      <w:r w:rsidR="00D91C40">
        <w:rPr>
          <w:rStyle w:val="normaltextrun"/>
          <w:rFonts w:ascii="Arial" w:hAnsi="Arial" w:cs="Arial"/>
          <w:sz w:val="22"/>
          <w:szCs w:val="22"/>
        </w:rPr>
        <w:t xml:space="preserve">Care standards within residential and care homes (Department of Health and Social </w:t>
      </w:r>
      <w:r>
        <w:rPr>
          <w:rStyle w:val="normaltextrun"/>
          <w:rFonts w:ascii="Arial" w:hAnsi="Arial" w:cs="Arial"/>
          <w:sz w:val="22"/>
          <w:szCs w:val="22"/>
        </w:rPr>
        <w:t>Care, 2009). The Prime Minister's Challenge on Dementia, introduced in 2012 and updated in 2015, expanded on this approach by supporting innovation, empowering carers, and promoting dementia-friendly communities (Alzheimer's Society, 2023).</w:t>
      </w:r>
    </w:p>
    <w:p w14:paraId="77A72E89" w14:textId="6338FF3D" w:rsidR="00B14066" w:rsidRPr="00F91C8D" w:rsidRDefault="00D91C40" w:rsidP="00B14066">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These policy reforms marked a shift from institutional care to a person-centred, rights-based model, in response to growing societal awareness of the special emotional, psychological, and physical needs of people with dementia. This change in policy and practice has led to </w:t>
      </w:r>
      <w:r>
        <w:rPr>
          <w:rStyle w:val="normaltextrun"/>
          <w:rFonts w:ascii="Arial" w:hAnsi="Arial" w:cs="Arial"/>
          <w:sz w:val="22"/>
          <w:szCs w:val="22"/>
        </w:rPr>
        <w:lastRenderedPageBreak/>
        <w:t>recent debates about whether improved quality of care should be provided at home or in a residential care facility.</w:t>
      </w:r>
    </w:p>
    <w:p w14:paraId="2C157879" w14:textId="77777777" w:rsidR="003802C6" w:rsidRPr="00F91C8D" w:rsidRDefault="003802C6" w:rsidP="00B14066">
      <w:pPr>
        <w:pStyle w:val="paragraph"/>
        <w:spacing w:before="0" w:beforeAutospacing="0" w:after="0" w:afterAutospacing="0" w:line="360" w:lineRule="auto"/>
        <w:textAlignment w:val="baseline"/>
        <w:rPr>
          <w:rStyle w:val="normaltextrun"/>
          <w:rFonts w:ascii="Arial" w:hAnsi="Arial" w:cs="Arial"/>
          <w:sz w:val="22"/>
          <w:szCs w:val="22"/>
        </w:rPr>
      </w:pPr>
    </w:p>
    <w:p w14:paraId="545FCF5A" w14:textId="42B367F0" w:rsidR="00BD2909" w:rsidRPr="00F91C8D" w:rsidRDefault="00BD2909" w:rsidP="001E631D">
      <w:pPr>
        <w:pStyle w:val="paragraph"/>
        <w:numPr>
          <w:ilvl w:val="0"/>
          <w:numId w:val="9"/>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Significant Historical Figures and Contributions:</w:t>
      </w:r>
      <w:r w:rsidRPr="00F91C8D">
        <w:rPr>
          <w:rStyle w:val="eop"/>
          <w:rFonts w:ascii="Arial" w:eastAsia="Calibri Light" w:hAnsi="Arial" w:cs="Arial"/>
          <w:sz w:val="22"/>
          <w:szCs w:val="22"/>
        </w:rPr>
        <w:t> </w:t>
      </w:r>
    </w:p>
    <w:p w14:paraId="0F9D151D" w14:textId="22C452A3" w:rsidR="004672CD" w:rsidRPr="00F91C8D" w:rsidRDefault="00D91C40" w:rsidP="00493394">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eastAsia="Calibri Light" w:hAnsi="Arial" w:cs="Arial"/>
          <w:sz w:val="22"/>
          <w:szCs w:val="22"/>
        </w:rPr>
        <w:t>Several key individuals and groups have significantly influenced contemporary knowledge and practice in dementia care. One such individual is Thomas (Tom) Marris Kitwood (born 1937 in Boston; died 1st November 1998 in Bradford), a British social psychologist and gerontologist, whose person-centred theory transformed practice during the 1990s. Kitwood highlighted the emotional and interpersonal needs of people with dementia, challenging the prevailing biomedical approach that focuses solely on cognitive decline (Ballard et al., 2018). His model continues to guide care practices in both residential and community settings. At the policy and advocacy level, the Alzheimer's Society has been instrumental in raising awareness, promoting policy reform, and funding research. Their activism has helped decriminalise dementia conversations and improve practical support for carers (Alzheimer's Society, 2023). Key clinical leaders, such as Professor Alistair Burns, the National Clinical Director for Dementia at NHS England, have advocated for early diagnosis, coordinated care, and routine service provision (Reilly et al., 2015). Similarly, Dr Martin Orrell has contributed through systematic reviews of evidence on psychosocial interventions aimed at enhancing well-being among individuals with dementia in care homes and home environments (Diminic et al., 2019).</w:t>
      </w:r>
    </w:p>
    <w:p w14:paraId="183FB39B" w14:textId="43FADDFA" w:rsidR="004672CD" w:rsidRPr="00F91C8D" w:rsidRDefault="00F63CB5" w:rsidP="00493394">
      <w:pPr>
        <w:pStyle w:val="paragraph"/>
        <w:spacing w:after="0" w:line="360" w:lineRule="auto"/>
        <w:textAlignment w:val="baseline"/>
        <w:rPr>
          <w:rStyle w:val="eop"/>
          <w:rFonts w:ascii="Arial" w:eastAsia="Calibri Light" w:hAnsi="Arial" w:cs="Arial"/>
          <w:sz w:val="22"/>
          <w:szCs w:val="22"/>
        </w:rPr>
      </w:pPr>
      <w:r w:rsidRPr="00F91C8D">
        <w:rPr>
          <w:rStyle w:val="eop"/>
          <w:rFonts w:ascii="Arial" w:eastAsia="Calibri Light" w:hAnsi="Arial" w:cs="Arial"/>
          <w:sz w:val="22"/>
          <w:szCs w:val="22"/>
        </w:rPr>
        <w:t>Additionally, NICE guidelines have played a role in establishing standards of care and best practice in various</w:t>
      </w:r>
      <w:r w:rsidR="004672CD" w:rsidRPr="00F91C8D">
        <w:rPr>
          <w:rStyle w:val="eop"/>
          <w:rFonts w:ascii="Arial" w:eastAsia="Calibri Light" w:hAnsi="Arial" w:cs="Arial"/>
          <w:sz w:val="22"/>
          <w:szCs w:val="22"/>
        </w:rPr>
        <w:t xml:space="preserve"> settings (Hayward et al., 2023). Overall, these </w:t>
      </w:r>
      <w:r w:rsidRPr="00F91C8D">
        <w:rPr>
          <w:rStyle w:val="eop"/>
          <w:rFonts w:ascii="Arial" w:eastAsia="Calibri Light" w:hAnsi="Arial" w:cs="Arial"/>
          <w:sz w:val="22"/>
          <w:szCs w:val="22"/>
        </w:rPr>
        <w:t xml:space="preserve">initiatives have facilitated </w:t>
      </w:r>
      <w:r w:rsidR="00D91C40">
        <w:rPr>
          <w:rStyle w:val="eop"/>
          <w:rFonts w:ascii="Arial" w:eastAsia="Calibri Light" w:hAnsi="Arial" w:cs="Arial"/>
          <w:sz w:val="22"/>
          <w:szCs w:val="22"/>
        </w:rPr>
        <w:t xml:space="preserve">the move towards more compassionate, inclusive, and evidence-based approaches to dementia care </w:t>
      </w:r>
      <w:r w:rsidRPr="00F91C8D">
        <w:rPr>
          <w:rStyle w:val="eop"/>
          <w:rFonts w:ascii="Arial" w:eastAsia="Calibri Light" w:hAnsi="Arial" w:cs="Arial"/>
          <w:sz w:val="22"/>
          <w:szCs w:val="22"/>
        </w:rPr>
        <w:t>which can be translated to improve care quality in various</w:t>
      </w:r>
      <w:r w:rsidR="004672CD" w:rsidRPr="00F91C8D">
        <w:rPr>
          <w:rStyle w:val="eop"/>
          <w:rFonts w:ascii="Arial" w:eastAsia="Calibri Light" w:hAnsi="Arial" w:cs="Arial"/>
          <w:sz w:val="22"/>
          <w:szCs w:val="22"/>
        </w:rPr>
        <w:t xml:space="preserve"> settings.</w:t>
      </w:r>
    </w:p>
    <w:p w14:paraId="4D42201B" w14:textId="0721E3FD" w:rsidR="00BD2909" w:rsidRPr="00F91C8D" w:rsidRDefault="00BD2909" w:rsidP="00F44833">
      <w:pPr>
        <w:pStyle w:val="paragraph"/>
        <w:spacing w:before="0" w:beforeAutospacing="0" w:after="0" w:afterAutospacing="0" w:line="360" w:lineRule="auto"/>
        <w:ind w:left="1440"/>
        <w:textAlignment w:val="baseline"/>
        <w:rPr>
          <w:rFonts w:ascii="Arial" w:hAnsi="Arial" w:cs="Arial"/>
          <w:sz w:val="16"/>
          <w:szCs w:val="16"/>
        </w:rPr>
      </w:pPr>
      <w:r w:rsidRPr="00F91C8D">
        <w:rPr>
          <w:rStyle w:val="eop"/>
          <w:rFonts w:ascii="Arial" w:eastAsia="Calibri Light" w:hAnsi="Arial" w:cs="Arial"/>
          <w:sz w:val="22"/>
          <w:szCs w:val="22"/>
        </w:rPr>
        <w:t>  </w:t>
      </w:r>
    </w:p>
    <w:p w14:paraId="7CD6820C" w14:textId="11B67389" w:rsidR="00BD2909" w:rsidRPr="00F91C8D"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2.3 Theoretical Background</w:t>
      </w:r>
    </w:p>
    <w:p w14:paraId="4C48092F" w14:textId="77777777" w:rsidR="00BD2909" w:rsidRPr="00F91C8D" w:rsidRDefault="00BD2909" w:rsidP="00F44833">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3DB16DB6" w14:textId="77777777" w:rsidR="003802C6" w:rsidRPr="00F91C8D" w:rsidRDefault="00BD2909" w:rsidP="001E631D">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Key Theories and Concepts:</w:t>
      </w:r>
      <w:r w:rsidRPr="00F91C8D">
        <w:rPr>
          <w:rStyle w:val="eop"/>
          <w:rFonts w:ascii="Arial" w:eastAsia="Calibri Light" w:hAnsi="Arial" w:cs="Arial"/>
          <w:sz w:val="22"/>
          <w:szCs w:val="22"/>
        </w:rPr>
        <w:t> </w:t>
      </w:r>
    </w:p>
    <w:p w14:paraId="73FA0D35" w14:textId="6BD45A0A" w:rsidR="009B2495" w:rsidRPr="00F91C8D" w:rsidRDefault="00F30FC7" w:rsidP="003802C6">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This research is grounded in three main theories that support dementia care: person-centred care, continuity theory, and the stress-coping model. Person-centred care, as described by Kitwood (1997), emphasises preserving the identity, dignity, and personal history of individuals with dementia. It differs from the biomedical model by prioritising the emotional and psychological needs of the patient (Ballard et al., 2018).</w:t>
      </w:r>
    </w:p>
    <w:p w14:paraId="67B2C72F" w14:textId="162EDC5F" w:rsidR="009B2495" w:rsidRPr="00F91C8D" w:rsidRDefault="00F30FC7" w:rsidP="009B2495">
      <w:pPr>
        <w:pStyle w:val="paragraph"/>
        <w:spacing w:after="0" w:line="360" w:lineRule="auto"/>
        <w:textAlignment w:val="baseline"/>
        <w:rPr>
          <w:rStyle w:val="normaltextrun"/>
          <w:rFonts w:ascii="Arial" w:hAnsi="Arial" w:cs="Arial"/>
          <w:sz w:val="22"/>
          <w:szCs w:val="22"/>
        </w:rPr>
      </w:pPr>
      <w:r>
        <w:rPr>
          <w:rStyle w:val="normaltextrun"/>
          <w:rFonts w:ascii="Arial" w:hAnsi="Arial" w:cs="Arial"/>
          <w:sz w:val="22"/>
          <w:szCs w:val="22"/>
        </w:rPr>
        <w:lastRenderedPageBreak/>
        <w:t>Continuity theory, proposed by Atchley, suggests that older individuals aim to sustain consistency in their lifestyle, social roles, and daily routines. This is especially relevant to home care, where familiarity can support emotional well-being and identity (Diminic et al., 2019).</w:t>
      </w:r>
    </w:p>
    <w:p w14:paraId="4B728CEA" w14:textId="1E537626" w:rsidR="009B2495" w:rsidRPr="00F91C8D" w:rsidRDefault="00F30FC7" w:rsidP="009B2495">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The stress-coping model is essential to the experience of informal caregivers. It examines the stressors of caregiving and how they are managed, offering insights into the burden of home care and the importance of external support systems (Hayward et al., 2023).</w:t>
      </w:r>
    </w:p>
    <w:p w14:paraId="0D898772" w14:textId="77777777" w:rsidR="009B2495" w:rsidRPr="00F91C8D" w:rsidRDefault="009B2495" w:rsidP="009B2495">
      <w:pPr>
        <w:pStyle w:val="paragraph"/>
        <w:spacing w:before="0" w:beforeAutospacing="0" w:after="0" w:afterAutospacing="0" w:line="360" w:lineRule="auto"/>
        <w:textAlignment w:val="baseline"/>
        <w:rPr>
          <w:rStyle w:val="normaltextrun"/>
          <w:rFonts w:ascii="Arial" w:hAnsi="Arial" w:cs="Arial"/>
          <w:sz w:val="22"/>
          <w:szCs w:val="22"/>
        </w:rPr>
      </w:pPr>
    </w:p>
    <w:p w14:paraId="38F1FC02" w14:textId="77777777" w:rsidR="003802C6" w:rsidRPr="00F91C8D" w:rsidRDefault="00BD2909" w:rsidP="001E631D">
      <w:pPr>
        <w:pStyle w:val="paragraph"/>
        <w:numPr>
          <w:ilvl w:val="0"/>
          <w:numId w:val="11"/>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Application of Theories:</w:t>
      </w:r>
      <w:r w:rsidRPr="00F91C8D">
        <w:rPr>
          <w:rStyle w:val="eop"/>
          <w:rFonts w:ascii="Arial" w:eastAsia="Calibri Light" w:hAnsi="Arial" w:cs="Arial"/>
          <w:sz w:val="22"/>
          <w:szCs w:val="22"/>
        </w:rPr>
        <w:t> </w:t>
      </w:r>
    </w:p>
    <w:p w14:paraId="679AE2A1" w14:textId="39794410" w:rsidR="003802C6" w:rsidRPr="00F91C8D" w:rsidRDefault="00F30FC7" w:rsidP="003802C6">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The person-centred model of care has been effectively used in dementia care to respect individuals' values, preferences, and independence. Kitwood's (1997) early work laid the foundation, which was later expanded by Heward et al. (2022), who found that residents in care homes showed greater engagement and an improved quality of life when care staff applied person-centred practices.</w:t>
      </w:r>
    </w:p>
    <w:p w14:paraId="469C0210" w14:textId="4A6B6793" w:rsidR="003802C6" w:rsidRPr="00F91C8D" w:rsidRDefault="00F30FC7" w:rsidP="003802C6">
      <w:pPr>
        <w:pStyle w:val="paragraph"/>
        <w:spacing w:after="0" w:line="360" w:lineRule="auto"/>
        <w:textAlignment w:val="baseline"/>
        <w:rPr>
          <w:rStyle w:val="normaltextrun"/>
          <w:rFonts w:ascii="Arial" w:hAnsi="Arial" w:cs="Arial"/>
          <w:sz w:val="22"/>
          <w:szCs w:val="22"/>
        </w:rPr>
      </w:pPr>
      <w:r>
        <w:rPr>
          <w:rStyle w:val="normaltextrun"/>
          <w:rFonts w:ascii="Arial" w:hAnsi="Arial" w:cs="Arial"/>
          <w:sz w:val="22"/>
          <w:szCs w:val="22"/>
        </w:rPr>
        <w:t>Continuity theory has significantly influenced home care research, emphasising that maintaining routines and familiar environments supports emotional and cognitive stability. Gaugler et al. (2020) found that patients who remained at home had stronger emotional bonds and experienced a slower decline in functionality.</w:t>
      </w:r>
    </w:p>
    <w:p w14:paraId="49A00800" w14:textId="71700B07" w:rsidR="003802C6" w:rsidRPr="00F91C8D" w:rsidRDefault="003846C8" w:rsidP="003802C6">
      <w:pPr>
        <w:pStyle w:val="paragraph"/>
        <w:spacing w:after="0" w:line="360" w:lineRule="auto"/>
        <w:textAlignment w:val="baseline"/>
        <w:rPr>
          <w:rStyle w:val="normaltextrun"/>
          <w:rFonts w:ascii="Arial" w:hAnsi="Arial" w:cs="Arial"/>
          <w:sz w:val="22"/>
          <w:szCs w:val="22"/>
        </w:rPr>
      </w:pPr>
      <w:r>
        <w:rPr>
          <w:rStyle w:val="normaltextrun"/>
          <w:rFonts w:ascii="Arial" w:hAnsi="Arial" w:cs="Arial"/>
          <w:sz w:val="22"/>
          <w:szCs w:val="22"/>
        </w:rPr>
        <w:t>Furthermore, the social model of disability has been applied in caring for people with dementia to break down institutional barriers and promote community-based, inclusive care. According to the Alzheimer's Society (2023), community-oriented interventions based on this model have helped reduce stigma and involve society in supporting those living with dementia. These theories collectively underpin care practices and policy planning across different settings.</w:t>
      </w:r>
    </w:p>
    <w:p w14:paraId="3749F601" w14:textId="77777777" w:rsidR="003802C6" w:rsidRPr="00F91C8D" w:rsidRDefault="00BD2909" w:rsidP="001E631D">
      <w:pPr>
        <w:pStyle w:val="paragraph"/>
        <w:numPr>
          <w:ilvl w:val="0"/>
          <w:numId w:val="12"/>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Critical Evaluation:</w:t>
      </w:r>
      <w:r w:rsidRPr="00F91C8D">
        <w:rPr>
          <w:rStyle w:val="eop"/>
          <w:rFonts w:ascii="Arial" w:eastAsia="Calibri Light" w:hAnsi="Arial" w:cs="Arial"/>
          <w:sz w:val="22"/>
          <w:szCs w:val="22"/>
        </w:rPr>
        <w:t> </w:t>
      </w:r>
    </w:p>
    <w:p w14:paraId="663661A9" w14:textId="53C19140" w:rsidR="003802C6" w:rsidRPr="00F91C8D" w:rsidRDefault="00F30FC7" w:rsidP="003802C6">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While person-centred care is widely supported, critics argue it may be poorly implemented due to staffing shortages or inadequate training, especially in care homes (Heward et al., 2022). Although Kitwood's (1997) model promotes dignity and personhood, it has been criticised for placing less emphasis on the systemic and structural issues in care provision (Alzheimer's Society, 2023).</w:t>
      </w:r>
    </w:p>
    <w:p w14:paraId="0013CB27" w14:textId="505A05D7" w:rsidR="003802C6" w:rsidRPr="00F91C8D" w:rsidRDefault="00F30FC7" w:rsidP="003802C6">
      <w:pPr>
        <w:pStyle w:val="paragraph"/>
        <w:spacing w:after="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Continuity theory offers valuable insights into the benefits of home care, highlighting the appeal of familiarity and routine. However, it may not fully address the increasing medical complexity of dementia care, which can be stressful for family carers (Gaugler et al., 2020). </w:t>
      </w:r>
      <w:r>
        <w:rPr>
          <w:rStyle w:val="normaltextrun"/>
          <w:rFonts w:ascii="Arial" w:hAnsi="Arial" w:cs="Arial"/>
          <w:sz w:val="22"/>
          <w:szCs w:val="22"/>
        </w:rPr>
        <w:lastRenderedPageBreak/>
        <w:t>The social model of impairment shifts the focus of dementia away from pathology and towards societal barriers. It is argued, however, that this diminishes the biomedical facts of dementia, such as cognitive loss and dependency (Ballard et al., 2018).</w:t>
      </w:r>
    </w:p>
    <w:p w14:paraId="4DAF246D" w14:textId="6B906D5B" w:rsidR="003802C6" w:rsidRPr="00F91C8D" w:rsidRDefault="00F30FC7" w:rsidP="003802C6">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Although these theories do significantly improve dementia care models, it would be more suitable to incorporate them to better meet the complex needs of people with dementia.</w:t>
      </w:r>
    </w:p>
    <w:p w14:paraId="1787DF7C" w14:textId="6159D0E1" w:rsidR="00BD2909" w:rsidRPr="00F91C8D" w:rsidRDefault="00BD2909" w:rsidP="003802C6">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529565AC" w14:textId="47DC6453" w:rsidR="00BD2909" w:rsidRPr="00F91C8D"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2.4 International Context</w:t>
      </w:r>
    </w:p>
    <w:p w14:paraId="486A5837" w14:textId="77777777" w:rsidR="00BD2909" w:rsidRPr="00F91C8D" w:rsidRDefault="00BD2909" w:rsidP="00F44833">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479FCF67" w14:textId="108BA2E8" w:rsidR="00D91C40" w:rsidRPr="00D91C40" w:rsidRDefault="00BD2909" w:rsidP="00D91C40">
      <w:pPr>
        <w:pStyle w:val="paragraph"/>
        <w:numPr>
          <w:ilvl w:val="0"/>
          <w:numId w:val="27"/>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t>Global Perspective:</w:t>
      </w:r>
      <w:r w:rsidRPr="00F91C8D">
        <w:rPr>
          <w:rStyle w:val="eop"/>
          <w:rFonts w:ascii="Arial" w:eastAsia="Calibri Light" w:hAnsi="Arial" w:cs="Arial"/>
          <w:sz w:val="22"/>
          <w:szCs w:val="22"/>
        </w:rPr>
        <w:t> </w:t>
      </w:r>
    </w:p>
    <w:p w14:paraId="512D55F1" w14:textId="77777777" w:rsidR="00F30FC7" w:rsidRDefault="00F30FC7" w:rsidP="003802C6">
      <w:pPr>
        <w:rPr>
          <w:rStyle w:val="normaltextrun"/>
          <w:rFonts w:cs="Arial"/>
        </w:rPr>
      </w:pPr>
      <w:r>
        <w:rPr>
          <w:rStyle w:val="normaltextrun"/>
          <w:rFonts w:cs="Arial"/>
        </w:rPr>
        <w:t xml:space="preserve">Care for individuals with dementia varies across the world, influenced by cultural, economic, and healthcare system differences. In many European countries, including Sweden and the Netherlands, there is a strong focus on person-centred care, which encourages people with dementia to maintain their independence and dignity (Ballard et al., 2018). Conversely, countries like Japan have rapidly ageing populations, leading to innovations in assistive technology and community-based dementia care models (Lai et al., 2019). </w:t>
      </w:r>
    </w:p>
    <w:p w14:paraId="4984631C" w14:textId="04768086" w:rsidR="003802C6" w:rsidRPr="00F91C8D" w:rsidRDefault="00F30FC7" w:rsidP="003802C6">
      <w:pPr>
        <w:rPr>
          <w:rStyle w:val="normaltextrun"/>
          <w:rFonts w:cs="Arial"/>
        </w:rPr>
      </w:pPr>
      <w:r>
        <w:rPr>
          <w:rStyle w:val="normaltextrun"/>
          <w:rFonts w:cs="Arial"/>
        </w:rPr>
        <w:t>The UK has made progress in integrating dementia care into its national health policy, though challenges remain in delivering equitable care nationwide (Alzheimer's Society, 2023). Globally, institutional care is increasingly combined with support through home-based services, with greater emphasis on family involvement and personalised care (Reilly et al., 2015).</w:t>
      </w:r>
    </w:p>
    <w:p w14:paraId="03867E69" w14:textId="7FE684DF" w:rsidR="00BD2909" w:rsidRPr="00F91C8D" w:rsidRDefault="00BD2909" w:rsidP="001E631D">
      <w:pPr>
        <w:pStyle w:val="ListParagraph"/>
        <w:numPr>
          <w:ilvl w:val="0"/>
          <w:numId w:val="26"/>
        </w:numPr>
        <w:rPr>
          <w:rStyle w:val="eop"/>
          <w:rFonts w:ascii="Arial" w:hAnsi="Arial" w:cs="Arial"/>
        </w:rPr>
      </w:pPr>
      <w:r w:rsidRPr="00F91C8D">
        <w:rPr>
          <w:rStyle w:val="normaltextrun"/>
          <w:rFonts w:ascii="Arial" w:hAnsi="Arial" w:cs="Arial"/>
          <w:b/>
          <w:bCs/>
        </w:rPr>
        <w:t>Comparative Analysis:</w:t>
      </w:r>
      <w:r w:rsidRPr="00F91C8D">
        <w:rPr>
          <w:rStyle w:val="eop"/>
          <w:rFonts w:ascii="Arial" w:hAnsi="Arial" w:cs="Arial"/>
        </w:rPr>
        <w:t> </w:t>
      </w:r>
    </w:p>
    <w:p w14:paraId="5A41DA3B" w14:textId="77777777" w:rsidR="000C2EC5" w:rsidRPr="00F91C8D" w:rsidRDefault="000C2EC5" w:rsidP="000C2EC5">
      <w:pPr>
        <w:pStyle w:val="ListParagraph"/>
        <w:ind w:left="360" w:firstLine="0"/>
        <w:rPr>
          <w:rFonts w:ascii="Arial" w:hAnsi="Arial" w:cs="Arial"/>
        </w:rPr>
      </w:pPr>
    </w:p>
    <w:p w14:paraId="1035D04F" w14:textId="519B6730" w:rsidR="007B65CD" w:rsidRPr="00F91C8D" w:rsidRDefault="00A41383" w:rsidP="007B65CD">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Internationally, dementia care strategies are quite similar. In Europe, person-centred care is a top priority in Sweden, where 90% of dementia patients are treated within the community rather than in institutions (WHO, 2021). Conversely, Japan's ageing population (28% over 65 years) has seen an increased focus on assistive technologies, especially for home care (WHO, 2021). The UK offers a mix of home and residential care, but current statistics show that 70% of dementia patients in the UK live in care homes (Alzheimer's Society, 2023). International initiatives, including the WHO Global Action Plan on Dementia (2017), aim to improve dementia care through early diagnosis, system integration, and multidisciplinary research. These efforts emphasise the importance of developing care models that respect both cultural demands and resource constraints specific to each region.</w:t>
      </w:r>
    </w:p>
    <w:p w14:paraId="0E6A0B3C" w14:textId="77777777" w:rsidR="00F63CB5" w:rsidRPr="00F91C8D" w:rsidRDefault="00F63CB5" w:rsidP="007B65CD">
      <w:pPr>
        <w:pStyle w:val="paragraph"/>
        <w:spacing w:before="0" w:beforeAutospacing="0" w:after="0" w:afterAutospacing="0" w:line="360" w:lineRule="auto"/>
        <w:textAlignment w:val="baseline"/>
        <w:rPr>
          <w:rStyle w:val="normaltextrun"/>
          <w:rFonts w:ascii="Arial" w:hAnsi="Arial" w:cs="Arial"/>
          <w:sz w:val="22"/>
          <w:szCs w:val="22"/>
        </w:rPr>
      </w:pPr>
    </w:p>
    <w:p w14:paraId="7C18CE28" w14:textId="77777777" w:rsidR="00F63CB5" w:rsidRDefault="00F63CB5" w:rsidP="007B65CD">
      <w:pPr>
        <w:pStyle w:val="paragraph"/>
        <w:spacing w:before="0" w:beforeAutospacing="0" w:after="0" w:afterAutospacing="0" w:line="360" w:lineRule="auto"/>
        <w:textAlignment w:val="baseline"/>
        <w:rPr>
          <w:rStyle w:val="normaltextrun"/>
          <w:rFonts w:ascii="Arial" w:hAnsi="Arial" w:cs="Arial"/>
          <w:sz w:val="22"/>
          <w:szCs w:val="22"/>
        </w:rPr>
      </w:pPr>
    </w:p>
    <w:p w14:paraId="7DE58069" w14:textId="77777777" w:rsidR="00A41383" w:rsidRPr="00F91C8D" w:rsidRDefault="00A41383" w:rsidP="007B65CD">
      <w:pPr>
        <w:pStyle w:val="paragraph"/>
        <w:spacing w:before="0" w:beforeAutospacing="0" w:after="0" w:afterAutospacing="0" w:line="360" w:lineRule="auto"/>
        <w:textAlignment w:val="baseline"/>
        <w:rPr>
          <w:rStyle w:val="normaltextrun"/>
          <w:rFonts w:ascii="Arial" w:hAnsi="Arial" w:cs="Arial"/>
          <w:sz w:val="22"/>
          <w:szCs w:val="22"/>
        </w:rPr>
      </w:pPr>
    </w:p>
    <w:p w14:paraId="7B3F84D7" w14:textId="77777777" w:rsidR="00493394" w:rsidRPr="00F91C8D" w:rsidRDefault="00493394" w:rsidP="007B65CD">
      <w:pPr>
        <w:pStyle w:val="paragraph"/>
        <w:spacing w:before="0" w:beforeAutospacing="0" w:after="0" w:afterAutospacing="0" w:line="360" w:lineRule="auto"/>
        <w:textAlignment w:val="baseline"/>
        <w:rPr>
          <w:rStyle w:val="normaltextrun"/>
          <w:rFonts w:ascii="Arial" w:hAnsi="Arial" w:cs="Arial"/>
          <w:sz w:val="22"/>
          <w:szCs w:val="22"/>
        </w:rPr>
      </w:pPr>
    </w:p>
    <w:p w14:paraId="78984CEA" w14:textId="77777777" w:rsidR="00D91C40" w:rsidRDefault="00BD2909" w:rsidP="00FF131C">
      <w:pPr>
        <w:pStyle w:val="paragraph"/>
        <w:numPr>
          <w:ilvl w:val="0"/>
          <w:numId w:val="26"/>
        </w:numPr>
        <w:spacing w:before="0" w:beforeAutospacing="0" w:after="0" w:afterAutospacing="0" w:line="360" w:lineRule="auto"/>
        <w:textAlignment w:val="baseline"/>
        <w:rPr>
          <w:rFonts w:ascii="Arial" w:hAnsi="Arial" w:cs="Arial"/>
          <w:sz w:val="22"/>
          <w:szCs w:val="22"/>
        </w:rPr>
      </w:pPr>
      <w:r w:rsidRPr="00F91C8D">
        <w:rPr>
          <w:rStyle w:val="normaltextrun"/>
          <w:rFonts w:ascii="Arial" w:hAnsi="Arial" w:cs="Arial"/>
          <w:b/>
          <w:bCs/>
          <w:sz w:val="22"/>
          <w:szCs w:val="22"/>
        </w:rPr>
        <w:lastRenderedPageBreak/>
        <w:t>Case Studies:</w:t>
      </w:r>
      <w:r w:rsidRPr="00F91C8D">
        <w:rPr>
          <w:rStyle w:val="eop"/>
          <w:rFonts w:ascii="Arial" w:eastAsia="Calibri Light" w:hAnsi="Arial" w:cs="Arial"/>
          <w:sz w:val="22"/>
          <w:szCs w:val="22"/>
        </w:rPr>
        <w:t> </w:t>
      </w:r>
    </w:p>
    <w:p w14:paraId="3AD01C7C" w14:textId="264F5BAB" w:rsidR="00FF131C" w:rsidRPr="00D91C40" w:rsidRDefault="00F30FC7" w:rsidP="00D91C40">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Within the UK, dementia care is funded by the NHS and local authorities through initiatives such as the Greater Manchester Dementia Enhanced Community Response Team, which provides crisis intervention to prevent hospitalisation, with positive results in reducing emergency admissions (NHS England, 2023). </w:t>
      </w:r>
    </w:p>
    <w:p w14:paraId="302C6B72" w14:textId="0F50C8B9" w:rsidR="00BD2909" w:rsidRPr="00F91C8D" w:rsidRDefault="00D91C40" w:rsidP="00FF131C">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normaltextrun"/>
          <w:rFonts w:ascii="Arial" w:hAnsi="Arial" w:cs="Arial"/>
          <w:sz w:val="22"/>
          <w:szCs w:val="22"/>
        </w:rPr>
        <w:t xml:space="preserve">Another example is the Kent and Medway Dementia Care Strategy, which integrates health and social care services to support early diagnosis and offer personalised support (Gov.uk, 2022). These models </w:t>
      </w:r>
      <w:r w:rsidR="00F30FC7">
        <w:rPr>
          <w:rStyle w:val="normaltextrun"/>
          <w:rFonts w:ascii="Arial" w:hAnsi="Arial" w:cs="Arial"/>
          <w:sz w:val="22"/>
          <w:szCs w:val="22"/>
        </w:rPr>
        <w:t>demonstrate success in enhancing coordination and delivering personalised</w:t>
      </w:r>
      <w:r>
        <w:rPr>
          <w:rStyle w:val="normaltextrun"/>
          <w:rFonts w:ascii="Arial" w:hAnsi="Arial" w:cs="Arial"/>
          <w:sz w:val="22"/>
          <w:szCs w:val="22"/>
        </w:rPr>
        <w:t xml:space="preserve"> services. However, issues persist, including underfunding and staffing shortages, with 34% of care homes lacking sufficient staff to care for people with dementia (Gov.uk, 2023). These images reflect both the progress made and the ongoing challenges in delivering effective dementia care across the UK. </w:t>
      </w:r>
    </w:p>
    <w:p w14:paraId="65265415" w14:textId="77777777" w:rsidR="00FF131C" w:rsidRPr="00F91C8D" w:rsidRDefault="00FF131C" w:rsidP="00FF131C">
      <w:pPr>
        <w:pStyle w:val="paragraph"/>
        <w:spacing w:before="0" w:beforeAutospacing="0" w:after="0" w:afterAutospacing="0" w:line="360" w:lineRule="auto"/>
        <w:textAlignment w:val="baseline"/>
        <w:rPr>
          <w:rFonts w:ascii="Arial" w:hAnsi="Arial" w:cs="Arial"/>
          <w:sz w:val="16"/>
          <w:szCs w:val="16"/>
        </w:rPr>
      </w:pPr>
    </w:p>
    <w:p w14:paraId="3322C689" w14:textId="13661F3E" w:rsidR="00BD2909" w:rsidRPr="00F91C8D"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2.5 National/Local UK Context</w:t>
      </w:r>
    </w:p>
    <w:p w14:paraId="5827529B" w14:textId="77777777" w:rsidR="00BD2909" w:rsidRPr="00F91C8D" w:rsidRDefault="00BD2909" w:rsidP="00F44833">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7798E02B" w14:textId="77777777" w:rsidR="00BD2909" w:rsidRPr="00F91C8D" w:rsidRDefault="00BD2909" w:rsidP="001E631D">
      <w:pPr>
        <w:pStyle w:val="paragraph"/>
        <w:numPr>
          <w:ilvl w:val="0"/>
          <w:numId w:val="13"/>
        </w:numPr>
        <w:tabs>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UK Perspective:</w:t>
      </w:r>
      <w:r w:rsidRPr="00F91C8D">
        <w:rPr>
          <w:rStyle w:val="eop"/>
          <w:rFonts w:ascii="Arial" w:eastAsia="Calibri Light" w:hAnsi="Arial" w:cs="Arial"/>
          <w:sz w:val="22"/>
          <w:szCs w:val="22"/>
        </w:rPr>
        <w:t> </w:t>
      </w:r>
    </w:p>
    <w:p w14:paraId="606088C0" w14:textId="3E3D528D" w:rsidR="001F503F" w:rsidRPr="00F91C8D" w:rsidRDefault="00151D2A" w:rsidP="00A66F0B">
      <w:pPr>
        <w:rPr>
          <w:rFonts w:cs="Arial"/>
        </w:rPr>
      </w:pPr>
      <w:r>
        <w:rPr>
          <w:rFonts w:cs="Arial"/>
        </w:rPr>
        <w:t>In the UK, dementia is also regarded as a significant public health challenge, with over 944,000 people living with the condition, a figure projected to rise to 1.6 million by 2040 (Alzheimer's Society, 2023). The UK government addresses dementia through strategic initiatives such as the Dementia 2020 Challenge, which aims to make England the best place in the world for dementia care (Gov.uk, 2020). This initiative prioritises national policies like early detection, personalised care, and supporting informal carers. Community-based dementia services remain a key focus of the NHS Long-Term Plan, which seeks to promote integrated care and reduce hospital admissions (NHS England, 2019). Despite these efforts, disparities across regions and within the workforce still exist. The Care Quality Commission (2023) identified inconsistencies in care quality across organisations and called for further improvements. Overall, although the UK adopts a well-structured and policy-driven approach, effective implementation remains essential to delivering high-quality, equitable dementia care nationwide.</w:t>
      </w:r>
    </w:p>
    <w:p w14:paraId="6E2D52C7" w14:textId="02192E67" w:rsidR="00EF3075" w:rsidRPr="00F91C8D" w:rsidRDefault="00EF3075" w:rsidP="001F503F">
      <w:pPr>
        <w:pStyle w:val="paragraph"/>
        <w:spacing w:before="0" w:beforeAutospacing="0" w:after="0" w:afterAutospacing="0" w:line="360" w:lineRule="auto"/>
        <w:textAlignment w:val="baseline"/>
        <w:rPr>
          <w:rStyle w:val="normaltextrun"/>
          <w:rFonts w:ascii="Arial" w:hAnsi="Arial" w:cs="Arial"/>
          <w:sz w:val="22"/>
          <w:szCs w:val="22"/>
        </w:rPr>
      </w:pPr>
    </w:p>
    <w:p w14:paraId="541897B0" w14:textId="7AE323B7" w:rsidR="00BD2909" w:rsidRPr="00F91C8D" w:rsidRDefault="000F6F89" w:rsidP="001E631D">
      <w:pPr>
        <w:pStyle w:val="paragraph"/>
        <w:numPr>
          <w:ilvl w:val="0"/>
          <w:numId w:val="26"/>
        </w:numPr>
        <w:spacing w:before="0" w:beforeAutospacing="0" w:after="0" w:afterAutospacing="0" w:line="360" w:lineRule="auto"/>
        <w:textAlignment w:val="baseline"/>
        <w:rPr>
          <w:rFonts w:ascii="Arial" w:hAnsi="Arial" w:cs="Arial"/>
          <w:b/>
          <w:bCs/>
          <w:sz w:val="22"/>
          <w:szCs w:val="22"/>
        </w:rPr>
      </w:pPr>
      <w:r w:rsidRPr="00F91C8D">
        <w:rPr>
          <w:rStyle w:val="normaltextrun"/>
          <w:rFonts w:ascii="Arial" w:hAnsi="Arial" w:cs="Arial"/>
          <w:b/>
          <w:bCs/>
          <w:sz w:val="22"/>
          <w:szCs w:val="22"/>
        </w:rPr>
        <w:t xml:space="preserve">         </w:t>
      </w:r>
      <w:r w:rsidR="00BD2909" w:rsidRPr="00F91C8D">
        <w:rPr>
          <w:rStyle w:val="normaltextrun"/>
          <w:rFonts w:ascii="Arial" w:hAnsi="Arial" w:cs="Arial"/>
          <w:b/>
          <w:bCs/>
          <w:sz w:val="22"/>
          <w:szCs w:val="22"/>
        </w:rPr>
        <w:t>Policy and Regulation:</w:t>
      </w:r>
      <w:r w:rsidR="00BD2909" w:rsidRPr="00F91C8D">
        <w:rPr>
          <w:rStyle w:val="eop"/>
          <w:rFonts w:ascii="Arial" w:eastAsia="Calibri Light" w:hAnsi="Arial" w:cs="Arial"/>
          <w:sz w:val="22"/>
          <w:szCs w:val="22"/>
        </w:rPr>
        <w:t> </w:t>
      </w:r>
    </w:p>
    <w:p w14:paraId="50A0DD14" w14:textId="7EB413A0" w:rsidR="005A1155" w:rsidRPr="00F91C8D" w:rsidRDefault="00151D2A" w:rsidP="00A66F0B">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In the UK, national and international policies, along with legislative frameworks, influence dementia care. The Care Act 2014 mandates local authorities to promote the well-being of individuals with dementia and their carers by delivering personalised care. The Mental Capacity Act 2005 provides legal safeguards for those unable to make decisions, ensuring their dignity and autonomy are protected. The Equality Act 2010 guards against </w:t>
      </w:r>
      <w:r>
        <w:rPr>
          <w:rStyle w:val="normaltextrun"/>
          <w:rFonts w:ascii="Arial" w:hAnsi="Arial" w:cs="Arial"/>
          <w:sz w:val="22"/>
          <w:szCs w:val="22"/>
        </w:rPr>
        <w:lastRenderedPageBreak/>
        <w:t>discrimination, in conjunction with the Human Rights Act 1998, which defends the right to private life and respectful treatment. Globally, the EU Joint Action on Dementia (Act on Dementia) and the WHO Global Action Plan on the Public Health Response to Dementia (2016–2025) support countries, including the UK, in developing policies and care systems to enhance support. These frameworks shape the UK's approach by fostering rights-based, evidence-informed, and inclusive responses. Collectively, they underpin ethical care, encourage early intervention, and prioritise carer support, thereby improving accountability and quality across residential and community dementia services.</w:t>
      </w:r>
    </w:p>
    <w:p w14:paraId="585101AD" w14:textId="77777777" w:rsidR="00AA656D" w:rsidRPr="00F91C8D" w:rsidRDefault="00AA656D" w:rsidP="005A1155">
      <w:pPr>
        <w:pStyle w:val="paragraph"/>
        <w:spacing w:before="0" w:beforeAutospacing="0" w:after="0" w:afterAutospacing="0" w:line="360" w:lineRule="auto"/>
        <w:textAlignment w:val="baseline"/>
        <w:rPr>
          <w:rStyle w:val="normaltextrun"/>
          <w:rFonts w:ascii="Arial" w:hAnsi="Arial" w:cs="Arial"/>
          <w:sz w:val="22"/>
          <w:szCs w:val="22"/>
        </w:rPr>
      </w:pPr>
    </w:p>
    <w:p w14:paraId="41CEB57F" w14:textId="4E814780" w:rsidR="00BD2909" w:rsidRPr="00F91C8D" w:rsidRDefault="00BD2909" w:rsidP="001E631D">
      <w:pPr>
        <w:pStyle w:val="paragraph"/>
        <w:numPr>
          <w:ilvl w:val="0"/>
          <w:numId w:val="14"/>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Local Context:</w:t>
      </w:r>
      <w:r w:rsidRPr="00F91C8D">
        <w:rPr>
          <w:rStyle w:val="eop"/>
          <w:rFonts w:ascii="Arial" w:eastAsia="Calibri Light" w:hAnsi="Arial" w:cs="Arial"/>
          <w:sz w:val="22"/>
          <w:szCs w:val="22"/>
        </w:rPr>
        <w:t> </w:t>
      </w:r>
    </w:p>
    <w:p w14:paraId="636D016F" w14:textId="723A353B" w:rsidR="00A66F0B" w:rsidRPr="00F91C8D" w:rsidRDefault="00151D2A" w:rsidP="00A66F0B">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 xml:space="preserve">Across the UK, dementia care relies on a range of charities, NGOs, and local health partnerships working in collaboration with NHS trusts and local authorities. Organisations such as the Alzheimer's Society, Dementia UK, and Age UK are key providers that offer support services, raise awareness, and deliver education and advocacy for people with dementia and their carers. Local initiatives, such as Dementia Friendly Communities led by the Alzheimer's Society, aim to create supportive environments in towns and cities, address public misconceptions, and promote easier access to services. </w:t>
      </w:r>
    </w:p>
    <w:p w14:paraId="09099AFE" w14:textId="5CF66E7D" w:rsidR="00BD2909" w:rsidRPr="00F91C8D" w:rsidRDefault="00151D2A" w:rsidP="00A66F0B">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There are regional differences, with areas like Greater Manchester and Devon adopting integrated care models tailored to their populations' needs. Leeds City Council, for example, collaborates with third-sector organisations to provide memory support services. These locally driven initiatives are shaped by national priorities but are powered by community resources, budgets, and demographics, and they fill service gaps while delivering culturally responsive and relevant support. </w:t>
      </w:r>
    </w:p>
    <w:p w14:paraId="4145D3EE" w14:textId="77777777" w:rsidR="00DF3284" w:rsidRPr="00F91C8D" w:rsidRDefault="00DF3284" w:rsidP="00664903">
      <w:pPr>
        <w:pStyle w:val="paragraph"/>
        <w:spacing w:before="0" w:beforeAutospacing="0" w:after="0" w:afterAutospacing="0" w:line="360" w:lineRule="auto"/>
        <w:textAlignment w:val="baseline"/>
        <w:rPr>
          <w:rFonts w:ascii="Arial" w:hAnsi="Arial" w:cs="Arial"/>
          <w:sz w:val="16"/>
          <w:szCs w:val="16"/>
        </w:rPr>
      </w:pPr>
    </w:p>
    <w:p w14:paraId="713E05E7" w14:textId="77777777" w:rsidR="00F63CB5" w:rsidRPr="00F91C8D" w:rsidRDefault="00F63CB5" w:rsidP="00F44833">
      <w:pPr>
        <w:pStyle w:val="paragraph"/>
        <w:spacing w:before="0" w:beforeAutospacing="0" w:after="0" w:afterAutospacing="0" w:line="360" w:lineRule="auto"/>
        <w:textAlignment w:val="baseline"/>
        <w:rPr>
          <w:rStyle w:val="normaltextrun"/>
          <w:rFonts w:ascii="Arial" w:hAnsi="Arial" w:cs="Arial"/>
          <w:color w:val="0F4761"/>
        </w:rPr>
      </w:pPr>
    </w:p>
    <w:p w14:paraId="508BC363" w14:textId="6EB08A08" w:rsidR="00BD2909" w:rsidRPr="00F91C8D" w:rsidRDefault="00BD2909" w:rsidP="00F44833">
      <w:pPr>
        <w:pStyle w:val="paragraph"/>
        <w:spacing w:before="0" w:beforeAutospacing="0" w:after="0" w:afterAutospacing="0" w:line="360" w:lineRule="auto"/>
        <w:textAlignment w:val="baseline"/>
        <w:rPr>
          <w:rFonts w:ascii="Arial" w:hAnsi="Arial" w:cs="Arial"/>
          <w:color w:val="0F4761"/>
          <w:sz w:val="16"/>
          <w:szCs w:val="16"/>
        </w:rPr>
      </w:pPr>
      <w:r w:rsidRPr="00F91C8D">
        <w:rPr>
          <w:rStyle w:val="normaltextrun"/>
          <w:rFonts w:ascii="Arial" w:hAnsi="Arial" w:cs="Arial"/>
          <w:color w:val="0F4761"/>
        </w:rPr>
        <w:t>2.6 Conclusion</w:t>
      </w:r>
    </w:p>
    <w:p w14:paraId="1CD397E1" w14:textId="77777777" w:rsidR="00BD2909" w:rsidRPr="00F91C8D" w:rsidRDefault="00BD2909" w:rsidP="00F44833">
      <w:pPr>
        <w:pStyle w:val="paragraph"/>
        <w:spacing w:before="0" w:beforeAutospacing="0" w:after="0" w:afterAutospacing="0" w:line="360" w:lineRule="auto"/>
        <w:textAlignment w:val="baseline"/>
        <w:rPr>
          <w:rFonts w:ascii="Arial" w:hAnsi="Arial" w:cs="Arial"/>
          <w:sz w:val="16"/>
          <w:szCs w:val="16"/>
        </w:rPr>
      </w:pPr>
      <w:r w:rsidRPr="00F91C8D">
        <w:rPr>
          <w:rStyle w:val="eop"/>
          <w:rFonts w:ascii="Arial" w:eastAsia="Calibri Light" w:hAnsi="Arial" w:cs="Arial"/>
          <w:sz w:val="22"/>
          <w:szCs w:val="22"/>
        </w:rPr>
        <w:t> </w:t>
      </w:r>
    </w:p>
    <w:p w14:paraId="7C766502" w14:textId="77777777" w:rsidR="00BD2909" w:rsidRPr="00F91C8D" w:rsidRDefault="00BD2909" w:rsidP="001E631D">
      <w:pPr>
        <w:pStyle w:val="paragraph"/>
        <w:numPr>
          <w:ilvl w:val="0"/>
          <w:numId w:val="15"/>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Summary of Key Points:</w:t>
      </w:r>
      <w:r w:rsidRPr="00F91C8D">
        <w:rPr>
          <w:rStyle w:val="eop"/>
          <w:rFonts w:ascii="Arial" w:eastAsia="Calibri Light" w:hAnsi="Arial" w:cs="Arial"/>
          <w:sz w:val="22"/>
          <w:szCs w:val="22"/>
        </w:rPr>
        <w:t> </w:t>
      </w:r>
    </w:p>
    <w:p w14:paraId="31853D31" w14:textId="2D1967E0" w:rsidR="00021FDF" w:rsidRPr="00F91C8D" w:rsidRDefault="00A41383" w:rsidP="00021FDF">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This chapter has examined the rich history of dementia care, offering a practical understanding of its historical, theoretical, and geographical context. Over time, the development of dementia care has shifted from institutionalised approaches to more person-centred methods, influenced by key contributors and policy reforms (Alzheimer's Society, 2023). The theoretical bases of Kitwood's person-centred theory and the Continuity Theory have shaped both the practice and understanding of dementia care (McCormack &amp; McCance, 20</w:t>
      </w:r>
      <w:r w:rsidR="00E8626A">
        <w:rPr>
          <w:rStyle w:val="normaltextrun"/>
          <w:rFonts w:ascii="Arial" w:hAnsi="Arial" w:cs="Arial"/>
          <w:sz w:val="22"/>
          <w:szCs w:val="22"/>
        </w:rPr>
        <w:t>25</w:t>
      </w:r>
      <w:r>
        <w:rPr>
          <w:rStyle w:val="normaltextrun"/>
          <w:rFonts w:ascii="Arial" w:hAnsi="Arial" w:cs="Arial"/>
          <w:sz w:val="22"/>
          <w:szCs w:val="22"/>
        </w:rPr>
        <w:t xml:space="preserve">). Internationally, different countries have adopted various strategies to address the increasing burden of dementia, with the WHO estimating that over 55 million people worldwide live with the condition (WHO, 2021). The UK demonstrates a coordinated </w:t>
      </w:r>
      <w:r>
        <w:rPr>
          <w:rStyle w:val="normaltextrun"/>
          <w:rFonts w:ascii="Arial" w:hAnsi="Arial" w:cs="Arial"/>
          <w:sz w:val="22"/>
          <w:szCs w:val="22"/>
        </w:rPr>
        <w:lastRenderedPageBreak/>
        <w:t>response through national policies, including the Prime Minister's Challenge on Dementia, the Human Rights Act 1998, and the NHS Long Term Plan (Gov.uk, 2024). Charities, voluntary organisations, and community groups play a crucial role in bridging gaps at local levels. This chapter lays the groundwork for a critical analysis of the quality of care in the UK, including both home-based and institutional care.</w:t>
      </w:r>
    </w:p>
    <w:p w14:paraId="5191438F" w14:textId="77777777" w:rsidR="00210EA3" w:rsidRPr="00F91C8D" w:rsidRDefault="00210EA3" w:rsidP="00021FDF">
      <w:pPr>
        <w:pStyle w:val="paragraph"/>
        <w:spacing w:before="0" w:beforeAutospacing="0" w:after="0" w:afterAutospacing="0" w:line="360" w:lineRule="auto"/>
        <w:textAlignment w:val="baseline"/>
        <w:rPr>
          <w:rStyle w:val="normaltextrun"/>
          <w:rFonts w:ascii="Arial" w:hAnsi="Arial" w:cs="Arial"/>
          <w:sz w:val="22"/>
          <w:szCs w:val="22"/>
        </w:rPr>
      </w:pPr>
    </w:p>
    <w:p w14:paraId="6A3435E1" w14:textId="30E61E89" w:rsidR="00BD2909" w:rsidRPr="00F91C8D" w:rsidRDefault="00F20EE5" w:rsidP="001E631D">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F91C8D">
        <w:rPr>
          <w:rStyle w:val="normaltextrun"/>
          <w:rFonts w:ascii="Arial" w:hAnsi="Arial" w:cs="Arial"/>
          <w:b/>
          <w:bCs/>
          <w:sz w:val="22"/>
          <w:szCs w:val="22"/>
        </w:rPr>
        <w:t>Signpost</w:t>
      </w:r>
      <w:r w:rsidR="00BD2909" w:rsidRPr="00F91C8D">
        <w:rPr>
          <w:rStyle w:val="normaltextrun"/>
          <w:rFonts w:ascii="Arial" w:hAnsi="Arial" w:cs="Arial"/>
          <w:b/>
          <w:bCs/>
          <w:sz w:val="22"/>
          <w:szCs w:val="22"/>
        </w:rPr>
        <w:t xml:space="preserve"> to </w:t>
      </w:r>
      <w:r w:rsidR="00ED2968" w:rsidRPr="00F91C8D">
        <w:rPr>
          <w:rStyle w:val="normaltextrun"/>
          <w:rFonts w:ascii="Arial" w:hAnsi="Arial" w:cs="Arial"/>
          <w:b/>
          <w:bCs/>
          <w:sz w:val="22"/>
          <w:szCs w:val="22"/>
        </w:rPr>
        <w:t xml:space="preserve">the </w:t>
      </w:r>
      <w:r w:rsidR="00BD2909" w:rsidRPr="00F91C8D">
        <w:rPr>
          <w:rStyle w:val="normaltextrun"/>
          <w:rFonts w:ascii="Arial" w:hAnsi="Arial" w:cs="Arial"/>
          <w:b/>
          <w:bCs/>
          <w:sz w:val="22"/>
          <w:szCs w:val="22"/>
        </w:rPr>
        <w:t>Next Chapter:</w:t>
      </w:r>
      <w:r w:rsidR="00BD2909" w:rsidRPr="00F91C8D">
        <w:rPr>
          <w:rStyle w:val="eop"/>
          <w:rFonts w:ascii="Arial" w:eastAsia="Calibri Light" w:hAnsi="Arial" w:cs="Arial"/>
          <w:sz w:val="22"/>
          <w:szCs w:val="22"/>
        </w:rPr>
        <w:t> </w:t>
      </w:r>
      <w:r w:rsidR="00210EA3" w:rsidRPr="00F91C8D">
        <w:rPr>
          <w:rStyle w:val="eop"/>
          <w:rFonts w:ascii="Arial" w:eastAsia="Calibri Light" w:hAnsi="Arial" w:cs="Arial"/>
          <w:sz w:val="22"/>
          <w:szCs w:val="22"/>
        </w:rPr>
        <w:t xml:space="preserve"> </w:t>
      </w:r>
    </w:p>
    <w:p w14:paraId="5BF0EA9E" w14:textId="55D6144A" w:rsidR="00BD2909" w:rsidRPr="00F91C8D" w:rsidRDefault="00A41383" w:rsidP="00F44833">
      <w:pPr>
        <w:pStyle w:val="paragraph"/>
        <w:spacing w:before="0" w:beforeAutospacing="0" w:after="0" w:afterAutospacing="0" w:line="360" w:lineRule="auto"/>
        <w:textAlignment w:val="baseline"/>
        <w:rPr>
          <w:rFonts w:ascii="Arial" w:hAnsi="Arial" w:cs="Arial"/>
          <w:sz w:val="16"/>
          <w:szCs w:val="16"/>
        </w:rPr>
      </w:pPr>
      <w:r>
        <w:rPr>
          <w:rStyle w:val="eop"/>
          <w:rFonts w:ascii="Arial" w:eastAsia="Calibri Light" w:hAnsi="Arial" w:cs="Arial"/>
          <w:sz w:val="22"/>
          <w:szCs w:val="22"/>
        </w:rPr>
        <w:t>This chapter has explored the rich history of dementia care, effectively understanding its historical, theoretical, and geographical context. Historically, the development of dementia care has shifted from institutionalised approaches to increasingly person-centred methods, guided by influential contributors and policy changes (Alzheimer's Society, 2023). The theoretical foundations of Kitwood's person-centred theory and the Continuity Theory have shaped the practice and understanding of dementia care (McCormack &amp; McCance, 2017). Internationally, countries have employed various strategies to manage the growing burden of dementia, with the WHO projecting over 55 million people living with dementia worldwide (WHO, 2021). The UK context demonstrates a coordinated approach through national policy, including the Prime Minister's Challenge on Dementia, the Human Rights Act 1998, and the NHS Long Term Plan (Gov.uk, 2024). Charities, voluntary organisations, and community groups play a vital role in addressing gaps at local levels. This chapter establishes a foundation for critically analysing the quality of care in the UK, for both home-based and institutional care. </w:t>
      </w:r>
    </w:p>
    <w:p w14:paraId="466B0331" w14:textId="77777777" w:rsidR="000D0641" w:rsidRPr="00F91C8D" w:rsidRDefault="000D0641" w:rsidP="000D0641">
      <w:pPr>
        <w:rPr>
          <w:rFonts w:cs="Arial"/>
        </w:rPr>
      </w:pPr>
    </w:p>
    <w:p w14:paraId="5DDAF423" w14:textId="77777777" w:rsidR="000D0641" w:rsidRPr="00F91C8D" w:rsidRDefault="000D0641">
      <w:pPr>
        <w:rPr>
          <w:rFonts w:cs="Arial"/>
        </w:rPr>
      </w:pPr>
    </w:p>
    <w:p w14:paraId="0775F236" w14:textId="77777777" w:rsidR="00292A36" w:rsidRPr="00F91C8D" w:rsidRDefault="00292A36">
      <w:pPr>
        <w:rPr>
          <w:rFonts w:cs="Arial"/>
        </w:rPr>
      </w:pPr>
    </w:p>
    <w:p w14:paraId="360ADA1A" w14:textId="77777777" w:rsidR="00292A36" w:rsidRPr="00F91C8D" w:rsidRDefault="00292A36">
      <w:pPr>
        <w:rPr>
          <w:rFonts w:cs="Arial"/>
        </w:rPr>
      </w:pPr>
    </w:p>
    <w:p w14:paraId="407ABDAE" w14:textId="4F32BB8B" w:rsidR="00880B2D" w:rsidRPr="00F91C8D" w:rsidRDefault="00880B2D">
      <w:pPr>
        <w:rPr>
          <w:rFonts w:cs="Arial"/>
        </w:rPr>
        <w:sectPr w:rsidR="00880B2D" w:rsidRPr="00F91C8D">
          <w:footerReference w:type="default" r:id="rId12"/>
          <w:pgSz w:w="11906" w:h="16838"/>
          <w:pgMar w:top="1440" w:right="1440" w:bottom="1440" w:left="1440" w:header="708" w:footer="708" w:gutter="0"/>
          <w:cols w:space="708"/>
          <w:docGrid w:linePitch="360"/>
        </w:sectPr>
      </w:pPr>
    </w:p>
    <w:p w14:paraId="398427E3" w14:textId="598B077A" w:rsidR="00292A36" w:rsidRPr="00F91C8D" w:rsidRDefault="00292A36" w:rsidP="0021364B">
      <w:pPr>
        <w:pStyle w:val="Heading1"/>
        <w:ind w:left="0"/>
        <w:rPr>
          <w:rFonts w:cs="Arial"/>
        </w:rPr>
      </w:pPr>
      <w:bookmarkStart w:id="5" w:name="_Toc204256358"/>
      <w:r w:rsidRPr="00F91C8D">
        <w:rPr>
          <w:rFonts w:cs="Arial"/>
        </w:rPr>
        <w:lastRenderedPageBreak/>
        <w:t xml:space="preserve">CHAPTER 3 – </w:t>
      </w:r>
      <w:r w:rsidR="007A712E" w:rsidRPr="00F91C8D">
        <w:rPr>
          <w:rFonts w:cs="Arial"/>
        </w:rPr>
        <w:t>Academic Methodology Poster</w:t>
      </w:r>
      <w:bookmarkEnd w:id="5"/>
      <w:r w:rsidR="00804B94" w:rsidRPr="00F91C8D">
        <w:rPr>
          <w:rFonts w:cs="Arial"/>
        </w:rPr>
        <w:t xml:space="preserve"> </w:t>
      </w:r>
    </w:p>
    <w:p w14:paraId="5CECD953" w14:textId="7DE8EC88" w:rsidR="00785752" w:rsidRPr="00F91C8D" w:rsidRDefault="00785752" w:rsidP="00785752">
      <w:pPr>
        <w:rPr>
          <w:rFonts w:cs="Arial"/>
        </w:rPr>
      </w:pPr>
    </w:p>
    <w:p w14:paraId="2D4AF6A2" w14:textId="3FB45A1D" w:rsidR="00010304" w:rsidRPr="00F31354" w:rsidRDefault="001D1485" w:rsidP="00F31354">
      <w:pPr>
        <w:pStyle w:val="Heading2"/>
        <w:rPr>
          <w:rFonts w:cs="Arial"/>
          <w:szCs w:val="24"/>
        </w:rPr>
      </w:pPr>
      <w:bookmarkStart w:id="6" w:name="_Toc204256359"/>
      <w:r w:rsidRPr="00F91C8D">
        <w:rPr>
          <w:rFonts w:cs="Arial"/>
          <w:szCs w:val="24"/>
        </w:rPr>
        <w:t>3.1 Academic</w:t>
      </w:r>
      <w:r w:rsidR="00AB78F0" w:rsidRPr="00F91C8D">
        <w:rPr>
          <w:rFonts w:cs="Arial"/>
          <w:szCs w:val="24"/>
        </w:rPr>
        <w:t xml:space="preserve"> Methodology Poster</w:t>
      </w:r>
      <w:bookmarkEnd w:id="6"/>
      <w:r w:rsidR="00AB78F0" w:rsidRPr="00F91C8D">
        <w:rPr>
          <w:rFonts w:cs="Arial"/>
          <w:szCs w:val="24"/>
        </w:rPr>
        <w:t xml:space="preserve"> </w:t>
      </w:r>
    </w:p>
    <w:p w14:paraId="799F8186" w14:textId="7F737CD9" w:rsidR="002620F9" w:rsidRPr="00F91C8D" w:rsidRDefault="0019361E" w:rsidP="00292A36">
      <w:pPr>
        <w:rPr>
          <w:rFonts w:cs="Arial"/>
        </w:rPr>
      </w:pPr>
      <w:r w:rsidRPr="00D87050">
        <w:drawing>
          <wp:anchor distT="0" distB="0" distL="114300" distR="114300" simplePos="0" relativeHeight="251669504" behindDoc="0" locked="0" layoutInCell="1" allowOverlap="1" wp14:anchorId="5D9BAC81" wp14:editId="7A618E03">
            <wp:simplePos x="0" y="0"/>
            <wp:positionH relativeFrom="margin">
              <wp:posOffset>-392430</wp:posOffset>
            </wp:positionH>
            <wp:positionV relativeFrom="paragraph">
              <wp:posOffset>182245</wp:posOffset>
            </wp:positionV>
            <wp:extent cx="6456045" cy="3935095"/>
            <wp:effectExtent l="0" t="0" r="1905" b="8255"/>
            <wp:wrapThrough wrapText="bothSides">
              <wp:wrapPolygon edited="0">
                <wp:start x="0" y="0"/>
                <wp:lineTo x="0" y="21541"/>
                <wp:lineTo x="21543" y="21541"/>
                <wp:lineTo x="21543" y="0"/>
                <wp:lineTo x="0" y="0"/>
              </wp:wrapPolygon>
            </wp:wrapThrough>
            <wp:docPr id="982034539" name="Picture 1" descr="A screenshot of a medical research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34539" name="Picture 1" descr="A screenshot of a medical research repor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456045" cy="3935095"/>
                    </a:xfrm>
                    <a:prstGeom prst="rect">
                      <a:avLst/>
                    </a:prstGeom>
                  </pic:spPr>
                </pic:pic>
              </a:graphicData>
            </a:graphic>
            <wp14:sizeRelH relativeFrom="margin">
              <wp14:pctWidth>0</wp14:pctWidth>
            </wp14:sizeRelH>
            <wp14:sizeRelV relativeFrom="margin">
              <wp14:pctHeight>0</wp14:pctHeight>
            </wp14:sizeRelV>
          </wp:anchor>
        </w:drawing>
      </w:r>
      <w:r w:rsidRPr="00F91C8D">
        <w:rPr>
          <w:rFonts w:cs="Arial"/>
          <w:noProof/>
        </w:rPr>
        <w:drawing>
          <wp:anchor distT="0" distB="0" distL="114300" distR="114300" simplePos="0" relativeHeight="251668480" behindDoc="1" locked="0" layoutInCell="1" allowOverlap="1" wp14:anchorId="653C8073" wp14:editId="4A12515F">
            <wp:simplePos x="0" y="0"/>
            <wp:positionH relativeFrom="margin">
              <wp:posOffset>-499110</wp:posOffset>
            </wp:positionH>
            <wp:positionV relativeFrom="paragraph">
              <wp:posOffset>4219575</wp:posOffset>
            </wp:positionV>
            <wp:extent cx="6563360" cy="3540760"/>
            <wp:effectExtent l="0" t="0" r="8890" b="2540"/>
            <wp:wrapThrough wrapText="bothSides">
              <wp:wrapPolygon edited="0">
                <wp:start x="0" y="0"/>
                <wp:lineTo x="0" y="21499"/>
                <wp:lineTo x="21567" y="21499"/>
                <wp:lineTo x="21567" y="0"/>
                <wp:lineTo x="0" y="0"/>
              </wp:wrapPolygon>
            </wp:wrapThrough>
            <wp:docPr id="293919784"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919784" name="Picture 1" descr="A screenshot of a research pap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563360" cy="3540760"/>
                    </a:xfrm>
                    <a:prstGeom prst="rect">
                      <a:avLst/>
                    </a:prstGeom>
                  </pic:spPr>
                </pic:pic>
              </a:graphicData>
            </a:graphic>
            <wp14:sizeRelH relativeFrom="margin">
              <wp14:pctWidth>0</wp14:pctWidth>
            </wp14:sizeRelH>
            <wp14:sizeRelV relativeFrom="margin">
              <wp14:pctHeight>0</wp14:pctHeight>
            </wp14:sizeRelV>
          </wp:anchor>
        </w:drawing>
      </w:r>
    </w:p>
    <w:p w14:paraId="32D2EE93" w14:textId="779ECF1A" w:rsidR="00FD7C22" w:rsidRPr="00F91C8D" w:rsidRDefault="007C246B" w:rsidP="00867E52">
      <w:pPr>
        <w:pStyle w:val="Heading2"/>
        <w:rPr>
          <w:rFonts w:cs="Arial"/>
          <w:szCs w:val="24"/>
        </w:rPr>
      </w:pPr>
      <w:bookmarkStart w:id="7" w:name="_Toc204256360"/>
      <w:r w:rsidRPr="00F91C8D">
        <w:rPr>
          <w:rFonts w:cs="Arial"/>
          <w:szCs w:val="24"/>
        </w:rPr>
        <w:lastRenderedPageBreak/>
        <w:t xml:space="preserve">3.2 </w:t>
      </w:r>
      <w:r w:rsidR="00807B11" w:rsidRPr="00F91C8D">
        <w:rPr>
          <w:rFonts w:cs="Arial"/>
          <w:szCs w:val="24"/>
        </w:rPr>
        <w:t>Additional Information</w:t>
      </w:r>
      <w:bookmarkEnd w:id="7"/>
    </w:p>
    <w:p w14:paraId="4D44C506" w14:textId="3FD1D6E0" w:rsidR="00F91C8D" w:rsidRPr="00F91C8D" w:rsidRDefault="00F91C8D" w:rsidP="00F91C8D">
      <w:pPr>
        <w:pStyle w:val="Heading2"/>
        <w:rPr>
          <w:rFonts w:cs="Arial"/>
        </w:rPr>
      </w:pPr>
      <w:bookmarkStart w:id="8" w:name="_Toc204256361"/>
      <w:r w:rsidRPr="00F91C8D">
        <w:rPr>
          <w:rFonts w:cs="Arial"/>
        </w:rPr>
        <w:t>3.2.1 – Introduction</w:t>
      </w:r>
      <w:bookmarkEnd w:id="8"/>
    </w:p>
    <w:p w14:paraId="6247689F" w14:textId="56752DF5" w:rsidR="00F91C8D" w:rsidRPr="00F91C8D" w:rsidRDefault="00A41383" w:rsidP="00F91C8D">
      <w:pPr>
        <w:rPr>
          <w:rFonts w:cs="Arial"/>
        </w:rPr>
      </w:pPr>
      <w:r>
        <w:rPr>
          <w:rFonts w:cs="Arial"/>
        </w:rPr>
        <w:t xml:space="preserve">The chapter improves the Academic Methodology Poster with additional clarification and support for the chosen research approach. The project employs a secondary research design, leveraging existing data and literature to compare home and residential settings concerning dementia care in the UK. The methodology involved a systematic process for developing the search strategy, selecting sources, verifying information, and synthesising themes. It emphasises the importance of ethical information usage, academic integrity, and evidence-based findings. This section addresses all aspects of the poster, </w:t>
      </w:r>
      <w:r w:rsidR="001B1065">
        <w:rPr>
          <w:rFonts w:cs="Arial"/>
        </w:rPr>
        <w:t>aligning with the research aim of critically evaluating the quality, consistency, and well-being outcomes of care for patients with dementia</w:t>
      </w:r>
      <w:r>
        <w:rPr>
          <w:rFonts w:cs="Arial"/>
        </w:rPr>
        <w:t>.</w:t>
      </w:r>
    </w:p>
    <w:p w14:paraId="688575C0" w14:textId="77777777" w:rsidR="00F91C8D" w:rsidRPr="00F91C8D" w:rsidRDefault="00F91C8D" w:rsidP="00F91C8D">
      <w:pPr>
        <w:pStyle w:val="Heading2"/>
        <w:rPr>
          <w:rFonts w:cs="Arial"/>
        </w:rPr>
      </w:pPr>
    </w:p>
    <w:p w14:paraId="6303265B" w14:textId="77777777" w:rsidR="00F91C8D" w:rsidRPr="00F91C8D" w:rsidRDefault="00F91C8D" w:rsidP="00F91C8D">
      <w:pPr>
        <w:pStyle w:val="Heading2"/>
        <w:rPr>
          <w:rFonts w:cs="Arial"/>
        </w:rPr>
      </w:pPr>
      <w:bookmarkStart w:id="9" w:name="_Toc204256362"/>
      <w:r w:rsidRPr="00F91C8D">
        <w:rPr>
          <w:rFonts w:cs="Arial"/>
        </w:rPr>
        <w:t>3.2.2 – Search Strategy</w:t>
      </w:r>
      <w:bookmarkEnd w:id="9"/>
    </w:p>
    <w:p w14:paraId="0AE36893" w14:textId="729B5A62" w:rsidR="00F91C8D" w:rsidRPr="00F91C8D" w:rsidRDefault="00A41383" w:rsidP="00F91C8D">
      <w:pPr>
        <w:rPr>
          <w:rFonts w:cs="Arial"/>
        </w:rPr>
      </w:pPr>
      <w:r>
        <w:rPr>
          <w:rFonts w:cs="Arial"/>
        </w:rPr>
        <w:t>A search strategy is a systematic process used to locate, retrieve, and identify literature relevant to a research topic (Grewal, Kataria, &amp; Dhawan, 2016). Boolean operators (AND, OR, NOT), keywords, and database filters were utilised in this dissertation to obtain credible and current data. The search was conducted on PubMed, ScienceDirect, NHS Evidence, and the UWTSD online library. Only English sources with full text available and UK publications from 2016 to 2025 were included. This ensured that the selected material effectively supported the dissertation's aim and contributed significantly to a comparative overview of residential and home dementia care in the UK (Cole et al., 2022).</w:t>
      </w:r>
    </w:p>
    <w:p w14:paraId="512F7803" w14:textId="77777777" w:rsidR="00F91C8D" w:rsidRPr="00F91C8D" w:rsidRDefault="00F91C8D" w:rsidP="00F91C8D">
      <w:pPr>
        <w:pStyle w:val="Heading2"/>
        <w:jc w:val="left"/>
        <w:rPr>
          <w:rFonts w:cs="Arial"/>
        </w:rPr>
      </w:pPr>
    </w:p>
    <w:p w14:paraId="251BF62A" w14:textId="77777777" w:rsidR="00F91C8D" w:rsidRPr="00F91C8D" w:rsidRDefault="00F91C8D" w:rsidP="00F91C8D">
      <w:pPr>
        <w:pStyle w:val="Heading2"/>
        <w:jc w:val="left"/>
        <w:rPr>
          <w:rFonts w:cs="Arial"/>
        </w:rPr>
      </w:pPr>
      <w:bookmarkStart w:id="10" w:name="_Toc204256363"/>
      <w:r w:rsidRPr="00F91C8D">
        <w:rPr>
          <w:rFonts w:cs="Arial"/>
        </w:rPr>
        <w:t>3.2.3 – Searching for Information</w:t>
      </w:r>
      <w:bookmarkEnd w:id="10"/>
    </w:p>
    <w:p w14:paraId="17942499" w14:textId="0203D298" w:rsidR="00F91C8D" w:rsidRPr="00F91C8D" w:rsidRDefault="00A41383" w:rsidP="00F91C8D">
      <w:pPr>
        <w:rPr>
          <w:rFonts w:cs="Arial"/>
        </w:rPr>
      </w:pPr>
      <w:r>
        <w:rPr>
          <w:rFonts w:cs="Arial"/>
        </w:rPr>
        <w:t>A systematic search was conducted across various academic and policy databases. The key websites included PubMed, ScienceDirect, NHS Evidence, and UWTSD's library. Boolean operators were used to connect keywords, such as "dementia care UK," "home care vs care home," "elder care quality," and "dementia patient outcomes," allowing results to be broadened or narrowed as needed. Filters were applied to exclude studies published between 2016 and 2025, in English, with full-text access, and relevant to the UK. Additionally, secondary sources from grey literature and public health institutions, including NICE (2021), NHS Digital (2020), and the Alzheimer's Society (2022), were incorporated to provide substantial evidence on policy, satisfaction levels, and national care standards.</w:t>
      </w:r>
    </w:p>
    <w:p w14:paraId="294CB2E3" w14:textId="31BB799B" w:rsidR="00F91C8D" w:rsidRPr="00F91C8D" w:rsidRDefault="00F91C8D" w:rsidP="00F91C8D">
      <w:pPr>
        <w:rPr>
          <w:rFonts w:cs="Arial"/>
        </w:rPr>
      </w:pPr>
      <w:r w:rsidRPr="00F91C8D">
        <w:rPr>
          <w:rFonts w:cs="Arial"/>
        </w:rPr>
        <w:t xml:space="preserve">Reference chaining was applied in searching for additional relevant studies referenced within sources. It served to ensure data dependability and policy relevance (Cross et al., 2024). </w:t>
      </w:r>
      <w:r w:rsidRPr="00F91C8D">
        <w:rPr>
          <w:rFonts w:cs="Arial"/>
        </w:rPr>
        <w:lastRenderedPageBreak/>
        <w:t>Priority was given to comparative care setting studies, especially those addressing patient satisfaction, carer dependability, and quality-of-life outcomes. This inclusive data collection formed the foundation for the high-quality thematic analysis presented in later chapters.</w:t>
      </w:r>
    </w:p>
    <w:p w14:paraId="7E7775DE" w14:textId="69EDE143" w:rsidR="00F91C8D" w:rsidRPr="00F91C8D" w:rsidRDefault="00F91C8D" w:rsidP="001E631D">
      <w:pPr>
        <w:pStyle w:val="Heading2"/>
        <w:numPr>
          <w:ilvl w:val="2"/>
          <w:numId w:val="29"/>
        </w:numPr>
        <w:jc w:val="left"/>
        <w:rPr>
          <w:rFonts w:cs="Arial"/>
        </w:rPr>
      </w:pPr>
      <w:bookmarkStart w:id="11" w:name="_Toc204256364"/>
      <w:r w:rsidRPr="00F91C8D">
        <w:rPr>
          <w:rFonts w:cs="Arial"/>
        </w:rPr>
        <w:t>– Research Validation</w:t>
      </w:r>
      <w:bookmarkEnd w:id="11"/>
    </w:p>
    <w:p w14:paraId="47F1C9D2" w14:textId="0126B5E5" w:rsidR="00F91C8D" w:rsidRPr="00F91C8D" w:rsidRDefault="00F91C8D" w:rsidP="00F91C8D">
      <w:pPr>
        <w:rPr>
          <w:rFonts w:cs="Arial"/>
        </w:rPr>
      </w:pPr>
      <w:r w:rsidRPr="00F91C8D">
        <w:rPr>
          <w:rFonts w:cs="Arial"/>
        </w:rPr>
        <w:t xml:space="preserve">Secondary data validation ensures that all of the sources used are up-to-date, reliable, and from reputable institutions. Validation in this project was ensured by prelisting peer-reviewed journal articles, UK official health reports, and guidance documents from reputable sources, </w:t>
      </w:r>
      <w:r w:rsidR="00A41383">
        <w:rPr>
          <w:rFonts w:cs="Arial"/>
        </w:rPr>
        <w:t xml:space="preserve">including NHS Digital (2020), NICE (2021), and Alzheimer's Society (2022). See the source </w:t>
      </w:r>
      <w:r w:rsidRPr="00F91C8D">
        <w:rPr>
          <w:rFonts w:cs="Arial"/>
        </w:rPr>
        <w:t>Tracking Table in Appendix 6.2.</w:t>
      </w:r>
      <w:r w:rsidR="006C5D32">
        <w:rPr>
          <w:rFonts w:cs="Arial"/>
        </w:rPr>
        <w:t>2</w:t>
      </w:r>
      <w:r w:rsidRPr="00F91C8D">
        <w:rPr>
          <w:rFonts w:cs="Arial"/>
        </w:rPr>
        <w:t>. Articles were screened on academic rigour, their relevance to the UK context, and their consistency with the research aim.</w:t>
      </w:r>
    </w:p>
    <w:p w14:paraId="21D86704" w14:textId="4C0D1F6A" w:rsidR="00F91C8D" w:rsidRPr="00F91C8D" w:rsidRDefault="00A41383" w:rsidP="00F91C8D">
      <w:pPr>
        <w:rPr>
          <w:rFonts w:cs="Arial"/>
        </w:rPr>
      </w:pPr>
      <w:r>
        <w:rPr>
          <w:rFonts w:cs="Arial"/>
        </w:rPr>
        <w:t>For reliability in analysis, the inclusion of varied study types- qualitative, quantitative, and mixed methods- enabled results triangulation and increased confidence in the conclusions drawn (Cole et al., 2022; Cross et al., 2024). Research was assessed using critical reading frameworks to evaluate methodological quality, sample size, and ethical compliance. Source verification in this way minimised bias, improved precision, and ensured that conclusions based on solid evidence could be trusted (Verbeek et al., 2014).</w:t>
      </w:r>
    </w:p>
    <w:p w14:paraId="05F4C33F" w14:textId="77777777" w:rsidR="00F91C8D" w:rsidRPr="00F91C8D" w:rsidRDefault="00F91C8D" w:rsidP="00F91C8D">
      <w:pPr>
        <w:rPr>
          <w:rFonts w:cs="Arial"/>
        </w:rPr>
      </w:pPr>
    </w:p>
    <w:p w14:paraId="19F3039B" w14:textId="4CABDEED" w:rsidR="00F91C8D" w:rsidRPr="00F91C8D" w:rsidRDefault="00F91C8D" w:rsidP="00F91C8D">
      <w:pPr>
        <w:pStyle w:val="Heading2"/>
        <w:rPr>
          <w:rFonts w:cs="Arial"/>
          <w:sz w:val="28"/>
          <w:szCs w:val="28"/>
        </w:rPr>
      </w:pPr>
      <w:bookmarkStart w:id="12" w:name="_Toc204256365"/>
      <w:r w:rsidRPr="00F91C8D">
        <w:rPr>
          <w:rStyle w:val="Heading2Char"/>
          <w:rFonts w:ascii="Arial" w:hAnsi="Arial" w:cs="Arial"/>
        </w:rPr>
        <w:t xml:space="preserve">3.2.4 </w:t>
      </w:r>
      <w:r w:rsidRPr="00F91C8D">
        <w:rPr>
          <w:rStyle w:val="Heading2Char"/>
          <w:rFonts w:ascii="Arial" w:hAnsi="Arial" w:cs="Arial"/>
        </w:rPr>
        <w:t>- Inclusion and Exclusion Criteria</w:t>
      </w:r>
      <w:bookmarkEnd w:id="12"/>
      <w:r w:rsidRPr="00F91C8D">
        <w:rPr>
          <w:rStyle w:val="Heading2Char"/>
          <w:rFonts w:ascii="Arial" w:hAnsi="Arial" w:cs="Arial"/>
        </w:rPr>
        <w:t xml:space="preserve"> </w:t>
      </w:r>
    </w:p>
    <w:p w14:paraId="1ADE223C" w14:textId="77777777" w:rsidR="00F91C8D" w:rsidRPr="00F91C8D" w:rsidRDefault="00F91C8D" w:rsidP="00F91C8D">
      <w:pPr>
        <w:rPr>
          <w:rFonts w:cs="Arial"/>
        </w:rPr>
      </w:pPr>
      <w:r w:rsidRPr="00F91C8D">
        <w:rPr>
          <w:rFonts w:cs="Arial"/>
        </w:rPr>
        <w:t>Inclusion criteria were applied to ensure relevance and quality. Sources were incorporated if they:</w:t>
      </w:r>
    </w:p>
    <w:p w14:paraId="56D411DE" w14:textId="77777777" w:rsidR="00F91C8D" w:rsidRPr="00F91C8D" w:rsidRDefault="00F91C8D" w:rsidP="001E631D">
      <w:pPr>
        <w:pStyle w:val="ListParagraph"/>
        <w:numPr>
          <w:ilvl w:val="0"/>
          <w:numId w:val="26"/>
        </w:numPr>
        <w:spacing w:line="360" w:lineRule="auto"/>
        <w:rPr>
          <w:rFonts w:ascii="Arial" w:hAnsi="Arial" w:cs="Arial"/>
        </w:rPr>
      </w:pPr>
      <w:r w:rsidRPr="00F91C8D">
        <w:rPr>
          <w:rFonts w:ascii="Arial" w:hAnsi="Arial" w:cs="Arial"/>
        </w:rPr>
        <w:t>Were published between 2016 and 2025</w:t>
      </w:r>
    </w:p>
    <w:p w14:paraId="20BE42B9" w14:textId="77777777" w:rsidR="00F91C8D" w:rsidRPr="00F91C8D" w:rsidRDefault="00F91C8D" w:rsidP="001E631D">
      <w:pPr>
        <w:pStyle w:val="ListParagraph"/>
        <w:numPr>
          <w:ilvl w:val="0"/>
          <w:numId w:val="26"/>
        </w:numPr>
        <w:spacing w:line="360" w:lineRule="auto"/>
        <w:rPr>
          <w:rFonts w:ascii="Arial" w:hAnsi="Arial" w:cs="Arial"/>
        </w:rPr>
      </w:pPr>
      <w:r w:rsidRPr="00F91C8D">
        <w:rPr>
          <w:rFonts w:ascii="Arial" w:hAnsi="Arial" w:cs="Arial"/>
        </w:rPr>
        <w:t>Looked for UK-based dementia care</w:t>
      </w:r>
    </w:p>
    <w:p w14:paraId="3E127B37" w14:textId="77777777" w:rsidR="00F91C8D" w:rsidRPr="00F91C8D" w:rsidRDefault="00F91C8D" w:rsidP="001E631D">
      <w:pPr>
        <w:pStyle w:val="ListParagraph"/>
        <w:numPr>
          <w:ilvl w:val="0"/>
          <w:numId w:val="26"/>
        </w:numPr>
        <w:spacing w:line="360" w:lineRule="auto"/>
        <w:rPr>
          <w:rFonts w:ascii="Arial" w:hAnsi="Arial" w:cs="Arial"/>
        </w:rPr>
      </w:pPr>
      <w:r w:rsidRPr="00F91C8D">
        <w:rPr>
          <w:rFonts w:ascii="Arial" w:hAnsi="Arial" w:cs="Arial"/>
        </w:rPr>
        <w:t>Were available with full-text access</w:t>
      </w:r>
    </w:p>
    <w:p w14:paraId="660DB5CF" w14:textId="77777777" w:rsidR="00F91C8D" w:rsidRPr="00F91C8D" w:rsidRDefault="00F91C8D" w:rsidP="001E631D">
      <w:pPr>
        <w:pStyle w:val="ListParagraph"/>
        <w:numPr>
          <w:ilvl w:val="0"/>
          <w:numId w:val="26"/>
        </w:numPr>
        <w:spacing w:line="360" w:lineRule="auto"/>
        <w:rPr>
          <w:rFonts w:ascii="Arial" w:hAnsi="Arial" w:cs="Arial"/>
        </w:rPr>
      </w:pPr>
      <w:r w:rsidRPr="00F91C8D">
        <w:rPr>
          <w:rFonts w:ascii="Arial" w:hAnsi="Arial" w:cs="Arial"/>
        </w:rPr>
        <w:t>Compared care settings between home and residential environments</w:t>
      </w:r>
    </w:p>
    <w:p w14:paraId="3704B552" w14:textId="77777777" w:rsidR="00F91C8D" w:rsidRPr="00F91C8D" w:rsidRDefault="00F91C8D" w:rsidP="001E631D">
      <w:pPr>
        <w:pStyle w:val="ListParagraph"/>
        <w:numPr>
          <w:ilvl w:val="0"/>
          <w:numId w:val="26"/>
        </w:numPr>
        <w:spacing w:line="360" w:lineRule="auto"/>
        <w:rPr>
          <w:rFonts w:ascii="Arial" w:hAnsi="Arial" w:cs="Arial"/>
        </w:rPr>
      </w:pPr>
      <w:r w:rsidRPr="00F91C8D">
        <w:rPr>
          <w:rFonts w:ascii="Arial" w:hAnsi="Arial" w:cs="Arial"/>
        </w:rPr>
        <w:t>Were peer-reviewed or authored by reputable organisations such as NICE or the Alzheimer's Society</w:t>
      </w:r>
    </w:p>
    <w:p w14:paraId="79176D57" w14:textId="77777777" w:rsidR="00A41383" w:rsidRDefault="00A41383" w:rsidP="00F91C8D">
      <w:pPr>
        <w:rPr>
          <w:rFonts w:cs="Arial"/>
        </w:rPr>
      </w:pPr>
    </w:p>
    <w:p w14:paraId="7585F516" w14:textId="623DD4BE" w:rsidR="00F91C8D" w:rsidRPr="00F91C8D" w:rsidRDefault="00F91C8D" w:rsidP="00F91C8D">
      <w:pPr>
        <w:rPr>
          <w:rFonts w:cs="Arial"/>
        </w:rPr>
      </w:pPr>
      <w:r w:rsidRPr="00F91C8D">
        <w:rPr>
          <w:rFonts w:cs="Arial"/>
        </w:rPr>
        <w:t>Exclusion criteria removed sources that:</w:t>
      </w:r>
    </w:p>
    <w:p w14:paraId="2F183A64" w14:textId="77777777" w:rsidR="00F91C8D" w:rsidRPr="00F91C8D" w:rsidRDefault="00F91C8D" w:rsidP="001E631D">
      <w:pPr>
        <w:pStyle w:val="ListParagraph"/>
        <w:numPr>
          <w:ilvl w:val="0"/>
          <w:numId w:val="28"/>
        </w:numPr>
        <w:spacing w:line="360" w:lineRule="auto"/>
        <w:ind w:left="360"/>
        <w:rPr>
          <w:rFonts w:ascii="Arial" w:hAnsi="Arial" w:cs="Arial"/>
        </w:rPr>
      </w:pPr>
      <w:r w:rsidRPr="00F91C8D">
        <w:rPr>
          <w:rFonts w:ascii="Arial" w:hAnsi="Arial" w:cs="Arial"/>
        </w:rPr>
        <w:t>Were more than 10 years old</w:t>
      </w:r>
    </w:p>
    <w:p w14:paraId="4F84C94C" w14:textId="58E51FE2" w:rsidR="00F91C8D" w:rsidRPr="00F91C8D" w:rsidRDefault="00A41383" w:rsidP="001E631D">
      <w:pPr>
        <w:pStyle w:val="ListParagraph"/>
        <w:numPr>
          <w:ilvl w:val="0"/>
          <w:numId w:val="28"/>
        </w:numPr>
        <w:spacing w:line="360" w:lineRule="auto"/>
        <w:ind w:left="360"/>
        <w:rPr>
          <w:rFonts w:ascii="Arial" w:hAnsi="Arial" w:cs="Arial"/>
        </w:rPr>
      </w:pPr>
      <w:r>
        <w:rPr>
          <w:rFonts w:ascii="Arial" w:hAnsi="Arial" w:cs="Arial"/>
        </w:rPr>
        <w:t>Were connected to non-UK healthcare systems.</w:t>
      </w:r>
    </w:p>
    <w:p w14:paraId="342B4094" w14:textId="77777777" w:rsidR="00F91C8D" w:rsidRPr="00F91C8D" w:rsidRDefault="00F91C8D" w:rsidP="001E631D">
      <w:pPr>
        <w:pStyle w:val="ListParagraph"/>
        <w:numPr>
          <w:ilvl w:val="0"/>
          <w:numId w:val="28"/>
        </w:numPr>
        <w:spacing w:line="360" w:lineRule="auto"/>
        <w:ind w:left="360"/>
        <w:rPr>
          <w:rFonts w:ascii="Arial" w:hAnsi="Arial" w:cs="Arial"/>
        </w:rPr>
      </w:pPr>
      <w:r w:rsidRPr="00F91C8D">
        <w:rPr>
          <w:rFonts w:ascii="Arial" w:hAnsi="Arial" w:cs="Arial"/>
        </w:rPr>
        <w:t>Were not available without full text</w:t>
      </w:r>
    </w:p>
    <w:p w14:paraId="7A592AAE" w14:textId="77777777" w:rsidR="00F91C8D" w:rsidRPr="00F91C8D" w:rsidRDefault="00F91C8D" w:rsidP="001E631D">
      <w:pPr>
        <w:pStyle w:val="ListParagraph"/>
        <w:numPr>
          <w:ilvl w:val="0"/>
          <w:numId w:val="28"/>
        </w:numPr>
        <w:spacing w:line="360" w:lineRule="auto"/>
        <w:ind w:left="360"/>
        <w:rPr>
          <w:rFonts w:ascii="Arial" w:hAnsi="Arial" w:cs="Arial"/>
        </w:rPr>
      </w:pPr>
      <w:r w:rsidRPr="00F91C8D">
        <w:rPr>
          <w:rFonts w:ascii="Arial" w:hAnsi="Arial" w:cs="Arial"/>
        </w:rPr>
        <w:t>Did not have methodological transparency or failed to compare care settings directly</w:t>
      </w:r>
    </w:p>
    <w:p w14:paraId="49C748E6" w14:textId="77777777" w:rsidR="00F91C8D" w:rsidRPr="00F91C8D" w:rsidRDefault="00F91C8D" w:rsidP="00F91C8D">
      <w:pPr>
        <w:rPr>
          <w:rFonts w:cs="Arial"/>
        </w:rPr>
      </w:pPr>
      <w:r w:rsidRPr="00F91C8D">
        <w:rPr>
          <w:rFonts w:cs="Arial"/>
        </w:rPr>
        <w:t>This ensured consistency, currency, and congruence with the research scope.</w:t>
      </w:r>
    </w:p>
    <w:p w14:paraId="7D448AC6" w14:textId="77777777" w:rsidR="00F91C8D" w:rsidRPr="00F91C8D" w:rsidRDefault="00F91C8D" w:rsidP="00F91C8D">
      <w:pPr>
        <w:rPr>
          <w:rFonts w:cs="Arial"/>
        </w:rPr>
      </w:pPr>
    </w:p>
    <w:p w14:paraId="498CCB5C" w14:textId="19E0AA51" w:rsidR="00F91C8D" w:rsidRPr="00F91C8D" w:rsidRDefault="00F91C8D" w:rsidP="001E631D">
      <w:pPr>
        <w:pStyle w:val="Heading2"/>
        <w:numPr>
          <w:ilvl w:val="2"/>
          <w:numId w:val="29"/>
        </w:numPr>
        <w:jc w:val="left"/>
        <w:rPr>
          <w:rFonts w:cs="Arial"/>
        </w:rPr>
      </w:pPr>
      <w:bookmarkStart w:id="13" w:name="_Toc204256366"/>
      <w:r w:rsidRPr="00F91C8D">
        <w:rPr>
          <w:rFonts w:cs="Arial"/>
        </w:rPr>
        <w:t>– Analysing Research</w:t>
      </w:r>
      <w:bookmarkEnd w:id="13"/>
      <w:r w:rsidRPr="00F91C8D">
        <w:rPr>
          <w:rFonts w:cs="Arial"/>
        </w:rPr>
        <w:t xml:space="preserve"> </w:t>
      </w:r>
    </w:p>
    <w:p w14:paraId="396264F6" w14:textId="77777777" w:rsidR="00F91C8D" w:rsidRPr="00F91C8D" w:rsidRDefault="00F91C8D" w:rsidP="00F91C8D">
      <w:pPr>
        <w:rPr>
          <w:rFonts w:cs="Arial"/>
        </w:rPr>
      </w:pPr>
      <w:r w:rsidRPr="00F91C8D">
        <w:rPr>
          <w:rFonts w:cs="Arial"/>
        </w:rPr>
        <w:t>Thematic analysis was applied systematically to comprehend the literature. Braun and Clarke's (2006) six-step methodology was adopted, comprising familiarisation with the data, initial code generation, theme searching, reviewing themes, defining themes, and producing a final report. The technique enabled the systematic examination of qualitative and policy-driven outcomes from diverse sources.</w:t>
      </w:r>
    </w:p>
    <w:p w14:paraId="0EC7F15C" w14:textId="77777777" w:rsidR="00F91C8D" w:rsidRPr="00F91C8D" w:rsidRDefault="00F91C8D" w:rsidP="00F91C8D">
      <w:pPr>
        <w:rPr>
          <w:rFonts w:cs="Arial"/>
        </w:rPr>
      </w:pPr>
      <w:r w:rsidRPr="00F91C8D">
        <w:rPr>
          <w:rFonts w:cs="Arial"/>
        </w:rPr>
        <w:t>Themes identified included care quality, consistent staffing, emotional health, and patient safety. For instance, Cole et al. (2022) explained the effect of care setting decisions on patient autonomy and quality of life. Cross et al. (2024) examined transitional care trajectories and their effects. Verbeek et al. (2014) discussed the behavioural impact of care environments.</w:t>
      </w:r>
    </w:p>
    <w:p w14:paraId="27830E8C" w14:textId="77777777" w:rsidR="00F91C8D" w:rsidRPr="00F91C8D" w:rsidRDefault="00F91C8D" w:rsidP="00F91C8D">
      <w:pPr>
        <w:rPr>
          <w:rFonts w:cs="Arial"/>
        </w:rPr>
      </w:pPr>
      <w:r w:rsidRPr="00F91C8D">
        <w:rPr>
          <w:rFonts w:cs="Arial"/>
        </w:rPr>
        <w:t>This analytical method facilitated a comprehensive comparison and critical examination of home and residential care for individuals with dementia. It provided evidence-based findings that informed practice and policy advice.</w:t>
      </w:r>
    </w:p>
    <w:p w14:paraId="69D1C635" w14:textId="77777777" w:rsidR="00F91C8D" w:rsidRPr="00F91C8D" w:rsidRDefault="00F91C8D" w:rsidP="00F91C8D">
      <w:pPr>
        <w:rPr>
          <w:rFonts w:cs="Arial"/>
        </w:rPr>
      </w:pPr>
    </w:p>
    <w:p w14:paraId="2FADC5AF" w14:textId="5BA1B8C0" w:rsidR="00F91C8D" w:rsidRPr="00F91C8D" w:rsidRDefault="00F91C8D" w:rsidP="00F91C8D">
      <w:pPr>
        <w:pStyle w:val="Heading2"/>
        <w:rPr>
          <w:rFonts w:cs="Arial"/>
        </w:rPr>
      </w:pPr>
      <w:bookmarkStart w:id="14" w:name="_Toc204256367"/>
      <w:r>
        <w:rPr>
          <w:rFonts w:cs="Arial"/>
        </w:rPr>
        <w:t xml:space="preserve">3.2.5 </w:t>
      </w:r>
      <w:r w:rsidRPr="00F91C8D">
        <w:rPr>
          <w:rFonts w:cs="Arial"/>
        </w:rPr>
        <w:t>– Ethical Considerations</w:t>
      </w:r>
      <w:bookmarkEnd w:id="14"/>
    </w:p>
    <w:p w14:paraId="388589AA" w14:textId="3D08455C" w:rsidR="00F91C8D" w:rsidRPr="00F91C8D" w:rsidRDefault="00F91C8D" w:rsidP="00F91C8D">
      <w:pPr>
        <w:rPr>
          <w:rFonts w:cs="Arial"/>
        </w:rPr>
      </w:pPr>
      <w:r w:rsidRPr="00F91C8D">
        <w:rPr>
          <w:rFonts w:cs="Arial"/>
        </w:rPr>
        <w:t>Ethical practice was maintained throughout this secondary research.</w:t>
      </w:r>
      <w:r w:rsidR="006C5D32">
        <w:rPr>
          <w:rFonts w:cs="Arial"/>
        </w:rPr>
        <w:t xml:space="preserve"> </w:t>
      </w:r>
      <w:r w:rsidRPr="00F91C8D">
        <w:rPr>
          <w:rFonts w:cs="Arial"/>
        </w:rPr>
        <w:t xml:space="preserve"> No primary data were gathered; therefore, obtaining consent or assessing risk to participants was not a concern. Nevertheless, all literature used was ethically cleared in its original format and made publicly available. Sources have been cited in UWTSD Harvard referencing to facilitate academic integrity</w:t>
      </w:r>
      <w:r w:rsidR="00A949B0">
        <w:rPr>
          <w:rFonts w:cs="Arial"/>
        </w:rPr>
        <w:t xml:space="preserve"> (see Appendix 6.2.1)</w:t>
      </w:r>
      <w:r w:rsidRPr="00F91C8D">
        <w:rPr>
          <w:rFonts w:cs="Arial"/>
        </w:rPr>
        <w:t xml:space="preserve"> and respect for intellectual property (Bryman, 2016).</w:t>
      </w:r>
    </w:p>
    <w:p w14:paraId="75FF1659" w14:textId="77777777" w:rsidR="00F91C8D" w:rsidRPr="00F91C8D" w:rsidRDefault="00F91C8D" w:rsidP="00F91C8D">
      <w:pPr>
        <w:rPr>
          <w:rFonts w:cs="Arial"/>
        </w:rPr>
      </w:pPr>
      <w:r w:rsidRPr="00F91C8D">
        <w:rPr>
          <w:rFonts w:cs="Arial"/>
        </w:rPr>
        <w:t>Issues of data protection were maintained, and sensitive or identifiable personal data were not utilised at all. NHS Digital (2020) and NICE (2021) data complied with GDPR standards. No bias was also found in the study, which utilised only reliable, verified sources from established institutions.</w:t>
      </w:r>
    </w:p>
    <w:p w14:paraId="56093B22" w14:textId="77777777" w:rsidR="00F91C8D" w:rsidRPr="00F91C8D" w:rsidRDefault="00F91C8D" w:rsidP="00F91C8D">
      <w:pPr>
        <w:pStyle w:val="Heading1"/>
        <w:ind w:left="940"/>
        <w:rPr>
          <w:rFonts w:cs="Arial"/>
          <w:sz w:val="28"/>
          <w:szCs w:val="28"/>
        </w:rPr>
      </w:pPr>
    </w:p>
    <w:p w14:paraId="3B2E6949" w14:textId="2377F2E7" w:rsidR="00F91C8D" w:rsidRPr="00F91C8D" w:rsidRDefault="00F91C8D" w:rsidP="001E631D">
      <w:pPr>
        <w:pStyle w:val="Heading2"/>
        <w:numPr>
          <w:ilvl w:val="2"/>
          <w:numId w:val="29"/>
        </w:numPr>
        <w:rPr>
          <w:rFonts w:cs="Arial"/>
        </w:rPr>
      </w:pPr>
      <w:bookmarkStart w:id="15" w:name="_Toc204256368"/>
      <w:r w:rsidRPr="00F91C8D">
        <w:rPr>
          <w:rFonts w:cs="Arial"/>
        </w:rPr>
        <w:t>– Chapter Conclusion</w:t>
      </w:r>
      <w:bookmarkEnd w:id="15"/>
    </w:p>
    <w:p w14:paraId="7E89D880" w14:textId="77777777" w:rsidR="00F91C8D" w:rsidRPr="00F91C8D" w:rsidRDefault="00F91C8D" w:rsidP="00F91C8D">
      <w:pPr>
        <w:rPr>
          <w:rFonts w:cs="Arial"/>
        </w:rPr>
      </w:pPr>
    </w:p>
    <w:p w14:paraId="0943B58B" w14:textId="77777777" w:rsidR="00F91C8D" w:rsidRPr="00F91C8D" w:rsidRDefault="00F91C8D" w:rsidP="00F91C8D">
      <w:pPr>
        <w:rPr>
          <w:rFonts w:cs="Arial"/>
        </w:rPr>
      </w:pPr>
      <w:r w:rsidRPr="00F91C8D">
        <w:rPr>
          <w:rFonts w:cs="Arial"/>
        </w:rPr>
        <w:t xml:space="preserve">This chapter has outlined the systematic processes employed to direct the secondary research process in alignment with the dissertation objectives. From the rigorous search strategy and explicit selection criteria to good validation and thematic analysis, every step made the study academically robust and ethically valid. UK preferred sources have been employed, enhancing the quality and applicability of the findings. </w:t>
      </w:r>
    </w:p>
    <w:p w14:paraId="05983F89" w14:textId="77777777" w:rsidR="00F91C8D" w:rsidRPr="00F91C8D" w:rsidRDefault="00F91C8D" w:rsidP="00F91C8D">
      <w:pPr>
        <w:rPr>
          <w:rFonts w:cs="Arial"/>
        </w:rPr>
      </w:pPr>
      <w:r w:rsidRPr="00F91C8D">
        <w:rPr>
          <w:rFonts w:cs="Arial"/>
        </w:rPr>
        <w:lastRenderedPageBreak/>
        <w:t>The following chapter will present the thematic analysis findings, comparing the quality of care and wellbeing outcomes for patients with dementia who receive their care in care homes versus at home, based on the literature reviewed and national policy guidance.</w:t>
      </w:r>
    </w:p>
    <w:p w14:paraId="3CCA1A6D" w14:textId="77777777" w:rsidR="00F91C8D" w:rsidRPr="00F91C8D" w:rsidRDefault="00F91C8D" w:rsidP="00F91C8D">
      <w:pPr>
        <w:pStyle w:val="ListParagraph"/>
        <w:rPr>
          <w:rFonts w:ascii="Arial" w:hAnsi="Arial" w:cs="Arial"/>
        </w:rPr>
      </w:pPr>
    </w:p>
    <w:p w14:paraId="30648F28" w14:textId="77777777" w:rsidR="00F91C8D" w:rsidRPr="00F91C8D" w:rsidRDefault="00F91C8D" w:rsidP="00F91C8D">
      <w:pPr>
        <w:rPr>
          <w:rFonts w:cs="Arial"/>
        </w:rPr>
      </w:pPr>
    </w:p>
    <w:p w14:paraId="1CD4B6EB" w14:textId="77777777" w:rsidR="00F91C8D" w:rsidRPr="00F91C8D" w:rsidRDefault="00F91C8D" w:rsidP="00F91C8D">
      <w:pPr>
        <w:rPr>
          <w:rFonts w:cs="Arial"/>
        </w:rPr>
      </w:pPr>
    </w:p>
    <w:p w14:paraId="277A107E" w14:textId="77777777" w:rsidR="00F91C8D" w:rsidRPr="00F91C8D" w:rsidRDefault="00F91C8D" w:rsidP="00F91C8D">
      <w:pPr>
        <w:rPr>
          <w:rFonts w:cs="Arial"/>
        </w:rPr>
      </w:pPr>
    </w:p>
    <w:p w14:paraId="10D77151" w14:textId="77777777" w:rsidR="00F91C8D" w:rsidRPr="00F91C8D" w:rsidRDefault="00F91C8D" w:rsidP="00F91C8D">
      <w:pPr>
        <w:rPr>
          <w:rFonts w:cs="Arial"/>
        </w:rPr>
      </w:pPr>
    </w:p>
    <w:p w14:paraId="3422E51A" w14:textId="77777777" w:rsidR="00F91C8D" w:rsidRPr="00F91C8D" w:rsidRDefault="00F91C8D" w:rsidP="00F91C8D">
      <w:pPr>
        <w:rPr>
          <w:rFonts w:cs="Arial"/>
        </w:rPr>
      </w:pPr>
    </w:p>
    <w:p w14:paraId="39BBE485" w14:textId="77777777" w:rsidR="00F91C8D" w:rsidRPr="00F91C8D" w:rsidRDefault="00F91C8D" w:rsidP="00F91C8D">
      <w:pPr>
        <w:rPr>
          <w:rFonts w:cs="Arial"/>
        </w:rPr>
      </w:pPr>
    </w:p>
    <w:p w14:paraId="783AA67E" w14:textId="77777777" w:rsidR="00F91C8D" w:rsidRPr="00F91C8D" w:rsidRDefault="00F91C8D" w:rsidP="00F91C8D">
      <w:pPr>
        <w:rPr>
          <w:rFonts w:cs="Arial"/>
        </w:rPr>
      </w:pPr>
    </w:p>
    <w:p w14:paraId="7D122A5A" w14:textId="77777777" w:rsidR="00F91C8D" w:rsidRPr="00F91C8D" w:rsidRDefault="00F91C8D" w:rsidP="00F91C8D">
      <w:pPr>
        <w:rPr>
          <w:rFonts w:cs="Arial"/>
        </w:rPr>
      </w:pPr>
    </w:p>
    <w:p w14:paraId="3CEFC531" w14:textId="77777777" w:rsidR="00F91C8D" w:rsidRDefault="00F91C8D" w:rsidP="00F91C8D">
      <w:pPr>
        <w:rPr>
          <w:rFonts w:cs="Arial"/>
        </w:rPr>
      </w:pPr>
    </w:p>
    <w:p w14:paraId="079949E4" w14:textId="77777777" w:rsidR="000F36B9" w:rsidRDefault="000F36B9" w:rsidP="00F91C8D">
      <w:pPr>
        <w:rPr>
          <w:rFonts w:cs="Arial"/>
        </w:rPr>
      </w:pPr>
    </w:p>
    <w:p w14:paraId="0AB9C8D8" w14:textId="77777777" w:rsidR="000F36B9" w:rsidRDefault="000F36B9" w:rsidP="00F91C8D">
      <w:pPr>
        <w:rPr>
          <w:rFonts w:cs="Arial"/>
        </w:rPr>
      </w:pPr>
    </w:p>
    <w:p w14:paraId="6655F930" w14:textId="77777777" w:rsidR="000F36B9" w:rsidRDefault="000F36B9" w:rsidP="00F91C8D">
      <w:pPr>
        <w:rPr>
          <w:rFonts w:cs="Arial"/>
        </w:rPr>
      </w:pPr>
    </w:p>
    <w:p w14:paraId="0D1571A5" w14:textId="77777777" w:rsidR="000F36B9" w:rsidRDefault="000F36B9" w:rsidP="00F91C8D">
      <w:pPr>
        <w:rPr>
          <w:rFonts w:cs="Arial"/>
        </w:rPr>
      </w:pPr>
    </w:p>
    <w:p w14:paraId="0628E840" w14:textId="77777777" w:rsidR="000F36B9" w:rsidRDefault="000F36B9" w:rsidP="00F91C8D">
      <w:pPr>
        <w:rPr>
          <w:rFonts w:cs="Arial"/>
        </w:rPr>
      </w:pPr>
    </w:p>
    <w:p w14:paraId="65CC1474" w14:textId="77777777" w:rsidR="000F36B9" w:rsidRDefault="000F36B9" w:rsidP="00F91C8D">
      <w:pPr>
        <w:rPr>
          <w:rFonts w:cs="Arial"/>
        </w:rPr>
      </w:pPr>
    </w:p>
    <w:p w14:paraId="52BF2F85" w14:textId="77777777" w:rsidR="000F36B9" w:rsidRDefault="000F36B9" w:rsidP="00F91C8D">
      <w:pPr>
        <w:rPr>
          <w:rFonts w:cs="Arial"/>
        </w:rPr>
      </w:pPr>
    </w:p>
    <w:p w14:paraId="29C0C7BA" w14:textId="77777777" w:rsidR="000F36B9" w:rsidRDefault="000F36B9" w:rsidP="00F91C8D">
      <w:pPr>
        <w:rPr>
          <w:rFonts w:cs="Arial"/>
        </w:rPr>
      </w:pPr>
    </w:p>
    <w:p w14:paraId="5B09E1A2" w14:textId="77777777" w:rsidR="000F36B9" w:rsidRDefault="000F36B9" w:rsidP="00F91C8D">
      <w:pPr>
        <w:rPr>
          <w:rFonts w:cs="Arial"/>
        </w:rPr>
      </w:pPr>
    </w:p>
    <w:p w14:paraId="6BA6DDC7" w14:textId="77777777" w:rsidR="000F36B9" w:rsidRDefault="000F36B9" w:rsidP="00F91C8D">
      <w:pPr>
        <w:rPr>
          <w:rFonts w:cs="Arial"/>
        </w:rPr>
      </w:pPr>
    </w:p>
    <w:p w14:paraId="79ED98C2" w14:textId="77777777" w:rsidR="000F36B9" w:rsidRDefault="000F36B9" w:rsidP="00F91C8D">
      <w:pPr>
        <w:rPr>
          <w:rFonts w:cs="Arial"/>
        </w:rPr>
      </w:pPr>
    </w:p>
    <w:p w14:paraId="408A7FD5" w14:textId="77777777" w:rsidR="000F36B9" w:rsidRDefault="000F36B9" w:rsidP="00F91C8D">
      <w:pPr>
        <w:rPr>
          <w:rFonts w:cs="Arial"/>
        </w:rPr>
      </w:pPr>
    </w:p>
    <w:p w14:paraId="1C474AB0" w14:textId="77777777" w:rsidR="000F36B9" w:rsidRDefault="000F36B9" w:rsidP="00F91C8D">
      <w:pPr>
        <w:rPr>
          <w:rFonts w:cs="Arial"/>
        </w:rPr>
      </w:pPr>
    </w:p>
    <w:p w14:paraId="15839C28" w14:textId="77777777" w:rsidR="000F36B9" w:rsidRPr="00F91C8D" w:rsidRDefault="000F36B9" w:rsidP="00F91C8D">
      <w:pPr>
        <w:rPr>
          <w:rFonts w:cs="Arial"/>
        </w:rPr>
      </w:pPr>
    </w:p>
    <w:p w14:paraId="36F59F63" w14:textId="6BEF574B" w:rsidR="00F91C8D" w:rsidRDefault="00F91C8D" w:rsidP="00DB145F">
      <w:pPr>
        <w:pStyle w:val="Heading1"/>
        <w:ind w:left="0"/>
        <w:rPr>
          <w:rFonts w:cs="Arial"/>
        </w:rPr>
      </w:pPr>
      <w:bookmarkStart w:id="16" w:name="_Toc204256369"/>
      <w:r w:rsidRPr="00F91C8D">
        <w:rPr>
          <w:rFonts w:cs="Arial"/>
        </w:rPr>
        <w:lastRenderedPageBreak/>
        <w:t>CHAPTER 4 – Findings and Discussion</w:t>
      </w:r>
      <w:bookmarkEnd w:id="16"/>
      <w:r w:rsidRPr="00F91C8D">
        <w:rPr>
          <w:rFonts w:cs="Arial"/>
        </w:rPr>
        <w:t xml:space="preserve"> </w:t>
      </w:r>
    </w:p>
    <w:p w14:paraId="63914E98" w14:textId="77777777" w:rsidR="00DB145F" w:rsidRPr="00F91C8D" w:rsidRDefault="00DB145F" w:rsidP="00DB145F">
      <w:pPr>
        <w:pStyle w:val="Heading1"/>
        <w:ind w:left="0"/>
        <w:rPr>
          <w:rFonts w:cs="Arial"/>
        </w:rPr>
      </w:pPr>
    </w:p>
    <w:p w14:paraId="2C7EB247" w14:textId="77777777" w:rsidR="00DB145F" w:rsidRDefault="00F91C8D" w:rsidP="00DB145F">
      <w:pPr>
        <w:pStyle w:val="Heading2"/>
        <w:rPr>
          <w:rFonts w:cs="Arial"/>
        </w:rPr>
      </w:pPr>
      <w:bookmarkStart w:id="17" w:name="_Toc204256370"/>
      <w:r w:rsidRPr="00F91C8D">
        <w:rPr>
          <w:rFonts w:cs="Arial"/>
        </w:rPr>
        <w:t>4.1 – Introduction</w:t>
      </w:r>
      <w:bookmarkEnd w:id="17"/>
      <w:r w:rsidRPr="00F91C8D">
        <w:rPr>
          <w:rFonts w:cs="Arial"/>
        </w:rPr>
        <w:t xml:space="preserve"> </w:t>
      </w:r>
    </w:p>
    <w:p w14:paraId="2B1B60EB" w14:textId="71CBA4D0" w:rsidR="00F91C8D" w:rsidRPr="00DC37A1" w:rsidRDefault="00F91C8D" w:rsidP="00DC37A1">
      <w:pPr>
        <w:rPr>
          <w:rFonts w:cs="Arial"/>
          <w:lang w:eastAsia="en-GB" w:bidi="en-GB"/>
        </w:rPr>
      </w:pPr>
      <w:r w:rsidRPr="00DC37A1">
        <w:rPr>
          <w:rFonts w:cs="Arial"/>
          <w:lang w:eastAsia="en-GB" w:bidi="en-GB"/>
        </w:rPr>
        <w:t xml:space="preserve">This chapter </w:t>
      </w:r>
      <w:r w:rsidR="00DB145F" w:rsidRPr="00DC37A1">
        <w:rPr>
          <w:rFonts w:cs="Arial"/>
          <w:lang w:eastAsia="en-GB" w:bidi="en-GB"/>
        </w:rPr>
        <w:t>presents the findings and discussion of this study, which examines the differences in quality of care for individuals with dementia residing in care homes and those receiving</w:t>
      </w:r>
      <w:r w:rsidRPr="00DC37A1">
        <w:rPr>
          <w:rFonts w:cs="Arial"/>
          <w:lang w:eastAsia="en-GB" w:bidi="en-GB"/>
        </w:rPr>
        <w:t xml:space="preserve"> home care in the UK. Thematic analysis was employed to reveal and examine significant patterns within the literature. Three overarching themes were uncovered: </w:t>
      </w:r>
      <w:r w:rsidRPr="00DC37A1">
        <w:rPr>
          <w:rFonts w:cs="Arial"/>
          <w:b/>
          <w:bCs/>
          <w:lang w:eastAsia="en-GB" w:bidi="en-GB"/>
        </w:rPr>
        <w:t>Person-Centred Care and Quality of Life</w:t>
      </w:r>
      <w:r w:rsidRPr="00DC37A1">
        <w:rPr>
          <w:rFonts w:cs="Arial"/>
          <w:lang w:eastAsia="en-GB" w:bidi="en-GB"/>
        </w:rPr>
        <w:t xml:space="preserve">, </w:t>
      </w:r>
      <w:r w:rsidRPr="00DC37A1">
        <w:rPr>
          <w:rFonts w:cs="Arial"/>
          <w:b/>
          <w:bCs/>
          <w:lang w:eastAsia="en-GB" w:bidi="en-GB"/>
        </w:rPr>
        <w:t>Carer Burden and Support Systems</w:t>
      </w:r>
      <w:r w:rsidRPr="00DC37A1">
        <w:rPr>
          <w:rFonts w:cs="Arial"/>
          <w:lang w:eastAsia="en-GB" w:bidi="en-GB"/>
        </w:rPr>
        <w:t xml:space="preserve">, and </w:t>
      </w:r>
      <w:r w:rsidRPr="00DC37A1">
        <w:rPr>
          <w:rFonts w:cs="Arial"/>
          <w:b/>
          <w:bCs/>
          <w:lang w:eastAsia="en-GB" w:bidi="en-GB"/>
        </w:rPr>
        <w:t>Access to Services and Continuity of Care.</w:t>
      </w:r>
      <w:r w:rsidRPr="00DC37A1">
        <w:rPr>
          <w:rFonts w:cs="Arial"/>
          <w:lang w:eastAsia="en-GB" w:bidi="en-GB"/>
        </w:rPr>
        <w:t xml:space="preserve"> Each will be critically explored within the context of the research question through engagement with academic literature, policy, and applicable case studies.</w:t>
      </w:r>
    </w:p>
    <w:p w14:paraId="0FD14FCE" w14:textId="77777777" w:rsidR="00DB145F" w:rsidRPr="00DB145F" w:rsidRDefault="00DB145F" w:rsidP="00DB145F">
      <w:pPr>
        <w:rPr>
          <w:lang w:eastAsia="en-GB" w:bidi="en-GB"/>
        </w:rPr>
      </w:pPr>
    </w:p>
    <w:p w14:paraId="5461ED17" w14:textId="47DF95A6" w:rsidR="00F91C8D" w:rsidRPr="00F91C8D" w:rsidRDefault="00F91C8D" w:rsidP="00F91C8D">
      <w:pPr>
        <w:pStyle w:val="Heading2"/>
        <w:rPr>
          <w:rFonts w:cs="Arial"/>
        </w:rPr>
      </w:pPr>
      <w:bookmarkStart w:id="18" w:name="_Toc204256371"/>
      <w:r w:rsidRPr="00F91C8D">
        <w:rPr>
          <w:rFonts w:cs="Arial"/>
        </w:rPr>
        <w:t>4.2 – Thematic Analysis</w:t>
      </w:r>
      <w:bookmarkEnd w:id="18"/>
      <w:r w:rsidRPr="00F91C8D">
        <w:rPr>
          <w:rFonts w:cs="Arial"/>
        </w:rPr>
        <w:t xml:space="preserve"> </w:t>
      </w:r>
    </w:p>
    <w:p w14:paraId="4BD15D67" w14:textId="3D931C98" w:rsidR="00F91C8D" w:rsidRPr="00F91C8D" w:rsidRDefault="00F91C8D" w:rsidP="00F91C8D">
      <w:pPr>
        <w:rPr>
          <w:rFonts w:cs="Arial"/>
          <w:lang w:eastAsia="en-GB" w:bidi="en-GB"/>
        </w:rPr>
      </w:pPr>
      <w:r w:rsidRPr="00F91C8D">
        <w:rPr>
          <w:rFonts w:cs="Arial"/>
          <w:lang w:eastAsia="en-GB" w:bidi="en-GB"/>
        </w:rPr>
        <w:t xml:space="preserve">Thematic analysis is a qualitative approach </w:t>
      </w:r>
      <w:r>
        <w:rPr>
          <w:rFonts w:cs="Arial"/>
          <w:lang w:eastAsia="en-GB" w:bidi="en-GB"/>
        </w:rPr>
        <w:t>used to identify, explore, and interpret</w:t>
      </w:r>
      <w:r w:rsidRPr="00F91C8D">
        <w:rPr>
          <w:rFonts w:cs="Arial"/>
          <w:lang w:eastAsia="en-GB" w:bidi="en-GB"/>
        </w:rPr>
        <w:t xml:space="preserve"> patterns of meaning in data sources (Braun &amp; Clarke, 2006). Secondary thematic analysis was </w:t>
      </w:r>
      <w:r>
        <w:rPr>
          <w:rFonts w:cs="Arial"/>
          <w:lang w:eastAsia="en-GB" w:bidi="en-GB"/>
        </w:rPr>
        <w:t>used</w:t>
      </w:r>
      <w:r w:rsidRPr="00F91C8D">
        <w:rPr>
          <w:rFonts w:cs="Arial"/>
          <w:lang w:eastAsia="en-GB" w:bidi="en-GB"/>
        </w:rPr>
        <w:t xml:space="preserve"> in this dissertation to integrate systematic review data, academic literature, and policy documents on dementia care. Through this process, concepts </w:t>
      </w:r>
      <w:r>
        <w:rPr>
          <w:rFonts w:cs="Arial"/>
          <w:lang w:eastAsia="en-GB" w:bidi="en-GB"/>
        </w:rPr>
        <w:t xml:space="preserve">that repeated themselves </w:t>
      </w:r>
      <w:r w:rsidR="00CE7E3F">
        <w:rPr>
          <w:rFonts w:cs="Arial"/>
          <w:lang w:eastAsia="en-GB" w:bidi="en-GB"/>
        </w:rPr>
        <w:t>in</w:t>
      </w:r>
      <w:r w:rsidRPr="00F91C8D">
        <w:rPr>
          <w:rFonts w:cs="Arial"/>
          <w:lang w:eastAsia="en-GB" w:bidi="en-GB"/>
        </w:rPr>
        <w:t xml:space="preserve"> the research question were identified. Having weighed the evidence, three overarching themes were constructed:</w:t>
      </w:r>
    </w:p>
    <w:p w14:paraId="39F90E49" w14:textId="77777777" w:rsidR="00F91C8D" w:rsidRPr="00F91C8D" w:rsidRDefault="00F91C8D" w:rsidP="00F91C8D">
      <w:pPr>
        <w:rPr>
          <w:rFonts w:cs="Arial"/>
          <w:b/>
          <w:bCs/>
        </w:rPr>
      </w:pPr>
      <w:r w:rsidRPr="00F91C8D">
        <w:rPr>
          <w:rFonts w:ascii="Segoe UI Emoji" w:hAnsi="Segoe UI Emoji" w:cs="Segoe UI Emoji"/>
          <w:b/>
          <w:bCs/>
          <w:color w:val="5B9BD5" w:themeColor="accent5"/>
        </w:rPr>
        <w:t>🟦</w:t>
      </w:r>
      <w:r w:rsidRPr="00F91C8D">
        <w:rPr>
          <w:rFonts w:cs="Arial"/>
          <w:b/>
          <w:bCs/>
          <w:color w:val="5B9BD5" w:themeColor="accent5"/>
        </w:rPr>
        <w:t xml:space="preserve"> Person-Centred Care and Quality of Life</w:t>
      </w:r>
    </w:p>
    <w:p w14:paraId="22A5E681" w14:textId="77777777" w:rsidR="00F91C8D" w:rsidRPr="00F91C8D" w:rsidRDefault="00F91C8D" w:rsidP="00F91C8D">
      <w:pPr>
        <w:rPr>
          <w:rFonts w:cs="Arial"/>
          <w:b/>
          <w:bCs/>
          <w:color w:val="00B050"/>
          <w:lang w:eastAsia="en-GB" w:bidi="en-GB"/>
        </w:rPr>
      </w:pPr>
      <w:r w:rsidRPr="00F91C8D">
        <w:rPr>
          <w:rFonts w:ascii="Segoe UI Emoji" w:hAnsi="Segoe UI Emoji" w:cs="Segoe UI Emoji"/>
          <w:b/>
          <w:bCs/>
          <w:color w:val="00B050"/>
          <w:lang w:eastAsia="en-GB" w:bidi="en-GB"/>
        </w:rPr>
        <w:t>🟩</w:t>
      </w:r>
      <w:r w:rsidRPr="00F91C8D">
        <w:rPr>
          <w:rFonts w:cs="Arial"/>
          <w:b/>
          <w:bCs/>
          <w:color w:val="00B050"/>
          <w:lang w:eastAsia="en-GB" w:bidi="en-GB"/>
        </w:rPr>
        <w:t xml:space="preserve"> Care Burden and Support Systems</w:t>
      </w:r>
    </w:p>
    <w:p w14:paraId="5188B07D" w14:textId="77777777" w:rsidR="00F91C8D" w:rsidRPr="00F91C8D" w:rsidRDefault="00F91C8D" w:rsidP="00F91C8D">
      <w:pPr>
        <w:rPr>
          <w:rFonts w:cs="Arial"/>
          <w:b/>
          <w:bCs/>
          <w:color w:val="ED7D31" w:themeColor="accent2"/>
          <w:lang w:eastAsia="en-GB" w:bidi="en-GB"/>
        </w:rPr>
      </w:pPr>
      <w:r w:rsidRPr="00F91C8D">
        <w:rPr>
          <w:rFonts w:ascii="Segoe UI Emoji" w:hAnsi="Segoe UI Emoji" w:cs="Segoe UI Emoji"/>
          <w:b/>
          <w:bCs/>
          <w:color w:val="ED7D31" w:themeColor="accent2"/>
          <w:lang w:eastAsia="en-GB" w:bidi="en-GB"/>
        </w:rPr>
        <w:t>🟧</w:t>
      </w:r>
      <w:r w:rsidRPr="00F91C8D">
        <w:rPr>
          <w:rFonts w:cs="Arial"/>
          <w:b/>
          <w:bCs/>
          <w:color w:val="ED7D31" w:themeColor="accent2"/>
          <w:lang w:eastAsia="en-GB" w:bidi="en-GB"/>
        </w:rPr>
        <w:t xml:space="preserve"> Continuity of care and access to services.</w:t>
      </w:r>
    </w:p>
    <w:p w14:paraId="03E78C26" w14:textId="39AB30DA" w:rsidR="00F91C8D" w:rsidRPr="00F91C8D" w:rsidRDefault="00CE7E3F" w:rsidP="00F91C8D">
      <w:pPr>
        <w:rPr>
          <w:rFonts w:cs="Arial"/>
        </w:rPr>
      </w:pPr>
      <w:r>
        <w:rPr>
          <w:rFonts w:cs="Arial"/>
          <w:lang w:eastAsia="en-GB" w:bidi="en-GB"/>
        </w:rPr>
        <w:t>These topics guide the discussion and in-depth analysis in the upcoming sections. See</w:t>
      </w:r>
      <w:r w:rsidR="00DC37A1">
        <w:rPr>
          <w:rFonts w:cs="Arial"/>
          <w:lang w:eastAsia="en-GB" w:bidi="en-GB"/>
        </w:rPr>
        <w:t xml:space="preserve"> the Summary Table in Appendix 6.2.2 and the</w:t>
      </w:r>
      <w:r>
        <w:rPr>
          <w:rFonts w:cs="Arial"/>
          <w:lang w:eastAsia="en-GB" w:bidi="en-GB"/>
        </w:rPr>
        <w:t xml:space="preserve"> Theme Planning Activity in Appendix 6.2.</w:t>
      </w:r>
      <w:r w:rsidR="00DC37A1">
        <w:rPr>
          <w:rFonts w:cs="Arial"/>
          <w:lang w:eastAsia="en-GB" w:bidi="en-GB"/>
        </w:rPr>
        <w:t>3</w:t>
      </w:r>
      <w:r w:rsidR="00482247">
        <w:rPr>
          <w:rFonts w:cs="Arial"/>
          <w:lang w:eastAsia="en-GB" w:bidi="en-GB"/>
        </w:rPr>
        <w:t>.</w:t>
      </w:r>
    </w:p>
    <w:p w14:paraId="64F82E06" w14:textId="77777777" w:rsidR="00F91C8D" w:rsidRPr="00F91C8D" w:rsidRDefault="00F91C8D" w:rsidP="00F91C8D">
      <w:pPr>
        <w:rPr>
          <w:rFonts w:cs="Arial"/>
        </w:rPr>
      </w:pPr>
    </w:p>
    <w:p w14:paraId="200A7A11" w14:textId="77777777" w:rsidR="00F91C8D" w:rsidRPr="00DC37A1" w:rsidRDefault="00F91C8D" w:rsidP="00F91C8D">
      <w:pPr>
        <w:pStyle w:val="Heading2"/>
        <w:rPr>
          <w:rFonts w:cs="Arial"/>
        </w:rPr>
      </w:pPr>
      <w:bookmarkStart w:id="19" w:name="_Toc204256372"/>
      <w:r w:rsidRPr="00F91C8D">
        <w:rPr>
          <w:rFonts w:cs="Arial"/>
        </w:rPr>
        <w:t xml:space="preserve">4.3 – Theme 1 </w:t>
      </w:r>
      <w:r w:rsidRPr="00DC37A1">
        <w:rPr>
          <w:rFonts w:cs="Arial"/>
          <w:color w:val="auto"/>
        </w:rPr>
        <w:t>Person-Centred Care and Quality of Life</w:t>
      </w:r>
      <w:bookmarkEnd w:id="19"/>
    </w:p>
    <w:p w14:paraId="4CF9A881" w14:textId="77777777" w:rsidR="00F91C8D" w:rsidRPr="00F91C8D" w:rsidRDefault="00F91C8D" w:rsidP="00F91C8D">
      <w:pPr>
        <w:pStyle w:val="Heading4"/>
        <w:rPr>
          <w:rFonts w:ascii="Arial" w:hAnsi="Arial" w:cs="Arial"/>
        </w:rPr>
      </w:pPr>
      <w:r w:rsidRPr="00F91C8D">
        <w:rPr>
          <w:rFonts w:ascii="Arial" w:hAnsi="Arial" w:cs="Arial"/>
        </w:rPr>
        <w:t xml:space="preserve">Definition </w:t>
      </w:r>
    </w:p>
    <w:p w14:paraId="20C23DE6" w14:textId="77777777" w:rsidR="00F91C8D" w:rsidRPr="00F91C8D" w:rsidRDefault="00F91C8D" w:rsidP="001E631D">
      <w:pPr>
        <w:numPr>
          <w:ilvl w:val="0"/>
          <w:numId w:val="17"/>
        </w:numPr>
        <w:spacing w:before="100" w:beforeAutospacing="1" w:after="100" w:afterAutospacing="1"/>
        <w:jc w:val="left"/>
        <w:rPr>
          <w:rStyle w:val="Strong"/>
          <w:rFonts w:cs="Arial"/>
          <w:b w:val="0"/>
          <w:bCs w:val="0"/>
        </w:rPr>
      </w:pPr>
      <w:r w:rsidRPr="00F91C8D">
        <w:rPr>
          <w:rStyle w:val="Strong"/>
          <w:rFonts w:cs="Arial"/>
        </w:rPr>
        <w:t>Definition:</w:t>
      </w:r>
    </w:p>
    <w:p w14:paraId="56CD5CA5" w14:textId="70E36A83" w:rsidR="00F91C8D" w:rsidRPr="00F91C8D" w:rsidRDefault="00F91C8D" w:rsidP="00F91C8D">
      <w:pPr>
        <w:spacing w:before="100" w:beforeAutospacing="1" w:after="100" w:afterAutospacing="1"/>
        <w:jc w:val="left"/>
        <w:rPr>
          <w:rFonts w:cs="Arial"/>
        </w:rPr>
      </w:pPr>
      <w:r w:rsidRPr="00F91C8D">
        <w:rPr>
          <w:rFonts w:cs="Arial"/>
        </w:rPr>
        <w:t xml:space="preserve">Person-centred care (PCC) is a holistic model that focuses on the person's values, preferences, and dignity at the forefront of care. It shifts from a task-focused model, addressing </w:t>
      </w:r>
      <w:r w:rsidR="00CE7E3F">
        <w:rPr>
          <w:rFonts w:cs="Arial"/>
        </w:rPr>
        <w:t>the person with dementia as a whole person, rather than</w:t>
      </w:r>
      <w:r w:rsidRPr="00F91C8D">
        <w:rPr>
          <w:rFonts w:cs="Arial"/>
        </w:rPr>
        <w:t xml:space="preserve"> just repairing cognitive </w:t>
      </w:r>
      <w:r w:rsidRPr="00F91C8D">
        <w:rPr>
          <w:rFonts w:cs="Arial"/>
        </w:rPr>
        <w:lastRenderedPageBreak/>
        <w:t xml:space="preserve">deficits (Ho et al., 2021). The model </w:t>
      </w:r>
      <w:r w:rsidR="00CE7E3F">
        <w:rPr>
          <w:rFonts w:cs="Arial"/>
        </w:rPr>
        <w:t>was developed by Tom Kitwood, who emphasised</w:t>
      </w:r>
      <w:r w:rsidRPr="00F91C8D">
        <w:rPr>
          <w:rFonts w:cs="Arial"/>
        </w:rPr>
        <w:t xml:space="preserve"> the person's expertise beyond illness.</w:t>
      </w:r>
    </w:p>
    <w:p w14:paraId="1F6819B5" w14:textId="77777777" w:rsidR="00F91C8D" w:rsidRPr="00F91C8D" w:rsidRDefault="00F91C8D" w:rsidP="00F91C8D">
      <w:pPr>
        <w:pStyle w:val="Heading4"/>
        <w:rPr>
          <w:rFonts w:ascii="Arial" w:hAnsi="Arial" w:cs="Arial"/>
        </w:rPr>
      </w:pPr>
      <w:r w:rsidRPr="00F91C8D">
        <w:rPr>
          <w:rFonts w:ascii="Arial" w:hAnsi="Arial" w:cs="Arial"/>
        </w:rPr>
        <w:t>Background Information</w:t>
      </w:r>
    </w:p>
    <w:p w14:paraId="77AF0094" w14:textId="77777777" w:rsidR="00F91C8D" w:rsidRPr="00F91C8D" w:rsidRDefault="00F91C8D" w:rsidP="001E631D">
      <w:pPr>
        <w:numPr>
          <w:ilvl w:val="0"/>
          <w:numId w:val="18"/>
        </w:numPr>
        <w:spacing w:before="100" w:beforeAutospacing="1" w:after="100" w:afterAutospacing="1"/>
        <w:jc w:val="left"/>
        <w:rPr>
          <w:rStyle w:val="Strong"/>
          <w:rFonts w:cs="Arial"/>
          <w:b w:val="0"/>
          <w:bCs w:val="0"/>
        </w:rPr>
      </w:pPr>
      <w:r w:rsidRPr="00F91C8D">
        <w:rPr>
          <w:rStyle w:val="Strong"/>
          <w:rFonts w:cs="Arial"/>
        </w:rPr>
        <w:t>Historical/Contextual Background:</w:t>
      </w:r>
    </w:p>
    <w:p w14:paraId="0FB62714" w14:textId="777DFEB2" w:rsidR="00F91C8D" w:rsidRPr="00F91C8D" w:rsidRDefault="00F91C8D" w:rsidP="00F91C8D">
      <w:pPr>
        <w:spacing w:before="100" w:beforeAutospacing="1" w:after="100" w:afterAutospacing="1"/>
        <w:jc w:val="left"/>
        <w:rPr>
          <w:rFonts w:cs="Arial"/>
        </w:rPr>
      </w:pPr>
      <w:r w:rsidRPr="00F91C8D">
        <w:rPr>
          <w:rFonts w:cs="Arial"/>
        </w:rPr>
        <w:t xml:space="preserve">Traditionally, dementia care was </w:t>
      </w:r>
      <w:r w:rsidR="00CE7E3F">
        <w:rPr>
          <w:rFonts w:cs="Arial"/>
        </w:rPr>
        <w:t xml:space="preserve">based on a biomedical model, where symptom control was </w:t>
      </w:r>
      <w:r w:rsidR="00281224">
        <w:rPr>
          <w:rFonts w:cs="Arial"/>
        </w:rPr>
        <w:t>the focus</w:t>
      </w:r>
      <w:r w:rsidR="00482247">
        <w:rPr>
          <w:rFonts w:cs="Arial"/>
        </w:rPr>
        <w:t>,</w:t>
      </w:r>
      <w:r w:rsidR="00281224">
        <w:rPr>
          <w:rFonts w:cs="Arial"/>
        </w:rPr>
        <w:t xml:space="preserve"> shifted towards an individual's personal needs and identity. This shift occurred in the 1990s, when Tom Kitwood developed the theory of person-centred care, emphasising the role of emotional well-being, dignity, and social relationships in caring for</w:t>
      </w:r>
      <w:r w:rsidRPr="00F91C8D">
        <w:rPr>
          <w:rFonts w:cs="Arial"/>
        </w:rPr>
        <w:t xml:space="preserve"> people with dementia (Ho et al., 2021). His theory of personhood </w:t>
      </w:r>
      <w:r w:rsidR="00281224">
        <w:rPr>
          <w:rFonts w:cs="Arial"/>
        </w:rPr>
        <w:t>significantly influenced care provision, particularly in the realm of</w:t>
      </w:r>
      <w:r w:rsidRPr="00F91C8D">
        <w:rPr>
          <w:rFonts w:cs="Arial"/>
        </w:rPr>
        <w:t xml:space="preserve"> long-term care. Since then, UK </w:t>
      </w:r>
      <w:r w:rsidR="00281224">
        <w:rPr>
          <w:rFonts w:cs="Arial"/>
        </w:rPr>
        <w:t>policies, such as the NICE Dementia Guidelines (2018) and the NHS Long Term Plan,</w:t>
      </w:r>
      <w:r w:rsidRPr="00F91C8D">
        <w:rPr>
          <w:rFonts w:cs="Arial"/>
        </w:rPr>
        <w:t xml:space="preserve"> have incorporated person-centred care within national dementia strategies to optimise quality of life outcomes.</w:t>
      </w:r>
    </w:p>
    <w:p w14:paraId="5A05E0BD" w14:textId="77777777" w:rsidR="00F91C8D" w:rsidRPr="00F91C8D" w:rsidRDefault="00F91C8D" w:rsidP="00F91C8D">
      <w:pPr>
        <w:pStyle w:val="Heading4"/>
        <w:rPr>
          <w:rFonts w:ascii="Arial" w:hAnsi="Arial" w:cs="Arial"/>
        </w:rPr>
      </w:pPr>
      <w:r w:rsidRPr="00F91C8D">
        <w:rPr>
          <w:rFonts w:ascii="Arial" w:hAnsi="Arial" w:cs="Arial"/>
        </w:rPr>
        <w:t>Impact on Research Question</w:t>
      </w:r>
    </w:p>
    <w:p w14:paraId="2E8B8E86" w14:textId="77777777" w:rsidR="00F91C8D" w:rsidRPr="00F91C8D" w:rsidRDefault="00F91C8D" w:rsidP="001E631D">
      <w:pPr>
        <w:numPr>
          <w:ilvl w:val="0"/>
          <w:numId w:val="19"/>
        </w:numPr>
        <w:spacing w:before="100" w:beforeAutospacing="1" w:after="100" w:afterAutospacing="1"/>
        <w:jc w:val="left"/>
        <w:rPr>
          <w:rFonts w:cs="Arial"/>
        </w:rPr>
      </w:pPr>
      <w:r w:rsidRPr="00F91C8D">
        <w:rPr>
          <w:rStyle w:val="Strong"/>
          <w:rFonts w:cs="Arial"/>
        </w:rPr>
        <w:t>Relevance to Title/Research Question:</w:t>
      </w:r>
    </w:p>
    <w:p w14:paraId="3AE778AE" w14:textId="751C3480" w:rsidR="00F91C8D" w:rsidRPr="00F91C8D" w:rsidRDefault="00F91C8D" w:rsidP="00F91C8D">
      <w:pPr>
        <w:spacing w:before="100" w:beforeAutospacing="1" w:after="100" w:afterAutospacing="1"/>
        <w:jc w:val="left"/>
        <w:rPr>
          <w:rFonts w:cs="Arial"/>
        </w:rPr>
      </w:pPr>
      <w:r w:rsidRPr="00F91C8D">
        <w:rPr>
          <w:rFonts w:cs="Arial"/>
        </w:rPr>
        <w:t xml:space="preserve">The person-centred care theme is more closely related to the research question of comparison of the quality of dementia care in home and care home settings. Quality of life is one of the most </w:t>
      </w:r>
      <w:r w:rsidR="00CE7E3F">
        <w:rPr>
          <w:rFonts w:cs="Arial"/>
        </w:rPr>
        <w:t>critical</w:t>
      </w:r>
      <w:r w:rsidRPr="00F91C8D">
        <w:rPr>
          <w:rFonts w:cs="Arial"/>
        </w:rPr>
        <w:t xml:space="preserve"> outcomes when measuring the effectiveness of care, and person-centred styles are in place as a requirement for meeting this. This </w:t>
      </w:r>
      <w:r w:rsidR="00DB145F">
        <w:rPr>
          <w:rFonts w:cs="Arial"/>
        </w:rPr>
        <w:t xml:space="preserve">topic explores how individualised, respectful, and personalised care can impact emotional well-being, calmness, and the preservation of identity </w:t>
      </w:r>
      <w:r w:rsidRPr="00F91C8D">
        <w:rPr>
          <w:rFonts w:cs="Arial"/>
        </w:rPr>
        <w:t xml:space="preserve">in institutional or care facility settings (Ballard et al., 2017; Wenborn et al., 2021). Measurement of whether or not person-centred care is being delivered consistently and effectively within each facility is required to make comparisons between </w:t>
      </w:r>
      <w:r w:rsidR="00DB145F">
        <w:rPr>
          <w:rFonts w:cs="Arial"/>
        </w:rPr>
        <w:t xml:space="preserve">the </w:t>
      </w:r>
      <w:r w:rsidRPr="00F91C8D">
        <w:rPr>
          <w:rFonts w:cs="Arial"/>
        </w:rPr>
        <w:t>overall quality of care.</w:t>
      </w:r>
    </w:p>
    <w:p w14:paraId="5D0D886C" w14:textId="77777777" w:rsidR="00F91C8D" w:rsidRPr="00F91C8D" w:rsidRDefault="00F91C8D" w:rsidP="001E631D">
      <w:pPr>
        <w:numPr>
          <w:ilvl w:val="0"/>
          <w:numId w:val="20"/>
        </w:numPr>
        <w:spacing w:before="100" w:beforeAutospacing="1" w:after="100" w:afterAutospacing="1"/>
        <w:jc w:val="left"/>
        <w:rPr>
          <w:rFonts w:cs="Arial"/>
        </w:rPr>
      </w:pPr>
      <w:r w:rsidRPr="00F91C8D">
        <w:rPr>
          <w:rStyle w:val="Strong"/>
          <w:rFonts w:cs="Arial"/>
        </w:rPr>
        <w:t>Data and Statistics:</w:t>
      </w:r>
    </w:p>
    <w:p w14:paraId="6B376F93" w14:textId="263A4B66" w:rsidR="00F91C8D" w:rsidRPr="00F91C8D" w:rsidRDefault="00F91C8D" w:rsidP="00F91C8D">
      <w:pPr>
        <w:pStyle w:val="Heading4"/>
        <w:rPr>
          <w:rFonts w:ascii="Arial" w:eastAsiaTheme="minorEastAsia" w:hAnsi="Arial" w:cs="Arial"/>
          <w:i w:val="0"/>
          <w:iCs w:val="0"/>
          <w:color w:val="auto"/>
        </w:rPr>
      </w:pPr>
      <w:r w:rsidRPr="00F91C8D">
        <w:rPr>
          <w:rFonts w:ascii="Arial" w:eastAsiaTheme="minorEastAsia" w:hAnsi="Arial" w:cs="Arial"/>
          <w:i w:val="0"/>
          <w:iCs w:val="0"/>
          <w:color w:val="auto"/>
        </w:rPr>
        <w:lastRenderedPageBreak/>
        <w:t xml:space="preserve">Statistical data significantly corroborate the advantages of person-centred care to enhance the quality of life for individuals with dementia. In the WHELD study, authors </w:t>
      </w:r>
      <w:r w:rsidR="008E7003">
        <w:rPr>
          <w:rFonts w:ascii="Arial" w:eastAsiaTheme="minorEastAsia" w:hAnsi="Arial" w:cs="Arial"/>
          <w:i w:val="0"/>
          <w:iCs w:val="0"/>
          <w:color w:val="auto"/>
        </w:rPr>
        <w:t>reported a 17% increase in health-related quality of life and a 50% decrease in antipsychotic medication use among care home residents who received</w:t>
      </w:r>
      <w:r w:rsidRPr="00F91C8D">
        <w:rPr>
          <w:rFonts w:ascii="Arial" w:eastAsiaTheme="minorEastAsia" w:hAnsi="Arial" w:cs="Arial"/>
          <w:i w:val="0"/>
          <w:iCs w:val="0"/>
          <w:color w:val="auto"/>
        </w:rPr>
        <w:t xml:space="preserve"> person-centred interventions (Ballard et al., 2017). </w:t>
      </w:r>
      <w:r w:rsidR="00CE7E3F">
        <w:rPr>
          <w:rFonts w:ascii="Arial" w:eastAsiaTheme="minorEastAsia" w:hAnsi="Arial" w:cs="Arial"/>
          <w:i w:val="0"/>
          <w:iCs w:val="0"/>
          <w:color w:val="auto"/>
        </w:rPr>
        <w:t>Additionally, Rokstad et al. (2018) noted that person-centred day care interventions can postpone</w:t>
      </w:r>
      <w:r w:rsidRPr="00F91C8D">
        <w:rPr>
          <w:rFonts w:ascii="Arial" w:eastAsiaTheme="minorEastAsia" w:hAnsi="Arial" w:cs="Arial"/>
          <w:i w:val="0"/>
          <w:iCs w:val="0"/>
          <w:color w:val="auto"/>
        </w:rPr>
        <w:t xml:space="preserve"> admission to nursing homes by a maximum of 12 months. Nevertheless, Meads et al. (2020) noted inconsistency in cost-effectiveness between different care homes and raised concerns regarding sustainability. These results </w:t>
      </w:r>
      <w:r w:rsidR="008E7003">
        <w:rPr>
          <w:rFonts w:ascii="Arial" w:eastAsiaTheme="minorEastAsia" w:hAnsi="Arial" w:cs="Arial"/>
          <w:i w:val="0"/>
          <w:iCs w:val="0"/>
          <w:color w:val="auto"/>
        </w:rPr>
        <w:t>suggest that, although PCC is effective, the quality and consistency of</w:t>
      </w:r>
      <w:r w:rsidRPr="00F91C8D">
        <w:rPr>
          <w:rFonts w:ascii="Arial" w:eastAsiaTheme="minorEastAsia" w:hAnsi="Arial" w:cs="Arial"/>
          <w:i w:val="0"/>
          <w:iCs w:val="0"/>
          <w:color w:val="auto"/>
        </w:rPr>
        <w:t xml:space="preserve"> its application are uneven. </w:t>
      </w:r>
    </w:p>
    <w:p w14:paraId="48C03A29" w14:textId="77777777" w:rsidR="00F91C8D" w:rsidRPr="00F91C8D" w:rsidRDefault="00F91C8D" w:rsidP="00F91C8D">
      <w:pPr>
        <w:pStyle w:val="Heading4"/>
        <w:rPr>
          <w:rFonts w:ascii="Arial" w:eastAsiaTheme="minorEastAsia" w:hAnsi="Arial" w:cs="Arial"/>
          <w:i w:val="0"/>
          <w:iCs w:val="0"/>
          <w:color w:val="auto"/>
        </w:rPr>
      </w:pPr>
    </w:p>
    <w:p w14:paraId="11841622" w14:textId="77777777" w:rsidR="00F91C8D" w:rsidRPr="00F91C8D" w:rsidRDefault="00F91C8D" w:rsidP="00F91C8D">
      <w:pPr>
        <w:pStyle w:val="Heading4"/>
        <w:rPr>
          <w:rFonts w:ascii="Arial" w:hAnsi="Arial" w:cs="Arial"/>
        </w:rPr>
      </w:pPr>
      <w:r w:rsidRPr="00F91C8D">
        <w:rPr>
          <w:rFonts w:ascii="Arial" w:hAnsi="Arial" w:cs="Arial"/>
        </w:rPr>
        <w:t>Theories, Policies, and Legislation</w:t>
      </w:r>
    </w:p>
    <w:p w14:paraId="1351C4A9" w14:textId="77777777" w:rsidR="00F91C8D" w:rsidRPr="00F91C8D" w:rsidRDefault="00F91C8D" w:rsidP="001E631D">
      <w:pPr>
        <w:pStyle w:val="NormalWeb"/>
        <w:numPr>
          <w:ilvl w:val="0"/>
          <w:numId w:val="21"/>
        </w:numPr>
        <w:spacing w:line="360" w:lineRule="auto"/>
        <w:rPr>
          <w:rFonts w:ascii="Arial" w:hAnsi="Arial" w:cs="Arial"/>
          <w:sz w:val="22"/>
          <w:szCs w:val="22"/>
        </w:rPr>
      </w:pPr>
      <w:r w:rsidRPr="00F91C8D">
        <w:rPr>
          <w:rStyle w:val="Strong"/>
          <w:rFonts w:ascii="Arial" w:eastAsia="Calibri Light" w:hAnsi="Arial" w:cs="Arial"/>
          <w:sz w:val="22"/>
          <w:szCs w:val="22"/>
        </w:rPr>
        <w:t>Theoretical Framework:</w:t>
      </w:r>
    </w:p>
    <w:p w14:paraId="42F2449C" w14:textId="4E2DDDE5" w:rsidR="00F91C8D" w:rsidRPr="00F91C8D" w:rsidRDefault="00F91C8D" w:rsidP="00F91C8D">
      <w:pPr>
        <w:pStyle w:val="NormalWeb"/>
        <w:spacing w:line="360" w:lineRule="auto"/>
        <w:rPr>
          <w:rFonts w:ascii="Arial" w:hAnsi="Arial" w:cs="Arial"/>
          <w:sz w:val="22"/>
          <w:szCs w:val="22"/>
        </w:rPr>
      </w:pPr>
      <w:r w:rsidRPr="00F91C8D">
        <w:rPr>
          <w:rFonts w:ascii="Arial" w:eastAsiaTheme="minorEastAsia" w:hAnsi="Arial" w:cs="Arial"/>
          <w:kern w:val="2"/>
          <w:sz w:val="22"/>
          <w:szCs w:val="22"/>
          <w:lang w:eastAsia="zh-CN"/>
          <w14:ligatures w14:val="standardContextual"/>
        </w:rPr>
        <w:t xml:space="preserve">Person-centred </w:t>
      </w:r>
      <w:r w:rsidR="008E7003">
        <w:rPr>
          <w:rFonts w:ascii="Arial" w:eastAsiaTheme="minorEastAsia" w:hAnsi="Arial" w:cs="Arial"/>
          <w:kern w:val="2"/>
          <w:sz w:val="22"/>
          <w:szCs w:val="22"/>
          <w:lang w:eastAsia="zh-CN"/>
          <w14:ligatures w14:val="standardContextual"/>
        </w:rPr>
        <w:t>dementia care</w:t>
      </w:r>
      <w:r w:rsidRPr="00F91C8D">
        <w:rPr>
          <w:rFonts w:ascii="Arial" w:eastAsiaTheme="minorEastAsia" w:hAnsi="Arial" w:cs="Arial"/>
          <w:kern w:val="2"/>
          <w:sz w:val="22"/>
          <w:szCs w:val="22"/>
          <w:lang w:eastAsia="zh-CN"/>
          <w14:ligatures w14:val="standardContextual"/>
        </w:rPr>
        <w:t xml:space="preserve"> is based </w:t>
      </w:r>
      <w:r w:rsidR="008E7003">
        <w:rPr>
          <w:rFonts w:ascii="Arial" w:eastAsiaTheme="minorEastAsia" w:hAnsi="Arial" w:cs="Arial"/>
          <w:kern w:val="2"/>
          <w:sz w:val="22"/>
          <w:szCs w:val="22"/>
          <w:lang w:eastAsia="zh-CN"/>
          <w14:ligatures w14:val="standardContextual"/>
        </w:rPr>
        <w:t>mainly</w:t>
      </w:r>
      <w:r w:rsidRPr="00F91C8D">
        <w:rPr>
          <w:rFonts w:ascii="Arial" w:eastAsiaTheme="minorEastAsia" w:hAnsi="Arial" w:cs="Arial"/>
          <w:kern w:val="2"/>
          <w:sz w:val="22"/>
          <w:szCs w:val="22"/>
          <w:lang w:eastAsia="zh-CN"/>
          <w14:ligatures w14:val="standardContextual"/>
        </w:rPr>
        <w:t xml:space="preserve"> on Kitwood's personhood theory. Kitwood argued that care for people with dementia should focus on emotional and psychological welfare, as well as clinical presentation, by addressing the individual as a person with social and relational needs (Ho et al., 2021). This theory supports the utilisation of care practices that promote dignity, autonomy, and identity, </w:t>
      </w:r>
      <w:r w:rsidR="008E7003">
        <w:rPr>
          <w:rFonts w:ascii="Arial" w:eastAsiaTheme="minorEastAsia" w:hAnsi="Arial" w:cs="Arial"/>
          <w:kern w:val="2"/>
          <w:sz w:val="22"/>
          <w:szCs w:val="22"/>
          <w:lang w:eastAsia="zh-CN"/>
          <w14:ligatures w14:val="standardContextual"/>
        </w:rPr>
        <w:t xml:space="preserve">all of which are </w:t>
      </w:r>
      <w:r w:rsidRPr="00F91C8D">
        <w:rPr>
          <w:rFonts w:ascii="Arial" w:eastAsiaTheme="minorEastAsia" w:hAnsi="Arial" w:cs="Arial"/>
          <w:kern w:val="2"/>
          <w:sz w:val="22"/>
          <w:szCs w:val="22"/>
          <w:lang w:eastAsia="zh-CN"/>
          <w14:ligatures w14:val="standardContextual"/>
        </w:rPr>
        <w:t xml:space="preserve">essential to quality of life. It comes nearest to matching this dissertation's research question by providing a framework through which to assess the efficacy of care models </w:t>
      </w:r>
      <w:r w:rsidR="008E7003">
        <w:rPr>
          <w:rFonts w:ascii="Arial" w:eastAsiaTheme="minorEastAsia" w:hAnsi="Arial" w:cs="Arial"/>
          <w:kern w:val="2"/>
          <w:sz w:val="22"/>
          <w:szCs w:val="22"/>
          <w:lang w:eastAsia="zh-CN"/>
          <w14:ligatures w14:val="standardContextual"/>
        </w:rPr>
        <w:t xml:space="preserve">in </w:t>
      </w:r>
      <w:r w:rsidRPr="00F91C8D">
        <w:rPr>
          <w:rFonts w:ascii="Arial" w:eastAsiaTheme="minorEastAsia" w:hAnsi="Arial" w:cs="Arial"/>
          <w:kern w:val="2"/>
          <w:sz w:val="22"/>
          <w:szCs w:val="22"/>
          <w:lang w:eastAsia="zh-CN"/>
          <w14:ligatures w14:val="standardContextual"/>
        </w:rPr>
        <w:t>both home and care environments. With its proper application, Kitwood's model develops staff-patient relations and minimi</w:t>
      </w:r>
      <w:r w:rsidR="008E7003">
        <w:rPr>
          <w:rFonts w:ascii="Arial" w:eastAsiaTheme="minorEastAsia" w:hAnsi="Arial" w:cs="Arial"/>
          <w:kern w:val="2"/>
          <w:sz w:val="22"/>
          <w:szCs w:val="22"/>
          <w:lang w:eastAsia="zh-CN"/>
          <w14:ligatures w14:val="standardContextual"/>
        </w:rPr>
        <w:t>s</w:t>
      </w:r>
      <w:r w:rsidRPr="00F91C8D">
        <w:rPr>
          <w:rFonts w:ascii="Arial" w:eastAsiaTheme="minorEastAsia" w:hAnsi="Arial" w:cs="Arial"/>
          <w:kern w:val="2"/>
          <w:sz w:val="22"/>
          <w:szCs w:val="22"/>
          <w:lang w:eastAsia="zh-CN"/>
          <w14:ligatures w14:val="standardContextual"/>
        </w:rPr>
        <w:t>es behavioural distress (Ballard et al., 2017).</w:t>
      </w:r>
    </w:p>
    <w:p w14:paraId="633EFDDF" w14:textId="77777777" w:rsidR="00F91C8D" w:rsidRPr="00F91C8D" w:rsidRDefault="00F91C8D" w:rsidP="001E631D">
      <w:pPr>
        <w:pStyle w:val="NormalWeb"/>
        <w:numPr>
          <w:ilvl w:val="0"/>
          <w:numId w:val="21"/>
        </w:numPr>
        <w:spacing w:line="360" w:lineRule="auto"/>
        <w:rPr>
          <w:rFonts w:ascii="Arial" w:hAnsi="Arial" w:cs="Arial"/>
          <w:sz w:val="22"/>
          <w:szCs w:val="22"/>
        </w:rPr>
      </w:pPr>
      <w:r w:rsidRPr="00F91C8D">
        <w:rPr>
          <w:rStyle w:val="Strong"/>
          <w:rFonts w:ascii="Arial" w:eastAsia="Calibri Light" w:hAnsi="Arial" w:cs="Arial"/>
          <w:sz w:val="22"/>
          <w:szCs w:val="22"/>
        </w:rPr>
        <w:t>Policy and Legislation:</w:t>
      </w:r>
    </w:p>
    <w:p w14:paraId="029E2EC1" w14:textId="39ACDC45" w:rsidR="00F91C8D" w:rsidRPr="00F91C8D" w:rsidRDefault="00F91C8D" w:rsidP="00F91C8D">
      <w:pPr>
        <w:rPr>
          <w:rFonts w:cs="Arial"/>
          <w:i/>
          <w:iCs/>
        </w:rPr>
      </w:pPr>
      <w:r w:rsidRPr="00F91C8D">
        <w:rPr>
          <w:rFonts w:cs="Arial"/>
        </w:rPr>
        <w:t xml:space="preserve">Within the UK, </w:t>
      </w:r>
      <w:r w:rsidR="00CE7E3F">
        <w:rPr>
          <w:rFonts w:cs="Arial"/>
        </w:rPr>
        <w:t>person-centred</w:t>
      </w:r>
      <w:r w:rsidRPr="00F91C8D">
        <w:rPr>
          <w:rFonts w:cs="Arial"/>
        </w:rPr>
        <w:t xml:space="preserve"> care is actively fostered through national policy directives. The NICE Dementia Guidelines (NG97, 2018) have specific recommendations for personal care planning, valuing individual preferences, and routine review of quality of life. The Care Act 2014 </w:t>
      </w:r>
      <w:r w:rsidR="00CE7E3F">
        <w:rPr>
          <w:rFonts w:cs="Arial"/>
        </w:rPr>
        <w:t>places the responsibility on local authorities to promote the well-being, dignity, and person-centred care of</w:t>
      </w:r>
      <w:r w:rsidRPr="00F91C8D">
        <w:rPr>
          <w:rFonts w:cs="Arial"/>
        </w:rPr>
        <w:t xml:space="preserve"> adults with care needs. Furthermore, the Human Rights Act 1998 </w:t>
      </w:r>
      <w:r w:rsidR="00CE7E3F">
        <w:rPr>
          <w:rFonts w:cs="Arial"/>
        </w:rPr>
        <w:t>protects the right to private and family life, including</w:t>
      </w:r>
      <w:r w:rsidRPr="00F91C8D">
        <w:rPr>
          <w:rFonts w:cs="Arial"/>
        </w:rPr>
        <w:t xml:space="preserve"> </w:t>
      </w:r>
      <w:r w:rsidR="00281224">
        <w:rPr>
          <w:rFonts w:cs="Arial"/>
        </w:rPr>
        <w:t xml:space="preserve">the right to </w:t>
      </w:r>
      <w:r w:rsidRPr="00F91C8D">
        <w:rPr>
          <w:rFonts w:cs="Arial"/>
        </w:rPr>
        <w:t xml:space="preserve">respectful, non-discriminatory care in home and residential environments. Such policies have ensured person-centred care as a legal and professional expectation for dementia services. All that aside, staffing issues and </w:t>
      </w:r>
      <w:r w:rsidR="00CE7E3F">
        <w:rPr>
          <w:rFonts w:cs="Arial"/>
        </w:rPr>
        <w:t>inconsistent</w:t>
      </w:r>
      <w:r w:rsidRPr="00F91C8D">
        <w:rPr>
          <w:rFonts w:cs="Arial"/>
        </w:rPr>
        <w:t xml:space="preserve"> training present </w:t>
      </w:r>
      <w:r w:rsidR="00281224">
        <w:rPr>
          <w:rFonts w:cs="Arial"/>
        </w:rPr>
        <w:t>significant challenges, and the quality of implementation remains highly uneven across</w:t>
      </w:r>
      <w:r w:rsidRPr="00F91C8D">
        <w:rPr>
          <w:rFonts w:cs="Arial"/>
        </w:rPr>
        <w:t xml:space="preserve"> care environments (Meads et al., 2020).</w:t>
      </w:r>
    </w:p>
    <w:p w14:paraId="09745452" w14:textId="77777777" w:rsidR="00F91C8D" w:rsidRPr="00F91C8D" w:rsidRDefault="00F91C8D" w:rsidP="00F91C8D">
      <w:pPr>
        <w:pStyle w:val="Heading4"/>
        <w:rPr>
          <w:rFonts w:ascii="Arial" w:hAnsi="Arial" w:cs="Arial"/>
        </w:rPr>
      </w:pPr>
      <w:r w:rsidRPr="00F91C8D">
        <w:rPr>
          <w:rFonts w:ascii="Arial" w:hAnsi="Arial" w:cs="Arial"/>
        </w:rPr>
        <w:lastRenderedPageBreak/>
        <w:t>Implications</w:t>
      </w:r>
    </w:p>
    <w:p w14:paraId="4ED375BA" w14:textId="77777777" w:rsidR="00F91C8D" w:rsidRPr="00F91C8D" w:rsidRDefault="00F91C8D" w:rsidP="001E631D">
      <w:pPr>
        <w:numPr>
          <w:ilvl w:val="0"/>
          <w:numId w:val="22"/>
        </w:numPr>
        <w:spacing w:before="100" w:beforeAutospacing="1" w:after="100" w:afterAutospacing="1"/>
        <w:jc w:val="left"/>
        <w:rPr>
          <w:rFonts w:cs="Arial"/>
        </w:rPr>
      </w:pPr>
      <w:r w:rsidRPr="00F91C8D">
        <w:rPr>
          <w:rStyle w:val="Strong"/>
          <w:rFonts w:cs="Arial"/>
        </w:rPr>
        <w:t>Positive and Negative Implications:</w:t>
      </w:r>
    </w:p>
    <w:p w14:paraId="21584A49" w14:textId="14793547" w:rsidR="00F91C8D" w:rsidRPr="00F91C8D" w:rsidRDefault="00F91C8D" w:rsidP="00F91C8D">
      <w:pPr>
        <w:rPr>
          <w:rFonts w:cs="Arial"/>
          <w:i/>
          <w:iCs/>
        </w:rPr>
      </w:pPr>
      <w:r w:rsidRPr="00F91C8D">
        <w:rPr>
          <w:rFonts w:cs="Arial"/>
        </w:rPr>
        <w:t xml:space="preserve">Person-centred care (PCC) also retains long-established advantages </w:t>
      </w:r>
      <w:r w:rsidR="00CE7E3F">
        <w:rPr>
          <w:rFonts w:cs="Arial"/>
        </w:rPr>
        <w:t>in</w:t>
      </w:r>
      <w:r w:rsidRPr="00F91C8D">
        <w:rPr>
          <w:rFonts w:cs="Arial"/>
        </w:rPr>
        <w:t xml:space="preserve"> dementia care quality. It is evidenced to increase emotional wellbeing, decrease agitation, and improve dignity, especially in residential care through methodical intervention (Ballard et al., 2017). In the community, it provides routine, independence, and continuity</w:t>
      </w:r>
      <w:r w:rsidR="00CE7E3F">
        <w:rPr>
          <w:rFonts w:cs="Arial"/>
        </w:rPr>
        <w:t xml:space="preserve">, which translates into an </w:t>
      </w:r>
      <w:r w:rsidRPr="00F91C8D">
        <w:rPr>
          <w:rFonts w:cs="Arial"/>
        </w:rPr>
        <w:t xml:space="preserve">improved quality of life (Nguyen et al., 2022). Yet PCC relies fundamentally upon training, funding, and ongoing staff commitment. With poorly funded care homes, workers </w:t>
      </w:r>
      <w:r w:rsidR="00CE7E3F">
        <w:rPr>
          <w:rFonts w:cs="Arial"/>
        </w:rPr>
        <w:t>are unable to personalise care due to</w:t>
      </w:r>
      <w:r w:rsidRPr="00F91C8D">
        <w:rPr>
          <w:rFonts w:cs="Arial"/>
        </w:rPr>
        <w:t xml:space="preserve"> a lack of time (Meads et al., 2020). Home-based family </w:t>
      </w:r>
      <w:r w:rsidR="00CE7E3F">
        <w:rPr>
          <w:rFonts w:cs="Arial"/>
        </w:rPr>
        <w:t>caregivers often lack professional skills, which contributes</w:t>
      </w:r>
      <w:r w:rsidRPr="00F91C8D">
        <w:rPr>
          <w:rFonts w:cs="Arial"/>
        </w:rPr>
        <w:t xml:space="preserve"> to emotional tension and burnout (Wenborn et al., 2021). Such conflicting findings highlight the importance of sustainable, adequately funded </w:t>
      </w:r>
      <w:r w:rsidR="00CE7E3F">
        <w:rPr>
          <w:rFonts w:cs="Arial"/>
        </w:rPr>
        <w:t>PCCs</w:t>
      </w:r>
      <w:r w:rsidRPr="00F91C8D">
        <w:rPr>
          <w:rFonts w:cs="Arial"/>
        </w:rPr>
        <w:t xml:space="preserve"> in both settings.</w:t>
      </w:r>
    </w:p>
    <w:p w14:paraId="5326A863" w14:textId="77777777" w:rsidR="00F91C8D" w:rsidRPr="00F91C8D" w:rsidRDefault="00F91C8D" w:rsidP="00F91C8D">
      <w:pPr>
        <w:pStyle w:val="Heading4"/>
        <w:rPr>
          <w:rFonts w:ascii="Arial" w:hAnsi="Arial" w:cs="Arial"/>
        </w:rPr>
      </w:pPr>
      <w:r w:rsidRPr="00F91C8D">
        <w:rPr>
          <w:rFonts w:ascii="Arial" w:hAnsi="Arial" w:cs="Arial"/>
        </w:rPr>
        <w:t>Examples and Case Studies</w:t>
      </w:r>
    </w:p>
    <w:p w14:paraId="0D16BDF4" w14:textId="77777777" w:rsidR="00F91C8D" w:rsidRPr="00F91C8D" w:rsidRDefault="00F91C8D" w:rsidP="001E631D">
      <w:pPr>
        <w:numPr>
          <w:ilvl w:val="0"/>
          <w:numId w:val="23"/>
        </w:numPr>
        <w:spacing w:before="100" w:beforeAutospacing="1" w:after="100" w:afterAutospacing="1"/>
        <w:jc w:val="left"/>
        <w:rPr>
          <w:rFonts w:cs="Arial"/>
        </w:rPr>
      </w:pPr>
      <w:r w:rsidRPr="00F91C8D">
        <w:rPr>
          <w:rStyle w:val="Strong"/>
          <w:rFonts w:cs="Arial"/>
        </w:rPr>
        <w:t>Illustrative Examples:</w:t>
      </w:r>
    </w:p>
    <w:p w14:paraId="3C81E0E7" w14:textId="362E5BFD" w:rsidR="00F91C8D" w:rsidRPr="00F91C8D" w:rsidRDefault="00F91C8D" w:rsidP="00F91C8D">
      <w:pPr>
        <w:rPr>
          <w:rFonts w:cs="Arial"/>
        </w:rPr>
      </w:pPr>
      <w:r w:rsidRPr="00F91C8D">
        <w:rPr>
          <w:rFonts w:cs="Arial"/>
        </w:rPr>
        <w:t xml:space="preserve">The WHELD study is </w:t>
      </w:r>
      <w:r w:rsidR="00CE7E3F">
        <w:rPr>
          <w:rFonts w:cs="Arial"/>
        </w:rPr>
        <w:t>a prime example of person-centred care practice, demonstrating the impact of specialist activity design, staff training, and antipsychotic review in care homes on</w:t>
      </w:r>
      <w:r w:rsidRPr="00F91C8D">
        <w:rPr>
          <w:rFonts w:cs="Arial"/>
        </w:rPr>
        <w:t xml:space="preserve"> measurable outcomes</w:t>
      </w:r>
      <w:r w:rsidR="00281224">
        <w:rPr>
          <w:rFonts w:cs="Arial"/>
        </w:rPr>
        <w:t xml:space="preserve">, including residents' quality of life and medication adherence </w:t>
      </w:r>
      <w:r w:rsidRPr="00F91C8D">
        <w:rPr>
          <w:rFonts w:cs="Arial"/>
        </w:rPr>
        <w:t xml:space="preserve">(Ballard et al., 2017). Likewise, the MARQUE study has shown that </w:t>
      </w:r>
      <w:r w:rsidR="00CE7E3F">
        <w:rPr>
          <w:rFonts w:cs="Arial"/>
        </w:rPr>
        <w:t xml:space="preserve">increased staff involvement in PCC is linked to reduced agitation and improved </w:t>
      </w:r>
      <w:r w:rsidRPr="00F91C8D">
        <w:rPr>
          <w:rFonts w:cs="Arial"/>
        </w:rPr>
        <w:t>quality-of-life ratings in care homes (Livingston, 2017). In the home environment, Nguyen et al. (2022) tested a home-based primary care model incorporating PCC principles with decreased emergency admissions and improved continuity of care. Both instances illustrate that both environments are capable of providing quality outcomes</w:t>
      </w:r>
      <w:r w:rsidR="00CE7E3F">
        <w:rPr>
          <w:rFonts w:cs="Arial"/>
        </w:rPr>
        <w:t>. However,</w:t>
      </w:r>
      <w:r w:rsidRPr="00F91C8D">
        <w:rPr>
          <w:rFonts w:cs="Arial"/>
        </w:rPr>
        <w:t xml:space="preserve"> care homes are more suited to function within formalised systems</w:t>
      </w:r>
      <w:r w:rsidR="00CE7E3F">
        <w:rPr>
          <w:rFonts w:cs="Arial"/>
        </w:rPr>
        <w:t>,</w:t>
      </w:r>
      <w:r w:rsidRPr="00F91C8D">
        <w:rPr>
          <w:rFonts w:cs="Arial"/>
        </w:rPr>
        <w:t xml:space="preserve"> and home environments need to have carer support in place to enable regular person-centred outcomes.</w:t>
      </w:r>
    </w:p>
    <w:p w14:paraId="5D9DDEA6" w14:textId="77777777" w:rsidR="00F91C8D" w:rsidRPr="00F91C8D" w:rsidRDefault="00F91C8D" w:rsidP="00F91C8D">
      <w:pPr>
        <w:pStyle w:val="Heading4"/>
        <w:rPr>
          <w:rFonts w:ascii="Arial" w:hAnsi="Arial" w:cs="Arial"/>
        </w:rPr>
      </w:pPr>
      <w:r w:rsidRPr="00F91C8D">
        <w:rPr>
          <w:rFonts w:ascii="Arial" w:hAnsi="Arial" w:cs="Arial"/>
        </w:rPr>
        <w:t>Connections to Other Themes</w:t>
      </w:r>
    </w:p>
    <w:p w14:paraId="0C737341" w14:textId="77777777" w:rsidR="00F91C8D" w:rsidRPr="00F91C8D" w:rsidRDefault="00F91C8D" w:rsidP="001E631D">
      <w:pPr>
        <w:numPr>
          <w:ilvl w:val="0"/>
          <w:numId w:val="24"/>
        </w:numPr>
        <w:spacing w:before="100" w:beforeAutospacing="1" w:after="100" w:afterAutospacing="1"/>
        <w:jc w:val="left"/>
        <w:rPr>
          <w:rFonts w:cs="Arial"/>
        </w:rPr>
      </w:pPr>
      <w:r w:rsidRPr="00F91C8D">
        <w:rPr>
          <w:rStyle w:val="Strong"/>
          <w:rFonts w:cs="Arial"/>
        </w:rPr>
        <w:t>Interconnections:</w:t>
      </w:r>
    </w:p>
    <w:p w14:paraId="44193C23" w14:textId="7810C7B9" w:rsidR="00F91C8D" w:rsidRPr="00F91C8D" w:rsidRDefault="00F91C8D" w:rsidP="00F91C8D">
      <w:pPr>
        <w:rPr>
          <w:rFonts w:cs="Arial"/>
        </w:rPr>
      </w:pPr>
      <w:r w:rsidRPr="00F91C8D">
        <w:rPr>
          <w:rFonts w:cs="Arial"/>
        </w:rPr>
        <w:t xml:space="preserve">Person-centred care (PCC) closely intersects with </w:t>
      </w:r>
      <w:r w:rsidRPr="00F91C8D">
        <w:rPr>
          <w:rFonts w:cs="Arial"/>
          <w:color w:val="00B050"/>
        </w:rPr>
        <w:t>Carer Burden and Support Systems</w:t>
      </w:r>
      <w:r>
        <w:rPr>
          <w:rFonts w:cs="Arial"/>
          <w:color w:val="00B050"/>
        </w:rPr>
        <w:t xml:space="preserve"> </w:t>
      </w:r>
      <w:r w:rsidRPr="00F91C8D">
        <w:rPr>
          <w:rFonts w:cs="Arial"/>
        </w:rPr>
        <w:t>(theme 2)</w:t>
      </w:r>
      <w:r w:rsidRPr="00F91C8D">
        <w:rPr>
          <w:rFonts w:cs="Arial"/>
        </w:rPr>
        <w:t xml:space="preserve">, as its effectiveness often relies on the capacity and well-being of those delivering the care. In home settings, family carers play a vital role in implementing PCC, but without adequate support, the emotional and physical toll can undermine care quality (Diminic et al., 2019). </w:t>
      </w:r>
      <w:r w:rsidRPr="00F91C8D">
        <w:rPr>
          <w:rFonts w:cs="Arial"/>
        </w:rPr>
        <w:lastRenderedPageBreak/>
        <w:t xml:space="preserve">Similarly, PCC depends on </w:t>
      </w:r>
      <w:r w:rsidRPr="00F91C8D">
        <w:rPr>
          <w:rFonts w:cs="Arial"/>
          <w:color w:val="ED7D31" w:themeColor="accent2"/>
        </w:rPr>
        <w:t>Access to Services and Continuity of Care</w:t>
      </w:r>
      <w:r>
        <w:rPr>
          <w:rFonts w:cs="Arial"/>
          <w:color w:val="ED7D31" w:themeColor="accent2"/>
        </w:rPr>
        <w:t xml:space="preserve"> </w:t>
      </w:r>
      <w:r w:rsidRPr="00F91C8D">
        <w:rPr>
          <w:rFonts w:cs="Arial"/>
        </w:rPr>
        <w:t>(theme 3)</w:t>
      </w:r>
      <w:r w:rsidRPr="00F91C8D">
        <w:rPr>
          <w:rFonts w:cs="Arial"/>
        </w:rPr>
        <w:t>, including professional input, respite care, and personalised interventions. Inconsistent service access can disrupt the continuity essential for maintaining person-centred approaches. Therefore, PCC cannot be fully realised without addressing broader structural issues that influence care delivery in both environments.</w:t>
      </w:r>
    </w:p>
    <w:p w14:paraId="1724D50C" w14:textId="659DAC5C" w:rsidR="00F91C8D" w:rsidRPr="00F91C8D" w:rsidRDefault="00F91C8D" w:rsidP="00F91C8D">
      <w:pPr>
        <w:pStyle w:val="Heading2"/>
        <w:rPr>
          <w:rFonts w:cs="Arial"/>
        </w:rPr>
      </w:pPr>
      <w:bookmarkStart w:id="20" w:name="_Toc204256373"/>
      <w:r w:rsidRPr="00F91C8D">
        <w:rPr>
          <w:rFonts w:cs="Arial"/>
        </w:rPr>
        <w:t>4.4 – Theme 2</w:t>
      </w:r>
      <w:r w:rsidR="00DB145F">
        <w:rPr>
          <w:rFonts w:cs="Arial"/>
        </w:rPr>
        <w:t xml:space="preserve">: </w:t>
      </w:r>
      <w:r w:rsidRPr="00DB145F">
        <w:rPr>
          <w:rFonts w:cs="Arial"/>
          <w:color w:val="auto"/>
        </w:rPr>
        <w:t>Carer Burden and Support Systems</w:t>
      </w:r>
      <w:bookmarkEnd w:id="20"/>
      <w:r w:rsidRPr="00DB145F">
        <w:rPr>
          <w:rFonts w:cs="Arial"/>
          <w:color w:val="auto"/>
        </w:rPr>
        <w:t xml:space="preserve"> </w:t>
      </w:r>
    </w:p>
    <w:p w14:paraId="7B0DE806" w14:textId="77777777" w:rsidR="00F91C8D" w:rsidRPr="00F91C8D" w:rsidRDefault="00F91C8D" w:rsidP="00F91C8D">
      <w:pPr>
        <w:pStyle w:val="Heading1"/>
        <w:rPr>
          <w:rFonts w:cs="Arial"/>
          <w:sz w:val="28"/>
          <w:szCs w:val="28"/>
        </w:rPr>
      </w:pPr>
    </w:p>
    <w:p w14:paraId="5F8B36FF" w14:textId="77777777" w:rsidR="00F91C8D" w:rsidRPr="00F91C8D" w:rsidRDefault="00F91C8D" w:rsidP="00F91C8D">
      <w:pPr>
        <w:pStyle w:val="Heading4"/>
        <w:rPr>
          <w:rFonts w:ascii="Arial" w:hAnsi="Arial" w:cs="Arial"/>
        </w:rPr>
      </w:pPr>
      <w:r w:rsidRPr="00F91C8D">
        <w:rPr>
          <w:rFonts w:ascii="Arial" w:hAnsi="Arial" w:cs="Arial"/>
        </w:rPr>
        <w:t xml:space="preserve">Definition </w:t>
      </w:r>
    </w:p>
    <w:p w14:paraId="7AC9C88C" w14:textId="77777777" w:rsidR="00F91C8D" w:rsidRPr="00F91C8D" w:rsidRDefault="00F91C8D" w:rsidP="001E631D">
      <w:pPr>
        <w:numPr>
          <w:ilvl w:val="0"/>
          <w:numId w:val="17"/>
        </w:numPr>
        <w:spacing w:before="100" w:beforeAutospacing="1" w:after="100" w:afterAutospacing="1"/>
        <w:jc w:val="left"/>
        <w:rPr>
          <w:rStyle w:val="Strong"/>
          <w:rFonts w:cs="Arial"/>
          <w:b w:val="0"/>
          <w:bCs w:val="0"/>
        </w:rPr>
      </w:pPr>
      <w:r w:rsidRPr="00F91C8D">
        <w:rPr>
          <w:rStyle w:val="Strong"/>
          <w:rFonts w:cs="Arial"/>
        </w:rPr>
        <w:t>Definition:</w:t>
      </w:r>
    </w:p>
    <w:p w14:paraId="2A1FA2FD" w14:textId="534C6997" w:rsidR="00F91C8D" w:rsidRPr="00F91C8D" w:rsidRDefault="00F91C8D" w:rsidP="00F91C8D">
      <w:pPr>
        <w:rPr>
          <w:rFonts w:cs="Arial"/>
        </w:rPr>
      </w:pPr>
      <w:r w:rsidRPr="00F91C8D">
        <w:rPr>
          <w:rFonts w:cs="Arial"/>
        </w:rPr>
        <w:t xml:space="preserve">Carer burden is the physical, emotional, psychological, social, and financial effort on carers who give long-term, usually unpaid care to people with long-term conditions like dementia. Family members are usually informal carers of dementia in the UK, with 61% experiencing stress and 45% experiencing depression (Carers UK, 2022). Support is often formal, such as respite care, </w:t>
      </w:r>
      <w:r w:rsidR="00CE7E3F">
        <w:rPr>
          <w:rFonts w:cs="Arial"/>
        </w:rPr>
        <w:t>home visiting</w:t>
      </w:r>
      <w:r w:rsidRPr="00F91C8D">
        <w:rPr>
          <w:rFonts w:cs="Arial"/>
        </w:rPr>
        <w:t>, and counselling, or informal, such as family and neighbourhood support.</w:t>
      </w:r>
    </w:p>
    <w:p w14:paraId="1ABC8EC4" w14:textId="77777777" w:rsidR="00F91C8D" w:rsidRPr="00F91C8D" w:rsidRDefault="00F91C8D" w:rsidP="00F91C8D">
      <w:pPr>
        <w:pStyle w:val="Heading4"/>
        <w:rPr>
          <w:rFonts w:ascii="Arial" w:hAnsi="Arial" w:cs="Arial"/>
        </w:rPr>
      </w:pPr>
      <w:r w:rsidRPr="00F91C8D">
        <w:rPr>
          <w:rFonts w:ascii="Arial" w:hAnsi="Arial" w:cs="Arial"/>
        </w:rPr>
        <w:t>Background Information</w:t>
      </w:r>
    </w:p>
    <w:p w14:paraId="4EBDBA49" w14:textId="77777777" w:rsidR="00F91C8D" w:rsidRPr="00F91C8D" w:rsidRDefault="00F91C8D" w:rsidP="001E631D">
      <w:pPr>
        <w:numPr>
          <w:ilvl w:val="0"/>
          <w:numId w:val="18"/>
        </w:numPr>
        <w:spacing w:before="100" w:beforeAutospacing="1" w:after="100" w:afterAutospacing="1"/>
        <w:jc w:val="left"/>
        <w:rPr>
          <w:rFonts w:cs="Arial"/>
        </w:rPr>
      </w:pPr>
      <w:r w:rsidRPr="00F91C8D">
        <w:rPr>
          <w:rStyle w:val="Strong"/>
          <w:rFonts w:cs="Arial"/>
        </w:rPr>
        <w:t>Historical/Contextual Background:</w:t>
      </w:r>
    </w:p>
    <w:p w14:paraId="5FA06E7D" w14:textId="77777777" w:rsidR="00F91C8D" w:rsidRPr="00F91C8D" w:rsidRDefault="00F91C8D" w:rsidP="00F91C8D">
      <w:pPr>
        <w:rPr>
          <w:rFonts w:cs="Arial"/>
          <w:i/>
          <w:iCs/>
        </w:rPr>
      </w:pPr>
      <w:r w:rsidRPr="00F91C8D">
        <w:rPr>
          <w:rFonts w:cs="Arial"/>
        </w:rPr>
        <w:t>Historically, family members, primarily women, have given most of the unpaid care for dementia in the UK (ONS, 2023). As the care has shifted away from institutional towards community care, informal carers are left with a heavy burden. This system of care becomes creaky due to inadequate funding, long waiting times, and unequal access to services. While policy promotes "ageing in place," the reality is that carers themselves lack the resources and backup to provide consistent, high-quality care within the home (Meads et al., 2020). This new care context places pressure on both formal care systems and carers, highlighting the widening gap between practice and policy.</w:t>
      </w:r>
    </w:p>
    <w:p w14:paraId="28BBA7CC" w14:textId="77777777" w:rsidR="00F91C8D" w:rsidRPr="00F91C8D" w:rsidRDefault="00F91C8D" w:rsidP="00F91C8D">
      <w:pPr>
        <w:pStyle w:val="Heading4"/>
        <w:rPr>
          <w:rFonts w:ascii="Arial" w:hAnsi="Arial" w:cs="Arial"/>
        </w:rPr>
      </w:pPr>
      <w:r w:rsidRPr="00F91C8D">
        <w:rPr>
          <w:rFonts w:ascii="Arial" w:hAnsi="Arial" w:cs="Arial"/>
        </w:rPr>
        <w:t>Impact on Research Question</w:t>
      </w:r>
    </w:p>
    <w:p w14:paraId="422116A6" w14:textId="77777777" w:rsidR="00F91C8D" w:rsidRPr="00F91C8D" w:rsidRDefault="00F91C8D" w:rsidP="001E631D">
      <w:pPr>
        <w:numPr>
          <w:ilvl w:val="0"/>
          <w:numId w:val="19"/>
        </w:numPr>
        <w:spacing w:before="100" w:beforeAutospacing="1" w:after="100" w:afterAutospacing="1"/>
        <w:jc w:val="left"/>
        <w:rPr>
          <w:rFonts w:cs="Arial"/>
        </w:rPr>
      </w:pPr>
      <w:r w:rsidRPr="00F91C8D">
        <w:rPr>
          <w:rStyle w:val="Strong"/>
          <w:rFonts w:cs="Arial"/>
        </w:rPr>
        <w:t>Relevance to Title/Research Question:</w:t>
      </w:r>
    </w:p>
    <w:p w14:paraId="0A6EBA78" w14:textId="29E09742" w:rsidR="00F91C8D" w:rsidRPr="00F91C8D" w:rsidRDefault="00F91C8D" w:rsidP="00F91C8D">
      <w:pPr>
        <w:rPr>
          <w:rFonts w:cs="Arial"/>
          <w:i/>
          <w:iCs/>
        </w:rPr>
      </w:pPr>
      <w:r w:rsidRPr="00F91C8D">
        <w:rPr>
          <w:rFonts w:cs="Arial"/>
        </w:rPr>
        <w:t xml:space="preserve">This is an issue </w:t>
      </w:r>
      <w:r w:rsidR="00CE7E3F">
        <w:rPr>
          <w:rFonts w:cs="Arial"/>
        </w:rPr>
        <w:t xml:space="preserve">relevant to the research question, in that carers' capacity to provide high-quality care in the home is necessary for a correct comparison to be made between the </w:t>
      </w:r>
      <w:r w:rsidR="00482247">
        <w:rPr>
          <w:rFonts w:cs="Arial"/>
        </w:rPr>
        <w:t>house</w:t>
      </w:r>
      <w:r w:rsidR="00CE7E3F">
        <w:rPr>
          <w:rFonts w:cs="Arial"/>
        </w:rPr>
        <w:t xml:space="preserve"> and </w:t>
      </w:r>
      <w:r w:rsidRPr="00F91C8D">
        <w:rPr>
          <w:rFonts w:cs="Arial"/>
        </w:rPr>
        <w:t xml:space="preserve">care home settings. If carers are well supported, they can deliver person-centred, consistent care that maximises the quality of life for those with dementia. In their absence, </w:t>
      </w:r>
      <w:r w:rsidRPr="00F91C8D">
        <w:rPr>
          <w:rFonts w:cs="Arial"/>
        </w:rPr>
        <w:lastRenderedPageBreak/>
        <w:t>however, the care experience is undermined</w:t>
      </w:r>
      <w:r w:rsidR="00CE7E3F">
        <w:rPr>
          <w:rFonts w:cs="Arial"/>
        </w:rPr>
        <w:t>, leading</w:t>
      </w:r>
      <w:r w:rsidRPr="00F91C8D">
        <w:rPr>
          <w:rFonts w:cs="Arial"/>
        </w:rPr>
        <w:t xml:space="preserve"> to hospitalisation, premature institutionalisation, or carer burnout (Nguyen et al., 2022). Therefore, measurement of carer burden is central to determining the quality and sustainability of home-based versus care home provision for dementia.</w:t>
      </w:r>
      <w:r w:rsidRPr="00F91C8D">
        <w:rPr>
          <w:rFonts w:cs="Arial"/>
          <w:i/>
          <w:iCs/>
        </w:rPr>
        <w:t xml:space="preserve"> </w:t>
      </w:r>
    </w:p>
    <w:p w14:paraId="54F4511A" w14:textId="77777777" w:rsidR="00F91C8D" w:rsidRPr="00F91C8D" w:rsidRDefault="00F91C8D" w:rsidP="00F91C8D">
      <w:pPr>
        <w:pStyle w:val="Heading4"/>
        <w:rPr>
          <w:rFonts w:ascii="Arial" w:hAnsi="Arial" w:cs="Arial"/>
        </w:rPr>
      </w:pPr>
      <w:r w:rsidRPr="00F91C8D">
        <w:rPr>
          <w:rFonts w:ascii="Arial" w:hAnsi="Arial" w:cs="Arial"/>
        </w:rPr>
        <w:t>Statistical Information</w:t>
      </w:r>
    </w:p>
    <w:p w14:paraId="3BD84589" w14:textId="77777777" w:rsidR="00F91C8D" w:rsidRPr="00F91C8D" w:rsidRDefault="00F91C8D" w:rsidP="001E631D">
      <w:pPr>
        <w:numPr>
          <w:ilvl w:val="0"/>
          <w:numId w:val="20"/>
        </w:numPr>
        <w:spacing w:before="100" w:beforeAutospacing="1" w:after="100" w:afterAutospacing="1"/>
        <w:jc w:val="left"/>
        <w:rPr>
          <w:rStyle w:val="Strong"/>
          <w:rFonts w:cs="Arial"/>
          <w:b w:val="0"/>
          <w:bCs w:val="0"/>
        </w:rPr>
      </w:pPr>
      <w:r w:rsidRPr="00F91C8D">
        <w:rPr>
          <w:rStyle w:val="Strong"/>
          <w:rFonts w:cs="Arial"/>
        </w:rPr>
        <w:t>Data and Statistics:</w:t>
      </w:r>
    </w:p>
    <w:p w14:paraId="72F0729B" w14:textId="77777777" w:rsidR="00F91C8D" w:rsidRPr="00F91C8D" w:rsidRDefault="00F91C8D" w:rsidP="00F91C8D">
      <w:pPr>
        <w:spacing w:before="100" w:beforeAutospacing="1" w:after="100" w:afterAutospacing="1"/>
        <w:jc w:val="left"/>
        <w:rPr>
          <w:rFonts w:cs="Arial"/>
        </w:rPr>
      </w:pPr>
      <w:r w:rsidRPr="00F91C8D">
        <w:rPr>
          <w:rFonts w:cs="Arial"/>
        </w:rPr>
        <w:t>Current statistics indicate that 40% of dementia carers in the UK provide more than 50 hours of care per week, while 38% only use respite services once a year (Carers UK, 2022). Diminic et al. (2019) state that family carers of people with cognitive impairment are at higher risk of experiencing employment disadvantage, financial disadvantage, and mental health difficulties compared to carers for other conditions. Structured care home environments, in turn, provide organised staff shifts, while burnout and turnover continue (Livingston, 2017). Nguyen et al. (2022) found integrated, home-based primary care models lowered carer stress and emergency hospital admission by 21%, illustrating that proper support eases the burden and improves outcomes.</w:t>
      </w:r>
    </w:p>
    <w:p w14:paraId="0D699C59" w14:textId="77777777" w:rsidR="00F91C8D" w:rsidRPr="00F91C8D" w:rsidRDefault="00F91C8D" w:rsidP="00F91C8D">
      <w:pPr>
        <w:pStyle w:val="Heading4"/>
        <w:rPr>
          <w:rFonts w:ascii="Arial" w:hAnsi="Arial" w:cs="Arial"/>
        </w:rPr>
      </w:pPr>
    </w:p>
    <w:p w14:paraId="279FB583" w14:textId="77777777" w:rsidR="00F91C8D" w:rsidRPr="00F91C8D" w:rsidRDefault="00F91C8D" w:rsidP="00F91C8D">
      <w:pPr>
        <w:pStyle w:val="Heading4"/>
        <w:rPr>
          <w:rFonts w:ascii="Arial" w:hAnsi="Arial" w:cs="Arial"/>
        </w:rPr>
      </w:pPr>
      <w:r w:rsidRPr="00F91C8D">
        <w:rPr>
          <w:rFonts w:ascii="Arial" w:hAnsi="Arial" w:cs="Arial"/>
        </w:rPr>
        <w:t>Theories, Policies, and Legislation</w:t>
      </w:r>
    </w:p>
    <w:p w14:paraId="35031864" w14:textId="77777777" w:rsidR="00F91C8D" w:rsidRPr="00F91C8D" w:rsidRDefault="00F91C8D" w:rsidP="001E631D">
      <w:pPr>
        <w:pStyle w:val="NormalWeb"/>
        <w:numPr>
          <w:ilvl w:val="0"/>
          <w:numId w:val="21"/>
        </w:numPr>
        <w:spacing w:line="360" w:lineRule="auto"/>
        <w:rPr>
          <w:rFonts w:ascii="Arial" w:hAnsi="Arial" w:cs="Arial"/>
          <w:sz w:val="22"/>
          <w:szCs w:val="22"/>
        </w:rPr>
      </w:pPr>
      <w:r w:rsidRPr="00F91C8D">
        <w:rPr>
          <w:rStyle w:val="Strong"/>
          <w:rFonts w:ascii="Arial" w:eastAsia="Calibri Light" w:hAnsi="Arial" w:cs="Arial"/>
          <w:sz w:val="22"/>
          <w:szCs w:val="22"/>
        </w:rPr>
        <w:t>Theoretical Framework:</w:t>
      </w:r>
    </w:p>
    <w:p w14:paraId="52CB77D6" w14:textId="6331649B" w:rsidR="00F91C8D" w:rsidRPr="00F91C8D" w:rsidRDefault="00F91C8D" w:rsidP="00F91C8D">
      <w:pPr>
        <w:rPr>
          <w:rFonts w:cs="Arial"/>
        </w:rPr>
      </w:pPr>
      <w:r w:rsidRPr="00F91C8D">
        <w:rPr>
          <w:rFonts w:cs="Arial"/>
        </w:rPr>
        <w:t xml:space="preserve">The Stress Process Model (Pearlin et al., 1990) is a general model of dementia research in the UK, which describes how care stress emerges from care needs and the conflict of roles, and is moderated by social support. Resilience Theory (Windle, 2011) </w:t>
      </w:r>
      <w:r w:rsidR="00CE7E3F">
        <w:rPr>
          <w:rFonts w:cs="Arial"/>
        </w:rPr>
        <w:t>focuses on caregivers' capacity to endure stress through resilience factors, including</w:t>
      </w:r>
      <w:r w:rsidRPr="00F91C8D">
        <w:rPr>
          <w:rFonts w:cs="Arial"/>
        </w:rPr>
        <w:t xml:space="preserve"> emotional and social support. </w:t>
      </w:r>
    </w:p>
    <w:p w14:paraId="62C13FD5" w14:textId="77777777" w:rsidR="00F91C8D" w:rsidRPr="00F91C8D" w:rsidRDefault="00F91C8D" w:rsidP="00F91C8D">
      <w:pPr>
        <w:rPr>
          <w:rFonts w:cs="Arial"/>
        </w:rPr>
      </w:pPr>
      <w:r w:rsidRPr="00F91C8D">
        <w:rPr>
          <w:rFonts w:cs="Arial"/>
        </w:rPr>
        <w:t xml:space="preserve">The Caregiver Identity Theory explains how caregivers in the UK become caregiving agents, often feeling lonely and emotionally drained. </w:t>
      </w:r>
    </w:p>
    <w:p w14:paraId="2ABAA838" w14:textId="77777777" w:rsidR="00F91C8D" w:rsidRPr="00F91C8D" w:rsidRDefault="00F91C8D" w:rsidP="00F91C8D">
      <w:pPr>
        <w:rPr>
          <w:rFonts w:eastAsia="Times New Roman" w:cs="Arial"/>
          <w:kern w:val="0"/>
          <w:lang w:eastAsia="en-GB"/>
          <w14:ligatures w14:val="none"/>
        </w:rPr>
      </w:pPr>
      <w:r w:rsidRPr="00F91C8D">
        <w:rPr>
          <w:rFonts w:cs="Arial"/>
        </w:rPr>
        <w:t>Finally, the Social Model of Disability explains carer burden as partially a result of structural disablement, highlighting the influence of policy on the quality of care. These theories explain why there is unequal access to home care and care within care homes.</w:t>
      </w:r>
    </w:p>
    <w:p w14:paraId="55D43E04" w14:textId="77777777" w:rsidR="00F91C8D" w:rsidRPr="00F91C8D" w:rsidRDefault="00F91C8D" w:rsidP="001E631D">
      <w:pPr>
        <w:pStyle w:val="NormalWeb"/>
        <w:numPr>
          <w:ilvl w:val="0"/>
          <w:numId w:val="21"/>
        </w:numPr>
        <w:spacing w:line="360" w:lineRule="auto"/>
        <w:rPr>
          <w:rFonts w:ascii="Arial" w:hAnsi="Arial" w:cs="Arial"/>
          <w:sz w:val="22"/>
          <w:szCs w:val="22"/>
        </w:rPr>
      </w:pPr>
      <w:r w:rsidRPr="00F91C8D">
        <w:rPr>
          <w:rStyle w:val="Strong"/>
          <w:rFonts w:ascii="Arial" w:eastAsia="Calibri Light" w:hAnsi="Arial" w:cs="Arial"/>
          <w:sz w:val="22"/>
          <w:szCs w:val="22"/>
        </w:rPr>
        <w:t>Policy and Legislation:</w:t>
      </w:r>
    </w:p>
    <w:p w14:paraId="4A5BF8D8" w14:textId="3350DBBE" w:rsidR="00F91C8D" w:rsidRPr="00F91C8D" w:rsidRDefault="00281224" w:rsidP="00F91C8D">
      <w:pPr>
        <w:rPr>
          <w:rFonts w:cs="Arial"/>
          <w:i/>
          <w:iCs/>
        </w:rPr>
      </w:pPr>
      <w:r>
        <w:rPr>
          <w:rFonts w:cs="Arial"/>
        </w:rPr>
        <w:t xml:space="preserve">One of the most </w:t>
      </w:r>
      <w:r w:rsidR="00482247">
        <w:rPr>
          <w:rFonts w:cs="Arial"/>
        </w:rPr>
        <w:t>critical</w:t>
      </w:r>
      <w:r>
        <w:rPr>
          <w:rFonts w:cs="Arial"/>
        </w:rPr>
        <w:t xml:space="preserve"> policies in the UK is the Care Act 2014, which includes legislation requiring local authorities to assess and support carers to promote their well-being and prevent </w:t>
      </w:r>
      <w:r>
        <w:rPr>
          <w:rFonts w:cs="Arial"/>
        </w:rPr>
        <w:lastRenderedPageBreak/>
        <w:t xml:space="preserve">burnout. The Carers (Recognition and Services) Act 1995 was an early acknowledgement of the rights of carers, and the NHS Long Term Plan (2019) commits to further integrated support for carers and their communities. Despite these frameworks, gaps in delivery and funding </w:t>
      </w:r>
      <w:r w:rsidR="00482247">
        <w:rPr>
          <w:rFonts w:cs="Arial"/>
        </w:rPr>
        <w:t>persist, resulting in</w:t>
      </w:r>
      <w:r>
        <w:rPr>
          <w:rFonts w:cs="Arial"/>
        </w:rPr>
        <w:t xml:space="preserve"> unequal support for caregivers. These policies aim to </w:t>
      </w:r>
      <w:r w:rsidR="00026145">
        <w:rPr>
          <w:rFonts w:cs="Arial"/>
        </w:rPr>
        <w:t>alleviate the burden on caregivers and enhance</w:t>
      </w:r>
      <w:r>
        <w:rPr>
          <w:rFonts w:cs="Arial"/>
        </w:rPr>
        <w:t xml:space="preserve"> the quality of home care. However, challenges in their implementation hinder the sustainability of care, raising the research question regarding differences in care quality among carers.</w:t>
      </w:r>
    </w:p>
    <w:p w14:paraId="456644B2" w14:textId="77777777" w:rsidR="00F91C8D" w:rsidRPr="00F91C8D" w:rsidRDefault="00F91C8D" w:rsidP="00F91C8D">
      <w:pPr>
        <w:pStyle w:val="Heading4"/>
        <w:rPr>
          <w:rFonts w:ascii="Arial" w:hAnsi="Arial" w:cs="Arial"/>
        </w:rPr>
      </w:pPr>
      <w:r w:rsidRPr="00F91C8D">
        <w:rPr>
          <w:rFonts w:ascii="Arial" w:hAnsi="Arial" w:cs="Arial"/>
        </w:rPr>
        <w:t>Implications</w:t>
      </w:r>
    </w:p>
    <w:p w14:paraId="7F662C6A" w14:textId="77777777" w:rsidR="00F91C8D" w:rsidRPr="00F91C8D" w:rsidRDefault="00F91C8D" w:rsidP="001E631D">
      <w:pPr>
        <w:numPr>
          <w:ilvl w:val="0"/>
          <w:numId w:val="22"/>
        </w:numPr>
        <w:spacing w:before="100" w:beforeAutospacing="1" w:after="100" w:afterAutospacing="1"/>
        <w:jc w:val="left"/>
        <w:rPr>
          <w:rStyle w:val="Strong"/>
          <w:rFonts w:cs="Arial"/>
          <w:b w:val="0"/>
          <w:bCs w:val="0"/>
        </w:rPr>
      </w:pPr>
      <w:r w:rsidRPr="00F91C8D">
        <w:rPr>
          <w:rStyle w:val="Strong"/>
          <w:rFonts w:cs="Arial"/>
        </w:rPr>
        <w:t>Positive and Negative Implications:</w:t>
      </w:r>
    </w:p>
    <w:p w14:paraId="0DC2D0DA" w14:textId="0D31E386" w:rsidR="00F91C8D" w:rsidRPr="00F91C8D" w:rsidRDefault="00F91C8D" w:rsidP="00FA3DF6">
      <w:pPr>
        <w:spacing w:before="100" w:beforeAutospacing="1" w:after="100" w:afterAutospacing="1"/>
        <w:ind w:left="360"/>
        <w:jc w:val="left"/>
        <w:rPr>
          <w:rFonts w:cs="Arial"/>
        </w:rPr>
      </w:pPr>
      <w:r w:rsidRPr="00F91C8D">
        <w:rPr>
          <w:rFonts w:cs="Arial"/>
        </w:rPr>
        <w:t>Efficient support systems have the potential to lower carer stress, improve wellbeing, and optimise quality of care for individuals living with dementia (Carers UK, 2022; Dyer et al., 2020). Providing training, respite, and emotional support facilitates informal carers, especially within home environments (Cooper et al., 2020). Yet, deficits in care, be these in terms of funding, respite care, or professional backup, can lead to burnout, depression, and breakdown of care ( Alzheimer's Society, 2023). Unmet needs can also undermine the person with dementia's safety and health, and trace system inequities in the delivery of care between home and care home (Robertson et al., 2022).</w:t>
      </w:r>
    </w:p>
    <w:p w14:paraId="05D2F5DE" w14:textId="77777777" w:rsidR="00F91C8D" w:rsidRPr="00F91C8D" w:rsidRDefault="00F91C8D" w:rsidP="00F91C8D">
      <w:pPr>
        <w:pStyle w:val="Heading4"/>
        <w:rPr>
          <w:rFonts w:ascii="Arial" w:hAnsi="Arial" w:cs="Arial"/>
        </w:rPr>
      </w:pPr>
      <w:r w:rsidRPr="00F91C8D">
        <w:rPr>
          <w:rFonts w:ascii="Arial" w:hAnsi="Arial" w:cs="Arial"/>
        </w:rPr>
        <w:t>Examples and Case Studies</w:t>
      </w:r>
    </w:p>
    <w:p w14:paraId="092F01BF" w14:textId="77777777" w:rsidR="00F91C8D" w:rsidRPr="00F91C8D" w:rsidRDefault="00F91C8D" w:rsidP="001E631D">
      <w:pPr>
        <w:numPr>
          <w:ilvl w:val="0"/>
          <w:numId w:val="23"/>
        </w:numPr>
        <w:spacing w:before="100" w:beforeAutospacing="1" w:after="100" w:afterAutospacing="1"/>
        <w:jc w:val="left"/>
        <w:rPr>
          <w:rFonts w:cs="Arial"/>
        </w:rPr>
      </w:pPr>
      <w:r w:rsidRPr="00F91C8D">
        <w:rPr>
          <w:rStyle w:val="Strong"/>
          <w:rFonts w:cs="Arial"/>
        </w:rPr>
        <w:t>Illustrative Examples:</w:t>
      </w:r>
    </w:p>
    <w:p w14:paraId="6B62A36C" w14:textId="193CB86F" w:rsidR="00F91C8D" w:rsidRPr="00F91C8D" w:rsidRDefault="00F91C8D" w:rsidP="00F91C8D">
      <w:pPr>
        <w:rPr>
          <w:rFonts w:cs="Arial"/>
        </w:rPr>
      </w:pPr>
      <w:r w:rsidRPr="00F91C8D">
        <w:rPr>
          <w:rFonts w:cs="Arial"/>
        </w:rPr>
        <w:t>The DEMAND study of 2020 shows that family carers who offer home care to dementia patients endure unnecessary stress without support or financial aid. In contrast, the NAPA (National Activity Providers Association) Carer Support Programme demonstrated that planned support services, such as counselling and respite care, significantly reduced carer burden and improved patient outcomes. The above situations demonstrate that even when care homes offer organised, routine support, home-based carers often remain resource-deficient, which in turn affects the quality of care</w:t>
      </w:r>
      <w:r w:rsidR="00281224">
        <w:rPr>
          <w:rFonts w:cs="Arial"/>
        </w:rPr>
        <w:t xml:space="preserve"> they provide</w:t>
      </w:r>
      <w:r w:rsidRPr="00F91C8D">
        <w:rPr>
          <w:rFonts w:cs="Arial"/>
        </w:rPr>
        <w:t>. This has direct relevance to the research question, as it highlights that different carer support systems play a vital role in comparing the quality of care between care homes and home care for individuals with dementia.</w:t>
      </w:r>
    </w:p>
    <w:p w14:paraId="40BDE2AF" w14:textId="77777777" w:rsidR="00720BFF" w:rsidRDefault="00720BFF" w:rsidP="00F91C8D">
      <w:pPr>
        <w:pStyle w:val="Heading4"/>
        <w:rPr>
          <w:rFonts w:ascii="Arial" w:hAnsi="Arial" w:cs="Arial"/>
        </w:rPr>
      </w:pPr>
    </w:p>
    <w:p w14:paraId="4224586D" w14:textId="38F8ED8C" w:rsidR="00F91C8D" w:rsidRPr="00F91C8D" w:rsidRDefault="00F91C8D" w:rsidP="00F91C8D">
      <w:pPr>
        <w:pStyle w:val="Heading4"/>
        <w:rPr>
          <w:rFonts w:ascii="Arial" w:hAnsi="Arial" w:cs="Arial"/>
        </w:rPr>
      </w:pPr>
      <w:r w:rsidRPr="00F91C8D">
        <w:rPr>
          <w:rFonts w:ascii="Arial" w:hAnsi="Arial" w:cs="Arial"/>
        </w:rPr>
        <w:t>Connections to Other Themes</w:t>
      </w:r>
    </w:p>
    <w:p w14:paraId="0761208C" w14:textId="77777777" w:rsidR="00F91C8D" w:rsidRPr="00F91C8D" w:rsidRDefault="00F91C8D" w:rsidP="001E631D">
      <w:pPr>
        <w:numPr>
          <w:ilvl w:val="0"/>
          <w:numId w:val="24"/>
        </w:numPr>
        <w:spacing w:before="100" w:beforeAutospacing="1" w:after="100" w:afterAutospacing="1"/>
        <w:jc w:val="left"/>
        <w:rPr>
          <w:rStyle w:val="Strong"/>
          <w:rFonts w:cs="Arial"/>
          <w:b w:val="0"/>
          <w:bCs w:val="0"/>
        </w:rPr>
      </w:pPr>
      <w:r w:rsidRPr="00F91C8D">
        <w:rPr>
          <w:rStyle w:val="Strong"/>
          <w:rFonts w:cs="Arial"/>
        </w:rPr>
        <w:t>Interconnections:</w:t>
      </w:r>
    </w:p>
    <w:p w14:paraId="342A5142" w14:textId="7A65BD5A" w:rsidR="00F91C8D" w:rsidRPr="00F91C8D" w:rsidRDefault="00F91C8D" w:rsidP="00F91C8D">
      <w:pPr>
        <w:spacing w:before="100" w:beforeAutospacing="1" w:after="100" w:afterAutospacing="1"/>
        <w:ind w:left="360"/>
        <w:jc w:val="left"/>
        <w:rPr>
          <w:rFonts w:cs="Arial"/>
        </w:rPr>
      </w:pPr>
      <w:r w:rsidRPr="00F91C8D">
        <w:rPr>
          <w:rFonts w:cs="Arial"/>
        </w:rPr>
        <w:t xml:space="preserve">Carer burden is also firmly associated with </w:t>
      </w:r>
      <w:r w:rsidRPr="00F91C8D">
        <w:rPr>
          <w:rFonts w:cs="Arial"/>
          <w:b/>
          <w:bCs/>
          <w:color w:val="5B9BD5" w:themeColor="accent5"/>
        </w:rPr>
        <w:t>person-centred care</w:t>
      </w:r>
      <w:r w:rsidRPr="00F91C8D">
        <w:rPr>
          <w:rFonts w:cs="Arial"/>
          <w:color w:val="5B9BD5" w:themeColor="accent5"/>
        </w:rPr>
        <w:t xml:space="preserve"> </w:t>
      </w:r>
      <w:r w:rsidRPr="00F91C8D">
        <w:rPr>
          <w:rFonts w:cs="Arial"/>
        </w:rPr>
        <w:t xml:space="preserve">(Theme 1) and </w:t>
      </w:r>
      <w:r>
        <w:rPr>
          <w:rFonts w:cs="Arial"/>
          <w:b/>
          <w:bCs/>
          <w:color w:val="ED7D31" w:themeColor="accent2"/>
        </w:rPr>
        <w:t xml:space="preserve">access to services </w:t>
      </w:r>
      <w:r w:rsidRPr="00F91C8D">
        <w:rPr>
          <w:rFonts w:cs="Arial"/>
        </w:rPr>
        <w:t xml:space="preserve">(Theme 3). When flexible care to meet personal needs is not available, </w:t>
      </w:r>
      <w:r>
        <w:rPr>
          <w:rFonts w:cs="Arial"/>
        </w:rPr>
        <w:t xml:space="preserve">carers experience emotional suffering and burnout </w:t>
      </w:r>
      <w:r w:rsidRPr="00F91C8D">
        <w:rPr>
          <w:rFonts w:cs="Arial"/>
        </w:rPr>
        <w:t>(Brooker &amp; Latham, 201</w:t>
      </w:r>
      <w:r w:rsidR="00DF6D07">
        <w:rPr>
          <w:rFonts w:cs="Arial"/>
        </w:rPr>
        <w:t>5</w:t>
      </w:r>
      <w:r w:rsidRPr="00F91C8D">
        <w:rPr>
          <w:rFonts w:cs="Arial"/>
        </w:rPr>
        <w:t>; Cooper et al., 2020). Restricted access to respite, expert intervention, or care continuity causes increased stress, particularly in domestic environments (Robertson et al., 2022; Carers UK, 2022). Conversely, coordinated care enhances the experiences of carers and care recipients alike (Dyer et al., 2020). The Stress Process Model (Pearlin et al., 1990) illustrates how inadequate access to services and depersonalised care maximise carer strain and indicate the connection between the two.</w:t>
      </w:r>
    </w:p>
    <w:p w14:paraId="567C25DF" w14:textId="677CE3C2" w:rsidR="00F91C8D" w:rsidRPr="00F91C8D" w:rsidRDefault="00F91C8D" w:rsidP="00F91C8D">
      <w:pPr>
        <w:pStyle w:val="Heading2"/>
        <w:rPr>
          <w:rFonts w:cs="Arial"/>
        </w:rPr>
      </w:pPr>
      <w:bookmarkStart w:id="21" w:name="_Toc204256374"/>
      <w:r w:rsidRPr="00F91C8D">
        <w:rPr>
          <w:rFonts w:cs="Arial"/>
        </w:rPr>
        <w:t>4.5 – Theme 3</w:t>
      </w:r>
      <w:r w:rsidR="00DB145F">
        <w:rPr>
          <w:rFonts w:cs="Arial"/>
        </w:rPr>
        <w:t>:</w:t>
      </w:r>
      <w:r w:rsidRPr="00F91C8D">
        <w:rPr>
          <w:rFonts w:cs="Arial"/>
        </w:rPr>
        <w:t xml:space="preserve"> </w:t>
      </w:r>
      <w:r w:rsidRPr="00DB145F">
        <w:rPr>
          <w:rFonts w:cs="Arial"/>
          <w:color w:val="auto"/>
        </w:rPr>
        <w:t>Access to Services and Continuity of Care</w:t>
      </w:r>
      <w:bookmarkEnd w:id="21"/>
      <w:r w:rsidRPr="00F91C8D">
        <w:rPr>
          <w:rFonts w:cs="Arial"/>
          <w:i/>
          <w:iCs/>
          <w:color w:val="auto"/>
        </w:rPr>
        <w:t xml:space="preserve"> </w:t>
      </w:r>
    </w:p>
    <w:p w14:paraId="73C5AE21" w14:textId="77777777" w:rsidR="00F91C8D" w:rsidRPr="00F91C8D" w:rsidRDefault="00F91C8D" w:rsidP="00F91C8D">
      <w:pPr>
        <w:pStyle w:val="Heading1"/>
        <w:rPr>
          <w:rFonts w:cs="Arial"/>
          <w:sz w:val="28"/>
          <w:szCs w:val="28"/>
        </w:rPr>
      </w:pPr>
    </w:p>
    <w:p w14:paraId="01B62B31" w14:textId="77777777" w:rsidR="00F91C8D" w:rsidRPr="00F91C8D" w:rsidRDefault="00F91C8D" w:rsidP="00F91C8D">
      <w:pPr>
        <w:pStyle w:val="Heading4"/>
        <w:rPr>
          <w:rFonts w:ascii="Arial" w:hAnsi="Arial" w:cs="Arial"/>
        </w:rPr>
      </w:pPr>
      <w:r w:rsidRPr="00F91C8D">
        <w:rPr>
          <w:rFonts w:ascii="Arial" w:hAnsi="Arial" w:cs="Arial"/>
        </w:rPr>
        <w:t xml:space="preserve">Definition </w:t>
      </w:r>
    </w:p>
    <w:p w14:paraId="44A3AC60" w14:textId="77777777" w:rsidR="00F91C8D" w:rsidRPr="00F91C8D" w:rsidRDefault="00F91C8D" w:rsidP="001E631D">
      <w:pPr>
        <w:numPr>
          <w:ilvl w:val="0"/>
          <w:numId w:val="17"/>
        </w:numPr>
        <w:spacing w:before="100" w:beforeAutospacing="1" w:after="100" w:afterAutospacing="1"/>
        <w:jc w:val="left"/>
        <w:rPr>
          <w:rFonts w:cs="Arial"/>
        </w:rPr>
      </w:pPr>
      <w:r w:rsidRPr="00F91C8D">
        <w:rPr>
          <w:rStyle w:val="Strong"/>
          <w:rFonts w:cs="Arial"/>
        </w:rPr>
        <w:t>Definition:</w:t>
      </w:r>
    </w:p>
    <w:p w14:paraId="5618B3D8" w14:textId="6FCFFDB7" w:rsidR="00F91C8D" w:rsidRPr="00F91C8D" w:rsidRDefault="009938B0" w:rsidP="00F91C8D">
      <w:pPr>
        <w:rPr>
          <w:rFonts w:cs="Arial"/>
        </w:rPr>
      </w:pPr>
      <w:r>
        <w:rPr>
          <w:rFonts w:cs="Arial"/>
        </w:rPr>
        <w:t>Caregiver burden is the physical, emotional, social, and financial distress experienced by those caring for individuals with dementia (Etters et al., 2008). It includes both objective burden (e.g., time spent caring) and subjective burden (e.g., distress) (Alzheimer's Society, 2023). Support systems involve both formal arrangements (e.g., respite care, training, financial support) and informal networks (e.g., family and friends). Practical support can help prevent burnout and enhance care outcomes (Cooper et al., 2020). Clarifying these terms is crucial when measuring differences in caregiver experiences between residential and home care centres (Robertson et al., 2022).</w:t>
      </w:r>
    </w:p>
    <w:p w14:paraId="73055C57" w14:textId="77777777" w:rsidR="002865F5" w:rsidRPr="00F91C8D" w:rsidRDefault="002865F5" w:rsidP="002865F5">
      <w:pPr>
        <w:pStyle w:val="Heading4"/>
        <w:rPr>
          <w:rFonts w:ascii="Arial" w:hAnsi="Arial" w:cs="Arial"/>
        </w:rPr>
      </w:pPr>
      <w:r w:rsidRPr="00F91C8D">
        <w:rPr>
          <w:rFonts w:ascii="Arial" w:hAnsi="Arial" w:cs="Arial"/>
        </w:rPr>
        <w:t>Background Information</w:t>
      </w:r>
    </w:p>
    <w:p w14:paraId="2FB465ED" w14:textId="77777777" w:rsidR="002865F5" w:rsidRPr="00F91C8D" w:rsidRDefault="002865F5" w:rsidP="001E631D">
      <w:pPr>
        <w:numPr>
          <w:ilvl w:val="0"/>
          <w:numId w:val="18"/>
        </w:numPr>
        <w:spacing w:before="100" w:beforeAutospacing="1" w:after="100" w:afterAutospacing="1"/>
        <w:jc w:val="left"/>
        <w:rPr>
          <w:rFonts w:cs="Arial"/>
        </w:rPr>
      </w:pPr>
      <w:r w:rsidRPr="00F91C8D">
        <w:rPr>
          <w:rStyle w:val="Strong"/>
          <w:rFonts w:cs="Arial"/>
        </w:rPr>
        <w:t>Historical/Contextual Background:</w:t>
      </w:r>
    </w:p>
    <w:p w14:paraId="7287B5CA" w14:textId="00D5DE53" w:rsidR="00F91C8D" w:rsidRDefault="009938B0" w:rsidP="00F91C8D">
      <w:pPr>
        <w:rPr>
          <w:i/>
          <w:iCs/>
        </w:rPr>
      </w:pPr>
      <w:r>
        <w:t xml:space="preserve">Historically, access to dementia care in the UK has been inconsistent, varying depending on location and type of service (Alzheimer's Society, 2016). The NHS and local councils have historically struggled to provide seamless, integrated care due to underfunding and staff shortages. The National Dementia Strategy (2009) recognised the need for increased early diagnosis and joined-up care, but progress has been unequal (Department of Health, 2009). </w:t>
      </w:r>
      <w:r>
        <w:lastRenderedPageBreak/>
        <w:t>More recently, the 2019 NHS Long Term Plan prioritised personalised community-based dementia care. Fewer patients, especially those living at home, continue to experience delays, inadequate follow-up, and limited access to specialist treatments (Robertson et al., 2022).</w:t>
      </w:r>
    </w:p>
    <w:p w14:paraId="416E3F8C" w14:textId="64497E86" w:rsidR="002865F5" w:rsidRPr="00F91C8D" w:rsidRDefault="002865F5" w:rsidP="002865F5">
      <w:pPr>
        <w:pStyle w:val="Heading4"/>
        <w:rPr>
          <w:rFonts w:ascii="Arial" w:hAnsi="Arial" w:cs="Arial"/>
        </w:rPr>
      </w:pPr>
      <w:r w:rsidRPr="00F91C8D">
        <w:rPr>
          <w:rFonts w:ascii="Arial" w:hAnsi="Arial" w:cs="Arial"/>
        </w:rPr>
        <w:t>Impact on Research Question</w:t>
      </w:r>
    </w:p>
    <w:p w14:paraId="3D88BBAC" w14:textId="77777777" w:rsidR="002865F5" w:rsidRPr="00F91C8D" w:rsidRDefault="002865F5" w:rsidP="001E631D">
      <w:pPr>
        <w:numPr>
          <w:ilvl w:val="0"/>
          <w:numId w:val="19"/>
        </w:numPr>
        <w:spacing w:before="100" w:beforeAutospacing="1" w:after="100" w:afterAutospacing="1"/>
        <w:jc w:val="left"/>
        <w:rPr>
          <w:rFonts w:cs="Arial"/>
        </w:rPr>
      </w:pPr>
      <w:r w:rsidRPr="00F91C8D">
        <w:rPr>
          <w:rStyle w:val="Strong"/>
          <w:rFonts w:cs="Arial"/>
        </w:rPr>
        <w:t>Relevance to Title/Research Question:</w:t>
      </w:r>
    </w:p>
    <w:p w14:paraId="0D35F656" w14:textId="10C88675" w:rsidR="00F91C8D" w:rsidRDefault="00F91C8D" w:rsidP="00F91C8D">
      <w:pPr>
        <w:rPr>
          <w:i/>
          <w:iCs/>
        </w:rPr>
      </w:pPr>
      <w:r>
        <w:t xml:space="preserve">Access to services and continuity of care directly inform the research question: "How does the differential quality of care vary in dementia patients receiving home-based care compared to care in care homes in the UK?" Home-based patients experience variable levels of support, delayed referrals, and limited access to specialist dementia services, which affect the quality of care (Robertson et al., 2022; Alzheimer's Society, 2023). In contrast, care homes </w:t>
      </w:r>
      <w:r w:rsidR="00CE7E3F">
        <w:t>typically offer</w:t>
      </w:r>
      <w:r>
        <w:t xml:space="preserve"> structured routines and on-site services. </w:t>
      </w:r>
      <w:r w:rsidR="00CE7E3F">
        <w:t>Emphasising</w:t>
      </w:r>
      <w:r>
        <w:t xml:space="preserve"> the distinction </w:t>
      </w:r>
      <w:r w:rsidR="00281224">
        <w:t xml:space="preserve">highlights how service availability affects the quality of dementia care across various settings, making it a crucial factor in assessing overall care quality and the </w:t>
      </w:r>
      <w:r>
        <w:t>equity of provision.</w:t>
      </w:r>
    </w:p>
    <w:p w14:paraId="7DC87EA0" w14:textId="77777777" w:rsidR="00F91C8D" w:rsidRDefault="00F91C8D" w:rsidP="002865F5">
      <w:pPr>
        <w:pStyle w:val="Heading4"/>
        <w:rPr>
          <w:rFonts w:ascii="Arial" w:eastAsiaTheme="minorEastAsia" w:hAnsi="Arial" w:cs="Arial"/>
          <w:i w:val="0"/>
          <w:iCs w:val="0"/>
          <w:color w:val="auto"/>
        </w:rPr>
      </w:pPr>
    </w:p>
    <w:p w14:paraId="54B244D8" w14:textId="6A37E7E7" w:rsidR="002865F5" w:rsidRPr="00F91C8D" w:rsidRDefault="002865F5" w:rsidP="002865F5">
      <w:pPr>
        <w:pStyle w:val="Heading4"/>
        <w:rPr>
          <w:rFonts w:ascii="Arial" w:hAnsi="Arial" w:cs="Arial"/>
        </w:rPr>
      </w:pPr>
      <w:r w:rsidRPr="00F91C8D">
        <w:rPr>
          <w:rFonts w:ascii="Arial" w:hAnsi="Arial" w:cs="Arial"/>
        </w:rPr>
        <w:t>Statistical Information</w:t>
      </w:r>
    </w:p>
    <w:p w14:paraId="5607E377" w14:textId="77777777" w:rsidR="002865F5" w:rsidRPr="00F91C8D" w:rsidRDefault="002865F5" w:rsidP="001E631D">
      <w:pPr>
        <w:numPr>
          <w:ilvl w:val="0"/>
          <w:numId w:val="20"/>
        </w:numPr>
        <w:spacing w:before="100" w:beforeAutospacing="1" w:after="100" w:afterAutospacing="1"/>
        <w:jc w:val="left"/>
        <w:rPr>
          <w:rFonts w:cs="Arial"/>
        </w:rPr>
      </w:pPr>
      <w:r w:rsidRPr="00F91C8D">
        <w:rPr>
          <w:rStyle w:val="Strong"/>
          <w:rFonts w:cs="Arial"/>
        </w:rPr>
        <w:t>Data and Statistics:</w:t>
      </w:r>
    </w:p>
    <w:p w14:paraId="60C01FC9" w14:textId="77777777" w:rsidR="00F91C8D" w:rsidRDefault="00F91C8D" w:rsidP="00F91C8D">
      <w:pPr>
        <w:rPr>
          <w:i/>
          <w:iCs/>
        </w:rPr>
      </w:pPr>
      <w:r w:rsidRPr="00F91C8D">
        <w:t>Recent figures show that more than 61% of people with dementia reside within their own homes, but many do not receive regular access to formal services (Alzheimer's Society, 2023). Official diagnosis for just 58% of residents with dementia within the UK means that they are being delayed from treatment and support (NHS Digital, 2022). In 2020, 37% of home carers and 14% of residential carers reported shortages in follow-up care (Robertson et al., 2022). Such findings are testaments to systemic disparities in dementia service delivery. Underdiagnosis and broken continuity of care in houses are core concerns about unmet needs and variations in general care quality.</w:t>
      </w:r>
    </w:p>
    <w:p w14:paraId="28E29938" w14:textId="094615D4" w:rsidR="002865F5" w:rsidRPr="00F91C8D" w:rsidRDefault="002865F5" w:rsidP="002865F5">
      <w:pPr>
        <w:pStyle w:val="Heading4"/>
        <w:rPr>
          <w:rFonts w:ascii="Arial" w:hAnsi="Arial" w:cs="Arial"/>
        </w:rPr>
      </w:pPr>
      <w:r w:rsidRPr="00F91C8D">
        <w:rPr>
          <w:rFonts w:ascii="Arial" w:hAnsi="Arial" w:cs="Arial"/>
        </w:rPr>
        <w:t>Theories, Policies, and Legislation</w:t>
      </w:r>
    </w:p>
    <w:p w14:paraId="181CBEA8" w14:textId="77777777" w:rsidR="002865F5" w:rsidRPr="00F91C8D" w:rsidRDefault="002865F5" w:rsidP="001E631D">
      <w:pPr>
        <w:pStyle w:val="NormalWeb"/>
        <w:numPr>
          <w:ilvl w:val="0"/>
          <w:numId w:val="21"/>
        </w:numPr>
        <w:spacing w:line="360" w:lineRule="auto"/>
        <w:rPr>
          <w:rFonts w:ascii="Arial" w:hAnsi="Arial" w:cs="Arial"/>
          <w:sz w:val="22"/>
          <w:szCs w:val="22"/>
        </w:rPr>
      </w:pPr>
      <w:r w:rsidRPr="00F91C8D">
        <w:rPr>
          <w:rStyle w:val="Strong"/>
          <w:rFonts w:ascii="Arial" w:eastAsia="Calibri Light" w:hAnsi="Arial" w:cs="Arial"/>
          <w:sz w:val="22"/>
          <w:szCs w:val="22"/>
        </w:rPr>
        <w:t>Theoretical Framework:</w:t>
      </w:r>
    </w:p>
    <w:p w14:paraId="3BAB1E39" w14:textId="5F3CE71B" w:rsidR="00F91C8D" w:rsidRPr="00F91C8D" w:rsidRDefault="00F91C8D" w:rsidP="00F91C8D">
      <w:pPr>
        <w:pStyle w:val="NormalWeb"/>
        <w:spacing w:line="360" w:lineRule="auto"/>
        <w:rPr>
          <w:rFonts w:ascii="Arial" w:hAnsi="Arial" w:cs="Arial"/>
          <w:sz w:val="22"/>
          <w:szCs w:val="22"/>
        </w:rPr>
      </w:pPr>
      <w:r>
        <w:rPr>
          <w:rFonts w:ascii="Arial" w:eastAsiaTheme="minorEastAsia" w:hAnsi="Arial" w:cs="Arial"/>
          <w:kern w:val="2"/>
          <w:sz w:val="22"/>
          <w:szCs w:val="22"/>
          <w:lang w:eastAsia="zh-CN"/>
          <w14:ligatures w14:val="standardContextual"/>
        </w:rPr>
        <w:t xml:space="preserve">The Continuity of Care Model is most evident in this theme (Haggerty et al., 2003). It emphasises informational, relational, and management continuity over time and between providers. In the context of dementia care, this theory </w:t>
      </w:r>
      <w:r w:rsidR="00281224">
        <w:rPr>
          <w:rFonts w:ascii="Arial" w:eastAsiaTheme="minorEastAsia" w:hAnsi="Arial" w:cs="Arial"/>
          <w:kern w:val="2"/>
          <w:sz w:val="22"/>
          <w:szCs w:val="22"/>
          <w:lang w:eastAsia="zh-CN"/>
          <w14:ligatures w14:val="standardContextual"/>
        </w:rPr>
        <w:t>posits that continuity of care yields better outcomes and reduces</w:t>
      </w:r>
      <w:r w:rsidR="00CE7E3F">
        <w:rPr>
          <w:rFonts w:ascii="Arial" w:eastAsiaTheme="minorEastAsia" w:hAnsi="Arial" w:cs="Arial"/>
          <w:kern w:val="2"/>
          <w:sz w:val="22"/>
          <w:szCs w:val="22"/>
          <w:lang w:eastAsia="zh-CN"/>
          <w14:ligatures w14:val="standardContextual"/>
        </w:rPr>
        <w:t xml:space="preserve"> confusion for patients and caregivers</w:t>
      </w:r>
      <w:r>
        <w:rPr>
          <w:rFonts w:ascii="Arial" w:eastAsiaTheme="minorEastAsia" w:hAnsi="Arial" w:cs="Arial"/>
          <w:kern w:val="2"/>
          <w:sz w:val="22"/>
          <w:szCs w:val="22"/>
          <w:lang w:eastAsia="zh-CN"/>
          <w14:ligatures w14:val="standardContextual"/>
        </w:rPr>
        <w:t xml:space="preserve"> (Robertson et al., 2022). Continuity is easier to achieve in care homes because of their formal routines and </w:t>
      </w:r>
      <w:r>
        <w:rPr>
          <w:rFonts w:ascii="Arial" w:eastAsiaTheme="minorEastAsia" w:hAnsi="Arial" w:cs="Arial"/>
          <w:kern w:val="2"/>
          <w:sz w:val="22"/>
          <w:szCs w:val="22"/>
          <w:lang w:eastAsia="zh-CN"/>
          <w14:ligatures w14:val="standardContextual"/>
        </w:rPr>
        <w:lastRenderedPageBreak/>
        <w:t>professional management. Conversely, home settings are often hampered by service fragmentation. The theory highlights the importance of system-level coordination, which is directly related to the research question comparing care quality across different settings.</w:t>
      </w:r>
    </w:p>
    <w:p w14:paraId="0FC93BF7" w14:textId="2BB436E8" w:rsidR="002865F5" w:rsidRPr="00F91C8D" w:rsidRDefault="002865F5" w:rsidP="001E631D">
      <w:pPr>
        <w:pStyle w:val="NormalWeb"/>
        <w:numPr>
          <w:ilvl w:val="0"/>
          <w:numId w:val="21"/>
        </w:numPr>
        <w:spacing w:line="360" w:lineRule="auto"/>
        <w:rPr>
          <w:rFonts w:ascii="Arial" w:hAnsi="Arial" w:cs="Arial"/>
          <w:sz w:val="22"/>
          <w:szCs w:val="22"/>
        </w:rPr>
      </w:pPr>
      <w:r w:rsidRPr="00F91C8D">
        <w:rPr>
          <w:rStyle w:val="Strong"/>
          <w:rFonts w:ascii="Arial" w:eastAsia="Calibri Light" w:hAnsi="Arial" w:cs="Arial"/>
          <w:sz w:val="22"/>
          <w:szCs w:val="22"/>
        </w:rPr>
        <w:t>Policy and Legislation:</w:t>
      </w:r>
    </w:p>
    <w:p w14:paraId="20B484B6" w14:textId="57700E7B" w:rsidR="00F91C8D" w:rsidRDefault="00F91C8D" w:rsidP="00F91C8D">
      <w:pPr>
        <w:rPr>
          <w:i/>
          <w:iCs/>
        </w:rPr>
      </w:pPr>
      <w:r w:rsidRPr="00F91C8D">
        <w:t xml:space="preserve">Key policy responses to this problem are the Care Act 2014, which imposes a duty on local authorities to provide individuals with ongoing, person-centred care wherever they are. The NHS Long Term Plan (2019) also features community care and early detection of dementia. Despite these regulations, implementation is inconsistent, particularly in those living at home who are most at risk of receiving piecemeal care and late intervention (Alzheimer's Society, 2023). Whereas care homes are mostly </w:t>
      </w:r>
      <w:r>
        <w:t>run within organised systems that provide continuity, home-based care recipients are left vulnerable to breakdowns in</w:t>
      </w:r>
      <w:r w:rsidRPr="00F91C8D">
        <w:t xml:space="preserve"> coordination. This uncertainty </w:t>
      </w:r>
      <w:r>
        <w:t>highlights policy flaws and underscores the need for equal access to care in all settings</w:t>
      </w:r>
      <w:r w:rsidRPr="00F91C8D">
        <w:t>.</w:t>
      </w:r>
    </w:p>
    <w:p w14:paraId="637B0DED" w14:textId="6DA2FC43" w:rsidR="002865F5" w:rsidRPr="00F91C8D" w:rsidRDefault="002865F5" w:rsidP="002865F5">
      <w:pPr>
        <w:pStyle w:val="Heading4"/>
        <w:rPr>
          <w:rFonts w:ascii="Arial" w:hAnsi="Arial" w:cs="Arial"/>
        </w:rPr>
      </w:pPr>
      <w:r w:rsidRPr="00F91C8D">
        <w:rPr>
          <w:rFonts w:ascii="Arial" w:hAnsi="Arial" w:cs="Arial"/>
        </w:rPr>
        <w:t>Implications</w:t>
      </w:r>
    </w:p>
    <w:p w14:paraId="02D216F1" w14:textId="77777777" w:rsidR="002865F5" w:rsidRPr="00F91C8D" w:rsidRDefault="002865F5" w:rsidP="001E631D">
      <w:pPr>
        <w:numPr>
          <w:ilvl w:val="0"/>
          <w:numId w:val="22"/>
        </w:numPr>
        <w:spacing w:before="100" w:beforeAutospacing="1" w:after="100" w:afterAutospacing="1"/>
        <w:jc w:val="left"/>
        <w:rPr>
          <w:rFonts w:cs="Arial"/>
        </w:rPr>
      </w:pPr>
      <w:r w:rsidRPr="00F91C8D">
        <w:rPr>
          <w:rStyle w:val="Strong"/>
          <w:rFonts w:cs="Arial"/>
        </w:rPr>
        <w:t>Positive and Negative Implications:</w:t>
      </w:r>
    </w:p>
    <w:p w14:paraId="20F54E43" w14:textId="389D4DF5" w:rsidR="00F91C8D" w:rsidRDefault="00F91C8D" w:rsidP="00F91C8D">
      <w:pPr>
        <w:rPr>
          <w:i/>
          <w:iCs/>
        </w:rPr>
      </w:pPr>
      <w:r>
        <w:t>Providing consistent access to services enhances dementia care through increased early intervention, a decline in hospitalisation, and enhanced carer support in the form of coordinated</w:t>
      </w:r>
      <w:r w:rsidRPr="00F91C8D">
        <w:t xml:space="preserve"> support (NHS England, 2019; Alzheimer's Society, 2023). </w:t>
      </w:r>
      <w:r>
        <w:t xml:space="preserve">The integration of care pathways in care homes offers the advantage of continuity and enhanced </w:t>
      </w:r>
      <w:r w:rsidRPr="00F91C8D">
        <w:t xml:space="preserve">patient safety. Home care is </w:t>
      </w:r>
      <w:r>
        <w:t>often characterised by fragmented services, prolonged delays, and geographic disparities, leading to</w:t>
      </w:r>
      <w:r w:rsidRPr="00F91C8D">
        <w:t xml:space="preserve"> adverse outcomes (Robertson et al., 2022). These inequalities can result in intensified carer strain and differential care. The theme suggests that while policy frameworks exist, their differential application </w:t>
      </w:r>
      <w:r>
        <w:t>disproportionately affects those living at home, directly impacting the contrast in</w:t>
      </w:r>
      <w:r w:rsidRPr="00F91C8D">
        <w:t xml:space="preserve"> quality that is the subject of the research question.</w:t>
      </w:r>
    </w:p>
    <w:p w14:paraId="2E03454B" w14:textId="7B12F2B0" w:rsidR="002865F5" w:rsidRPr="00F91C8D" w:rsidRDefault="002865F5" w:rsidP="002865F5">
      <w:pPr>
        <w:pStyle w:val="Heading4"/>
        <w:rPr>
          <w:rFonts w:ascii="Arial" w:hAnsi="Arial" w:cs="Arial"/>
        </w:rPr>
      </w:pPr>
      <w:r w:rsidRPr="00F91C8D">
        <w:rPr>
          <w:rFonts w:ascii="Arial" w:hAnsi="Arial" w:cs="Arial"/>
        </w:rPr>
        <w:t>Examples and Case Studies</w:t>
      </w:r>
    </w:p>
    <w:p w14:paraId="4E861102" w14:textId="3104FEBB" w:rsidR="002865F5" w:rsidRPr="00F91C8D" w:rsidRDefault="002865F5" w:rsidP="001E631D">
      <w:pPr>
        <w:numPr>
          <w:ilvl w:val="0"/>
          <w:numId w:val="23"/>
        </w:numPr>
        <w:spacing w:before="100" w:beforeAutospacing="1" w:after="100" w:afterAutospacing="1"/>
        <w:jc w:val="left"/>
        <w:rPr>
          <w:rFonts w:cs="Arial"/>
        </w:rPr>
      </w:pPr>
      <w:r w:rsidRPr="00F91C8D">
        <w:rPr>
          <w:rStyle w:val="Strong"/>
          <w:rFonts w:cs="Arial"/>
        </w:rPr>
        <w:t>Illustrative Examples:</w:t>
      </w:r>
    </w:p>
    <w:p w14:paraId="0C652DBF" w14:textId="51ADB80B" w:rsidR="00F91C8D" w:rsidRDefault="00F91C8D" w:rsidP="00F91C8D">
      <w:pPr>
        <w:rPr>
          <w:i/>
          <w:iCs/>
        </w:rPr>
      </w:pPr>
      <w:r w:rsidRPr="00F91C8D">
        <w:t>The Care Quality Commission (CQC, 2021) quoted that "outstanding" care homes consistently provided ongoing, high-standard dementia care through connected care plans, ongoing staff training, and close collaboration with GPs and community health teams. For example, one Surrey care home had 24/7 access to dementia specialists and personal activity timetables</w:t>
      </w:r>
      <w:r>
        <w:t>, providing</w:t>
      </w:r>
      <w:r w:rsidRPr="00F91C8D">
        <w:t xml:space="preserve"> continuity and responsiveness. Conversely, home residents were </w:t>
      </w:r>
      <w:r>
        <w:t>likely to lack ongoing professional interaction and face</w:t>
      </w:r>
      <w:r w:rsidRPr="00F91C8D">
        <w:t xml:space="preserve"> challenges with the </w:t>
      </w:r>
      <w:r>
        <w:t>organisation</w:t>
      </w:r>
      <w:r w:rsidRPr="00F91C8D">
        <w:t xml:space="preserve"> of fragmented </w:t>
      </w:r>
      <w:r w:rsidRPr="00F91C8D">
        <w:lastRenderedPageBreak/>
        <w:t xml:space="preserve">service systems. These service integration and access differences highlight the research question by describing how care homes could potentially </w:t>
      </w:r>
      <w:r>
        <w:t>optimise</w:t>
      </w:r>
      <w:r w:rsidRPr="00F91C8D">
        <w:t xml:space="preserve"> continuity of care more than home settings</w:t>
      </w:r>
      <w:r>
        <w:rPr>
          <w:i/>
          <w:iCs/>
        </w:rPr>
        <w:t>.</w:t>
      </w:r>
    </w:p>
    <w:p w14:paraId="486EB594" w14:textId="32AF5BE5" w:rsidR="002865F5" w:rsidRPr="00F91C8D" w:rsidRDefault="002865F5" w:rsidP="002865F5">
      <w:pPr>
        <w:pStyle w:val="Heading4"/>
        <w:rPr>
          <w:rFonts w:ascii="Arial" w:hAnsi="Arial" w:cs="Arial"/>
        </w:rPr>
      </w:pPr>
      <w:r w:rsidRPr="00F91C8D">
        <w:rPr>
          <w:rFonts w:ascii="Arial" w:hAnsi="Arial" w:cs="Arial"/>
        </w:rPr>
        <w:t>Connections to Other Themes</w:t>
      </w:r>
    </w:p>
    <w:p w14:paraId="5A38C502" w14:textId="77777777" w:rsidR="002865F5" w:rsidRPr="00F91C8D" w:rsidRDefault="002865F5" w:rsidP="001E631D">
      <w:pPr>
        <w:numPr>
          <w:ilvl w:val="0"/>
          <w:numId w:val="24"/>
        </w:numPr>
        <w:spacing w:before="100" w:beforeAutospacing="1" w:after="100" w:afterAutospacing="1"/>
        <w:jc w:val="left"/>
        <w:rPr>
          <w:rFonts w:cs="Arial"/>
        </w:rPr>
      </w:pPr>
      <w:r w:rsidRPr="00F91C8D">
        <w:rPr>
          <w:rStyle w:val="Strong"/>
          <w:rFonts w:cs="Arial"/>
        </w:rPr>
        <w:t>Interconnections:</w:t>
      </w:r>
    </w:p>
    <w:p w14:paraId="241E5F9B" w14:textId="08993FE7" w:rsidR="00F91C8D" w:rsidRDefault="00F91C8D" w:rsidP="00F91C8D">
      <w:r>
        <w:t xml:space="preserve">Theme 3 closely follows Theme 1: </w:t>
      </w:r>
      <w:r w:rsidRPr="00F91C8D">
        <w:rPr>
          <w:color w:val="5B9BD5" w:themeColor="accent5"/>
        </w:rPr>
        <w:t>Person-Centred Care and Quality of Life</w:t>
      </w:r>
      <w:r>
        <w:t>, as the frequent availability of services directly influences how care can be personalised and effective (Brooker &amp; Latham, 20</w:t>
      </w:r>
      <w:r w:rsidR="00DC592A">
        <w:t>15</w:t>
      </w:r>
      <w:r>
        <w:t xml:space="preserve">). In the absence of integrated support, quality of life declines, particularly for those receiving home-based care. It also connects with Theme 2: </w:t>
      </w:r>
      <w:r w:rsidRPr="00F91C8D">
        <w:rPr>
          <w:color w:val="00B050"/>
        </w:rPr>
        <w:t>Carer Burden and Support Systems</w:t>
      </w:r>
      <w:r>
        <w:t>, as uneven services increase the burden on family carers, who might not require immediate professional intervention otherwise (Robertson et al., 2022). These intersections show how disconnected care systems can harm both patient well-being and caregiver resilience, emphasising the need for interconnected, inclusive dementia care.</w:t>
      </w:r>
    </w:p>
    <w:p w14:paraId="262F5D7C" w14:textId="7C7F16A1" w:rsidR="00636D9A" w:rsidRDefault="001C3AF6" w:rsidP="00DC37A1">
      <w:pPr>
        <w:pStyle w:val="Heading2"/>
        <w:rPr>
          <w:rFonts w:cs="Arial"/>
        </w:rPr>
      </w:pPr>
      <w:bookmarkStart w:id="22" w:name="_Toc204256375"/>
      <w:r w:rsidRPr="00F91C8D">
        <w:rPr>
          <w:rFonts w:cs="Arial"/>
        </w:rPr>
        <w:t>4.6 – Chapter Conclusion</w:t>
      </w:r>
      <w:bookmarkEnd w:id="22"/>
      <w:r w:rsidRPr="00F91C8D">
        <w:rPr>
          <w:rFonts w:cs="Arial"/>
        </w:rPr>
        <w:t xml:space="preserve"> </w:t>
      </w:r>
    </w:p>
    <w:p w14:paraId="436EC484" w14:textId="182D8896" w:rsidR="002865F5" w:rsidRPr="00F91C8D" w:rsidRDefault="009938B0" w:rsidP="009938B0">
      <w:pPr>
        <w:rPr>
          <w:rFonts w:cs="Arial"/>
        </w:rPr>
      </w:pPr>
      <w:r>
        <w:t>This chapter has explored the main themes emerging from the findings: Person-Centred Care and Quality of Life, Carer Burden and Support Systems, and Access to Services and Continuity of Care. The analysis highlighted significant differences in the quality of care provided in care homes and home settings. Care homes were generally regarded as offering more structured, routine, and professionally coordinated environments that support continuity and personalisation of care. In contrast, home care, although potentially more familiar and emotionally comforting, was repeatedly challenged by fragmented services, limited access to specialist support, and increased carer burden (Robertson et al., 2022). The findings also revealed strong links between themes, such as how lack of access to good services adversely affects both person-centred care and carer well-being. UK legislation, including the Care Act 2014 and the NHS Long Term Plan, guides change, but ongoing implementation remains inconsistent, particularly in home settings. These findings directly relate to the research question and suggest that some level of equity and integration in service delivery is necessary in both care environments. More broadly, the chapter emphasises the complex and multi-layered nature of dementia care, advocating for system-level changes to support high-quality care across all settings.</w:t>
      </w:r>
    </w:p>
    <w:p w14:paraId="3AC5E236" w14:textId="77777777" w:rsidR="002865F5" w:rsidRPr="00F91C8D" w:rsidRDefault="002865F5" w:rsidP="00636D9A">
      <w:pPr>
        <w:rPr>
          <w:rFonts w:cs="Arial"/>
        </w:rPr>
      </w:pPr>
    </w:p>
    <w:p w14:paraId="5053749D" w14:textId="47B4A8AE" w:rsidR="00636D9A" w:rsidRDefault="00636D9A" w:rsidP="00DC37A1">
      <w:pPr>
        <w:pStyle w:val="Heading1"/>
        <w:ind w:left="0"/>
        <w:rPr>
          <w:rFonts w:cs="Arial"/>
        </w:rPr>
      </w:pPr>
      <w:bookmarkStart w:id="23" w:name="_Toc204256376"/>
      <w:r w:rsidRPr="00F91C8D">
        <w:rPr>
          <w:rFonts w:cs="Arial"/>
        </w:rPr>
        <w:t>CHAPTER 5 – Conclusion and Recommendations</w:t>
      </w:r>
      <w:bookmarkEnd w:id="23"/>
      <w:r w:rsidRPr="00F91C8D">
        <w:rPr>
          <w:rFonts w:cs="Arial"/>
        </w:rPr>
        <w:t xml:space="preserve"> </w:t>
      </w:r>
    </w:p>
    <w:p w14:paraId="09F390AC" w14:textId="77777777" w:rsidR="00DC37A1" w:rsidRPr="00F91C8D" w:rsidRDefault="00DC37A1" w:rsidP="00DC37A1">
      <w:pPr>
        <w:pStyle w:val="Heading1"/>
        <w:ind w:left="0"/>
        <w:rPr>
          <w:rFonts w:cs="Arial"/>
        </w:rPr>
      </w:pPr>
    </w:p>
    <w:p w14:paraId="3628F6DF" w14:textId="78B7EE87" w:rsidR="00292A36" w:rsidRPr="00F91C8D" w:rsidRDefault="00636D9A" w:rsidP="00DC37A1">
      <w:pPr>
        <w:pStyle w:val="Heading2"/>
        <w:rPr>
          <w:rFonts w:cs="Arial"/>
        </w:rPr>
      </w:pPr>
      <w:bookmarkStart w:id="24" w:name="_Toc204256377"/>
      <w:r w:rsidRPr="00F91C8D">
        <w:rPr>
          <w:rFonts w:cs="Arial"/>
        </w:rPr>
        <w:lastRenderedPageBreak/>
        <w:t>5.1 – Overall Conclusion</w:t>
      </w:r>
      <w:bookmarkEnd w:id="24"/>
    </w:p>
    <w:p w14:paraId="4700A971" w14:textId="77777777" w:rsidR="00F91C8D" w:rsidRDefault="00F91C8D" w:rsidP="00F91C8D">
      <w:pPr>
        <w:rPr>
          <w:rFonts w:cs="Arial"/>
        </w:rPr>
      </w:pPr>
      <w:r>
        <w:rPr>
          <w:rFonts w:cs="Arial"/>
        </w:rPr>
        <w:t xml:space="preserve">This dissertation compared the quality of care for individuals with dementia between home care and care home settings in the UK. Chapter 1 stated the research aim: to critically assess the extent to which care environments influence quality of life, support networks, and continuity of care. Chapter 2 explored the policy, theoretical, and historical background, utilising UK frameworks such as the NHS Long Term Plan and UK Dementia Strategy. Chapter 3 outlined the methodology, employing thematic analysis to analyse secondary sources. Chapter 4 identified three key issues: person-centred care, carer burden, and access to services. Trials like WHELD (Ballard et al., 2017) and MARQUE (Livingston et al., 2017) exemplify how organisational change in care homes, combined with non-pharmacological interventions, can improve quality of life. Conversely, home care offers familiarity and autonomy but often increases the burden on informal carers (Diminic et al., 2019). </w:t>
      </w:r>
    </w:p>
    <w:p w14:paraId="6A2A1FB8" w14:textId="2FFA684E" w:rsidR="003B5BA2" w:rsidRDefault="00F91C8D" w:rsidP="003B5BA2">
      <w:pPr>
        <w:rPr>
          <w:rFonts w:cs="Arial"/>
        </w:rPr>
      </w:pPr>
      <w:r>
        <w:rPr>
          <w:rFonts w:cs="Arial"/>
        </w:rPr>
        <w:t>Overall, the study successfully identified both the strengths and challenges in the two care settings. It highlights the importance of policy reform and ongoing support, particularly for community-based care, to ensure inclusive and high-quality dementia care in the UK.</w:t>
      </w:r>
    </w:p>
    <w:p w14:paraId="3695FFC9" w14:textId="77777777" w:rsidR="003B5BA2" w:rsidRDefault="003B5BA2" w:rsidP="003B5BA2">
      <w:pPr>
        <w:rPr>
          <w:rFonts w:cs="Arial"/>
        </w:rPr>
      </w:pPr>
    </w:p>
    <w:p w14:paraId="44BC1FFB" w14:textId="74653834" w:rsidR="003B5BA2" w:rsidRPr="003B5BA2" w:rsidRDefault="00636D9A" w:rsidP="003B5BA2">
      <w:pPr>
        <w:pStyle w:val="Heading2"/>
        <w:rPr>
          <w:rFonts w:cs="Arial"/>
        </w:rPr>
      </w:pPr>
      <w:bookmarkStart w:id="25" w:name="_Toc204256378"/>
      <w:r w:rsidRPr="00F91C8D">
        <w:rPr>
          <w:rFonts w:cs="Arial"/>
        </w:rPr>
        <w:t>5.</w:t>
      </w:r>
      <w:r w:rsidR="005C5E80" w:rsidRPr="00F91C8D">
        <w:rPr>
          <w:rFonts w:cs="Arial"/>
        </w:rPr>
        <w:t>2</w:t>
      </w:r>
      <w:r w:rsidRPr="00F91C8D">
        <w:rPr>
          <w:rFonts w:cs="Arial"/>
        </w:rPr>
        <w:t xml:space="preserve"> – </w:t>
      </w:r>
      <w:r w:rsidR="005C5E80" w:rsidRPr="00F91C8D">
        <w:rPr>
          <w:rFonts w:cs="Arial"/>
        </w:rPr>
        <w:t>Recommendations</w:t>
      </w:r>
      <w:bookmarkEnd w:id="25"/>
      <w:r w:rsidRPr="00F91C8D">
        <w:rPr>
          <w:rFonts w:cs="Arial"/>
        </w:rPr>
        <w:t xml:space="preserve"> </w:t>
      </w:r>
    </w:p>
    <w:p w14:paraId="5FD3DB54" w14:textId="77777777" w:rsidR="00F91C8D" w:rsidRPr="00F91C8D" w:rsidRDefault="00F91C8D" w:rsidP="000F36B9">
      <w:pPr>
        <w:pStyle w:val="Heading1"/>
        <w:ind w:left="0"/>
        <w:rPr>
          <w:rFonts w:cs="Arial"/>
          <w:sz w:val="28"/>
          <w:szCs w:val="28"/>
        </w:rPr>
      </w:pPr>
      <w:bookmarkStart w:id="26" w:name="_Toc204256379"/>
      <w:r w:rsidRPr="00F91C8D">
        <w:rPr>
          <w:rFonts w:cs="Arial"/>
          <w:sz w:val="28"/>
          <w:szCs w:val="28"/>
        </w:rPr>
        <w:t>5.2.1 Recommendation 1: Increase Person-Centred Training across All Dementia Care Environments</w:t>
      </w:r>
      <w:bookmarkEnd w:id="26"/>
    </w:p>
    <w:p w14:paraId="687E0AA5" w14:textId="77777777" w:rsidR="00F91C8D" w:rsidRDefault="00F91C8D" w:rsidP="00F91C8D"/>
    <w:p w14:paraId="366826A5" w14:textId="77777777" w:rsidR="00F91C8D" w:rsidRDefault="00F91C8D" w:rsidP="00F91C8D">
      <w:r w:rsidRPr="00F91C8D">
        <w:t>Rationale:</w:t>
      </w:r>
    </w:p>
    <w:p w14:paraId="5AC935A3" w14:textId="0BEDC3EC" w:rsidR="00F91C8D" w:rsidRPr="00F91C8D" w:rsidRDefault="00F91C8D" w:rsidP="00F91C8D">
      <w:r w:rsidRPr="00F91C8D">
        <w:t xml:space="preserve">Person-centred care (PCC) enhances quality of life and alleviates distress for people with dementia (Ballard et al., 2017). However, </w:t>
      </w:r>
      <w:r w:rsidR="000F36B9">
        <w:t xml:space="preserve">the </w:t>
      </w:r>
      <w:r w:rsidRPr="00F91C8D">
        <w:t>consistency of PCC adoption varies across the UK due to staff shortages, time factors, and insufficient training. Increasing mandatory person-centred care training in residential and home care environments would provide a more consistent standard of care.</w:t>
      </w:r>
    </w:p>
    <w:p w14:paraId="741BA7E5" w14:textId="1B4962CE" w:rsidR="00F91C8D" w:rsidRPr="00F91C8D" w:rsidRDefault="00F91C8D" w:rsidP="00F91C8D">
      <w:r w:rsidRPr="00F91C8D">
        <w:t>Barriers and Limitations</w:t>
      </w:r>
      <w:r>
        <w:t>:</w:t>
      </w:r>
    </w:p>
    <w:p w14:paraId="2E3C8179" w14:textId="293C62C6" w:rsidR="00F91C8D" w:rsidRPr="00F91C8D" w:rsidRDefault="00CE7E3F" w:rsidP="00F91C8D">
      <w:r>
        <w:t>Key limitations of</w:t>
      </w:r>
      <w:r w:rsidR="00F91C8D" w:rsidRPr="00F91C8D">
        <w:t xml:space="preserve"> concern include staff </w:t>
      </w:r>
      <w:r w:rsidR="000F36B9">
        <w:t>shortages, time pressures, and financial constraints</w:t>
      </w:r>
      <w:r w:rsidR="00F91C8D" w:rsidRPr="00F91C8D">
        <w:t xml:space="preserve">. Care workers </w:t>
      </w:r>
      <w:r w:rsidR="000F36B9">
        <w:t xml:space="preserve">often lack formal training and typically do not have access to it, particularly in </w:t>
      </w:r>
      <w:r>
        <w:t>home care</w:t>
      </w:r>
      <w:r w:rsidR="000F36B9">
        <w:t xml:space="preserve"> settings </w:t>
      </w:r>
      <w:r w:rsidR="00F91C8D" w:rsidRPr="00F91C8D">
        <w:t>where they work independently. There is high social care turnover that induces knowledge gaps.</w:t>
      </w:r>
    </w:p>
    <w:p w14:paraId="623FD9EB" w14:textId="77777777" w:rsidR="00F91C8D" w:rsidRPr="00F91C8D" w:rsidRDefault="00F91C8D" w:rsidP="00F91C8D">
      <w:r w:rsidRPr="00F91C8D">
        <w:t>Breaking Barriers:</w:t>
      </w:r>
    </w:p>
    <w:p w14:paraId="6E9F4F60" w14:textId="53B98818" w:rsidR="00F91C8D" w:rsidRDefault="00F91C8D" w:rsidP="001907F0">
      <w:r w:rsidRPr="00F91C8D">
        <w:lastRenderedPageBreak/>
        <w:t>It would be convenient to have web-based training modules that are NHS or council-funded</w:t>
      </w:r>
      <w:r>
        <w:t>,</w:t>
      </w:r>
      <w:r w:rsidRPr="00F91C8D">
        <w:t xml:space="preserve"> with flexibility. </w:t>
      </w:r>
      <w:r>
        <w:t>Maximising usage would involve linking with organisations</w:t>
      </w:r>
      <w:r w:rsidRPr="00F91C8D">
        <w:t xml:space="preserve"> such as Skills for Care. Integrating person-centred practice in the inspections of the Care Quality Commission (CQC) would also encourage compliance.</w:t>
      </w:r>
    </w:p>
    <w:p w14:paraId="50646D26" w14:textId="3E6B00F0" w:rsidR="001907F0" w:rsidRPr="001907F0" w:rsidRDefault="001907F0" w:rsidP="001907F0">
      <w:pPr>
        <w:jc w:val="left"/>
      </w:pPr>
      <w:r w:rsidRPr="001907F0">
        <w:t>Reflective</w:t>
      </w:r>
      <w:r>
        <w:t xml:space="preserve"> </w:t>
      </w:r>
      <w:r w:rsidRPr="001907F0">
        <w:t>Insight</w:t>
      </w:r>
      <w:r>
        <w:t xml:space="preserve">: </w:t>
      </w:r>
      <w:r w:rsidRPr="001907F0">
        <w:t>Dementia Bus Experience</w:t>
      </w:r>
      <w:r w:rsidRPr="001907F0">
        <w:br/>
        <w:t>As part of my university</w:t>
      </w:r>
      <w:r w:rsidR="009E02FD">
        <w:t xml:space="preserve"> experience</w:t>
      </w:r>
      <w:r w:rsidRPr="001907F0">
        <w:t>, I participated in the Dementia Bus simulation</w:t>
      </w:r>
      <w:r w:rsidR="008A4350">
        <w:t>, conducted by Training 2 CARE (</w:t>
      </w:r>
      <w:r w:rsidR="008A4350" w:rsidRPr="008A4350">
        <w:t>2023)</w:t>
      </w:r>
      <w:r w:rsidRPr="001907F0">
        <w:t xml:space="preserve">. This </w:t>
      </w:r>
      <w:r>
        <w:t>Immersive experience gave me a brief encounter with the sensory and cognitive challenges. That</w:t>
      </w:r>
      <w:r w:rsidRPr="001907F0">
        <w:t xml:space="preserve"> people with dementia face. Tasks such as buttoning a shirt or understanding basic </w:t>
      </w:r>
      <w:r w:rsidR="009E02FD">
        <w:t>Instructions became frustrating and overwhelming. This immersive experience gave me a deep appreciation for the daily struggles experienced by individuals with dementia and the importance of</w:t>
      </w:r>
      <w:r w:rsidR="009E02FD" w:rsidRPr="009E02FD">
        <w:t xml:space="preserve"> empathy, patience, and tailored </w:t>
      </w:r>
      <w:r w:rsidR="009E02FD" w:rsidRPr="009E02FD">
        <w:t>support. Based</w:t>
      </w:r>
      <w:r w:rsidR="009E02FD" w:rsidRPr="009E02FD">
        <w:t xml:space="preserve"> on this experience, I strongly advocate that such simulations should be made accessible to all care workers and dementia support staff. By participating in this type of training, professionals can develop </w:t>
      </w:r>
      <w:r w:rsidR="009E02FD">
        <w:t>a more profound compassion, enhance their communication skills</w:t>
      </w:r>
      <w:r w:rsidR="009E02FD" w:rsidRPr="009E02FD">
        <w:t>, and deliver more sensitive and effective care.</w:t>
      </w:r>
    </w:p>
    <w:p w14:paraId="38E70F1D" w14:textId="77777777" w:rsidR="000F36B9" w:rsidRDefault="000F36B9" w:rsidP="000F36B9">
      <w:pPr>
        <w:pStyle w:val="Heading1"/>
        <w:ind w:left="0"/>
        <w:rPr>
          <w:rFonts w:cs="Arial"/>
          <w:sz w:val="28"/>
          <w:szCs w:val="28"/>
        </w:rPr>
      </w:pPr>
    </w:p>
    <w:p w14:paraId="15774944" w14:textId="589A777E" w:rsidR="00F91C8D" w:rsidRPr="00F91C8D" w:rsidRDefault="00F91C8D" w:rsidP="000F36B9">
      <w:pPr>
        <w:pStyle w:val="Heading1"/>
        <w:ind w:left="0"/>
        <w:rPr>
          <w:rFonts w:cs="Arial"/>
          <w:sz w:val="28"/>
          <w:szCs w:val="28"/>
        </w:rPr>
      </w:pPr>
      <w:bookmarkStart w:id="27" w:name="_Toc204256380"/>
      <w:r w:rsidRPr="00F91C8D">
        <w:rPr>
          <w:rFonts w:cs="Arial"/>
          <w:sz w:val="28"/>
          <w:szCs w:val="28"/>
        </w:rPr>
        <w:t>5.2.2 Recommendation 2: Improve Carer Support Services and Respite Provision</w:t>
      </w:r>
      <w:bookmarkEnd w:id="27"/>
    </w:p>
    <w:p w14:paraId="439BB5F1" w14:textId="77777777" w:rsidR="00F91C8D" w:rsidRDefault="00F91C8D" w:rsidP="00F91C8D"/>
    <w:p w14:paraId="1C427133" w14:textId="161F2358" w:rsidR="00F91C8D" w:rsidRPr="00F91C8D" w:rsidRDefault="00F91C8D" w:rsidP="00F91C8D">
      <w:r w:rsidRPr="00F91C8D">
        <w:t>Rationale:</w:t>
      </w:r>
    </w:p>
    <w:p w14:paraId="04605A4C" w14:textId="479FC9A0" w:rsidR="00F91C8D" w:rsidRPr="00F91C8D" w:rsidRDefault="00F91C8D" w:rsidP="00F91C8D">
      <w:r>
        <w:t>Carers are essential to dementia home-based care but face risks of burnout and social isolation (Diminic et al., 2019). Although the Care Act 2014 recognises carers' rights, they still have limited access to support. Providing more respite and mental health care can help sustain home care and delay institutionalisation (Wenborn et al., 2021).</w:t>
      </w:r>
    </w:p>
    <w:p w14:paraId="7F74BF31" w14:textId="5806C841" w:rsidR="00F91C8D" w:rsidRPr="00F91C8D" w:rsidRDefault="00F91C8D" w:rsidP="00F91C8D">
      <w:r w:rsidRPr="00F91C8D">
        <w:t>Barriers and Limitations</w:t>
      </w:r>
      <w:r>
        <w:t>:</w:t>
      </w:r>
    </w:p>
    <w:p w14:paraId="3A1713BB" w14:textId="2EE7D392" w:rsidR="00F91C8D" w:rsidRPr="00F91C8D" w:rsidRDefault="00FC69FE" w:rsidP="00F91C8D">
      <w:r>
        <w:t>Respite care is temporarily accessible across the UK due to financial difficulties, staffing shortages, and limited information for carers. Lack of awareness and feelings of guilt can prevent carers from seeking support.</w:t>
      </w:r>
    </w:p>
    <w:p w14:paraId="225CBE02" w14:textId="77777777" w:rsidR="00F91C8D" w:rsidRPr="00F91C8D" w:rsidRDefault="00F91C8D" w:rsidP="00F91C8D">
      <w:r w:rsidRPr="00F91C8D">
        <w:t>Breaking Down Barriers:</w:t>
      </w:r>
    </w:p>
    <w:p w14:paraId="1F80D6A6" w14:textId="40FA044C" w:rsidR="005C5E80" w:rsidRDefault="00F91C8D" w:rsidP="00F91C8D">
      <w:r>
        <w:t>Local commissioners should invest in short-break schemes and community-based day services, such as successful pilots under the Carers Action Plan 2018–2020. Increasing promotion through GP surgeries and social prescribing programmes can raise awareness. A policy refresher must prioritise carer support as a key performance indicator within NHS performance monitoring.</w:t>
      </w:r>
    </w:p>
    <w:p w14:paraId="6D61BEA1" w14:textId="77777777" w:rsidR="00F91C8D" w:rsidRPr="00F91C8D" w:rsidRDefault="00F91C8D" w:rsidP="00F91C8D"/>
    <w:p w14:paraId="2536A7A6" w14:textId="2D883416" w:rsidR="00F91C8D" w:rsidRPr="00F91C8D" w:rsidRDefault="00F91C8D" w:rsidP="00F91C8D">
      <w:pPr>
        <w:rPr>
          <w:rFonts w:eastAsia="Calibri Light" w:cs="Arial"/>
          <w:b/>
          <w:kern w:val="0"/>
          <w:sz w:val="28"/>
          <w:szCs w:val="28"/>
          <w:lang w:eastAsia="en-GB" w:bidi="en-GB"/>
          <w14:ligatures w14:val="none"/>
        </w:rPr>
      </w:pPr>
      <w:r w:rsidRPr="00F91C8D">
        <w:rPr>
          <w:rFonts w:eastAsia="Calibri Light" w:cs="Arial"/>
          <w:b/>
          <w:kern w:val="0"/>
          <w:sz w:val="28"/>
          <w:szCs w:val="28"/>
          <w:lang w:eastAsia="en-GB" w:bidi="en-GB"/>
          <w14:ligatures w14:val="none"/>
        </w:rPr>
        <w:t>5.2.3 Recommendation 3:</w:t>
      </w:r>
      <w:r>
        <w:rPr>
          <w:rFonts w:eastAsia="Calibri Light" w:cs="Arial"/>
          <w:b/>
          <w:kern w:val="0"/>
          <w:sz w:val="28"/>
          <w:szCs w:val="28"/>
          <w:lang w:eastAsia="en-GB" w:bidi="en-GB"/>
          <w14:ligatures w14:val="none"/>
        </w:rPr>
        <w:t xml:space="preserve"> </w:t>
      </w:r>
      <w:r w:rsidRPr="00F91C8D">
        <w:rPr>
          <w:rFonts w:eastAsia="Calibri Light" w:cs="Arial"/>
          <w:b/>
          <w:kern w:val="0"/>
          <w:sz w:val="28"/>
          <w:szCs w:val="28"/>
          <w:lang w:eastAsia="en-GB" w:bidi="en-GB"/>
          <w14:ligatures w14:val="none"/>
        </w:rPr>
        <w:t>Enhance Digital Service Integration Through Additional Investment in Assistive Technologies</w:t>
      </w:r>
    </w:p>
    <w:p w14:paraId="3CCA4586" w14:textId="77777777" w:rsidR="00F91C8D" w:rsidRPr="00F91C8D" w:rsidRDefault="00F91C8D" w:rsidP="00F91C8D">
      <w:pPr>
        <w:rPr>
          <w:lang w:eastAsia="en-GB" w:bidi="en-GB"/>
        </w:rPr>
      </w:pPr>
      <w:r w:rsidRPr="00F91C8D">
        <w:rPr>
          <w:lang w:eastAsia="en-GB" w:bidi="en-GB"/>
        </w:rPr>
        <w:t>Rationale:</w:t>
      </w:r>
    </w:p>
    <w:p w14:paraId="64F2BA10" w14:textId="1AB9C5DD" w:rsidR="00F91C8D" w:rsidRPr="00F91C8D" w:rsidRDefault="0045148C" w:rsidP="00F91C8D">
      <w:pPr>
        <w:rPr>
          <w:lang w:eastAsia="en-GB" w:bidi="en-GB"/>
        </w:rPr>
      </w:pPr>
      <w:r>
        <w:rPr>
          <w:lang w:eastAsia="en-GB" w:bidi="en-GB"/>
        </w:rPr>
        <w:t>Innovations in digital health have the potential to transform dementia care into more coordinated, efficient, and personalised services. However, there remains limited integration between health and social care, particularly for populations living at home (Shiells et al., 2020)</w:t>
      </w:r>
      <w:r w:rsidR="00FC69FE">
        <w:rPr>
          <w:lang w:eastAsia="en-GB" w:bidi="en-GB"/>
        </w:rPr>
        <w:t>, including technologies such as electronic patient records (EPR), telehealth, medication reminders, and GPS. Location</w:t>
      </w:r>
      <w:r>
        <w:rPr>
          <w:lang w:eastAsia="en-GB" w:bidi="en-GB"/>
        </w:rPr>
        <w:t xml:space="preserve"> tracking devices and ambient assistive living (AAL) technologies can support independence, safety, and real-time monitoring of care. This can lead to fewer inpatient admissions and promote continuity of care (NHS England, 2023). Increased funding for digital infrastructure and assistive technologies would enable shared, equitable access to such innovations.</w:t>
      </w:r>
    </w:p>
    <w:p w14:paraId="4ED8E7C1" w14:textId="65EBFF48" w:rsidR="00F91C8D" w:rsidRPr="00F91C8D" w:rsidRDefault="00F91C8D" w:rsidP="00F91C8D">
      <w:pPr>
        <w:rPr>
          <w:lang w:eastAsia="en-GB" w:bidi="en-GB"/>
        </w:rPr>
      </w:pPr>
      <w:r w:rsidRPr="00F91C8D">
        <w:rPr>
          <w:lang w:eastAsia="en-GB" w:bidi="en-GB"/>
        </w:rPr>
        <w:t>Limitations and Barriers</w:t>
      </w:r>
      <w:r>
        <w:rPr>
          <w:lang w:eastAsia="en-GB" w:bidi="en-GB"/>
        </w:rPr>
        <w:t>:</w:t>
      </w:r>
    </w:p>
    <w:p w14:paraId="129679BE" w14:textId="04BE8FA6" w:rsidR="00F91C8D" w:rsidRPr="00F91C8D" w:rsidRDefault="00FC69FE" w:rsidP="00F91C8D">
      <w:pPr>
        <w:rPr>
          <w:lang w:eastAsia="en-GB" w:bidi="en-GB"/>
        </w:rPr>
      </w:pPr>
      <w:r>
        <w:rPr>
          <w:lang w:eastAsia="en-GB" w:bidi="en-GB"/>
        </w:rPr>
        <w:t>Restrictions include low digital literacy among older people and carers, insufficient training for frontline staff, limited interoperability between NHS and local authority systems, and uneven investment across areas. Data privacy issues also impede adoption, especially in residential care.</w:t>
      </w:r>
    </w:p>
    <w:p w14:paraId="31C937AE" w14:textId="77777777" w:rsidR="00F91C8D" w:rsidRPr="00F91C8D" w:rsidRDefault="00F91C8D" w:rsidP="00F91C8D">
      <w:pPr>
        <w:rPr>
          <w:lang w:eastAsia="en-GB" w:bidi="en-GB"/>
        </w:rPr>
      </w:pPr>
      <w:r w:rsidRPr="00F91C8D">
        <w:rPr>
          <w:lang w:eastAsia="en-GB" w:bidi="en-GB"/>
        </w:rPr>
        <w:t>Removing Barriers:</w:t>
      </w:r>
    </w:p>
    <w:p w14:paraId="61CD43C9" w14:textId="4ED969ED" w:rsidR="00211184" w:rsidRPr="00F91C8D" w:rsidRDefault="00720BFF" w:rsidP="00F91C8D">
      <w:r>
        <w:rPr>
          <w:lang w:eastAsia="en-GB" w:bidi="en-GB"/>
        </w:rPr>
        <w:t xml:space="preserve">The UK government must invest in national digital transformation funding for social care to remove these barriers. This supports the NHS Long Term Plan (2019), which emphasises remote monitoring and digital access for patients with long-term conditions. Grant funding </w:t>
      </w:r>
      <w:r w:rsidR="00FC69FE">
        <w:rPr>
          <w:lang w:eastAsia="en-GB" w:bidi="en-GB"/>
        </w:rPr>
        <w:t>should be allocated to councils and care providers for the purchase and implementation of dementia-</w:t>
      </w:r>
      <w:r>
        <w:rPr>
          <w:lang w:eastAsia="en-GB" w:bidi="en-GB"/>
        </w:rPr>
        <w:t>friendly technology. Additionally, digital skills training should become compulsory for care workers and informal carers. Platforms like NHS Spine and the Local Health and Care Record (LHCR) need to be expanded to facilitate the seamless exchange of digital data. Multilateral pilots between NHS Trusts and technology companies can act as models for nationwide scaling.</w:t>
      </w:r>
    </w:p>
    <w:p w14:paraId="2D03B133" w14:textId="77777777" w:rsidR="00DC37A1" w:rsidRDefault="00DC37A1" w:rsidP="00211184">
      <w:pPr>
        <w:pStyle w:val="Heading1"/>
        <w:ind w:left="0"/>
        <w:rPr>
          <w:rFonts w:cs="Arial"/>
        </w:rPr>
      </w:pPr>
    </w:p>
    <w:p w14:paraId="1C5DCC20" w14:textId="77777777" w:rsidR="00DC37A1" w:rsidRDefault="00DC37A1" w:rsidP="00211184">
      <w:pPr>
        <w:pStyle w:val="Heading1"/>
        <w:ind w:left="0"/>
        <w:rPr>
          <w:rFonts w:cs="Arial"/>
        </w:rPr>
      </w:pPr>
    </w:p>
    <w:p w14:paraId="2622C3E8" w14:textId="77777777" w:rsidR="00DC37A1" w:rsidRDefault="00DC37A1" w:rsidP="00211184">
      <w:pPr>
        <w:pStyle w:val="Heading1"/>
        <w:ind w:left="0"/>
        <w:rPr>
          <w:rFonts w:cs="Arial"/>
        </w:rPr>
      </w:pPr>
    </w:p>
    <w:p w14:paraId="0E1B1C3F" w14:textId="77777777" w:rsidR="00DC37A1" w:rsidRDefault="00DC37A1" w:rsidP="00211184">
      <w:pPr>
        <w:pStyle w:val="Heading1"/>
        <w:ind w:left="0"/>
        <w:rPr>
          <w:rFonts w:cs="Arial"/>
        </w:rPr>
      </w:pPr>
    </w:p>
    <w:p w14:paraId="0D82245C" w14:textId="77777777" w:rsidR="004F75BD" w:rsidRDefault="004F75BD" w:rsidP="00211184">
      <w:pPr>
        <w:pStyle w:val="Heading1"/>
        <w:ind w:left="0"/>
        <w:rPr>
          <w:rFonts w:cs="Arial"/>
        </w:rPr>
      </w:pPr>
    </w:p>
    <w:p w14:paraId="6F93A6BB" w14:textId="77777777" w:rsidR="004F75BD" w:rsidRDefault="004F75BD" w:rsidP="00211184">
      <w:pPr>
        <w:pStyle w:val="Heading1"/>
        <w:ind w:left="0"/>
        <w:rPr>
          <w:rFonts w:cs="Arial"/>
        </w:rPr>
      </w:pPr>
    </w:p>
    <w:p w14:paraId="5EEBDCF6" w14:textId="77777777" w:rsidR="004F75BD" w:rsidRDefault="004F75BD" w:rsidP="00211184">
      <w:pPr>
        <w:pStyle w:val="Heading1"/>
        <w:ind w:left="0"/>
        <w:rPr>
          <w:rFonts w:cs="Arial"/>
        </w:rPr>
      </w:pPr>
    </w:p>
    <w:p w14:paraId="510BE004" w14:textId="77777777" w:rsidR="004F75BD" w:rsidRDefault="004F75BD" w:rsidP="00211184">
      <w:pPr>
        <w:pStyle w:val="Heading1"/>
        <w:ind w:left="0"/>
        <w:rPr>
          <w:rFonts w:cs="Arial"/>
        </w:rPr>
      </w:pPr>
    </w:p>
    <w:p w14:paraId="71EE0AD8" w14:textId="77777777" w:rsidR="004F75BD" w:rsidRDefault="004F75BD" w:rsidP="00211184">
      <w:pPr>
        <w:pStyle w:val="Heading1"/>
        <w:ind w:left="0"/>
        <w:rPr>
          <w:rFonts w:cs="Arial"/>
        </w:rPr>
      </w:pPr>
    </w:p>
    <w:p w14:paraId="71A8DFDD" w14:textId="77777777" w:rsidR="004F75BD" w:rsidRDefault="004F75BD" w:rsidP="00211184">
      <w:pPr>
        <w:pStyle w:val="Heading1"/>
        <w:ind w:left="0"/>
        <w:rPr>
          <w:rFonts w:cs="Arial"/>
        </w:rPr>
      </w:pPr>
    </w:p>
    <w:p w14:paraId="3D3F3B28" w14:textId="169FDE2D" w:rsidR="00211184" w:rsidRPr="00F91C8D" w:rsidRDefault="00211184" w:rsidP="00211184">
      <w:pPr>
        <w:pStyle w:val="Heading1"/>
        <w:ind w:left="0"/>
        <w:rPr>
          <w:rFonts w:cs="Arial"/>
        </w:rPr>
      </w:pPr>
      <w:bookmarkStart w:id="28" w:name="_Toc204256381"/>
      <w:r w:rsidRPr="00F91C8D">
        <w:rPr>
          <w:rFonts w:cs="Arial"/>
        </w:rPr>
        <w:t>CHAPTER 6 – References and Appendices</w:t>
      </w:r>
      <w:bookmarkEnd w:id="28"/>
      <w:r w:rsidRPr="00F91C8D">
        <w:rPr>
          <w:rFonts w:cs="Arial"/>
        </w:rPr>
        <w:t xml:space="preserve"> </w:t>
      </w:r>
    </w:p>
    <w:p w14:paraId="2EE69DD1" w14:textId="77777777" w:rsidR="00211184" w:rsidRPr="00F91C8D" w:rsidRDefault="00211184">
      <w:pPr>
        <w:rPr>
          <w:rFonts w:cs="Arial"/>
        </w:rPr>
      </w:pPr>
    </w:p>
    <w:p w14:paraId="5A925174" w14:textId="62892ECE" w:rsidR="00064270" w:rsidRDefault="00621776" w:rsidP="0015789A">
      <w:pPr>
        <w:pStyle w:val="Heading1"/>
        <w:ind w:left="0"/>
        <w:rPr>
          <w:rFonts w:cs="Arial"/>
          <w:sz w:val="28"/>
          <w:szCs w:val="28"/>
        </w:rPr>
      </w:pPr>
      <w:bookmarkStart w:id="29" w:name="_Toc204256382"/>
      <w:r w:rsidRPr="00F91C8D">
        <w:rPr>
          <w:rFonts w:cs="Arial"/>
          <w:sz w:val="28"/>
          <w:szCs w:val="28"/>
        </w:rPr>
        <w:t>6.1 – References</w:t>
      </w:r>
      <w:bookmarkEnd w:id="29"/>
      <w:r w:rsidRPr="00F91C8D">
        <w:rPr>
          <w:rFonts w:cs="Arial"/>
          <w:sz w:val="28"/>
          <w:szCs w:val="28"/>
        </w:rPr>
        <w:t xml:space="preserve"> </w:t>
      </w:r>
    </w:p>
    <w:p w14:paraId="776C8909" w14:textId="77777777" w:rsidR="00D63A22" w:rsidRPr="0015789A" w:rsidRDefault="00D63A22" w:rsidP="0015789A">
      <w:pPr>
        <w:pStyle w:val="Heading1"/>
        <w:ind w:left="0"/>
        <w:rPr>
          <w:rFonts w:cs="Arial"/>
          <w:sz w:val="28"/>
          <w:szCs w:val="28"/>
        </w:rPr>
      </w:pPr>
    </w:p>
    <w:p w14:paraId="6642453A" w14:textId="77777777" w:rsidR="00720BFF" w:rsidRPr="00720BFF" w:rsidRDefault="00720BFF" w:rsidP="00720BFF">
      <w:pPr>
        <w:rPr>
          <w:rFonts w:cs="Arial"/>
        </w:rPr>
      </w:pPr>
      <w:r w:rsidRPr="00720BFF">
        <w:rPr>
          <w:rFonts w:cs="Arial"/>
        </w:rPr>
        <w:t xml:space="preserve">Age UK (2023) </w:t>
      </w:r>
      <w:r w:rsidRPr="00720BFF">
        <w:rPr>
          <w:rFonts w:cs="Arial"/>
          <w:i/>
          <w:iCs/>
        </w:rPr>
        <w:t>Our Services</w:t>
      </w:r>
      <w:r w:rsidRPr="00720BFF">
        <w:rPr>
          <w:rFonts w:cs="Arial"/>
        </w:rPr>
        <w:t xml:space="preserve">. Available at: </w:t>
      </w:r>
      <w:hyperlink r:id="rId15" w:history="1">
        <w:r w:rsidRPr="00720BFF">
          <w:rPr>
            <w:rStyle w:val="Hyperlink"/>
            <w:rFonts w:cs="Arial"/>
          </w:rPr>
          <w:t>https://www.ageuk.org.uk/services/information-advice/</w:t>
        </w:r>
      </w:hyperlink>
      <w:r w:rsidRPr="00720BFF">
        <w:rPr>
          <w:rFonts w:cs="Arial"/>
        </w:rPr>
        <w:t xml:space="preserve"> (Accessed: 2</w:t>
      </w:r>
      <w:r w:rsidRPr="00720BFF">
        <w:rPr>
          <w:rFonts w:cs="Arial"/>
        </w:rPr>
        <w:t>0</w:t>
      </w:r>
      <w:r w:rsidRPr="00720BFF">
        <w:rPr>
          <w:rFonts w:cs="Arial"/>
        </w:rPr>
        <w:t xml:space="preserve"> July 2025).</w:t>
      </w:r>
    </w:p>
    <w:p w14:paraId="1766AA73" w14:textId="77777777" w:rsidR="00720BFF" w:rsidRPr="00720BFF" w:rsidRDefault="00720BFF" w:rsidP="00720BFF">
      <w:pPr>
        <w:rPr>
          <w:rFonts w:cs="Arial"/>
        </w:rPr>
      </w:pPr>
      <w:r w:rsidRPr="00720BFF">
        <w:rPr>
          <w:rFonts w:cs="Arial"/>
        </w:rPr>
        <w:t xml:space="preserve">Alzheimer’s Society (2023) </w:t>
      </w:r>
      <w:r w:rsidRPr="00720BFF">
        <w:rPr>
          <w:rStyle w:val="Emphasis"/>
          <w:rFonts w:cs="Arial"/>
        </w:rPr>
        <w:t>Dementia UK: Update</w:t>
      </w:r>
      <w:r w:rsidRPr="00720BFF">
        <w:rPr>
          <w:rFonts w:cs="Arial"/>
        </w:rPr>
        <w:t xml:space="preserve">. Available at: </w:t>
      </w:r>
      <w:hyperlink r:id="rId16" w:tgtFrame="_new" w:history="1">
        <w:r w:rsidRPr="00720BFF">
          <w:rPr>
            <w:rStyle w:val="Hyperlink"/>
            <w:rFonts w:cs="Arial"/>
          </w:rPr>
          <w:t>https://www.alzheimers.org.uk</w:t>
        </w:r>
      </w:hyperlink>
      <w:r w:rsidRPr="00720BFF">
        <w:rPr>
          <w:rFonts w:cs="Arial"/>
        </w:rPr>
        <w:t xml:space="preserve"> (Accessed: 8 April 2025).</w:t>
      </w:r>
    </w:p>
    <w:p w14:paraId="58A5B23A" w14:textId="77777777" w:rsidR="00720BFF" w:rsidRPr="00720BFF" w:rsidRDefault="00720BFF" w:rsidP="00720BFF">
      <w:pPr>
        <w:rPr>
          <w:rFonts w:cs="Arial"/>
        </w:rPr>
      </w:pPr>
      <w:r w:rsidRPr="00720BFF">
        <w:rPr>
          <w:rFonts w:cs="Arial"/>
        </w:rPr>
        <w:t xml:space="preserve">Andrews, J. (2020) </w:t>
      </w:r>
      <w:r w:rsidRPr="00720BFF">
        <w:rPr>
          <w:rFonts w:cs="Arial"/>
          <w:i/>
          <w:iCs/>
        </w:rPr>
        <w:t>Dementia : the one-stop guide : practical advice for families, professionals and people living with dementia and Alzheimer’s disease</w:t>
      </w:r>
      <w:r w:rsidRPr="00720BFF">
        <w:rPr>
          <w:rFonts w:cs="Arial"/>
        </w:rPr>
        <w:t>. Updated edition. London: Souvenir Press.</w:t>
      </w:r>
    </w:p>
    <w:p w14:paraId="67B33A9A" w14:textId="77777777" w:rsidR="00720BFF" w:rsidRPr="00720BFF" w:rsidRDefault="00720BFF" w:rsidP="00720BFF">
      <w:pPr>
        <w:rPr>
          <w:rFonts w:cs="Arial"/>
        </w:rPr>
      </w:pPr>
      <w:r w:rsidRPr="00720BFF">
        <w:rPr>
          <w:rFonts w:cs="Arial"/>
        </w:rPr>
        <w:t xml:space="preserve">Ballard, C. </w:t>
      </w:r>
      <w:r w:rsidRPr="00720BFF">
        <w:rPr>
          <w:rFonts w:cs="Arial"/>
          <w:i/>
          <w:iCs/>
        </w:rPr>
        <w:t>et al.</w:t>
      </w:r>
      <w:r w:rsidRPr="00720BFF">
        <w:rPr>
          <w:rFonts w:cs="Arial"/>
        </w:rPr>
        <w:t xml:space="preserve"> (2017) ‘Impact of antipsychotic review and non-pharmacological intervention on health-related quality of life in people with dementia living in care homes: WHELD-a factorial cluster randomised controlled trial: Impact of WHELD on quality of life in people with dementia’, </w:t>
      </w:r>
      <w:r w:rsidRPr="00720BFF">
        <w:rPr>
          <w:rFonts w:cs="Arial"/>
          <w:i/>
          <w:iCs/>
        </w:rPr>
        <w:t>International journal of geriatric psychiatry</w:t>
      </w:r>
      <w:r w:rsidRPr="00720BFF">
        <w:rPr>
          <w:rFonts w:cs="Arial"/>
        </w:rPr>
        <w:t xml:space="preserve">, 32(10), pp. 1094–1103. Available at: </w:t>
      </w:r>
      <w:hyperlink r:id="rId17" w:history="1">
        <w:r w:rsidRPr="00720BFF">
          <w:rPr>
            <w:rStyle w:val="Hyperlink"/>
            <w:rFonts w:cs="Arial"/>
          </w:rPr>
          <w:t>https://doi.org/10.1002/gps.4572</w:t>
        </w:r>
      </w:hyperlink>
      <w:r w:rsidRPr="00720BFF">
        <w:rPr>
          <w:rFonts w:cs="Arial"/>
        </w:rPr>
        <w:t>.</w:t>
      </w:r>
    </w:p>
    <w:p w14:paraId="61DC167C" w14:textId="77777777" w:rsidR="00720BFF" w:rsidRPr="00720BFF" w:rsidRDefault="00720BFF" w:rsidP="00720BFF">
      <w:pPr>
        <w:rPr>
          <w:rFonts w:eastAsia="MS Mincho" w:cs="Arial"/>
          <w:kern w:val="0"/>
          <w:lang w:eastAsia="en-US"/>
          <w14:ligatures w14:val="none"/>
        </w:rPr>
      </w:pPr>
      <w:r w:rsidRPr="00720BFF">
        <w:rPr>
          <w:rFonts w:cs="Arial"/>
        </w:rPr>
        <w:t xml:space="preserve">Ballard, C., Corbett, A., Orrell, M., Williams, G., Moniz-Cook, E., Romeo, R., Woods, B., Garrod, L. and Testad, I. (2018) ‘Impact of person-centred care training and person-centred activities on quality of life, agitation, and antipsychotic use in people with dementia living in nursing homes: A cluster-randomised controlled trial’, </w:t>
      </w:r>
      <w:r w:rsidRPr="00720BFF">
        <w:rPr>
          <w:rStyle w:val="Emphasis"/>
          <w:rFonts w:cs="Arial"/>
        </w:rPr>
        <w:t>PLoS Medicine</w:t>
      </w:r>
      <w:r w:rsidRPr="00720BFF">
        <w:rPr>
          <w:rFonts w:cs="Arial"/>
        </w:rPr>
        <w:t xml:space="preserve">, 15(2), pp. 1–13. </w:t>
      </w:r>
      <w:hyperlink r:id="rId18" w:history="1">
        <w:r w:rsidRPr="00720BFF">
          <w:rPr>
            <w:rFonts w:eastAsia="MS Mincho" w:cs="Arial"/>
            <w:color w:val="0000FF"/>
            <w:kern w:val="0"/>
            <w:u w:val="single"/>
            <w:lang w:eastAsia="en-US"/>
            <w14:ligatures w14:val="none"/>
          </w:rPr>
          <w:t>https://doi.org/10.1371/journal.pmed.1002500.</w:t>
        </w:r>
      </w:hyperlink>
    </w:p>
    <w:p w14:paraId="53578C81" w14:textId="77777777" w:rsidR="00720BFF" w:rsidRPr="00720BFF" w:rsidRDefault="00720BFF" w:rsidP="00720BFF">
      <w:pPr>
        <w:rPr>
          <w:rFonts w:cs="Arial"/>
        </w:rPr>
      </w:pPr>
      <w:r w:rsidRPr="00720BFF">
        <w:rPr>
          <w:rFonts w:cs="Arial"/>
          <w:lang w:val="fr-FR"/>
        </w:rPr>
        <w:t>Barrado</w:t>
      </w:r>
      <w:r w:rsidRPr="00720BFF">
        <w:rPr>
          <w:rFonts w:ascii="Cambria Math" w:hAnsi="Cambria Math" w:cs="Cambria Math"/>
          <w:lang w:val="fr-FR"/>
        </w:rPr>
        <w:t>‐</w:t>
      </w:r>
      <w:r w:rsidRPr="00720BFF">
        <w:rPr>
          <w:rFonts w:cs="Arial"/>
          <w:lang w:val="fr-FR"/>
        </w:rPr>
        <w:t xml:space="preserve">Martín, Y. </w:t>
      </w:r>
      <w:r w:rsidRPr="00720BFF">
        <w:rPr>
          <w:rFonts w:cs="Arial"/>
          <w:i/>
          <w:iCs/>
          <w:lang w:val="fr-FR"/>
        </w:rPr>
        <w:t>et al.</w:t>
      </w:r>
      <w:r w:rsidRPr="00720BFF">
        <w:rPr>
          <w:rFonts w:cs="Arial"/>
          <w:lang w:val="fr-FR"/>
        </w:rPr>
        <w:t xml:space="preserve"> </w:t>
      </w:r>
      <w:r w:rsidRPr="00720BFF">
        <w:rPr>
          <w:rFonts w:cs="Arial"/>
        </w:rPr>
        <w:t xml:space="preserve">(2021) ‘Nutrition and hydration for people living with dementia near the end of life: A qualitative systematic review’, </w:t>
      </w:r>
      <w:r w:rsidRPr="00720BFF">
        <w:rPr>
          <w:rFonts w:cs="Arial"/>
          <w:i/>
          <w:iCs/>
        </w:rPr>
        <w:t>Journal of advanced nursing</w:t>
      </w:r>
      <w:r w:rsidRPr="00720BFF">
        <w:rPr>
          <w:rFonts w:cs="Arial"/>
        </w:rPr>
        <w:t xml:space="preserve">, 77(2), pp. 664–680. Available at: </w:t>
      </w:r>
      <w:hyperlink r:id="rId19" w:history="1">
        <w:r w:rsidRPr="00720BFF">
          <w:rPr>
            <w:rStyle w:val="Hyperlink"/>
            <w:rFonts w:cs="Arial"/>
          </w:rPr>
          <w:t>https://doi.org/10.1111/jan.14654</w:t>
        </w:r>
      </w:hyperlink>
      <w:r w:rsidRPr="00720BFF">
        <w:rPr>
          <w:rFonts w:cs="Arial"/>
        </w:rPr>
        <w:t>.</w:t>
      </w:r>
    </w:p>
    <w:p w14:paraId="60B61B8F" w14:textId="77777777" w:rsidR="00720BFF" w:rsidRPr="00720BFF" w:rsidRDefault="00720BFF" w:rsidP="00720BFF">
      <w:pPr>
        <w:rPr>
          <w:rFonts w:cs="Arial"/>
        </w:rPr>
      </w:pPr>
      <w:r w:rsidRPr="00720BFF">
        <w:rPr>
          <w:rFonts w:cs="Arial"/>
        </w:rPr>
        <w:t xml:space="preserve">Basting, A. (2020) </w:t>
      </w:r>
      <w:r w:rsidRPr="00720BFF">
        <w:rPr>
          <w:rFonts w:cs="Arial"/>
          <w:i/>
          <w:iCs/>
        </w:rPr>
        <w:t>Creative Care : A Revolutionary Approach to Dementia and Elder Care.</w:t>
      </w:r>
      <w:r w:rsidRPr="00720BFF">
        <w:rPr>
          <w:rFonts w:cs="Arial"/>
        </w:rPr>
        <w:t xml:space="preserve"> 1st ed. Carol Stream: HarperCollins Publishers.</w:t>
      </w:r>
    </w:p>
    <w:p w14:paraId="454C2FF7" w14:textId="77777777" w:rsidR="00720BFF" w:rsidRPr="00720BFF" w:rsidRDefault="00720BFF" w:rsidP="00720BFF">
      <w:pPr>
        <w:rPr>
          <w:rFonts w:cs="Arial"/>
          <w:lang w:val="fr-FR"/>
        </w:rPr>
      </w:pPr>
      <w:r w:rsidRPr="00720BFF">
        <w:rPr>
          <w:rFonts w:cs="Arial"/>
          <w:lang w:val="fr-FR"/>
        </w:rPr>
        <w:t xml:space="preserve">Beerens, H.C. </w:t>
      </w:r>
      <w:r w:rsidRPr="00720BFF">
        <w:rPr>
          <w:rFonts w:cs="Arial"/>
          <w:i/>
          <w:iCs/>
          <w:lang w:val="fr-FR"/>
        </w:rPr>
        <w:t>et al.</w:t>
      </w:r>
      <w:r w:rsidRPr="00720BFF">
        <w:rPr>
          <w:rFonts w:cs="Arial"/>
          <w:lang w:val="fr-FR"/>
        </w:rPr>
        <w:t xml:space="preserve"> </w:t>
      </w:r>
      <w:r w:rsidRPr="00720BFF">
        <w:rPr>
          <w:rFonts w:cs="Arial"/>
        </w:rPr>
        <w:t xml:space="preserve">(2016) ‘The association between aspects of daily life and quality of life of people with dementia living in long-term care facilities: a momentary assessment study’, </w:t>
      </w:r>
      <w:r w:rsidRPr="00720BFF">
        <w:rPr>
          <w:rFonts w:cs="Arial"/>
          <w:i/>
          <w:iCs/>
        </w:rPr>
        <w:lastRenderedPageBreak/>
        <w:t>International psychogeriatrics</w:t>
      </w:r>
      <w:r w:rsidRPr="00720BFF">
        <w:rPr>
          <w:rFonts w:cs="Arial"/>
        </w:rPr>
        <w:t xml:space="preserve">, 28(8), pp. 1323–1331. </w:t>
      </w:r>
      <w:r w:rsidRPr="00720BFF">
        <w:rPr>
          <w:rFonts w:cs="Arial"/>
          <w:lang w:val="fr-FR"/>
        </w:rPr>
        <w:t xml:space="preserve">Available at: </w:t>
      </w:r>
      <w:hyperlink r:id="rId20" w:history="1">
        <w:r w:rsidRPr="00720BFF">
          <w:rPr>
            <w:rStyle w:val="Hyperlink"/>
            <w:rFonts w:cs="Arial"/>
            <w:lang w:val="fr-FR"/>
          </w:rPr>
          <w:t>https://doi.org/10.1017/S1041610216000466</w:t>
        </w:r>
      </w:hyperlink>
      <w:r w:rsidRPr="00720BFF">
        <w:rPr>
          <w:rFonts w:cs="Arial"/>
          <w:lang w:val="fr-FR"/>
        </w:rPr>
        <w:t>.</w:t>
      </w:r>
    </w:p>
    <w:p w14:paraId="16D8E99B" w14:textId="77777777" w:rsidR="00720BFF" w:rsidRPr="00720BFF" w:rsidRDefault="00720BFF" w:rsidP="00720BFF">
      <w:pPr>
        <w:rPr>
          <w:rFonts w:cs="Arial"/>
        </w:rPr>
      </w:pPr>
      <w:r w:rsidRPr="00720BFF">
        <w:rPr>
          <w:rFonts w:cs="Arial"/>
          <w:lang w:val="fr-FR"/>
        </w:rPr>
        <w:t xml:space="preserve">Bennett, S. </w:t>
      </w:r>
      <w:r w:rsidRPr="00720BFF">
        <w:rPr>
          <w:rFonts w:cs="Arial"/>
          <w:i/>
          <w:iCs/>
          <w:lang w:val="fr-FR"/>
        </w:rPr>
        <w:t>et al.</w:t>
      </w:r>
      <w:r w:rsidRPr="00720BFF">
        <w:rPr>
          <w:rFonts w:cs="Arial"/>
          <w:lang w:val="fr-FR"/>
        </w:rPr>
        <w:t xml:space="preserve"> </w:t>
      </w:r>
      <w:r w:rsidRPr="00720BFF">
        <w:rPr>
          <w:rFonts w:cs="Arial"/>
        </w:rPr>
        <w:t xml:space="preserve">(2019) ‘Occupational therapy for people with dementia and their family carers provided at home: a systematic review and meta-analysis’, </w:t>
      </w:r>
      <w:r w:rsidRPr="00720BFF">
        <w:rPr>
          <w:rFonts w:cs="Arial"/>
          <w:i/>
          <w:iCs/>
        </w:rPr>
        <w:t>BMJ open</w:t>
      </w:r>
      <w:r w:rsidRPr="00720BFF">
        <w:rPr>
          <w:rFonts w:cs="Arial"/>
        </w:rPr>
        <w:t xml:space="preserve">, 9(11), p. e026308. Available at: </w:t>
      </w:r>
      <w:hyperlink r:id="rId21" w:history="1">
        <w:r w:rsidRPr="00720BFF">
          <w:rPr>
            <w:rStyle w:val="Hyperlink"/>
            <w:rFonts w:cs="Arial"/>
          </w:rPr>
          <w:t>https://doi.org/10.1136/bmjopen-2018-026308</w:t>
        </w:r>
      </w:hyperlink>
      <w:r w:rsidRPr="00720BFF">
        <w:rPr>
          <w:rFonts w:cs="Arial"/>
        </w:rPr>
        <w:t>.</w:t>
      </w:r>
    </w:p>
    <w:p w14:paraId="1A868EBE" w14:textId="77777777" w:rsidR="00720BFF" w:rsidRPr="00720BFF" w:rsidRDefault="00720BFF" w:rsidP="00720BFF">
      <w:pPr>
        <w:rPr>
          <w:rFonts w:cs="Arial"/>
        </w:rPr>
      </w:pPr>
      <w:r w:rsidRPr="00720BFF">
        <w:rPr>
          <w:rFonts w:cs="Arial"/>
        </w:rPr>
        <w:t xml:space="preserve">Brooker, D. and Latham, I. (2015) </w:t>
      </w:r>
      <w:r w:rsidRPr="00720BFF">
        <w:rPr>
          <w:rStyle w:val="Emphasis"/>
          <w:rFonts w:cs="Arial"/>
        </w:rPr>
        <w:t>Person-Centred Dementia Care: Making Services Better with the VIPS Framework</w:t>
      </w:r>
      <w:r w:rsidRPr="00720BFF">
        <w:rPr>
          <w:rFonts w:cs="Arial"/>
        </w:rPr>
        <w:t>. 2nd edn. London: Jessica Kingsley Publishers.</w:t>
      </w:r>
    </w:p>
    <w:p w14:paraId="371EC1AD" w14:textId="77777777" w:rsidR="00720BFF" w:rsidRPr="00720BFF" w:rsidRDefault="00720BFF" w:rsidP="00720BFF">
      <w:pPr>
        <w:rPr>
          <w:rFonts w:cs="Arial"/>
        </w:rPr>
      </w:pPr>
      <w:r w:rsidRPr="00720BFF">
        <w:rPr>
          <w:rFonts w:cs="Arial"/>
        </w:rPr>
        <w:t xml:space="preserve">Brown, J. and Chen, S. (2020) ‘Challenges of dementia home care: A UK perspective’, </w:t>
      </w:r>
      <w:r w:rsidRPr="00720BFF">
        <w:rPr>
          <w:rStyle w:val="Emphasis"/>
          <w:rFonts w:cs="Arial"/>
        </w:rPr>
        <w:t>British Journal of Community Nursing</w:t>
      </w:r>
      <w:r w:rsidRPr="00720BFF">
        <w:rPr>
          <w:rFonts w:cs="Arial"/>
        </w:rPr>
        <w:t>, 25(3), pp. 115–121.</w:t>
      </w:r>
    </w:p>
    <w:p w14:paraId="31F8DB98" w14:textId="77777777" w:rsidR="00720BFF" w:rsidRPr="00720BFF" w:rsidRDefault="00720BFF" w:rsidP="00720BFF">
      <w:pPr>
        <w:rPr>
          <w:rFonts w:cs="Arial"/>
        </w:rPr>
      </w:pPr>
      <w:r w:rsidRPr="00720BFF">
        <w:rPr>
          <w:rFonts w:cs="Arial"/>
        </w:rPr>
        <w:t xml:space="preserve">Calkins, M.P., Kaup, M.L. and Abushousheh, A.M. (2022) ‘Evaluation of environmental assessment tools for settings for individuals living with dementia’, </w:t>
      </w:r>
      <w:r w:rsidRPr="00720BFF">
        <w:rPr>
          <w:rFonts w:cs="Arial"/>
          <w:i/>
          <w:iCs/>
        </w:rPr>
        <w:t>Alzheimer’s &amp; dementia : translational research &amp; clinical interventions</w:t>
      </w:r>
      <w:r w:rsidRPr="00720BFF">
        <w:rPr>
          <w:rFonts w:cs="Arial"/>
        </w:rPr>
        <w:t xml:space="preserve">, 8(1), pp. e12353-n/a. Available at: </w:t>
      </w:r>
      <w:hyperlink r:id="rId22" w:history="1">
        <w:r w:rsidRPr="00720BFF">
          <w:rPr>
            <w:rStyle w:val="Hyperlink"/>
            <w:rFonts w:cs="Arial"/>
          </w:rPr>
          <w:t>https://doi.org/10.1002/trc2.12353</w:t>
        </w:r>
      </w:hyperlink>
      <w:r w:rsidRPr="00720BFF">
        <w:rPr>
          <w:rFonts w:cs="Arial"/>
        </w:rPr>
        <w:t>.</w:t>
      </w:r>
    </w:p>
    <w:p w14:paraId="330D3694" w14:textId="77777777" w:rsidR="00720BFF" w:rsidRPr="00720BFF" w:rsidRDefault="00720BFF" w:rsidP="00720BFF">
      <w:pPr>
        <w:rPr>
          <w:rFonts w:cs="Arial"/>
        </w:rPr>
      </w:pPr>
      <w:r w:rsidRPr="00720BFF">
        <w:rPr>
          <w:rFonts w:cs="Arial"/>
        </w:rPr>
        <w:t xml:space="preserve">Carers UK (2022) </w:t>
      </w:r>
      <w:r w:rsidRPr="00720BFF">
        <w:rPr>
          <w:rStyle w:val="Emphasis"/>
          <w:rFonts w:cs="Arial"/>
        </w:rPr>
        <w:t>Caring Behind Closed Doors</w:t>
      </w:r>
      <w:r w:rsidRPr="00720BFF">
        <w:rPr>
          <w:rFonts w:cs="Arial"/>
        </w:rPr>
        <w:t xml:space="preserve">. Available at: </w:t>
      </w:r>
      <w:hyperlink r:id="rId23" w:tgtFrame="_new" w:history="1">
        <w:r w:rsidRPr="00720BFF">
          <w:rPr>
            <w:rStyle w:val="Hyperlink"/>
            <w:rFonts w:cs="Arial"/>
          </w:rPr>
          <w:t>https://www.carersuk.org</w:t>
        </w:r>
      </w:hyperlink>
      <w:r w:rsidRPr="00720BFF">
        <w:rPr>
          <w:rFonts w:cs="Arial"/>
        </w:rPr>
        <w:t xml:space="preserve"> (Accessed: 8 April 2025).</w:t>
      </w:r>
    </w:p>
    <w:p w14:paraId="1CF395DF" w14:textId="77777777" w:rsidR="00720BFF" w:rsidRPr="00720BFF" w:rsidRDefault="00720BFF" w:rsidP="00720BFF">
      <w:pPr>
        <w:rPr>
          <w:rFonts w:cs="Arial"/>
        </w:rPr>
      </w:pPr>
      <w:r w:rsidRPr="00720BFF">
        <w:rPr>
          <w:rFonts w:cs="Arial"/>
        </w:rPr>
        <w:t>Ciofi, J. (2021) ‘Book Review: Creative Care: A Revolutionary Approach to Dementia and Elder Care’, </w:t>
      </w:r>
      <w:r w:rsidRPr="00720BFF">
        <w:rPr>
          <w:rFonts w:cs="Arial"/>
          <w:i/>
          <w:iCs/>
        </w:rPr>
        <w:t>Anthropology &amp; aging</w:t>
      </w:r>
      <w:r w:rsidRPr="00720BFF">
        <w:rPr>
          <w:rFonts w:cs="Arial"/>
        </w:rPr>
        <w:t xml:space="preserve">. University Library System, University of Pittsburgh, pp. 158–160. Available at: </w:t>
      </w:r>
      <w:hyperlink r:id="rId24" w:history="1">
        <w:r w:rsidRPr="00720BFF">
          <w:rPr>
            <w:rStyle w:val="Hyperlink"/>
            <w:rFonts w:cs="Arial"/>
          </w:rPr>
          <w:t>https://doi.org/10.5195/aa.2021.341</w:t>
        </w:r>
      </w:hyperlink>
      <w:r w:rsidRPr="00720BFF">
        <w:rPr>
          <w:rFonts w:cs="Arial"/>
        </w:rPr>
        <w:t>.</w:t>
      </w:r>
    </w:p>
    <w:p w14:paraId="47C95824" w14:textId="77777777" w:rsidR="00720BFF" w:rsidRPr="00720BFF" w:rsidRDefault="00720BFF" w:rsidP="00720BFF">
      <w:pPr>
        <w:rPr>
          <w:rFonts w:cs="Arial"/>
        </w:rPr>
      </w:pPr>
      <w:r w:rsidRPr="00720BFF">
        <w:rPr>
          <w:rFonts w:cs="Arial"/>
        </w:rPr>
        <w:t xml:space="preserve">CQC- People with Dementia  </w:t>
      </w:r>
      <w:hyperlink r:id="rId25" w:history="1">
        <w:r w:rsidRPr="00720BFF">
          <w:rPr>
            <w:rStyle w:val="Hyperlink"/>
            <w:rFonts w:cs="Arial"/>
          </w:rPr>
          <w:t>20160505 CQChttps://www.cqc.org.uk/sites/default/files/20160505%20CQC_EOLC_Dementia_FINAL_2.pdf_EOLC_Dementia_FINAL_2.pdf</w:t>
        </w:r>
      </w:hyperlink>
      <w:r w:rsidRPr="00720BFF">
        <w:rPr>
          <w:rFonts w:cs="Arial"/>
        </w:rPr>
        <w:t xml:space="preserve"> (Accessed: 18 July 2025).</w:t>
      </w:r>
    </w:p>
    <w:p w14:paraId="12472589" w14:textId="77777777" w:rsidR="00720BFF" w:rsidRPr="00720BFF" w:rsidRDefault="00720BFF" w:rsidP="00720BFF">
      <w:pPr>
        <w:rPr>
          <w:rFonts w:cs="Arial"/>
        </w:rPr>
      </w:pPr>
      <w:r w:rsidRPr="00720BFF">
        <w:rPr>
          <w:rFonts w:cs="Arial"/>
          <w:lang w:val="fr-FR"/>
        </w:rPr>
        <w:t xml:space="preserve">Cross, D.A. </w:t>
      </w:r>
      <w:r w:rsidRPr="00720BFF">
        <w:rPr>
          <w:rFonts w:cs="Arial"/>
          <w:i/>
          <w:iCs/>
          <w:lang w:val="fr-FR"/>
        </w:rPr>
        <w:t>et al.</w:t>
      </w:r>
      <w:r w:rsidRPr="00720BFF">
        <w:rPr>
          <w:rFonts w:cs="Arial"/>
          <w:lang w:val="fr-FR"/>
        </w:rPr>
        <w:t xml:space="preserve"> </w:t>
      </w:r>
      <w:r w:rsidRPr="00720BFF">
        <w:rPr>
          <w:rFonts w:cs="Arial"/>
        </w:rPr>
        <w:t xml:space="preserve">(2024) ‘Access to preferred skilled nursing facilities: Transitional care pathways for patients with Alzheimer’s disease and related dementias’, </w:t>
      </w:r>
      <w:r w:rsidRPr="00720BFF">
        <w:rPr>
          <w:rFonts w:cs="Arial"/>
          <w:i/>
          <w:iCs/>
        </w:rPr>
        <w:t>Health services research</w:t>
      </w:r>
      <w:r w:rsidRPr="00720BFF">
        <w:rPr>
          <w:rFonts w:cs="Arial"/>
        </w:rPr>
        <w:t xml:space="preserve">, 59(2), pp. e14263-n/a. Available at: </w:t>
      </w:r>
      <w:hyperlink r:id="rId26" w:history="1">
        <w:r w:rsidRPr="00720BFF">
          <w:rPr>
            <w:rStyle w:val="Hyperlink"/>
            <w:rFonts w:cs="Arial"/>
          </w:rPr>
          <w:t>https://doi.org/10.1111/1475-6773.14263</w:t>
        </w:r>
      </w:hyperlink>
      <w:r w:rsidRPr="00720BFF">
        <w:rPr>
          <w:rFonts w:cs="Arial"/>
        </w:rPr>
        <w:t>.</w:t>
      </w:r>
    </w:p>
    <w:p w14:paraId="4E77C50C" w14:textId="77777777" w:rsidR="00720BFF" w:rsidRPr="00720BFF" w:rsidRDefault="00720BFF" w:rsidP="00720BFF">
      <w:pPr>
        <w:rPr>
          <w:rFonts w:cs="Arial"/>
        </w:rPr>
      </w:pPr>
      <w:r w:rsidRPr="00720BFF">
        <w:rPr>
          <w:rFonts w:cs="Arial"/>
          <w:lang w:val="fr-FR"/>
        </w:rPr>
        <w:t xml:space="preserve">D’Cunha, N.M. </w:t>
      </w:r>
      <w:r w:rsidRPr="00720BFF">
        <w:rPr>
          <w:rFonts w:cs="Arial"/>
          <w:i/>
          <w:iCs/>
          <w:lang w:val="fr-FR"/>
        </w:rPr>
        <w:t>et al.</w:t>
      </w:r>
      <w:r w:rsidRPr="00720BFF">
        <w:rPr>
          <w:rFonts w:cs="Arial"/>
          <w:lang w:val="fr-FR"/>
        </w:rPr>
        <w:t xml:space="preserve"> </w:t>
      </w:r>
      <w:r w:rsidRPr="00720BFF">
        <w:rPr>
          <w:rFonts w:cs="Arial"/>
        </w:rPr>
        <w:t xml:space="preserve">(2023) ‘“It’s like home” - A small-scale dementia care home and the use of technology: A qualitative study’, </w:t>
      </w:r>
      <w:r w:rsidRPr="00720BFF">
        <w:rPr>
          <w:rFonts w:cs="Arial"/>
          <w:i/>
          <w:iCs/>
        </w:rPr>
        <w:t>Journal of advanced nursing</w:t>
      </w:r>
      <w:r w:rsidRPr="00720BFF">
        <w:rPr>
          <w:rFonts w:cs="Arial"/>
        </w:rPr>
        <w:t xml:space="preserve">, 79(10), pp. 3848–3865. Available at: </w:t>
      </w:r>
      <w:hyperlink r:id="rId27" w:history="1">
        <w:r w:rsidRPr="00720BFF">
          <w:rPr>
            <w:rStyle w:val="Hyperlink"/>
            <w:rFonts w:cs="Arial"/>
          </w:rPr>
          <w:t>https://doi.org/10.1111/jan.15728</w:t>
        </w:r>
      </w:hyperlink>
      <w:r w:rsidRPr="00720BFF">
        <w:rPr>
          <w:rFonts w:cs="Arial"/>
        </w:rPr>
        <w:t>.</w:t>
      </w:r>
    </w:p>
    <w:p w14:paraId="63CF33C0" w14:textId="77777777" w:rsidR="00720BFF" w:rsidRPr="00720BFF" w:rsidRDefault="00720BFF" w:rsidP="00720BFF">
      <w:pPr>
        <w:rPr>
          <w:rFonts w:cs="Arial"/>
        </w:rPr>
      </w:pPr>
      <w:r w:rsidRPr="00720BFF">
        <w:rPr>
          <w:rFonts w:cs="Arial"/>
        </w:rPr>
        <w:t xml:space="preserve">Dementia UK (2024) </w:t>
      </w:r>
      <w:r w:rsidRPr="00720BFF">
        <w:rPr>
          <w:rFonts w:cs="Arial"/>
          <w:i/>
          <w:iCs/>
        </w:rPr>
        <w:t>About Admiral Nurses</w:t>
      </w:r>
      <w:r w:rsidRPr="00720BFF">
        <w:rPr>
          <w:rFonts w:cs="Arial"/>
        </w:rPr>
        <w:t xml:space="preserve">. Available at: </w:t>
      </w:r>
      <w:hyperlink r:id="rId28" w:history="1">
        <w:r w:rsidRPr="00720BFF">
          <w:rPr>
            <w:rStyle w:val="Hyperlink"/>
            <w:rFonts w:cs="Arial"/>
          </w:rPr>
          <w:t>https://www.dementiauk.org/get-support/admiral-nursing/</w:t>
        </w:r>
      </w:hyperlink>
      <w:r w:rsidRPr="00720BFF">
        <w:rPr>
          <w:rFonts w:cs="Arial"/>
        </w:rPr>
        <w:t xml:space="preserve"> (Accessed: 24 July 2025).</w:t>
      </w:r>
    </w:p>
    <w:p w14:paraId="1F013727" w14:textId="77777777" w:rsidR="00720BFF" w:rsidRPr="00720BFF" w:rsidRDefault="00720BFF" w:rsidP="00720BFF">
      <w:pPr>
        <w:rPr>
          <w:rFonts w:cs="Arial"/>
        </w:rPr>
      </w:pPr>
      <w:r w:rsidRPr="00720BFF">
        <w:rPr>
          <w:rFonts w:cs="Arial"/>
        </w:rPr>
        <w:t xml:space="preserve">Department of Health (2009) </w:t>
      </w:r>
      <w:r w:rsidRPr="00720BFF">
        <w:rPr>
          <w:rFonts w:cs="Arial"/>
          <w:i/>
          <w:iCs/>
        </w:rPr>
        <w:t>Living Well with Dementia: A National Dementia Strategy</w:t>
      </w:r>
      <w:r w:rsidRPr="00720BFF">
        <w:rPr>
          <w:rFonts w:cs="Arial"/>
        </w:rPr>
        <w:t xml:space="preserve">. London: HMSO. Available at: </w:t>
      </w:r>
      <w:hyperlink r:id="rId29" w:history="1">
        <w:r w:rsidRPr="00720BFF">
          <w:rPr>
            <w:rStyle w:val="Hyperlink"/>
            <w:rFonts w:cs="Arial"/>
          </w:rPr>
          <w:t>https://www.gov.uk/government/publications/living-well-with-dementia-a-national-dementia-strategy</w:t>
        </w:r>
      </w:hyperlink>
      <w:r w:rsidRPr="00720BFF">
        <w:rPr>
          <w:rFonts w:cs="Arial"/>
        </w:rPr>
        <w:t xml:space="preserve"> (Accessed: 24 July 2025).</w:t>
      </w:r>
    </w:p>
    <w:p w14:paraId="0CAD83F3" w14:textId="77777777" w:rsidR="00720BFF" w:rsidRPr="00720BFF" w:rsidRDefault="00720BFF" w:rsidP="00720BFF">
      <w:pPr>
        <w:rPr>
          <w:rFonts w:cs="Arial"/>
        </w:rPr>
      </w:pPr>
      <w:r w:rsidRPr="00720BFF">
        <w:rPr>
          <w:rFonts w:cs="Arial"/>
        </w:rPr>
        <w:lastRenderedPageBreak/>
        <w:t xml:space="preserve">Department of Health and Social Care (2023) </w:t>
      </w:r>
      <w:r w:rsidRPr="00720BFF">
        <w:rPr>
          <w:rStyle w:val="Emphasis"/>
          <w:rFonts w:cs="Arial"/>
        </w:rPr>
        <w:t>People at the Heart of Care: Adult Social Care Reform White Paper</w:t>
      </w:r>
      <w:r w:rsidRPr="00720BFF">
        <w:rPr>
          <w:rFonts w:cs="Arial"/>
        </w:rPr>
        <w:t xml:space="preserve">. Available at: </w:t>
      </w:r>
      <w:hyperlink r:id="rId30" w:history="1">
        <w:r w:rsidRPr="00720BFF">
          <w:rPr>
            <w:rStyle w:val="Hyperlink"/>
            <w:rFonts w:cs="Arial"/>
          </w:rPr>
          <w:t>https://www.gov.uk/government/publications</w:t>
        </w:r>
      </w:hyperlink>
      <w:r w:rsidRPr="00720BFF">
        <w:rPr>
          <w:rFonts w:cs="Arial"/>
        </w:rPr>
        <w:t xml:space="preserve"> (Accessed: 8 April 2025).</w:t>
      </w:r>
    </w:p>
    <w:p w14:paraId="77ABBE44" w14:textId="77777777" w:rsidR="00720BFF" w:rsidRPr="00720BFF" w:rsidRDefault="00720BFF" w:rsidP="00720BFF">
      <w:pPr>
        <w:rPr>
          <w:rFonts w:cs="Arial"/>
        </w:rPr>
      </w:pPr>
      <w:r w:rsidRPr="00720BFF">
        <w:rPr>
          <w:rFonts w:cs="Arial"/>
          <w:lang w:val="fr-FR"/>
        </w:rPr>
        <w:t xml:space="preserve">Dichter, M.N. </w:t>
      </w:r>
      <w:r w:rsidRPr="00720BFF">
        <w:rPr>
          <w:rFonts w:cs="Arial"/>
          <w:i/>
          <w:iCs/>
          <w:lang w:val="fr-FR"/>
        </w:rPr>
        <w:t>et al.</w:t>
      </w:r>
      <w:r w:rsidRPr="00720BFF">
        <w:rPr>
          <w:rFonts w:cs="Arial"/>
          <w:lang w:val="fr-FR"/>
        </w:rPr>
        <w:t xml:space="preserve"> </w:t>
      </w:r>
      <w:r w:rsidRPr="00720BFF">
        <w:rPr>
          <w:rFonts w:cs="Arial"/>
        </w:rPr>
        <w:t xml:space="preserve">(2024) ‘Intervention for sleep problems in nursing home residents with dementia: a cluster-randomized study’, </w:t>
      </w:r>
      <w:r w:rsidRPr="00720BFF">
        <w:rPr>
          <w:rFonts w:cs="Arial"/>
          <w:i/>
          <w:iCs/>
        </w:rPr>
        <w:t>International psychogeriatrics</w:t>
      </w:r>
      <w:r w:rsidRPr="00720BFF">
        <w:rPr>
          <w:rFonts w:cs="Arial"/>
        </w:rPr>
        <w:t xml:space="preserve">, 36(10), p. 965. Available at: </w:t>
      </w:r>
      <w:hyperlink r:id="rId31" w:history="1">
        <w:r w:rsidRPr="00720BFF">
          <w:rPr>
            <w:rStyle w:val="Hyperlink"/>
            <w:rFonts w:cs="Arial"/>
          </w:rPr>
          <w:t>https://doi.org/10.1017/S1041610223004489</w:t>
        </w:r>
      </w:hyperlink>
      <w:r w:rsidRPr="00720BFF">
        <w:rPr>
          <w:rFonts w:cs="Arial"/>
        </w:rPr>
        <w:t>.</w:t>
      </w:r>
    </w:p>
    <w:p w14:paraId="12AF315D" w14:textId="64178A13" w:rsidR="00720BFF" w:rsidRPr="00720BFF" w:rsidRDefault="00720BFF" w:rsidP="00720BFF">
      <w:pPr>
        <w:rPr>
          <w:rFonts w:cs="Arial"/>
        </w:rPr>
      </w:pPr>
      <w:r w:rsidRPr="00720BFF">
        <w:rPr>
          <w:rFonts w:cs="Arial"/>
        </w:rPr>
        <w:t xml:space="preserve">Diminic, S., Hielscher, E. and Harris, M.G. (2019) ‘Employment disadvantage and associated factors for informal carers of adults with mental illness: are they like other disability carers?’, </w:t>
      </w:r>
      <w:r w:rsidRPr="00720BFF">
        <w:rPr>
          <w:rFonts w:cs="Arial"/>
          <w:i/>
          <w:iCs/>
        </w:rPr>
        <w:t>BMC public health</w:t>
      </w:r>
      <w:r w:rsidRPr="00720BFF">
        <w:rPr>
          <w:rFonts w:cs="Arial"/>
        </w:rPr>
        <w:t xml:space="preserve">, 19(1). </w:t>
      </w:r>
      <w:hyperlink r:id="rId32" w:history="1">
        <w:r w:rsidRPr="00720BFF">
          <w:rPr>
            <w:rStyle w:val="Hyperlink"/>
            <w:rFonts w:cs="Arial"/>
          </w:rPr>
          <w:t>Available at: https://doi.org/10.1186/s12889-019-6822-1</w:t>
        </w:r>
      </w:hyperlink>
      <w:r w:rsidRPr="00720BFF">
        <w:rPr>
          <w:rFonts w:cs="Arial"/>
        </w:rPr>
        <w:t>.</w:t>
      </w:r>
    </w:p>
    <w:p w14:paraId="66057D99" w14:textId="77777777" w:rsidR="00720BFF" w:rsidRPr="00720BFF" w:rsidRDefault="00720BFF" w:rsidP="00720BFF">
      <w:pPr>
        <w:rPr>
          <w:rFonts w:cs="Arial"/>
        </w:rPr>
      </w:pPr>
      <w:r w:rsidRPr="00720BFF">
        <w:rPr>
          <w:rFonts w:cs="Arial"/>
        </w:rPr>
        <w:t xml:space="preserve">Diminic, S., Molodynski, A., Hossain, M.D., Sharan, P., Puras, D. and Thornicroft, G. (2019) ‘Reducing the treatment gap for mental disorders: A WPA taskforce paper’, </w:t>
      </w:r>
      <w:r w:rsidRPr="00720BFF">
        <w:rPr>
          <w:rStyle w:val="Emphasis"/>
          <w:rFonts w:cs="Arial"/>
        </w:rPr>
        <w:t>World Psychiatry</w:t>
      </w:r>
      <w:r w:rsidRPr="00720BFF">
        <w:rPr>
          <w:rFonts w:cs="Arial"/>
        </w:rPr>
        <w:t>, 18(1), pp. 30–40.</w:t>
      </w:r>
    </w:p>
    <w:p w14:paraId="7BB034FD" w14:textId="77777777" w:rsidR="00720BFF" w:rsidRPr="00720BFF" w:rsidRDefault="00720BFF" w:rsidP="00720BFF">
      <w:pPr>
        <w:rPr>
          <w:rFonts w:cs="Arial"/>
        </w:rPr>
      </w:pPr>
      <w:r w:rsidRPr="00720BFF">
        <w:rPr>
          <w:rFonts w:cs="Arial"/>
        </w:rPr>
        <w:t xml:space="preserve">Eaglestone, G. </w:t>
      </w:r>
      <w:r w:rsidRPr="00720BFF">
        <w:rPr>
          <w:rFonts w:cs="Arial"/>
          <w:i/>
          <w:iCs/>
        </w:rPr>
        <w:t>et al.</w:t>
      </w:r>
      <w:r w:rsidRPr="00720BFF">
        <w:rPr>
          <w:rFonts w:cs="Arial"/>
        </w:rPr>
        <w:t xml:space="preserve"> (2023) ‘Cost-Effectiveness of Non-pharmacological Interventions for Mild Cognitive Impairment and Dementia: A Systematic Review of Economic Evaluations and a Review of Reviews’, </w:t>
      </w:r>
      <w:r w:rsidRPr="00720BFF">
        <w:rPr>
          <w:rFonts w:cs="Arial"/>
          <w:i/>
          <w:iCs/>
        </w:rPr>
        <w:t>PharmacoEconomics - open</w:t>
      </w:r>
      <w:r w:rsidRPr="00720BFF">
        <w:rPr>
          <w:rFonts w:cs="Arial"/>
        </w:rPr>
        <w:t xml:space="preserve">, 7(6), pp. 887–914. Available at: </w:t>
      </w:r>
      <w:hyperlink r:id="rId33" w:history="1">
        <w:r w:rsidRPr="00720BFF">
          <w:rPr>
            <w:rStyle w:val="Hyperlink"/>
            <w:rFonts w:cs="Arial"/>
          </w:rPr>
          <w:t>https://doi.org/10.1007/s41669-023-00440-z</w:t>
        </w:r>
      </w:hyperlink>
      <w:r w:rsidRPr="00720BFF">
        <w:rPr>
          <w:rFonts w:cs="Arial"/>
        </w:rPr>
        <w:t>.</w:t>
      </w:r>
    </w:p>
    <w:p w14:paraId="31EDC905" w14:textId="77777777" w:rsidR="00720BFF" w:rsidRPr="00720BFF" w:rsidRDefault="00720BFF" w:rsidP="00720BFF">
      <w:pPr>
        <w:rPr>
          <w:rFonts w:cs="Arial"/>
        </w:rPr>
      </w:pPr>
      <w:r w:rsidRPr="00720BFF">
        <w:rPr>
          <w:rFonts w:cs="Arial"/>
          <w:lang w:val="fr-FR"/>
        </w:rPr>
        <w:t xml:space="preserve">European Commission (2021) </w:t>
      </w:r>
      <w:r w:rsidRPr="00720BFF">
        <w:rPr>
          <w:rStyle w:val="Emphasis"/>
          <w:rFonts w:cs="Arial"/>
          <w:lang w:val="fr-FR"/>
        </w:rPr>
        <w:t>EU Strategy on Dementia</w:t>
      </w:r>
      <w:r w:rsidRPr="00720BFF">
        <w:rPr>
          <w:rFonts w:cs="Arial"/>
          <w:lang w:val="fr-FR"/>
        </w:rPr>
        <w:t xml:space="preserve">. </w:t>
      </w:r>
      <w:r w:rsidRPr="00720BFF">
        <w:rPr>
          <w:rFonts w:cs="Arial"/>
        </w:rPr>
        <w:t xml:space="preserve">Available at: </w:t>
      </w:r>
      <w:hyperlink r:id="rId34" w:tgtFrame="_new" w:history="1">
        <w:r w:rsidRPr="00720BFF">
          <w:rPr>
            <w:rStyle w:val="Hyperlink"/>
            <w:rFonts w:cs="Arial"/>
          </w:rPr>
          <w:t>https://ec.europa.eu</w:t>
        </w:r>
      </w:hyperlink>
      <w:r w:rsidRPr="00720BFF">
        <w:rPr>
          <w:rFonts w:cs="Arial"/>
        </w:rPr>
        <w:t xml:space="preserve"> (Accessed: 8 April 2025).</w:t>
      </w:r>
    </w:p>
    <w:p w14:paraId="0A458914" w14:textId="5F3BB930" w:rsidR="00720BFF" w:rsidRPr="00720BFF" w:rsidRDefault="00720BFF" w:rsidP="00720BFF">
      <w:pPr>
        <w:rPr>
          <w:rFonts w:eastAsia="Times New Roman" w:cs="Arial"/>
        </w:rPr>
      </w:pPr>
      <w:r w:rsidRPr="00720BFF">
        <w:rPr>
          <w:rFonts w:eastAsia="Times New Roman" w:cs="Arial"/>
        </w:rPr>
        <w:t xml:space="preserve">Gately, M.E., Trudeau, S.A. and Moo, L.R. (2019) ‘In-Home Video Telehealth for Dementia Management: Implications for Rehabilitation’, </w:t>
      </w:r>
      <w:r w:rsidRPr="00720BFF">
        <w:rPr>
          <w:rFonts w:eastAsia="Times New Roman" w:cs="Arial"/>
          <w:i/>
          <w:iCs/>
        </w:rPr>
        <w:t>Current geriatrics reports</w:t>
      </w:r>
      <w:r w:rsidRPr="00720BFF">
        <w:rPr>
          <w:rFonts w:eastAsia="Times New Roman" w:cs="Arial"/>
        </w:rPr>
        <w:t>, 8(3), pp. 239–249. Available at</w:t>
      </w:r>
      <w:hyperlink r:id="rId35" w:history="1">
        <w:r w:rsidRPr="00720BFF">
          <w:rPr>
            <w:rStyle w:val="Hyperlink"/>
            <w:rFonts w:eastAsia="Times New Roman" w:cs="Arial"/>
            <w:kern w:val="0"/>
            <w:lang w:eastAsia="en-GB"/>
            <w14:ligatures w14:val="none"/>
          </w:rPr>
          <w:t>: https://doi.org/10.1007/s13670-019-00297-3.</w:t>
        </w:r>
      </w:hyperlink>
    </w:p>
    <w:p w14:paraId="28A889F3" w14:textId="77777777" w:rsidR="00720BFF" w:rsidRPr="00720BFF" w:rsidRDefault="00720BFF" w:rsidP="00720BFF">
      <w:pPr>
        <w:rPr>
          <w:rFonts w:cs="Arial"/>
        </w:rPr>
      </w:pPr>
      <w:r w:rsidRPr="00720BFF">
        <w:rPr>
          <w:rFonts w:cs="Arial"/>
        </w:rPr>
        <w:t xml:space="preserve">Gov.uk (2024) </w:t>
      </w:r>
      <w:r w:rsidRPr="00720BFF">
        <w:rPr>
          <w:rFonts w:cs="Arial"/>
          <w:i/>
          <w:iCs/>
        </w:rPr>
        <w:t>Prime Minister’s Challenge on Dementia 2020: Implementation Plan</w:t>
      </w:r>
      <w:r w:rsidRPr="00720BFF">
        <w:rPr>
          <w:rFonts w:cs="Arial"/>
        </w:rPr>
        <w:t xml:space="preserve">. Available at: </w:t>
      </w:r>
      <w:hyperlink r:id="rId36" w:history="1">
        <w:r w:rsidRPr="00720BFF">
          <w:rPr>
            <w:rStyle w:val="Hyperlink"/>
            <w:rFonts w:cs="Arial"/>
          </w:rPr>
          <w:t>https://www.gov.uk/government/publications/prime-ministers-challenge-on-dementia-2020</w:t>
        </w:r>
      </w:hyperlink>
      <w:r w:rsidRPr="00720BFF">
        <w:rPr>
          <w:rFonts w:cs="Arial"/>
        </w:rPr>
        <w:t xml:space="preserve"> (Accessed: 24 July 2025).</w:t>
      </w:r>
    </w:p>
    <w:p w14:paraId="64C10644" w14:textId="77777777" w:rsidR="00720BFF" w:rsidRPr="00720BFF" w:rsidRDefault="00720BFF" w:rsidP="00720BFF">
      <w:pPr>
        <w:rPr>
          <w:rFonts w:cs="Arial"/>
        </w:rPr>
      </w:pPr>
      <w:r w:rsidRPr="00720BFF">
        <w:rPr>
          <w:rFonts w:cs="Arial"/>
        </w:rPr>
        <w:t xml:space="preserve">Greater Manchester Health and Social Care Partnership (2023) </w:t>
      </w:r>
      <w:r w:rsidRPr="00720BFF">
        <w:rPr>
          <w:rFonts w:cs="Arial"/>
          <w:i/>
          <w:iCs/>
        </w:rPr>
        <w:t>Dementia United – Integrated Dementia Care Across Greater Manchester</w:t>
      </w:r>
      <w:r w:rsidRPr="00720BFF">
        <w:rPr>
          <w:rFonts w:cs="Arial"/>
        </w:rPr>
        <w:t xml:space="preserve">. Local Government Association. Available at: </w:t>
      </w:r>
      <w:hyperlink r:id="rId37" w:history="1">
        <w:r w:rsidRPr="00720BFF">
          <w:rPr>
            <w:rStyle w:val="Hyperlink"/>
            <w:rFonts w:cs="Arial"/>
          </w:rPr>
          <w:t>https://www.local.gov.uk/case-studies/dementia-united-greater-manchester-integrated-care-partnerships-programme-dementia</w:t>
        </w:r>
      </w:hyperlink>
      <w:r w:rsidRPr="00720BFF">
        <w:rPr>
          <w:rFonts w:cs="Arial"/>
        </w:rPr>
        <w:t xml:space="preserve"> (Accessed: 24 July 2025).</w:t>
      </w:r>
    </w:p>
    <w:p w14:paraId="5C1A5A7C" w14:textId="77777777" w:rsidR="00720BFF" w:rsidRPr="00720BFF" w:rsidRDefault="00720BFF" w:rsidP="00720BFF">
      <w:pPr>
        <w:rPr>
          <w:rFonts w:cs="Arial"/>
        </w:rPr>
      </w:pPr>
      <w:r w:rsidRPr="00720BFF">
        <w:rPr>
          <w:rFonts w:cs="Arial"/>
        </w:rPr>
        <w:t xml:space="preserve">Griffiths, A.W. </w:t>
      </w:r>
      <w:r w:rsidRPr="00720BFF">
        <w:rPr>
          <w:rFonts w:cs="Arial"/>
          <w:i/>
          <w:iCs/>
        </w:rPr>
        <w:t>et al.</w:t>
      </w:r>
      <w:r w:rsidRPr="00720BFF">
        <w:rPr>
          <w:rFonts w:cs="Arial"/>
        </w:rPr>
        <w:t xml:space="preserve"> (2020) ‘Exploring self-report and proxy-report quality-of-life measures for people living with dementia in care homes’, </w:t>
      </w:r>
      <w:r w:rsidRPr="00720BFF">
        <w:rPr>
          <w:rFonts w:cs="Arial"/>
          <w:i/>
          <w:iCs/>
        </w:rPr>
        <w:t>Quality of life research</w:t>
      </w:r>
      <w:r w:rsidRPr="00720BFF">
        <w:rPr>
          <w:rFonts w:cs="Arial"/>
        </w:rPr>
        <w:t xml:space="preserve">, 29(2), pp. 463–472. Available at: </w:t>
      </w:r>
      <w:hyperlink r:id="rId38" w:history="1">
        <w:r w:rsidRPr="00720BFF">
          <w:rPr>
            <w:rStyle w:val="Hyperlink"/>
            <w:rFonts w:cs="Arial"/>
          </w:rPr>
          <w:t>https://doi.org/10.1007/s11136-019-02333-3</w:t>
        </w:r>
      </w:hyperlink>
      <w:r w:rsidRPr="00720BFF">
        <w:rPr>
          <w:rFonts w:cs="Arial"/>
        </w:rPr>
        <w:t>.</w:t>
      </w:r>
    </w:p>
    <w:p w14:paraId="7A0E2395" w14:textId="77777777" w:rsidR="00720BFF" w:rsidRPr="00720BFF" w:rsidRDefault="00720BFF" w:rsidP="00720BFF">
      <w:pPr>
        <w:rPr>
          <w:rFonts w:cs="Arial"/>
        </w:rPr>
      </w:pPr>
      <w:r w:rsidRPr="00720BFF">
        <w:rPr>
          <w:rFonts w:cs="Arial"/>
        </w:rPr>
        <w:lastRenderedPageBreak/>
        <w:t xml:space="preserve">Hayward, C., Smith, K. and Fox, S. (2023) ‘The impact of family involvement in dementia care homes on quality outcomes: A longitudinal study’, </w:t>
      </w:r>
      <w:r w:rsidRPr="00720BFF">
        <w:rPr>
          <w:rStyle w:val="Emphasis"/>
          <w:rFonts w:cs="Arial"/>
        </w:rPr>
        <w:t>Journal of Dementia Care</w:t>
      </w:r>
      <w:r w:rsidRPr="00720BFF">
        <w:rPr>
          <w:rFonts w:cs="Arial"/>
        </w:rPr>
        <w:t xml:space="preserve">, 31(2), pp. 24–29. Available at: </w:t>
      </w:r>
      <w:hyperlink r:id="rId39" w:history="1">
        <w:r w:rsidRPr="00720BFF">
          <w:rPr>
            <w:rStyle w:val="Hyperlink"/>
            <w:rFonts w:cs="Arial"/>
          </w:rPr>
          <w:t>https://doi.org/10.1177/14713012211046595</w:t>
        </w:r>
      </w:hyperlink>
    </w:p>
    <w:p w14:paraId="0B77F17C" w14:textId="77777777" w:rsidR="00720BFF" w:rsidRPr="00720BFF" w:rsidRDefault="00720BFF" w:rsidP="00720BFF">
      <w:pPr>
        <w:rPr>
          <w:rFonts w:cs="Arial"/>
        </w:rPr>
      </w:pPr>
      <w:r w:rsidRPr="00720BFF">
        <w:rPr>
          <w:rFonts w:cs="Arial"/>
        </w:rPr>
        <w:t xml:space="preserve">Heward, M., Innes, A. and Cutler, C. (2017) ‘Living well with dementia: How relationships and activities shape well-being’, </w:t>
      </w:r>
      <w:r w:rsidRPr="00720BFF">
        <w:rPr>
          <w:rStyle w:val="Emphasis"/>
          <w:rFonts w:cs="Arial"/>
        </w:rPr>
        <w:t>Dementia</w:t>
      </w:r>
      <w:r w:rsidRPr="00720BFF">
        <w:rPr>
          <w:rFonts w:cs="Arial"/>
        </w:rPr>
        <w:t xml:space="preserve">, 21(1), pp. 14–30.Available at: </w:t>
      </w:r>
      <w:hyperlink r:id="rId40" w:history="1">
        <w:r w:rsidRPr="00720BFF">
          <w:rPr>
            <w:rStyle w:val="Hyperlink"/>
            <w:rFonts w:cs="Arial"/>
          </w:rPr>
          <w:t>https://doi.org/10.1111/hsc.12371</w:t>
        </w:r>
      </w:hyperlink>
    </w:p>
    <w:p w14:paraId="1377DA52" w14:textId="77777777" w:rsidR="00720BFF" w:rsidRPr="00720BFF" w:rsidRDefault="00720BFF" w:rsidP="00720BFF">
      <w:pPr>
        <w:rPr>
          <w:rFonts w:cs="Arial"/>
        </w:rPr>
      </w:pPr>
      <w:r w:rsidRPr="00720BFF">
        <w:rPr>
          <w:rFonts w:cs="Arial"/>
        </w:rPr>
        <w:t xml:space="preserve">HM Government (2014) </w:t>
      </w:r>
      <w:r w:rsidRPr="00720BFF">
        <w:rPr>
          <w:rFonts w:cs="Arial"/>
          <w:i/>
          <w:iCs/>
        </w:rPr>
        <w:t>Care Act 2014</w:t>
      </w:r>
      <w:r w:rsidRPr="00720BFF">
        <w:rPr>
          <w:rFonts w:cs="Arial"/>
        </w:rPr>
        <w:t xml:space="preserve">. London: The Stationery Office. Available at: </w:t>
      </w:r>
      <w:hyperlink r:id="rId41" w:history="1">
        <w:r w:rsidRPr="00720BFF">
          <w:rPr>
            <w:rStyle w:val="Hyperlink"/>
            <w:rFonts w:cs="Arial"/>
          </w:rPr>
          <w:t>Care Act 201https://www.legislation.gov.uk/ukpga/2014/23/contents/enacted4</w:t>
        </w:r>
      </w:hyperlink>
      <w:r w:rsidRPr="00720BFF">
        <w:rPr>
          <w:rFonts w:cs="Arial"/>
        </w:rPr>
        <w:t xml:space="preserve"> (Accessed: 24 July 2025).</w:t>
      </w:r>
    </w:p>
    <w:p w14:paraId="77FF3F12" w14:textId="77777777" w:rsidR="00720BFF" w:rsidRPr="00720BFF" w:rsidRDefault="00720BFF" w:rsidP="00720BFF">
      <w:pPr>
        <w:rPr>
          <w:rFonts w:cs="Arial"/>
        </w:rPr>
      </w:pPr>
      <w:r w:rsidRPr="00720BFF">
        <w:rPr>
          <w:rFonts w:cs="Arial"/>
          <w:lang w:val="fr-FR"/>
        </w:rPr>
        <w:t xml:space="preserve">Howe, R.J. </w:t>
      </w:r>
      <w:r w:rsidRPr="00720BFF">
        <w:rPr>
          <w:rFonts w:cs="Arial"/>
          <w:i/>
          <w:iCs/>
          <w:lang w:val="fr-FR"/>
        </w:rPr>
        <w:t>et al.</w:t>
      </w:r>
      <w:r w:rsidRPr="00720BFF">
        <w:rPr>
          <w:rFonts w:cs="Arial"/>
          <w:lang w:val="fr-FR"/>
        </w:rPr>
        <w:t xml:space="preserve"> </w:t>
      </w:r>
      <w:r w:rsidRPr="00720BFF">
        <w:rPr>
          <w:rFonts w:cs="Arial"/>
        </w:rPr>
        <w:t xml:space="preserve">(2025) ‘Let home care be the GUIDE: Integrating quality dementia care into existing home care teams’, </w:t>
      </w:r>
      <w:r w:rsidRPr="00720BFF">
        <w:rPr>
          <w:rFonts w:cs="Arial"/>
          <w:i/>
          <w:iCs/>
        </w:rPr>
        <w:t>Journal of the American Geriatrics Society (JAGS)</w:t>
      </w:r>
      <w:r w:rsidRPr="00720BFF">
        <w:rPr>
          <w:rFonts w:cs="Arial"/>
        </w:rPr>
        <w:t>, 73(4), pp. 1324–1327</w:t>
      </w:r>
      <w:bookmarkStart w:id="30" w:name="_Hlk204209781"/>
      <w:r w:rsidRPr="00720BFF">
        <w:rPr>
          <w:rFonts w:cs="Arial"/>
        </w:rPr>
        <w:t xml:space="preserve">. Available at: </w:t>
      </w:r>
      <w:bookmarkEnd w:id="30"/>
      <w:r w:rsidRPr="00720BFF">
        <w:rPr>
          <w:rFonts w:cs="Arial"/>
        </w:rPr>
        <w:fldChar w:fldCharType="begin"/>
      </w:r>
      <w:r w:rsidRPr="00720BFF">
        <w:rPr>
          <w:rFonts w:cs="Arial"/>
        </w:rPr>
        <w:instrText>HYPERLINK "https://doi.org/10.1111/jgs.19237"</w:instrText>
      </w:r>
      <w:r w:rsidRPr="00720BFF">
        <w:rPr>
          <w:rFonts w:cs="Arial"/>
        </w:rPr>
        <w:fldChar w:fldCharType="separate"/>
      </w:r>
      <w:r w:rsidRPr="00720BFF">
        <w:rPr>
          <w:rStyle w:val="Hyperlink"/>
          <w:rFonts w:cs="Arial"/>
        </w:rPr>
        <w:t>https://doi.org/10.1111/jgs.19237</w:t>
      </w:r>
      <w:r w:rsidRPr="00720BFF">
        <w:rPr>
          <w:rFonts w:cs="Arial"/>
        </w:rPr>
        <w:fldChar w:fldCharType="end"/>
      </w:r>
      <w:r w:rsidRPr="00720BFF">
        <w:rPr>
          <w:rFonts w:cs="Arial"/>
        </w:rPr>
        <w:t>.</w:t>
      </w:r>
    </w:p>
    <w:p w14:paraId="16239A17" w14:textId="77777777" w:rsidR="00720BFF" w:rsidRPr="00720BFF" w:rsidRDefault="00720BFF" w:rsidP="00720BFF">
      <w:pPr>
        <w:rPr>
          <w:rFonts w:cs="Arial"/>
        </w:rPr>
      </w:pPr>
      <w:r w:rsidRPr="00720BFF">
        <w:rPr>
          <w:rFonts w:cs="Arial"/>
        </w:rPr>
        <w:t xml:space="preserve">Human Rights Act (1998) </w:t>
      </w:r>
      <w:r w:rsidRPr="00720BFF">
        <w:rPr>
          <w:rStyle w:val="Emphasis"/>
          <w:rFonts w:cs="Arial"/>
        </w:rPr>
        <w:t>c.42</w:t>
      </w:r>
      <w:r w:rsidRPr="00720BFF">
        <w:rPr>
          <w:rFonts w:cs="Arial"/>
        </w:rPr>
        <w:t xml:space="preserve">. Available at: </w:t>
      </w:r>
      <w:hyperlink r:id="rId42" w:history="1">
        <w:r w:rsidRPr="00720BFF">
          <w:rPr>
            <w:rStyle w:val="Hyperlink"/>
            <w:rFonts w:cs="Arial"/>
          </w:rPr>
          <w:t>https://www.legislation.gov.uk/ukpga/1998/42</w:t>
        </w:r>
      </w:hyperlink>
      <w:r w:rsidRPr="00720BFF">
        <w:rPr>
          <w:rFonts w:cs="Arial"/>
        </w:rPr>
        <w:t xml:space="preserve"> (Accessed: 8 April 2025).</w:t>
      </w:r>
    </w:p>
    <w:p w14:paraId="6EDB2444" w14:textId="77777777" w:rsidR="00720BFF" w:rsidRPr="00720BFF" w:rsidRDefault="00720BFF" w:rsidP="00720BFF">
      <w:pPr>
        <w:rPr>
          <w:rFonts w:cs="Arial"/>
        </w:rPr>
      </w:pPr>
      <w:r w:rsidRPr="00720BFF">
        <w:rPr>
          <w:rFonts w:cs="Arial"/>
        </w:rPr>
        <w:t xml:space="preserve">Kitwood, T. (1997) </w:t>
      </w:r>
      <w:r w:rsidRPr="00720BFF">
        <w:rPr>
          <w:rStyle w:val="Emphasis"/>
          <w:rFonts w:cs="Arial"/>
        </w:rPr>
        <w:t>Dementia Reconsidered: The Person Comes First</w:t>
      </w:r>
      <w:r w:rsidRPr="00720BFF">
        <w:rPr>
          <w:rFonts w:cs="Arial"/>
        </w:rPr>
        <w:t>. Buckingham: Open University Press.</w:t>
      </w:r>
    </w:p>
    <w:p w14:paraId="680B4295" w14:textId="77777777" w:rsidR="00720BFF" w:rsidRPr="00720BFF" w:rsidRDefault="00720BFF" w:rsidP="00720BFF">
      <w:pPr>
        <w:rPr>
          <w:rFonts w:cs="Arial"/>
        </w:rPr>
      </w:pPr>
      <w:r w:rsidRPr="00720BFF">
        <w:rPr>
          <w:rFonts w:cs="Arial"/>
        </w:rPr>
        <w:t xml:space="preserve">Laybourne, A. </w:t>
      </w:r>
      <w:r w:rsidRPr="00720BFF">
        <w:rPr>
          <w:rFonts w:cs="Arial"/>
          <w:i/>
          <w:iCs/>
        </w:rPr>
        <w:t>et al.</w:t>
      </w:r>
      <w:r w:rsidRPr="00720BFF">
        <w:rPr>
          <w:rFonts w:cs="Arial"/>
        </w:rPr>
        <w:t xml:space="preserve"> (2019) ‘Carer coping and resident agitation as predictors of quality of life in care home residents living with dementia: Managing Agitation and Raising Quality of Life (MARQUE) English national care home prospective cohort study’, </w:t>
      </w:r>
      <w:r w:rsidRPr="00720BFF">
        <w:rPr>
          <w:rFonts w:cs="Arial"/>
          <w:i/>
          <w:iCs/>
        </w:rPr>
        <w:t>International journal of geriatric psychiatry</w:t>
      </w:r>
      <w:r w:rsidRPr="00720BFF">
        <w:rPr>
          <w:rFonts w:cs="Arial"/>
        </w:rPr>
        <w:t xml:space="preserve">, 34(1), pp. 106–113. Available at: </w:t>
      </w:r>
      <w:hyperlink r:id="rId43" w:history="1">
        <w:r w:rsidRPr="00720BFF">
          <w:rPr>
            <w:rStyle w:val="Hyperlink"/>
            <w:rFonts w:cs="Arial"/>
          </w:rPr>
          <w:t>https://doi.org/10.1002/gps.4994</w:t>
        </w:r>
      </w:hyperlink>
      <w:r w:rsidRPr="00720BFF">
        <w:rPr>
          <w:rFonts w:cs="Arial"/>
        </w:rPr>
        <w:t>.</w:t>
      </w:r>
    </w:p>
    <w:p w14:paraId="13062DF7" w14:textId="77777777" w:rsidR="00720BFF" w:rsidRPr="00720BFF" w:rsidRDefault="00720BFF" w:rsidP="00720BFF">
      <w:pPr>
        <w:rPr>
          <w:rFonts w:cs="Arial"/>
        </w:rPr>
      </w:pPr>
      <w:r w:rsidRPr="00720BFF">
        <w:rPr>
          <w:rFonts w:cs="Arial"/>
        </w:rPr>
        <w:t xml:space="preserve">Leeds City Council (2022) </w:t>
      </w:r>
      <w:r w:rsidRPr="00720BFF">
        <w:rPr>
          <w:rFonts w:cs="Arial"/>
          <w:i/>
          <w:iCs/>
        </w:rPr>
        <w:t>Age Friendly Leeds Strategy and Action Plan 2022–2025</w:t>
      </w:r>
      <w:r w:rsidRPr="00720BFF">
        <w:rPr>
          <w:rFonts w:cs="Arial"/>
        </w:rPr>
        <w:t xml:space="preserve">. Available at: </w:t>
      </w:r>
      <w:hyperlink r:id="rId44" w:history="1">
        <w:r w:rsidRPr="00720BFF">
          <w:rPr>
            <w:rStyle w:val="Hyperlink"/>
            <w:rFonts w:cs="Arial"/>
          </w:rPr>
          <w:t>https://www.leeds.gov.uk/plans-and-strategies/age-friendly-leeds-strategy-and-action-plan-2022-2025</w:t>
        </w:r>
      </w:hyperlink>
      <w:r w:rsidRPr="00720BFF">
        <w:rPr>
          <w:rFonts w:cs="Arial"/>
        </w:rPr>
        <w:t xml:space="preserve"> (Accessed: 24 July 2025).</w:t>
      </w:r>
    </w:p>
    <w:p w14:paraId="6F1E1C6B" w14:textId="77777777" w:rsidR="00720BFF" w:rsidRPr="00720BFF" w:rsidRDefault="00720BFF" w:rsidP="00720BFF">
      <w:pPr>
        <w:rPr>
          <w:rFonts w:cs="Arial"/>
        </w:rPr>
      </w:pPr>
      <w:r w:rsidRPr="00720BFF">
        <w:rPr>
          <w:rFonts w:cs="Arial"/>
        </w:rPr>
        <w:t xml:space="preserve">Leeds City Council (2023) </w:t>
      </w:r>
      <w:r w:rsidRPr="00720BFF">
        <w:rPr>
          <w:rFonts w:cs="Arial"/>
          <w:i/>
          <w:iCs/>
        </w:rPr>
        <w:t>Dementia Services and Support</w:t>
      </w:r>
      <w:r w:rsidRPr="00720BFF">
        <w:rPr>
          <w:rFonts w:cs="Arial"/>
        </w:rPr>
        <w:t xml:space="preserve">. Available at: </w:t>
      </w:r>
      <w:hyperlink r:id="rId45" w:history="1">
        <w:r w:rsidRPr="00720BFF">
          <w:rPr>
            <w:rStyle w:val="Hyperlink"/>
            <w:rFonts w:cs="Arial"/>
          </w:rPr>
          <w:t>https://www.leeds.gov.uk/adult-social-care/dementia</w:t>
        </w:r>
      </w:hyperlink>
      <w:r w:rsidRPr="00720BFF">
        <w:rPr>
          <w:rFonts w:cs="Arial"/>
        </w:rPr>
        <w:t xml:space="preserve"> (Accessed: 24 July 2025).</w:t>
      </w:r>
    </w:p>
    <w:p w14:paraId="71351DD8" w14:textId="77777777" w:rsidR="00720BFF" w:rsidRPr="00720BFF" w:rsidRDefault="00720BFF" w:rsidP="00720BFF">
      <w:pPr>
        <w:rPr>
          <w:rFonts w:cs="Arial"/>
          <w:lang w:val="fr-FR"/>
        </w:rPr>
      </w:pPr>
      <w:r w:rsidRPr="00720BFF">
        <w:rPr>
          <w:rFonts w:cs="Arial"/>
        </w:rPr>
        <w:t>Livingston, G. (2017) ‘</w:t>
      </w:r>
      <w:r w:rsidRPr="00720BFF">
        <w:rPr>
          <w:rFonts w:cs="Arial"/>
        </w:rPr>
        <w:t>Agitation and quality of life of people with dementia living in care homes: The managing agitation and raising quality of life in dementia (marque) cross-sectional study’</w:t>
      </w:r>
      <w:r w:rsidRPr="00720BFF">
        <w:rPr>
          <w:rFonts w:cs="Arial"/>
        </w:rPr>
        <w:t xml:space="preserve">, </w:t>
      </w:r>
      <w:r w:rsidRPr="00720BFF">
        <w:rPr>
          <w:rFonts w:cs="Arial"/>
          <w:i/>
          <w:iCs/>
        </w:rPr>
        <w:t>Alzheimer’s &amp; dementia</w:t>
      </w:r>
      <w:r w:rsidRPr="00720BFF">
        <w:rPr>
          <w:rFonts w:cs="Arial"/>
        </w:rPr>
        <w:t xml:space="preserve">, 13(7), pp. P179–P179. </w:t>
      </w:r>
      <w:r w:rsidRPr="00720BFF">
        <w:rPr>
          <w:rFonts w:cs="Arial"/>
          <w:lang w:val="fr-FR"/>
        </w:rPr>
        <w:t xml:space="preserve">Available at: </w:t>
      </w:r>
      <w:hyperlink r:id="rId46" w:history="1">
        <w:r w:rsidRPr="00720BFF">
          <w:rPr>
            <w:rStyle w:val="Hyperlink"/>
            <w:rFonts w:cs="Arial"/>
            <w:lang w:val="fr-FR"/>
          </w:rPr>
          <w:t>https://doi.org/10.1016/j.jalz.2017.07.027</w:t>
        </w:r>
      </w:hyperlink>
      <w:r w:rsidRPr="00720BFF">
        <w:rPr>
          <w:rFonts w:cs="Arial"/>
          <w:lang w:val="fr-FR"/>
        </w:rPr>
        <w:t>.</w:t>
      </w:r>
    </w:p>
    <w:p w14:paraId="1DC6D3BE" w14:textId="77777777" w:rsidR="00720BFF" w:rsidRPr="00720BFF" w:rsidRDefault="00720BFF" w:rsidP="00720BFF">
      <w:pPr>
        <w:rPr>
          <w:rFonts w:eastAsia="Times New Roman" w:cs="Arial"/>
        </w:rPr>
      </w:pPr>
      <w:r w:rsidRPr="00720BFF">
        <w:rPr>
          <w:rFonts w:eastAsia="Times New Roman" w:cs="Arial"/>
          <w:lang w:val="fr-FR"/>
        </w:rPr>
        <w:t xml:space="preserve">Luscombe, N. </w:t>
      </w:r>
      <w:r w:rsidRPr="00720BFF">
        <w:rPr>
          <w:rFonts w:eastAsia="Times New Roman" w:cs="Arial"/>
          <w:i/>
          <w:iCs/>
          <w:lang w:val="fr-FR"/>
        </w:rPr>
        <w:t>et al.</w:t>
      </w:r>
      <w:r w:rsidRPr="00720BFF">
        <w:rPr>
          <w:rFonts w:eastAsia="Times New Roman" w:cs="Arial"/>
          <w:lang w:val="fr-FR"/>
        </w:rPr>
        <w:t xml:space="preserve"> </w:t>
      </w:r>
      <w:r w:rsidRPr="00720BFF">
        <w:rPr>
          <w:rFonts w:eastAsia="Times New Roman" w:cs="Arial"/>
        </w:rPr>
        <w:t xml:space="preserve">(2021) ‘Digital technologies to support people living with dementia in the care home setting to engage in meaningful occupations: protocol for a scoping review’, </w:t>
      </w:r>
      <w:r w:rsidRPr="00720BFF">
        <w:rPr>
          <w:rFonts w:eastAsia="Times New Roman" w:cs="Arial"/>
          <w:i/>
          <w:iCs/>
        </w:rPr>
        <w:t>Systematic reviews</w:t>
      </w:r>
      <w:r w:rsidRPr="00720BFF">
        <w:rPr>
          <w:rFonts w:eastAsia="Times New Roman" w:cs="Arial"/>
        </w:rPr>
        <w:t xml:space="preserve">, 10(1). Available at: </w:t>
      </w:r>
      <w:hyperlink r:id="rId47" w:history="1">
        <w:r w:rsidRPr="00720BFF">
          <w:rPr>
            <w:rStyle w:val="Hyperlink"/>
            <w:rFonts w:eastAsia="Times New Roman" w:cs="Arial"/>
            <w:kern w:val="0"/>
            <w:lang w:eastAsia="en-GB"/>
            <w14:ligatures w14:val="none"/>
          </w:rPr>
          <w:t>https://doi.org/10.1186/s13643-021-01715-4.</w:t>
        </w:r>
      </w:hyperlink>
    </w:p>
    <w:p w14:paraId="6FB5E5A1" w14:textId="77777777" w:rsidR="00720BFF" w:rsidRPr="00720BFF" w:rsidRDefault="00720BFF" w:rsidP="00720BFF">
      <w:pPr>
        <w:rPr>
          <w:rFonts w:cs="Arial"/>
        </w:rPr>
      </w:pPr>
      <w:r w:rsidRPr="00720BFF">
        <w:rPr>
          <w:rFonts w:cs="Arial"/>
        </w:rPr>
        <w:lastRenderedPageBreak/>
        <w:t xml:space="preserve">Luscombe, N. </w:t>
      </w:r>
      <w:r w:rsidRPr="00720BFF">
        <w:rPr>
          <w:rFonts w:cs="Arial"/>
          <w:i/>
          <w:iCs/>
        </w:rPr>
        <w:t>et al.</w:t>
      </w:r>
      <w:r w:rsidRPr="00720BFF">
        <w:rPr>
          <w:rFonts w:cs="Arial"/>
        </w:rPr>
        <w:t xml:space="preserve"> (2021) ‘Digital technologies to support people living with dementia in the care home setting to engage in meaningful occupations: protocol for a scoping review’, </w:t>
      </w:r>
      <w:r w:rsidRPr="00720BFF">
        <w:rPr>
          <w:rFonts w:cs="Arial"/>
          <w:i/>
          <w:iCs/>
        </w:rPr>
        <w:t>Systematic reviews</w:t>
      </w:r>
      <w:r w:rsidRPr="00720BFF">
        <w:rPr>
          <w:rFonts w:cs="Arial"/>
        </w:rPr>
        <w:t xml:space="preserve">, 10(1). Available at: </w:t>
      </w:r>
      <w:hyperlink r:id="rId48" w:history="1">
        <w:r w:rsidRPr="00720BFF">
          <w:rPr>
            <w:rStyle w:val="Hyperlink"/>
            <w:rFonts w:cs="Arial"/>
          </w:rPr>
          <w:t>https://doi.org/10.1186/s13643-021-01715-4</w:t>
        </w:r>
      </w:hyperlink>
      <w:r w:rsidRPr="00720BFF">
        <w:rPr>
          <w:rFonts w:cs="Arial"/>
        </w:rPr>
        <w:t>.</w:t>
      </w:r>
    </w:p>
    <w:p w14:paraId="303747E0" w14:textId="77777777" w:rsidR="00720BFF" w:rsidRPr="00720BFF" w:rsidRDefault="00720BFF" w:rsidP="00720BFF">
      <w:pPr>
        <w:rPr>
          <w:rFonts w:cs="Arial"/>
        </w:rPr>
      </w:pPr>
      <w:r w:rsidRPr="00720BFF">
        <w:rPr>
          <w:rFonts w:cs="Arial"/>
        </w:rPr>
        <w:t xml:space="preserve">Mayor, S. (2018) ‘Person centred care that includes antipsychotic review reduces agitation in dementia patients, finds study’, </w:t>
      </w:r>
      <w:r w:rsidRPr="00720BFF">
        <w:rPr>
          <w:rFonts w:cs="Arial"/>
          <w:i/>
          <w:iCs/>
        </w:rPr>
        <w:t>BMJ (Online)</w:t>
      </w:r>
      <w:r w:rsidRPr="00720BFF">
        <w:rPr>
          <w:rFonts w:cs="Arial"/>
        </w:rPr>
        <w:t xml:space="preserve">, 363, p. k4899. Available at: </w:t>
      </w:r>
      <w:hyperlink r:id="rId49" w:history="1">
        <w:r w:rsidRPr="00720BFF">
          <w:rPr>
            <w:rStyle w:val="Hyperlink"/>
            <w:rFonts w:cs="Arial"/>
          </w:rPr>
          <w:t>https://doi.org/10.1136/bmj.k4899</w:t>
        </w:r>
      </w:hyperlink>
      <w:r w:rsidRPr="00720BFF">
        <w:rPr>
          <w:rFonts w:cs="Arial"/>
        </w:rPr>
        <w:t>.</w:t>
      </w:r>
    </w:p>
    <w:p w14:paraId="53CD35EA" w14:textId="77777777" w:rsidR="00720BFF" w:rsidRPr="00720BFF" w:rsidRDefault="00720BFF" w:rsidP="00720BFF">
      <w:pPr>
        <w:rPr>
          <w:rFonts w:cs="Arial"/>
        </w:rPr>
      </w:pPr>
      <w:r w:rsidRPr="00720BFF">
        <w:rPr>
          <w:rFonts w:cs="Arial"/>
        </w:rPr>
        <w:t xml:space="preserve">McCance, T. and McCormack, B. (2025) ‘The Person-centred Nursing Framework: a mid-range theory for nursing practice’, </w:t>
      </w:r>
      <w:r w:rsidRPr="00720BFF">
        <w:rPr>
          <w:rFonts w:cs="Arial"/>
          <w:i/>
          <w:iCs/>
        </w:rPr>
        <w:t>Journal of research in nursing</w:t>
      </w:r>
      <w:r w:rsidRPr="00720BFF">
        <w:rPr>
          <w:rFonts w:cs="Arial"/>
        </w:rPr>
        <w:t xml:space="preserve">, 30(1), pp. 47–60. Available at: </w:t>
      </w:r>
      <w:hyperlink r:id="rId50" w:history="1">
        <w:r w:rsidRPr="00720BFF">
          <w:rPr>
            <w:rStyle w:val="Hyperlink"/>
            <w:rFonts w:cs="Arial"/>
          </w:rPr>
          <w:t>https://doi.org/10.1177/17449871241281428</w:t>
        </w:r>
      </w:hyperlink>
      <w:r w:rsidRPr="00720BFF">
        <w:rPr>
          <w:rFonts w:cs="Arial"/>
        </w:rPr>
        <w:t>.</w:t>
      </w:r>
    </w:p>
    <w:p w14:paraId="029A2E2C" w14:textId="77777777" w:rsidR="00720BFF" w:rsidRPr="00720BFF" w:rsidRDefault="00720BFF" w:rsidP="00720BFF">
      <w:pPr>
        <w:rPr>
          <w:rFonts w:cs="Arial"/>
          <w:lang w:val="fr-FR"/>
        </w:rPr>
      </w:pPr>
      <w:r w:rsidRPr="00720BFF">
        <w:rPr>
          <w:rFonts w:cs="Arial"/>
          <w:lang w:val="fr-FR"/>
        </w:rPr>
        <w:t xml:space="preserve">Meads, D.M. </w:t>
      </w:r>
      <w:r w:rsidRPr="00720BFF">
        <w:rPr>
          <w:rFonts w:cs="Arial"/>
          <w:i/>
          <w:iCs/>
          <w:lang w:val="fr-FR"/>
        </w:rPr>
        <w:t>et al.</w:t>
      </w:r>
      <w:r w:rsidRPr="00720BFF">
        <w:rPr>
          <w:rFonts w:cs="Arial"/>
          <w:lang w:val="fr-FR"/>
        </w:rPr>
        <w:t xml:space="preserve"> </w:t>
      </w:r>
      <w:r w:rsidRPr="00720BFF">
        <w:rPr>
          <w:rFonts w:cs="Arial"/>
        </w:rPr>
        <w:t xml:space="preserve">(2020) ‘Cost-Effectiveness of Dementia Care Mapping in Care-Home Settings: Evaluation of a Randomised Controlled Trial’, </w:t>
      </w:r>
      <w:r w:rsidRPr="00720BFF">
        <w:rPr>
          <w:rFonts w:cs="Arial"/>
          <w:i/>
          <w:iCs/>
        </w:rPr>
        <w:t>Applied health economics and health policy</w:t>
      </w:r>
      <w:r w:rsidRPr="00720BFF">
        <w:rPr>
          <w:rFonts w:cs="Arial"/>
        </w:rPr>
        <w:t xml:space="preserve">, 18(2), pp. 237–247. </w:t>
      </w:r>
      <w:r w:rsidRPr="00720BFF">
        <w:rPr>
          <w:rFonts w:cs="Arial"/>
          <w:lang w:val="fr-FR"/>
        </w:rPr>
        <w:t xml:space="preserve">Available at: </w:t>
      </w:r>
      <w:hyperlink r:id="rId51" w:history="1">
        <w:r w:rsidRPr="00720BFF">
          <w:rPr>
            <w:rStyle w:val="Hyperlink"/>
            <w:rFonts w:cs="Arial"/>
            <w:lang w:val="fr-FR"/>
          </w:rPr>
          <w:t>https://doi.org/10.1007/s40258-019-00531-1</w:t>
        </w:r>
      </w:hyperlink>
      <w:r w:rsidRPr="00720BFF">
        <w:rPr>
          <w:rFonts w:cs="Arial"/>
          <w:lang w:val="fr-FR"/>
        </w:rPr>
        <w:t>.</w:t>
      </w:r>
    </w:p>
    <w:p w14:paraId="6FEA117E" w14:textId="77777777" w:rsidR="00720BFF" w:rsidRPr="00720BFF" w:rsidRDefault="00720BFF" w:rsidP="00720BFF">
      <w:pPr>
        <w:rPr>
          <w:rFonts w:cs="Arial"/>
          <w:lang w:val="fr-FR"/>
        </w:rPr>
      </w:pPr>
      <w:r w:rsidRPr="00720BFF">
        <w:rPr>
          <w:rFonts w:cs="Arial"/>
          <w:lang w:val="fr-FR"/>
        </w:rPr>
        <w:t xml:space="preserve">Möhler, R. </w:t>
      </w:r>
      <w:r w:rsidRPr="00720BFF">
        <w:rPr>
          <w:rFonts w:cs="Arial"/>
          <w:i/>
          <w:iCs/>
          <w:lang w:val="fr-FR"/>
        </w:rPr>
        <w:t>et al.</w:t>
      </w:r>
      <w:r w:rsidRPr="00720BFF">
        <w:rPr>
          <w:rFonts w:cs="Arial"/>
          <w:lang w:val="fr-FR"/>
        </w:rPr>
        <w:t xml:space="preserve"> </w:t>
      </w:r>
      <w:r w:rsidRPr="00720BFF">
        <w:rPr>
          <w:rFonts w:cs="Arial"/>
        </w:rPr>
        <w:t>(2023) ‘Personally tailored activities for improving psychosocial outcomes for people with dementia in long</w:t>
      </w:r>
      <w:r w:rsidRPr="00720BFF">
        <w:rPr>
          <w:rFonts w:ascii="Cambria Math" w:hAnsi="Cambria Math" w:cs="Cambria Math"/>
        </w:rPr>
        <w:t>‐</w:t>
      </w:r>
      <w:r w:rsidRPr="00720BFF">
        <w:rPr>
          <w:rFonts w:cs="Arial"/>
        </w:rPr>
        <w:t xml:space="preserve">term care’, </w:t>
      </w:r>
      <w:r w:rsidRPr="00720BFF">
        <w:rPr>
          <w:rFonts w:cs="Arial"/>
          <w:i/>
          <w:iCs/>
        </w:rPr>
        <w:t>Cochrane database of systematic reviews</w:t>
      </w:r>
      <w:r w:rsidRPr="00720BFF">
        <w:rPr>
          <w:rFonts w:cs="Arial"/>
        </w:rPr>
        <w:t xml:space="preserve">, 2023(3), p. CD009812. </w:t>
      </w:r>
      <w:r w:rsidRPr="00720BFF">
        <w:rPr>
          <w:rFonts w:cs="Arial"/>
          <w:lang w:val="fr-FR"/>
        </w:rPr>
        <w:t xml:space="preserve">Available at: </w:t>
      </w:r>
      <w:hyperlink r:id="rId52" w:history="1">
        <w:r w:rsidRPr="00720BFF">
          <w:rPr>
            <w:rStyle w:val="Hyperlink"/>
            <w:rFonts w:cs="Arial"/>
            <w:lang w:val="fr-FR"/>
          </w:rPr>
          <w:t>https://doi.org/10.1002/14651858.CD009812.pub3</w:t>
        </w:r>
      </w:hyperlink>
      <w:r w:rsidRPr="00720BFF">
        <w:rPr>
          <w:rFonts w:cs="Arial"/>
          <w:lang w:val="fr-FR"/>
        </w:rPr>
        <w:t>.</w:t>
      </w:r>
    </w:p>
    <w:p w14:paraId="01AE01DF" w14:textId="77777777" w:rsidR="00720BFF" w:rsidRPr="00720BFF" w:rsidRDefault="00720BFF" w:rsidP="00720BFF">
      <w:pPr>
        <w:rPr>
          <w:rFonts w:cs="Arial"/>
          <w:lang w:val="fr-FR"/>
        </w:rPr>
      </w:pPr>
      <w:r w:rsidRPr="00720BFF">
        <w:rPr>
          <w:rFonts w:cs="Arial"/>
          <w:lang w:val="fr-FR"/>
        </w:rPr>
        <w:t xml:space="preserve">Morciano, M. </w:t>
      </w:r>
      <w:r w:rsidRPr="00720BFF">
        <w:rPr>
          <w:rFonts w:cs="Arial"/>
          <w:i/>
          <w:iCs/>
          <w:lang w:val="fr-FR"/>
        </w:rPr>
        <w:t>et al.</w:t>
      </w:r>
      <w:r w:rsidRPr="00720BFF">
        <w:rPr>
          <w:rFonts w:cs="Arial"/>
          <w:lang w:val="fr-FR"/>
        </w:rPr>
        <w:t xml:space="preserve"> </w:t>
      </w:r>
      <w:r w:rsidRPr="00720BFF">
        <w:rPr>
          <w:rFonts w:cs="Arial"/>
        </w:rPr>
        <w:t xml:space="preserve">(2021) ‘Excess mortality for care home residents during the first 23 weeks of the COVID-19 pandemic in England: a national cohort study’, </w:t>
      </w:r>
      <w:r w:rsidRPr="00720BFF">
        <w:rPr>
          <w:rFonts w:cs="Arial"/>
          <w:i/>
          <w:iCs/>
        </w:rPr>
        <w:t>BMC medicine</w:t>
      </w:r>
      <w:r w:rsidRPr="00720BFF">
        <w:rPr>
          <w:rFonts w:cs="Arial"/>
        </w:rPr>
        <w:t xml:space="preserve">, 19(1). </w:t>
      </w:r>
      <w:r w:rsidRPr="00720BFF">
        <w:rPr>
          <w:rFonts w:cs="Arial"/>
          <w:lang w:val="fr-FR"/>
        </w:rPr>
        <w:t xml:space="preserve">Available at: </w:t>
      </w:r>
      <w:hyperlink r:id="rId53" w:history="1">
        <w:r w:rsidRPr="00720BFF">
          <w:rPr>
            <w:rStyle w:val="Hyperlink"/>
            <w:rFonts w:cs="Arial"/>
            <w:lang w:val="fr-FR"/>
          </w:rPr>
          <w:t>https://doi.org/10.1186/s12916-021-01945-2</w:t>
        </w:r>
      </w:hyperlink>
      <w:r w:rsidRPr="00720BFF">
        <w:rPr>
          <w:rFonts w:cs="Arial"/>
          <w:lang w:val="fr-FR"/>
        </w:rPr>
        <w:t>.</w:t>
      </w:r>
    </w:p>
    <w:p w14:paraId="0B8A6C35" w14:textId="77777777" w:rsidR="00720BFF" w:rsidRPr="00720BFF" w:rsidRDefault="00720BFF" w:rsidP="00720BFF">
      <w:pPr>
        <w:rPr>
          <w:rFonts w:cs="Arial"/>
        </w:rPr>
      </w:pPr>
      <w:r w:rsidRPr="00720BFF">
        <w:rPr>
          <w:rFonts w:cs="Arial"/>
          <w:lang w:val="fr-FR"/>
        </w:rPr>
        <w:t xml:space="preserve">Nguyen, H.Q. </w:t>
      </w:r>
      <w:r w:rsidRPr="00720BFF">
        <w:rPr>
          <w:rFonts w:cs="Arial"/>
          <w:i/>
          <w:iCs/>
          <w:lang w:val="fr-FR"/>
        </w:rPr>
        <w:t>et al.</w:t>
      </w:r>
      <w:r w:rsidRPr="00720BFF">
        <w:rPr>
          <w:rFonts w:cs="Arial"/>
          <w:lang w:val="fr-FR"/>
        </w:rPr>
        <w:t xml:space="preserve"> </w:t>
      </w:r>
      <w:r w:rsidRPr="00720BFF">
        <w:rPr>
          <w:rFonts w:cs="Arial"/>
        </w:rPr>
        <w:t>(2022) ‘A mixed</w:t>
      </w:r>
      <w:r w:rsidRPr="00720BFF">
        <w:rPr>
          <w:rFonts w:ascii="Cambria Math" w:hAnsi="Cambria Math" w:cs="Cambria Math"/>
        </w:rPr>
        <w:t>‐</w:t>
      </w:r>
      <w:r w:rsidRPr="00720BFF">
        <w:rPr>
          <w:rFonts w:cs="Arial"/>
        </w:rPr>
        <w:t>methods evaluation of home</w:t>
      </w:r>
      <w:r w:rsidRPr="00720BFF">
        <w:rPr>
          <w:rFonts w:ascii="Cambria Math" w:hAnsi="Cambria Math" w:cs="Cambria Math"/>
        </w:rPr>
        <w:t>‐</w:t>
      </w:r>
      <w:r w:rsidRPr="00720BFF">
        <w:rPr>
          <w:rFonts w:cs="Arial"/>
        </w:rPr>
        <w:t xml:space="preserve">based primary care in dementia within an integrated system’, </w:t>
      </w:r>
      <w:r w:rsidRPr="00720BFF">
        <w:rPr>
          <w:rFonts w:cs="Arial"/>
          <w:i/>
          <w:iCs/>
        </w:rPr>
        <w:t>Journal of the American Geriatrics Society (JAGS)</w:t>
      </w:r>
      <w:r w:rsidRPr="00720BFF">
        <w:rPr>
          <w:rFonts w:cs="Arial"/>
        </w:rPr>
        <w:t xml:space="preserve">, 70(4), pp. 1136–1146. Available at: </w:t>
      </w:r>
      <w:hyperlink r:id="rId54" w:history="1">
        <w:r w:rsidRPr="00720BFF">
          <w:rPr>
            <w:rStyle w:val="Hyperlink"/>
            <w:rFonts w:cs="Arial"/>
          </w:rPr>
          <w:t>https://doi.org/10.1111/jgs.17627</w:t>
        </w:r>
      </w:hyperlink>
      <w:r w:rsidRPr="00720BFF">
        <w:rPr>
          <w:rFonts w:cs="Arial"/>
        </w:rPr>
        <w:t>.</w:t>
      </w:r>
    </w:p>
    <w:p w14:paraId="5865D677" w14:textId="77777777" w:rsidR="00720BFF" w:rsidRPr="00720BFF" w:rsidRDefault="00720BFF" w:rsidP="00720BFF">
      <w:pPr>
        <w:rPr>
          <w:rFonts w:cs="Arial"/>
        </w:rPr>
      </w:pPr>
      <w:r w:rsidRPr="00720BFF">
        <w:rPr>
          <w:rFonts w:cs="Arial"/>
        </w:rPr>
        <w:t xml:space="preserve">NHS Digital (2020) </w:t>
      </w:r>
      <w:r w:rsidRPr="00720BFF">
        <w:rPr>
          <w:rFonts w:cs="Arial"/>
          <w:i/>
          <w:iCs/>
        </w:rPr>
        <w:t>Adult Social Care Activity and Finance Report, England 2019-20</w:t>
      </w:r>
      <w:r w:rsidRPr="00720BFF">
        <w:rPr>
          <w:rFonts w:cs="Arial"/>
        </w:rPr>
        <w:t xml:space="preserve">. Available at: </w:t>
      </w:r>
      <w:hyperlink r:id="rId55" w:history="1">
        <w:r w:rsidRPr="00720BFF">
          <w:rPr>
            <w:rStyle w:val="Hyperlink"/>
            <w:rFonts w:cs="Arial"/>
          </w:rPr>
          <w:t>https://digital.nhs.uk/data-and-information/publications</w:t>
        </w:r>
      </w:hyperlink>
      <w:r w:rsidRPr="00720BFF">
        <w:rPr>
          <w:rFonts w:cs="Arial"/>
        </w:rPr>
        <w:t xml:space="preserve"> (Accessed: 24 July 2025).</w:t>
      </w:r>
    </w:p>
    <w:p w14:paraId="55E18051" w14:textId="77777777" w:rsidR="00720BFF" w:rsidRPr="00720BFF" w:rsidRDefault="00720BFF" w:rsidP="00720BFF">
      <w:pPr>
        <w:rPr>
          <w:rFonts w:cs="Arial"/>
        </w:rPr>
      </w:pPr>
      <w:r w:rsidRPr="00720BFF">
        <w:rPr>
          <w:rFonts w:cs="Arial"/>
        </w:rPr>
        <w:t xml:space="preserve">NHS Digital (2021) </w:t>
      </w:r>
      <w:r w:rsidRPr="00720BFF">
        <w:rPr>
          <w:rFonts w:cs="Arial"/>
          <w:i/>
          <w:iCs/>
        </w:rPr>
        <w:t>NHS Spine – Enabling Digital Interoperability</w:t>
      </w:r>
      <w:r w:rsidRPr="00720BFF">
        <w:rPr>
          <w:rFonts w:cs="Arial"/>
        </w:rPr>
        <w:t xml:space="preserve">. Available at: </w:t>
      </w:r>
      <w:hyperlink r:id="rId56" w:history="1">
        <w:r w:rsidRPr="00720BFF">
          <w:rPr>
            <w:rStyle w:val="Hyperlink"/>
            <w:rFonts w:cs="Arial"/>
          </w:rPr>
          <w:t>Spine Futures - NHS England Digital</w:t>
        </w:r>
      </w:hyperlink>
      <w:r w:rsidRPr="00720BFF">
        <w:rPr>
          <w:rFonts w:cs="Arial"/>
        </w:rPr>
        <w:t>(Accessed: 24 July 2025).</w:t>
      </w:r>
    </w:p>
    <w:p w14:paraId="47047FF6" w14:textId="77777777" w:rsidR="00720BFF" w:rsidRPr="00720BFF" w:rsidRDefault="00720BFF" w:rsidP="00720BFF">
      <w:pPr>
        <w:rPr>
          <w:rFonts w:cs="Arial"/>
        </w:rPr>
      </w:pPr>
      <w:r w:rsidRPr="00720BFF">
        <w:rPr>
          <w:rFonts w:cs="Arial"/>
        </w:rPr>
        <w:t xml:space="preserve">NHS England (2019) </w:t>
      </w:r>
      <w:r w:rsidRPr="00720BFF">
        <w:rPr>
          <w:rFonts w:cs="Arial"/>
          <w:i/>
          <w:iCs/>
        </w:rPr>
        <w:t>The NHS Long Term Plan</w:t>
      </w:r>
      <w:r w:rsidRPr="00720BFF">
        <w:rPr>
          <w:rFonts w:cs="Arial"/>
        </w:rPr>
        <w:t xml:space="preserve">. Available at: </w:t>
      </w:r>
      <w:hyperlink r:id="rId57" w:history="1">
        <w:r w:rsidRPr="00720BFF">
          <w:rPr>
            <w:rStyle w:val="Hyperlink"/>
            <w:rFonts w:cs="Arial"/>
          </w:rPr>
          <w:t>10 Year Health Plan for England: fit for the future - GOV.UK</w:t>
        </w:r>
      </w:hyperlink>
      <w:r w:rsidRPr="00720BFF">
        <w:rPr>
          <w:rFonts w:cs="Arial"/>
        </w:rPr>
        <w:t>(Accessed: 24 July 2025).</w:t>
      </w:r>
    </w:p>
    <w:p w14:paraId="12ADE6B9" w14:textId="77777777" w:rsidR="00720BFF" w:rsidRPr="00720BFF" w:rsidRDefault="00720BFF" w:rsidP="00720BFF">
      <w:pPr>
        <w:rPr>
          <w:rFonts w:cs="Arial"/>
        </w:rPr>
      </w:pPr>
      <w:r w:rsidRPr="00720BFF">
        <w:rPr>
          <w:rFonts w:cs="Arial"/>
        </w:rPr>
        <w:t xml:space="preserve">NHS England (2022) </w:t>
      </w:r>
      <w:r w:rsidRPr="00720BFF">
        <w:rPr>
          <w:rFonts w:cs="Arial"/>
          <w:i/>
          <w:iCs/>
        </w:rPr>
        <w:t>Local Health and Care Record (LHCR) Programme</w:t>
      </w:r>
      <w:r w:rsidRPr="00720BFF">
        <w:rPr>
          <w:rFonts w:cs="Arial"/>
        </w:rPr>
        <w:t xml:space="preserve">. Available at: </w:t>
      </w:r>
      <w:hyperlink r:id="rId58" w:history="1">
        <w:r w:rsidRPr="00720BFF">
          <w:rPr>
            <w:rStyle w:val="Hyperlink"/>
            <w:rFonts w:cs="Arial"/>
          </w:rPr>
          <w:t>NHS England » Local Health and Care Record Exemplars</w:t>
        </w:r>
      </w:hyperlink>
      <w:r w:rsidRPr="00720BFF">
        <w:rPr>
          <w:rFonts w:cs="Arial"/>
        </w:rPr>
        <w:t xml:space="preserve"> </w:t>
      </w:r>
      <w:r w:rsidRPr="00720BFF">
        <w:rPr>
          <w:rFonts w:cs="Arial"/>
        </w:rPr>
        <w:t>(Accessed: 24 July 2025).</w:t>
      </w:r>
    </w:p>
    <w:p w14:paraId="3478FF54" w14:textId="77777777" w:rsidR="00720BFF" w:rsidRPr="00720BFF" w:rsidRDefault="00720BFF" w:rsidP="00720BFF">
      <w:pPr>
        <w:rPr>
          <w:rFonts w:cs="Arial"/>
        </w:rPr>
      </w:pPr>
      <w:r w:rsidRPr="00720BFF">
        <w:rPr>
          <w:rFonts w:cs="Arial"/>
        </w:rPr>
        <w:t xml:space="preserve">NHS England (2023) </w:t>
      </w:r>
      <w:r w:rsidRPr="00720BFF">
        <w:rPr>
          <w:rStyle w:val="Emphasis"/>
          <w:rFonts w:cs="Arial"/>
        </w:rPr>
        <w:t>Dementia Well Pathway</w:t>
      </w:r>
      <w:r w:rsidRPr="00720BFF">
        <w:rPr>
          <w:rFonts w:cs="Arial"/>
        </w:rPr>
        <w:t xml:space="preserve">. Available at: </w:t>
      </w:r>
      <w:hyperlink r:id="rId59" w:tgtFrame="_new" w:history="1">
        <w:r w:rsidRPr="00720BFF">
          <w:rPr>
            <w:rStyle w:val="Hyperlink"/>
            <w:rFonts w:cs="Arial"/>
          </w:rPr>
          <w:t>https://www.england.nhs.uk/mental-health/dementia</w:t>
        </w:r>
      </w:hyperlink>
      <w:r w:rsidRPr="00720BFF">
        <w:rPr>
          <w:rFonts w:cs="Arial"/>
        </w:rPr>
        <w:t xml:space="preserve"> (Accessed: 8 April 2025).</w:t>
      </w:r>
    </w:p>
    <w:p w14:paraId="20E8153B" w14:textId="77777777" w:rsidR="00720BFF" w:rsidRPr="00720BFF" w:rsidRDefault="00720BFF" w:rsidP="00720BFF">
      <w:pPr>
        <w:rPr>
          <w:rFonts w:cs="Arial"/>
        </w:rPr>
      </w:pPr>
      <w:r w:rsidRPr="00720BFF">
        <w:rPr>
          <w:rFonts w:cs="Arial"/>
        </w:rPr>
        <w:lastRenderedPageBreak/>
        <w:t xml:space="preserve">NHS England (2023) </w:t>
      </w:r>
      <w:r w:rsidRPr="00720BFF">
        <w:rPr>
          <w:rFonts w:cs="Arial"/>
          <w:i/>
          <w:iCs/>
        </w:rPr>
        <w:t>One Devon: Integrated Care in Practice</w:t>
      </w:r>
      <w:r w:rsidRPr="00720BFF">
        <w:rPr>
          <w:rFonts w:cs="Arial"/>
        </w:rPr>
        <w:t xml:space="preserve">. Available at: </w:t>
      </w:r>
      <w:hyperlink r:id="rId60" w:history="1">
        <w:r w:rsidRPr="00720BFF">
          <w:rPr>
            <w:rStyle w:val="Hyperlink"/>
            <w:rFonts w:cs="Arial"/>
          </w:rPr>
          <w:t>https://www.england.nhs.uk/integratedcare/what-integrated-care-means/one-devon-case-study/</w:t>
        </w:r>
      </w:hyperlink>
      <w:r w:rsidRPr="00720BFF">
        <w:rPr>
          <w:rFonts w:cs="Arial"/>
        </w:rPr>
        <w:t xml:space="preserve"> (Accessed: 24 July 2025).</w:t>
      </w:r>
    </w:p>
    <w:p w14:paraId="02833880" w14:textId="77777777" w:rsidR="00720BFF" w:rsidRPr="00720BFF" w:rsidRDefault="00720BFF" w:rsidP="00720BFF">
      <w:pPr>
        <w:rPr>
          <w:rFonts w:cs="Arial"/>
        </w:rPr>
      </w:pPr>
      <w:r w:rsidRPr="00720BFF">
        <w:rPr>
          <w:rFonts w:cs="Arial"/>
        </w:rPr>
        <w:t xml:space="preserve">NICE (2018) </w:t>
      </w:r>
      <w:r w:rsidRPr="00720BFF">
        <w:rPr>
          <w:rStyle w:val="Emphasis"/>
          <w:rFonts w:cs="Arial"/>
        </w:rPr>
        <w:t>Dementia: Assessment, Management and Support for People Living with Dementia and Their Carers (NG97)</w:t>
      </w:r>
      <w:r w:rsidRPr="00720BFF">
        <w:rPr>
          <w:rFonts w:cs="Arial"/>
        </w:rPr>
        <w:t xml:space="preserve">. Available at: </w:t>
      </w:r>
      <w:hyperlink r:id="rId61" w:history="1">
        <w:r w:rsidRPr="00720BFF">
          <w:rPr>
            <w:rStyle w:val="Hyperlink"/>
            <w:rFonts w:cs="Arial"/>
          </w:rPr>
          <w:t>https://www.nice.org.uk/guidance/ng97</w:t>
        </w:r>
      </w:hyperlink>
      <w:r w:rsidRPr="00720BFF">
        <w:rPr>
          <w:rFonts w:cs="Arial"/>
        </w:rPr>
        <w:t xml:space="preserve"> (Accessed: 8 April 2025).</w:t>
      </w:r>
    </w:p>
    <w:p w14:paraId="7F1B4596" w14:textId="77777777" w:rsidR="00720BFF" w:rsidRPr="00720BFF" w:rsidRDefault="00720BFF" w:rsidP="00720BFF">
      <w:pPr>
        <w:rPr>
          <w:rFonts w:cs="Arial"/>
        </w:rPr>
      </w:pPr>
      <w:r w:rsidRPr="00720BFF">
        <w:rPr>
          <w:rFonts w:cs="Arial"/>
        </w:rPr>
        <w:t xml:space="preserve">NICE (2021) </w:t>
      </w:r>
      <w:r w:rsidRPr="00720BFF">
        <w:rPr>
          <w:rFonts w:cs="Arial"/>
          <w:i/>
          <w:iCs/>
        </w:rPr>
        <w:t>Dementia: Assessment, Management and Support for People Living with Dementia and Their Carers (NG97)</w:t>
      </w:r>
      <w:r w:rsidRPr="00720BFF">
        <w:rPr>
          <w:rFonts w:cs="Arial"/>
        </w:rPr>
        <w:t xml:space="preserve">. Available at: </w:t>
      </w:r>
      <w:hyperlink r:id="rId62" w:tgtFrame="_new" w:history="1">
        <w:r w:rsidRPr="00720BFF">
          <w:rPr>
            <w:rStyle w:val="Hyperlink"/>
            <w:rFonts w:cs="Arial"/>
          </w:rPr>
          <w:t>https://www.nice.org.uk/guidance/ng97</w:t>
        </w:r>
      </w:hyperlink>
      <w:r w:rsidRPr="00720BFF">
        <w:rPr>
          <w:rFonts w:cs="Arial"/>
        </w:rPr>
        <w:t xml:space="preserve"> (Accessed: 24 July 2025).</w:t>
      </w:r>
    </w:p>
    <w:p w14:paraId="54498973" w14:textId="77777777" w:rsidR="00720BFF" w:rsidRPr="00720BFF" w:rsidRDefault="00720BFF" w:rsidP="00720BFF">
      <w:pPr>
        <w:rPr>
          <w:rFonts w:cs="Arial"/>
        </w:rPr>
      </w:pPr>
      <w:r w:rsidRPr="00720BFF">
        <w:rPr>
          <w:rFonts w:cs="Arial"/>
        </w:rPr>
        <w:t xml:space="preserve">ONS (2023) </w:t>
      </w:r>
      <w:r w:rsidRPr="00720BFF">
        <w:rPr>
          <w:rStyle w:val="Emphasis"/>
          <w:rFonts w:cs="Arial"/>
        </w:rPr>
        <w:t>Living Longer: Caring in Later Working Life</w:t>
      </w:r>
      <w:r w:rsidRPr="00720BFF">
        <w:rPr>
          <w:rFonts w:cs="Arial"/>
        </w:rPr>
        <w:t xml:space="preserve">. Available at: </w:t>
      </w:r>
      <w:hyperlink r:id="rId63" w:tgtFrame="_new" w:history="1">
        <w:r w:rsidRPr="00720BFF">
          <w:rPr>
            <w:rStyle w:val="Hyperlink"/>
            <w:rFonts w:cs="Arial"/>
          </w:rPr>
          <w:t>https://www.ons.gov.uk</w:t>
        </w:r>
      </w:hyperlink>
      <w:r w:rsidRPr="00720BFF">
        <w:rPr>
          <w:rFonts w:cs="Arial"/>
        </w:rPr>
        <w:t xml:space="preserve"> (Accessed: 8 April 2025).</w:t>
      </w:r>
    </w:p>
    <w:p w14:paraId="242AD838" w14:textId="77777777" w:rsidR="00720BFF" w:rsidRPr="00720BFF" w:rsidRDefault="00720BFF" w:rsidP="00720BFF">
      <w:pPr>
        <w:rPr>
          <w:rFonts w:cs="Arial"/>
          <w:lang w:val="fr-FR"/>
        </w:rPr>
      </w:pPr>
      <w:r w:rsidRPr="00720BFF">
        <w:rPr>
          <w:rFonts w:cs="Arial"/>
        </w:rPr>
        <w:t xml:space="preserve">Owen-Booth, B. </w:t>
      </w:r>
      <w:r w:rsidRPr="00720BFF">
        <w:rPr>
          <w:rFonts w:cs="Arial"/>
          <w:i/>
          <w:iCs/>
        </w:rPr>
        <w:t>et al.</w:t>
      </w:r>
      <w:r w:rsidRPr="00720BFF">
        <w:rPr>
          <w:rFonts w:cs="Arial"/>
        </w:rPr>
        <w:t xml:space="preserve"> (2020) ‘Aromatherapy for dementia’, </w:t>
      </w:r>
      <w:r w:rsidRPr="00720BFF">
        <w:rPr>
          <w:rFonts w:cs="Arial"/>
          <w:i/>
          <w:iCs/>
        </w:rPr>
        <w:t>Cochrane database of systematic reviews</w:t>
      </w:r>
      <w:r w:rsidRPr="00720BFF">
        <w:rPr>
          <w:rFonts w:cs="Arial"/>
        </w:rPr>
        <w:t xml:space="preserve">, 2020(8), p. CD003150. </w:t>
      </w:r>
      <w:r w:rsidRPr="00720BFF">
        <w:rPr>
          <w:rFonts w:cs="Arial"/>
          <w:lang w:val="fr-FR"/>
        </w:rPr>
        <w:t xml:space="preserve">Available at: </w:t>
      </w:r>
      <w:hyperlink r:id="rId64" w:history="1">
        <w:r w:rsidRPr="00720BFF">
          <w:rPr>
            <w:rStyle w:val="Hyperlink"/>
            <w:rFonts w:cs="Arial"/>
            <w:lang w:val="fr-FR"/>
          </w:rPr>
          <w:t>https://doi.org/10.1002/14651858.CD003150.pub3</w:t>
        </w:r>
      </w:hyperlink>
      <w:r w:rsidRPr="00720BFF">
        <w:rPr>
          <w:rFonts w:cs="Arial"/>
          <w:lang w:val="fr-FR"/>
        </w:rPr>
        <w:t>.</w:t>
      </w:r>
    </w:p>
    <w:p w14:paraId="1AB5B536" w14:textId="77777777" w:rsidR="00720BFF" w:rsidRPr="00720BFF" w:rsidRDefault="00720BFF" w:rsidP="00720BFF">
      <w:pPr>
        <w:rPr>
          <w:rFonts w:eastAsia="Times New Roman" w:cs="Arial"/>
        </w:rPr>
      </w:pPr>
      <w:r w:rsidRPr="00720BFF">
        <w:rPr>
          <w:rFonts w:eastAsia="Times New Roman" w:cs="Arial"/>
        </w:rPr>
        <w:t xml:space="preserve">Owen-Booth, B. </w:t>
      </w:r>
      <w:r w:rsidRPr="00720BFF">
        <w:rPr>
          <w:rFonts w:eastAsia="Times New Roman" w:cs="Arial"/>
          <w:i/>
          <w:iCs/>
        </w:rPr>
        <w:t>et al.</w:t>
      </w:r>
      <w:r w:rsidRPr="00720BFF">
        <w:rPr>
          <w:rFonts w:eastAsia="Times New Roman" w:cs="Arial"/>
        </w:rPr>
        <w:t xml:space="preserve"> (2020) ‘Aromatherapy for dementia’, </w:t>
      </w:r>
      <w:r w:rsidRPr="00720BFF">
        <w:rPr>
          <w:rFonts w:eastAsia="Times New Roman" w:cs="Arial"/>
          <w:i/>
          <w:iCs/>
        </w:rPr>
        <w:t>Cochrane database of systematic reviews</w:t>
      </w:r>
      <w:r w:rsidRPr="00720BFF">
        <w:rPr>
          <w:rFonts w:eastAsia="Times New Roman" w:cs="Arial"/>
        </w:rPr>
        <w:t xml:space="preserve">, 2020(8), p. CD003150. Available at: </w:t>
      </w:r>
      <w:hyperlink r:id="rId65" w:history="1">
        <w:r w:rsidRPr="00720BFF">
          <w:rPr>
            <w:rStyle w:val="Hyperlink"/>
            <w:rFonts w:eastAsia="Times New Roman" w:cs="Arial"/>
            <w:kern w:val="0"/>
            <w:lang w:eastAsia="en-GB"/>
            <w14:ligatures w14:val="none"/>
          </w:rPr>
          <w:t>https://doi.org/10.1002/14651858.CD003150.pub3</w:t>
        </w:r>
      </w:hyperlink>
      <w:r w:rsidRPr="00720BFF">
        <w:rPr>
          <w:rFonts w:eastAsia="Times New Roman" w:cs="Arial"/>
        </w:rPr>
        <w:t>.</w:t>
      </w:r>
    </w:p>
    <w:p w14:paraId="47F59C6D" w14:textId="77777777" w:rsidR="00720BFF" w:rsidRPr="00720BFF" w:rsidRDefault="00720BFF" w:rsidP="00720BFF">
      <w:pPr>
        <w:rPr>
          <w:rFonts w:cs="Arial"/>
        </w:rPr>
      </w:pPr>
      <w:r w:rsidRPr="00720BFF">
        <w:rPr>
          <w:rFonts w:cs="Arial"/>
        </w:rPr>
        <w:t>P. Ho, et al., "Person-Centred Care Transformation in a Nursing Home for Residents with Dementia," </w:t>
      </w:r>
      <w:r w:rsidRPr="00720BFF">
        <w:rPr>
          <w:rFonts w:cs="Arial"/>
          <w:i/>
          <w:iCs/>
        </w:rPr>
        <w:t>Dementia and geriatric cognitive disorders extra, </w:t>
      </w:r>
      <w:r w:rsidRPr="00720BFF">
        <w:rPr>
          <w:rFonts w:cs="Arial"/>
        </w:rPr>
        <w:t>vol. 11, no. 1, pp.1–9, 2021. doi: 10.1159/000513069.</w:t>
      </w:r>
    </w:p>
    <w:p w14:paraId="347EEA33" w14:textId="77777777" w:rsidR="00720BFF" w:rsidRPr="00720BFF" w:rsidRDefault="00720BFF" w:rsidP="00720BFF">
      <w:pPr>
        <w:rPr>
          <w:rFonts w:cs="Arial"/>
        </w:rPr>
      </w:pPr>
      <w:r w:rsidRPr="00720BFF">
        <w:rPr>
          <w:rFonts w:cs="Arial"/>
        </w:rPr>
        <w:t xml:space="preserve">Panca, M. </w:t>
      </w:r>
      <w:r w:rsidRPr="00720BFF">
        <w:rPr>
          <w:rFonts w:cs="Arial"/>
          <w:i/>
          <w:iCs/>
        </w:rPr>
        <w:t>et al.</w:t>
      </w:r>
      <w:r w:rsidRPr="00720BFF">
        <w:rPr>
          <w:rFonts w:cs="Arial"/>
        </w:rPr>
        <w:t xml:space="preserve"> (2019) ‘Healthcare resource utilisation and costs of agitation in people with dementia living in care homes in England - The Managing Agitation and Raising QUality of LifE in Dementia’, </w:t>
      </w:r>
      <w:r w:rsidRPr="00720BFF">
        <w:rPr>
          <w:rFonts w:cs="Arial"/>
          <w:i/>
          <w:iCs/>
        </w:rPr>
        <w:t>PloS one</w:t>
      </w:r>
      <w:r w:rsidRPr="00720BFF">
        <w:rPr>
          <w:rFonts w:cs="Arial"/>
        </w:rPr>
        <w:t xml:space="preserve">, 14(2), p. e0211953. Available at: </w:t>
      </w:r>
      <w:hyperlink r:id="rId66" w:history="1">
        <w:r w:rsidRPr="00720BFF">
          <w:rPr>
            <w:rStyle w:val="Hyperlink"/>
            <w:rFonts w:cs="Arial"/>
          </w:rPr>
          <w:t>https://doi.org/10.1371/journal.pone.0211953</w:t>
        </w:r>
      </w:hyperlink>
      <w:r w:rsidRPr="00720BFF">
        <w:rPr>
          <w:rFonts w:cs="Arial"/>
        </w:rPr>
        <w:t>.</w:t>
      </w:r>
    </w:p>
    <w:p w14:paraId="03EB6FE3" w14:textId="77777777" w:rsidR="00720BFF" w:rsidRPr="00720BFF" w:rsidRDefault="00720BFF" w:rsidP="00720BFF">
      <w:pPr>
        <w:rPr>
          <w:rFonts w:cs="Arial"/>
        </w:rPr>
      </w:pPr>
      <w:r w:rsidRPr="00720BFF">
        <w:rPr>
          <w:rFonts w:cs="Arial"/>
        </w:rPr>
        <w:t xml:space="preserve">Prince, M., Knapp, M., Guerchet, M., McCrone, P. and Prina, M. (2014) </w:t>
      </w:r>
      <w:r w:rsidRPr="00720BFF">
        <w:rPr>
          <w:rStyle w:val="Emphasis"/>
          <w:rFonts w:cs="Arial"/>
        </w:rPr>
        <w:t>Dementia UK: Second Edition</w:t>
      </w:r>
      <w:r w:rsidRPr="00720BFF">
        <w:rPr>
          <w:rFonts w:cs="Arial"/>
        </w:rPr>
        <w:t>. London: Alzheimer’s Society.</w:t>
      </w:r>
    </w:p>
    <w:p w14:paraId="7A300445" w14:textId="77777777" w:rsidR="00720BFF" w:rsidRPr="00720BFF" w:rsidRDefault="00720BFF" w:rsidP="00720BFF">
      <w:pPr>
        <w:rPr>
          <w:rFonts w:cs="Arial"/>
        </w:rPr>
      </w:pPr>
      <w:r w:rsidRPr="00720BFF">
        <w:rPr>
          <w:rFonts w:cs="Arial"/>
        </w:rPr>
        <w:t xml:space="preserve">Reilly, S. </w:t>
      </w:r>
      <w:r w:rsidRPr="00720BFF">
        <w:rPr>
          <w:rFonts w:cs="Arial"/>
          <w:i/>
          <w:iCs/>
        </w:rPr>
        <w:t>et al.</w:t>
      </w:r>
      <w:r w:rsidRPr="00720BFF">
        <w:rPr>
          <w:rFonts w:cs="Arial"/>
        </w:rPr>
        <w:t xml:space="preserve"> (2015) ‘Case management approaches to home support for people with dementia’, </w:t>
      </w:r>
      <w:r w:rsidRPr="00720BFF">
        <w:rPr>
          <w:rFonts w:cs="Arial"/>
          <w:i/>
          <w:iCs/>
        </w:rPr>
        <w:t>Cochrane database of systematic reviews</w:t>
      </w:r>
      <w:r w:rsidRPr="00720BFF">
        <w:rPr>
          <w:rFonts w:cs="Arial"/>
        </w:rPr>
        <w:t xml:space="preserve">, 2015(10), p. CD008345. Available at: </w:t>
      </w:r>
      <w:hyperlink r:id="rId67" w:history="1">
        <w:r w:rsidRPr="00720BFF">
          <w:rPr>
            <w:rStyle w:val="Hyperlink"/>
            <w:rFonts w:cs="Arial"/>
          </w:rPr>
          <w:t>https://doi.org/10.1002/14651858.CD008345.pub2</w:t>
        </w:r>
      </w:hyperlink>
      <w:r w:rsidRPr="00720BFF">
        <w:rPr>
          <w:rFonts w:cs="Arial"/>
        </w:rPr>
        <w:t>.</w:t>
      </w:r>
    </w:p>
    <w:p w14:paraId="1F20BCBC" w14:textId="77777777" w:rsidR="00720BFF" w:rsidRPr="00720BFF" w:rsidRDefault="00720BFF" w:rsidP="00720BFF">
      <w:pPr>
        <w:rPr>
          <w:rFonts w:cs="Arial"/>
        </w:rPr>
      </w:pPr>
      <w:r w:rsidRPr="00720BFF">
        <w:rPr>
          <w:rFonts w:cs="Arial"/>
        </w:rPr>
        <w:t xml:space="preserve">Robertson, R., Appleby, J. and Hemmings, N. (2022) </w:t>
      </w:r>
      <w:r w:rsidRPr="00720BFF">
        <w:rPr>
          <w:rFonts w:cs="Arial"/>
          <w:i/>
          <w:iCs/>
        </w:rPr>
        <w:t>How is the NHS performing? Quarterly Monitoring Report, Issue 33</w:t>
      </w:r>
      <w:r w:rsidRPr="00720BFF">
        <w:rPr>
          <w:rFonts w:cs="Arial"/>
        </w:rPr>
        <w:t xml:space="preserve">. London: The King’s Fund. Available at: </w:t>
      </w:r>
      <w:hyperlink r:id="rId68" w:history="1">
        <w:r w:rsidRPr="00720BFF">
          <w:rPr>
            <w:rStyle w:val="Hyperlink"/>
            <w:rFonts w:cs="Arial"/>
          </w:rPr>
          <w:t>Public Satisfaction With The NHS And Social Care In 2023 | BSA | The King's Fund</w:t>
        </w:r>
      </w:hyperlink>
      <w:r w:rsidRPr="00720BFF">
        <w:rPr>
          <w:rFonts w:cs="Arial"/>
        </w:rPr>
        <w:t>(Accessed: 24 July 2025).</w:t>
      </w:r>
    </w:p>
    <w:p w14:paraId="45F540E7" w14:textId="77777777" w:rsidR="00720BFF" w:rsidRPr="00720BFF" w:rsidRDefault="00720BFF" w:rsidP="00720BFF">
      <w:pPr>
        <w:rPr>
          <w:rFonts w:cs="Arial"/>
          <w:lang w:val="fr-FR"/>
        </w:rPr>
      </w:pPr>
      <w:r w:rsidRPr="00720BFF">
        <w:rPr>
          <w:rFonts w:cs="Arial"/>
          <w:lang w:val="fr-FR"/>
        </w:rPr>
        <w:lastRenderedPageBreak/>
        <w:t xml:space="preserve">Rokstad, A.M.M. </w:t>
      </w:r>
      <w:r w:rsidRPr="00720BFF">
        <w:rPr>
          <w:rFonts w:cs="Arial"/>
          <w:i/>
          <w:iCs/>
          <w:lang w:val="fr-FR"/>
        </w:rPr>
        <w:t>et al.</w:t>
      </w:r>
      <w:r w:rsidRPr="00720BFF">
        <w:rPr>
          <w:rFonts w:cs="Arial"/>
          <w:lang w:val="fr-FR"/>
        </w:rPr>
        <w:t xml:space="preserve"> </w:t>
      </w:r>
      <w:r w:rsidRPr="00720BFF">
        <w:rPr>
          <w:rFonts w:cs="Arial"/>
        </w:rPr>
        <w:t xml:space="preserve">(2018) ‘The impact of attending day care designed for home-dwelling people with dementia on nursing home admission: a 24-month controlled study’, </w:t>
      </w:r>
      <w:r w:rsidRPr="00720BFF">
        <w:rPr>
          <w:rFonts w:cs="Arial"/>
          <w:i/>
          <w:iCs/>
        </w:rPr>
        <w:t>BMC health services research</w:t>
      </w:r>
      <w:r w:rsidRPr="00720BFF">
        <w:rPr>
          <w:rFonts w:cs="Arial"/>
        </w:rPr>
        <w:t xml:space="preserve">, 18(1). </w:t>
      </w:r>
      <w:r w:rsidRPr="00720BFF">
        <w:rPr>
          <w:rFonts w:cs="Arial"/>
          <w:lang w:val="fr-FR"/>
        </w:rPr>
        <w:t xml:space="preserve">Available at: </w:t>
      </w:r>
      <w:hyperlink r:id="rId69" w:history="1">
        <w:r w:rsidRPr="00720BFF">
          <w:rPr>
            <w:rStyle w:val="Hyperlink"/>
            <w:rFonts w:cs="Arial"/>
            <w:lang w:val="fr-FR"/>
          </w:rPr>
          <w:t>https://doi.org/10.1186/s12913-018-3686-5</w:t>
        </w:r>
      </w:hyperlink>
      <w:r w:rsidRPr="00720BFF">
        <w:rPr>
          <w:rFonts w:cs="Arial"/>
          <w:lang w:val="fr-FR"/>
        </w:rPr>
        <w:t>.</w:t>
      </w:r>
    </w:p>
    <w:p w14:paraId="6CC7B821" w14:textId="77777777" w:rsidR="00720BFF" w:rsidRPr="00720BFF" w:rsidRDefault="00720BFF" w:rsidP="00720BFF">
      <w:pPr>
        <w:rPr>
          <w:rFonts w:cs="Arial"/>
          <w:lang w:val="fr-FR"/>
        </w:rPr>
      </w:pPr>
      <w:r w:rsidRPr="00720BFF">
        <w:rPr>
          <w:rFonts w:cs="Arial"/>
          <w:lang w:val="fr-FR"/>
        </w:rPr>
        <w:t xml:space="preserve">Shepperd, S. </w:t>
      </w:r>
      <w:r w:rsidRPr="00720BFF">
        <w:rPr>
          <w:rFonts w:cs="Arial"/>
          <w:i/>
          <w:iCs/>
          <w:lang w:val="fr-FR"/>
        </w:rPr>
        <w:t>et al.</w:t>
      </w:r>
      <w:r w:rsidRPr="00720BFF">
        <w:rPr>
          <w:rFonts w:cs="Arial"/>
          <w:lang w:val="fr-FR"/>
        </w:rPr>
        <w:t xml:space="preserve"> </w:t>
      </w:r>
      <w:r w:rsidRPr="00720BFF">
        <w:rPr>
          <w:rFonts w:cs="Arial"/>
        </w:rPr>
        <w:t xml:space="preserve">(2017) ‘A multi-centre randomised trial to compare the effectiveness of geriatrician-led admission avoidance hospital at home versus inpatient admission’, </w:t>
      </w:r>
      <w:r w:rsidRPr="00720BFF">
        <w:rPr>
          <w:rFonts w:cs="Arial"/>
          <w:i/>
          <w:iCs/>
        </w:rPr>
        <w:t>Current controlled trials in cardiovascular medicine</w:t>
      </w:r>
      <w:r w:rsidRPr="00720BFF">
        <w:rPr>
          <w:rFonts w:cs="Arial"/>
        </w:rPr>
        <w:t xml:space="preserve">, 18(1). </w:t>
      </w:r>
      <w:r w:rsidRPr="00720BFF">
        <w:rPr>
          <w:rFonts w:cs="Arial"/>
          <w:lang w:val="fr-FR"/>
        </w:rPr>
        <w:t xml:space="preserve">Available at: </w:t>
      </w:r>
      <w:hyperlink r:id="rId70" w:history="1">
        <w:r w:rsidRPr="00720BFF">
          <w:rPr>
            <w:rStyle w:val="Hyperlink"/>
            <w:rFonts w:cs="Arial"/>
            <w:lang w:val="fr-FR"/>
          </w:rPr>
          <w:t>https://doi.org/10.1186/s13063-017-2214-y</w:t>
        </w:r>
      </w:hyperlink>
      <w:r w:rsidRPr="00720BFF">
        <w:rPr>
          <w:rFonts w:cs="Arial"/>
          <w:lang w:val="fr-FR"/>
        </w:rPr>
        <w:t>.</w:t>
      </w:r>
    </w:p>
    <w:p w14:paraId="44EFBE80" w14:textId="77777777" w:rsidR="00720BFF" w:rsidRPr="00720BFF" w:rsidRDefault="00720BFF" w:rsidP="00720BFF">
      <w:pPr>
        <w:rPr>
          <w:rFonts w:cs="Arial"/>
          <w:lang w:val="fr-FR"/>
        </w:rPr>
      </w:pPr>
      <w:r w:rsidRPr="00720BFF">
        <w:rPr>
          <w:rFonts w:cs="Arial"/>
          <w:lang w:val="fr-FR"/>
        </w:rPr>
        <w:t xml:space="preserve">Shiells, K. </w:t>
      </w:r>
      <w:r w:rsidRPr="00720BFF">
        <w:rPr>
          <w:rFonts w:cs="Arial"/>
          <w:i/>
          <w:iCs/>
          <w:lang w:val="fr-FR"/>
        </w:rPr>
        <w:t>et al.</w:t>
      </w:r>
      <w:r w:rsidRPr="00720BFF">
        <w:rPr>
          <w:rFonts w:cs="Arial"/>
          <w:lang w:val="fr-FR"/>
        </w:rPr>
        <w:t xml:space="preserve"> </w:t>
      </w:r>
      <w:r w:rsidRPr="00720BFF">
        <w:rPr>
          <w:rFonts w:cs="Arial"/>
        </w:rPr>
        <w:t xml:space="preserve">(2020) ‘Staff perspectives on the usability of electronic patient records for planning and delivering dementia care in nursing homes: a multiple case study’, </w:t>
      </w:r>
      <w:r w:rsidRPr="00720BFF">
        <w:rPr>
          <w:rFonts w:cs="Arial"/>
          <w:i/>
          <w:iCs/>
        </w:rPr>
        <w:t>BMC medical informatics and decision making</w:t>
      </w:r>
      <w:r w:rsidRPr="00720BFF">
        <w:rPr>
          <w:rFonts w:cs="Arial"/>
        </w:rPr>
        <w:t xml:space="preserve">, 20(1). </w:t>
      </w:r>
      <w:r w:rsidRPr="00720BFF">
        <w:rPr>
          <w:rFonts w:cs="Arial"/>
          <w:lang w:val="fr-FR"/>
        </w:rPr>
        <w:t xml:space="preserve">Available at: </w:t>
      </w:r>
      <w:hyperlink r:id="rId71" w:history="1">
        <w:r w:rsidRPr="00720BFF">
          <w:rPr>
            <w:rStyle w:val="Hyperlink"/>
            <w:rFonts w:cs="Arial"/>
            <w:lang w:val="fr-FR"/>
          </w:rPr>
          <w:t>https://doi.org/10.1186/s12911-020-01160-8</w:t>
        </w:r>
      </w:hyperlink>
      <w:r w:rsidRPr="00720BFF">
        <w:rPr>
          <w:rFonts w:cs="Arial"/>
          <w:lang w:val="fr-FR"/>
        </w:rPr>
        <w:t>.</w:t>
      </w:r>
    </w:p>
    <w:p w14:paraId="3C6C1FB9" w14:textId="77777777" w:rsidR="00720BFF" w:rsidRPr="00720BFF" w:rsidRDefault="00720BFF" w:rsidP="00720BFF">
      <w:pPr>
        <w:rPr>
          <w:rFonts w:cs="Arial"/>
        </w:rPr>
      </w:pPr>
      <w:r w:rsidRPr="00720BFF">
        <w:rPr>
          <w:rFonts w:cs="Arial"/>
        </w:rPr>
        <w:t xml:space="preserve">Skills for Care (2021) </w:t>
      </w:r>
      <w:r w:rsidRPr="00720BFF">
        <w:rPr>
          <w:rFonts w:cs="Arial"/>
          <w:i/>
          <w:iCs/>
        </w:rPr>
        <w:t>Digital Skills in Adult Social Care: Rapid Evidence Review</w:t>
      </w:r>
      <w:r w:rsidRPr="00720BFF">
        <w:rPr>
          <w:rFonts w:cs="Arial"/>
        </w:rPr>
        <w:t xml:space="preserve">. Available at: </w:t>
      </w:r>
      <w:hyperlink r:id="rId72" w:history="1">
        <w:r w:rsidRPr="00720BFF">
          <w:rPr>
            <w:rStyle w:val="Hyperlink"/>
            <w:rFonts w:cs="Arial"/>
          </w:rPr>
          <w:t>Our research reports</w:t>
        </w:r>
      </w:hyperlink>
      <w:r w:rsidRPr="00720BFF">
        <w:rPr>
          <w:rFonts w:cs="Arial"/>
        </w:rPr>
        <w:t xml:space="preserve"> </w:t>
      </w:r>
      <w:r w:rsidRPr="00720BFF">
        <w:rPr>
          <w:rFonts w:cs="Arial"/>
        </w:rPr>
        <w:t>(Accessed: 24 July 2025).</w:t>
      </w:r>
    </w:p>
    <w:p w14:paraId="1B09D347" w14:textId="77777777" w:rsidR="00720BFF" w:rsidRPr="00720BFF" w:rsidRDefault="00720BFF" w:rsidP="00720BFF">
      <w:pPr>
        <w:rPr>
          <w:rFonts w:cs="Arial"/>
          <w:lang w:val="fr-FR"/>
        </w:rPr>
      </w:pPr>
      <w:r w:rsidRPr="00720BFF">
        <w:rPr>
          <w:rFonts w:cs="Arial"/>
          <w:lang w:val="fr-FR"/>
        </w:rPr>
        <w:t xml:space="preserve">Speckemeier, C. </w:t>
      </w:r>
      <w:r w:rsidRPr="00720BFF">
        <w:rPr>
          <w:rFonts w:cs="Arial"/>
          <w:i/>
          <w:iCs/>
          <w:lang w:val="fr-FR"/>
        </w:rPr>
        <w:t>et al.</w:t>
      </w:r>
      <w:r w:rsidRPr="00720BFF">
        <w:rPr>
          <w:rFonts w:cs="Arial"/>
          <w:lang w:val="fr-FR"/>
        </w:rPr>
        <w:t xml:space="preserve"> </w:t>
      </w:r>
      <w:r w:rsidRPr="00720BFF">
        <w:rPr>
          <w:rFonts w:cs="Arial"/>
        </w:rPr>
        <w:t xml:space="preserve">(2023) ‘Assessment of innovative living and care arrangements for persons with dementia: a systematic review’, </w:t>
      </w:r>
      <w:r w:rsidRPr="00720BFF">
        <w:rPr>
          <w:rFonts w:cs="Arial"/>
          <w:i/>
          <w:iCs/>
        </w:rPr>
        <w:t>BMC geriatrics</w:t>
      </w:r>
      <w:r w:rsidRPr="00720BFF">
        <w:rPr>
          <w:rFonts w:cs="Arial"/>
        </w:rPr>
        <w:t xml:space="preserve">, 23(1). </w:t>
      </w:r>
      <w:r w:rsidRPr="00720BFF">
        <w:rPr>
          <w:rFonts w:cs="Arial"/>
          <w:lang w:val="fr-FR"/>
        </w:rPr>
        <w:t xml:space="preserve">Available at: </w:t>
      </w:r>
      <w:hyperlink r:id="rId73" w:history="1">
        <w:r w:rsidRPr="00720BFF">
          <w:rPr>
            <w:rStyle w:val="Hyperlink"/>
            <w:rFonts w:cs="Arial"/>
            <w:lang w:val="fr-FR"/>
          </w:rPr>
          <w:t>https://doi.org/10.1186/s12877-023-04187-4.</w:t>
        </w:r>
      </w:hyperlink>
    </w:p>
    <w:p w14:paraId="62FB00D1" w14:textId="77777777" w:rsidR="00720BFF" w:rsidRPr="00720BFF" w:rsidRDefault="00720BFF" w:rsidP="00720BFF">
      <w:pPr>
        <w:rPr>
          <w:rFonts w:eastAsia="Times New Roman" w:cs="Arial"/>
        </w:rPr>
      </w:pPr>
      <w:r w:rsidRPr="00720BFF">
        <w:rPr>
          <w:rFonts w:eastAsia="Times New Roman" w:cs="Arial"/>
          <w:lang w:val="fr-FR"/>
        </w:rPr>
        <w:t xml:space="preserve">Speckemeier, C. </w:t>
      </w:r>
      <w:r w:rsidRPr="00720BFF">
        <w:rPr>
          <w:rFonts w:eastAsia="Times New Roman" w:cs="Arial"/>
          <w:i/>
          <w:iCs/>
          <w:lang w:val="fr-FR"/>
        </w:rPr>
        <w:t>et al.</w:t>
      </w:r>
      <w:r w:rsidRPr="00720BFF">
        <w:rPr>
          <w:rFonts w:eastAsia="Times New Roman" w:cs="Arial"/>
          <w:lang w:val="fr-FR"/>
        </w:rPr>
        <w:t xml:space="preserve"> </w:t>
      </w:r>
      <w:r w:rsidRPr="00720BFF">
        <w:rPr>
          <w:rFonts w:eastAsia="Times New Roman" w:cs="Arial"/>
        </w:rPr>
        <w:t xml:space="preserve">(2023) ‘Assessment of innovative living and care arrangements for persons with dementia: a systematic review’, </w:t>
      </w:r>
      <w:r w:rsidRPr="00720BFF">
        <w:rPr>
          <w:rFonts w:eastAsia="Times New Roman" w:cs="Arial"/>
          <w:i/>
          <w:iCs/>
        </w:rPr>
        <w:t>BMC geriatrics</w:t>
      </w:r>
      <w:r w:rsidRPr="00720BFF">
        <w:rPr>
          <w:rFonts w:eastAsia="Times New Roman" w:cs="Arial"/>
        </w:rPr>
        <w:t xml:space="preserve">, 23(1). Available at: </w:t>
      </w:r>
      <w:hyperlink r:id="rId74" w:history="1">
        <w:r w:rsidRPr="00720BFF">
          <w:rPr>
            <w:rStyle w:val="Hyperlink"/>
            <w:rFonts w:eastAsia="Times New Roman" w:cs="Arial"/>
            <w:kern w:val="0"/>
            <w:lang w:eastAsia="en-GB"/>
            <w14:ligatures w14:val="none"/>
          </w:rPr>
          <w:t>https://doi.org/10.1186/s12877-023-04187-4</w:t>
        </w:r>
      </w:hyperlink>
      <w:r w:rsidRPr="00720BFF">
        <w:rPr>
          <w:rFonts w:eastAsia="Times New Roman" w:cs="Arial"/>
        </w:rPr>
        <w:t>.</w:t>
      </w:r>
    </w:p>
    <w:p w14:paraId="525B2A57" w14:textId="77777777" w:rsidR="00720BFF" w:rsidRPr="00720BFF" w:rsidRDefault="00720BFF" w:rsidP="00720BFF">
      <w:pPr>
        <w:rPr>
          <w:rFonts w:cs="Arial"/>
        </w:rPr>
      </w:pPr>
      <w:r w:rsidRPr="00720BFF">
        <w:rPr>
          <w:rFonts w:cs="Arial"/>
        </w:rPr>
        <w:t xml:space="preserve">Springhead Park (2023) </w:t>
      </w:r>
      <w:r w:rsidRPr="00720BFF">
        <w:rPr>
          <w:rFonts w:cs="Arial"/>
          <w:i/>
          <w:iCs/>
        </w:rPr>
        <w:t>Dementia Garden in Rothwell</w:t>
      </w:r>
      <w:r w:rsidRPr="00720BFF">
        <w:rPr>
          <w:rFonts w:cs="Arial"/>
        </w:rPr>
        <w:t xml:space="preserve">. Wikipedia. Available at: </w:t>
      </w:r>
      <w:hyperlink r:id="rId75" w:history="1">
        <w:r w:rsidRPr="00720BFF">
          <w:rPr>
            <w:rStyle w:val="Hyperlink"/>
            <w:rFonts w:cs="Arial"/>
          </w:rPr>
          <w:t>https://en.wikipedia.org/wiki/Springhead_Park</w:t>
        </w:r>
      </w:hyperlink>
      <w:r w:rsidRPr="00720BFF">
        <w:rPr>
          <w:rFonts w:cs="Arial"/>
        </w:rPr>
        <w:t xml:space="preserve"> (Accessed: 24 July 2025).</w:t>
      </w:r>
    </w:p>
    <w:p w14:paraId="0E743256" w14:textId="77777777" w:rsidR="00720BFF" w:rsidRPr="00720BFF" w:rsidRDefault="00720BFF" w:rsidP="00720BFF">
      <w:pPr>
        <w:rPr>
          <w:rFonts w:cs="Arial"/>
        </w:rPr>
      </w:pPr>
      <w:r w:rsidRPr="00720BFF">
        <w:rPr>
          <w:rFonts w:cs="Arial"/>
          <w:lang w:val="fr-FR"/>
        </w:rPr>
        <w:t xml:space="preserve">Surr, C.A. </w:t>
      </w:r>
      <w:r w:rsidRPr="00720BFF">
        <w:rPr>
          <w:rFonts w:cs="Arial"/>
          <w:i/>
          <w:iCs/>
          <w:lang w:val="fr-FR"/>
        </w:rPr>
        <w:t>et al.</w:t>
      </w:r>
      <w:r w:rsidRPr="00720BFF">
        <w:rPr>
          <w:rFonts w:cs="Arial"/>
          <w:lang w:val="fr-FR"/>
        </w:rPr>
        <w:t xml:space="preserve"> </w:t>
      </w:r>
      <w:r w:rsidRPr="00720BFF">
        <w:rPr>
          <w:rFonts w:cs="Arial"/>
        </w:rPr>
        <w:t>(2016) ‘Evaluating the effectiveness and cost-effectiveness of Dementia Care Mapping</w:t>
      </w:r>
      <w:r w:rsidRPr="00720BFF">
        <w:rPr>
          <w:rFonts w:cs="Arial"/>
          <w:vertAlign w:val="superscript"/>
        </w:rPr>
        <w:t>TM</w:t>
      </w:r>
      <w:r w:rsidRPr="00720BFF">
        <w:rPr>
          <w:rFonts w:cs="Arial"/>
        </w:rPr>
        <w:t xml:space="preserve"> to enable person-centred care for people with dementia and their carers (DCM-EPIC) in care homes: study protocol for a randomised controlled trial’, </w:t>
      </w:r>
      <w:r w:rsidRPr="00720BFF">
        <w:rPr>
          <w:rFonts w:cs="Arial"/>
          <w:i/>
          <w:iCs/>
        </w:rPr>
        <w:t>Current controlled trials in cardiovascular medicine</w:t>
      </w:r>
      <w:r w:rsidRPr="00720BFF">
        <w:rPr>
          <w:rFonts w:cs="Arial"/>
        </w:rPr>
        <w:t xml:space="preserve">, 17(1). Available at: </w:t>
      </w:r>
      <w:hyperlink r:id="rId76" w:history="1">
        <w:r w:rsidRPr="00720BFF">
          <w:rPr>
            <w:rStyle w:val="Hyperlink"/>
            <w:rFonts w:cs="Arial"/>
          </w:rPr>
          <w:t>https://doi.org/10.1186/s13063-016-1416-z</w:t>
        </w:r>
      </w:hyperlink>
      <w:r w:rsidRPr="00720BFF">
        <w:rPr>
          <w:rFonts w:cs="Arial"/>
        </w:rPr>
        <w:t>.</w:t>
      </w:r>
    </w:p>
    <w:p w14:paraId="1ABBC1D8" w14:textId="77777777" w:rsidR="00720BFF" w:rsidRPr="00720BFF" w:rsidRDefault="00720BFF" w:rsidP="00720BFF">
      <w:pPr>
        <w:rPr>
          <w:rFonts w:cs="Arial"/>
        </w:rPr>
      </w:pPr>
      <w:r w:rsidRPr="00720BFF">
        <w:rPr>
          <w:rFonts w:cs="Arial"/>
        </w:rPr>
        <w:t xml:space="preserve">TechUK (2023) </w:t>
      </w:r>
      <w:r w:rsidRPr="00720BFF">
        <w:rPr>
          <w:rFonts w:cs="Arial"/>
          <w:i/>
          <w:iCs/>
        </w:rPr>
        <w:t>Digital Transformation in Social Care: Scaling Innovation in Local Authorities</w:t>
      </w:r>
      <w:r w:rsidRPr="00720BFF">
        <w:rPr>
          <w:rFonts w:cs="Arial"/>
        </w:rPr>
        <w:t xml:space="preserve">. Available at: </w:t>
      </w:r>
      <w:hyperlink r:id="rId77" w:history="1">
        <w:r w:rsidRPr="00720BFF">
          <w:rPr>
            <w:rStyle w:val="Hyperlink"/>
            <w:rFonts w:cs="Arial"/>
          </w:rPr>
          <w:t>Driving Digital Transformation: techUK's Recommendations for Health &amp; Social Care</w:t>
        </w:r>
      </w:hyperlink>
      <w:r w:rsidRPr="00720BFF">
        <w:rPr>
          <w:rFonts w:cs="Arial"/>
        </w:rPr>
        <w:t xml:space="preserve"> (</w:t>
      </w:r>
      <w:r w:rsidRPr="00720BFF">
        <w:rPr>
          <w:rFonts w:cs="Arial"/>
        </w:rPr>
        <w:t>Accessed: 24 July 2025).</w:t>
      </w:r>
    </w:p>
    <w:p w14:paraId="30084294" w14:textId="77777777" w:rsidR="00720BFF" w:rsidRPr="00720BFF" w:rsidRDefault="00720BFF" w:rsidP="00720BFF">
      <w:pPr>
        <w:rPr>
          <w:rFonts w:cs="Arial"/>
        </w:rPr>
      </w:pPr>
      <w:r w:rsidRPr="00720BFF">
        <w:rPr>
          <w:rFonts w:cs="Arial"/>
        </w:rPr>
        <w:t xml:space="preserve">Training 2 CARE (2023) </w:t>
      </w:r>
      <w:r w:rsidRPr="00720BFF">
        <w:rPr>
          <w:rFonts w:cs="Arial"/>
          <w:i/>
          <w:iCs/>
        </w:rPr>
        <w:t>Virtual Dementia Tour (VDT)</w:t>
      </w:r>
      <w:r w:rsidRPr="00720BFF">
        <w:rPr>
          <w:rFonts w:cs="Arial"/>
        </w:rPr>
        <w:t xml:space="preserve">. Available at: </w:t>
      </w:r>
      <w:hyperlink r:id="rId78" w:history="1">
        <w:r w:rsidRPr="00720BFF">
          <w:rPr>
            <w:rStyle w:val="Hyperlink"/>
            <w:rFonts w:cs="Arial"/>
          </w:rPr>
          <w:t>https://www.training2care.com/virtual-dementia-tour.htm</w:t>
        </w:r>
      </w:hyperlink>
      <w:r w:rsidRPr="00720BFF">
        <w:rPr>
          <w:rFonts w:cs="Arial"/>
        </w:rPr>
        <w:t xml:space="preserve"> (Accessed: 18 July 2025).</w:t>
      </w:r>
    </w:p>
    <w:p w14:paraId="47EEE9B4" w14:textId="77777777" w:rsidR="00720BFF" w:rsidRPr="00720BFF" w:rsidRDefault="00720BFF" w:rsidP="00720BFF">
      <w:pPr>
        <w:rPr>
          <w:rFonts w:cs="Arial"/>
        </w:rPr>
      </w:pPr>
      <w:r w:rsidRPr="00720BFF">
        <w:rPr>
          <w:rFonts w:cs="Arial"/>
        </w:rPr>
        <w:t xml:space="preserve">United Nations (2006) </w:t>
      </w:r>
      <w:r w:rsidRPr="00720BFF">
        <w:rPr>
          <w:rStyle w:val="Emphasis"/>
          <w:rFonts w:cs="Arial"/>
        </w:rPr>
        <w:t>Convention on the Rights of Persons with Disabilities</w:t>
      </w:r>
      <w:r w:rsidRPr="00720BFF">
        <w:rPr>
          <w:rFonts w:cs="Arial"/>
        </w:rPr>
        <w:t xml:space="preserve">. Available at: </w:t>
      </w:r>
      <w:hyperlink r:id="rId79" w:tgtFrame="_new" w:history="1">
        <w:r w:rsidRPr="00720BFF">
          <w:rPr>
            <w:rStyle w:val="Hyperlink"/>
            <w:rFonts w:cs="Arial"/>
          </w:rPr>
          <w:t>https://www.un.org/development/desa/disabilities</w:t>
        </w:r>
      </w:hyperlink>
      <w:r w:rsidRPr="00720BFF">
        <w:rPr>
          <w:rFonts w:cs="Arial"/>
        </w:rPr>
        <w:t xml:space="preserve"> (Accessed: 8 April 2025).</w:t>
      </w:r>
    </w:p>
    <w:p w14:paraId="3388723D" w14:textId="77777777" w:rsidR="00720BFF" w:rsidRPr="00720BFF" w:rsidRDefault="00720BFF" w:rsidP="00720BFF">
      <w:pPr>
        <w:rPr>
          <w:rFonts w:cs="Arial"/>
        </w:rPr>
      </w:pPr>
      <w:r w:rsidRPr="00720BFF">
        <w:rPr>
          <w:rFonts w:cs="Arial"/>
        </w:rPr>
        <w:lastRenderedPageBreak/>
        <w:t xml:space="preserve">Van der Steen, J.T. </w:t>
      </w:r>
      <w:r w:rsidRPr="00720BFF">
        <w:rPr>
          <w:rFonts w:cs="Arial"/>
          <w:i/>
          <w:iCs/>
        </w:rPr>
        <w:t>et al.</w:t>
      </w:r>
      <w:r w:rsidRPr="00720BFF">
        <w:rPr>
          <w:rFonts w:cs="Arial"/>
        </w:rPr>
        <w:t xml:space="preserve"> (2021) ‘Practitioners’ perceptions of acceptability of a question prompt list about palliative care for advance care planning with people living with dementia and their family caregivers: a mixed-methods evaluation study’, </w:t>
      </w:r>
      <w:r w:rsidRPr="00720BFF">
        <w:rPr>
          <w:rFonts w:cs="Arial"/>
          <w:i/>
          <w:iCs/>
        </w:rPr>
        <w:t>BMJ open</w:t>
      </w:r>
      <w:r w:rsidRPr="00720BFF">
        <w:rPr>
          <w:rFonts w:cs="Arial"/>
        </w:rPr>
        <w:t xml:space="preserve">, 11(4), pp. e044591–e044591. Available at: </w:t>
      </w:r>
      <w:hyperlink r:id="rId80" w:history="1">
        <w:r w:rsidRPr="00720BFF">
          <w:rPr>
            <w:rStyle w:val="Hyperlink"/>
            <w:rFonts w:cs="Arial"/>
          </w:rPr>
          <w:t>https://doi.org/10.1136/bmjopen-2020-044591</w:t>
        </w:r>
      </w:hyperlink>
      <w:r w:rsidRPr="00720BFF">
        <w:rPr>
          <w:rFonts w:cs="Arial"/>
        </w:rPr>
        <w:t>.</w:t>
      </w:r>
    </w:p>
    <w:p w14:paraId="14934B74" w14:textId="77777777" w:rsidR="00720BFF" w:rsidRPr="00720BFF" w:rsidRDefault="00720BFF" w:rsidP="00720BFF">
      <w:pPr>
        <w:rPr>
          <w:rFonts w:cs="Arial"/>
        </w:rPr>
      </w:pPr>
      <w:r w:rsidRPr="00720BFF">
        <w:rPr>
          <w:rFonts w:cs="Arial"/>
        </w:rPr>
        <w:t xml:space="preserve">Vislapuu, M. et al. (2021) ‘The consequences of COVID-19 lockdown for formal and informal resource utilization among home-dwelling people with dementia: results from the prospective PAN.DEM study’, BMC health services research, 21(1), pp. 1003–1003. Available at: </w:t>
      </w:r>
      <w:bookmarkStart w:id="31" w:name="_Hlk204207715"/>
      <w:r w:rsidRPr="00720BFF">
        <w:rPr>
          <w:rFonts w:cs="Arial"/>
        </w:rPr>
        <w:fldChar w:fldCharType="begin"/>
      </w:r>
      <w:r w:rsidRPr="00720BFF">
        <w:rPr>
          <w:rFonts w:cs="Arial"/>
        </w:rPr>
        <w:instrText>HYPERLINK "https://doi.org/10.1186/s12913-021-07041-8"</w:instrText>
      </w:r>
      <w:r w:rsidRPr="00720BFF">
        <w:rPr>
          <w:rFonts w:cs="Arial"/>
        </w:rPr>
        <w:fldChar w:fldCharType="separate"/>
      </w:r>
      <w:r w:rsidRPr="00720BFF">
        <w:rPr>
          <w:rStyle w:val="Hyperlink"/>
          <w:rFonts w:cs="Arial"/>
        </w:rPr>
        <w:t>https://doi.org/10.1186/s12913-021-07041-8</w:t>
      </w:r>
      <w:bookmarkEnd w:id="31"/>
      <w:r w:rsidRPr="00720BFF">
        <w:rPr>
          <w:rFonts w:cs="Arial"/>
        </w:rPr>
        <w:fldChar w:fldCharType="end"/>
      </w:r>
      <w:r w:rsidRPr="00720BFF">
        <w:rPr>
          <w:rFonts w:cs="Arial"/>
        </w:rPr>
        <w:t>.</w:t>
      </w:r>
    </w:p>
    <w:p w14:paraId="71C26AF1" w14:textId="77777777" w:rsidR="00720BFF" w:rsidRPr="00720BFF" w:rsidRDefault="00720BFF" w:rsidP="00720BFF">
      <w:pPr>
        <w:rPr>
          <w:rFonts w:cs="Arial"/>
        </w:rPr>
      </w:pPr>
      <w:r w:rsidRPr="00720BFF">
        <w:rPr>
          <w:rFonts w:cs="Arial"/>
        </w:rPr>
        <w:t xml:space="preserve">Wenborn, J. </w:t>
      </w:r>
      <w:r w:rsidRPr="00720BFF">
        <w:rPr>
          <w:rFonts w:cs="Arial"/>
          <w:i/>
          <w:iCs/>
        </w:rPr>
        <w:t>et al.</w:t>
      </w:r>
      <w:r w:rsidRPr="00720BFF">
        <w:rPr>
          <w:rFonts w:cs="Arial"/>
        </w:rPr>
        <w:t xml:space="preserve"> (2021) ‘Community Occupational Therapy for people with dementia and family carers (COTiD-UK) versus treatment as usual (Valuing Active Life in Dementia [VALID]) study: A single-blind, randomised controlled trial’, </w:t>
      </w:r>
      <w:r w:rsidRPr="00720BFF">
        <w:rPr>
          <w:rFonts w:cs="Arial"/>
          <w:i/>
          <w:iCs/>
        </w:rPr>
        <w:t>PLoS medicine</w:t>
      </w:r>
      <w:r w:rsidRPr="00720BFF">
        <w:rPr>
          <w:rFonts w:cs="Arial"/>
        </w:rPr>
        <w:t xml:space="preserve">, 18(1), p. e1003433. Available at: </w:t>
      </w:r>
      <w:hyperlink r:id="rId81" w:history="1">
        <w:r w:rsidRPr="00720BFF">
          <w:rPr>
            <w:rStyle w:val="Hyperlink"/>
            <w:rFonts w:cs="Arial"/>
          </w:rPr>
          <w:t>https://doi.org/10.1371/journal.pmed.1003433</w:t>
        </w:r>
      </w:hyperlink>
      <w:r w:rsidRPr="00720BFF">
        <w:rPr>
          <w:rFonts w:cs="Arial"/>
        </w:rPr>
        <w:t>.</w:t>
      </w:r>
    </w:p>
    <w:p w14:paraId="4A8D9C88" w14:textId="77777777" w:rsidR="00720BFF" w:rsidRPr="00720BFF" w:rsidRDefault="00720BFF" w:rsidP="00720BFF">
      <w:pPr>
        <w:rPr>
          <w:rFonts w:cs="Arial"/>
        </w:rPr>
      </w:pPr>
      <w:r w:rsidRPr="00720BFF">
        <w:rPr>
          <w:rFonts w:cs="Arial"/>
        </w:rPr>
        <w:t xml:space="preserve">WHO (2021) </w:t>
      </w:r>
      <w:r w:rsidRPr="00720BFF">
        <w:rPr>
          <w:rStyle w:val="Emphasis"/>
          <w:rFonts w:cs="Arial"/>
        </w:rPr>
        <w:t>Global Status Report on the Public Health Response to Dementia</w:t>
      </w:r>
      <w:r w:rsidRPr="00720BFF">
        <w:rPr>
          <w:rFonts w:cs="Arial"/>
        </w:rPr>
        <w:t xml:space="preserve">. Geneva: World Health Organization. Available at: </w:t>
      </w:r>
      <w:hyperlink r:id="rId82" w:history="1">
        <w:r w:rsidRPr="00720BFF">
          <w:rPr>
            <w:rStyle w:val="Hyperlink"/>
            <w:rFonts w:cs="Arial"/>
          </w:rPr>
          <w:t>Global status report on the public health response to dementia</w:t>
        </w:r>
      </w:hyperlink>
      <w:r w:rsidRPr="00720BFF">
        <w:rPr>
          <w:rFonts w:cs="Arial"/>
        </w:rPr>
        <w:t xml:space="preserve"> (Accessed: 15 April 2025).</w:t>
      </w:r>
    </w:p>
    <w:p w14:paraId="35BAE659" w14:textId="77777777" w:rsidR="00720BFF" w:rsidRPr="00720BFF" w:rsidRDefault="00720BFF" w:rsidP="00720BFF">
      <w:pPr>
        <w:rPr>
          <w:rFonts w:cs="Arial"/>
        </w:rPr>
      </w:pPr>
      <w:r w:rsidRPr="00720BFF">
        <w:rPr>
          <w:rFonts w:cs="Arial"/>
        </w:rPr>
        <w:t xml:space="preserve">WHO (2023) </w:t>
      </w:r>
      <w:r w:rsidRPr="00720BFF">
        <w:rPr>
          <w:rStyle w:val="Emphasis"/>
          <w:rFonts w:cs="Arial"/>
        </w:rPr>
        <w:t>Dementia Fact Sheet</w:t>
      </w:r>
      <w:r w:rsidRPr="00720BFF">
        <w:rPr>
          <w:rFonts w:cs="Arial"/>
        </w:rPr>
        <w:t xml:space="preserve">. Available at: </w:t>
      </w:r>
      <w:hyperlink r:id="rId83" w:tgtFrame="_new" w:history="1">
        <w:r w:rsidRPr="00720BFF">
          <w:rPr>
            <w:rStyle w:val="Hyperlink"/>
            <w:rFonts w:cs="Arial"/>
          </w:rPr>
          <w:t>https://www.who.int/news-room/fact-sheets/detail/dementia</w:t>
        </w:r>
      </w:hyperlink>
      <w:r w:rsidRPr="00720BFF">
        <w:rPr>
          <w:rFonts w:cs="Arial"/>
        </w:rPr>
        <w:t xml:space="preserve"> (Accessed: 8 April 2025).</w:t>
      </w:r>
    </w:p>
    <w:p w14:paraId="5E23AF1C" w14:textId="77777777" w:rsidR="00720BFF" w:rsidRPr="00720BFF" w:rsidRDefault="00720BFF" w:rsidP="00720BFF">
      <w:pPr>
        <w:rPr>
          <w:rFonts w:eastAsia="Times New Roman" w:cs="Arial"/>
        </w:rPr>
      </w:pPr>
      <w:r w:rsidRPr="00720BFF">
        <w:rPr>
          <w:rFonts w:eastAsia="Times New Roman" w:cs="Arial"/>
        </w:rPr>
        <w:t xml:space="preserve">Wimo, A. </w:t>
      </w:r>
      <w:r w:rsidRPr="00720BFF">
        <w:rPr>
          <w:rFonts w:eastAsia="Times New Roman" w:cs="Arial"/>
          <w:i/>
          <w:iCs/>
        </w:rPr>
        <w:t>et al.</w:t>
      </w:r>
      <w:r w:rsidRPr="00720BFF">
        <w:rPr>
          <w:rFonts w:eastAsia="Times New Roman" w:cs="Arial"/>
        </w:rPr>
        <w:t xml:space="preserve"> (2017) ‘The worldwide costs of dementia 2015 and comparisons with 2010’, </w:t>
      </w:r>
      <w:r w:rsidRPr="00720BFF">
        <w:rPr>
          <w:rFonts w:eastAsia="Times New Roman" w:cs="Arial"/>
          <w:i/>
          <w:iCs/>
        </w:rPr>
        <w:t>Alzheimer’s &amp; dementia</w:t>
      </w:r>
      <w:r w:rsidRPr="00720BFF">
        <w:rPr>
          <w:rFonts w:eastAsia="Times New Roman" w:cs="Arial"/>
        </w:rPr>
        <w:t xml:space="preserve">, 13(1), pp. 1–7. Available at: </w:t>
      </w:r>
      <w:hyperlink r:id="rId84" w:history="1">
        <w:r w:rsidRPr="00720BFF">
          <w:rPr>
            <w:rStyle w:val="Hyperlink"/>
            <w:rFonts w:eastAsia="Times New Roman" w:cs="Arial"/>
            <w:kern w:val="0"/>
            <w:lang w:eastAsia="en-GB"/>
            <w14:ligatures w14:val="none"/>
          </w:rPr>
          <w:t>https://doi.org/10.1016/j.jalz.2016.07.150</w:t>
        </w:r>
      </w:hyperlink>
      <w:r w:rsidRPr="00720BFF">
        <w:rPr>
          <w:rFonts w:eastAsia="Times New Roman" w:cs="Arial"/>
        </w:rPr>
        <w:t>.</w:t>
      </w:r>
    </w:p>
    <w:p w14:paraId="1A01A9A7" w14:textId="77777777" w:rsidR="00720BFF" w:rsidRPr="00720BFF" w:rsidRDefault="00720BFF" w:rsidP="00720BFF">
      <w:pPr>
        <w:rPr>
          <w:rFonts w:cs="Arial"/>
        </w:rPr>
      </w:pPr>
      <w:r w:rsidRPr="00720BFF">
        <w:rPr>
          <w:rFonts w:cs="Arial"/>
        </w:rPr>
        <w:t xml:space="preserve">Wimo, A., Guerchet, M., Ali, G.C., Wu, Y.T. and Prince, M. (2018) </w:t>
      </w:r>
      <w:r w:rsidRPr="00720BFF">
        <w:rPr>
          <w:rStyle w:val="Emphasis"/>
          <w:rFonts w:cs="Arial"/>
        </w:rPr>
        <w:t>The Worldwide Costs of Dementia 2015 and Comparisons with 2010</w:t>
      </w:r>
      <w:r w:rsidRPr="00720BFF">
        <w:rPr>
          <w:rFonts w:cs="Arial"/>
        </w:rPr>
        <w:t xml:space="preserve">. Alzheimer’s Disease International. Available at: </w:t>
      </w:r>
      <w:hyperlink r:id="rId85" w:tgtFrame="_new" w:history="1">
        <w:r w:rsidRPr="00720BFF">
          <w:rPr>
            <w:rStyle w:val="Hyperlink"/>
            <w:rFonts w:cs="Arial"/>
          </w:rPr>
          <w:t>https://www.alzint.org</w:t>
        </w:r>
      </w:hyperlink>
      <w:r w:rsidRPr="00720BFF">
        <w:rPr>
          <w:rFonts w:cs="Arial"/>
        </w:rPr>
        <w:t xml:space="preserve"> (Accessed: 8 April 2025).</w:t>
      </w:r>
    </w:p>
    <w:p w14:paraId="4CD63566" w14:textId="77777777" w:rsidR="00720BFF" w:rsidRPr="00720BFF" w:rsidRDefault="00720BFF" w:rsidP="00720BFF">
      <w:pPr>
        <w:rPr>
          <w:rFonts w:cs="Arial"/>
        </w:rPr>
      </w:pPr>
      <w:r w:rsidRPr="00720BFF">
        <w:rPr>
          <w:rFonts w:cs="Arial"/>
        </w:rPr>
        <w:t xml:space="preserve">Yan, D. </w:t>
      </w:r>
      <w:r w:rsidRPr="00720BFF">
        <w:rPr>
          <w:rFonts w:cs="Arial"/>
          <w:i/>
          <w:iCs/>
        </w:rPr>
        <w:t>et al.</w:t>
      </w:r>
      <w:r w:rsidRPr="00720BFF">
        <w:rPr>
          <w:rFonts w:cs="Arial"/>
        </w:rPr>
        <w:t xml:space="preserve"> (2021) ‘Admissions to High</w:t>
      </w:r>
      <w:r w:rsidRPr="00720BFF">
        <w:rPr>
          <w:rFonts w:ascii="Cambria Math" w:hAnsi="Cambria Math" w:cs="Cambria Math"/>
        </w:rPr>
        <w:t>‐</w:t>
      </w:r>
      <w:r w:rsidRPr="00720BFF">
        <w:rPr>
          <w:rFonts w:cs="Arial"/>
        </w:rPr>
        <w:t xml:space="preserve">Quality Nursing Homes from Community: Racial Differences and Medicaid Policy Effects’, </w:t>
      </w:r>
      <w:r w:rsidRPr="00720BFF">
        <w:rPr>
          <w:rFonts w:cs="Arial"/>
          <w:i/>
          <w:iCs/>
        </w:rPr>
        <w:t>Health services research</w:t>
      </w:r>
      <w:r w:rsidRPr="00720BFF">
        <w:rPr>
          <w:rFonts w:cs="Arial"/>
        </w:rPr>
        <w:t xml:space="preserve">, 56(S2), pp. 16–17. Available at: </w:t>
      </w:r>
      <w:hyperlink r:id="rId86" w:history="1">
        <w:r w:rsidRPr="00720BFF">
          <w:rPr>
            <w:rStyle w:val="Hyperlink"/>
            <w:rFonts w:cs="Arial"/>
          </w:rPr>
          <w:t>https://doi.org/10.1111/1475-6773.13740</w:t>
        </w:r>
      </w:hyperlink>
      <w:r w:rsidRPr="00720BFF">
        <w:rPr>
          <w:rFonts w:cs="Arial"/>
        </w:rPr>
        <w:t>.</w:t>
      </w:r>
    </w:p>
    <w:p w14:paraId="50CB59B4" w14:textId="77777777" w:rsidR="00720BFF" w:rsidRPr="00720BFF" w:rsidRDefault="00720BFF" w:rsidP="00720BFF">
      <w:pPr>
        <w:rPr>
          <w:rFonts w:cs="Arial"/>
        </w:rPr>
      </w:pPr>
      <w:r w:rsidRPr="00720BFF">
        <w:rPr>
          <w:rFonts w:cs="Arial"/>
        </w:rPr>
        <w:t xml:space="preserve">Yin, G., Sivaramakrishnan, D. and Macaden, L. (2024) ‘Bring dying at home: What facilitates and hinders home-based end-of-life care for people living with dementia?—A systematic review and meta-ethnography protocol’, </w:t>
      </w:r>
      <w:r w:rsidRPr="00720BFF">
        <w:rPr>
          <w:rFonts w:cs="Arial"/>
          <w:i/>
          <w:iCs/>
        </w:rPr>
        <w:t>PloS one</w:t>
      </w:r>
      <w:r w:rsidRPr="00720BFF">
        <w:rPr>
          <w:rFonts w:cs="Arial"/>
        </w:rPr>
        <w:t xml:space="preserve">, 19(12), p. e0316446. Available at: </w:t>
      </w:r>
      <w:hyperlink r:id="rId87" w:history="1">
        <w:r w:rsidRPr="00720BFF">
          <w:rPr>
            <w:rStyle w:val="Hyperlink"/>
            <w:rFonts w:cs="Arial"/>
          </w:rPr>
          <w:t>https://doi.org/10.1371/journal.pone.0316446.</w:t>
        </w:r>
      </w:hyperlink>
    </w:p>
    <w:p w14:paraId="10757619" w14:textId="5D356538" w:rsidR="00D63A22" w:rsidRDefault="00720BFF" w:rsidP="00FB2105">
      <w:pPr>
        <w:rPr>
          <w:rFonts w:cs="Arial"/>
        </w:rPr>
      </w:pPr>
      <w:r w:rsidRPr="00720BFF">
        <w:rPr>
          <w:rFonts w:cs="Arial"/>
        </w:rPr>
        <w:t xml:space="preserve">Young, C. </w:t>
      </w:r>
      <w:r w:rsidRPr="00720BFF">
        <w:rPr>
          <w:rFonts w:cs="Arial"/>
          <w:i/>
          <w:iCs/>
        </w:rPr>
        <w:t>et al.</w:t>
      </w:r>
      <w:r w:rsidRPr="00720BFF">
        <w:rPr>
          <w:rFonts w:cs="Arial"/>
        </w:rPr>
        <w:t xml:space="preserve"> (2017) ‘Home or foster home care versus institutional long</w:t>
      </w:r>
      <w:r w:rsidRPr="00720BFF">
        <w:rPr>
          <w:rFonts w:ascii="Cambria Math" w:hAnsi="Cambria Math" w:cs="Cambria Math"/>
        </w:rPr>
        <w:t>‐</w:t>
      </w:r>
      <w:r w:rsidRPr="00720BFF">
        <w:rPr>
          <w:rFonts w:cs="Arial"/>
        </w:rPr>
        <w:t xml:space="preserve">term care for functionally dependent older people’, </w:t>
      </w:r>
      <w:r w:rsidRPr="00720BFF">
        <w:rPr>
          <w:rFonts w:cs="Arial"/>
          <w:i/>
          <w:iCs/>
        </w:rPr>
        <w:t>Cochrane database of systematic reviews</w:t>
      </w:r>
      <w:r w:rsidRPr="00720BFF">
        <w:rPr>
          <w:rFonts w:cs="Arial"/>
        </w:rPr>
        <w:t xml:space="preserve">, 2017(4), p. CD009844. Available at: </w:t>
      </w:r>
      <w:hyperlink r:id="rId88" w:history="1">
        <w:r w:rsidRPr="00720BFF">
          <w:rPr>
            <w:rStyle w:val="Hyperlink"/>
            <w:rFonts w:cs="Arial"/>
          </w:rPr>
          <w:t>https://doi.org/10.1002/14651858.CD009844.pub2</w:t>
        </w:r>
      </w:hyperlink>
    </w:p>
    <w:p w14:paraId="493D5BD5" w14:textId="5D356538" w:rsidR="00482247" w:rsidRDefault="00621776" w:rsidP="003E58B0">
      <w:pPr>
        <w:pStyle w:val="Heading1"/>
        <w:ind w:left="0"/>
        <w:rPr>
          <w:rFonts w:cs="Arial"/>
          <w:sz w:val="28"/>
          <w:szCs w:val="28"/>
        </w:rPr>
      </w:pPr>
      <w:bookmarkStart w:id="32" w:name="_Toc204256383"/>
      <w:r w:rsidRPr="00F91C8D">
        <w:rPr>
          <w:rFonts w:cs="Arial"/>
          <w:sz w:val="28"/>
          <w:szCs w:val="28"/>
        </w:rPr>
        <w:lastRenderedPageBreak/>
        <w:t>6.2 – Appendices</w:t>
      </w:r>
      <w:bookmarkEnd w:id="32"/>
      <w:r w:rsidRPr="00F91C8D">
        <w:rPr>
          <w:rFonts w:cs="Arial"/>
          <w:sz w:val="28"/>
          <w:szCs w:val="28"/>
        </w:rPr>
        <w:t xml:space="preserve"> </w:t>
      </w:r>
    </w:p>
    <w:p w14:paraId="05E907BE" w14:textId="77777777" w:rsidR="006C5D32" w:rsidRDefault="006C5D32" w:rsidP="003E58B0">
      <w:pPr>
        <w:pStyle w:val="Heading1"/>
        <w:ind w:left="0"/>
        <w:rPr>
          <w:rFonts w:cs="Arial"/>
          <w:sz w:val="28"/>
          <w:szCs w:val="28"/>
        </w:rPr>
      </w:pPr>
    </w:p>
    <w:p w14:paraId="2C795699" w14:textId="1399BDC9" w:rsidR="006C5D32" w:rsidRPr="006C5D32" w:rsidRDefault="006C5D32" w:rsidP="00482247">
      <w:pPr>
        <w:rPr>
          <w:sz w:val="28"/>
          <w:szCs w:val="28"/>
        </w:rPr>
      </w:pPr>
      <w:bookmarkStart w:id="33" w:name="_Toc204256384"/>
      <w:r>
        <w:rPr>
          <w:rStyle w:val="Heading2Char"/>
          <w:rFonts w:ascii="Arial" w:hAnsi="Arial" w:cs="Arial"/>
        </w:rPr>
        <w:t>6.</w:t>
      </w:r>
      <w:r w:rsidRPr="00482247">
        <w:rPr>
          <w:rStyle w:val="Heading2Char"/>
          <w:rFonts w:ascii="Arial" w:hAnsi="Arial" w:cs="Arial"/>
        </w:rPr>
        <w:t xml:space="preserve">2.1 </w:t>
      </w:r>
      <w:r>
        <w:rPr>
          <w:rStyle w:val="Heading2Char"/>
          <w:rFonts w:ascii="Arial" w:hAnsi="Arial" w:cs="Arial"/>
        </w:rPr>
        <w:t>UWTSD Code of Practice for Research Ethics and Integrity</w:t>
      </w:r>
      <w:bookmarkEnd w:id="33"/>
    </w:p>
    <w:p w14:paraId="685ED515" w14:textId="58DD45A7" w:rsidR="003E58B0" w:rsidRPr="00482247" w:rsidRDefault="006C5D32" w:rsidP="00482247">
      <w:pPr>
        <w:rPr>
          <w:sz w:val="28"/>
          <w:szCs w:val="28"/>
        </w:rPr>
      </w:pPr>
      <w:r w:rsidRPr="006C5D32">
        <w:rPr>
          <w:sz w:val="34"/>
          <w:szCs w:val="34"/>
        </w:rPr>
        <w:drawing>
          <wp:inline distT="0" distB="0" distL="0" distR="0" wp14:anchorId="7B00619D" wp14:editId="7DA1B384">
            <wp:extent cx="5554766" cy="2895600"/>
            <wp:effectExtent l="0" t="0" r="8255" b="0"/>
            <wp:docPr id="1038486047"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86047" name="Picture 1" descr="A paper with text on it&#10;&#10;AI-generated content may be incorrect."/>
                    <pic:cNvPicPr/>
                  </pic:nvPicPr>
                  <pic:blipFill>
                    <a:blip r:embed="rId89"/>
                    <a:stretch>
                      <a:fillRect/>
                    </a:stretch>
                  </pic:blipFill>
                  <pic:spPr>
                    <a:xfrm>
                      <a:off x="0" y="0"/>
                      <a:ext cx="5559510" cy="2898073"/>
                    </a:xfrm>
                    <a:prstGeom prst="rect">
                      <a:avLst/>
                    </a:prstGeom>
                  </pic:spPr>
                </pic:pic>
              </a:graphicData>
            </a:graphic>
          </wp:inline>
        </w:drawing>
      </w:r>
      <w:r w:rsidR="003E58B0" w:rsidRPr="00F91C8D">
        <w:rPr>
          <w:sz w:val="34"/>
          <w:szCs w:val="34"/>
        </w:rPr>
        <w:br/>
      </w:r>
      <w:r w:rsidR="003E58B0" w:rsidRPr="00482247">
        <w:rPr>
          <w:rStyle w:val="Heading2Char"/>
          <w:rFonts w:ascii="Arial" w:hAnsi="Arial" w:cs="Arial"/>
        </w:rPr>
        <w:t>6.2.</w:t>
      </w:r>
      <w:r>
        <w:rPr>
          <w:rStyle w:val="Heading2Char"/>
          <w:rFonts w:ascii="Arial" w:hAnsi="Arial" w:cs="Arial"/>
        </w:rPr>
        <w:t xml:space="preserve">2 </w:t>
      </w:r>
      <w:r w:rsidR="003E58B0" w:rsidRPr="00482247">
        <w:rPr>
          <w:rStyle w:val="Heading2Char"/>
          <w:rFonts w:ascii="Arial" w:hAnsi="Arial" w:cs="Arial"/>
        </w:rPr>
        <w:t>Source Tracking Table</w:t>
      </w:r>
    </w:p>
    <w:p w14:paraId="33630F70" w14:textId="2FE6524B" w:rsidR="003E58B0" w:rsidRPr="00AB076D" w:rsidRDefault="0015789A" w:rsidP="003E58B0">
      <w:pPr>
        <w:rPr>
          <w:rFonts w:cs="Arial"/>
        </w:rPr>
      </w:pPr>
      <w:r w:rsidRPr="0015789A">
        <w:rPr>
          <w:rFonts w:cs="Arial"/>
        </w:rPr>
        <w:drawing>
          <wp:anchor distT="0" distB="0" distL="114300" distR="114300" simplePos="0" relativeHeight="251660288" behindDoc="0" locked="0" layoutInCell="1" allowOverlap="1" wp14:anchorId="51815E08" wp14:editId="31EBE3B8">
            <wp:simplePos x="0" y="0"/>
            <wp:positionH relativeFrom="margin">
              <wp:posOffset>-593453</wp:posOffset>
            </wp:positionH>
            <wp:positionV relativeFrom="paragraph">
              <wp:posOffset>4400459</wp:posOffset>
            </wp:positionV>
            <wp:extent cx="7053580" cy="3485515"/>
            <wp:effectExtent l="0" t="0" r="0" b="635"/>
            <wp:wrapThrough wrapText="bothSides">
              <wp:wrapPolygon edited="0">
                <wp:start x="0" y="0"/>
                <wp:lineTo x="0" y="21486"/>
                <wp:lineTo x="21526" y="21486"/>
                <wp:lineTo x="21526" y="0"/>
                <wp:lineTo x="0" y="0"/>
              </wp:wrapPolygon>
            </wp:wrapThrough>
            <wp:docPr id="991377271"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377271" name="Picture 1" descr="A table of information&#10;&#10;AI-generated content may be incorrect."/>
                    <pic:cNvPicPr/>
                  </pic:nvPicPr>
                  <pic:blipFill>
                    <a:blip r:embed="rId90">
                      <a:extLst>
                        <a:ext uri="{28A0092B-C50C-407E-A947-70E740481C1C}">
                          <a14:useLocalDpi xmlns:a14="http://schemas.microsoft.com/office/drawing/2010/main" val="0"/>
                        </a:ext>
                      </a:extLst>
                    </a:blip>
                    <a:stretch>
                      <a:fillRect/>
                    </a:stretch>
                  </pic:blipFill>
                  <pic:spPr>
                    <a:xfrm>
                      <a:off x="0" y="0"/>
                      <a:ext cx="7053580" cy="3485515"/>
                    </a:xfrm>
                    <a:prstGeom prst="rect">
                      <a:avLst/>
                    </a:prstGeom>
                  </pic:spPr>
                </pic:pic>
              </a:graphicData>
            </a:graphic>
            <wp14:sizeRelH relativeFrom="margin">
              <wp14:pctWidth>0</wp14:pctWidth>
            </wp14:sizeRelH>
            <wp14:sizeRelV relativeFrom="margin">
              <wp14:pctHeight>0</wp14:pctHeight>
            </wp14:sizeRelV>
          </wp:anchor>
        </w:drawing>
      </w:r>
      <w:r w:rsidRPr="0015789A">
        <w:rPr>
          <w:rFonts w:cs="Arial"/>
        </w:rPr>
        <w:drawing>
          <wp:anchor distT="0" distB="0" distL="114300" distR="114300" simplePos="0" relativeHeight="251659264" behindDoc="0" locked="0" layoutInCell="1" allowOverlap="1" wp14:anchorId="5497BFA1" wp14:editId="7EC7A6AB">
            <wp:simplePos x="0" y="0"/>
            <wp:positionH relativeFrom="margin">
              <wp:align>center</wp:align>
            </wp:positionH>
            <wp:positionV relativeFrom="paragraph">
              <wp:posOffset>298995</wp:posOffset>
            </wp:positionV>
            <wp:extent cx="7125970" cy="4101465"/>
            <wp:effectExtent l="0" t="0" r="0" b="0"/>
            <wp:wrapThrough wrapText="bothSides">
              <wp:wrapPolygon edited="0">
                <wp:start x="0" y="0"/>
                <wp:lineTo x="0" y="21470"/>
                <wp:lineTo x="21538" y="21470"/>
                <wp:lineTo x="21538" y="0"/>
                <wp:lineTo x="0" y="0"/>
              </wp:wrapPolygon>
            </wp:wrapThrough>
            <wp:docPr id="1462780981" name="Picture 1" descr="A blue and white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80981" name="Picture 1" descr="A blue and white box with text&#10;&#10;AI-generated content may be incorrect."/>
                    <pic:cNvPicPr/>
                  </pic:nvPicPr>
                  <pic:blipFill>
                    <a:blip r:embed="rId91">
                      <a:extLst>
                        <a:ext uri="{28A0092B-C50C-407E-A947-70E740481C1C}">
                          <a14:useLocalDpi xmlns:a14="http://schemas.microsoft.com/office/drawing/2010/main" val="0"/>
                        </a:ext>
                      </a:extLst>
                    </a:blip>
                    <a:stretch>
                      <a:fillRect/>
                    </a:stretch>
                  </pic:blipFill>
                  <pic:spPr>
                    <a:xfrm>
                      <a:off x="0" y="0"/>
                      <a:ext cx="7125970" cy="4101465"/>
                    </a:xfrm>
                    <a:prstGeom prst="rect">
                      <a:avLst/>
                    </a:prstGeom>
                  </pic:spPr>
                </pic:pic>
              </a:graphicData>
            </a:graphic>
            <wp14:sizeRelH relativeFrom="margin">
              <wp14:pctWidth>0</wp14:pctWidth>
            </wp14:sizeRelH>
            <wp14:sizeRelV relativeFrom="margin">
              <wp14:pctHeight>0</wp14:pctHeight>
            </wp14:sizeRelV>
          </wp:anchor>
        </w:drawing>
      </w:r>
    </w:p>
    <w:p w14:paraId="5C0C1BF8" w14:textId="77777777" w:rsidR="00010304" w:rsidRDefault="00010304" w:rsidP="00621776">
      <w:pPr>
        <w:rPr>
          <w:rFonts w:cs="Arial"/>
          <w:b/>
          <w:bCs/>
          <w:sz w:val="28"/>
          <w:szCs w:val="28"/>
        </w:rPr>
      </w:pPr>
    </w:p>
    <w:p w14:paraId="61DED526" w14:textId="5799DA93" w:rsidR="003E58B0" w:rsidRDefault="006F32C5" w:rsidP="00621776">
      <w:pPr>
        <w:rPr>
          <w:rFonts w:cs="Arial"/>
          <w:b/>
          <w:bCs/>
          <w:sz w:val="28"/>
          <w:szCs w:val="28"/>
        </w:rPr>
      </w:pPr>
      <w:r w:rsidRPr="006F32C5">
        <w:rPr>
          <w:rFonts w:cs="Arial"/>
          <w:b/>
          <w:bCs/>
          <w:sz w:val="28"/>
          <w:szCs w:val="28"/>
        </w:rPr>
        <w:drawing>
          <wp:inline distT="0" distB="0" distL="0" distR="0" wp14:anchorId="711C0330" wp14:editId="2A35F5EB">
            <wp:extent cx="4858428" cy="3181794"/>
            <wp:effectExtent l="0" t="0" r="0" b="0"/>
            <wp:docPr id="323134888" name="Picture 1" descr="A table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34888" name="Picture 1" descr="A table with different colored squares&#10;&#10;AI-generated content may be incorrect."/>
                    <pic:cNvPicPr/>
                  </pic:nvPicPr>
                  <pic:blipFill>
                    <a:blip r:embed="rId92"/>
                    <a:stretch>
                      <a:fillRect/>
                    </a:stretch>
                  </pic:blipFill>
                  <pic:spPr>
                    <a:xfrm>
                      <a:off x="0" y="0"/>
                      <a:ext cx="4858428" cy="3181794"/>
                    </a:xfrm>
                    <a:prstGeom prst="rect">
                      <a:avLst/>
                    </a:prstGeom>
                  </pic:spPr>
                </pic:pic>
              </a:graphicData>
            </a:graphic>
          </wp:inline>
        </w:drawing>
      </w:r>
    </w:p>
    <w:p w14:paraId="376B0760" w14:textId="77777777" w:rsidR="00010304" w:rsidRDefault="00010304" w:rsidP="00010304">
      <w:pPr>
        <w:rPr>
          <w:rStyle w:val="Heading2Char"/>
          <w:rFonts w:ascii="Arial" w:hAnsi="Arial" w:cs="Arial"/>
        </w:rPr>
      </w:pPr>
    </w:p>
    <w:p w14:paraId="3D1D60B1" w14:textId="77777777" w:rsidR="00010304" w:rsidRDefault="00010304" w:rsidP="00010304">
      <w:pPr>
        <w:rPr>
          <w:rStyle w:val="Heading2Char"/>
          <w:rFonts w:ascii="Arial" w:hAnsi="Arial" w:cs="Arial"/>
        </w:rPr>
      </w:pPr>
    </w:p>
    <w:p w14:paraId="378DFB08" w14:textId="184BED00" w:rsidR="00010304" w:rsidRPr="00482247" w:rsidRDefault="00010304" w:rsidP="00010304">
      <w:pPr>
        <w:rPr>
          <w:rStyle w:val="Heading2Char"/>
          <w:rFonts w:ascii="Arial" w:hAnsi="Arial" w:cs="Arial"/>
        </w:rPr>
      </w:pPr>
      <w:bookmarkStart w:id="34" w:name="_Toc204256385"/>
      <w:r w:rsidRPr="00482247">
        <w:rPr>
          <w:rStyle w:val="Heading2Char"/>
          <w:rFonts w:ascii="Arial" w:hAnsi="Arial" w:cs="Arial"/>
        </w:rPr>
        <w:t>6.2.</w:t>
      </w:r>
      <w:r w:rsidRPr="00482247">
        <w:rPr>
          <w:rStyle w:val="Heading2Char"/>
          <w:rFonts w:ascii="Arial" w:hAnsi="Arial" w:cs="Arial"/>
        </w:rPr>
        <w:t>2</w:t>
      </w:r>
      <w:r w:rsidRPr="00482247">
        <w:rPr>
          <w:rStyle w:val="Heading2Char"/>
          <w:rFonts w:ascii="Arial" w:hAnsi="Arial" w:cs="Arial"/>
        </w:rPr>
        <w:t xml:space="preserve"> </w:t>
      </w:r>
      <w:r w:rsidR="00DC37A1" w:rsidRPr="00482247">
        <w:rPr>
          <w:rStyle w:val="Heading2Char"/>
          <w:rFonts w:ascii="Arial" w:hAnsi="Arial" w:cs="Arial"/>
        </w:rPr>
        <w:t>Result Summary Table</w:t>
      </w:r>
      <w:bookmarkEnd w:id="34"/>
    </w:p>
    <w:p w14:paraId="6362718C" w14:textId="075A8ADD" w:rsidR="00010304" w:rsidRDefault="00010304" w:rsidP="00010304">
      <w:pPr>
        <w:rPr>
          <w:rStyle w:val="Heading2Char"/>
          <w:rFonts w:ascii="Arial" w:hAnsi="Arial" w:cs="Arial"/>
        </w:rPr>
      </w:pPr>
      <w:r>
        <w:rPr>
          <w:rFonts w:eastAsiaTheme="majorEastAsia" w:cs="Arial"/>
          <w:noProof/>
          <w:color w:val="2F5496" w:themeColor="accent1" w:themeShade="BF"/>
          <w:sz w:val="24"/>
          <w:szCs w:val="26"/>
        </w:rPr>
        <w:drawing>
          <wp:anchor distT="0" distB="0" distL="114300" distR="114300" simplePos="0" relativeHeight="251664384" behindDoc="1" locked="0" layoutInCell="1" allowOverlap="1" wp14:anchorId="7EDE172F" wp14:editId="00B03F71">
            <wp:simplePos x="0" y="0"/>
            <wp:positionH relativeFrom="column">
              <wp:posOffset>0</wp:posOffset>
            </wp:positionH>
            <wp:positionV relativeFrom="paragraph">
              <wp:posOffset>257175</wp:posOffset>
            </wp:positionV>
            <wp:extent cx="5731510" cy="3667125"/>
            <wp:effectExtent l="0" t="0" r="2540" b="9525"/>
            <wp:wrapTight wrapText="bothSides">
              <wp:wrapPolygon edited="0">
                <wp:start x="0" y="0"/>
                <wp:lineTo x="0" y="21544"/>
                <wp:lineTo x="21538" y="21544"/>
                <wp:lineTo x="21538" y="0"/>
                <wp:lineTo x="0" y="0"/>
              </wp:wrapPolygon>
            </wp:wrapTight>
            <wp:docPr id="743582851" name="Picture 2" descr="A blue and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582851" name="Picture 2" descr="A blue and white table with text&#10;&#10;AI-generated content may be incorrect."/>
                    <pic:cNvPicPr/>
                  </pic:nvPicPr>
                  <pic:blipFill>
                    <a:blip r:embed="rId93">
                      <a:extLst>
                        <a:ext uri="{28A0092B-C50C-407E-A947-70E740481C1C}">
                          <a14:useLocalDpi xmlns:a14="http://schemas.microsoft.com/office/drawing/2010/main" val="0"/>
                        </a:ext>
                      </a:extLst>
                    </a:blip>
                    <a:stretch>
                      <a:fillRect/>
                    </a:stretch>
                  </pic:blipFill>
                  <pic:spPr>
                    <a:xfrm>
                      <a:off x="0" y="0"/>
                      <a:ext cx="5731510" cy="3667125"/>
                    </a:xfrm>
                    <a:prstGeom prst="rect">
                      <a:avLst/>
                    </a:prstGeom>
                  </pic:spPr>
                </pic:pic>
              </a:graphicData>
            </a:graphic>
          </wp:anchor>
        </w:drawing>
      </w:r>
    </w:p>
    <w:p w14:paraId="7D4FBDBC" w14:textId="427C8972" w:rsidR="00010304" w:rsidRDefault="00010304" w:rsidP="00010304">
      <w:pPr>
        <w:rPr>
          <w:rStyle w:val="Heading2Char"/>
          <w:rFonts w:ascii="Arial" w:hAnsi="Arial" w:cs="Arial"/>
        </w:rPr>
      </w:pPr>
      <w:r>
        <w:rPr>
          <w:rFonts w:eastAsiaTheme="majorEastAsia" w:cs="Arial"/>
          <w:noProof/>
          <w:color w:val="2F5496" w:themeColor="accent1" w:themeShade="BF"/>
          <w:sz w:val="24"/>
          <w:szCs w:val="26"/>
        </w:rPr>
        <w:lastRenderedPageBreak/>
        <w:drawing>
          <wp:anchor distT="0" distB="0" distL="114300" distR="114300" simplePos="0" relativeHeight="251666432" behindDoc="1" locked="0" layoutInCell="1" allowOverlap="1" wp14:anchorId="5077A26B" wp14:editId="2719AC3B">
            <wp:simplePos x="0" y="0"/>
            <wp:positionH relativeFrom="margin">
              <wp:align>center</wp:align>
            </wp:positionH>
            <wp:positionV relativeFrom="paragraph">
              <wp:posOffset>4602480</wp:posOffset>
            </wp:positionV>
            <wp:extent cx="6675120" cy="2941320"/>
            <wp:effectExtent l="0" t="0" r="0" b="0"/>
            <wp:wrapTight wrapText="bothSides">
              <wp:wrapPolygon edited="0">
                <wp:start x="0" y="0"/>
                <wp:lineTo x="0" y="21404"/>
                <wp:lineTo x="21514" y="21404"/>
                <wp:lineTo x="21514" y="0"/>
                <wp:lineTo x="0" y="0"/>
              </wp:wrapPolygon>
            </wp:wrapTight>
            <wp:docPr id="64674098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40986" name="Picture 4" descr="A screenshot of a computer&#10;&#10;AI-generated content may be incorrect."/>
                    <pic:cNvPicPr/>
                  </pic:nvPicPr>
                  <pic:blipFill>
                    <a:blip r:embed="rId94">
                      <a:extLst>
                        <a:ext uri="{28A0092B-C50C-407E-A947-70E740481C1C}">
                          <a14:useLocalDpi xmlns:a14="http://schemas.microsoft.com/office/drawing/2010/main" val="0"/>
                        </a:ext>
                      </a:extLst>
                    </a:blip>
                    <a:stretch>
                      <a:fillRect/>
                    </a:stretch>
                  </pic:blipFill>
                  <pic:spPr>
                    <a:xfrm>
                      <a:off x="0" y="0"/>
                      <a:ext cx="6675120" cy="2941320"/>
                    </a:xfrm>
                    <a:prstGeom prst="rect">
                      <a:avLst/>
                    </a:prstGeom>
                  </pic:spPr>
                </pic:pic>
              </a:graphicData>
            </a:graphic>
            <wp14:sizeRelH relativeFrom="margin">
              <wp14:pctWidth>0</wp14:pctWidth>
            </wp14:sizeRelH>
            <wp14:sizeRelV relativeFrom="margin">
              <wp14:pctHeight>0</wp14:pctHeight>
            </wp14:sizeRelV>
          </wp:anchor>
        </w:drawing>
      </w:r>
      <w:r>
        <w:rPr>
          <w:rFonts w:eastAsiaTheme="majorEastAsia" w:cs="Arial"/>
          <w:noProof/>
          <w:color w:val="2F5496" w:themeColor="accent1" w:themeShade="BF"/>
          <w:sz w:val="24"/>
          <w:szCs w:val="26"/>
        </w:rPr>
        <w:drawing>
          <wp:anchor distT="0" distB="0" distL="114300" distR="114300" simplePos="0" relativeHeight="251665408" behindDoc="1" locked="0" layoutInCell="1" allowOverlap="1" wp14:anchorId="627EB5BC" wp14:editId="56B4E045">
            <wp:simplePos x="0" y="0"/>
            <wp:positionH relativeFrom="margin">
              <wp:align>center</wp:align>
            </wp:positionH>
            <wp:positionV relativeFrom="paragraph">
              <wp:posOffset>0</wp:posOffset>
            </wp:positionV>
            <wp:extent cx="6766560" cy="4537778"/>
            <wp:effectExtent l="0" t="0" r="0" b="0"/>
            <wp:wrapTight wrapText="bothSides">
              <wp:wrapPolygon edited="0">
                <wp:start x="0" y="0"/>
                <wp:lineTo x="0" y="21491"/>
                <wp:lineTo x="21527" y="21491"/>
                <wp:lineTo x="21527" y="0"/>
                <wp:lineTo x="0" y="0"/>
              </wp:wrapPolygon>
            </wp:wrapTight>
            <wp:docPr id="1744775995" name="Picture 3"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75995" name="Picture 3" descr="A white grid with black text&#10;&#10;AI-generated content may be incorrect."/>
                    <pic:cNvPicPr/>
                  </pic:nvPicPr>
                  <pic:blipFill>
                    <a:blip r:embed="rId95">
                      <a:extLst>
                        <a:ext uri="{28A0092B-C50C-407E-A947-70E740481C1C}">
                          <a14:useLocalDpi xmlns:a14="http://schemas.microsoft.com/office/drawing/2010/main" val="0"/>
                        </a:ext>
                      </a:extLst>
                    </a:blip>
                    <a:stretch>
                      <a:fillRect/>
                    </a:stretch>
                  </pic:blipFill>
                  <pic:spPr>
                    <a:xfrm>
                      <a:off x="0" y="0"/>
                      <a:ext cx="6766560" cy="4537778"/>
                    </a:xfrm>
                    <a:prstGeom prst="rect">
                      <a:avLst/>
                    </a:prstGeom>
                  </pic:spPr>
                </pic:pic>
              </a:graphicData>
            </a:graphic>
          </wp:anchor>
        </w:drawing>
      </w:r>
    </w:p>
    <w:p w14:paraId="64606CAF" w14:textId="77777777" w:rsidR="00010304" w:rsidRDefault="00010304" w:rsidP="00621776">
      <w:pPr>
        <w:rPr>
          <w:rStyle w:val="Heading2Char"/>
          <w:rFonts w:ascii="Arial" w:hAnsi="Arial" w:cs="Arial"/>
        </w:rPr>
      </w:pPr>
    </w:p>
    <w:p w14:paraId="5D24A6CB" w14:textId="77777777" w:rsidR="00482247" w:rsidRDefault="00482247" w:rsidP="00621776">
      <w:pPr>
        <w:rPr>
          <w:rStyle w:val="Heading2Char"/>
          <w:rFonts w:ascii="Arial" w:hAnsi="Arial" w:cs="Arial"/>
        </w:rPr>
      </w:pPr>
    </w:p>
    <w:p w14:paraId="70AA1072" w14:textId="77777777" w:rsidR="00482247" w:rsidRDefault="00482247" w:rsidP="00621776">
      <w:pPr>
        <w:rPr>
          <w:rStyle w:val="Heading2Char"/>
          <w:rFonts w:ascii="Arial" w:hAnsi="Arial" w:cs="Arial"/>
        </w:rPr>
      </w:pPr>
    </w:p>
    <w:p w14:paraId="4FDAA85A" w14:textId="621F9528" w:rsidR="00AB076D" w:rsidRPr="00482247" w:rsidRDefault="00AB076D" w:rsidP="00621776">
      <w:pPr>
        <w:rPr>
          <w:rStyle w:val="Heading2Char"/>
          <w:rFonts w:ascii="Arial" w:hAnsi="Arial" w:cs="Arial"/>
        </w:rPr>
      </w:pPr>
      <w:bookmarkStart w:id="35" w:name="_Toc204256386"/>
      <w:r w:rsidRPr="00482247">
        <w:rPr>
          <w:rStyle w:val="Heading2Char"/>
          <w:rFonts w:ascii="Arial" w:hAnsi="Arial" w:cs="Arial"/>
        </w:rPr>
        <w:lastRenderedPageBreak/>
        <w:t>6.2.</w:t>
      </w:r>
      <w:r w:rsidR="00010304" w:rsidRPr="00482247">
        <w:rPr>
          <w:rStyle w:val="Heading2Char"/>
          <w:rFonts w:ascii="Arial" w:hAnsi="Arial" w:cs="Arial"/>
        </w:rPr>
        <w:t xml:space="preserve">3 </w:t>
      </w:r>
      <w:r w:rsidRPr="00482247">
        <w:rPr>
          <w:rStyle w:val="Heading2Char"/>
          <w:rFonts w:ascii="Arial" w:hAnsi="Arial" w:cs="Arial"/>
        </w:rPr>
        <w:t>Theme Planning Activity</w:t>
      </w:r>
      <w:r w:rsidRPr="00482247">
        <w:rPr>
          <w:rStyle w:val="Heading2Char"/>
          <w:rFonts w:ascii="Arial" w:hAnsi="Arial" w:cs="Arial"/>
        </w:rPr>
        <w:t xml:space="preserve"> Table</w:t>
      </w:r>
      <w:bookmarkEnd w:id="35"/>
    </w:p>
    <w:p w14:paraId="2769B14B" w14:textId="383F7039" w:rsidR="00AB076D" w:rsidRPr="00AB076D" w:rsidRDefault="00AB076D" w:rsidP="00621776">
      <w:pPr>
        <w:rPr>
          <w:rFonts w:cs="Arial"/>
          <w:b/>
          <w:bCs/>
          <w:sz w:val="28"/>
          <w:szCs w:val="28"/>
        </w:rPr>
      </w:pPr>
      <w:r w:rsidRPr="00AB076D">
        <w:rPr>
          <w:rFonts w:cs="Arial"/>
          <w:b/>
          <w:bCs/>
          <w:sz w:val="28"/>
          <w:szCs w:val="28"/>
        </w:rPr>
        <w:drawing>
          <wp:anchor distT="0" distB="0" distL="114300" distR="114300" simplePos="0" relativeHeight="251661312" behindDoc="0" locked="0" layoutInCell="1" allowOverlap="1" wp14:anchorId="08A4B73D" wp14:editId="2D7A02C1">
            <wp:simplePos x="0" y="0"/>
            <wp:positionH relativeFrom="margin">
              <wp:align>left</wp:align>
            </wp:positionH>
            <wp:positionV relativeFrom="paragraph">
              <wp:posOffset>18415</wp:posOffset>
            </wp:positionV>
            <wp:extent cx="5532120" cy="4572635"/>
            <wp:effectExtent l="0" t="0" r="0" b="0"/>
            <wp:wrapNone/>
            <wp:docPr id="109137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71270" name=""/>
                    <pic:cNvPicPr/>
                  </pic:nvPicPr>
                  <pic:blipFill>
                    <a:blip r:embed="rId96">
                      <a:extLst>
                        <a:ext uri="{28A0092B-C50C-407E-A947-70E740481C1C}">
                          <a14:useLocalDpi xmlns:a14="http://schemas.microsoft.com/office/drawing/2010/main" val="0"/>
                        </a:ext>
                      </a:extLst>
                    </a:blip>
                    <a:stretch>
                      <a:fillRect/>
                    </a:stretch>
                  </pic:blipFill>
                  <pic:spPr>
                    <a:xfrm>
                      <a:off x="0" y="0"/>
                      <a:ext cx="5532120" cy="4572635"/>
                    </a:xfrm>
                    <a:prstGeom prst="rect">
                      <a:avLst/>
                    </a:prstGeom>
                  </pic:spPr>
                </pic:pic>
              </a:graphicData>
            </a:graphic>
            <wp14:sizeRelH relativeFrom="margin">
              <wp14:pctWidth>0</wp14:pctWidth>
            </wp14:sizeRelH>
            <wp14:sizeRelV relativeFrom="margin">
              <wp14:pctHeight>0</wp14:pctHeight>
            </wp14:sizeRelV>
          </wp:anchor>
        </w:drawing>
      </w:r>
    </w:p>
    <w:p w14:paraId="78D375C0" w14:textId="359EB9DC" w:rsidR="008C38C3" w:rsidRPr="00F91C8D" w:rsidRDefault="008C38C3" w:rsidP="00621776">
      <w:pPr>
        <w:rPr>
          <w:rFonts w:cs="Arial"/>
        </w:rPr>
      </w:pPr>
    </w:p>
    <w:p w14:paraId="01E01220" w14:textId="16CC34DE" w:rsidR="008C38C3" w:rsidRPr="00F91C8D" w:rsidRDefault="008C38C3" w:rsidP="00621776">
      <w:pPr>
        <w:rPr>
          <w:rFonts w:cs="Arial"/>
        </w:rPr>
      </w:pPr>
    </w:p>
    <w:p w14:paraId="5DDE544F" w14:textId="150A3119" w:rsidR="003E58B0" w:rsidRPr="00F91C8D" w:rsidRDefault="003E58B0" w:rsidP="00621776">
      <w:pPr>
        <w:rPr>
          <w:rFonts w:cs="Arial"/>
        </w:rPr>
      </w:pPr>
    </w:p>
    <w:p w14:paraId="299C7B59" w14:textId="66DED003" w:rsidR="003E58B0" w:rsidRPr="00F91C8D" w:rsidRDefault="003E58B0" w:rsidP="00621776">
      <w:pPr>
        <w:rPr>
          <w:rFonts w:cs="Arial"/>
        </w:rPr>
      </w:pPr>
    </w:p>
    <w:p w14:paraId="2D077148" w14:textId="7F8186BD" w:rsidR="003E58B0" w:rsidRPr="00F91C8D" w:rsidRDefault="003E58B0" w:rsidP="00621776">
      <w:pPr>
        <w:rPr>
          <w:rFonts w:cs="Arial"/>
        </w:rPr>
      </w:pPr>
    </w:p>
    <w:p w14:paraId="75170F03" w14:textId="7211C33D" w:rsidR="003E58B0" w:rsidRPr="00F91C8D" w:rsidRDefault="003E58B0" w:rsidP="00621776">
      <w:pPr>
        <w:rPr>
          <w:rFonts w:cs="Arial"/>
        </w:rPr>
      </w:pPr>
    </w:p>
    <w:p w14:paraId="3297CB5F" w14:textId="3544F6D6" w:rsidR="003E58B0" w:rsidRPr="00F91C8D" w:rsidRDefault="003E58B0" w:rsidP="00621776">
      <w:pPr>
        <w:rPr>
          <w:rFonts w:cs="Arial"/>
        </w:rPr>
      </w:pPr>
    </w:p>
    <w:p w14:paraId="5FEC363E" w14:textId="0304BDB6" w:rsidR="003E58B0" w:rsidRPr="00F91C8D" w:rsidRDefault="003E58B0" w:rsidP="00621776">
      <w:pPr>
        <w:rPr>
          <w:rFonts w:cs="Arial"/>
        </w:rPr>
      </w:pPr>
    </w:p>
    <w:p w14:paraId="70CC31A2" w14:textId="6ADB40F7" w:rsidR="003E58B0" w:rsidRPr="00F91C8D" w:rsidRDefault="003E58B0" w:rsidP="00621776">
      <w:pPr>
        <w:rPr>
          <w:rFonts w:cs="Arial"/>
        </w:rPr>
      </w:pPr>
    </w:p>
    <w:p w14:paraId="2D74F19E" w14:textId="1A728852" w:rsidR="003E58B0" w:rsidRPr="00F91C8D" w:rsidRDefault="003E58B0" w:rsidP="00621776">
      <w:pPr>
        <w:rPr>
          <w:rFonts w:cs="Arial"/>
        </w:rPr>
      </w:pPr>
    </w:p>
    <w:p w14:paraId="70C7CA0C" w14:textId="4D9CA66F" w:rsidR="008C38C3" w:rsidRPr="00F91C8D" w:rsidRDefault="00AB076D" w:rsidP="008C38C3">
      <w:pPr>
        <w:rPr>
          <w:rFonts w:cs="Arial"/>
        </w:rPr>
      </w:pPr>
      <w:r w:rsidRPr="00AB076D">
        <w:rPr>
          <w:rFonts w:cs="Arial"/>
        </w:rPr>
        <w:lastRenderedPageBreak/>
        <w:drawing>
          <wp:anchor distT="0" distB="0" distL="114300" distR="114300" simplePos="0" relativeHeight="251663360" behindDoc="0" locked="0" layoutInCell="1" allowOverlap="1" wp14:anchorId="2883FCAC" wp14:editId="0E842987">
            <wp:simplePos x="0" y="0"/>
            <wp:positionH relativeFrom="margin">
              <wp:posOffset>-152400</wp:posOffset>
            </wp:positionH>
            <wp:positionV relativeFrom="paragraph">
              <wp:posOffset>4478655</wp:posOffset>
            </wp:positionV>
            <wp:extent cx="6309360" cy="4373880"/>
            <wp:effectExtent l="0" t="0" r="0" b="7620"/>
            <wp:wrapThrough wrapText="bothSides">
              <wp:wrapPolygon edited="0">
                <wp:start x="0" y="0"/>
                <wp:lineTo x="0" y="21544"/>
                <wp:lineTo x="21522" y="21544"/>
                <wp:lineTo x="21522" y="0"/>
                <wp:lineTo x="0" y="0"/>
              </wp:wrapPolygon>
            </wp:wrapThrough>
            <wp:docPr id="1618166558" name="Picture 1" descr="A white and blue list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166558" name="Picture 1" descr="A white and blue list with blue text&#10;&#10;AI-generated content may be incorrect."/>
                    <pic:cNvPicPr/>
                  </pic:nvPicPr>
                  <pic:blipFill>
                    <a:blip r:embed="rId97">
                      <a:extLst>
                        <a:ext uri="{28A0092B-C50C-407E-A947-70E740481C1C}">
                          <a14:useLocalDpi xmlns:a14="http://schemas.microsoft.com/office/drawing/2010/main" val="0"/>
                        </a:ext>
                      </a:extLst>
                    </a:blip>
                    <a:stretch>
                      <a:fillRect/>
                    </a:stretch>
                  </pic:blipFill>
                  <pic:spPr>
                    <a:xfrm>
                      <a:off x="0" y="0"/>
                      <a:ext cx="6309360" cy="4373880"/>
                    </a:xfrm>
                    <a:prstGeom prst="rect">
                      <a:avLst/>
                    </a:prstGeom>
                  </pic:spPr>
                </pic:pic>
              </a:graphicData>
            </a:graphic>
            <wp14:sizeRelH relativeFrom="margin">
              <wp14:pctWidth>0</wp14:pctWidth>
            </wp14:sizeRelH>
            <wp14:sizeRelV relativeFrom="margin">
              <wp14:pctHeight>0</wp14:pctHeight>
            </wp14:sizeRelV>
          </wp:anchor>
        </w:drawing>
      </w:r>
      <w:r w:rsidRPr="00AB076D">
        <w:rPr>
          <w:rFonts w:cs="Arial"/>
        </w:rPr>
        <w:drawing>
          <wp:anchor distT="0" distB="0" distL="114300" distR="114300" simplePos="0" relativeHeight="251662336" behindDoc="0" locked="0" layoutInCell="1" allowOverlap="1" wp14:anchorId="3C5CD6A6" wp14:editId="0B4FF33D">
            <wp:simplePos x="0" y="0"/>
            <wp:positionH relativeFrom="margin">
              <wp:align>left</wp:align>
            </wp:positionH>
            <wp:positionV relativeFrom="paragraph">
              <wp:posOffset>0</wp:posOffset>
            </wp:positionV>
            <wp:extent cx="6080760" cy="4541520"/>
            <wp:effectExtent l="0" t="0" r="0" b="0"/>
            <wp:wrapThrough wrapText="bothSides">
              <wp:wrapPolygon edited="0">
                <wp:start x="0" y="0"/>
                <wp:lineTo x="0" y="21473"/>
                <wp:lineTo x="21519" y="21473"/>
                <wp:lineTo x="21519" y="0"/>
                <wp:lineTo x="0" y="0"/>
              </wp:wrapPolygon>
            </wp:wrapThrough>
            <wp:docPr id="115265365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653659" name="Picture 1" descr="A screenshot of a document&#10;&#10;AI-generated content may be incorrect."/>
                    <pic:cNvPicPr/>
                  </pic:nvPicPr>
                  <pic:blipFill>
                    <a:blip r:embed="rId98">
                      <a:extLst>
                        <a:ext uri="{28A0092B-C50C-407E-A947-70E740481C1C}">
                          <a14:useLocalDpi xmlns:a14="http://schemas.microsoft.com/office/drawing/2010/main" val="0"/>
                        </a:ext>
                      </a:extLst>
                    </a:blip>
                    <a:stretch>
                      <a:fillRect/>
                    </a:stretch>
                  </pic:blipFill>
                  <pic:spPr>
                    <a:xfrm>
                      <a:off x="0" y="0"/>
                      <a:ext cx="6080760" cy="4541520"/>
                    </a:xfrm>
                    <a:prstGeom prst="rect">
                      <a:avLst/>
                    </a:prstGeom>
                  </pic:spPr>
                </pic:pic>
              </a:graphicData>
            </a:graphic>
            <wp14:sizeRelV relativeFrom="margin">
              <wp14:pctHeight>0</wp14:pctHeight>
            </wp14:sizeRelV>
          </wp:anchor>
        </w:drawing>
      </w:r>
    </w:p>
    <w:sectPr w:rsidR="008C38C3" w:rsidRPr="00F91C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4AFDD" w14:textId="77777777" w:rsidR="000C4531" w:rsidRDefault="000C4531" w:rsidP="00211184">
      <w:pPr>
        <w:spacing w:after="0" w:line="240" w:lineRule="auto"/>
      </w:pPr>
      <w:r>
        <w:separator/>
      </w:r>
    </w:p>
  </w:endnote>
  <w:endnote w:type="continuationSeparator" w:id="0">
    <w:p w14:paraId="34CF5668" w14:textId="77777777" w:rsidR="000C4531" w:rsidRDefault="000C4531"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0FBD7" w14:textId="77777777" w:rsidR="000C4531" w:rsidRDefault="000C4531" w:rsidP="00211184">
      <w:pPr>
        <w:spacing w:after="0" w:line="240" w:lineRule="auto"/>
      </w:pPr>
      <w:r>
        <w:separator/>
      </w:r>
    </w:p>
  </w:footnote>
  <w:footnote w:type="continuationSeparator" w:id="0">
    <w:p w14:paraId="04FB5480" w14:textId="77777777" w:rsidR="000C4531" w:rsidRDefault="000C4531"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15F"/>
    <w:multiLevelType w:val="multilevel"/>
    <w:tmpl w:val="444A60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125D1D12"/>
    <w:multiLevelType w:val="hybridMultilevel"/>
    <w:tmpl w:val="E4425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B05806"/>
    <w:multiLevelType w:val="multilevel"/>
    <w:tmpl w:val="41AA782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372" w:hanging="372"/>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2C2B3B"/>
    <w:multiLevelType w:val="multilevel"/>
    <w:tmpl w:val="6A78D61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439E55FE"/>
    <w:multiLevelType w:val="hybridMultilevel"/>
    <w:tmpl w:val="C70C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B90EFF"/>
    <w:multiLevelType w:val="hybridMultilevel"/>
    <w:tmpl w:val="5FA6BB6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D410266"/>
    <w:multiLevelType w:val="multilevel"/>
    <w:tmpl w:val="8A3CA984"/>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753B24"/>
    <w:multiLevelType w:val="hybridMultilevel"/>
    <w:tmpl w:val="246A8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E2040CF"/>
    <w:multiLevelType w:val="hybridMultilevel"/>
    <w:tmpl w:val="163AF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660355F1"/>
    <w:multiLevelType w:val="hybridMultilevel"/>
    <w:tmpl w:val="7A766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2A11CB"/>
    <w:multiLevelType w:val="hybridMultilevel"/>
    <w:tmpl w:val="ADB454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92819689">
    <w:abstractNumId w:val="30"/>
  </w:num>
  <w:num w:numId="2" w16cid:durableId="1500121260">
    <w:abstractNumId w:val="12"/>
  </w:num>
  <w:num w:numId="3" w16cid:durableId="438111508">
    <w:abstractNumId w:val="26"/>
  </w:num>
  <w:num w:numId="4" w16cid:durableId="676225712">
    <w:abstractNumId w:val="29"/>
  </w:num>
  <w:num w:numId="5" w16cid:durableId="73359902">
    <w:abstractNumId w:val="9"/>
  </w:num>
  <w:num w:numId="6" w16cid:durableId="881479433">
    <w:abstractNumId w:val="19"/>
  </w:num>
  <w:num w:numId="7" w16cid:durableId="735323509">
    <w:abstractNumId w:val="2"/>
  </w:num>
  <w:num w:numId="8" w16cid:durableId="70469880">
    <w:abstractNumId w:val="13"/>
  </w:num>
  <w:num w:numId="9" w16cid:durableId="1491873496">
    <w:abstractNumId w:val="17"/>
  </w:num>
  <w:num w:numId="10" w16cid:durableId="1569337486">
    <w:abstractNumId w:val="32"/>
  </w:num>
  <w:num w:numId="11" w16cid:durableId="1853105471">
    <w:abstractNumId w:val="24"/>
  </w:num>
  <w:num w:numId="12" w16cid:durableId="315690756">
    <w:abstractNumId w:val="6"/>
  </w:num>
  <w:num w:numId="13" w16cid:durableId="686251813">
    <w:abstractNumId w:val="0"/>
  </w:num>
  <w:num w:numId="14" w16cid:durableId="1119490663">
    <w:abstractNumId w:val="16"/>
  </w:num>
  <w:num w:numId="15" w16cid:durableId="526941613">
    <w:abstractNumId w:val="5"/>
  </w:num>
  <w:num w:numId="16" w16cid:durableId="1079794559">
    <w:abstractNumId w:val="8"/>
  </w:num>
  <w:num w:numId="17" w16cid:durableId="424033359">
    <w:abstractNumId w:val="10"/>
  </w:num>
  <w:num w:numId="18" w16cid:durableId="1335066293">
    <w:abstractNumId w:val="25"/>
  </w:num>
  <w:num w:numId="19" w16cid:durableId="662587085">
    <w:abstractNumId w:val="7"/>
  </w:num>
  <w:num w:numId="20" w16cid:durableId="2071072074">
    <w:abstractNumId w:val="22"/>
  </w:num>
  <w:num w:numId="21" w16cid:durableId="1573662111">
    <w:abstractNumId w:val="31"/>
  </w:num>
  <w:num w:numId="22" w16cid:durableId="131678057">
    <w:abstractNumId w:val="27"/>
  </w:num>
  <w:num w:numId="23" w16cid:durableId="2103643901">
    <w:abstractNumId w:val="21"/>
  </w:num>
  <w:num w:numId="24" w16cid:durableId="99565733">
    <w:abstractNumId w:val="4"/>
  </w:num>
  <w:num w:numId="25" w16cid:durableId="2061660179">
    <w:abstractNumId w:val="3"/>
  </w:num>
  <w:num w:numId="26" w16cid:durableId="1282801988">
    <w:abstractNumId w:val="14"/>
  </w:num>
  <w:num w:numId="27" w16cid:durableId="1697006202">
    <w:abstractNumId w:val="28"/>
  </w:num>
  <w:num w:numId="28" w16cid:durableId="1989631260">
    <w:abstractNumId w:val="11"/>
  </w:num>
  <w:num w:numId="29" w16cid:durableId="1855144891">
    <w:abstractNumId w:val="15"/>
  </w:num>
  <w:num w:numId="30" w16cid:durableId="171725911">
    <w:abstractNumId w:val="23"/>
  </w:num>
  <w:num w:numId="31" w16cid:durableId="919365310">
    <w:abstractNumId w:val="18"/>
  </w:num>
  <w:num w:numId="32" w16cid:durableId="1346909082">
    <w:abstractNumId w:val="20"/>
  </w:num>
  <w:num w:numId="33" w16cid:durableId="497693185">
    <w:abstractNumId w:val="1"/>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5653"/>
    <w:rsid w:val="00005A95"/>
    <w:rsid w:val="00010304"/>
    <w:rsid w:val="00010DC4"/>
    <w:rsid w:val="00012AA2"/>
    <w:rsid w:val="00020967"/>
    <w:rsid w:val="00021FDF"/>
    <w:rsid w:val="00026145"/>
    <w:rsid w:val="000264A2"/>
    <w:rsid w:val="0004549C"/>
    <w:rsid w:val="00057504"/>
    <w:rsid w:val="000575E3"/>
    <w:rsid w:val="00062299"/>
    <w:rsid w:val="00063B4C"/>
    <w:rsid w:val="00064270"/>
    <w:rsid w:val="000677B7"/>
    <w:rsid w:val="000813C6"/>
    <w:rsid w:val="00086279"/>
    <w:rsid w:val="00091A83"/>
    <w:rsid w:val="00092D35"/>
    <w:rsid w:val="000A04D4"/>
    <w:rsid w:val="000A22A4"/>
    <w:rsid w:val="000A3E30"/>
    <w:rsid w:val="000A5F73"/>
    <w:rsid w:val="000B00BF"/>
    <w:rsid w:val="000C2EC5"/>
    <w:rsid w:val="000C4531"/>
    <w:rsid w:val="000D05D8"/>
    <w:rsid w:val="000D0641"/>
    <w:rsid w:val="000D1C56"/>
    <w:rsid w:val="000D2B00"/>
    <w:rsid w:val="000F36B9"/>
    <w:rsid w:val="000F5C90"/>
    <w:rsid w:val="000F6870"/>
    <w:rsid w:val="000F6F89"/>
    <w:rsid w:val="000F7B4D"/>
    <w:rsid w:val="000F7EC4"/>
    <w:rsid w:val="00112C4A"/>
    <w:rsid w:val="0011735F"/>
    <w:rsid w:val="00121F32"/>
    <w:rsid w:val="00131A1A"/>
    <w:rsid w:val="00142BD2"/>
    <w:rsid w:val="00151D2A"/>
    <w:rsid w:val="0015789A"/>
    <w:rsid w:val="0016686F"/>
    <w:rsid w:val="00171BAB"/>
    <w:rsid w:val="001731C2"/>
    <w:rsid w:val="001907F0"/>
    <w:rsid w:val="0019361E"/>
    <w:rsid w:val="001B1065"/>
    <w:rsid w:val="001B5BF3"/>
    <w:rsid w:val="001C135D"/>
    <w:rsid w:val="001C2EBE"/>
    <w:rsid w:val="001C3AF6"/>
    <w:rsid w:val="001D1485"/>
    <w:rsid w:val="001E631D"/>
    <w:rsid w:val="001F0DDF"/>
    <w:rsid w:val="001F19A6"/>
    <w:rsid w:val="001F503F"/>
    <w:rsid w:val="001F53BF"/>
    <w:rsid w:val="00210889"/>
    <w:rsid w:val="00210EA3"/>
    <w:rsid w:val="00211184"/>
    <w:rsid w:val="0021364B"/>
    <w:rsid w:val="00225766"/>
    <w:rsid w:val="002346CD"/>
    <w:rsid w:val="00243649"/>
    <w:rsid w:val="00246FBF"/>
    <w:rsid w:val="0025020C"/>
    <w:rsid w:val="00256951"/>
    <w:rsid w:val="002620F9"/>
    <w:rsid w:val="00281224"/>
    <w:rsid w:val="00281D0F"/>
    <w:rsid w:val="002844E0"/>
    <w:rsid w:val="00284E18"/>
    <w:rsid w:val="002865F5"/>
    <w:rsid w:val="00292A36"/>
    <w:rsid w:val="002C7E58"/>
    <w:rsid w:val="002D04AA"/>
    <w:rsid w:val="002D2571"/>
    <w:rsid w:val="002D2B1C"/>
    <w:rsid w:val="002D64A3"/>
    <w:rsid w:val="002E1D88"/>
    <w:rsid w:val="002E2395"/>
    <w:rsid w:val="002F0B31"/>
    <w:rsid w:val="002F5E53"/>
    <w:rsid w:val="00303C67"/>
    <w:rsid w:val="003135AD"/>
    <w:rsid w:val="0033059C"/>
    <w:rsid w:val="00332171"/>
    <w:rsid w:val="00341B31"/>
    <w:rsid w:val="0035197F"/>
    <w:rsid w:val="003802C6"/>
    <w:rsid w:val="003836BD"/>
    <w:rsid w:val="003846C8"/>
    <w:rsid w:val="0038577E"/>
    <w:rsid w:val="00393F39"/>
    <w:rsid w:val="003A66FD"/>
    <w:rsid w:val="003B1E32"/>
    <w:rsid w:val="003B3325"/>
    <w:rsid w:val="003B5BA2"/>
    <w:rsid w:val="003C2719"/>
    <w:rsid w:val="003D3DF0"/>
    <w:rsid w:val="003E58B0"/>
    <w:rsid w:val="00415981"/>
    <w:rsid w:val="004168EC"/>
    <w:rsid w:val="00427F7C"/>
    <w:rsid w:val="0045148C"/>
    <w:rsid w:val="00454DCE"/>
    <w:rsid w:val="00463C73"/>
    <w:rsid w:val="004672CD"/>
    <w:rsid w:val="00482247"/>
    <w:rsid w:val="00487582"/>
    <w:rsid w:val="0049043C"/>
    <w:rsid w:val="00493394"/>
    <w:rsid w:val="004B2DE2"/>
    <w:rsid w:val="004B5DF4"/>
    <w:rsid w:val="004D4021"/>
    <w:rsid w:val="004E47BC"/>
    <w:rsid w:val="004E4D38"/>
    <w:rsid w:val="004F3693"/>
    <w:rsid w:val="004F75BD"/>
    <w:rsid w:val="00522DEC"/>
    <w:rsid w:val="005313C5"/>
    <w:rsid w:val="005446BF"/>
    <w:rsid w:val="00545B12"/>
    <w:rsid w:val="0055147E"/>
    <w:rsid w:val="00555BCB"/>
    <w:rsid w:val="00556A42"/>
    <w:rsid w:val="00577B72"/>
    <w:rsid w:val="005A1155"/>
    <w:rsid w:val="005A202F"/>
    <w:rsid w:val="005B2BC3"/>
    <w:rsid w:val="005B6E67"/>
    <w:rsid w:val="005C5E80"/>
    <w:rsid w:val="005C6D00"/>
    <w:rsid w:val="005D1890"/>
    <w:rsid w:val="005D7A1E"/>
    <w:rsid w:val="005E1650"/>
    <w:rsid w:val="005E2920"/>
    <w:rsid w:val="005E5036"/>
    <w:rsid w:val="00604A87"/>
    <w:rsid w:val="00621776"/>
    <w:rsid w:val="00621872"/>
    <w:rsid w:val="00636D9A"/>
    <w:rsid w:val="00664903"/>
    <w:rsid w:val="006664CC"/>
    <w:rsid w:val="006714C8"/>
    <w:rsid w:val="006735B5"/>
    <w:rsid w:val="0068521A"/>
    <w:rsid w:val="006861B2"/>
    <w:rsid w:val="00692BF7"/>
    <w:rsid w:val="006A2A3E"/>
    <w:rsid w:val="006A3F0D"/>
    <w:rsid w:val="006A4515"/>
    <w:rsid w:val="006C1343"/>
    <w:rsid w:val="006C57A0"/>
    <w:rsid w:val="006C5D32"/>
    <w:rsid w:val="006C78AA"/>
    <w:rsid w:val="006D4DBE"/>
    <w:rsid w:val="006F04D4"/>
    <w:rsid w:val="006F32C5"/>
    <w:rsid w:val="006F3DEB"/>
    <w:rsid w:val="006F4AB2"/>
    <w:rsid w:val="007020B4"/>
    <w:rsid w:val="007063BA"/>
    <w:rsid w:val="00720BFF"/>
    <w:rsid w:val="00730C3C"/>
    <w:rsid w:val="0073280B"/>
    <w:rsid w:val="00733B54"/>
    <w:rsid w:val="00752CBE"/>
    <w:rsid w:val="00756017"/>
    <w:rsid w:val="00756BF2"/>
    <w:rsid w:val="00760BD0"/>
    <w:rsid w:val="00767722"/>
    <w:rsid w:val="0077163A"/>
    <w:rsid w:val="00773DB3"/>
    <w:rsid w:val="00780095"/>
    <w:rsid w:val="00785752"/>
    <w:rsid w:val="007A59C8"/>
    <w:rsid w:val="007A712E"/>
    <w:rsid w:val="007B0C59"/>
    <w:rsid w:val="007B65CD"/>
    <w:rsid w:val="007C246B"/>
    <w:rsid w:val="007C685B"/>
    <w:rsid w:val="00804B94"/>
    <w:rsid w:val="00804CF3"/>
    <w:rsid w:val="00807B11"/>
    <w:rsid w:val="00824D7D"/>
    <w:rsid w:val="00834D0D"/>
    <w:rsid w:val="00836AB6"/>
    <w:rsid w:val="008413EA"/>
    <w:rsid w:val="00851B6B"/>
    <w:rsid w:val="00852C7E"/>
    <w:rsid w:val="00857788"/>
    <w:rsid w:val="008619A6"/>
    <w:rsid w:val="00867E52"/>
    <w:rsid w:val="00874299"/>
    <w:rsid w:val="00875F14"/>
    <w:rsid w:val="00880B2D"/>
    <w:rsid w:val="00883AB0"/>
    <w:rsid w:val="00894108"/>
    <w:rsid w:val="008A4350"/>
    <w:rsid w:val="008B1DFA"/>
    <w:rsid w:val="008C25CC"/>
    <w:rsid w:val="008C38C3"/>
    <w:rsid w:val="008C39F7"/>
    <w:rsid w:val="008D3FC1"/>
    <w:rsid w:val="008D6F0F"/>
    <w:rsid w:val="008E07F1"/>
    <w:rsid w:val="008E3FE9"/>
    <w:rsid w:val="008E7003"/>
    <w:rsid w:val="008E7B2E"/>
    <w:rsid w:val="008F46D4"/>
    <w:rsid w:val="0090441D"/>
    <w:rsid w:val="0090637D"/>
    <w:rsid w:val="00912B1B"/>
    <w:rsid w:val="009135EF"/>
    <w:rsid w:val="00916814"/>
    <w:rsid w:val="00935510"/>
    <w:rsid w:val="0093583C"/>
    <w:rsid w:val="00952D9D"/>
    <w:rsid w:val="00965049"/>
    <w:rsid w:val="0097542E"/>
    <w:rsid w:val="0097734C"/>
    <w:rsid w:val="009938B0"/>
    <w:rsid w:val="00995444"/>
    <w:rsid w:val="009A01DC"/>
    <w:rsid w:val="009B1961"/>
    <w:rsid w:val="009B2495"/>
    <w:rsid w:val="009C7065"/>
    <w:rsid w:val="009D06C5"/>
    <w:rsid w:val="009D16B6"/>
    <w:rsid w:val="009D534C"/>
    <w:rsid w:val="009D728C"/>
    <w:rsid w:val="009E02FD"/>
    <w:rsid w:val="009E5B14"/>
    <w:rsid w:val="009E7665"/>
    <w:rsid w:val="009F4055"/>
    <w:rsid w:val="00A41383"/>
    <w:rsid w:val="00A502A5"/>
    <w:rsid w:val="00A61FBD"/>
    <w:rsid w:val="00A66F0B"/>
    <w:rsid w:val="00A751DA"/>
    <w:rsid w:val="00A84054"/>
    <w:rsid w:val="00A8562D"/>
    <w:rsid w:val="00A90A7A"/>
    <w:rsid w:val="00A949B0"/>
    <w:rsid w:val="00AA047F"/>
    <w:rsid w:val="00AA437C"/>
    <w:rsid w:val="00AA656D"/>
    <w:rsid w:val="00AB076D"/>
    <w:rsid w:val="00AB78F0"/>
    <w:rsid w:val="00AC65EE"/>
    <w:rsid w:val="00AC6705"/>
    <w:rsid w:val="00AD2BCB"/>
    <w:rsid w:val="00AD7792"/>
    <w:rsid w:val="00AE17FE"/>
    <w:rsid w:val="00B01396"/>
    <w:rsid w:val="00B01675"/>
    <w:rsid w:val="00B07D04"/>
    <w:rsid w:val="00B14066"/>
    <w:rsid w:val="00B15287"/>
    <w:rsid w:val="00B16FEA"/>
    <w:rsid w:val="00B4120D"/>
    <w:rsid w:val="00B44C92"/>
    <w:rsid w:val="00B47F8C"/>
    <w:rsid w:val="00B6171C"/>
    <w:rsid w:val="00B65ACC"/>
    <w:rsid w:val="00B7162A"/>
    <w:rsid w:val="00B77E6D"/>
    <w:rsid w:val="00B858A1"/>
    <w:rsid w:val="00BB08D4"/>
    <w:rsid w:val="00BB3637"/>
    <w:rsid w:val="00BB65AC"/>
    <w:rsid w:val="00BC0B85"/>
    <w:rsid w:val="00BC2EFE"/>
    <w:rsid w:val="00BD2909"/>
    <w:rsid w:val="00BF3FAD"/>
    <w:rsid w:val="00C32CF5"/>
    <w:rsid w:val="00C61997"/>
    <w:rsid w:val="00C65AFD"/>
    <w:rsid w:val="00C74F44"/>
    <w:rsid w:val="00C80542"/>
    <w:rsid w:val="00C91479"/>
    <w:rsid w:val="00C96912"/>
    <w:rsid w:val="00CA7A23"/>
    <w:rsid w:val="00CB3AF6"/>
    <w:rsid w:val="00CB3C13"/>
    <w:rsid w:val="00CB6088"/>
    <w:rsid w:val="00CC450F"/>
    <w:rsid w:val="00CD186B"/>
    <w:rsid w:val="00CE620E"/>
    <w:rsid w:val="00CE7E3F"/>
    <w:rsid w:val="00CF1ED5"/>
    <w:rsid w:val="00CF5CAE"/>
    <w:rsid w:val="00D009C7"/>
    <w:rsid w:val="00D13A82"/>
    <w:rsid w:val="00D13CE1"/>
    <w:rsid w:val="00D13DB7"/>
    <w:rsid w:val="00D63A22"/>
    <w:rsid w:val="00D73F34"/>
    <w:rsid w:val="00D81135"/>
    <w:rsid w:val="00D862DD"/>
    <w:rsid w:val="00D87050"/>
    <w:rsid w:val="00D90050"/>
    <w:rsid w:val="00D91C40"/>
    <w:rsid w:val="00D958BA"/>
    <w:rsid w:val="00DB145F"/>
    <w:rsid w:val="00DC00D1"/>
    <w:rsid w:val="00DC37A1"/>
    <w:rsid w:val="00DC592A"/>
    <w:rsid w:val="00DD02A4"/>
    <w:rsid w:val="00DD5659"/>
    <w:rsid w:val="00DE1A02"/>
    <w:rsid w:val="00DE42C8"/>
    <w:rsid w:val="00DF3284"/>
    <w:rsid w:val="00DF5723"/>
    <w:rsid w:val="00DF6D07"/>
    <w:rsid w:val="00E02FCA"/>
    <w:rsid w:val="00E05C6C"/>
    <w:rsid w:val="00E1525C"/>
    <w:rsid w:val="00E157E1"/>
    <w:rsid w:val="00E2182C"/>
    <w:rsid w:val="00E2317B"/>
    <w:rsid w:val="00E25216"/>
    <w:rsid w:val="00E30D6C"/>
    <w:rsid w:val="00E31F7F"/>
    <w:rsid w:val="00E40B0D"/>
    <w:rsid w:val="00E71420"/>
    <w:rsid w:val="00E82C18"/>
    <w:rsid w:val="00E8626A"/>
    <w:rsid w:val="00E87C76"/>
    <w:rsid w:val="00E94DA0"/>
    <w:rsid w:val="00E96AEF"/>
    <w:rsid w:val="00EA0540"/>
    <w:rsid w:val="00EA203C"/>
    <w:rsid w:val="00EA5CC3"/>
    <w:rsid w:val="00EA5FF4"/>
    <w:rsid w:val="00EA735F"/>
    <w:rsid w:val="00EB1545"/>
    <w:rsid w:val="00EB61E9"/>
    <w:rsid w:val="00EB70C7"/>
    <w:rsid w:val="00EC66A6"/>
    <w:rsid w:val="00ED2968"/>
    <w:rsid w:val="00ED2A01"/>
    <w:rsid w:val="00EE3C93"/>
    <w:rsid w:val="00EE606B"/>
    <w:rsid w:val="00EF3075"/>
    <w:rsid w:val="00EF6341"/>
    <w:rsid w:val="00F00AB5"/>
    <w:rsid w:val="00F0560A"/>
    <w:rsid w:val="00F1188D"/>
    <w:rsid w:val="00F158D7"/>
    <w:rsid w:val="00F20EE5"/>
    <w:rsid w:val="00F30FC7"/>
    <w:rsid w:val="00F31354"/>
    <w:rsid w:val="00F3481C"/>
    <w:rsid w:val="00F348D8"/>
    <w:rsid w:val="00F37731"/>
    <w:rsid w:val="00F44833"/>
    <w:rsid w:val="00F44922"/>
    <w:rsid w:val="00F46271"/>
    <w:rsid w:val="00F544B0"/>
    <w:rsid w:val="00F63CB5"/>
    <w:rsid w:val="00F67C87"/>
    <w:rsid w:val="00F84C23"/>
    <w:rsid w:val="00F857C5"/>
    <w:rsid w:val="00F91C8D"/>
    <w:rsid w:val="00F92CE7"/>
    <w:rsid w:val="00FA3DF6"/>
    <w:rsid w:val="00FB0645"/>
    <w:rsid w:val="00FB2105"/>
    <w:rsid w:val="00FB3ED1"/>
    <w:rsid w:val="00FB76AF"/>
    <w:rsid w:val="00FC69FE"/>
    <w:rsid w:val="00FD3DE0"/>
    <w:rsid w:val="00FD7729"/>
    <w:rsid w:val="00FD7C22"/>
    <w:rsid w:val="00FF13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C76"/>
    <w:pPr>
      <w:spacing w:line="360" w:lineRule="auto"/>
      <w:jc w:val="both"/>
    </w:pPr>
    <w:rPr>
      <w:rFonts w:ascii="Arial" w:hAnsi="Arial"/>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eastAsia="Calibri Light"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table" w:styleId="PlainTable3">
    <w:name w:val="Plain Table 3"/>
    <w:basedOn w:val="TableNormal"/>
    <w:uiPriority w:val="43"/>
    <w:rsid w:val="00E87C7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97734C"/>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482247"/>
    <w:pPr>
      <w:tabs>
        <w:tab w:val="right" w:leader="dot" w:pos="9016"/>
      </w:tabs>
      <w:spacing w:after="100"/>
    </w:pPr>
  </w:style>
  <w:style w:type="paragraph" w:styleId="TOC2">
    <w:name w:val="toc 2"/>
    <w:basedOn w:val="Normal"/>
    <w:next w:val="Normal"/>
    <w:autoRedefine/>
    <w:uiPriority w:val="39"/>
    <w:unhideWhenUsed/>
    <w:rsid w:val="0097734C"/>
    <w:pPr>
      <w:spacing w:after="100"/>
      <w:ind w:left="220"/>
    </w:pPr>
  </w:style>
  <w:style w:type="character" w:styleId="Emphasis">
    <w:name w:val="Emphasis"/>
    <w:basedOn w:val="DefaultParagraphFont"/>
    <w:uiPriority w:val="20"/>
    <w:qFormat/>
    <w:rsid w:val="00064270"/>
    <w:rPr>
      <w:i/>
      <w:iCs/>
    </w:rPr>
  </w:style>
  <w:style w:type="table" w:styleId="ListTable3-Accent1">
    <w:name w:val="List Table 3 Accent 1"/>
    <w:basedOn w:val="TableNormal"/>
    <w:uiPriority w:val="48"/>
    <w:rsid w:val="003E58B0"/>
    <w:pPr>
      <w:spacing w:after="0" w:line="240" w:lineRule="auto"/>
    </w:pPr>
    <w:rPr>
      <w:kern w:val="0"/>
      <w:lang w:val="en-US" w:eastAsia="en-US"/>
      <w14:ligatures w14:val="none"/>
    </w:r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styleId="Revision">
    <w:name w:val="Revision"/>
    <w:hidden/>
    <w:uiPriority w:val="99"/>
    <w:semiHidden/>
    <w:rsid w:val="0090637D"/>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4001">
      <w:bodyDiv w:val="1"/>
      <w:marLeft w:val="0"/>
      <w:marRight w:val="0"/>
      <w:marTop w:val="0"/>
      <w:marBottom w:val="0"/>
      <w:divBdr>
        <w:top w:val="none" w:sz="0" w:space="0" w:color="auto"/>
        <w:left w:val="none" w:sz="0" w:space="0" w:color="auto"/>
        <w:bottom w:val="none" w:sz="0" w:space="0" w:color="auto"/>
        <w:right w:val="none" w:sz="0" w:space="0" w:color="auto"/>
      </w:divBdr>
    </w:div>
    <w:div w:id="106312999">
      <w:bodyDiv w:val="1"/>
      <w:marLeft w:val="0"/>
      <w:marRight w:val="0"/>
      <w:marTop w:val="0"/>
      <w:marBottom w:val="0"/>
      <w:divBdr>
        <w:top w:val="none" w:sz="0" w:space="0" w:color="auto"/>
        <w:left w:val="none" w:sz="0" w:space="0" w:color="auto"/>
        <w:bottom w:val="none" w:sz="0" w:space="0" w:color="auto"/>
        <w:right w:val="none" w:sz="0" w:space="0" w:color="auto"/>
      </w:divBdr>
    </w:div>
    <w:div w:id="144245102">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710730">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4134316">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63415863">
      <w:bodyDiv w:val="1"/>
      <w:marLeft w:val="0"/>
      <w:marRight w:val="0"/>
      <w:marTop w:val="0"/>
      <w:marBottom w:val="0"/>
      <w:divBdr>
        <w:top w:val="none" w:sz="0" w:space="0" w:color="auto"/>
        <w:left w:val="none" w:sz="0" w:space="0" w:color="auto"/>
        <w:bottom w:val="none" w:sz="0" w:space="0" w:color="auto"/>
        <w:right w:val="none" w:sz="0" w:space="0" w:color="auto"/>
      </w:divBdr>
      <w:divsChild>
        <w:div w:id="786194226">
          <w:marLeft w:val="0"/>
          <w:marRight w:val="0"/>
          <w:marTop w:val="0"/>
          <w:marBottom w:val="0"/>
          <w:divBdr>
            <w:top w:val="none" w:sz="0" w:space="0" w:color="auto"/>
            <w:left w:val="none" w:sz="0" w:space="0" w:color="auto"/>
            <w:bottom w:val="none" w:sz="0" w:space="0" w:color="auto"/>
            <w:right w:val="none" w:sz="0" w:space="0" w:color="auto"/>
          </w:divBdr>
          <w:divsChild>
            <w:div w:id="79476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47437">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49362114">
      <w:bodyDiv w:val="1"/>
      <w:marLeft w:val="0"/>
      <w:marRight w:val="0"/>
      <w:marTop w:val="0"/>
      <w:marBottom w:val="0"/>
      <w:divBdr>
        <w:top w:val="none" w:sz="0" w:space="0" w:color="auto"/>
        <w:left w:val="none" w:sz="0" w:space="0" w:color="auto"/>
        <w:bottom w:val="none" w:sz="0" w:space="0" w:color="auto"/>
        <w:right w:val="none" w:sz="0" w:space="0" w:color="auto"/>
      </w:divBdr>
      <w:divsChild>
        <w:div w:id="1228421275">
          <w:marLeft w:val="0"/>
          <w:marRight w:val="0"/>
          <w:marTop w:val="0"/>
          <w:marBottom w:val="0"/>
          <w:divBdr>
            <w:top w:val="none" w:sz="0" w:space="0" w:color="auto"/>
            <w:left w:val="none" w:sz="0" w:space="0" w:color="auto"/>
            <w:bottom w:val="none" w:sz="0" w:space="0" w:color="auto"/>
            <w:right w:val="none" w:sz="0" w:space="0" w:color="auto"/>
          </w:divBdr>
          <w:divsChild>
            <w:div w:id="14838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412334">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05984733">
      <w:bodyDiv w:val="1"/>
      <w:marLeft w:val="0"/>
      <w:marRight w:val="0"/>
      <w:marTop w:val="0"/>
      <w:marBottom w:val="0"/>
      <w:divBdr>
        <w:top w:val="none" w:sz="0" w:space="0" w:color="auto"/>
        <w:left w:val="none" w:sz="0" w:space="0" w:color="auto"/>
        <w:bottom w:val="none" w:sz="0" w:space="0" w:color="auto"/>
        <w:right w:val="none" w:sz="0" w:space="0" w:color="auto"/>
      </w:divBdr>
      <w:divsChild>
        <w:div w:id="1974020840">
          <w:marLeft w:val="0"/>
          <w:marRight w:val="0"/>
          <w:marTop w:val="0"/>
          <w:marBottom w:val="0"/>
          <w:divBdr>
            <w:top w:val="none" w:sz="0" w:space="0" w:color="auto"/>
            <w:left w:val="none" w:sz="0" w:space="0" w:color="auto"/>
            <w:bottom w:val="none" w:sz="0" w:space="0" w:color="auto"/>
            <w:right w:val="none" w:sz="0" w:space="0" w:color="auto"/>
          </w:divBdr>
          <w:divsChild>
            <w:div w:id="1273901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792607">
      <w:bodyDiv w:val="1"/>
      <w:marLeft w:val="0"/>
      <w:marRight w:val="0"/>
      <w:marTop w:val="0"/>
      <w:marBottom w:val="0"/>
      <w:divBdr>
        <w:top w:val="none" w:sz="0" w:space="0" w:color="auto"/>
        <w:left w:val="none" w:sz="0" w:space="0" w:color="auto"/>
        <w:bottom w:val="none" w:sz="0" w:space="0" w:color="auto"/>
        <w:right w:val="none" w:sz="0" w:space="0" w:color="auto"/>
      </w:divBdr>
    </w:div>
    <w:div w:id="761217788">
      <w:bodyDiv w:val="1"/>
      <w:marLeft w:val="0"/>
      <w:marRight w:val="0"/>
      <w:marTop w:val="0"/>
      <w:marBottom w:val="0"/>
      <w:divBdr>
        <w:top w:val="none" w:sz="0" w:space="0" w:color="auto"/>
        <w:left w:val="none" w:sz="0" w:space="0" w:color="auto"/>
        <w:bottom w:val="none" w:sz="0" w:space="0" w:color="auto"/>
        <w:right w:val="none" w:sz="0" w:space="0" w:color="auto"/>
      </w:divBdr>
      <w:divsChild>
        <w:div w:id="975524497">
          <w:marLeft w:val="0"/>
          <w:marRight w:val="0"/>
          <w:marTop w:val="0"/>
          <w:marBottom w:val="0"/>
          <w:divBdr>
            <w:top w:val="none" w:sz="0" w:space="0" w:color="auto"/>
            <w:left w:val="none" w:sz="0" w:space="0" w:color="auto"/>
            <w:bottom w:val="none" w:sz="0" w:space="0" w:color="auto"/>
            <w:right w:val="none" w:sz="0" w:space="0" w:color="auto"/>
          </w:divBdr>
          <w:divsChild>
            <w:div w:id="155755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253401">
      <w:bodyDiv w:val="1"/>
      <w:marLeft w:val="0"/>
      <w:marRight w:val="0"/>
      <w:marTop w:val="0"/>
      <w:marBottom w:val="0"/>
      <w:divBdr>
        <w:top w:val="none" w:sz="0" w:space="0" w:color="auto"/>
        <w:left w:val="none" w:sz="0" w:space="0" w:color="auto"/>
        <w:bottom w:val="none" w:sz="0" w:space="0" w:color="auto"/>
        <w:right w:val="none" w:sz="0" w:space="0" w:color="auto"/>
      </w:divBdr>
      <w:divsChild>
        <w:div w:id="1349134590">
          <w:marLeft w:val="0"/>
          <w:marRight w:val="0"/>
          <w:marTop w:val="0"/>
          <w:marBottom w:val="0"/>
          <w:divBdr>
            <w:top w:val="none" w:sz="0" w:space="0" w:color="auto"/>
            <w:left w:val="none" w:sz="0" w:space="0" w:color="auto"/>
            <w:bottom w:val="none" w:sz="0" w:space="0" w:color="auto"/>
            <w:right w:val="none" w:sz="0" w:space="0" w:color="auto"/>
          </w:divBdr>
          <w:divsChild>
            <w:div w:id="201761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289154">
      <w:bodyDiv w:val="1"/>
      <w:marLeft w:val="0"/>
      <w:marRight w:val="0"/>
      <w:marTop w:val="0"/>
      <w:marBottom w:val="0"/>
      <w:divBdr>
        <w:top w:val="none" w:sz="0" w:space="0" w:color="auto"/>
        <w:left w:val="none" w:sz="0" w:space="0" w:color="auto"/>
        <w:bottom w:val="none" w:sz="0" w:space="0" w:color="auto"/>
        <w:right w:val="none" w:sz="0" w:space="0" w:color="auto"/>
      </w:divBdr>
    </w:div>
    <w:div w:id="805591305">
      <w:bodyDiv w:val="1"/>
      <w:marLeft w:val="0"/>
      <w:marRight w:val="0"/>
      <w:marTop w:val="0"/>
      <w:marBottom w:val="0"/>
      <w:divBdr>
        <w:top w:val="none" w:sz="0" w:space="0" w:color="auto"/>
        <w:left w:val="none" w:sz="0" w:space="0" w:color="auto"/>
        <w:bottom w:val="none" w:sz="0" w:space="0" w:color="auto"/>
        <w:right w:val="none" w:sz="0" w:space="0" w:color="auto"/>
      </w:divBdr>
    </w:div>
    <w:div w:id="814378430">
      <w:bodyDiv w:val="1"/>
      <w:marLeft w:val="0"/>
      <w:marRight w:val="0"/>
      <w:marTop w:val="0"/>
      <w:marBottom w:val="0"/>
      <w:divBdr>
        <w:top w:val="none" w:sz="0" w:space="0" w:color="auto"/>
        <w:left w:val="none" w:sz="0" w:space="0" w:color="auto"/>
        <w:bottom w:val="none" w:sz="0" w:space="0" w:color="auto"/>
        <w:right w:val="none" w:sz="0" w:space="0" w:color="auto"/>
      </w:divBdr>
      <w:divsChild>
        <w:div w:id="465588504">
          <w:marLeft w:val="0"/>
          <w:marRight w:val="0"/>
          <w:marTop w:val="0"/>
          <w:marBottom w:val="0"/>
          <w:divBdr>
            <w:top w:val="none" w:sz="0" w:space="0" w:color="auto"/>
            <w:left w:val="none" w:sz="0" w:space="0" w:color="auto"/>
            <w:bottom w:val="none" w:sz="0" w:space="0" w:color="auto"/>
            <w:right w:val="none" w:sz="0" w:space="0" w:color="auto"/>
          </w:divBdr>
        </w:div>
      </w:divsChild>
    </w:div>
    <w:div w:id="845830073">
      <w:bodyDiv w:val="1"/>
      <w:marLeft w:val="0"/>
      <w:marRight w:val="0"/>
      <w:marTop w:val="0"/>
      <w:marBottom w:val="0"/>
      <w:divBdr>
        <w:top w:val="none" w:sz="0" w:space="0" w:color="auto"/>
        <w:left w:val="none" w:sz="0" w:space="0" w:color="auto"/>
        <w:bottom w:val="none" w:sz="0" w:space="0" w:color="auto"/>
        <w:right w:val="none" w:sz="0" w:space="0" w:color="auto"/>
      </w:divBdr>
      <w:divsChild>
        <w:div w:id="2052996625">
          <w:marLeft w:val="0"/>
          <w:marRight w:val="0"/>
          <w:marTop w:val="0"/>
          <w:marBottom w:val="0"/>
          <w:divBdr>
            <w:top w:val="none" w:sz="0" w:space="0" w:color="auto"/>
            <w:left w:val="none" w:sz="0" w:space="0" w:color="auto"/>
            <w:bottom w:val="none" w:sz="0" w:space="0" w:color="auto"/>
            <w:right w:val="none" w:sz="0" w:space="0" w:color="auto"/>
          </w:divBdr>
        </w:div>
      </w:divsChild>
    </w:div>
    <w:div w:id="848298381">
      <w:bodyDiv w:val="1"/>
      <w:marLeft w:val="0"/>
      <w:marRight w:val="0"/>
      <w:marTop w:val="0"/>
      <w:marBottom w:val="0"/>
      <w:divBdr>
        <w:top w:val="none" w:sz="0" w:space="0" w:color="auto"/>
        <w:left w:val="none" w:sz="0" w:space="0" w:color="auto"/>
        <w:bottom w:val="none" w:sz="0" w:space="0" w:color="auto"/>
        <w:right w:val="none" w:sz="0" w:space="0" w:color="auto"/>
      </w:divBdr>
    </w:div>
    <w:div w:id="899049453">
      <w:bodyDiv w:val="1"/>
      <w:marLeft w:val="0"/>
      <w:marRight w:val="0"/>
      <w:marTop w:val="0"/>
      <w:marBottom w:val="0"/>
      <w:divBdr>
        <w:top w:val="none" w:sz="0" w:space="0" w:color="auto"/>
        <w:left w:val="none" w:sz="0" w:space="0" w:color="auto"/>
        <w:bottom w:val="none" w:sz="0" w:space="0" w:color="auto"/>
        <w:right w:val="none" w:sz="0" w:space="0" w:color="auto"/>
      </w:divBdr>
      <w:divsChild>
        <w:div w:id="1118259817">
          <w:marLeft w:val="0"/>
          <w:marRight w:val="0"/>
          <w:marTop w:val="0"/>
          <w:marBottom w:val="0"/>
          <w:divBdr>
            <w:top w:val="none" w:sz="0" w:space="0" w:color="auto"/>
            <w:left w:val="none" w:sz="0" w:space="0" w:color="auto"/>
            <w:bottom w:val="none" w:sz="0" w:space="0" w:color="auto"/>
            <w:right w:val="none" w:sz="0" w:space="0" w:color="auto"/>
          </w:divBdr>
          <w:divsChild>
            <w:div w:id="76383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890723">
      <w:bodyDiv w:val="1"/>
      <w:marLeft w:val="0"/>
      <w:marRight w:val="0"/>
      <w:marTop w:val="0"/>
      <w:marBottom w:val="0"/>
      <w:divBdr>
        <w:top w:val="none" w:sz="0" w:space="0" w:color="auto"/>
        <w:left w:val="none" w:sz="0" w:space="0" w:color="auto"/>
        <w:bottom w:val="none" w:sz="0" w:space="0" w:color="auto"/>
        <w:right w:val="none" w:sz="0" w:space="0" w:color="auto"/>
      </w:divBdr>
    </w:div>
    <w:div w:id="918058016">
      <w:bodyDiv w:val="1"/>
      <w:marLeft w:val="0"/>
      <w:marRight w:val="0"/>
      <w:marTop w:val="0"/>
      <w:marBottom w:val="0"/>
      <w:divBdr>
        <w:top w:val="none" w:sz="0" w:space="0" w:color="auto"/>
        <w:left w:val="none" w:sz="0" w:space="0" w:color="auto"/>
        <w:bottom w:val="none" w:sz="0" w:space="0" w:color="auto"/>
        <w:right w:val="none" w:sz="0" w:space="0" w:color="auto"/>
      </w:divBdr>
      <w:divsChild>
        <w:div w:id="2108307408">
          <w:marLeft w:val="0"/>
          <w:marRight w:val="0"/>
          <w:marTop w:val="0"/>
          <w:marBottom w:val="0"/>
          <w:divBdr>
            <w:top w:val="none" w:sz="0" w:space="0" w:color="auto"/>
            <w:left w:val="none" w:sz="0" w:space="0" w:color="auto"/>
            <w:bottom w:val="none" w:sz="0" w:space="0" w:color="auto"/>
            <w:right w:val="none" w:sz="0" w:space="0" w:color="auto"/>
          </w:divBdr>
          <w:divsChild>
            <w:div w:id="110985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51616">
      <w:bodyDiv w:val="1"/>
      <w:marLeft w:val="0"/>
      <w:marRight w:val="0"/>
      <w:marTop w:val="0"/>
      <w:marBottom w:val="0"/>
      <w:divBdr>
        <w:top w:val="none" w:sz="0" w:space="0" w:color="auto"/>
        <w:left w:val="none" w:sz="0" w:space="0" w:color="auto"/>
        <w:bottom w:val="none" w:sz="0" w:space="0" w:color="auto"/>
        <w:right w:val="none" w:sz="0" w:space="0" w:color="auto"/>
      </w:divBdr>
    </w:div>
    <w:div w:id="1146900498">
      <w:bodyDiv w:val="1"/>
      <w:marLeft w:val="0"/>
      <w:marRight w:val="0"/>
      <w:marTop w:val="0"/>
      <w:marBottom w:val="0"/>
      <w:divBdr>
        <w:top w:val="none" w:sz="0" w:space="0" w:color="auto"/>
        <w:left w:val="none" w:sz="0" w:space="0" w:color="auto"/>
        <w:bottom w:val="none" w:sz="0" w:space="0" w:color="auto"/>
        <w:right w:val="none" w:sz="0" w:space="0" w:color="auto"/>
      </w:divBdr>
    </w:div>
    <w:div w:id="1219633560">
      <w:bodyDiv w:val="1"/>
      <w:marLeft w:val="0"/>
      <w:marRight w:val="0"/>
      <w:marTop w:val="0"/>
      <w:marBottom w:val="0"/>
      <w:divBdr>
        <w:top w:val="none" w:sz="0" w:space="0" w:color="auto"/>
        <w:left w:val="none" w:sz="0" w:space="0" w:color="auto"/>
        <w:bottom w:val="none" w:sz="0" w:space="0" w:color="auto"/>
        <w:right w:val="none" w:sz="0" w:space="0" w:color="auto"/>
      </w:divBdr>
      <w:divsChild>
        <w:div w:id="1293907001">
          <w:marLeft w:val="0"/>
          <w:marRight w:val="0"/>
          <w:marTop w:val="0"/>
          <w:marBottom w:val="0"/>
          <w:divBdr>
            <w:top w:val="none" w:sz="0" w:space="0" w:color="auto"/>
            <w:left w:val="none" w:sz="0" w:space="0" w:color="auto"/>
            <w:bottom w:val="none" w:sz="0" w:space="0" w:color="auto"/>
            <w:right w:val="none" w:sz="0" w:space="0" w:color="auto"/>
          </w:divBdr>
          <w:divsChild>
            <w:div w:id="102478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097583">
      <w:bodyDiv w:val="1"/>
      <w:marLeft w:val="0"/>
      <w:marRight w:val="0"/>
      <w:marTop w:val="0"/>
      <w:marBottom w:val="0"/>
      <w:divBdr>
        <w:top w:val="none" w:sz="0" w:space="0" w:color="auto"/>
        <w:left w:val="none" w:sz="0" w:space="0" w:color="auto"/>
        <w:bottom w:val="none" w:sz="0" w:space="0" w:color="auto"/>
        <w:right w:val="none" w:sz="0" w:space="0" w:color="auto"/>
      </w:divBdr>
    </w:div>
    <w:div w:id="1288664835">
      <w:bodyDiv w:val="1"/>
      <w:marLeft w:val="0"/>
      <w:marRight w:val="0"/>
      <w:marTop w:val="0"/>
      <w:marBottom w:val="0"/>
      <w:divBdr>
        <w:top w:val="none" w:sz="0" w:space="0" w:color="auto"/>
        <w:left w:val="none" w:sz="0" w:space="0" w:color="auto"/>
        <w:bottom w:val="none" w:sz="0" w:space="0" w:color="auto"/>
        <w:right w:val="none" w:sz="0" w:space="0" w:color="auto"/>
      </w:divBdr>
      <w:divsChild>
        <w:div w:id="1982231155">
          <w:marLeft w:val="0"/>
          <w:marRight w:val="0"/>
          <w:marTop w:val="0"/>
          <w:marBottom w:val="0"/>
          <w:divBdr>
            <w:top w:val="none" w:sz="0" w:space="0" w:color="auto"/>
            <w:left w:val="none" w:sz="0" w:space="0" w:color="auto"/>
            <w:bottom w:val="none" w:sz="0" w:space="0" w:color="auto"/>
            <w:right w:val="none" w:sz="0" w:space="0" w:color="auto"/>
          </w:divBdr>
          <w:divsChild>
            <w:div w:id="69809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579260">
      <w:bodyDiv w:val="1"/>
      <w:marLeft w:val="0"/>
      <w:marRight w:val="0"/>
      <w:marTop w:val="0"/>
      <w:marBottom w:val="0"/>
      <w:divBdr>
        <w:top w:val="none" w:sz="0" w:space="0" w:color="auto"/>
        <w:left w:val="none" w:sz="0" w:space="0" w:color="auto"/>
        <w:bottom w:val="none" w:sz="0" w:space="0" w:color="auto"/>
        <w:right w:val="none" w:sz="0" w:space="0" w:color="auto"/>
      </w:divBdr>
    </w:div>
    <w:div w:id="1376002758">
      <w:bodyDiv w:val="1"/>
      <w:marLeft w:val="0"/>
      <w:marRight w:val="0"/>
      <w:marTop w:val="0"/>
      <w:marBottom w:val="0"/>
      <w:divBdr>
        <w:top w:val="none" w:sz="0" w:space="0" w:color="auto"/>
        <w:left w:val="none" w:sz="0" w:space="0" w:color="auto"/>
        <w:bottom w:val="none" w:sz="0" w:space="0" w:color="auto"/>
        <w:right w:val="none" w:sz="0" w:space="0" w:color="auto"/>
      </w:divBdr>
      <w:divsChild>
        <w:div w:id="341736459">
          <w:marLeft w:val="0"/>
          <w:marRight w:val="0"/>
          <w:marTop w:val="0"/>
          <w:marBottom w:val="0"/>
          <w:divBdr>
            <w:top w:val="none" w:sz="0" w:space="0" w:color="auto"/>
            <w:left w:val="none" w:sz="0" w:space="0" w:color="auto"/>
            <w:bottom w:val="none" w:sz="0" w:space="0" w:color="auto"/>
            <w:right w:val="none" w:sz="0" w:space="0" w:color="auto"/>
          </w:divBdr>
          <w:divsChild>
            <w:div w:id="85180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712106">
      <w:bodyDiv w:val="1"/>
      <w:marLeft w:val="0"/>
      <w:marRight w:val="0"/>
      <w:marTop w:val="0"/>
      <w:marBottom w:val="0"/>
      <w:divBdr>
        <w:top w:val="none" w:sz="0" w:space="0" w:color="auto"/>
        <w:left w:val="none" w:sz="0" w:space="0" w:color="auto"/>
        <w:bottom w:val="none" w:sz="0" w:space="0" w:color="auto"/>
        <w:right w:val="none" w:sz="0" w:space="0" w:color="auto"/>
      </w:divBdr>
    </w:div>
    <w:div w:id="1445925646">
      <w:bodyDiv w:val="1"/>
      <w:marLeft w:val="0"/>
      <w:marRight w:val="0"/>
      <w:marTop w:val="0"/>
      <w:marBottom w:val="0"/>
      <w:divBdr>
        <w:top w:val="none" w:sz="0" w:space="0" w:color="auto"/>
        <w:left w:val="none" w:sz="0" w:space="0" w:color="auto"/>
        <w:bottom w:val="none" w:sz="0" w:space="0" w:color="auto"/>
        <w:right w:val="none" w:sz="0" w:space="0" w:color="auto"/>
      </w:divBdr>
      <w:divsChild>
        <w:div w:id="65229885">
          <w:marLeft w:val="0"/>
          <w:marRight w:val="0"/>
          <w:marTop w:val="0"/>
          <w:marBottom w:val="0"/>
          <w:divBdr>
            <w:top w:val="none" w:sz="0" w:space="0" w:color="auto"/>
            <w:left w:val="none" w:sz="0" w:space="0" w:color="auto"/>
            <w:bottom w:val="none" w:sz="0" w:space="0" w:color="auto"/>
            <w:right w:val="none" w:sz="0" w:space="0" w:color="auto"/>
          </w:divBdr>
          <w:divsChild>
            <w:div w:id="1219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634070">
      <w:bodyDiv w:val="1"/>
      <w:marLeft w:val="0"/>
      <w:marRight w:val="0"/>
      <w:marTop w:val="0"/>
      <w:marBottom w:val="0"/>
      <w:divBdr>
        <w:top w:val="none" w:sz="0" w:space="0" w:color="auto"/>
        <w:left w:val="none" w:sz="0" w:space="0" w:color="auto"/>
        <w:bottom w:val="none" w:sz="0" w:space="0" w:color="auto"/>
        <w:right w:val="none" w:sz="0" w:space="0" w:color="auto"/>
      </w:divBdr>
      <w:divsChild>
        <w:div w:id="876742155">
          <w:marLeft w:val="0"/>
          <w:marRight w:val="0"/>
          <w:marTop w:val="0"/>
          <w:marBottom w:val="0"/>
          <w:divBdr>
            <w:top w:val="none" w:sz="0" w:space="0" w:color="auto"/>
            <w:left w:val="none" w:sz="0" w:space="0" w:color="auto"/>
            <w:bottom w:val="none" w:sz="0" w:space="0" w:color="auto"/>
            <w:right w:val="none" w:sz="0" w:space="0" w:color="auto"/>
          </w:divBdr>
          <w:divsChild>
            <w:div w:id="126595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210542">
      <w:bodyDiv w:val="1"/>
      <w:marLeft w:val="0"/>
      <w:marRight w:val="0"/>
      <w:marTop w:val="0"/>
      <w:marBottom w:val="0"/>
      <w:divBdr>
        <w:top w:val="none" w:sz="0" w:space="0" w:color="auto"/>
        <w:left w:val="none" w:sz="0" w:space="0" w:color="auto"/>
        <w:bottom w:val="none" w:sz="0" w:space="0" w:color="auto"/>
        <w:right w:val="none" w:sz="0" w:space="0" w:color="auto"/>
      </w:divBdr>
    </w:div>
    <w:div w:id="1774662962">
      <w:bodyDiv w:val="1"/>
      <w:marLeft w:val="0"/>
      <w:marRight w:val="0"/>
      <w:marTop w:val="0"/>
      <w:marBottom w:val="0"/>
      <w:divBdr>
        <w:top w:val="none" w:sz="0" w:space="0" w:color="auto"/>
        <w:left w:val="none" w:sz="0" w:space="0" w:color="auto"/>
        <w:bottom w:val="none" w:sz="0" w:space="0" w:color="auto"/>
        <w:right w:val="none" w:sz="0" w:space="0" w:color="auto"/>
      </w:divBdr>
      <w:divsChild>
        <w:div w:id="566843644">
          <w:marLeft w:val="0"/>
          <w:marRight w:val="0"/>
          <w:marTop w:val="0"/>
          <w:marBottom w:val="0"/>
          <w:divBdr>
            <w:top w:val="none" w:sz="0" w:space="0" w:color="auto"/>
            <w:left w:val="none" w:sz="0" w:space="0" w:color="auto"/>
            <w:bottom w:val="none" w:sz="0" w:space="0" w:color="auto"/>
            <w:right w:val="none" w:sz="0" w:space="0" w:color="auto"/>
          </w:divBdr>
          <w:divsChild>
            <w:div w:id="1698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61185">
      <w:bodyDiv w:val="1"/>
      <w:marLeft w:val="0"/>
      <w:marRight w:val="0"/>
      <w:marTop w:val="0"/>
      <w:marBottom w:val="0"/>
      <w:divBdr>
        <w:top w:val="none" w:sz="0" w:space="0" w:color="auto"/>
        <w:left w:val="none" w:sz="0" w:space="0" w:color="auto"/>
        <w:bottom w:val="none" w:sz="0" w:space="0" w:color="auto"/>
        <w:right w:val="none" w:sz="0" w:space="0" w:color="auto"/>
      </w:divBdr>
    </w:div>
    <w:div w:id="1880126610">
      <w:bodyDiv w:val="1"/>
      <w:marLeft w:val="0"/>
      <w:marRight w:val="0"/>
      <w:marTop w:val="0"/>
      <w:marBottom w:val="0"/>
      <w:divBdr>
        <w:top w:val="none" w:sz="0" w:space="0" w:color="auto"/>
        <w:left w:val="none" w:sz="0" w:space="0" w:color="auto"/>
        <w:bottom w:val="none" w:sz="0" w:space="0" w:color="auto"/>
        <w:right w:val="none" w:sz="0" w:space="0" w:color="auto"/>
      </w:divBdr>
      <w:divsChild>
        <w:div w:id="778917583">
          <w:marLeft w:val="0"/>
          <w:marRight w:val="0"/>
          <w:marTop w:val="0"/>
          <w:marBottom w:val="0"/>
          <w:divBdr>
            <w:top w:val="none" w:sz="0" w:space="0" w:color="auto"/>
            <w:left w:val="none" w:sz="0" w:space="0" w:color="auto"/>
            <w:bottom w:val="none" w:sz="0" w:space="0" w:color="auto"/>
            <w:right w:val="none" w:sz="0" w:space="0" w:color="auto"/>
          </w:divBdr>
          <w:divsChild>
            <w:div w:id="20448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773627">
      <w:bodyDiv w:val="1"/>
      <w:marLeft w:val="0"/>
      <w:marRight w:val="0"/>
      <w:marTop w:val="0"/>
      <w:marBottom w:val="0"/>
      <w:divBdr>
        <w:top w:val="none" w:sz="0" w:space="0" w:color="auto"/>
        <w:left w:val="none" w:sz="0" w:space="0" w:color="auto"/>
        <w:bottom w:val="none" w:sz="0" w:space="0" w:color="auto"/>
        <w:right w:val="none" w:sz="0" w:space="0" w:color="auto"/>
      </w:divBdr>
      <w:divsChild>
        <w:div w:id="1824927453">
          <w:marLeft w:val="0"/>
          <w:marRight w:val="0"/>
          <w:marTop w:val="0"/>
          <w:marBottom w:val="0"/>
          <w:divBdr>
            <w:top w:val="none" w:sz="0" w:space="0" w:color="auto"/>
            <w:left w:val="none" w:sz="0" w:space="0" w:color="auto"/>
            <w:bottom w:val="none" w:sz="0" w:space="0" w:color="auto"/>
            <w:right w:val="none" w:sz="0" w:space="0" w:color="auto"/>
          </w:divBdr>
          <w:divsChild>
            <w:div w:id="79051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792628">
      <w:bodyDiv w:val="1"/>
      <w:marLeft w:val="0"/>
      <w:marRight w:val="0"/>
      <w:marTop w:val="0"/>
      <w:marBottom w:val="0"/>
      <w:divBdr>
        <w:top w:val="none" w:sz="0" w:space="0" w:color="auto"/>
        <w:left w:val="none" w:sz="0" w:space="0" w:color="auto"/>
        <w:bottom w:val="none" w:sz="0" w:space="0" w:color="auto"/>
        <w:right w:val="none" w:sz="0" w:space="0" w:color="auto"/>
      </w:divBdr>
    </w:div>
    <w:div w:id="2036223983">
      <w:bodyDiv w:val="1"/>
      <w:marLeft w:val="0"/>
      <w:marRight w:val="0"/>
      <w:marTop w:val="0"/>
      <w:marBottom w:val="0"/>
      <w:divBdr>
        <w:top w:val="none" w:sz="0" w:space="0" w:color="auto"/>
        <w:left w:val="none" w:sz="0" w:space="0" w:color="auto"/>
        <w:bottom w:val="none" w:sz="0" w:space="0" w:color="auto"/>
        <w:right w:val="none" w:sz="0" w:space="0" w:color="auto"/>
      </w:divBdr>
    </w:div>
    <w:div w:id="2044355675">
      <w:bodyDiv w:val="1"/>
      <w:marLeft w:val="0"/>
      <w:marRight w:val="0"/>
      <w:marTop w:val="0"/>
      <w:marBottom w:val="0"/>
      <w:divBdr>
        <w:top w:val="none" w:sz="0" w:space="0" w:color="auto"/>
        <w:left w:val="none" w:sz="0" w:space="0" w:color="auto"/>
        <w:bottom w:val="none" w:sz="0" w:space="0" w:color="auto"/>
        <w:right w:val="none" w:sz="0" w:space="0" w:color="auto"/>
      </w:divBdr>
      <w:divsChild>
        <w:div w:id="1087650099">
          <w:marLeft w:val="0"/>
          <w:marRight w:val="0"/>
          <w:marTop w:val="0"/>
          <w:marBottom w:val="0"/>
          <w:divBdr>
            <w:top w:val="none" w:sz="0" w:space="0" w:color="auto"/>
            <w:left w:val="none" w:sz="0" w:space="0" w:color="auto"/>
            <w:bottom w:val="none" w:sz="0" w:space="0" w:color="auto"/>
            <w:right w:val="none" w:sz="0" w:space="0" w:color="auto"/>
          </w:divBdr>
          <w:divsChild>
            <w:div w:id="103842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397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1475-6773.14263" TargetMode="External"/><Relationship Id="rId21" Type="http://schemas.openxmlformats.org/officeDocument/2006/relationships/hyperlink" Target="https://doi.org/10.1136/bmjopen-2018-026308" TargetMode="External"/><Relationship Id="rId42" Type="http://schemas.openxmlformats.org/officeDocument/2006/relationships/hyperlink" Target="https://www.legislation.gov.uk/ukpga/1998/42%20" TargetMode="External"/><Relationship Id="rId47" Type="http://schemas.openxmlformats.org/officeDocument/2006/relationships/hyperlink" Target="https://doi.org/10.1186/s13643-021-01715-4." TargetMode="External"/><Relationship Id="rId63" Type="http://schemas.openxmlformats.org/officeDocument/2006/relationships/hyperlink" Target="https://www.ons.gov.uk" TargetMode="External"/><Relationship Id="rId68" Type="http://schemas.openxmlformats.org/officeDocument/2006/relationships/hyperlink" Target="https://www.kingsfund.org.uk/insight-and-analysis/reports/public-satisfaction-nhs-social-care-2023" TargetMode="External"/><Relationship Id="rId84" Type="http://schemas.openxmlformats.org/officeDocument/2006/relationships/hyperlink" Target="https://doi.org/10.1016/j.jalz.2016.07.150" TargetMode="External"/><Relationship Id="rId89" Type="http://schemas.openxmlformats.org/officeDocument/2006/relationships/image" Target="media/image4.png"/><Relationship Id="rId16" Type="http://schemas.openxmlformats.org/officeDocument/2006/relationships/hyperlink" Target="https://www.alzheimers.org.uk" TargetMode="External"/><Relationship Id="rId11" Type="http://schemas.openxmlformats.org/officeDocument/2006/relationships/image" Target="media/image1.png"/><Relationship Id="rId32" Type="http://schemas.openxmlformats.org/officeDocument/2006/relationships/hyperlink" Target="file:///C:\Users\fdanr\OneDrive\Desktop\Available%20at:%20https:\doi.org\10.1186\s12889-019-6822-1" TargetMode="External"/><Relationship Id="rId37" Type="http://schemas.openxmlformats.org/officeDocument/2006/relationships/hyperlink" Target="https://www.local.gov.uk/case-studies/dementia-united-greater-manchester-integrated-care-partnerships-programme-dementia%20" TargetMode="External"/><Relationship Id="rId53" Type="http://schemas.openxmlformats.org/officeDocument/2006/relationships/hyperlink" Target="https://doi.org/10.1186/s12916-021-01945-2" TargetMode="External"/><Relationship Id="rId58" Type="http://schemas.openxmlformats.org/officeDocument/2006/relationships/hyperlink" Target="https://www.england.nhs.uk/publication/local-health-and-care-record-exemplars/" TargetMode="External"/><Relationship Id="rId74" Type="http://schemas.openxmlformats.org/officeDocument/2006/relationships/hyperlink" Target="https://doi.org/10.1186/s12877-023-04187-4" TargetMode="External"/><Relationship Id="rId79" Type="http://schemas.openxmlformats.org/officeDocument/2006/relationships/hyperlink" Target="https://www.un.org/development/desa/disabilities" TargetMode="External"/><Relationship Id="rId5" Type="http://schemas.openxmlformats.org/officeDocument/2006/relationships/numbering" Target="numbering.xml"/><Relationship Id="rId90" Type="http://schemas.openxmlformats.org/officeDocument/2006/relationships/image" Target="media/image5.png"/><Relationship Id="rId95" Type="http://schemas.openxmlformats.org/officeDocument/2006/relationships/image" Target="media/image10.png"/><Relationship Id="rId22" Type="http://schemas.openxmlformats.org/officeDocument/2006/relationships/hyperlink" Target="https://doi.org/10.1002/trc2.12353" TargetMode="External"/><Relationship Id="rId27" Type="http://schemas.openxmlformats.org/officeDocument/2006/relationships/hyperlink" Target="https://doi.org/10.1111/jan.15728" TargetMode="External"/><Relationship Id="rId43" Type="http://schemas.openxmlformats.org/officeDocument/2006/relationships/hyperlink" Target="https://doi.org/10.1002/gps.4994" TargetMode="External"/><Relationship Id="rId48" Type="http://schemas.openxmlformats.org/officeDocument/2006/relationships/hyperlink" Target="https://doi.org/10.1186/s13643-021-01715-4" TargetMode="External"/><Relationship Id="rId64" Type="http://schemas.openxmlformats.org/officeDocument/2006/relationships/hyperlink" Target="https://doi.org/10.1002/14651858.CD003150.pub3" TargetMode="External"/><Relationship Id="rId69" Type="http://schemas.openxmlformats.org/officeDocument/2006/relationships/hyperlink" Target="https://doi.org/10.1186/s12913-018-3686-5" TargetMode="External"/><Relationship Id="rId80" Type="http://schemas.openxmlformats.org/officeDocument/2006/relationships/hyperlink" Target="https://doi.org/10.1136/bmjopen-2020-044591" TargetMode="External"/><Relationship Id="rId85" Type="http://schemas.openxmlformats.org/officeDocument/2006/relationships/hyperlink" Target="https://www.alzint.org"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002/gps.4572" TargetMode="External"/><Relationship Id="rId25" Type="http://schemas.openxmlformats.org/officeDocument/2006/relationships/hyperlink" Target="https://www.cqc.org.uk/sites/default/files/20160505%20CQC_EOLC_Dementia_FINAL_2.pdf" TargetMode="External"/><Relationship Id="rId33" Type="http://schemas.openxmlformats.org/officeDocument/2006/relationships/hyperlink" Target="https://doi.org/10.1007/s41669-023-00440-z" TargetMode="External"/><Relationship Id="rId38" Type="http://schemas.openxmlformats.org/officeDocument/2006/relationships/hyperlink" Target="https://doi.org/10.1007/s11136-019-02333-3" TargetMode="External"/><Relationship Id="rId46" Type="http://schemas.openxmlformats.org/officeDocument/2006/relationships/hyperlink" Target="https://doi.org/10.1016/j.jalz.2017.07.027" TargetMode="External"/><Relationship Id="rId59" Type="http://schemas.openxmlformats.org/officeDocument/2006/relationships/hyperlink" Target="https://www.england.nhs.uk/mental-health/dementia" TargetMode="External"/><Relationship Id="rId67" Type="http://schemas.openxmlformats.org/officeDocument/2006/relationships/hyperlink" Target="https://doi.org/10.1002/14651858.CD008345.pub2" TargetMode="External"/><Relationship Id="rId20" Type="http://schemas.openxmlformats.org/officeDocument/2006/relationships/hyperlink" Target="https://doi.org/10.1017/S1041610216000466" TargetMode="External"/><Relationship Id="rId41" Type="http://schemas.openxmlformats.org/officeDocument/2006/relationships/hyperlink" Target="https://www.legislation.gov.uk/ukpga/2014/23/contents/enacted" TargetMode="External"/><Relationship Id="rId54" Type="http://schemas.openxmlformats.org/officeDocument/2006/relationships/hyperlink" Target="https://doi.org/10.1111/jgs.17627" TargetMode="External"/><Relationship Id="rId62" Type="http://schemas.openxmlformats.org/officeDocument/2006/relationships/hyperlink" Target="https://www.nice.org.uk/guidance/ng97" TargetMode="External"/><Relationship Id="rId70" Type="http://schemas.openxmlformats.org/officeDocument/2006/relationships/hyperlink" Target="https://doi.org/10.1186/s13063-017-2214-y" TargetMode="External"/><Relationship Id="rId75" Type="http://schemas.openxmlformats.org/officeDocument/2006/relationships/hyperlink" Target="https://en.wikipedia.org/wiki/Springhead_Park%20" TargetMode="External"/><Relationship Id="rId83" Type="http://schemas.openxmlformats.org/officeDocument/2006/relationships/hyperlink" Target="https://www.who.int/news-room/fact-sheets/detail/dementia" TargetMode="External"/><Relationship Id="rId88" Type="http://schemas.openxmlformats.org/officeDocument/2006/relationships/hyperlink" Target="https://doi.org/10.1002/14651858.CD009844.pub2" TargetMode="External"/><Relationship Id="rId91" Type="http://schemas.openxmlformats.org/officeDocument/2006/relationships/image" Target="media/image6.png"/><Relationship Id="rId9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geuk.org.uk/services/information-advice/" TargetMode="External"/><Relationship Id="rId23" Type="http://schemas.openxmlformats.org/officeDocument/2006/relationships/hyperlink" Target="https://www.carersuk.org" TargetMode="External"/><Relationship Id="rId28" Type="http://schemas.openxmlformats.org/officeDocument/2006/relationships/hyperlink" Target="https://www.dementiauk.org/get-support/admiral-nursing/" TargetMode="External"/><Relationship Id="rId36" Type="http://schemas.openxmlformats.org/officeDocument/2006/relationships/hyperlink" Target="https://www.gov.uk/government/publications/prime-ministers-challenge-on-dementia-2020%20" TargetMode="External"/><Relationship Id="rId49" Type="http://schemas.openxmlformats.org/officeDocument/2006/relationships/hyperlink" Target="https://doi.org/10.1136/bmj.k4899" TargetMode="External"/><Relationship Id="rId57" Type="http://schemas.openxmlformats.org/officeDocument/2006/relationships/hyperlink" Target="https://www.gov.uk/government/publications/10-year-health-plan-for-england-fit-for-the-future" TargetMode="External"/><Relationship Id="rId10" Type="http://schemas.openxmlformats.org/officeDocument/2006/relationships/endnotes" Target="endnotes.xml"/><Relationship Id="rId31" Type="http://schemas.openxmlformats.org/officeDocument/2006/relationships/hyperlink" Target="https://doi.org/10.1017/S1041610223004489" TargetMode="External"/><Relationship Id="rId44" Type="http://schemas.openxmlformats.org/officeDocument/2006/relationships/hyperlink" Target="https://www.leeds.gov.uk/plans-and-strategies/age-friendly-leeds-strategy-and-action-plan-2022-2025%20" TargetMode="External"/><Relationship Id="rId52" Type="http://schemas.openxmlformats.org/officeDocument/2006/relationships/hyperlink" Target="https://doi.org/10.1002/14651858.CD009812.pub3" TargetMode="External"/><Relationship Id="rId60" Type="http://schemas.openxmlformats.org/officeDocument/2006/relationships/hyperlink" Target="https://www.england.nhs.uk/integratedcare/what-integrated-care-means/one-devon-case-study/%20" TargetMode="External"/><Relationship Id="rId65" Type="http://schemas.openxmlformats.org/officeDocument/2006/relationships/hyperlink" Target="https://doi.org/10.1002/14651858.CD003150.pub3" TargetMode="External"/><Relationship Id="rId73" Type="http://schemas.openxmlformats.org/officeDocument/2006/relationships/hyperlink" Target="https://doi.org/10.1186/s12877-023-04187-4." TargetMode="External"/><Relationship Id="rId78" Type="http://schemas.openxmlformats.org/officeDocument/2006/relationships/hyperlink" Target="https://www.training2care.com/virtual-dementia-tour.htm%20" TargetMode="External"/><Relationship Id="rId81" Type="http://schemas.openxmlformats.org/officeDocument/2006/relationships/hyperlink" Target="https://doi.org/10.1371/journal.pmed.1003433" TargetMode="External"/><Relationship Id="rId86" Type="http://schemas.openxmlformats.org/officeDocument/2006/relationships/hyperlink" Target="https://doi.org/10.1111/1475-6773.13740" TargetMode="External"/><Relationship Id="rId94" Type="http://schemas.openxmlformats.org/officeDocument/2006/relationships/image" Target="media/image9.png"/><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doi.org/10.1371/journal.pmed.1002500." TargetMode="External"/><Relationship Id="rId39" Type="http://schemas.openxmlformats.org/officeDocument/2006/relationships/hyperlink" Target="https://doi.org/10.1177/14713012211046595" TargetMode="External"/><Relationship Id="rId34" Type="http://schemas.openxmlformats.org/officeDocument/2006/relationships/hyperlink" Target="https://ec.europa.eu" TargetMode="External"/><Relationship Id="rId50" Type="http://schemas.openxmlformats.org/officeDocument/2006/relationships/hyperlink" Target="https://doi.org/10.1177/17449871241281428" TargetMode="External"/><Relationship Id="rId55" Type="http://schemas.openxmlformats.org/officeDocument/2006/relationships/hyperlink" Target="https://digital.nhs.uk/data-and-information/publications%20" TargetMode="External"/><Relationship Id="rId76" Type="http://schemas.openxmlformats.org/officeDocument/2006/relationships/hyperlink" Target="https://doi.org/10.1186/s13063-016-1416-z" TargetMode="External"/><Relationship Id="rId97" Type="http://schemas.openxmlformats.org/officeDocument/2006/relationships/image" Target="media/image12.png"/><Relationship Id="rId7" Type="http://schemas.openxmlformats.org/officeDocument/2006/relationships/settings" Target="settings.xml"/><Relationship Id="rId71" Type="http://schemas.openxmlformats.org/officeDocument/2006/relationships/hyperlink" Target="https://doi.org/10.1186/s12911-020-01160-8" TargetMode="External"/><Relationship Id="rId92" Type="http://schemas.openxmlformats.org/officeDocument/2006/relationships/image" Target="media/image7.png"/><Relationship Id="rId2" Type="http://schemas.openxmlformats.org/officeDocument/2006/relationships/customXml" Target="../customXml/item2.xml"/><Relationship Id="rId29" Type="http://schemas.openxmlformats.org/officeDocument/2006/relationships/hyperlink" Target="https://www.gov.uk/government/publications/living-well-with-dementia-a-national-dementia-strategy%20" TargetMode="External"/><Relationship Id="rId24" Type="http://schemas.openxmlformats.org/officeDocument/2006/relationships/hyperlink" Target="https://doi.org/10.5195/aa.2021.341" TargetMode="External"/><Relationship Id="rId40" Type="http://schemas.openxmlformats.org/officeDocument/2006/relationships/hyperlink" Target="https://doi.org/10.1111/hsc.12371" TargetMode="External"/><Relationship Id="rId45" Type="http://schemas.openxmlformats.org/officeDocument/2006/relationships/hyperlink" Target="https://www.leeds.gov.uk/adult-social-care/dementia%20" TargetMode="External"/><Relationship Id="rId66" Type="http://schemas.openxmlformats.org/officeDocument/2006/relationships/hyperlink" Target="https://doi.org/10.1371/journal.pone.0211953" TargetMode="External"/><Relationship Id="rId87" Type="http://schemas.openxmlformats.org/officeDocument/2006/relationships/hyperlink" Target="https://doi.org/10.1371/journal.pone.0316446." TargetMode="External"/><Relationship Id="rId61" Type="http://schemas.openxmlformats.org/officeDocument/2006/relationships/hyperlink" Target="https://www.nice.org.uk/guidance/ng97%20" TargetMode="External"/><Relationship Id="rId82" Type="http://schemas.openxmlformats.org/officeDocument/2006/relationships/hyperlink" Target="https://iris.who.int/bitstream/handle/10665/344701/9789240033245-eng.pdf?sequence=1" TargetMode="External"/><Relationship Id="rId19" Type="http://schemas.openxmlformats.org/officeDocument/2006/relationships/hyperlink" Target="https://doi.org/10.1111/jan.14654" TargetMode="External"/><Relationship Id="rId14" Type="http://schemas.openxmlformats.org/officeDocument/2006/relationships/image" Target="media/image3.png"/><Relationship Id="rId30" Type="http://schemas.openxmlformats.org/officeDocument/2006/relationships/hyperlink" Target="https://www.gov.uk/government/publications" TargetMode="External"/><Relationship Id="rId35" Type="http://schemas.openxmlformats.org/officeDocument/2006/relationships/hyperlink" Target="file:///C:\Users\fdanr\OneDrive\Desktop\%20https\doi.org\10.1007\s13670-019-00297-3" TargetMode="External"/><Relationship Id="rId56" Type="http://schemas.openxmlformats.org/officeDocument/2006/relationships/hyperlink" Target="https://digital.nhs.uk/services/spine/spine-futures" TargetMode="External"/><Relationship Id="rId77" Type="http://schemas.openxmlformats.org/officeDocument/2006/relationships/hyperlink" Target="https://www.techuk.org/resource/driving-digital-transformation-techuk-s-recommendations-for-health-social-care.html"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10.1007/s40258-019-00531-1" TargetMode="External"/><Relationship Id="rId72" Type="http://schemas.openxmlformats.org/officeDocument/2006/relationships/hyperlink" Target="https://www.skillsforcare.org.uk/adult-social-care-workforce-data-old/Research-evidence/Our-research-reports/Our-research-reports.aspx" TargetMode="External"/><Relationship Id="rId93" Type="http://schemas.openxmlformats.org/officeDocument/2006/relationships/image" Target="media/image8.png"/><Relationship Id="rId9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ba468f30d49c70d259637e6588cb069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cc47bee5e904765a785ae36fff5ec909"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OCR"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2FFB4-82D2-4C88-8F6D-832FEE4EC1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F31B10-F9F3-43B2-9792-37B5C73D7859}">
  <ds:schemaRefs>
    <ds:schemaRef ds:uri="http://schemas.microsoft.com/sharepoint/v3/contenttype/forms"/>
  </ds:schemaRefs>
</ds:datastoreItem>
</file>

<file path=customXml/itemProps3.xml><?xml version="1.0" encoding="utf-8"?>
<ds:datastoreItem xmlns:ds="http://schemas.openxmlformats.org/officeDocument/2006/customXml" ds:itemID="{E347F5B6-2B7D-432B-B4DB-88D2BA9FB35F}">
  <ds:schemaRefs>
    <ds:schemaRef ds:uri="http://schemas.microsoft.com/office/2006/metadata/properties"/>
    <ds:schemaRef ds:uri="http://schemas.microsoft.com/office/infopath/2007/PartnerControls"/>
    <ds:schemaRef ds:uri="a450a3cc-050d-4aca-8a4e-543025a63de0"/>
  </ds:schemaRefs>
</ds:datastoreItem>
</file>

<file path=customXml/itemProps4.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13831</Words>
  <Characters>80917</Characters>
  <Application>Microsoft Office Word</Application>
  <DocSecurity>0</DocSecurity>
  <Lines>1798</Lines>
  <Paragraphs>809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Franceline Fancey (2129818)</cp:lastModifiedBy>
  <cp:revision>2</cp:revision>
  <dcterms:created xsi:type="dcterms:W3CDTF">2025-07-24T16:43:00Z</dcterms:created>
  <dcterms:modified xsi:type="dcterms:W3CDTF">2025-07-24T16:43:00Z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7083aaebbbc5546857e990f769ce68942fff4932a3fec4029c56ac51f2358ade</vt:lpwstr>
  </property>
  <property fmtid="{D5CDD505-2E9C-101B-9397-08002B2CF9AE}" pid="3" name="ContentTypeId">
    <vt:lpwstr>0x01010003FE60FBA00DFD4EA0E1E66DCDED4993</vt:lpwstr>
  </property>
</Properties>
</file>