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pPr>
    </w:p>
    <w:tbl>
      <w:tblPr>
        <w:tblW w:w="99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Default"/>
              <w:keepNext w:val="1"/>
              <w:spacing w:before="120" w:after="120" w:line="240" w:lineRule="auto"/>
              <w:jc w:val="center"/>
              <w:outlineLvl w:val="2"/>
            </w:pPr>
            <w:r>
              <w:rPr>
                <w:rFonts w:ascii="Arial" w:hAnsi="Arial"/>
                <w:b w:val="1"/>
                <w:bCs w:val="1"/>
                <w:sz w:val="40"/>
                <w:szCs w:val="40"/>
                <w:shd w:val="nil" w:color="auto" w:fill="auto"/>
                <w:rtl w:val="0"/>
                <w:lang w:val="en-US"/>
                <w14:textOutline>
                  <w14:noFill/>
                </w14:textOutline>
              </w:rPr>
              <w:t xml:space="preserve">LEVEL 6 ASSESSMENT SPECIFICATION </w:t>
            </w:r>
          </w:p>
        </w:tc>
      </w:tr>
    </w:tbl>
    <w:p>
      <w:pPr>
        <w:pStyle w:val="Body A"/>
      </w:pPr>
    </w:p>
    <w:tbl>
      <w:tblPr>
        <w:tblW w:w="99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shd w:val="nil" w:color="auto" w:fill="auto"/>
                <w:rtl w:val="0"/>
              </w:rPr>
              <w:t>     </w:t>
            </w:r>
            <w:r>
              <w:rPr>
                <w:rFonts w:ascii="Arial" w:hAnsi="Arial"/>
                <w:b w:val="1"/>
                <w:bCs w:val="1"/>
                <w:sz w:val="22"/>
                <w:szCs w:val="22"/>
                <w:shd w:val="nil" w:color="auto" w:fill="auto"/>
                <w:rtl w:val="0"/>
                <w:lang w:val="en-US"/>
              </w:rPr>
              <w:t>Jack Starkey</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2000916</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BSc Health, Nutrition and Lifestyle / BA Physical Education / BSc Sport and Exercise Science /  BA Outdoor Adventure Education</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Independent Project</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0"/>
                <w:bCs w:val="0"/>
                <w:outline w:val="0"/>
                <w:color w:val="373a3c"/>
                <w:sz w:val="22"/>
                <w:szCs w:val="22"/>
                <w:u w:color="373a3c"/>
                <w:shd w:val="clear" w:color="auto" w:fill="fbf7f5"/>
                <w:rtl w:val="0"/>
                <w:lang w:val="en-US"/>
                <w14:textFill>
                  <w14:solidFill>
                    <w14:srgbClr w14:val="373A3C"/>
                  </w14:solidFill>
                </w14:textFill>
              </w:rPr>
              <w:t>BMSS6007</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bidi w:val="0"/>
              <w:ind w:left="0" w:right="0" w:firstLine="0"/>
              <w:jc w:val="both"/>
              <w:rPr>
                <w:rtl w:val="0"/>
              </w:rPr>
            </w:pPr>
            <w:r>
              <w:rPr>
                <w:rFonts w:ascii="Arial" w:hAnsi="Arial"/>
                <w:sz w:val="22"/>
                <w:szCs w:val="22"/>
                <w:u w:color="000000"/>
                <w:shd w:val="nil" w:color="auto" w:fill="auto"/>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10%</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Alison Connaughton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Dylan Blain</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Project Proposal:</w:t>
            </w:r>
            <w:r>
              <w:rPr>
                <w:rFonts w:ascii="Arial" w:hAnsi="Arial"/>
                <w:b w:val="0"/>
                <w:bCs w:val="0"/>
                <w:sz w:val="22"/>
                <w:szCs w:val="22"/>
                <w:shd w:val="nil" w:color="auto" w:fill="auto"/>
                <w:rtl w:val="0"/>
                <w:lang w:val="en-US"/>
              </w:rPr>
              <w:t xml:space="preserve">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1500 Words</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28</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of October, 2022</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25</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of November, 2022</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b w:val="0"/>
                <w:bCs w:val="0"/>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12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r>
        <w:rPr>
          <w:rtl w:val="0"/>
          <w:lang w:val="en-US"/>
        </w:rPr>
        <w:t xml:space="preserve">Research Proposal Report </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r>
        <w:rPr>
          <w:rtl w:val="0"/>
          <w:lang w:val="en-US"/>
        </w:rPr>
        <w:t>Proposed Research Title: Teacher's perceptions behind the implementation of fitness testing in secondary schools.</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r>
        <w:rPr>
          <w:rtl w:val="0"/>
          <w:lang w:val="en-US"/>
        </w:rPr>
        <w:t xml:space="preserve">Independent Project </w:t>
      </w:r>
    </w:p>
    <w:p>
      <w:pPr>
        <w:pStyle w:val="Body A"/>
        <w:jc w:val="center"/>
      </w:pPr>
      <w:r>
        <w:rPr>
          <w:rtl w:val="0"/>
          <w:lang w:val="en-US"/>
        </w:rPr>
        <w:t>BMS6007</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both"/>
      </w:pPr>
    </w:p>
    <w:p>
      <w:pPr>
        <w:pStyle w:val="Body A"/>
        <w:jc w:val="both"/>
      </w:pPr>
    </w:p>
    <w:p>
      <w:pPr>
        <w:pStyle w:val="Body A"/>
        <w:jc w:val="both"/>
      </w:pPr>
    </w:p>
    <w:p>
      <w:pPr>
        <w:pStyle w:val="Body A"/>
        <w:jc w:val="both"/>
      </w:pPr>
    </w:p>
    <w:p>
      <w:pPr>
        <w:pStyle w:val="Body A"/>
        <w:jc w:val="both"/>
      </w:pPr>
    </w:p>
    <w:p>
      <w:pPr>
        <w:pStyle w:val="Body A"/>
        <w:jc w:val="both"/>
        <w:rPr>
          <w:b w:val="1"/>
          <w:bCs w:val="1"/>
          <w:sz w:val="28"/>
          <w:szCs w:val="28"/>
        </w:rPr>
      </w:pPr>
      <w:r>
        <w:rPr>
          <w:b w:val="1"/>
          <w:bCs w:val="1"/>
          <w:sz w:val="28"/>
          <w:szCs w:val="28"/>
          <w:rtl w:val="0"/>
          <w:lang w:val="en-US"/>
        </w:rPr>
        <w:t>Table of Contents:</w:t>
      </w:r>
    </w:p>
    <w:p>
      <w:pPr>
        <w:pStyle w:val="Body A"/>
        <w:jc w:val="both"/>
        <w:rPr>
          <w:b w:val="1"/>
          <w:bCs w:val="1"/>
          <w:sz w:val="28"/>
          <w:szCs w:val="28"/>
        </w:rPr>
      </w:pPr>
    </w:p>
    <w:p>
      <w:pPr>
        <w:pStyle w:val="Body A"/>
        <w:jc w:val="both"/>
        <w:rPr>
          <w:sz w:val="28"/>
          <w:szCs w:val="28"/>
        </w:rPr>
      </w:pPr>
      <w:r>
        <w:rPr>
          <w:b w:val="1"/>
          <w:bCs w:val="1"/>
          <w:sz w:val="28"/>
          <w:szCs w:val="28"/>
          <w:rtl w:val="0"/>
          <w:lang w:val="en-US"/>
        </w:rPr>
        <w:t>1.0 Introduction and Rationale</w:t>
        <w:tab/>
        <w:tab/>
        <w:tab/>
        <w:tab/>
        <w:tab/>
        <w:tab/>
        <w:tab/>
        <w:tab/>
      </w:r>
      <w:r>
        <w:rPr>
          <w:sz w:val="28"/>
          <w:szCs w:val="28"/>
          <w:rtl w:val="0"/>
          <w:lang w:val="en-US"/>
        </w:rPr>
        <w:t>4</w:t>
      </w:r>
    </w:p>
    <w:p>
      <w:pPr>
        <w:pStyle w:val="Body A"/>
        <w:jc w:val="both"/>
        <w:rPr>
          <w:sz w:val="28"/>
          <w:szCs w:val="28"/>
        </w:rPr>
      </w:pPr>
    </w:p>
    <w:p>
      <w:pPr>
        <w:pStyle w:val="Body A"/>
        <w:jc w:val="both"/>
        <w:rPr>
          <w:sz w:val="28"/>
          <w:szCs w:val="28"/>
        </w:rPr>
      </w:pPr>
      <w:r>
        <w:rPr>
          <w:b w:val="1"/>
          <w:bCs w:val="1"/>
          <w:sz w:val="28"/>
          <w:szCs w:val="28"/>
          <w:rtl w:val="0"/>
          <w:lang w:val="en-US"/>
        </w:rPr>
        <w:t xml:space="preserve">2.0 Aims and Objectives </w:t>
        <w:tab/>
        <w:tab/>
        <w:tab/>
        <w:tab/>
        <w:tab/>
        <w:tab/>
        <w:tab/>
        <w:tab/>
        <w:tab/>
      </w:r>
      <w:r>
        <w:rPr>
          <w:sz w:val="28"/>
          <w:szCs w:val="28"/>
          <w:rtl w:val="0"/>
          <w:lang w:val="en-US"/>
        </w:rPr>
        <w:t>5</w:t>
      </w:r>
    </w:p>
    <w:p>
      <w:pPr>
        <w:pStyle w:val="Body A"/>
        <w:jc w:val="both"/>
        <w:rPr>
          <w:sz w:val="28"/>
          <w:szCs w:val="28"/>
        </w:rPr>
      </w:pPr>
    </w:p>
    <w:p>
      <w:pPr>
        <w:pStyle w:val="Body A"/>
        <w:jc w:val="both"/>
        <w:rPr>
          <w:sz w:val="28"/>
          <w:szCs w:val="28"/>
        </w:rPr>
      </w:pPr>
      <w:r>
        <w:rPr>
          <w:sz w:val="28"/>
          <w:szCs w:val="28"/>
          <w:rtl w:val="0"/>
          <w:lang w:val="en-US"/>
        </w:rPr>
        <w:t xml:space="preserve">  2.1</w:t>
        <w:tab/>
        <w:t>Aims</w:t>
        <w:tab/>
        <w:tab/>
        <w:tab/>
        <w:tab/>
        <w:tab/>
        <w:tab/>
        <w:tab/>
        <w:tab/>
        <w:tab/>
        <w:tab/>
        <w:tab/>
        <w:tab/>
      </w:r>
      <w:r>
        <w:rPr>
          <w:sz w:val="28"/>
          <w:szCs w:val="28"/>
          <w:rtl w:val="0"/>
          <w:lang w:val="en-US"/>
        </w:rPr>
        <w:t>5</w:t>
      </w:r>
    </w:p>
    <w:p>
      <w:pPr>
        <w:pStyle w:val="Body A"/>
        <w:jc w:val="both"/>
        <w:rPr>
          <w:sz w:val="28"/>
          <w:szCs w:val="28"/>
        </w:rPr>
      </w:pPr>
    </w:p>
    <w:p>
      <w:pPr>
        <w:pStyle w:val="Body A"/>
        <w:jc w:val="both"/>
        <w:rPr>
          <w:sz w:val="28"/>
          <w:szCs w:val="28"/>
        </w:rPr>
      </w:pPr>
      <w:r>
        <w:rPr>
          <w:sz w:val="28"/>
          <w:szCs w:val="28"/>
          <w:rtl w:val="0"/>
          <w:lang w:val="en-US"/>
        </w:rPr>
        <w:t xml:space="preserve">  2.2</w:t>
        <w:tab/>
        <w:t xml:space="preserve">Objectives </w:t>
        <w:tab/>
        <w:tab/>
        <w:tab/>
        <w:tab/>
        <w:tab/>
        <w:tab/>
        <w:tab/>
        <w:tab/>
        <w:tab/>
        <w:tab/>
        <w:tab/>
      </w:r>
      <w:r>
        <w:rPr>
          <w:sz w:val="28"/>
          <w:szCs w:val="28"/>
          <w:rtl w:val="0"/>
          <w:lang w:val="en-US"/>
        </w:rPr>
        <w:t>5</w:t>
      </w:r>
    </w:p>
    <w:p>
      <w:pPr>
        <w:pStyle w:val="Body A"/>
        <w:jc w:val="both"/>
        <w:rPr>
          <w:sz w:val="28"/>
          <w:szCs w:val="28"/>
        </w:rPr>
      </w:pPr>
    </w:p>
    <w:p>
      <w:pPr>
        <w:pStyle w:val="Body A"/>
        <w:jc w:val="both"/>
        <w:rPr>
          <w:sz w:val="28"/>
          <w:szCs w:val="28"/>
        </w:rPr>
      </w:pPr>
      <w:r>
        <w:rPr>
          <w:b w:val="1"/>
          <w:bCs w:val="1"/>
          <w:sz w:val="28"/>
          <w:szCs w:val="28"/>
          <w:rtl w:val="0"/>
          <w:lang w:val="en-US"/>
        </w:rPr>
        <w:t xml:space="preserve">3.0 Methodology </w:t>
        <w:tab/>
        <w:tab/>
        <w:tab/>
        <w:tab/>
        <w:tab/>
        <w:tab/>
        <w:tab/>
        <w:tab/>
        <w:tab/>
        <w:tab/>
      </w:r>
      <w:r>
        <w:rPr>
          <w:sz w:val="28"/>
          <w:szCs w:val="28"/>
          <w:rtl w:val="0"/>
          <w:lang w:val="en-US"/>
        </w:rPr>
        <w:t>5</w:t>
      </w:r>
    </w:p>
    <w:p>
      <w:pPr>
        <w:pStyle w:val="Body A"/>
        <w:jc w:val="both"/>
        <w:rPr>
          <w:sz w:val="28"/>
          <w:szCs w:val="28"/>
        </w:rPr>
      </w:pPr>
    </w:p>
    <w:p>
      <w:pPr>
        <w:pStyle w:val="Body A"/>
        <w:spacing w:line="360" w:lineRule="auto"/>
        <w:jc w:val="both"/>
        <w:rPr>
          <w:sz w:val="28"/>
          <w:szCs w:val="28"/>
        </w:rPr>
      </w:pPr>
      <w:r>
        <w:rPr>
          <w:sz w:val="28"/>
          <w:szCs w:val="28"/>
          <w:rtl w:val="0"/>
          <w:lang w:val="en-US"/>
        </w:rPr>
        <w:t xml:space="preserve">  3.1 Research Philosophy </w:t>
        <w:tab/>
        <w:tab/>
        <w:tab/>
        <w:tab/>
        <w:tab/>
        <w:tab/>
        <w:tab/>
        <w:tab/>
        <w:tab/>
      </w:r>
      <w:r>
        <w:rPr>
          <w:sz w:val="28"/>
          <w:szCs w:val="28"/>
          <w:rtl w:val="0"/>
          <w:lang w:val="en-US"/>
        </w:rPr>
        <w:t>6</w:t>
      </w:r>
    </w:p>
    <w:p>
      <w:pPr>
        <w:pStyle w:val="Body A"/>
        <w:spacing w:line="360" w:lineRule="auto"/>
        <w:jc w:val="both"/>
        <w:rPr>
          <w:sz w:val="28"/>
          <w:szCs w:val="28"/>
        </w:rPr>
      </w:pPr>
      <w:r>
        <w:rPr>
          <w:sz w:val="28"/>
          <w:szCs w:val="28"/>
          <w:rtl w:val="0"/>
          <w:lang w:val="en-US"/>
        </w:rPr>
        <w:t xml:space="preserve">  3.2 Secondary data</w:t>
        <w:tab/>
        <w:tab/>
        <w:tab/>
        <w:tab/>
        <w:tab/>
        <w:tab/>
        <w:tab/>
        <w:tab/>
        <w:tab/>
        <w:tab/>
      </w:r>
      <w:r>
        <w:rPr>
          <w:sz w:val="28"/>
          <w:szCs w:val="28"/>
          <w:rtl w:val="0"/>
          <w:lang w:val="en-US"/>
        </w:rPr>
        <w:t>6</w:t>
      </w:r>
    </w:p>
    <w:p>
      <w:pPr>
        <w:pStyle w:val="Body A"/>
        <w:spacing w:line="360" w:lineRule="auto"/>
        <w:jc w:val="both"/>
        <w:rPr>
          <w:sz w:val="28"/>
          <w:szCs w:val="28"/>
        </w:rPr>
      </w:pPr>
      <w:r>
        <w:rPr>
          <w:sz w:val="28"/>
          <w:szCs w:val="28"/>
          <w:rtl w:val="0"/>
          <w:lang w:val="en-US"/>
        </w:rPr>
        <w:t xml:space="preserve">  3.3 Primary data</w:t>
        <w:tab/>
        <w:tab/>
        <w:tab/>
        <w:tab/>
        <w:tab/>
        <w:tab/>
        <w:tab/>
        <w:tab/>
        <w:tab/>
      </w:r>
      <w:r>
        <w:rPr>
          <w:sz w:val="28"/>
          <w:szCs w:val="28"/>
          <w:rtl w:val="0"/>
        </w:rPr>
        <w:tab/>
        <w:t>6</w:t>
      </w:r>
    </w:p>
    <w:p>
      <w:pPr>
        <w:pStyle w:val="Body A"/>
        <w:spacing w:line="360" w:lineRule="auto"/>
        <w:jc w:val="both"/>
        <w:rPr>
          <w:sz w:val="28"/>
          <w:szCs w:val="28"/>
        </w:rPr>
      </w:pPr>
      <w:r>
        <w:rPr>
          <w:sz w:val="28"/>
          <w:szCs w:val="28"/>
          <w:rtl w:val="0"/>
          <w:lang w:val="en-US"/>
        </w:rPr>
        <w:t xml:space="preserve">  3.4 Data Analysis </w:t>
        <w:tab/>
        <w:tab/>
        <w:tab/>
        <w:tab/>
        <w:tab/>
        <w:tab/>
        <w:tab/>
        <w:tab/>
        <w:tab/>
        <w:tab/>
      </w:r>
      <w:r>
        <w:rPr>
          <w:sz w:val="28"/>
          <w:szCs w:val="28"/>
          <w:rtl w:val="0"/>
          <w:lang w:val="en-US"/>
        </w:rPr>
        <w:t>7</w:t>
      </w:r>
    </w:p>
    <w:p>
      <w:pPr>
        <w:pStyle w:val="Body A"/>
        <w:jc w:val="both"/>
        <w:rPr>
          <w:sz w:val="28"/>
          <w:szCs w:val="28"/>
        </w:rPr>
      </w:pPr>
      <w:r>
        <w:rPr>
          <w:b w:val="1"/>
          <w:bCs w:val="1"/>
          <w:sz w:val="28"/>
          <w:szCs w:val="28"/>
          <w:rtl w:val="0"/>
          <w:lang w:val="en-US"/>
        </w:rPr>
        <w:t xml:space="preserve">4.0 Time Scale </w:t>
        <w:tab/>
        <w:tab/>
        <w:tab/>
        <w:tab/>
        <w:tab/>
        <w:tab/>
        <w:tab/>
        <w:tab/>
        <w:tab/>
        <w:tab/>
        <w:tab/>
      </w:r>
      <w:r>
        <w:rPr>
          <w:sz w:val="28"/>
          <w:szCs w:val="28"/>
          <w:rtl w:val="0"/>
          <w:lang w:val="en-US"/>
        </w:rPr>
        <w:t>7</w:t>
      </w:r>
    </w:p>
    <w:p>
      <w:pPr>
        <w:pStyle w:val="Body A"/>
        <w:jc w:val="both"/>
        <w:rPr>
          <w:b w:val="1"/>
          <w:bCs w:val="1"/>
          <w:sz w:val="28"/>
          <w:szCs w:val="28"/>
        </w:rPr>
      </w:pPr>
    </w:p>
    <w:p>
      <w:pPr>
        <w:pStyle w:val="Body A"/>
        <w:jc w:val="both"/>
        <w:rPr>
          <w:sz w:val="28"/>
          <w:szCs w:val="28"/>
        </w:rPr>
      </w:pPr>
      <w:r>
        <w:rPr>
          <w:b w:val="1"/>
          <w:bCs w:val="1"/>
          <w:sz w:val="28"/>
          <w:szCs w:val="28"/>
          <w:rtl w:val="0"/>
          <w:lang w:val="en-US"/>
        </w:rPr>
        <w:t xml:space="preserve">5.0 References </w:t>
        <w:tab/>
        <w:tab/>
        <w:tab/>
        <w:tab/>
        <w:tab/>
        <w:tab/>
        <w:tab/>
        <w:tab/>
        <w:tab/>
        <w:tab/>
        <w:tab/>
      </w:r>
      <w:r>
        <w:rPr>
          <w:sz w:val="28"/>
          <w:szCs w:val="28"/>
          <w:rtl w:val="0"/>
          <w:lang w:val="en-US"/>
        </w:rPr>
        <w:t>8</w:t>
      </w:r>
    </w:p>
    <w:p>
      <w:pPr>
        <w:pStyle w:val="Body A"/>
        <w:jc w:val="both"/>
        <w:rPr>
          <w:b w:val="1"/>
          <w:bCs w:val="1"/>
          <w:sz w:val="28"/>
          <w:szCs w:val="28"/>
        </w:rPr>
      </w:pPr>
    </w:p>
    <w:p>
      <w:pPr>
        <w:pStyle w:val="Body A"/>
        <w:jc w:val="both"/>
        <w:rPr>
          <w:sz w:val="28"/>
          <w:szCs w:val="28"/>
        </w:rPr>
      </w:pPr>
      <w:r>
        <w:rPr>
          <w:b w:val="1"/>
          <w:bCs w:val="1"/>
          <w:sz w:val="28"/>
          <w:szCs w:val="28"/>
          <w:rtl w:val="0"/>
          <w:lang w:val="en-US"/>
        </w:rPr>
        <w:t>6.0 Appendices</w:t>
        <w:tab/>
        <w:tab/>
        <w:tab/>
        <w:tab/>
        <w:tab/>
        <w:tab/>
        <w:tab/>
        <w:tab/>
        <w:tab/>
        <w:tab/>
        <w:tab/>
      </w:r>
      <w:r>
        <w:rPr>
          <w:sz w:val="28"/>
          <w:szCs w:val="28"/>
          <w:rtl w:val="0"/>
          <w:lang w:val="en-US"/>
        </w:rPr>
        <w:t>9</w:t>
      </w:r>
    </w:p>
    <w:p>
      <w:pPr>
        <w:pStyle w:val="Body A"/>
        <w:jc w:val="both"/>
        <w:rPr>
          <w:b w:val="1"/>
          <w:bCs w:val="1"/>
          <w:sz w:val="28"/>
          <w:szCs w:val="28"/>
        </w:rPr>
      </w:pPr>
      <w:r>
        <w:rPr>
          <w:b w:val="1"/>
          <w:bCs w:val="1"/>
          <w:sz w:val="28"/>
          <w:szCs w:val="28"/>
          <w:rtl w:val="0"/>
          <w:lang w:val="en-US"/>
        </w:rPr>
        <w:t xml:space="preserve">   </w:t>
      </w:r>
    </w:p>
    <w:p>
      <w:pPr>
        <w:pStyle w:val="Body A"/>
        <w:jc w:val="both"/>
        <w:rPr>
          <w:b w:val="1"/>
          <w:bCs w:val="1"/>
          <w:sz w:val="28"/>
          <w:szCs w:val="28"/>
        </w:rPr>
      </w:pPr>
      <w:r>
        <w:rPr>
          <w:b w:val="1"/>
          <w:bCs w:val="1"/>
          <w:sz w:val="28"/>
          <w:szCs w:val="28"/>
          <w:rtl w:val="0"/>
          <w:lang w:val="en-US"/>
        </w:rPr>
        <w:t xml:space="preserve">    Appendix A- Draft Questionnaire                                                         </w:t>
      </w:r>
      <w:r>
        <w:rPr>
          <w:sz w:val="28"/>
          <w:szCs w:val="28"/>
          <w:rtl w:val="0"/>
          <w:lang w:val="en-US"/>
        </w:rPr>
        <w:t xml:space="preserve">   9</w:t>
      </w:r>
      <w:r>
        <w:rPr>
          <w:b w:val="1"/>
          <w:bCs w:val="1"/>
          <w:sz w:val="28"/>
          <w:szCs w:val="28"/>
        </w:rPr>
        <w:tab/>
        <w:tab/>
        <w:tab/>
        <w:tab/>
        <w:tab/>
        <w:tab/>
        <w:tab/>
        <w:tab/>
        <w:tab/>
      </w:r>
    </w:p>
    <w:p>
      <w:pPr>
        <w:pStyle w:val="Body A"/>
        <w:jc w:val="both"/>
        <w:rPr>
          <w:b w:val="1"/>
          <w:bCs w:val="1"/>
        </w:rPr>
      </w:pPr>
    </w:p>
    <w:p>
      <w:pPr>
        <w:pStyle w:val="Body A"/>
        <w:jc w:val="both"/>
      </w:pPr>
    </w:p>
    <w:p>
      <w:pPr>
        <w:pStyle w:val="Body A"/>
        <w:jc w:val="both"/>
      </w:pPr>
    </w:p>
    <w:p>
      <w:pPr>
        <w:pStyle w:val="Body A"/>
        <w:jc w:val="both"/>
      </w:pPr>
    </w:p>
    <w:p>
      <w:pPr>
        <w:pStyle w:val="Body A"/>
        <w:jc w:val="both"/>
      </w:pPr>
    </w:p>
    <w:p>
      <w:pPr>
        <w:pStyle w:val="Body A"/>
        <w:jc w:val="both"/>
      </w:pPr>
    </w:p>
    <w:p>
      <w:pPr>
        <w:pStyle w:val="Body A"/>
        <w:jc w:val="both"/>
      </w:pPr>
    </w:p>
    <w:p>
      <w:pPr>
        <w:pStyle w:val="Body A"/>
        <w:jc w:val="both"/>
      </w:pPr>
    </w:p>
    <w:p>
      <w:pPr>
        <w:pStyle w:val="Body A"/>
        <w:jc w:val="both"/>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p>
    <w:p>
      <w:pPr>
        <w:pStyle w:val="Body A"/>
        <w:spacing w:line="360" w:lineRule="auto"/>
        <w:jc w:val="both"/>
        <w:rPr>
          <w:sz w:val="28"/>
          <w:szCs w:val="28"/>
        </w:rPr>
      </w:pPr>
      <w:r>
        <w:rPr>
          <w:sz w:val="28"/>
          <w:szCs w:val="28"/>
          <w:rtl w:val="0"/>
          <w:lang w:val="en-US"/>
        </w:rPr>
        <w:t xml:space="preserve">1.0 </w:t>
        <w:tab/>
        <w:t>Introduction and Rationale</w:t>
      </w:r>
    </w:p>
    <w:p>
      <w:pPr>
        <w:pStyle w:val="Body A"/>
        <w:spacing w:line="360" w:lineRule="auto"/>
        <w:jc w:val="both"/>
      </w:pPr>
    </w:p>
    <w:p>
      <w:pPr>
        <w:pStyle w:val="Body A"/>
        <w:spacing w:line="360" w:lineRule="auto"/>
        <w:jc w:val="both"/>
      </w:pPr>
      <w:r>
        <w:rPr>
          <w:rtl w:val="0"/>
          <w:lang w:val="en-US"/>
        </w:rPr>
        <w:t xml:space="preserve">The ideology behind physical education is to shape the future generation into being physically educated, meaning they would want to partake in a healthy active lifestyle throughout their lives (Blair and Guildea, 2019). The use of fitness testing within the education programme has been a topic of debate for some time, Mercier, Phillips, and Silverman, (2016) report that researchers are unaware of how fitness testing is being implemented in schools. Exploring this debate, Silverman, Keating, and Phillips, (2008) present several possibilities for the future of fitness testing in schools. Here understanding the purpose of using fitness testing is paramount. There have been discussions that the use of fitness testing should be within the curriculum as it allows for the results of these tests to aid the design of personalised physical development programs for adolescents (Silverman, Keating, and Phillips, 2008). On the other hand, some believe that fitness testing is the wrong approach to educating these children due to the misdirection in the effort to promote healthy lifestyles, due to the lack of motivation and development of knowledge it can provide (Cale and Harris, 2009). With the rise in childhood obesity becoming a serious concern regarding physical education the need to overcome this problem is becoming the main aim for educators as well as the government to resolve (Dehghan, Akhtar-Danesh, and Merchant, 2005; Harris, 2016). </w:t>
      </w:r>
    </w:p>
    <w:p>
      <w:pPr>
        <w:pStyle w:val="Body A"/>
        <w:spacing w:line="360" w:lineRule="auto"/>
        <w:jc w:val="both"/>
      </w:pPr>
    </w:p>
    <w:p>
      <w:pPr>
        <w:pStyle w:val="Body A"/>
        <w:spacing w:line="360" w:lineRule="auto"/>
        <w:jc w:val="both"/>
      </w:pPr>
      <w:r>
        <w:rPr>
          <w:rtl w:val="0"/>
          <w:lang w:val="en-US"/>
        </w:rPr>
        <w:t xml:space="preserve">Due to these rising concerns, Cohen, Voss, and Sandercock (2015) believe that fitness testing could be the approach needed to aid the fight against the rising epidemic. Cohen, Voss, and Sandercock (2015) understand the concerns of using fitness testing but believe that fitness testing is not problematic and in fact, teachers have just been riding the </w:t>
      </w:r>
      <w:r>
        <w:rPr>
          <w:rtl w:val="0"/>
          <w:lang w:val="en-US"/>
        </w:rPr>
        <w:t>“</w:t>
      </w:r>
      <w:r>
        <w:rPr>
          <w:rtl w:val="0"/>
          <w:lang w:val="en-US"/>
        </w:rPr>
        <w:t>wrong horse</w:t>
      </w:r>
      <w:r>
        <w:rPr>
          <w:rtl w:val="0"/>
          <w:lang w:val="en-US"/>
        </w:rPr>
        <w:t>”</w:t>
      </w:r>
      <w:r>
        <w:rPr>
          <w:rtl w:val="0"/>
          <w:lang w:val="en-US"/>
        </w:rPr>
        <w:t>. By changing educators</w:t>
      </w:r>
      <w:r>
        <w:rPr>
          <w:rtl w:val="0"/>
          <w:lang w:val="en-US"/>
        </w:rPr>
        <w:t xml:space="preserve">’ </w:t>
      </w:r>
      <w:r>
        <w:rPr>
          <w:rtl w:val="0"/>
          <w:lang w:val="en-US"/>
        </w:rPr>
        <w:t xml:space="preserve">perceptions of fitness testing with adequate knowledge they will be able to transform the </w:t>
      </w:r>
      <w:r>
        <w:rPr>
          <w:rtl w:val="0"/>
          <w:lang w:val="en-US"/>
        </w:rPr>
        <w:t>‘</w:t>
      </w:r>
      <w:r>
        <w:rPr>
          <w:rtl w:val="0"/>
          <w:lang w:val="en-US"/>
        </w:rPr>
        <w:t>horse</w:t>
      </w:r>
      <w:r>
        <w:rPr>
          <w:rtl w:val="0"/>
          <w:lang w:val="en-US"/>
        </w:rPr>
        <w:t xml:space="preserve">’ </w:t>
      </w:r>
      <w:r>
        <w:rPr>
          <w:rtl w:val="0"/>
          <w:lang w:val="en-US"/>
        </w:rPr>
        <w:t>into a concept that caters to all students to be provided with the essential knowledge to achieve a healthy lifestyle (Cohen, Voss and Sandercock, 2015).  The belief is that if a carefully considered fitness test module was delivered in an educational context it would allow the current physical education teachers to stop pervasively implementing fitness testing as a historically rooted practice (Alfrey and Gard, 2019). Furthermore, this research project will aim to address physical educators' reasonings behind the implementation of fitness testing in schools and to identify the teacher</w:t>
      </w:r>
      <w:r>
        <w:rPr>
          <w:rtl w:val="0"/>
          <w:lang w:val="en-US"/>
        </w:rPr>
        <w:t>’</w:t>
      </w:r>
      <w:r>
        <w:rPr>
          <w:rtl w:val="0"/>
          <w:lang w:val="en-US"/>
        </w:rPr>
        <w:t>s perceptions of fitness testing. Therefore by exploring these perceptions this research project will investigate whether fitness testing in schools</w:t>
      </w:r>
      <w:r>
        <w:rPr>
          <w:rtl w:val="0"/>
          <w:lang w:val="en-US"/>
        </w:rPr>
        <w:t xml:space="preserve"> is a</w:t>
      </w:r>
      <w:r>
        <w:rPr>
          <w:rtl w:val="0"/>
          <w:lang w:val="en-US"/>
        </w:rPr>
        <w:t xml:space="preserve"> beneficial purpose</w:t>
      </w:r>
      <w:r>
        <w:rPr>
          <w:rtl w:val="0"/>
          <w:lang w:val="en-US"/>
        </w:rPr>
        <w:t xml:space="preserve">, </w:t>
      </w:r>
      <w:r>
        <w:rPr>
          <w:rtl w:val="0"/>
          <w:lang w:val="en-US"/>
        </w:rPr>
        <w:t>or is used due to the ideology of fitness testing being a traditionally rooted practice. The findings gathered by this research project will be used to provide information that education systems can use to further improve the education of adolescents by expanding their knowledge of fitness testing by educating the benefits that fitness testing can provide.</w:t>
      </w:r>
    </w:p>
    <w:p>
      <w:pPr>
        <w:pStyle w:val="Body A"/>
        <w:spacing w:line="360" w:lineRule="auto"/>
        <w:jc w:val="both"/>
      </w:pPr>
    </w:p>
    <w:p>
      <w:pPr>
        <w:pStyle w:val="Body A"/>
        <w:spacing w:line="360" w:lineRule="auto"/>
        <w:jc w:val="both"/>
      </w:pPr>
    </w:p>
    <w:p>
      <w:pPr>
        <w:pStyle w:val="Body A"/>
        <w:spacing w:line="360" w:lineRule="auto"/>
        <w:jc w:val="both"/>
      </w:pPr>
    </w:p>
    <w:p>
      <w:pPr>
        <w:pStyle w:val="Body A"/>
        <w:spacing w:line="360" w:lineRule="auto"/>
        <w:jc w:val="both"/>
      </w:pPr>
    </w:p>
    <w:p>
      <w:pPr>
        <w:pStyle w:val="Body A"/>
        <w:spacing w:line="360" w:lineRule="auto"/>
        <w:jc w:val="both"/>
        <w:rPr>
          <w:sz w:val="28"/>
          <w:szCs w:val="28"/>
        </w:rPr>
      </w:pPr>
      <w:r>
        <w:rPr>
          <w:sz w:val="28"/>
          <w:szCs w:val="28"/>
          <w:rtl w:val="0"/>
          <w:lang w:val="en-US"/>
        </w:rPr>
        <w:t xml:space="preserve">2.0 </w:t>
        <w:tab/>
        <w:t>Aims and Objectives:</w:t>
      </w:r>
    </w:p>
    <w:p>
      <w:pPr>
        <w:pStyle w:val="Body A"/>
        <w:spacing w:line="360" w:lineRule="auto"/>
        <w:jc w:val="both"/>
      </w:pPr>
    </w:p>
    <w:p>
      <w:pPr>
        <w:pStyle w:val="Body A"/>
        <w:spacing w:line="360" w:lineRule="auto"/>
        <w:jc w:val="both"/>
      </w:pPr>
      <w:r>
        <w:rPr>
          <w:rtl w:val="0"/>
          <w:lang w:val="en-US"/>
        </w:rPr>
        <w:t xml:space="preserve">2.1 </w:t>
        <w:tab/>
        <w:t>Aims:</w:t>
      </w:r>
    </w:p>
    <w:p>
      <w:pPr>
        <w:pStyle w:val="Body A"/>
        <w:spacing w:line="360" w:lineRule="auto"/>
        <w:jc w:val="both"/>
        <w:rPr>
          <w:sz w:val="28"/>
          <w:szCs w:val="28"/>
        </w:rPr>
      </w:pPr>
    </w:p>
    <w:p>
      <w:pPr>
        <w:pStyle w:val="Body A"/>
        <w:numPr>
          <w:ilvl w:val="0"/>
          <w:numId w:val="2"/>
        </w:numPr>
        <w:bidi w:val="0"/>
        <w:spacing w:line="360" w:lineRule="auto"/>
        <w:ind w:right="0"/>
        <w:jc w:val="both"/>
        <w:rPr>
          <w:rtl w:val="0"/>
          <w:lang w:val="en-US"/>
        </w:rPr>
      </w:pPr>
      <w:r>
        <w:rPr>
          <w:rtl w:val="0"/>
          <w:lang w:val="en-US"/>
        </w:rPr>
        <w:t>To investigate teacher perceptions of implementing fitness testing into their lessons yearly within secondary schools.</w:t>
      </w:r>
    </w:p>
    <w:p>
      <w:pPr>
        <w:pStyle w:val="Body A"/>
        <w:numPr>
          <w:ilvl w:val="0"/>
          <w:numId w:val="2"/>
        </w:numPr>
        <w:bidi w:val="0"/>
        <w:spacing w:line="360" w:lineRule="auto"/>
        <w:ind w:right="0"/>
        <w:jc w:val="both"/>
        <w:rPr>
          <w:rtl w:val="0"/>
          <w:lang w:val="en-US"/>
        </w:rPr>
      </w:pPr>
      <w:r>
        <w:rPr>
          <w:rtl w:val="0"/>
          <w:lang w:val="en-US"/>
        </w:rPr>
        <w:t>To investigate whether teachers believe fitness testing provides a beneficial approach to the fight against childhood obesity (public health).</w:t>
      </w:r>
    </w:p>
    <w:p>
      <w:pPr>
        <w:pStyle w:val="Body A"/>
        <w:spacing w:line="360" w:lineRule="auto"/>
        <w:jc w:val="both"/>
      </w:pPr>
    </w:p>
    <w:p>
      <w:pPr>
        <w:pStyle w:val="Body A"/>
        <w:spacing w:line="360" w:lineRule="auto"/>
        <w:jc w:val="both"/>
      </w:pPr>
      <w:r>
        <w:rPr>
          <w:rtl w:val="0"/>
          <w:lang w:val="en-US"/>
        </w:rPr>
        <w:t xml:space="preserve">2.2 </w:t>
        <w:tab/>
        <w:t>Objectives:</w:t>
      </w:r>
    </w:p>
    <w:p>
      <w:pPr>
        <w:pStyle w:val="Body A"/>
        <w:spacing w:line="360" w:lineRule="auto"/>
        <w:jc w:val="both"/>
      </w:pPr>
      <w:r>
        <w:rPr>
          <w:rtl w:val="0"/>
          <w:lang w:val="en-US"/>
        </w:rPr>
        <w:t xml:space="preserve"> </w:t>
      </w:r>
    </w:p>
    <w:p>
      <w:pPr>
        <w:pStyle w:val="Body A"/>
        <w:numPr>
          <w:ilvl w:val="0"/>
          <w:numId w:val="3"/>
        </w:numPr>
        <w:bidi w:val="0"/>
        <w:spacing w:line="360" w:lineRule="auto"/>
        <w:ind w:right="0"/>
        <w:jc w:val="both"/>
        <w:rPr>
          <w:rtl w:val="0"/>
          <w:lang w:val="en-US"/>
        </w:rPr>
      </w:pPr>
      <w:r>
        <w:rPr>
          <w:rtl w:val="0"/>
          <w:lang w:val="en-US"/>
        </w:rPr>
        <w:t>To review the current published literature on fitness testing. To identify and assess teacher perceptions of fitness testing in the UK and investigate teacher philosophy to the use of fitness testing, including motivations for including/ excluding fitness testing, identifying gaps In knowledge.</w:t>
      </w:r>
    </w:p>
    <w:p>
      <w:pPr>
        <w:pStyle w:val="Body A"/>
        <w:numPr>
          <w:ilvl w:val="0"/>
          <w:numId w:val="2"/>
        </w:numPr>
        <w:bidi w:val="0"/>
        <w:spacing w:line="360" w:lineRule="auto"/>
        <w:ind w:right="0"/>
        <w:jc w:val="both"/>
        <w:rPr>
          <w:rtl w:val="0"/>
          <w:lang w:val="en-US"/>
        </w:rPr>
      </w:pPr>
      <w:r>
        <w:rPr>
          <w:rtl w:val="0"/>
          <w:lang w:val="en-US"/>
        </w:rPr>
        <w:t>Establish if there is a need to be concerned and educate teachers in the UK on fitness testing.</w:t>
      </w:r>
    </w:p>
    <w:p>
      <w:pPr>
        <w:pStyle w:val="Body A"/>
        <w:numPr>
          <w:ilvl w:val="0"/>
          <w:numId w:val="2"/>
        </w:numPr>
        <w:bidi w:val="0"/>
        <w:spacing w:line="360" w:lineRule="auto"/>
        <w:ind w:right="0"/>
        <w:jc w:val="both"/>
        <w:rPr>
          <w:rtl w:val="0"/>
          <w:lang w:val="en-US"/>
        </w:rPr>
      </w:pPr>
      <w:r>
        <w:rPr>
          <w:rtl w:val="0"/>
          <w:lang w:val="en-US"/>
        </w:rPr>
        <w:t>To review current curriculum guidelines for fitness testing within schools and identify gaps in knowledge.</w:t>
      </w:r>
    </w:p>
    <w:p>
      <w:pPr>
        <w:pStyle w:val="Body A"/>
        <w:spacing w:line="360" w:lineRule="auto"/>
        <w:jc w:val="both"/>
      </w:pPr>
    </w:p>
    <w:p>
      <w:pPr>
        <w:pStyle w:val="Body A"/>
        <w:spacing w:line="360" w:lineRule="auto"/>
        <w:jc w:val="both"/>
      </w:pPr>
    </w:p>
    <w:p>
      <w:pPr>
        <w:pStyle w:val="Body A"/>
        <w:spacing w:line="360" w:lineRule="auto"/>
        <w:jc w:val="both"/>
        <w:rPr>
          <w:sz w:val="28"/>
          <w:szCs w:val="28"/>
        </w:rPr>
      </w:pPr>
      <w:r>
        <w:rPr>
          <w:sz w:val="28"/>
          <w:szCs w:val="28"/>
          <w:rtl w:val="0"/>
          <w:lang w:val="en-US"/>
        </w:rPr>
        <w:t>3.0 Methodology</w:t>
      </w:r>
    </w:p>
    <w:p>
      <w:pPr>
        <w:pStyle w:val="Body A"/>
        <w:spacing w:line="360" w:lineRule="auto"/>
        <w:jc w:val="both"/>
      </w:pPr>
    </w:p>
    <w:p>
      <w:pPr>
        <w:pStyle w:val="Body A"/>
        <w:spacing w:line="360" w:lineRule="auto"/>
        <w:jc w:val="both"/>
      </w:pPr>
      <w:r>
        <w:rPr>
          <w:rtl w:val="0"/>
          <w:lang w:val="en-US"/>
        </w:rPr>
        <w:t xml:space="preserve">3.1 Research philosophy </w:t>
      </w:r>
    </w:p>
    <w:p>
      <w:pPr>
        <w:pStyle w:val="Body A"/>
        <w:spacing w:line="360" w:lineRule="auto"/>
        <w:jc w:val="both"/>
      </w:pPr>
    </w:p>
    <w:p>
      <w:pPr>
        <w:pStyle w:val="Body A"/>
        <w:spacing w:line="360" w:lineRule="auto"/>
        <w:jc w:val="both"/>
      </w:pPr>
      <w:r>
        <w:rPr>
          <w:rtl w:val="0"/>
          <w:lang w:val="en-US"/>
        </w:rPr>
        <w:t>Throughout this study, the use of different methodologies will cater towards answering the research question by allowing recent research surrounding the issue of the research question topic to be found. Through the use of qualitative data provided by the questionnaire an interpretive approach will be taken when analysing the findings due to the teacher</w:t>
      </w:r>
      <w:r>
        <w:rPr>
          <w:rtl w:val="0"/>
          <w:lang w:val="en-US"/>
        </w:rPr>
        <w:t>’</w:t>
      </w:r>
      <w:r>
        <w:rPr>
          <w:rtl w:val="0"/>
          <w:lang w:val="en-US"/>
        </w:rPr>
        <w:t xml:space="preserve">s personal opinions on their philosophy behind the implication of fitness testing will be investigated (Putnam and Banghart, 2017). In this particular research study, the ethical guidelines followed will be the British Educational Research Association (BERA) due to the BERA guideline applying to all educational research (Brooks, Te Riele, and Maguire, 2014). Before commencing the study participants will be made aware of what the research aims for and how their participation will support the study. In line with BERA guidelines, each participant will be asked to provide informed consent before partaking in the study. Further, participants will be informed of their right to withdraw from the study  (Brooks, Te Riele, and Maguire, 2014). </w:t>
      </w:r>
    </w:p>
    <w:p>
      <w:pPr>
        <w:pStyle w:val="Body A"/>
        <w:spacing w:line="360" w:lineRule="auto"/>
        <w:jc w:val="both"/>
      </w:pPr>
    </w:p>
    <w:p>
      <w:pPr>
        <w:pStyle w:val="Body A"/>
        <w:spacing w:line="360" w:lineRule="auto"/>
        <w:jc w:val="both"/>
      </w:pPr>
      <w:r>
        <w:rPr>
          <w:rtl w:val="0"/>
          <w:lang w:val="en-US"/>
        </w:rPr>
        <w:t xml:space="preserve">3.2 Secondary data </w:t>
      </w:r>
    </w:p>
    <w:p>
      <w:pPr>
        <w:pStyle w:val="Body A"/>
        <w:spacing w:line="360" w:lineRule="auto"/>
        <w:jc w:val="both"/>
      </w:pPr>
    </w:p>
    <w:p>
      <w:pPr>
        <w:pStyle w:val="Body A"/>
        <w:spacing w:line="360" w:lineRule="auto"/>
        <w:jc w:val="both"/>
      </w:pPr>
      <w:r>
        <w:rPr>
          <w:rtl w:val="0"/>
          <w:lang w:val="en-US"/>
        </w:rPr>
        <w:t>A literature review of the available documentation will be used across a diverse range of resources to summarise and analyse research and theories previously carried out to gain a better understanding of the topic of research this study is focussing on. The literature review will form the first part of the thesis to collect data that can guide the creation of the questionnaire. Clark (2013) describes secondary data as being an important rule to the study as it allows for key areas of research to be highlighted, allowing for these areas to be the focus points for research. Secondary data will be collected through the use of diverse online sources as well as published journals and books. The use of the quality online resource will focus on how fitness testing is used in education, whilst also exploring the benefits and concerns fitness testing brings within education.</w:t>
      </w:r>
    </w:p>
    <w:p>
      <w:pPr>
        <w:pStyle w:val="Body A"/>
        <w:spacing w:line="360" w:lineRule="auto"/>
        <w:jc w:val="both"/>
      </w:pPr>
    </w:p>
    <w:p>
      <w:pPr>
        <w:pStyle w:val="Body A"/>
        <w:spacing w:line="360" w:lineRule="auto"/>
        <w:jc w:val="both"/>
      </w:pPr>
    </w:p>
    <w:p>
      <w:pPr>
        <w:pStyle w:val="Body A"/>
        <w:spacing w:line="360" w:lineRule="auto"/>
        <w:jc w:val="both"/>
      </w:pPr>
    </w:p>
    <w:p>
      <w:pPr>
        <w:pStyle w:val="Body A"/>
        <w:spacing w:line="360" w:lineRule="auto"/>
        <w:jc w:val="both"/>
      </w:pPr>
      <w:r>
        <w:rPr>
          <w:rtl w:val="0"/>
          <w:lang w:val="en-US"/>
        </w:rPr>
        <w:t xml:space="preserve">3.3 Primary data </w:t>
      </w:r>
    </w:p>
    <w:p>
      <w:pPr>
        <w:pStyle w:val="Body B"/>
        <w:spacing w:line="360" w:lineRule="auto"/>
        <w:jc w:val="both"/>
        <w:rPr>
          <w:rFonts w:ascii="Helvetica Neue" w:cs="Helvetica Neue" w:hAnsi="Helvetica Neue" w:eastAsia="Helvetica Neue"/>
          <w:sz w:val="22"/>
          <w:szCs w:val="22"/>
        </w:rPr>
      </w:pPr>
      <w:r>
        <w:rPr>
          <w:rFonts w:ascii="Helvetica Neue" w:hAnsi="Helvetica Neue"/>
          <w:sz w:val="22"/>
          <w:szCs w:val="22"/>
          <w:rtl w:val="0"/>
          <w:lang w:val="en-US"/>
        </w:rPr>
        <w:t>The primary data will focus on collecting data from current physical education teachers, to collect data around their perceptions of fitness testing in schools collecting data from one current secondary school teacher, the data will be more recent compared to data collected and analysed in previous research studies. The data will be collected through the use of mixed methods, as can be seen in Figure 1.1 use open and closed-ended questions will be used to collect quantitative and qualitative data (</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Creswell, 2014). </w:t>
      </w:r>
      <w:r>
        <w:rPr>
          <w:rFonts w:ascii="Helvetica Neue" w:hAnsi="Helvetica Neue"/>
          <w:sz w:val="22"/>
          <w:szCs w:val="22"/>
          <w:rtl w:val="0"/>
          <w:lang w:val="en-US"/>
        </w:rPr>
        <w:t>The use of the mixed methods will assist in the check of the accuracy of both databases used, as well as allow for the opportunity to explore different variations of questions such as those that can be seen in  Figure 1.1 (</w:t>
      </w:r>
      <w:r>
        <w:rPr>
          <w:rFonts w:ascii="Arial" w:hAnsi="Arial"/>
          <w:outline w:val="0"/>
          <w:color w:val="222222"/>
          <w:sz w:val="22"/>
          <w:szCs w:val="22"/>
          <w:u w:color="222222"/>
          <w:shd w:val="clear" w:color="auto" w:fill="ffffff"/>
          <w:rtl w:val="0"/>
          <w:lang w:val="en-US"/>
          <w14:textFill>
            <w14:solidFill>
              <w14:srgbClr w14:val="222222"/>
            </w14:solidFill>
          </w14:textFill>
        </w:rPr>
        <w:t>Creswell, 2014)</w:t>
      </w:r>
    </w:p>
    <w:p>
      <w:pPr>
        <w:pStyle w:val="Body B"/>
        <w:spacing w:line="360" w:lineRule="auto"/>
        <w:jc w:val="both"/>
        <w:rPr>
          <w:rFonts w:ascii="Helvetica Neue" w:cs="Helvetica Neue" w:hAnsi="Helvetica Neue" w:eastAsia="Helvetica Neue"/>
          <w:sz w:val="22"/>
          <w:szCs w:val="22"/>
        </w:rPr>
      </w:pPr>
    </w:p>
    <w:p>
      <w:pPr>
        <w:pStyle w:val="Default"/>
        <w:spacing w:before="0" w:line="360" w:lineRule="auto"/>
        <w:jc w:val="both"/>
        <w:rPr>
          <w:sz w:val="22"/>
          <w:szCs w:val="22"/>
        </w:rPr>
      </w:pPr>
      <w:r>
        <w:rPr>
          <w:sz w:val="22"/>
          <w:szCs w:val="22"/>
          <w:rtl w:val="0"/>
          <w:lang w:val="en-US"/>
        </w:rPr>
        <w:t>Throughout the process of creating the questionnaire Simmons (2001) suggests the use of open-ended questions to avoid any biases to be interpreted by the participants as well as to ensure the reliability and validity of the data collected. The questionnaire will be web-based although a paper-based questionnaire maintains the same structure, the use of a web-based questionnaire is a better cost-effective method. Furthermore, Yu and Yu, (2007) discuss how web-based questionnaires are just as reliable as paper-based questionnaires as well as being a perfect alternative due to the rise in technology use. Dillman, Smyth, and Christian (2014) continue this process of being a good alternative as it allows for the questionnaire to be shared with participants quickly through the use of web links and emails. By looking at Figure 1.1 it can be seen how the questionnaire intends to be structured, whilst also giving examples of both types of questions that will be asked. This questionnaire was designed through the use of google forms which was an easy-to-use platform, it also allows the researcher to see the interactivity of the questionnaire which helps to determine what point to stop data collection (Dewaele, 2018). Salama, Uzunboylu, and El Muti (2020) have shown the benefit of google forms further by detailing how the data collected is already transferred into a spreadsheet, graph, and charts which is managing time efficiently.</w:t>
      </w:r>
    </w:p>
    <w:p>
      <w:pPr>
        <w:pStyle w:val="Default"/>
        <w:spacing w:before="0" w:line="360" w:lineRule="auto"/>
        <w:jc w:val="both"/>
        <w:rPr>
          <w:sz w:val="22"/>
          <w:szCs w:val="22"/>
        </w:rPr>
      </w:pPr>
    </w:p>
    <w:p>
      <w:pPr>
        <w:pStyle w:val="Body A"/>
        <w:spacing w:line="360" w:lineRule="auto"/>
        <w:jc w:val="both"/>
      </w:pPr>
    </w:p>
    <w:p>
      <w:pPr>
        <w:pStyle w:val="Body A"/>
        <w:spacing w:line="360" w:lineRule="auto"/>
        <w:jc w:val="both"/>
      </w:pPr>
      <w:r>
        <w:rPr>
          <w:rtl w:val="0"/>
          <w:lang w:val="en-US"/>
        </w:rPr>
        <w:t>3.4 Data analysis</w:t>
      </w:r>
    </w:p>
    <w:p>
      <w:pPr>
        <w:pStyle w:val="Body A"/>
        <w:spacing w:line="360" w:lineRule="auto"/>
        <w:jc w:val="both"/>
      </w:pPr>
      <w:r>
        <w:rPr>
          <w:rtl w:val="0"/>
          <w:lang w:val="en-US"/>
        </w:rPr>
        <w:t>By collecting data in the way of a questionnaire as well as a written response it will allow for quantitative and qualitative data to be collected which will allow for the data to be presented in charts and graphs as well as the qualitative data to be reviewed thematically to pick out keywords that can be highlight where gaps in knowledge exist (Braun and Clarke, 2012). Braun and Clarke (2012) discuss how thematic analysis can be a flexible approach due to it allowing an entry into research that can seem vague, it invites the researcher into the mechanics of coding qualitative data systematically. What is meant by coding is the system will highlight keywords such as fitness testing, benefits, and public health the system will group these words into sections, which will allow these keywords to be analysed wrote to see why these words have been highlighted and what these concerns could mean to answer the question at hand, Oliveira, Bitencourt, Teixeira, and Santos, (2013) Suggest the use of the MAXQDA or NVIVO systems when analysing thematic data these are two systems that potentially will be used to code the data collected. The quantitative data will be analysed through the use of statistics which will be presented in the form of graphs and charts, these charts and graphs will be made through the use of google forms. Furthermore, the data once analysed will be able to generalise the number of teachers that still use fitness testing as a traditional approach within a secondary school education through the use of statistics and graphs (Treiman, 2014).</w:t>
      </w:r>
    </w:p>
    <w:p>
      <w:pPr>
        <w:pStyle w:val="Body A"/>
        <w:spacing w:line="360" w:lineRule="auto"/>
        <w:jc w:val="both"/>
      </w:pPr>
    </w:p>
    <w:p>
      <w:pPr>
        <w:pStyle w:val="Body A"/>
        <w:spacing w:line="360" w:lineRule="auto"/>
        <w:jc w:val="both"/>
      </w:pPr>
    </w:p>
    <w:p>
      <w:pPr>
        <w:pStyle w:val="Body A"/>
        <w:spacing w:line="360" w:lineRule="auto"/>
        <w:jc w:val="both"/>
      </w:pPr>
    </w:p>
    <w:p>
      <w:pPr>
        <w:pStyle w:val="Body A"/>
        <w:spacing w:line="360" w:lineRule="auto"/>
        <w:jc w:val="both"/>
        <w:rPr>
          <w:sz w:val="30"/>
          <w:szCs w:val="30"/>
        </w:rPr>
      </w:pPr>
      <w:r>
        <w:rPr>
          <w:sz w:val="30"/>
          <w:szCs w:val="30"/>
          <w:rtl w:val="0"/>
          <w:lang w:val="en-US"/>
        </w:rPr>
        <w:t xml:space="preserve">4.0 Time scale </w:t>
      </w:r>
    </w:p>
    <w:p>
      <w:pPr>
        <w:pStyle w:val="Body A"/>
        <w:spacing w:line="360" w:lineRule="auto"/>
        <w:jc w:val="both"/>
      </w:pPr>
    </w:p>
    <w:p>
      <w:pPr>
        <w:pStyle w:val="Body A"/>
        <w:spacing w:line="360" w:lineRule="auto"/>
        <w:jc w:val="both"/>
        <w:rPr>
          <w:b w:val="1"/>
          <w:bCs w:val="1"/>
        </w:rPr>
      </w:pPr>
      <w:r>
        <w:rPr>
          <w:rtl w:val="0"/>
          <w:lang w:val="en-US"/>
        </w:rPr>
        <w:t>The proposed research project has been given a timescale of 7 months (October 2022- May 2023) due to the submission deadline. Britton and Tesser, (1991) suggest that time management is an important skill that when completed successfully, can influence greater academic achievement. Throughout this research project, the consideration of time management will become a crucial aspect of the study to successfully carry out research as well as complete conclusions. To begin with, the Proposal will be finished and submitted by October 28th, by the Christmas break the literature review should be completed to be ready to begin data collection. By the beginning of March, all data should have been collected and ready to begin analysing to complete and submit by end of April beginning of May.</w:t>
      </w:r>
    </w:p>
    <w:p>
      <w:pPr>
        <w:pStyle w:val="Body A"/>
        <w:spacing w:line="360" w:lineRule="auto"/>
        <w:jc w:val="both"/>
        <w:rPr>
          <w:b w:val="1"/>
          <w:bCs w:val="1"/>
          <w:sz w:val="28"/>
          <w:szCs w:val="28"/>
        </w:rPr>
      </w:pPr>
    </w:p>
    <w:p>
      <w:pPr>
        <w:pStyle w:val="Body A"/>
        <w:spacing w:line="360" w:lineRule="auto"/>
        <w:jc w:val="both"/>
        <w:rPr>
          <w:b w:val="1"/>
          <w:bCs w:val="1"/>
          <w:sz w:val="28"/>
          <w:szCs w:val="28"/>
        </w:rPr>
      </w:pPr>
    </w:p>
    <w:p>
      <w:pPr>
        <w:pStyle w:val="Body A"/>
        <w:spacing w:line="360" w:lineRule="auto"/>
        <w:jc w:val="both"/>
        <w:rPr>
          <w:b w:val="1"/>
          <w:bCs w:val="1"/>
          <w:sz w:val="28"/>
          <w:szCs w:val="28"/>
        </w:rPr>
      </w:pPr>
    </w:p>
    <w:p>
      <w:pPr>
        <w:pStyle w:val="Body A"/>
        <w:spacing w:line="360" w:lineRule="auto"/>
        <w:jc w:val="both"/>
        <w:rPr>
          <w:b w:val="1"/>
          <w:bCs w:val="1"/>
          <w:sz w:val="28"/>
          <w:szCs w:val="28"/>
        </w:rPr>
      </w:pPr>
    </w:p>
    <w:p>
      <w:pPr>
        <w:pStyle w:val="Body A"/>
        <w:spacing w:line="360" w:lineRule="auto"/>
        <w:jc w:val="both"/>
        <w:rPr>
          <w:sz w:val="28"/>
          <w:szCs w:val="28"/>
        </w:rPr>
      </w:pPr>
      <w:r>
        <w:rPr>
          <w:sz w:val="28"/>
          <w:szCs w:val="28"/>
          <w:rtl w:val="0"/>
          <w:lang w:val="en-US"/>
        </w:rPr>
        <w:t>5.0 Referencing</w:t>
      </w:r>
    </w:p>
    <w:p>
      <w:pPr>
        <w:pStyle w:val="Body A"/>
        <w:spacing w:line="360" w:lineRule="auto"/>
        <w:jc w:val="both"/>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Alfrey, L. and Gard, M. (2019) Figuring out the prevalence of fitness testing in physical education: A figurational analysis.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European Physical Education Review</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25</w:t>
      </w:r>
      <w:r>
        <w:rPr>
          <w:rFonts w:ascii="Arial" w:hAnsi="Arial"/>
          <w:outline w:val="0"/>
          <w:color w:val="222222"/>
          <w:sz w:val="26"/>
          <w:szCs w:val="26"/>
          <w:u w:color="222222"/>
          <w:shd w:val="clear" w:color="auto" w:fill="ffffff"/>
          <w:rtl w:val="0"/>
          <w:lang w:val="en-US"/>
          <w14:textFill>
            <w14:solidFill>
              <w14:srgbClr w14:val="222222"/>
            </w14:solidFill>
          </w14:textFill>
        </w:rPr>
        <w:t>(1), pp.187-202.</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24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Blair, R., and Guildea, M. (2019) Physical education beyond schools and teachers.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Debates in Physical Education</w:t>
      </w:r>
      <w:r>
        <w:rPr>
          <w:rFonts w:ascii="Arial" w:hAnsi="Arial"/>
          <w:outline w:val="0"/>
          <w:color w:val="222222"/>
          <w:sz w:val="26"/>
          <w:szCs w:val="26"/>
          <w:u w:color="222222"/>
          <w:shd w:val="clear" w:color="auto" w:fill="ffffff"/>
          <w:rtl w:val="0"/>
          <w:lang w:val="en-US"/>
          <w14:textFill>
            <w14:solidFill>
              <w14:srgbClr w14:val="222222"/>
            </w14:solidFill>
          </w14:textFill>
        </w:rPr>
        <w:t>.</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Braun, V. and Clarke, V. (2012)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Thematic analysis</w:t>
      </w:r>
      <w:r>
        <w:rPr>
          <w:rFonts w:ascii="Arial" w:hAnsi="Arial"/>
          <w:outline w:val="0"/>
          <w:color w:val="222222"/>
          <w:sz w:val="26"/>
          <w:szCs w:val="26"/>
          <w:u w:color="222222"/>
          <w:shd w:val="clear" w:color="auto" w:fill="ffffff"/>
          <w:rtl w:val="0"/>
          <w:lang w:val="en-US"/>
          <w14:textFill>
            <w14:solidFill>
              <w14:srgbClr w14:val="222222"/>
            </w14:solidFill>
          </w14:textFill>
        </w:rPr>
        <w:t>. American Psychological Association.</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Britton, B.K. and Tesser, A. (1991) Effects of time-management practices on college grades.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Journal of educational psychology</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83</w:t>
      </w:r>
      <w:r>
        <w:rPr>
          <w:rFonts w:ascii="Arial" w:hAnsi="Arial"/>
          <w:outline w:val="0"/>
          <w:color w:val="222222"/>
          <w:sz w:val="26"/>
          <w:szCs w:val="26"/>
          <w:u w:color="222222"/>
          <w:shd w:val="clear" w:color="auto" w:fill="ffffff"/>
          <w:rtl w:val="0"/>
          <w:lang w:val="en-US"/>
          <w14:textFill>
            <w14:solidFill>
              <w14:srgbClr w14:val="222222"/>
            </w14:solidFill>
          </w14:textFill>
        </w:rPr>
        <w:t>(3), p.405.</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Brooks, R., Te Riele, K. and Maguire, M. (2014)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Ethics and education research</w:t>
      </w:r>
      <w:r>
        <w:rPr>
          <w:rFonts w:ascii="Arial" w:hAnsi="Arial"/>
          <w:outline w:val="0"/>
          <w:color w:val="222222"/>
          <w:sz w:val="26"/>
          <w:szCs w:val="26"/>
          <w:u w:color="222222"/>
          <w:shd w:val="clear" w:color="auto" w:fill="ffffff"/>
          <w:rtl w:val="0"/>
          <w:lang w:val="en-US"/>
          <w14:textFill>
            <w14:solidFill>
              <w14:srgbClr w14:val="222222"/>
            </w14:solidFill>
          </w14:textFill>
        </w:rPr>
        <w:t>. Sage.</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Cale, L. and Harris, J. (2009) Fitness testing in physical education</w:t>
      </w:r>
      <w:r>
        <w:rPr>
          <w:rFonts w:ascii="Arial" w:hAnsi="Arial" w:hint="default"/>
          <w:outline w:val="0"/>
          <w:color w:val="222222"/>
          <w:sz w:val="26"/>
          <w:szCs w:val="26"/>
          <w:u w:color="222222"/>
          <w:shd w:val="clear" w:color="auto" w:fill="ffffff"/>
          <w:rtl w:val="0"/>
          <w:lang w:val="en-US"/>
          <w14:textFill>
            <w14:solidFill>
              <w14:srgbClr w14:val="222222"/>
            </w14:solidFill>
          </w14:textFill>
        </w:rPr>
        <w:t>–</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a misdirected effort in promoting healthy lifestyles and physical activity.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Physical Education and Sport Pedagogy</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14</w:t>
      </w:r>
      <w:r>
        <w:rPr>
          <w:rFonts w:ascii="Arial" w:hAnsi="Arial"/>
          <w:outline w:val="0"/>
          <w:color w:val="222222"/>
          <w:sz w:val="26"/>
          <w:szCs w:val="26"/>
          <w:u w:color="222222"/>
          <w:shd w:val="clear" w:color="auto" w:fill="ffffff"/>
          <w:rtl w:val="0"/>
          <w:lang w:val="en-US"/>
          <w14:textFill>
            <w14:solidFill>
              <w14:srgbClr w14:val="222222"/>
            </w14:solidFill>
          </w14:textFill>
        </w:rPr>
        <w:t>(1), pp.89-108.</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Clark, G.(2013) Secondary data.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Methods in Human Geography</w:t>
      </w:r>
      <w:r>
        <w:rPr>
          <w:rFonts w:ascii="Arial" w:hAnsi="Arial"/>
          <w:outline w:val="0"/>
          <w:color w:val="222222"/>
          <w:sz w:val="26"/>
          <w:szCs w:val="26"/>
          <w:u w:color="222222"/>
          <w:shd w:val="clear" w:color="auto" w:fill="ffffff"/>
          <w:rtl w:val="0"/>
          <w:lang w:val="en-US"/>
          <w14:textFill>
            <w14:solidFill>
              <w14:srgbClr w14:val="222222"/>
            </w14:solidFill>
          </w14:textFill>
        </w:rPr>
        <w:t>, pp.57-73.</w:t>
      </w:r>
    </w:p>
    <w:p>
      <w:pPr>
        <w:pStyle w:val="Default"/>
        <w:spacing w:before="0" w:line="360" w:lineRule="auto"/>
        <w:jc w:val="both"/>
        <w:rPr>
          <w:rFonts w:ascii="Arial" w:cs="Arial" w:hAnsi="Arial" w:eastAsia="Arial"/>
          <w:outline w:val="0"/>
          <w:color w:val="2222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Cohen, D.D., Voss, C. and Sandercock, G.R. (2015) Fitness testing for children: let</w:t>
      </w:r>
      <w:r>
        <w:rPr>
          <w:rFonts w:ascii="Arial Unicode MS" w:hAnsi="Arial Unicode MS" w:hint="default"/>
          <w:outline w:val="0"/>
          <w:color w:val="222222"/>
          <w:sz w:val="26"/>
          <w:szCs w:val="26"/>
          <w:u w:color="222222"/>
          <w:shd w:val="clear" w:color="auto" w:fill="ffffff"/>
          <w:rtl w:val="1"/>
          <w:lang w:val="ar-SA" w:bidi="ar-SA"/>
          <w14:textFill>
            <w14:solidFill>
              <w14:srgbClr w14:val="222222"/>
            </w14:solidFill>
          </w14:textFill>
        </w:rPr>
        <w:t>’</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s mount the zebra!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Journal of Physical Activity and Health</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12</w:t>
      </w:r>
      <w:r>
        <w:rPr>
          <w:rFonts w:ascii="Arial" w:hAnsi="Arial"/>
          <w:outline w:val="0"/>
          <w:color w:val="222222"/>
          <w:sz w:val="26"/>
          <w:szCs w:val="26"/>
          <w:u w:color="222222"/>
          <w:shd w:val="clear" w:color="auto" w:fill="ffffff"/>
          <w:rtl w:val="0"/>
          <w:lang w:val="en-US"/>
          <w14:textFill>
            <w14:solidFill>
              <w14:srgbClr w14:val="222222"/>
            </w14:solidFill>
          </w14:textFill>
        </w:rPr>
        <w:t>(5), pp.597-603.</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24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Creswell, J.W. (2014) Qualitative, quantitative and mixed methods approach.</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Dehghan, M., Akhtar-Danesh, N. and Merchant, A.T. (2005) Childhood obesity, prevalence, and prevention.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Nutrition journal</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4</w:t>
      </w:r>
      <w:r>
        <w:rPr>
          <w:rFonts w:ascii="Arial" w:hAnsi="Arial"/>
          <w:outline w:val="0"/>
          <w:color w:val="222222"/>
          <w:sz w:val="26"/>
          <w:szCs w:val="26"/>
          <w:u w:color="222222"/>
          <w:shd w:val="clear" w:color="auto" w:fill="ffffff"/>
          <w:rtl w:val="0"/>
          <w:lang w:val="en-US"/>
          <w14:textFill>
            <w14:solidFill>
              <w14:srgbClr w14:val="222222"/>
            </w14:solidFill>
          </w14:textFill>
        </w:rPr>
        <w:t>(1), pp.1-8.</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240" w:lineRule="auto"/>
        <w:jc w:val="both"/>
        <w:rPr>
          <w:rFonts w:ascii="Arial" w:cs="Arial" w:hAnsi="Arial" w:eastAsia="Arial"/>
          <w:i w:val="1"/>
          <w:iCs w:val="1"/>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Dewaele, J.M. (2018) Online questionnaires. In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The Palgrave handbook of applied linguistics research methodology</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(pp. 269-286). Palgrave Macmillan, London.</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Dillman, D.A., Smyth, J.D. and Christian, L.M. (2014)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Internet, phone, mail, and mixed-mode surveys: The tailored design method</w:t>
      </w:r>
      <w:r>
        <w:rPr>
          <w:rFonts w:ascii="Arial" w:hAnsi="Arial"/>
          <w:outline w:val="0"/>
          <w:color w:val="222222"/>
          <w:sz w:val="26"/>
          <w:szCs w:val="26"/>
          <w:u w:color="222222"/>
          <w:shd w:val="clear" w:color="auto" w:fill="ffffff"/>
          <w:rtl w:val="0"/>
          <w:lang w:val="en-US"/>
          <w14:textFill>
            <w14:solidFill>
              <w14:srgbClr w14:val="222222"/>
            </w14:solidFill>
          </w14:textFill>
        </w:rPr>
        <w:t>. John Wiley &amp; Sons.</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24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Harris, J. (2016) The Association for Physical Education's response to Childhood obesity: A plan for action.</w:t>
      </w:r>
    </w:p>
    <w:p>
      <w:pPr>
        <w:pStyle w:val="Default"/>
        <w:spacing w:before="0" w:line="24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24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Mercier, K., Phillips, S. and Silverman, S. (2016) High school physical education teachers' attitudes and use of fitness tests.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The High School Journal</w:t>
      </w:r>
      <w:r>
        <w:rPr>
          <w:rFonts w:ascii="Arial" w:hAnsi="Arial"/>
          <w:outline w:val="0"/>
          <w:color w:val="222222"/>
          <w:sz w:val="26"/>
          <w:szCs w:val="26"/>
          <w:u w:color="222222"/>
          <w:shd w:val="clear" w:color="auto" w:fill="ffffff"/>
          <w:rtl w:val="0"/>
          <w:lang w:val="en-US"/>
          <w14:textFill>
            <w14:solidFill>
              <w14:srgbClr w14:val="222222"/>
            </w14:solidFill>
          </w14:textFill>
        </w:rPr>
        <w:t>, pp.179-190.</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Oliveira, M., Bitencourt, C., Teixeira, E. and Santos, A.C. (2013)July. Thematic content analysis: Is there a difference between the support provided by the MAXQDA</w:t>
      </w:r>
      <w:r>
        <w:rPr>
          <w:rFonts w:ascii="Arial" w:hAnsi="Arial" w:hint="default"/>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outline w:val="0"/>
          <w:color w:val="222222"/>
          <w:sz w:val="26"/>
          <w:szCs w:val="26"/>
          <w:u w:color="222222"/>
          <w:shd w:val="clear" w:color="auto" w:fill="ffffff"/>
          <w:rtl w:val="0"/>
          <w:lang w:val="en-US"/>
          <w14:textFill>
            <w14:solidFill>
              <w14:srgbClr w14:val="222222"/>
            </w14:solidFill>
          </w14:textFill>
        </w:rPr>
        <w:t>and NVivo</w:t>
      </w:r>
      <w:r>
        <w:rPr>
          <w:rFonts w:ascii="Arial" w:hAnsi="Arial" w:hint="default"/>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software packages. In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Proceedings of the 12th European Conference on Research Methods for Business and Management Studies</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(pp. 304-314).</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People, Y., Negotiating the British Educational Research Association (BERA) Guidelines whilst researching in India</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Putnam, L.L. and Banghart, S. (2017) Interpretive approaches.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The international encyclopedia of organizational communication</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117</w:t>
      </w:r>
      <w:r>
        <w:rPr>
          <w:rFonts w:ascii="Arial" w:hAnsi="Arial"/>
          <w:outline w:val="0"/>
          <w:color w:val="222222"/>
          <w:sz w:val="26"/>
          <w:szCs w:val="26"/>
          <w:u w:color="222222"/>
          <w:shd w:val="clear" w:color="auto" w:fill="ffffff"/>
          <w:rtl w:val="0"/>
          <w:lang w:val="en-US"/>
          <w14:textFill>
            <w14:solidFill>
              <w14:srgbClr w14:val="222222"/>
            </w14:solidFill>
          </w14:textFill>
        </w:rPr>
        <w:t>.</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24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24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Salama, R., Uzunboylu, H. and El Muti, M.A., (2020) Implementing online questionnaires and surveys by using mobile applications.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New Trends and Issues Proceedings on Humanities and Social Sciences</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7</w:t>
      </w:r>
      <w:r>
        <w:rPr>
          <w:rFonts w:ascii="Arial" w:hAnsi="Arial"/>
          <w:outline w:val="0"/>
          <w:color w:val="222222"/>
          <w:sz w:val="26"/>
          <w:szCs w:val="26"/>
          <w:u w:color="222222"/>
          <w:shd w:val="clear" w:color="auto" w:fill="ffffff"/>
          <w:rtl w:val="0"/>
          <w:lang w:val="en-US"/>
          <w14:textFill>
            <w14:solidFill>
              <w14:srgbClr w14:val="222222"/>
            </w14:solidFill>
          </w14:textFill>
        </w:rPr>
        <w:t>(2), pp.48-70.</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Silverman, S., Keating, X.D. and Phillips, S.R. (2008) A lasting impression: A pedagogical perspective on youth fitness testing.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Measurement in Physical Education and Exercise Science</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12</w:t>
      </w:r>
      <w:r>
        <w:rPr>
          <w:rFonts w:ascii="Arial" w:hAnsi="Arial"/>
          <w:outline w:val="0"/>
          <w:color w:val="222222"/>
          <w:sz w:val="26"/>
          <w:szCs w:val="26"/>
          <w:u w:color="222222"/>
          <w:shd w:val="clear" w:color="auto" w:fill="ffffff"/>
          <w:rtl w:val="0"/>
          <w:lang w:val="en-US"/>
          <w14:textFill>
            <w14:solidFill>
              <w14:srgbClr w14:val="222222"/>
            </w14:solidFill>
          </w14:textFill>
        </w:rPr>
        <w:t>(3), pp.146-166.</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Simmons, R. (2001) Questionnaires.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Researching social life</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2</w:t>
      </w:r>
      <w:r>
        <w:rPr>
          <w:rFonts w:ascii="Arial" w:hAnsi="Arial"/>
          <w:outline w:val="0"/>
          <w:color w:val="222222"/>
          <w:sz w:val="26"/>
          <w:szCs w:val="26"/>
          <w:u w:color="222222"/>
          <w:shd w:val="clear" w:color="auto" w:fill="ffffff"/>
          <w:rtl w:val="0"/>
          <w:lang w:val="en-US"/>
          <w14:textFill>
            <w14:solidFill>
              <w14:srgbClr w14:val="222222"/>
            </w14:solidFill>
          </w14:textFill>
        </w:rPr>
        <w:t>, pp.85-104.</w:t>
      </w:r>
    </w:p>
    <w:p>
      <w:pPr>
        <w:pStyle w:val="Default"/>
        <w:spacing w:before="0" w:line="240" w:lineRule="auto"/>
        <w:jc w:val="both"/>
        <w:rPr>
          <w:rFonts w:ascii="Arial" w:cs="Arial" w:hAnsi="Arial" w:eastAsia="Arial"/>
          <w:i w:val="1"/>
          <w:iCs w:val="1"/>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Treiman, D.J. (2014)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Quantitative data analysis: Doing social research to test ideas</w:t>
      </w:r>
      <w:r>
        <w:rPr>
          <w:rFonts w:ascii="Arial" w:hAnsi="Arial"/>
          <w:outline w:val="0"/>
          <w:color w:val="222222"/>
          <w:sz w:val="26"/>
          <w:szCs w:val="26"/>
          <w:u w:color="222222"/>
          <w:shd w:val="clear" w:color="auto" w:fill="ffffff"/>
          <w:rtl w:val="0"/>
          <w:lang w:val="en-US"/>
          <w14:textFill>
            <w14:solidFill>
              <w14:srgbClr w14:val="222222"/>
            </w14:solidFill>
          </w14:textFill>
        </w:rPr>
        <w:t>. John Wiley &amp; Sons.</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Walford*, G. (2005)  Research ethical guidelines and anonymity.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International Journal of research &amp; method in education</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28</w:t>
      </w:r>
      <w:r>
        <w:rPr>
          <w:rFonts w:ascii="Arial" w:hAnsi="Arial"/>
          <w:outline w:val="0"/>
          <w:color w:val="222222"/>
          <w:sz w:val="26"/>
          <w:szCs w:val="26"/>
          <w:u w:color="222222"/>
          <w:shd w:val="clear" w:color="auto" w:fill="ffffff"/>
          <w:rtl w:val="0"/>
          <w:lang w:val="en-US"/>
          <w14:textFill>
            <w14:solidFill>
              <w14:srgbClr w14:val="222222"/>
            </w14:solidFill>
          </w14:textFill>
        </w:rPr>
        <w:t>(1), pp.83-93.</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Yu, S.C., and Yu, M.N., (2007) Comparison of Internet-based and paper-based questionnaires in Taiwan using multisample invariance approach.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CyberPsychology &amp; Behavior</w:t>
      </w:r>
      <w:r>
        <w:rPr>
          <w:rFonts w:ascii="Arial" w:hAnsi="Arial"/>
          <w:outline w:val="0"/>
          <w:color w:val="222222"/>
          <w:sz w:val="26"/>
          <w:szCs w:val="26"/>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6"/>
          <w:szCs w:val="26"/>
          <w:u w:color="222222"/>
          <w:shd w:val="clear" w:color="auto" w:fill="ffffff"/>
          <w:rtl w:val="0"/>
          <w:lang w:val="en-US"/>
          <w14:textFill>
            <w14:solidFill>
              <w14:srgbClr w14:val="222222"/>
            </w14:solidFill>
          </w14:textFill>
        </w:rPr>
        <w:t>10</w:t>
      </w:r>
      <w:r>
        <w:rPr>
          <w:rFonts w:ascii="Arial" w:hAnsi="Arial"/>
          <w:outline w:val="0"/>
          <w:color w:val="222222"/>
          <w:sz w:val="26"/>
          <w:szCs w:val="26"/>
          <w:u w:color="222222"/>
          <w:shd w:val="clear" w:color="auto" w:fill="ffffff"/>
          <w:rtl w:val="0"/>
          <w:lang w:val="en-US"/>
          <w14:textFill>
            <w14:solidFill>
              <w14:srgbClr w14:val="222222"/>
            </w14:solidFill>
          </w14:textFill>
        </w:rPr>
        <w:t>(4), pp.501-507.</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6.0 Appendices</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 xml:space="preserve">Appendix A- Draft Questionnaire </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Figure 1.1 Shows a draft of the questionnaire with some of the questions that may be included as well as the structure of the questionnaire.</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cs="Arial" w:hAnsi="Arial" w:eastAsia="Arial"/>
          <w:outline w:val="0"/>
          <w:color w:val="222222"/>
          <w:sz w:val="26"/>
          <w:szCs w:val="26"/>
          <w:u w:color="222222"/>
          <w:shd w:val="clear" w:color="auto" w:fill="ffffff"/>
          <w14:textFill>
            <w14:solidFill>
              <w14:srgbClr w14:val="222222"/>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591677</wp:posOffset>
            </wp:positionH>
            <wp:positionV relativeFrom="line">
              <wp:posOffset>218862</wp:posOffset>
            </wp:positionV>
            <wp:extent cx="4536538" cy="5128260"/>
            <wp:effectExtent l="0" t="0" r="0" b="0"/>
            <wp:wrapThrough wrapText="bothSides" distL="152400" distR="152400">
              <wp:wrapPolygon edited="1">
                <wp:start x="0" y="0"/>
                <wp:lineTo x="21604" y="0"/>
                <wp:lineTo x="21604" y="21621"/>
                <wp:lineTo x="0" y="21621"/>
                <wp:lineTo x="0" y="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536538" cy="5128260"/>
                    </a:xfrm>
                    <a:prstGeom prst="rect">
                      <a:avLst/>
                    </a:prstGeom>
                    <a:ln w="12700" cap="flat">
                      <a:noFill/>
                      <a:miter lim="400000"/>
                    </a:ln>
                    <a:effectLst/>
                  </pic:spPr>
                </pic:pic>
              </a:graphicData>
            </a:graphic>
          </wp:anchor>
        </w:drawing>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hAnsi="Arial"/>
          <w:outline w:val="0"/>
          <w:color w:val="222222"/>
          <w:sz w:val="26"/>
          <w:szCs w:val="26"/>
          <w:u w:color="222222"/>
          <w:shd w:val="clear" w:color="auto" w:fill="ffffff"/>
          <w:rtl w:val="0"/>
          <w:lang w:val="en-US"/>
          <w14:textFill>
            <w14:solidFill>
              <w14:srgbClr w14:val="222222"/>
            </w14:solidFill>
          </w14:textFill>
        </w:rPr>
        <w:t>\</w:t>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r>
        <w:rPr>
          <w:rFonts w:ascii="Arial" w:cs="Arial" w:hAnsi="Arial" w:eastAsia="Arial"/>
          <w:outline w:val="0"/>
          <w:color w:val="222222"/>
          <w:sz w:val="26"/>
          <w:szCs w:val="26"/>
          <w:u w:color="222222"/>
          <w:shd w:val="clear" w:color="auto" w:fill="ffffff"/>
          <w14:textFill>
            <w14:solidFill>
              <w14:srgbClr w14:val="222222"/>
            </w14:solidFill>
          </w14:textFill>
        </w:rPr>
        <w:drawing xmlns:a="http://schemas.openxmlformats.org/drawingml/2006/main">
          <wp:anchor distT="152400" distB="152400" distL="152400" distR="152400" simplePos="0" relativeHeight="251660288" behindDoc="0" locked="0" layoutInCell="1" allowOverlap="1">
            <wp:simplePos x="0" y="0"/>
            <wp:positionH relativeFrom="margin">
              <wp:posOffset>813876</wp:posOffset>
            </wp:positionH>
            <wp:positionV relativeFrom="page">
              <wp:posOffset>608067</wp:posOffset>
            </wp:positionV>
            <wp:extent cx="4475868" cy="4517829"/>
            <wp:effectExtent l="0" t="0" r="0" b="0"/>
            <wp:wrapThrough wrapText="bothSides" distL="152400" distR="152400">
              <wp:wrapPolygon edited="1">
                <wp:start x="0" y="0"/>
                <wp:lineTo x="21611" y="0"/>
                <wp:lineTo x="21611" y="21600"/>
                <wp:lineTo x="0" y="21600"/>
                <wp:lineTo x="0" y="0"/>
              </wp:wrapPolygon>
            </wp:wrapThrough>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475868" cy="4517829"/>
                    </a:xfrm>
                    <a:prstGeom prst="rect">
                      <a:avLst/>
                    </a:prstGeom>
                    <a:ln w="12700" cap="flat">
                      <a:noFill/>
                      <a:miter lim="400000"/>
                    </a:ln>
                    <a:effectLst/>
                  </pic:spPr>
                </pic:pic>
              </a:graphicData>
            </a:graphic>
          </wp:anchor>
        </w:drawing>
      </w: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6"/>
          <w:szCs w:val="26"/>
          <w:u w:color="222222"/>
          <w:shd w:val="clear" w:color="auto" w:fill="ffffff"/>
          <w14:textFill>
            <w14:solidFill>
              <w14:srgbClr w14:val="222222"/>
            </w14:solidFill>
          </w14:textFill>
        </w:rPr>
      </w:pPr>
    </w:p>
    <w:p>
      <w:pPr>
        <w:pStyle w:val="Default"/>
        <w:spacing w:before="0" w:line="360" w:lineRule="auto"/>
        <w:jc w:val="both"/>
      </w:pPr>
      <w:r>
        <w:rPr>
          <w:rFonts w:ascii="Arial" w:cs="Arial" w:hAnsi="Arial" w:eastAsia="Arial"/>
          <w:outline w:val="0"/>
          <w:color w:val="222222"/>
          <w:sz w:val="26"/>
          <w:szCs w:val="26"/>
          <w:u w:color="222222"/>
          <w:shd w:val="clear" w:color="auto" w:fill="ffffff"/>
          <w14:textFill>
            <w14:solidFill>
              <w14:srgbClr w14:val="222222"/>
            </w14:solidFill>
          </w14:textFill>
        </w:rPr>
      </w:r>
    </w:p>
    <w:sectPr>
      <w:headerReference w:type="default" r:id="rId6"/>
      <w:footerReference w:type="default" r:id="rId7"/>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tabs>
        <w:tab w:val="center" w:pos="4819"/>
        <w:tab w:val="right" w:pos="9612"/>
        <w:tab w:val="clear" w:pos="9020"/>
      </w:tabs>
    </w:pPr>
    <w:r>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