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11A7C" w14:textId="313306DF" w:rsidR="00D449EF" w:rsidRPr="00A96AE5" w:rsidRDefault="00A96AE5" w:rsidP="00A96AE5">
      <w:pPr>
        <w:spacing w:before="240" w:line="360" w:lineRule="auto"/>
        <w:rPr>
          <w:rFonts w:ascii="Arial" w:eastAsia="Arial Unicode MS" w:hAnsi="Arial" w:cs="Arial"/>
          <w:b/>
          <w:kern w:val="2"/>
          <w:sz w:val="32"/>
          <w:szCs w:val="32"/>
          <w:lang w:eastAsia="zh-CN"/>
          <w14:ligatures w14:val="standardContextual"/>
        </w:rPr>
      </w:pPr>
      <w:bookmarkStart w:id="0" w:name="_Hlk211260892"/>
      <w:bookmarkStart w:id="1" w:name="_Toc212476768"/>
      <w:r w:rsidRPr="00A96AE5">
        <w:rPr>
          <w:rFonts w:ascii="Arial" w:eastAsia="Arial Unicode MS" w:hAnsi="Arial" w:cs="Arial"/>
          <w:b/>
          <w:kern w:val="2"/>
          <w:sz w:val="32"/>
          <w:szCs w:val="32"/>
          <w:lang w:eastAsia="zh-CN"/>
          <w14:ligatures w14:val="standardContextual"/>
        </w:rPr>
        <w:t xml:space="preserve">               </w:t>
      </w:r>
      <w:r>
        <w:rPr>
          <w:rFonts w:ascii="Arial" w:eastAsia="Arial Unicode MS" w:hAnsi="Arial" w:cs="Arial"/>
          <w:b/>
          <w:kern w:val="2"/>
          <w:sz w:val="32"/>
          <w:szCs w:val="32"/>
          <w:lang w:eastAsia="zh-CN"/>
          <w14:ligatures w14:val="standardContextual"/>
        </w:rPr>
        <w:t xml:space="preserve"> </w:t>
      </w:r>
      <w:r w:rsidRPr="00A96AE5">
        <w:rPr>
          <w:rFonts w:ascii="Arial" w:eastAsia="Arial Unicode MS" w:hAnsi="Arial" w:cs="Arial"/>
          <w:b/>
          <w:kern w:val="2"/>
          <w:sz w:val="32"/>
          <w:szCs w:val="32"/>
          <w:lang w:eastAsia="zh-CN"/>
          <w14:ligatures w14:val="standardContextual"/>
        </w:rPr>
        <w:t xml:space="preserve">Course:  BSc (Huns) Health </w:t>
      </w:r>
      <w:proofErr w:type="gramStart"/>
      <w:r w:rsidRPr="00A96AE5">
        <w:rPr>
          <w:rFonts w:ascii="Arial" w:eastAsia="Arial Unicode MS" w:hAnsi="Arial" w:cs="Arial"/>
          <w:b/>
          <w:kern w:val="2"/>
          <w:sz w:val="32"/>
          <w:szCs w:val="32"/>
          <w:lang w:eastAsia="zh-CN"/>
          <w14:ligatures w14:val="standardContextual"/>
        </w:rPr>
        <w:t>And</w:t>
      </w:r>
      <w:proofErr w:type="gramEnd"/>
      <w:r w:rsidRPr="00A96AE5">
        <w:rPr>
          <w:rFonts w:ascii="Arial" w:eastAsia="Arial Unicode MS" w:hAnsi="Arial" w:cs="Arial"/>
          <w:b/>
          <w:kern w:val="2"/>
          <w:sz w:val="32"/>
          <w:szCs w:val="32"/>
          <w:lang w:eastAsia="zh-CN"/>
          <w14:ligatures w14:val="standardContextual"/>
        </w:rPr>
        <w:t xml:space="preserve"> Social Care </w:t>
      </w:r>
    </w:p>
    <w:p w14:paraId="627BE00C" w14:textId="37264326" w:rsidR="00A96AE5" w:rsidRPr="00A96AE5" w:rsidRDefault="00A96AE5" w:rsidP="00A96AE5">
      <w:pPr>
        <w:spacing w:before="240" w:line="360" w:lineRule="auto"/>
        <w:rPr>
          <w:rFonts w:ascii="Arial" w:eastAsia="Arial Unicode MS" w:hAnsi="Arial" w:cs="Arial"/>
          <w:b/>
          <w:kern w:val="2"/>
          <w:sz w:val="32"/>
          <w:szCs w:val="32"/>
          <w:lang w:eastAsia="zh-CN"/>
          <w14:ligatures w14:val="standardContextual"/>
        </w:rPr>
      </w:pPr>
      <w:r w:rsidRPr="00A96AE5">
        <w:rPr>
          <w:rFonts w:ascii="Arial" w:eastAsia="Arial Unicode MS" w:hAnsi="Arial" w:cs="Arial"/>
          <w:b/>
          <w:kern w:val="2"/>
          <w:sz w:val="32"/>
          <w:szCs w:val="32"/>
          <w:lang w:eastAsia="zh-CN"/>
          <w14:ligatures w14:val="standardContextual"/>
        </w:rPr>
        <w:t xml:space="preserve">                Student Name:  Michael Ajuyah </w:t>
      </w:r>
    </w:p>
    <w:p w14:paraId="13836D14" w14:textId="295E21D3" w:rsidR="00A96AE5" w:rsidRPr="00A96AE5" w:rsidRDefault="00A96AE5" w:rsidP="00A96AE5">
      <w:pPr>
        <w:spacing w:before="240" w:line="360" w:lineRule="auto"/>
        <w:rPr>
          <w:rFonts w:ascii="Arial" w:eastAsia="Arial Unicode MS" w:hAnsi="Arial" w:cs="Arial"/>
          <w:b/>
          <w:kern w:val="2"/>
          <w:sz w:val="32"/>
          <w:szCs w:val="32"/>
          <w:lang w:eastAsia="zh-CN"/>
          <w14:ligatures w14:val="standardContextual"/>
        </w:rPr>
      </w:pPr>
      <w:r w:rsidRPr="00A96AE5">
        <w:rPr>
          <w:rFonts w:ascii="Arial" w:eastAsia="Arial Unicode MS" w:hAnsi="Arial" w:cs="Arial"/>
          <w:b/>
          <w:kern w:val="2"/>
          <w:sz w:val="32"/>
          <w:szCs w:val="32"/>
          <w:lang w:eastAsia="zh-CN"/>
          <w14:ligatures w14:val="standardContextual"/>
        </w:rPr>
        <w:t xml:space="preserve">                Student ID: 2245019</w:t>
      </w:r>
    </w:p>
    <w:p w14:paraId="41D91E5F" w14:textId="3818C9B9" w:rsidR="00A96AE5" w:rsidRPr="00A96AE5" w:rsidRDefault="00A96AE5" w:rsidP="00A96AE5">
      <w:pPr>
        <w:spacing w:before="240" w:line="360" w:lineRule="auto"/>
        <w:rPr>
          <w:rFonts w:ascii="Arial" w:eastAsia="Arial Unicode MS" w:hAnsi="Arial" w:cs="Arial"/>
          <w:b/>
          <w:kern w:val="2"/>
          <w:sz w:val="32"/>
          <w:szCs w:val="32"/>
          <w:lang w:eastAsia="zh-CN"/>
          <w14:ligatures w14:val="standardContextual"/>
        </w:rPr>
      </w:pPr>
      <w:r w:rsidRPr="00A96AE5">
        <w:rPr>
          <w:rFonts w:ascii="Arial" w:eastAsia="Arial Unicode MS" w:hAnsi="Arial" w:cs="Arial"/>
          <w:b/>
          <w:kern w:val="2"/>
          <w:sz w:val="32"/>
          <w:szCs w:val="32"/>
          <w:lang w:eastAsia="zh-CN"/>
          <w14:ligatures w14:val="standardContextual"/>
        </w:rPr>
        <w:t xml:space="preserve">               </w:t>
      </w:r>
      <w:r>
        <w:rPr>
          <w:rFonts w:ascii="Arial" w:eastAsia="Arial Unicode MS" w:hAnsi="Arial" w:cs="Arial"/>
          <w:b/>
          <w:kern w:val="2"/>
          <w:sz w:val="32"/>
          <w:szCs w:val="32"/>
          <w:lang w:eastAsia="zh-CN"/>
          <w14:ligatures w14:val="standardContextual"/>
        </w:rPr>
        <w:t xml:space="preserve"> </w:t>
      </w:r>
      <w:r w:rsidRPr="00A96AE5">
        <w:rPr>
          <w:rFonts w:ascii="Arial" w:eastAsia="Arial Unicode MS" w:hAnsi="Arial" w:cs="Arial"/>
          <w:b/>
          <w:kern w:val="2"/>
          <w:sz w:val="32"/>
          <w:szCs w:val="32"/>
          <w:lang w:eastAsia="zh-CN"/>
          <w14:ligatures w14:val="standardContextual"/>
        </w:rPr>
        <w:t xml:space="preserve">Module: Independent Project </w:t>
      </w:r>
      <w:proofErr w:type="gramStart"/>
      <w:r w:rsidRPr="00A96AE5">
        <w:rPr>
          <w:rFonts w:ascii="Arial" w:eastAsia="Arial Unicode MS" w:hAnsi="Arial" w:cs="Arial"/>
          <w:b/>
          <w:kern w:val="2"/>
          <w:sz w:val="32"/>
          <w:szCs w:val="32"/>
          <w:lang w:eastAsia="zh-CN"/>
          <w14:ligatures w14:val="standardContextual"/>
        </w:rPr>
        <w:t>( BMHP</w:t>
      </w:r>
      <w:proofErr w:type="gramEnd"/>
      <w:r w:rsidRPr="00A96AE5">
        <w:rPr>
          <w:rFonts w:ascii="Arial" w:eastAsia="Arial Unicode MS" w:hAnsi="Arial" w:cs="Arial"/>
          <w:b/>
          <w:kern w:val="2"/>
          <w:sz w:val="32"/>
          <w:szCs w:val="32"/>
          <w:lang w:eastAsia="zh-CN"/>
          <w14:ligatures w14:val="standardContextual"/>
        </w:rPr>
        <w:t>6020_</w:t>
      </w:r>
      <w:proofErr w:type="gramStart"/>
      <w:r w:rsidRPr="00A96AE5">
        <w:rPr>
          <w:rFonts w:ascii="Arial" w:eastAsia="Arial Unicode MS" w:hAnsi="Arial" w:cs="Arial"/>
          <w:b/>
          <w:kern w:val="2"/>
          <w:sz w:val="32"/>
          <w:szCs w:val="32"/>
          <w:lang w:eastAsia="zh-CN"/>
          <w14:ligatures w14:val="standardContextual"/>
        </w:rPr>
        <w:t>BIRM )</w:t>
      </w:r>
      <w:proofErr w:type="gramEnd"/>
    </w:p>
    <w:p w14:paraId="7B0C4783" w14:textId="4DEA7F0C" w:rsidR="00A96AE5" w:rsidRPr="00A96AE5" w:rsidRDefault="00A96AE5" w:rsidP="00A96AE5">
      <w:pPr>
        <w:spacing w:before="240" w:line="360" w:lineRule="auto"/>
        <w:rPr>
          <w:rFonts w:ascii="Arial" w:eastAsia="Arial Unicode MS" w:hAnsi="Arial" w:cs="Arial"/>
          <w:b/>
          <w:kern w:val="2"/>
          <w:sz w:val="32"/>
          <w:szCs w:val="32"/>
          <w:lang w:eastAsia="zh-CN"/>
          <w14:ligatures w14:val="standardContextual"/>
        </w:rPr>
      </w:pPr>
      <w:r w:rsidRPr="00A96AE5">
        <w:rPr>
          <w:rFonts w:ascii="Arial" w:eastAsia="Arial Unicode MS" w:hAnsi="Arial" w:cs="Arial"/>
          <w:b/>
          <w:kern w:val="2"/>
          <w:sz w:val="32"/>
          <w:szCs w:val="32"/>
          <w:lang w:eastAsia="zh-CN"/>
          <w14:ligatures w14:val="standardContextual"/>
        </w:rPr>
        <w:t xml:space="preserve">                Components 1:   Cheater 1 and 2</w:t>
      </w:r>
    </w:p>
    <w:p w14:paraId="13881804" w14:textId="77777777" w:rsidR="00A96AE5" w:rsidRPr="00A96AE5" w:rsidRDefault="00A96AE5" w:rsidP="00A96AE5">
      <w:pPr>
        <w:spacing w:before="240" w:line="360" w:lineRule="auto"/>
        <w:rPr>
          <w:rFonts w:ascii="Arial" w:eastAsia="Arial Unicode MS" w:hAnsi="Arial" w:cs="Arial"/>
          <w:b/>
          <w:kern w:val="2"/>
          <w:sz w:val="32"/>
          <w:szCs w:val="32"/>
          <w:lang w:eastAsia="zh-CN"/>
          <w14:ligatures w14:val="standardContextual"/>
        </w:rPr>
      </w:pPr>
    </w:p>
    <w:p w14:paraId="7A7A061A" w14:textId="36491320" w:rsidR="00A96AE5" w:rsidRDefault="00A96AE5" w:rsidP="00A96AE5">
      <w:pPr>
        <w:spacing w:before="240" w:line="360" w:lineRule="auto"/>
        <w:rPr>
          <w:rFonts w:ascii="Arial" w:eastAsia="Arial Unicode MS" w:hAnsi="Arial" w:cs="Arial"/>
          <w:b/>
          <w:kern w:val="2"/>
          <w:lang w:eastAsia="zh-CN"/>
          <w14:ligatures w14:val="standardContextual"/>
        </w:rPr>
      </w:pPr>
      <w:r>
        <w:rPr>
          <w:rFonts w:ascii="Arial" w:eastAsia="Arial Unicode MS" w:hAnsi="Arial" w:cs="Arial"/>
          <w:b/>
          <w:kern w:val="2"/>
          <w:lang w:eastAsia="zh-CN"/>
          <w14:ligatures w14:val="standardContextual"/>
        </w:rPr>
        <w:t xml:space="preserve"> </w:t>
      </w:r>
    </w:p>
    <w:p w14:paraId="21B75AED" w14:textId="77777777" w:rsidR="00A96AE5" w:rsidRPr="000B6A45" w:rsidRDefault="00A96AE5" w:rsidP="00A96AE5">
      <w:pPr>
        <w:spacing w:before="240" w:line="360" w:lineRule="auto"/>
        <w:rPr>
          <w:rFonts w:ascii="Arial" w:eastAsia="Arial Unicode MS" w:hAnsi="Arial" w:cs="Arial"/>
          <w:bCs/>
          <w:kern w:val="2"/>
          <w:sz w:val="32"/>
          <w:szCs w:val="32"/>
          <w:lang w:eastAsia="zh-CN"/>
          <w14:ligatures w14:val="standardContextual"/>
        </w:rPr>
      </w:pPr>
    </w:p>
    <w:p w14:paraId="4BA3A2FA" w14:textId="77777777" w:rsidR="00A96AE5" w:rsidRPr="000B6A45" w:rsidRDefault="00A96AE5" w:rsidP="00A96AE5">
      <w:pPr>
        <w:spacing w:before="240" w:line="360" w:lineRule="auto"/>
        <w:rPr>
          <w:rFonts w:ascii="Arial" w:eastAsia="Arial Unicode MS" w:hAnsi="Arial" w:cs="Arial"/>
          <w:b/>
          <w:kern w:val="2"/>
          <w:sz w:val="32"/>
          <w:szCs w:val="32"/>
          <w:lang w:eastAsia="zh-CN"/>
          <w14:ligatures w14:val="standardContextual"/>
        </w:rPr>
      </w:pPr>
    </w:p>
    <w:p w14:paraId="0EAAFA80" w14:textId="0FD785AF" w:rsidR="00A96AE5" w:rsidRPr="000B6A45" w:rsidRDefault="00A96AE5" w:rsidP="00A96AE5">
      <w:pPr>
        <w:spacing w:before="240" w:line="360" w:lineRule="auto"/>
        <w:rPr>
          <w:rFonts w:ascii="Arial" w:eastAsia="Arial Unicode MS" w:hAnsi="Arial" w:cs="Arial"/>
          <w:b/>
          <w:kern w:val="2"/>
          <w:sz w:val="32"/>
          <w:szCs w:val="32"/>
          <w:lang w:eastAsia="zh-CN"/>
          <w14:ligatures w14:val="standardContextual"/>
        </w:rPr>
      </w:pPr>
      <w:r w:rsidRPr="000B6A45">
        <w:rPr>
          <w:rFonts w:ascii="Arial" w:eastAsia="Arial Unicode MS" w:hAnsi="Arial" w:cs="Arial"/>
          <w:b/>
          <w:kern w:val="2"/>
          <w:sz w:val="32"/>
          <w:szCs w:val="32"/>
          <w:lang w:eastAsia="zh-CN"/>
          <w14:ligatures w14:val="standardContextual"/>
        </w:rPr>
        <w:t xml:space="preserve">                                          Topic</w:t>
      </w:r>
    </w:p>
    <w:p w14:paraId="3A726C4E" w14:textId="77777777" w:rsidR="00D449EF" w:rsidRPr="000B6A45" w:rsidRDefault="00D449EF" w:rsidP="00D449EF">
      <w:pPr>
        <w:spacing w:before="240" w:line="360" w:lineRule="auto"/>
        <w:jc w:val="center"/>
        <w:rPr>
          <w:rFonts w:ascii="Arial" w:eastAsia="Arial Unicode MS" w:hAnsi="Arial" w:cs="Arial"/>
          <w:b/>
          <w:kern w:val="2"/>
          <w:sz w:val="32"/>
          <w:szCs w:val="32"/>
          <w:lang w:eastAsia="zh-CN"/>
          <w14:ligatures w14:val="standardContextual"/>
        </w:rPr>
      </w:pPr>
    </w:p>
    <w:p w14:paraId="3EE25C88" w14:textId="52D46D50" w:rsidR="00D449EF" w:rsidRPr="000B6A45" w:rsidRDefault="00D449EF" w:rsidP="00D449EF">
      <w:pPr>
        <w:spacing w:before="240" w:line="360" w:lineRule="auto"/>
        <w:jc w:val="center"/>
        <w:rPr>
          <w:rFonts w:ascii="Arial" w:hAnsi="Arial" w:cs="Arial"/>
          <w:bCs/>
          <w:kern w:val="2"/>
          <w:sz w:val="32"/>
          <w:szCs w:val="32"/>
          <w:lang w:eastAsia="zh-CN"/>
          <w14:ligatures w14:val="standardContextual"/>
        </w:rPr>
      </w:pPr>
      <w:r w:rsidRPr="000B6A45">
        <w:rPr>
          <w:rFonts w:ascii="Arial" w:eastAsia="Arial Unicode MS" w:hAnsi="Arial" w:cs="Arial"/>
          <w:b/>
          <w:kern w:val="2"/>
          <w:sz w:val="32"/>
          <w:szCs w:val="32"/>
          <w:lang w:eastAsia="zh-CN"/>
          <w14:ligatures w14:val="standardContextual"/>
        </w:rPr>
        <w:t>Exploring the Impact of the COVID-19 Pandemic in the Mental Health and Coping Strategies Among Healthcare Workers in the</w:t>
      </w:r>
      <w:r w:rsidRPr="000B6A45">
        <w:rPr>
          <w:rFonts w:ascii="Arial" w:eastAsia="Arial Unicode MS" w:hAnsi="Arial" w:cs="Arial"/>
          <w:bCs/>
          <w:kern w:val="2"/>
          <w:sz w:val="32"/>
          <w:szCs w:val="32"/>
          <w:lang w:eastAsia="zh-CN"/>
          <w14:ligatures w14:val="standardContextual"/>
        </w:rPr>
        <w:t xml:space="preserve"> UK</w:t>
      </w:r>
    </w:p>
    <w:bookmarkEnd w:id="0"/>
    <w:p w14:paraId="15B561A9" w14:textId="77777777" w:rsidR="00D449EF" w:rsidRPr="00D449EF" w:rsidRDefault="00D449EF" w:rsidP="00D449EF">
      <w:pPr>
        <w:widowControl w:val="0"/>
        <w:autoSpaceDE w:val="0"/>
        <w:autoSpaceDN w:val="0"/>
        <w:spacing w:before="240" w:line="360" w:lineRule="auto"/>
        <w:jc w:val="center"/>
        <w:outlineLvl w:val="0"/>
        <w:rPr>
          <w:rFonts w:ascii="Arial" w:eastAsia="Calibri Light" w:hAnsi="Arial" w:cs="Arial"/>
          <w:b/>
          <w:lang w:bidi="en-GB"/>
        </w:rPr>
      </w:pPr>
    </w:p>
    <w:p w14:paraId="0971197F" w14:textId="77777777" w:rsidR="00D449EF" w:rsidRDefault="00D449EF">
      <w:pPr>
        <w:rPr>
          <w:rFonts w:ascii="Arial" w:eastAsia="Calibri Light" w:hAnsi="Arial" w:cs="Arial"/>
          <w:b/>
          <w:lang w:bidi="en-GB"/>
        </w:rPr>
      </w:pPr>
      <w:r>
        <w:rPr>
          <w:rFonts w:ascii="Arial" w:eastAsia="Calibri Light" w:hAnsi="Arial" w:cs="Arial"/>
          <w:b/>
          <w:lang w:bidi="en-GB"/>
        </w:rPr>
        <w:br w:type="page"/>
      </w:r>
    </w:p>
    <w:p w14:paraId="73DBD967" w14:textId="52B1C8CC" w:rsidR="00D449EF" w:rsidRPr="00D449EF" w:rsidRDefault="00D449EF" w:rsidP="00D449EF">
      <w:pPr>
        <w:widowControl w:val="0"/>
        <w:autoSpaceDE w:val="0"/>
        <w:autoSpaceDN w:val="0"/>
        <w:spacing w:before="240" w:line="360" w:lineRule="auto"/>
        <w:jc w:val="center"/>
        <w:outlineLvl w:val="0"/>
        <w:rPr>
          <w:rFonts w:ascii="Arial" w:eastAsia="Calibri Light" w:hAnsi="Arial" w:cs="Arial"/>
          <w:lang w:bidi="en-GB"/>
        </w:rPr>
      </w:pPr>
      <w:r w:rsidRPr="00D449EF">
        <w:rPr>
          <w:rFonts w:ascii="Arial" w:eastAsia="Calibri Light" w:hAnsi="Arial" w:cs="Arial"/>
          <w:b/>
          <w:lang w:bidi="en-GB"/>
        </w:rPr>
        <w:lastRenderedPageBreak/>
        <w:t>CHAPTER 1: Introduction</w:t>
      </w:r>
      <w:bookmarkEnd w:id="1"/>
    </w:p>
    <w:p w14:paraId="543032DD"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2" w:name="_Toc212476769"/>
      <w:r w:rsidRPr="00D449EF">
        <w:rPr>
          <w:rFonts w:ascii="Arial" w:eastAsiaTheme="majorEastAsia" w:hAnsi="Arial" w:cs="Arial"/>
          <w:b/>
          <w:bCs/>
          <w:color w:val="0F4761"/>
          <w:kern w:val="2"/>
          <w:lang w:eastAsia="zh-CN"/>
          <w14:ligatures w14:val="standardContextual"/>
        </w:rPr>
        <w:t>1.1 Introduction</w:t>
      </w:r>
      <w:bookmarkEnd w:id="2"/>
      <w:r w:rsidRPr="00D449EF">
        <w:rPr>
          <w:rFonts w:ascii="Arial" w:eastAsiaTheme="majorEastAsia" w:hAnsi="Arial" w:cs="Arial"/>
          <w:b/>
          <w:bCs/>
          <w:color w:val="0F4761"/>
          <w:kern w:val="2"/>
          <w:lang w:eastAsia="zh-CN"/>
          <w14:ligatures w14:val="standardContextual"/>
        </w:rPr>
        <w:t> </w:t>
      </w:r>
    </w:p>
    <w:p w14:paraId="581C183C"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On January 30</w:t>
      </w:r>
      <w:r w:rsidRPr="00D449EF">
        <w:rPr>
          <w:rFonts w:ascii="Arial" w:eastAsia="Aptos" w:hAnsi="Arial" w:cs="Arial"/>
          <w:bCs/>
          <w:kern w:val="2"/>
          <w:vertAlign w:val="superscript"/>
          <w:lang w:eastAsia="en-US"/>
          <w14:ligatures w14:val="standardContextual"/>
        </w:rPr>
        <w:t>th</w:t>
      </w:r>
      <w:r w:rsidRPr="00D449EF">
        <w:rPr>
          <w:rFonts w:ascii="Arial" w:eastAsia="Aptos" w:hAnsi="Arial" w:cs="Arial"/>
          <w:bCs/>
          <w:kern w:val="2"/>
          <w:lang w:eastAsia="en-US"/>
          <w14:ligatures w14:val="standardContextual"/>
        </w:rPr>
        <w:t>, 2020, the World Health Organization reported the emergence of the novel coronavirus and consequently declared it a public health emergency of international concern under the International Health Regulation (Hao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 The resulting COVID-19 pandemic culminated in a high percentage of viral infection associated deaths and emotional and psychological consequences. Poon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xml:space="preserve"> (2022) note that healthcare workers were obligated to respond to the pandemic by assuming active roles in the diagnosis and treatment of COVID-19 patients. This means that they risked exposure to the virus and resulted in their bearing the brunt of psychological, physical, and behavioural health issues (Poon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w:t>
      </w:r>
    </w:p>
    <w:p w14:paraId="48DA885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Exploring the pandemic's impact on UK healthcare workers' mental health is crucial as this group faced unprecedented pressures. </w:t>
      </w:r>
      <w:bookmarkStart w:id="3" w:name="_Hlk212471367"/>
      <w:r w:rsidRPr="00D449EF">
        <w:rPr>
          <w:rFonts w:ascii="Arial" w:eastAsia="Aptos" w:hAnsi="Arial" w:cs="Arial"/>
          <w:bCs/>
          <w:kern w:val="2"/>
          <w:lang w:eastAsia="en-US"/>
          <w14:ligatures w14:val="standardContextual"/>
        </w:rPr>
        <w:t>Delaney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xml:space="preserve"> (2021)</w:t>
      </w:r>
      <w:bookmarkEnd w:id="3"/>
      <w:r w:rsidRPr="00D449EF">
        <w:rPr>
          <w:rFonts w:ascii="Arial" w:eastAsia="Aptos" w:hAnsi="Arial" w:cs="Arial"/>
          <w:bCs/>
          <w:kern w:val="2"/>
          <w:lang w:eastAsia="en-US"/>
          <w14:ligatures w14:val="standardContextual"/>
        </w:rPr>
        <w:t xml:space="preserve"> highlight that this led to burnout, trauma, and stress. Understanding the scale of this psychological burden is the first step in addressing a potential workforce crisis and fulfilling a moral duty to support those who sustained national health services (World Health Organization, 2019). This dissertation aims to systematically identify the specific mental health challenges faced and the coping strategies employed, which should provide an evidence-based analysis of what protective factors were effective. The broader contribution lies in generating actionable insights to inform the development of targeted psychological support systems and resilience-building protocols. This should help strengthen the healthcare sector's preparedness for future crises and safeguard its most vital asset, which is its personnel.</w:t>
      </w:r>
    </w:p>
    <w:p w14:paraId="02AE5E6F"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4" w:name="_Toc212476770"/>
      <w:r w:rsidRPr="00D449EF">
        <w:rPr>
          <w:rFonts w:ascii="Arial" w:eastAsiaTheme="majorEastAsia" w:hAnsi="Arial" w:cs="Arial"/>
          <w:b/>
          <w:bCs/>
          <w:color w:val="0F4761"/>
          <w:kern w:val="2"/>
          <w:lang w:eastAsia="zh-CN"/>
          <w14:ligatures w14:val="standardContextual"/>
        </w:rPr>
        <w:t>1.2 Definitions and Terminology</w:t>
      </w:r>
      <w:bookmarkEnd w:id="4"/>
      <w:r w:rsidRPr="00D449EF">
        <w:rPr>
          <w:rFonts w:ascii="Arial" w:eastAsiaTheme="majorEastAsia" w:hAnsi="Arial" w:cs="Arial"/>
          <w:b/>
          <w:bCs/>
          <w:color w:val="2F5496" w:themeColor="accent1" w:themeShade="BF"/>
          <w:kern w:val="2"/>
          <w:lang w:eastAsia="zh-CN"/>
          <w14:ligatures w14:val="standardContextual"/>
        </w:rPr>
        <w:t> </w:t>
      </w:r>
    </w:p>
    <w:p w14:paraId="76698B75"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In this research, some of the key concepts require precise definition to ensure that they are clear. In this regard, </w:t>
      </w:r>
      <w:r w:rsidRPr="00D449EF">
        <w:rPr>
          <w:rFonts w:ascii="Arial" w:eastAsia="Aptos" w:hAnsi="Arial" w:cs="Arial"/>
          <w:kern w:val="2"/>
          <w:lang w:eastAsia="en-US"/>
          <w14:ligatures w14:val="standardContextual"/>
        </w:rPr>
        <w:t>mental Health </w:t>
      </w:r>
      <w:r w:rsidRPr="00D449EF">
        <w:rPr>
          <w:rFonts w:ascii="Arial" w:eastAsia="Aptos" w:hAnsi="Arial" w:cs="Arial"/>
          <w:bCs/>
          <w:kern w:val="2"/>
          <w:lang w:eastAsia="en-US"/>
          <w14:ligatures w14:val="standardContextual"/>
        </w:rPr>
        <w:t>refers not merely to the absence of illness but to a state of psychological and emotional well-being where an individual can realize their potential and cope with normal stresses (World Health Organization, 2019). In the context of this study, it specifically encompasses adverse outcomes such as anxiety, depression, post-traumatic stress disorder (PTSD), and burnout. </w:t>
      </w:r>
      <w:r w:rsidRPr="00D449EF">
        <w:rPr>
          <w:rFonts w:ascii="Arial" w:eastAsia="Aptos" w:hAnsi="Arial" w:cs="Arial"/>
          <w:kern w:val="2"/>
          <w:lang w:eastAsia="en-US"/>
          <w14:ligatures w14:val="standardContextual"/>
        </w:rPr>
        <w:t>Burnout</w:t>
      </w:r>
      <w:r w:rsidRPr="00D449EF">
        <w:rPr>
          <w:rFonts w:ascii="Arial" w:eastAsia="Aptos" w:hAnsi="Arial" w:cs="Arial"/>
          <w:bCs/>
          <w:kern w:val="2"/>
          <w:lang w:eastAsia="en-US"/>
          <w14:ligatures w14:val="standardContextual"/>
        </w:rPr>
        <w:t xml:space="preserve"> itself is a syndrome of emotional exhaustion, depersonalization, and </w:t>
      </w:r>
      <w:r w:rsidRPr="00D449EF">
        <w:rPr>
          <w:rFonts w:ascii="Arial" w:eastAsia="Aptos" w:hAnsi="Arial" w:cs="Arial"/>
          <w:bCs/>
          <w:kern w:val="2"/>
          <w:lang w:eastAsia="en-US"/>
          <w14:ligatures w14:val="standardContextual"/>
        </w:rPr>
        <w:lastRenderedPageBreak/>
        <w:t>reduced personal accomplishment resulting from chronic workplace stress (Delaney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w:t>
      </w:r>
    </w:p>
    <w:p w14:paraId="4A17FE1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Furthermore, </w:t>
      </w:r>
      <w:r w:rsidRPr="00D449EF">
        <w:rPr>
          <w:rFonts w:ascii="Arial" w:eastAsia="Aptos" w:hAnsi="Arial" w:cs="Arial"/>
          <w:kern w:val="2"/>
          <w:lang w:eastAsia="en-US"/>
          <w14:ligatures w14:val="standardContextual"/>
        </w:rPr>
        <w:t>Coping Strategies</w:t>
      </w:r>
      <w:r w:rsidRPr="00D449EF">
        <w:rPr>
          <w:rFonts w:ascii="Arial" w:eastAsia="Aptos" w:hAnsi="Arial" w:cs="Arial"/>
          <w:bCs/>
          <w:kern w:val="2"/>
          <w:lang w:eastAsia="en-US"/>
          <w14:ligatures w14:val="standardContextual"/>
        </w:rPr>
        <w:t> are defined as the cognitive and behavioural efforts individuals employ to manage specific external and/or internal demands perceived as taxing or exceeding their resources (Walton, Murray and Christian, 2020). These are often categorized as problem-focused (addressing the stressor) or emotion-focused (regulating the emotional response). The relevance of these terms is paramount as the research seeks to measure the deterioration in mental health and then identify which coping strategies served as protective or risk factors. The study focuses specifically on </w:t>
      </w:r>
      <w:r w:rsidRPr="00D449EF">
        <w:rPr>
          <w:rFonts w:ascii="Arial" w:eastAsia="Aptos" w:hAnsi="Arial" w:cs="Arial"/>
          <w:kern w:val="2"/>
          <w:lang w:eastAsia="en-US"/>
          <w14:ligatures w14:val="standardContextual"/>
        </w:rPr>
        <w:t>Healthcare Workers (HCWs)</w:t>
      </w:r>
      <w:r w:rsidRPr="00D449EF">
        <w:rPr>
          <w:rFonts w:ascii="Arial" w:eastAsia="Aptos" w:hAnsi="Arial" w:cs="Arial"/>
          <w:bCs/>
          <w:kern w:val="2"/>
          <w:lang w:eastAsia="en-US"/>
          <w14:ligatures w14:val="standardContextual"/>
        </w:rPr>
        <w:t>, which is a broad term encompassing clinical staff (doctors, nurses) and non-clinical support staff within the </w:t>
      </w:r>
      <w:r w:rsidRPr="00D449EF">
        <w:rPr>
          <w:rFonts w:ascii="Arial" w:eastAsia="Aptos" w:hAnsi="Arial" w:cs="Arial"/>
          <w:kern w:val="2"/>
          <w:lang w:eastAsia="en-US"/>
          <w14:ligatures w14:val="standardContextual"/>
        </w:rPr>
        <w:t>National Health Service (NHS)</w:t>
      </w:r>
      <w:r w:rsidRPr="00D449EF">
        <w:rPr>
          <w:rFonts w:ascii="Arial" w:eastAsia="Aptos" w:hAnsi="Arial" w:cs="Arial"/>
          <w:bCs/>
          <w:kern w:val="2"/>
          <w:lang w:eastAsia="en-US"/>
          <w14:ligatures w14:val="standardContextual"/>
        </w:rPr>
        <w:t xml:space="preserve"> (NHS Professionals, 2025), which is the UK's publicly funded healthcare system. Understanding their experiences is critical for developing targeted support within this vital institution.</w:t>
      </w:r>
      <w:r w:rsidRPr="00D449EF">
        <w:rPr>
          <w:rFonts w:ascii="Arial" w:eastAsiaTheme="minorEastAsia" w:hAnsi="Arial" w:cs="Arial"/>
          <w:kern w:val="2"/>
          <w:lang w:eastAsia="zh-CN"/>
          <w14:ligatures w14:val="standardContextual"/>
        </w:rPr>
        <w:t>  </w:t>
      </w:r>
    </w:p>
    <w:p w14:paraId="157CA3FC"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5" w:name="_Toc212476771"/>
      <w:r w:rsidRPr="00D449EF">
        <w:rPr>
          <w:rFonts w:ascii="Arial" w:eastAsiaTheme="majorEastAsia" w:hAnsi="Arial" w:cs="Arial"/>
          <w:b/>
          <w:bCs/>
          <w:color w:val="0F4761"/>
          <w:kern w:val="2"/>
          <w:lang w:eastAsia="zh-CN"/>
          <w14:ligatures w14:val="standardContextual"/>
        </w:rPr>
        <w:t>1.3 Rationale for Research</w:t>
      </w:r>
      <w:bookmarkEnd w:id="5"/>
      <w:r w:rsidRPr="00D449EF">
        <w:rPr>
          <w:rFonts w:ascii="Arial" w:eastAsiaTheme="majorEastAsia" w:hAnsi="Arial" w:cs="Arial"/>
          <w:b/>
          <w:bCs/>
          <w:color w:val="2F5496" w:themeColor="accent1" w:themeShade="BF"/>
          <w:kern w:val="2"/>
          <w:lang w:eastAsia="zh-CN"/>
          <w14:ligatures w14:val="standardContextual"/>
        </w:rPr>
        <w:t> </w:t>
      </w:r>
    </w:p>
    <w:p w14:paraId="69ABC147"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 xml:space="preserve">The purpose of this study is to critically investigate the psychological aftermath of the COVID-19 pandemic on the UK's healthcare workforce. This topic is chosen due to the unprecedented and sustained pressure placed on the NHS by the COVID-19 pandemic, which created a natural experiment in occupational stress </w:t>
      </w:r>
      <w:bookmarkStart w:id="6" w:name="_Hlk212471334"/>
      <w:r w:rsidRPr="00D449EF">
        <w:rPr>
          <w:rFonts w:ascii="Arial" w:eastAsia="Aptos" w:hAnsi="Arial" w:cs="Arial"/>
          <w:bCs/>
          <w:kern w:val="2"/>
          <w:lang w:eastAsia="en-US"/>
          <w14:ligatures w14:val="standardContextual"/>
        </w:rPr>
        <w:t>(</w:t>
      </w:r>
      <w:proofErr w:type="spellStart"/>
      <w:r w:rsidRPr="00D449EF">
        <w:rPr>
          <w:rFonts w:ascii="Arial" w:eastAsia="Aptos" w:hAnsi="Arial" w:cs="Arial"/>
          <w:bCs/>
          <w:kern w:val="2"/>
          <w:lang w:eastAsia="en-US"/>
          <w14:ligatures w14:val="standardContextual"/>
        </w:rPr>
        <w:t>Llop-Gironés</w:t>
      </w:r>
      <w:proofErr w:type="spellEnd"/>
      <w:r w:rsidRPr="00D449EF">
        <w:rPr>
          <w:rFonts w:ascii="Arial" w:eastAsia="Aptos" w:hAnsi="Arial" w:cs="Arial"/>
          <w:bCs/>
          <w:kern w:val="2"/>
          <w:lang w:eastAsia="en-US"/>
          <w14:ligatures w14:val="standardContextual"/>
        </w:rPr>
        <w:t>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w:t>
      </w:r>
      <w:bookmarkEnd w:id="6"/>
      <w:r w:rsidRPr="00D449EF">
        <w:rPr>
          <w:rFonts w:ascii="Arial" w:eastAsia="Aptos" w:hAnsi="Arial" w:cs="Arial"/>
          <w:bCs/>
          <w:kern w:val="2"/>
          <w:lang w:eastAsia="en-US"/>
          <w14:ligatures w14:val="standardContextual"/>
        </w:rPr>
        <w:t>. The broader significance lies in addressing a pressing public health concern, which is the well-being of those tasked with national care during a crisis. Existing literature has established that healthcare workers globally faced significant mental health challenges during the pandemic (Poon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 However, much of this research has focused on the acute phase of the crisis or has been conducted in international contexts. This left a gap in understanding the specific, longer-term repercussions for the unique and publicly funded NHS system and its diverse workforce.</w:t>
      </w:r>
    </w:p>
    <w:p w14:paraId="7D22AC9D"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This research aims to identify and address several key problems and gaps in the current literature. Firstly, many studies have homogenised "healthcare workers" (Falatah, 2021). This fails to distinguish between the experiences of different professional groups (e.g., nurses versus porters) or geographical regions within the </w:t>
      </w:r>
      <w:r w:rsidRPr="00D449EF">
        <w:rPr>
          <w:rFonts w:ascii="Arial" w:eastAsia="Aptos" w:hAnsi="Arial" w:cs="Arial"/>
          <w:bCs/>
          <w:kern w:val="2"/>
          <w:lang w:eastAsia="en-US"/>
          <w14:ligatures w14:val="standardContextual"/>
        </w:rPr>
        <w:lastRenderedPageBreak/>
        <w:t>UK. Secondly, there is a scarcity of qualitative, in-depth research exploring the </w:t>
      </w:r>
      <w:r w:rsidRPr="00D449EF">
        <w:rPr>
          <w:rFonts w:ascii="Arial" w:eastAsia="Aptos" w:hAnsi="Arial" w:cs="Arial"/>
          <w:bCs/>
          <w:i/>
          <w:iCs/>
          <w:kern w:val="2"/>
          <w:lang w:eastAsia="en-US"/>
          <w14:ligatures w14:val="standardContextual"/>
        </w:rPr>
        <w:t>lived experience</w:t>
      </w:r>
      <w:r w:rsidRPr="00D449EF">
        <w:rPr>
          <w:rFonts w:ascii="Arial" w:eastAsia="Aptos" w:hAnsi="Arial" w:cs="Arial"/>
          <w:bCs/>
          <w:kern w:val="2"/>
          <w:lang w:eastAsia="en-US"/>
          <w14:ligatures w14:val="standardContextual"/>
        </w:rPr>
        <w:t> of these workers, which is crucial for understanding the nuanced reasons why certain coping strategies were adopted and how effective they were perceived to be (Côté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 Finally, a significant gap exists in translating identified coping mechanisms into actionable, evidence-based support frameworks tailored for the NHS.</w:t>
      </w:r>
    </w:p>
    <w:p w14:paraId="3644EB7C"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7" w:name="_Toc212476772"/>
      <w:r w:rsidRPr="00D449EF">
        <w:rPr>
          <w:rFonts w:ascii="Arial" w:eastAsiaTheme="majorEastAsia" w:hAnsi="Arial" w:cs="Arial"/>
          <w:b/>
          <w:bCs/>
          <w:color w:val="0F4761"/>
          <w:kern w:val="2"/>
          <w:lang w:eastAsia="zh-CN"/>
          <w14:ligatures w14:val="standardContextual"/>
        </w:rPr>
        <w:t>1.4 Aim and Objectives</w:t>
      </w:r>
      <w:bookmarkEnd w:id="7"/>
      <w:r w:rsidRPr="00D449EF">
        <w:rPr>
          <w:rFonts w:ascii="Arial" w:eastAsiaTheme="majorEastAsia" w:hAnsi="Arial" w:cs="Arial"/>
          <w:b/>
          <w:bCs/>
          <w:color w:val="2F5496" w:themeColor="accent1" w:themeShade="BF"/>
          <w:kern w:val="2"/>
          <w:lang w:eastAsia="zh-CN"/>
          <w14:ligatures w14:val="standardContextual"/>
        </w:rPr>
        <w:t> </w:t>
      </w:r>
    </w:p>
    <w:p w14:paraId="0D0AD5FB" w14:textId="5D085642"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The overarching aim of this research is to comprehensively This project aims to explore the psychological impact of the COVID-19 pandemic on</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healthcare workers in the UK and critically evaluate the coping mechanisms used to</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support their mental health and wellbeing. Moreover, the study endeavours to</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provide evidence-based recommendations for improving mental health support</w:t>
      </w:r>
      <w:r>
        <w:rPr>
          <w:rFonts w:ascii="Arial" w:eastAsia="Aptos" w:hAnsi="Arial" w:cs="Arial"/>
          <w:bCs/>
          <w:kern w:val="2"/>
          <w:lang w:eastAsia="en-US"/>
          <w14:ligatures w14:val="standardContextual"/>
        </w:rPr>
        <w:t xml:space="preserve"> </w:t>
      </w:r>
      <w:r w:rsidRPr="00D449EF">
        <w:rPr>
          <w:rFonts w:ascii="Arial" w:eastAsia="Aptos" w:hAnsi="Arial" w:cs="Arial"/>
          <w:bCs/>
          <w:kern w:val="2"/>
          <w:lang w:eastAsia="en-US"/>
          <w14:ligatures w14:val="standardContextual"/>
        </w:rPr>
        <w:t>strategies within healthcare.</w:t>
      </w:r>
    </w:p>
    <w:p w14:paraId="73BFC12B"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To achieve this aim, the study will pursue the following four specific objectives:</w:t>
      </w:r>
    </w:p>
    <w:p w14:paraId="1E62774C"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b/>
          <w:bCs/>
          <w:kern w:val="2"/>
          <w:lang w:eastAsia="zh-CN"/>
          <w14:ligatures w14:val="standardContextual"/>
        </w:rPr>
        <w:t>Objective 1:</w:t>
      </w: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To explore the prevalence and severity of specific mental health conditions, including anxiety, depression, post-traumatic stress, and burnout, among a diverse sample of NHS healthcare workers in the post-acute pandemic period.</w:t>
      </w:r>
    </w:p>
    <w:p w14:paraId="42876F02"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b/>
          <w:bCs/>
          <w:kern w:val="2"/>
          <w:lang w:eastAsia="zh-CN"/>
          <w14:ligatures w14:val="standardContextual"/>
        </w:rPr>
        <w:t>Objective 2:</w:t>
      </w: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To identify and categorise the range of coping strategies, both adaptive and maladaptive, that were utilised by healthcare workers to manage pandemic-related stress.</w:t>
      </w:r>
    </w:p>
    <w:p w14:paraId="60BA75B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b/>
          <w:bCs/>
          <w:kern w:val="2"/>
          <w:lang w:eastAsia="zh-CN"/>
          <w14:ligatures w14:val="standardContextual"/>
        </w:rPr>
        <w:t>Objective 3:</w:t>
      </w: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To explore the perceived effectiveness of these identified coping strategies from the perspective of the healthcare workers themselves and thus investigating factors that influenced their success or failure.</w:t>
      </w:r>
    </w:p>
    <w:p w14:paraId="6C43E7F1"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Theme="minorEastAsia" w:hAnsi="Arial" w:cs="Arial"/>
          <w:b/>
          <w:bCs/>
          <w:kern w:val="2"/>
          <w:lang w:eastAsia="zh-CN"/>
          <w14:ligatures w14:val="standardContextual"/>
        </w:rPr>
        <w:t>Objective 4:</w:t>
      </w:r>
      <w:r w:rsidRPr="00D449EF">
        <w:rPr>
          <w:rFonts w:ascii="Arial" w:eastAsiaTheme="minorEastAsia" w:hAnsi="Arial" w:cs="Arial"/>
          <w:kern w:val="2"/>
          <w:lang w:eastAsia="zh-CN"/>
          <w14:ligatures w14:val="standardContextual"/>
        </w:rPr>
        <w:t>  </w:t>
      </w:r>
      <w:r w:rsidRPr="00D449EF">
        <w:rPr>
          <w:rFonts w:ascii="Arial" w:eastAsia="Aptos" w:hAnsi="Arial" w:cs="Arial"/>
          <w:bCs/>
          <w:kern w:val="2"/>
          <w:lang w:eastAsia="en-US"/>
          <w14:ligatures w14:val="standardContextual"/>
        </w:rPr>
        <w:t>To develop evidence-based recommendations for targeted mental health support interventions and resilience-building protocols that can be integrated into NHS institutional practice to safeguard staff well-being in future crises.</w:t>
      </w:r>
    </w:p>
    <w:p w14:paraId="0425F44D"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8" w:name="_Toc212476773"/>
      <w:r w:rsidRPr="00D449EF">
        <w:rPr>
          <w:rFonts w:ascii="Arial" w:eastAsiaTheme="majorEastAsia" w:hAnsi="Arial" w:cs="Arial"/>
          <w:b/>
          <w:bCs/>
          <w:color w:val="0F4761"/>
          <w:kern w:val="2"/>
          <w:lang w:eastAsia="zh-CN"/>
          <w14:ligatures w14:val="standardContextual"/>
        </w:rPr>
        <w:t>1.5 Conclusion</w:t>
      </w:r>
      <w:bookmarkEnd w:id="8"/>
      <w:r w:rsidRPr="00D449EF">
        <w:rPr>
          <w:rFonts w:ascii="Arial" w:eastAsiaTheme="majorEastAsia" w:hAnsi="Arial" w:cs="Arial"/>
          <w:b/>
          <w:bCs/>
          <w:color w:val="2F5496" w:themeColor="accent1" w:themeShade="BF"/>
          <w:kern w:val="2"/>
          <w:lang w:eastAsia="zh-CN"/>
          <w14:ligatures w14:val="standardContextual"/>
        </w:rPr>
        <w:t> </w:t>
      </w:r>
    </w:p>
    <w:p w14:paraId="3F19E93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In summary, this chapter introduced the general area of the research, its relevance, and the expectations of this dissertation. Some of the key definitions and terminologies </w:t>
      </w:r>
      <w:r w:rsidRPr="00D449EF">
        <w:rPr>
          <w:rFonts w:ascii="Arial" w:eastAsia="Aptos" w:hAnsi="Arial" w:cs="Arial"/>
          <w:bCs/>
          <w:kern w:val="2"/>
          <w:lang w:eastAsia="en-US"/>
          <w14:ligatures w14:val="standardContextual"/>
        </w:rPr>
        <w:lastRenderedPageBreak/>
        <w:t xml:space="preserve">were also presented, as well as the rationale for research. A few problems and gaps in existing literature were outlined based on the preliminary literature review, which facilitated the development of the overarching aim of this research. Four specific objectives were developed and outlined to facilitate the realisation of the research aim.  </w:t>
      </w:r>
    </w:p>
    <w:p w14:paraId="6015BCFF"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The next chapter will provide a comprehensive description of the background information and analysis. This will entail a review of historical context of the topic, as well as the underlying theoretical background. The chapter will also explore the international context of the topic and later narrow the scope to the local UK context.</w:t>
      </w:r>
    </w:p>
    <w:p w14:paraId="3D007BCC"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569A0FEF"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6F6220F5"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22974EBE"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21B48CB1"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26862896" w14:textId="77777777" w:rsidR="00D449EF" w:rsidRPr="00D449EF" w:rsidRDefault="00D449EF" w:rsidP="00D449EF">
      <w:pPr>
        <w:spacing w:before="240" w:line="360" w:lineRule="auto"/>
        <w:jc w:val="both"/>
        <w:rPr>
          <w:rFonts w:ascii="Arial" w:eastAsiaTheme="minorEastAsia" w:hAnsi="Arial" w:cs="Arial"/>
          <w:kern w:val="2"/>
          <w:lang w:eastAsia="zh-CN"/>
          <w14:ligatures w14:val="standardContextual"/>
        </w:rPr>
      </w:pPr>
    </w:p>
    <w:p w14:paraId="03CFC482" w14:textId="77777777" w:rsidR="00D449EF" w:rsidRPr="00D449EF" w:rsidRDefault="00D449EF" w:rsidP="00D449EF">
      <w:pPr>
        <w:spacing w:before="240" w:line="360" w:lineRule="auto"/>
        <w:rPr>
          <w:rFonts w:ascii="Arial" w:eastAsia="Calibri Light" w:hAnsi="Arial" w:cs="Arial"/>
          <w:b/>
          <w:lang w:bidi="en-GB"/>
        </w:rPr>
      </w:pPr>
      <w:r w:rsidRPr="00D449EF">
        <w:rPr>
          <w:rFonts w:ascii="Arial" w:eastAsiaTheme="minorEastAsia" w:hAnsi="Arial" w:cs="Arial"/>
          <w:kern w:val="2"/>
          <w:lang w:eastAsia="zh-CN"/>
          <w14:ligatures w14:val="standardContextual"/>
        </w:rPr>
        <w:br w:type="page"/>
      </w:r>
    </w:p>
    <w:p w14:paraId="54B263AD" w14:textId="77777777" w:rsidR="00D449EF" w:rsidRPr="00D449EF" w:rsidRDefault="00D449EF" w:rsidP="00D449EF">
      <w:pPr>
        <w:widowControl w:val="0"/>
        <w:autoSpaceDE w:val="0"/>
        <w:autoSpaceDN w:val="0"/>
        <w:spacing w:before="240" w:line="360" w:lineRule="auto"/>
        <w:jc w:val="center"/>
        <w:outlineLvl w:val="0"/>
        <w:rPr>
          <w:rFonts w:ascii="Arial" w:eastAsia="Calibri Light" w:hAnsi="Arial" w:cs="Arial"/>
          <w:b/>
          <w:lang w:bidi="en-GB"/>
        </w:rPr>
      </w:pPr>
      <w:bookmarkStart w:id="9" w:name="_Toc212476774"/>
      <w:r w:rsidRPr="00D449EF">
        <w:rPr>
          <w:rFonts w:ascii="Arial" w:eastAsia="Calibri Light" w:hAnsi="Arial" w:cs="Arial"/>
          <w:b/>
          <w:lang w:bidi="en-GB"/>
        </w:rPr>
        <w:lastRenderedPageBreak/>
        <w:t>CHAPTER 2 – Background Information and Analysis</w:t>
      </w:r>
      <w:bookmarkEnd w:id="9"/>
    </w:p>
    <w:p w14:paraId="5AA6C361"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0" w:name="_Toc212476775"/>
      <w:r w:rsidRPr="00D449EF">
        <w:rPr>
          <w:rFonts w:ascii="Arial" w:eastAsiaTheme="majorEastAsia" w:hAnsi="Arial" w:cs="Arial"/>
          <w:b/>
          <w:bCs/>
          <w:color w:val="0F4761"/>
          <w:kern w:val="2"/>
          <w:lang w:eastAsia="zh-CN"/>
          <w14:ligatures w14:val="standardContextual"/>
        </w:rPr>
        <w:t>2.1 Introduction</w:t>
      </w:r>
      <w:bookmarkEnd w:id="10"/>
      <w:r w:rsidRPr="00D449EF">
        <w:rPr>
          <w:rFonts w:ascii="Arial" w:eastAsiaTheme="majorEastAsia" w:hAnsi="Arial" w:cs="Arial"/>
          <w:b/>
          <w:bCs/>
          <w:color w:val="0F4761"/>
          <w:kern w:val="2"/>
          <w:lang w:eastAsia="zh-CN"/>
          <w14:ligatures w14:val="standardContextual"/>
        </w:rPr>
        <w:t xml:space="preserve"> </w:t>
      </w:r>
    </w:p>
    <w:p w14:paraId="4AA250C8" w14:textId="77777777" w:rsidR="00D449EF" w:rsidRPr="00D449EF" w:rsidRDefault="00D449EF" w:rsidP="00D449EF">
      <w:pPr>
        <w:spacing w:before="240" w:line="360" w:lineRule="auto"/>
        <w:jc w:val="both"/>
        <w:rPr>
          <w:rFonts w:ascii="Arial" w:eastAsia="Aptos" w:hAnsi="Arial" w:cs="Arial"/>
          <w:kern w:val="2"/>
          <w:lang w:eastAsia="en-US"/>
          <w14:ligatures w14:val="standardContextual"/>
        </w:rPr>
      </w:pPr>
      <w:r w:rsidRPr="00D449EF">
        <w:rPr>
          <w:rFonts w:ascii="Arial" w:eastAsia="Aptos" w:hAnsi="Arial" w:cs="Arial"/>
          <w:bCs/>
          <w:kern w:val="2"/>
          <w:lang w:eastAsia="en-US"/>
          <w14:ligatures w14:val="standardContextual"/>
        </w:rPr>
        <w:t>The purpose of this chapter is to provide a broad, foundational understanding of the topic of this research. This will entail an exploration of the historical context of the issue, which includes the response to earlier global pandemics. Following this, a critical examination of several foundational theories that underpin the research area will feature in this chapter. This will include their application in existing research, and a critical appraisal of their effectiveness in this research area. A discussion the global context will follow, which will entail a review of the approaches taken by different regions or countries. Finally, this chapter will narrow the focus on the UK context to highlight how policy and regulation approached the issue.</w:t>
      </w:r>
    </w:p>
    <w:p w14:paraId="5001DBC0"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1" w:name="_Toc212476776"/>
      <w:r w:rsidRPr="00D449EF">
        <w:rPr>
          <w:rFonts w:ascii="Arial" w:eastAsiaTheme="majorEastAsia" w:hAnsi="Arial" w:cs="Arial"/>
          <w:b/>
          <w:bCs/>
          <w:color w:val="0F4761"/>
          <w:kern w:val="2"/>
          <w:lang w:eastAsia="zh-CN"/>
          <w14:ligatures w14:val="standardContextual"/>
        </w:rPr>
        <w:t>2.2 Historical Background</w:t>
      </w:r>
      <w:bookmarkEnd w:id="11"/>
    </w:p>
    <w:p w14:paraId="72583F72"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A recent systematic review by Preti et al. (2020) highlights that the psychological impact of pandemics on healthcare workers is not a novel phenomenon, though its systematic study is a relatively recent development in the field of occupational health. Historical accounts from the plague outbreaks to the 1918 influenza pandemic describe instances of profound distress and burnout among caregivers (Pollock et al., 2020). However, they were often viewed as an inevitable cost of duty rather than a condition that required formal intervention. The modern conceptualisation of this issue began to take shape following the </w:t>
      </w:r>
      <w:proofErr w:type="gramStart"/>
      <w:r w:rsidRPr="00D449EF">
        <w:rPr>
          <w:rFonts w:ascii="Arial" w:eastAsia="Aptos" w:hAnsi="Arial" w:cs="Arial"/>
          <w:bCs/>
          <w:kern w:val="2"/>
          <w:lang w:eastAsia="en-US"/>
          <w14:ligatures w14:val="standardContextual"/>
        </w:rPr>
        <w:t>Severe Acute Respiratory Syndrome</w:t>
      </w:r>
      <w:proofErr w:type="gramEnd"/>
      <w:r w:rsidRPr="00D449EF">
        <w:rPr>
          <w:rFonts w:ascii="Arial" w:eastAsia="Aptos" w:hAnsi="Arial" w:cs="Arial"/>
          <w:bCs/>
          <w:kern w:val="2"/>
          <w:lang w:eastAsia="en-US"/>
          <w14:ligatures w14:val="standardContextual"/>
        </w:rPr>
        <w:t xml:space="preserve"> (SARS) outbreak in 2003. According to Robins-Browne et al. (2022), it was detected as early as November 2002 in China, which was ultimately identified as a coronavirus at the end of February 2003. The disease would result in about 8,000 confirmed cases and 774 deaths by its end in 2004 (Robins-Browne et al., 2022). This event served as a critical milestone, as research from Canada and Hong Kong provided the first robust evidence of high rates of post-traumatic stress disorder (PTSD), depression, and anxiety among frontline staff (Zhu et al., 2020). Consequently, this established a clear link between infectious disease outbreaks and severe psychological sequelae.</w:t>
      </w:r>
    </w:p>
    <w:p w14:paraId="3E86EB6E"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The contributions of key organisations have been pivotal in shaping the response. The World Health Organization (WHO) coordinated the global investigation of the SARS outbreak with the help of the Global Outbreak Alert and Response Network (GOARN) </w:t>
      </w:r>
      <w:r w:rsidRPr="00D449EF">
        <w:rPr>
          <w:rFonts w:ascii="Arial" w:eastAsia="Aptos" w:hAnsi="Arial" w:cs="Arial"/>
          <w:bCs/>
          <w:kern w:val="2"/>
          <w:lang w:eastAsia="en-US"/>
          <w14:ligatures w14:val="standardContextual"/>
        </w:rPr>
        <w:lastRenderedPageBreak/>
        <w:t>and collaborated with health authorities in affected states to offer clinical, epidemiological, and logistical support (Robins-Browne et al., 2022). WHO (2025) later moved beyond purely clinical guidance and began to frame healthcare worker wellbeing as a fundamental component of pandemic preparedness. Their work emphasised that a mentally resilient health workforce was essential for an effective health system response (World Health Organization, 2025). In the UK, the National Health Service (NHS) began to develop its own internal frameworks, which was heavily influenced by the evidence from SARS (Pollock et al., 2020). The experience of the 2014-2016 Ebola outbreak in West Africa further solidified this understanding, with organisations like Public Health England and the Royal College of Psychiatrists highlighting the long-term psychological needs of returning aid workers (Rietveld et al., 2024). These events collectively shifted the paradigm, which demonstrated that the psychological impact of a pandemic could be as debilitating as the physical disease itself. This historical trajectory, from anecdotal reports to empirical research, laid the essential groundwork for anticipating and, to some extent, preparing for the mental health crisis among healthcare workers that would be unleashed by the COVID-19 pandemic. </w:t>
      </w:r>
    </w:p>
    <w:p w14:paraId="5902ADE8"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2" w:name="_Toc212476777"/>
      <w:r w:rsidRPr="00D449EF">
        <w:rPr>
          <w:rFonts w:ascii="Arial" w:eastAsiaTheme="majorEastAsia" w:hAnsi="Arial" w:cs="Arial"/>
          <w:b/>
          <w:bCs/>
          <w:color w:val="0F4761"/>
          <w:kern w:val="2"/>
          <w:lang w:eastAsia="zh-CN"/>
          <w14:ligatures w14:val="standardContextual"/>
        </w:rPr>
        <w:t>2.3 Theoretical Background</w:t>
      </w:r>
      <w:bookmarkEnd w:id="12"/>
      <w:r w:rsidRPr="00D449EF">
        <w:rPr>
          <w:rFonts w:ascii="Arial" w:eastAsiaTheme="majorEastAsia" w:hAnsi="Arial" w:cs="Arial"/>
          <w:b/>
          <w:bCs/>
          <w:color w:val="0F4761"/>
          <w:kern w:val="2"/>
          <w:lang w:eastAsia="zh-CN"/>
          <w14:ligatures w14:val="standardContextual"/>
        </w:rPr>
        <w:t xml:space="preserve"> </w:t>
      </w:r>
    </w:p>
    <w:p w14:paraId="56D67A0B"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bookmarkStart w:id="13" w:name="_Hlk212467646"/>
      <w:r w:rsidRPr="00D449EF">
        <w:rPr>
          <w:rFonts w:ascii="Arial" w:eastAsia="Aptos" w:hAnsi="Arial" w:cs="Arial"/>
          <w:bCs/>
          <w:kern w:val="2"/>
          <w:lang w:eastAsia="en-US"/>
          <w14:ligatures w14:val="standardContextual"/>
        </w:rPr>
        <w:t>Several key theories can facilitate a better understanding of the psychological impact of the COVID-19 pandemic on healthcare workers and their subsequent coping. One of these is the Job Demands-Resources (JD-R) model, which was introduced in 2001 (Li, Chen and Yuan, 2025). This theory posits that every occupation has its own specific risk factors associated with job strain, which can be categorised into job demands and job resources. The former refers to aspects of a job that demand sustained psychological or physical effort, while the latter are aspects that help reduce demands or achieve certain goals (Schaufeli and Taris, 2013). In the context of the pandemic, demands skyrocketed and included excessive workload, emotional burden of patient death, and fear of infection (Rietveld et al., 2024). Resources, such as organisational support, autonomy, and companionship, were often depleted. The JD-R model helps explain the burnout process, wherein chronic job demands exhaust employees’ mental and physical capacity, which leads to health impairments (Schaufeli and Taris, 2013).</w:t>
      </w:r>
    </w:p>
    <w:p w14:paraId="7D14CCE3"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lastRenderedPageBreak/>
        <w:t>Complementing this, the Conservation of Resources (COR) theory offers a powerful explanation for stress. COR theory suggests that individuals strive to obtain, retain, and protect their valued resources (Holmgreen et al., 2017). Stress occurs when these resources are threatened, lost, or when investment of resources does not yield the expected gains. In this regard, stress is perceived as a response to the threat or loss of resources, while the gain of resources can facilitate increased resilience and wellbeing (Holmgreen et al., 2017). For healthcare workers during COVID-19, resources such as time, energy, and a sense of safety were rapidly depleted, which created a cycle of loss spirals that led to significant psychological distress (Preti et al., 2020). Furthermore, the Social Support Theory, which is a middle-range theory that focuses on interactions and relationships and how they enhance health and wellbeing, is critical for understanding coping (Feeney and Collins, 2014). It posits that perceived and received support from supervisors, colleagues, friends, and family can buffer the negative effects of stress and promote resilience. Previous research, such as the study by Zhu et al. (2020) comparing severe acute respiratory infections caused by highly pathogenic human coronaviruses, has successfully applied these theories. This demonstrates that high social support is a key protective factor against PTSD and depression.</w:t>
      </w:r>
    </w:p>
    <w:p w14:paraId="220518F4"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However, these theories are undermined by unique limitations. The JD-R model, while comprehensive, can be critiqued for being overly broad (Li, Chen and Yuan, 2025). This makes it difficult to pinpoint which specific demands or resources are most critical in a crisis context. COR theory, whilst compelling, may underemphasise individual differences in resilience and the appraisal of resource loss (Holmgreen et al., 2017). A key debate in the literature surrounds the extent to which coping is an individual versus an organisational responsibility. Some models focus on building individual psychological resilience, while others argue this can lead to victim-blaming and that the primary onus must be on creating supportive systems and reducing pathogenic job demands (Rodríguez et al., 2019). This dissertation will critically engage with these debates and use these theories to analyse both the structural failures and the individual adaptive processes observed during the pandemic.</w:t>
      </w:r>
      <w:bookmarkEnd w:id="13"/>
    </w:p>
    <w:p w14:paraId="389AFF1D"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4" w:name="_Toc212476778"/>
      <w:r w:rsidRPr="00D449EF">
        <w:rPr>
          <w:rFonts w:ascii="Arial" w:eastAsiaTheme="majorEastAsia" w:hAnsi="Arial" w:cs="Arial"/>
          <w:b/>
          <w:bCs/>
          <w:color w:val="0F4761"/>
          <w:kern w:val="2"/>
          <w:lang w:eastAsia="zh-CN"/>
          <w14:ligatures w14:val="standardContextual"/>
        </w:rPr>
        <w:lastRenderedPageBreak/>
        <w:t>2.4 International Context</w:t>
      </w:r>
      <w:bookmarkEnd w:id="14"/>
    </w:p>
    <w:p w14:paraId="2D39D766"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The global response to the psychological wellbeing of healthcare workers during the COVID-19 pandemic revealed significant variation in approaches, which were shaped by cultural attitudes towards mental health, pre-existing health system structures, and state capacity. According to </w:t>
      </w: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xml:space="preserve"> and Drysdale (2022), the global prevalence of depression and anxiety rose by approximately 25% in the first year of the pandemic. In an effort to address the adverse impacts of existing health systems, a prominent international trend was the rapid deployment of digital mental health interventions (Reddy, 2022). Many countries, including the United States and China, established national helplines and online counselling platforms (</w:t>
      </w: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xml:space="preserve"> and Drysdale, 2022). They aimed to provide accessible and remote support, which represented a significant shift in mental healthcare delivery. According to </w:t>
      </w: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xml:space="preserve"> and Drysdale (2022), concerns about potential rises in mental health conditions had caused several countries to integrate mental health and psychosocial support in their COVID-19 response plans. However, its efficacy and reach remain a subject of ongoing evaluation.</w:t>
      </w:r>
    </w:p>
    <w:p w14:paraId="1F09320F"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 xml:space="preserve">A comparative analysis highlights distinct regional approaches. In many East Asian societies, such as Singapore and South Korea, a collectivist cultural ethos translated into top-down, government-led initiatives that provided systemic support (United Nations, 2020). This included mandatory rest periods and state-sponsored accommodation to protect healthcare workers’ families. Conversely, in some Western nations like the United States, responses were often more fragmented, with reliance on individual healthcare institutions and private insurance, which led to inconsistent support and highlighted pre-existing inequities in the system (United Nations, 2020). Italy’s experience serves as a particularly poignant case study. </w:t>
      </w:r>
      <w:proofErr w:type="spellStart"/>
      <w:r w:rsidRPr="00D449EF">
        <w:rPr>
          <w:rFonts w:ascii="Arial" w:eastAsia="Aptos" w:hAnsi="Arial" w:cs="Arial"/>
          <w:bCs/>
          <w:kern w:val="2"/>
          <w:lang w:eastAsia="en-US"/>
          <w14:ligatures w14:val="standardContextual"/>
        </w:rPr>
        <w:t>Vicarelli</w:t>
      </w:r>
      <w:proofErr w:type="spellEnd"/>
      <w:r w:rsidRPr="00D449EF">
        <w:rPr>
          <w:rFonts w:ascii="Arial" w:eastAsia="Aptos" w:hAnsi="Arial" w:cs="Arial"/>
          <w:bCs/>
          <w:kern w:val="2"/>
          <w:lang w:eastAsia="en-US"/>
          <w14:ligatures w14:val="standardContextual"/>
        </w:rPr>
        <w:t xml:space="preserve"> (2024) notes that as the first European epicentre, its health system was overwhelmed, and the profound psychological distress reported by its healthcare workers underscored the catastrophic consequences of being underprepared. Global initiatives, such as those coordinated by the World Health Organization, sought to foster international collaboration by sharing guidelines and resources (Reddy, 2022). However, the primary challenge encountered universally was the gap between policy and implementation (</w:t>
      </w: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xml:space="preserve"> and Drysdale, 2022). While many governments recognised the problem, the sustained, on-the-ground support often failed to match the scale of </w:t>
      </w:r>
      <w:r w:rsidRPr="00D449EF">
        <w:rPr>
          <w:rFonts w:ascii="Arial" w:eastAsia="Aptos" w:hAnsi="Arial" w:cs="Arial"/>
          <w:bCs/>
          <w:kern w:val="2"/>
          <w:lang w:eastAsia="en-US"/>
          <w14:ligatures w14:val="standardContextual"/>
        </w:rPr>
        <w:lastRenderedPageBreak/>
        <w:t>the need. This was particularly pronounced in low- and middle-income countries where health systems were already strained.</w:t>
      </w:r>
      <w:bookmarkStart w:id="15" w:name="_Hlk212467708"/>
    </w:p>
    <w:p w14:paraId="3ED2204C"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6" w:name="_Toc212476779"/>
      <w:bookmarkEnd w:id="15"/>
      <w:r w:rsidRPr="00D449EF">
        <w:rPr>
          <w:rFonts w:ascii="Arial" w:eastAsiaTheme="majorEastAsia" w:hAnsi="Arial" w:cs="Arial"/>
          <w:b/>
          <w:bCs/>
          <w:color w:val="0F4761"/>
          <w:kern w:val="2"/>
          <w:lang w:eastAsia="zh-CN"/>
          <w14:ligatures w14:val="standardContextual"/>
        </w:rPr>
        <w:t>2.5 National/Local UK Context</w:t>
      </w:r>
      <w:bookmarkEnd w:id="16"/>
    </w:p>
    <w:p w14:paraId="1E2DDBF4"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Within the United Kingdom, the psychological impact of COVID-19 on healthcare workers became a subject of intense public and political discourse, which placed an unprecedented focus on the mental wellbeing of the NHS workforce. At the national level, the response was spearheaded by NHS England and the Department of Health and Social Care, operating within the overarching framework of the NHS Long Term Plan, which had already committed to improving staff mental health (</w:t>
      </w:r>
      <w:proofErr w:type="spellStart"/>
      <w:r w:rsidRPr="00D449EF">
        <w:rPr>
          <w:rFonts w:ascii="Arial" w:eastAsia="Aptos" w:hAnsi="Arial" w:cs="Arial"/>
          <w:bCs/>
          <w:kern w:val="2"/>
          <w:lang w:eastAsia="en-US"/>
          <w14:ligatures w14:val="standardContextual"/>
        </w:rPr>
        <w:t>Llop-Gironés</w:t>
      </w:r>
      <w:proofErr w:type="spellEnd"/>
      <w:r w:rsidRPr="00D449EF">
        <w:rPr>
          <w:rFonts w:ascii="Arial" w:eastAsia="Aptos" w:hAnsi="Arial" w:cs="Arial"/>
          <w:bCs/>
          <w:kern w:val="2"/>
          <w:lang w:eastAsia="en-US"/>
          <w14:ligatures w14:val="standardContextual"/>
        </w:rPr>
        <w:t> et al., 2021). Key national initiatives included the establishment of the NHS People Plan and the rapid rollout of a comprehensive mental health support service, which incorporated a dedicated helpline and text service, alongside the creation of specialist mental health hubs across England (Delaney et al., 2021). These policies were designed to provide a structured, national-level safety net for all NHS staff.</w:t>
      </w:r>
    </w:p>
    <w:p w14:paraId="605BD909"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However, the implementation and experience of these supports revealed significant variations at the local level. The devolved administrations in Scotland, Wales, and Northern Ireland operated their own slightly differentiated strategies, which reflected local priorities. For instance, Scotland’s ‘National Wellbeing Hub’ was launched as a centralised resource for all health and social care staff (British Medical Association, 2022). At the trust level, the picture was even more diverse. Some NHS trusts developed robust, in-house psychological support teams and proactive wellbeing programmes, while others, often those in regions hardest hit by the pandemic or with pre-existing resource constraints, struggled to provide more than the basic national offer (British Medical Association, 2022). Local initiatives also flourished, which were often driven by third-sector organisations and professional bodies like the British Medical Association and the Royal College of Nursing, which provided additional resources and advocacy (Pollock et al., 2020). A key challenge across the UK has been the stigma associated with seeking mental health support, which was a significant barrier that national campaigns sought to overcome (British Medical Association, 2022). The enduring legacy is a complex mix of national policy intent and variable local delivery against a backdrop of regional disparities in both pandemic pressure and pre-existing mental health service provision.</w:t>
      </w:r>
    </w:p>
    <w:p w14:paraId="3EA20D5B" w14:textId="77777777" w:rsidR="00D449EF" w:rsidRPr="00D449EF" w:rsidRDefault="00D449EF" w:rsidP="00D449EF">
      <w:pPr>
        <w:keepNext/>
        <w:keepLines/>
        <w:spacing w:before="240" w:line="360" w:lineRule="auto"/>
        <w:jc w:val="both"/>
        <w:outlineLvl w:val="1"/>
        <w:rPr>
          <w:rFonts w:ascii="Arial" w:eastAsiaTheme="majorEastAsia" w:hAnsi="Arial" w:cs="Arial"/>
          <w:b/>
          <w:bCs/>
          <w:color w:val="2F5496" w:themeColor="accent1" w:themeShade="BF"/>
          <w:kern w:val="2"/>
          <w:lang w:eastAsia="zh-CN"/>
          <w14:ligatures w14:val="standardContextual"/>
        </w:rPr>
      </w:pPr>
      <w:bookmarkStart w:id="17" w:name="_Toc212476780"/>
      <w:r w:rsidRPr="00D449EF">
        <w:rPr>
          <w:rFonts w:ascii="Arial" w:eastAsiaTheme="majorEastAsia" w:hAnsi="Arial" w:cs="Arial"/>
          <w:b/>
          <w:bCs/>
          <w:color w:val="0F4761"/>
          <w:kern w:val="2"/>
          <w:lang w:eastAsia="zh-CN"/>
          <w14:ligatures w14:val="standardContextual"/>
        </w:rPr>
        <w:lastRenderedPageBreak/>
        <w:t>2.6 Conclusion</w:t>
      </w:r>
      <w:bookmarkEnd w:id="17"/>
    </w:p>
    <w:p w14:paraId="69E722CA" w14:textId="77777777" w:rsidR="00D449EF" w:rsidRPr="00D449EF" w:rsidRDefault="00D449EF" w:rsidP="00D449EF">
      <w:pPr>
        <w:spacing w:before="240" w:line="360" w:lineRule="auto"/>
        <w:textAlignment w:val="baseline"/>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This chapter has established the foundational contexts for exploring the psychological impact of COVID-19 on UK healthcare workers. Historically, the psychological toll of pandemics has evolved from an accepted occupational hazard to a formally recognised issue, which was shaped crucially by prior outbreaks like SARS and Ebola. Theoretically, frameworks such as the Job Demands-Resources and Conservation of Resources theories provide critical lenses for understanding the stressors and coping mechanisms involved, while also revealing debates on individual versus organisational responsibility. Internationally, responses varied significantly, from the collectivist, state-led approaches in East Asia to the more fragmented systems in the United States. This highlights a universal challenge in translating policy into effective support. Within the UK, a complex interplay of national initiatives, such as the NHS People Plan, and variable local implementation revealed regional disparities and the persistent barrier of stigma.</w:t>
      </w:r>
    </w:p>
    <w:p w14:paraId="632E8B34" w14:textId="77777777" w:rsidR="00D449EF" w:rsidRPr="00D449EF" w:rsidRDefault="00D449EF" w:rsidP="00D449EF">
      <w:pPr>
        <w:spacing w:before="240" w:line="360" w:lineRule="auto"/>
        <w:textAlignment w:val="baseline"/>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Having established this comprehensive background, the subsequent chapter will detail the Methods and Search Strategy. It will outline the systematic approach undertaken to identify, select, and critically appraise the relevant academic literature that informs this dissertation's analysis.</w:t>
      </w:r>
    </w:p>
    <w:p w14:paraId="016D284B" w14:textId="77777777" w:rsidR="00D449EF" w:rsidRPr="00D449EF" w:rsidRDefault="00D449EF" w:rsidP="00D449EF">
      <w:pPr>
        <w:spacing w:before="240" w:line="360" w:lineRule="auto"/>
        <w:rPr>
          <w:rFonts w:ascii="Arial" w:eastAsiaTheme="majorEastAsia" w:hAnsi="Arial" w:cs="Arial"/>
          <w:b/>
          <w:bCs/>
          <w:color w:val="2F5496" w:themeColor="accent1" w:themeShade="BF"/>
          <w:kern w:val="2"/>
          <w:lang w:eastAsia="zh-CN"/>
          <w14:ligatures w14:val="standardContextual"/>
        </w:rPr>
      </w:pPr>
      <w:r w:rsidRPr="00D449EF">
        <w:rPr>
          <w:rFonts w:ascii="Arial" w:eastAsiaTheme="majorEastAsia" w:hAnsi="Arial" w:cs="Arial"/>
          <w:b/>
          <w:bCs/>
          <w:color w:val="2F5496" w:themeColor="accent1" w:themeShade="BF"/>
          <w:kern w:val="2"/>
          <w:lang w:eastAsia="zh-CN"/>
          <w14:ligatures w14:val="standardContextual"/>
        </w:rPr>
        <w:br w:type="page"/>
      </w:r>
    </w:p>
    <w:p w14:paraId="2309213A" w14:textId="53AF6949" w:rsidR="00D449EF" w:rsidRPr="00D449EF" w:rsidRDefault="00D449EF" w:rsidP="00D449EF">
      <w:pPr>
        <w:keepNext/>
        <w:keepLines/>
        <w:spacing w:before="240" w:line="360" w:lineRule="auto"/>
        <w:jc w:val="center"/>
        <w:outlineLvl w:val="1"/>
        <w:rPr>
          <w:rFonts w:ascii="Arial" w:eastAsiaTheme="majorEastAsia" w:hAnsi="Arial" w:cs="Arial"/>
          <w:b/>
          <w:bCs/>
          <w:color w:val="2F5496" w:themeColor="accent1" w:themeShade="BF"/>
          <w:kern w:val="2"/>
          <w:lang w:eastAsia="zh-CN"/>
          <w14:ligatures w14:val="standardContextual"/>
        </w:rPr>
      </w:pPr>
      <w:r w:rsidRPr="00D449EF">
        <w:rPr>
          <w:rFonts w:ascii="Arial" w:eastAsiaTheme="majorEastAsia" w:hAnsi="Arial" w:cs="Arial"/>
          <w:b/>
          <w:bCs/>
          <w:color w:val="2F5496" w:themeColor="accent1" w:themeShade="BF"/>
          <w:kern w:val="2"/>
          <w:lang w:eastAsia="zh-CN"/>
          <w14:ligatures w14:val="standardContextual"/>
        </w:rPr>
        <w:lastRenderedPageBreak/>
        <w:t>References</w:t>
      </w:r>
    </w:p>
    <w:p w14:paraId="304C6093"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British Medical Association (2022) </w:t>
      </w:r>
      <w:r w:rsidRPr="00D449EF">
        <w:rPr>
          <w:rFonts w:ascii="Arial" w:eastAsia="Aptos" w:hAnsi="Arial" w:cs="Arial"/>
          <w:bCs/>
          <w:i/>
          <w:iCs/>
          <w:kern w:val="2"/>
          <w:lang w:eastAsia="en-US"/>
          <w14:ligatures w14:val="standardContextual"/>
        </w:rPr>
        <w:t>The public health response by UK governments to COVID-19</w:t>
      </w:r>
      <w:r w:rsidRPr="00D449EF">
        <w:rPr>
          <w:rFonts w:ascii="Arial" w:eastAsia="Aptos" w:hAnsi="Arial" w:cs="Arial"/>
          <w:bCs/>
          <w:kern w:val="2"/>
          <w:lang w:eastAsia="en-US"/>
          <w14:ligatures w14:val="standardContextual"/>
        </w:rPr>
        <w:t>. Available at: </w:t>
      </w:r>
      <w:hyperlink r:id="rId8" w:tgtFrame="_blank" w:history="1">
        <w:r w:rsidRPr="00D449EF">
          <w:rPr>
            <w:rFonts w:ascii="Arial" w:eastAsia="Aptos" w:hAnsi="Arial" w:cs="Arial"/>
            <w:bCs/>
            <w:color w:val="0000FF"/>
            <w:kern w:val="2"/>
            <w:u w:val="single"/>
            <w:lang w:eastAsia="en-US"/>
            <w14:ligatures w14:val="standardContextual"/>
          </w:rPr>
          <w:t>https://www.bma.org.uk/media/5980/bma-covid-review-report-4-28-july-2022.pdf</w:t>
        </w:r>
      </w:hyperlink>
    </w:p>
    <w:p w14:paraId="7D21AB36"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proofErr w:type="spellStart"/>
      <w:r w:rsidRPr="00D449EF">
        <w:rPr>
          <w:rFonts w:ascii="Arial" w:eastAsia="Aptos" w:hAnsi="Arial" w:cs="Arial"/>
          <w:bCs/>
          <w:kern w:val="2"/>
          <w:lang w:eastAsia="en-US"/>
          <w14:ligatures w14:val="standardContextual"/>
        </w:rPr>
        <w:t>Brunier</w:t>
      </w:r>
      <w:proofErr w:type="spellEnd"/>
      <w:r w:rsidRPr="00D449EF">
        <w:rPr>
          <w:rFonts w:ascii="Arial" w:eastAsia="Aptos" w:hAnsi="Arial" w:cs="Arial"/>
          <w:bCs/>
          <w:kern w:val="2"/>
          <w:lang w:eastAsia="en-US"/>
          <w14:ligatures w14:val="standardContextual"/>
        </w:rPr>
        <w:t>, A. and Drysdale, C. (2022) </w:t>
      </w:r>
      <w:r w:rsidRPr="00D449EF">
        <w:rPr>
          <w:rFonts w:ascii="Arial" w:eastAsia="Aptos" w:hAnsi="Arial" w:cs="Arial"/>
          <w:bCs/>
          <w:i/>
          <w:iCs/>
          <w:kern w:val="2"/>
          <w:lang w:eastAsia="en-US"/>
          <w14:ligatures w14:val="standardContextual"/>
        </w:rPr>
        <w:t>COVID-19 pandemic triggers 25% increase in prevalence of anxiety and depression worldwide</w:t>
      </w:r>
      <w:r w:rsidRPr="00D449EF">
        <w:rPr>
          <w:rFonts w:ascii="Arial" w:eastAsia="Aptos" w:hAnsi="Arial" w:cs="Arial"/>
          <w:bCs/>
          <w:kern w:val="2"/>
          <w:lang w:eastAsia="en-US"/>
          <w14:ligatures w14:val="standardContextual"/>
        </w:rPr>
        <w:t>. Available at: </w:t>
      </w:r>
      <w:hyperlink r:id="rId9" w:tgtFrame="_blank" w:history="1">
        <w:r w:rsidRPr="00D449EF">
          <w:rPr>
            <w:rFonts w:ascii="Arial" w:eastAsia="Aptos" w:hAnsi="Arial" w:cs="Arial"/>
            <w:bCs/>
            <w:color w:val="0000FF"/>
            <w:kern w:val="2"/>
            <w:u w:val="single"/>
            <w:lang w:eastAsia="en-US"/>
            <w14:ligatures w14:val="standardContextual"/>
          </w:rPr>
          <w:t>https://www.who.int/news/item/02-03-2022-covid-19-pandemic-triggers-25-increase-in-prevalence-of-anxiety-and-depression-worldwide</w:t>
        </w:r>
      </w:hyperlink>
      <w:r w:rsidRPr="00D449EF">
        <w:rPr>
          <w:rFonts w:ascii="Arial" w:eastAsia="Aptos" w:hAnsi="Arial" w:cs="Arial"/>
          <w:bCs/>
          <w:kern w:val="2"/>
          <w:lang w:eastAsia="en-US"/>
          <w14:ligatures w14:val="standardContextual"/>
        </w:rPr>
        <w:t> (Accessed: 27 October 2025).</w:t>
      </w:r>
    </w:p>
    <w:p w14:paraId="0FB21F38"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Côté, D.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 ‘A rapid scoping review of COVID</w:t>
      </w:r>
      <w:r w:rsidRPr="00D449EF">
        <w:rPr>
          <w:rFonts w:ascii="Cambria Math" w:eastAsia="Aptos" w:hAnsi="Cambria Math" w:cs="Cambria Math"/>
          <w:bCs/>
          <w:kern w:val="2"/>
          <w:lang w:eastAsia="en-US"/>
          <w14:ligatures w14:val="standardContextual"/>
        </w:rPr>
        <w:t>‐</w:t>
      </w:r>
      <w:r w:rsidRPr="00D449EF">
        <w:rPr>
          <w:rFonts w:ascii="Arial" w:eastAsia="Aptos" w:hAnsi="Arial" w:cs="Arial"/>
          <w:bCs/>
          <w:kern w:val="2"/>
          <w:lang w:eastAsia="en-US"/>
          <w14:ligatures w14:val="standardContextual"/>
        </w:rPr>
        <w:t>19 and vulnerable workers: intersecting occupational and public health issues’, </w:t>
      </w:r>
      <w:r w:rsidRPr="00D449EF">
        <w:rPr>
          <w:rFonts w:ascii="Arial" w:eastAsia="Aptos" w:hAnsi="Arial" w:cs="Arial"/>
          <w:bCs/>
          <w:i/>
          <w:iCs/>
          <w:kern w:val="2"/>
          <w:lang w:eastAsia="en-US"/>
          <w14:ligatures w14:val="standardContextual"/>
        </w:rPr>
        <w:t>American Journal of Industrial Medicine</w:t>
      </w:r>
      <w:r w:rsidRPr="00D449EF">
        <w:rPr>
          <w:rFonts w:ascii="Arial" w:eastAsia="Aptos" w:hAnsi="Arial" w:cs="Arial"/>
          <w:bCs/>
          <w:kern w:val="2"/>
          <w:lang w:eastAsia="en-US"/>
          <w14:ligatures w14:val="standardContextual"/>
        </w:rPr>
        <w:t>, 64(7), pp. 551–566. Available at: </w:t>
      </w:r>
      <w:hyperlink r:id="rId10" w:tgtFrame="_blank" w:history="1">
        <w:r w:rsidRPr="00D449EF">
          <w:rPr>
            <w:rFonts w:ascii="Arial" w:eastAsia="Aptos" w:hAnsi="Arial" w:cs="Arial"/>
            <w:bCs/>
            <w:color w:val="467886"/>
            <w:kern w:val="2"/>
            <w:u w:val="single"/>
            <w:lang w:eastAsia="en-US"/>
            <w14:ligatures w14:val="standardContextual"/>
          </w:rPr>
          <w:t>https://doi.org/10.1002/ajim.23256</w:t>
        </w:r>
      </w:hyperlink>
    </w:p>
    <w:p w14:paraId="3F6470B3"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Delaney, R. K.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 ‘Experiences of a health system’s faculty, staff, and trainees’ career development, work culture, and childcare needs during the COVID-19 pandemic’, </w:t>
      </w:r>
      <w:r w:rsidRPr="00D449EF">
        <w:rPr>
          <w:rFonts w:ascii="Arial" w:eastAsia="Aptos" w:hAnsi="Arial" w:cs="Arial"/>
          <w:bCs/>
          <w:i/>
          <w:iCs/>
          <w:kern w:val="2"/>
          <w:lang w:eastAsia="en-US"/>
          <w14:ligatures w14:val="standardContextual"/>
        </w:rPr>
        <w:t>JAMA Network Open</w:t>
      </w:r>
      <w:r w:rsidRPr="00D449EF">
        <w:rPr>
          <w:rFonts w:ascii="Arial" w:eastAsia="Aptos" w:hAnsi="Arial" w:cs="Arial"/>
          <w:bCs/>
          <w:kern w:val="2"/>
          <w:lang w:eastAsia="en-US"/>
          <w14:ligatures w14:val="standardContextual"/>
        </w:rPr>
        <w:t>, 4(4), p. e213997. Available at: </w:t>
      </w:r>
      <w:hyperlink r:id="rId11" w:tgtFrame="_blank" w:history="1">
        <w:r w:rsidRPr="00D449EF">
          <w:rPr>
            <w:rFonts w:ascii="Arial" w:eastAsia="Aptos" w:hAnsi="Arial" w:cs="Arial"/>
            <w:bCs/>
            <w:color w:val="467886"/>
            <w:kern w:val="2"/>
            <w:u w:val="single"/>
            <w:lang w:eastAsia="en-US"/>
            <w14:ligatures w14:val="standardContextual"/>
          </w:rPr>
          <w:t>https://doi.org/10.1001/jamanetworkopen.2021.3997</w:t>
        </w:r>
      </w:hyperlink>
    </w:p>
    <w:p w14:paraId="0B445634"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Falatah, R. (2021) ‘The impact of the coronavirus disease (COVID-19) pandemic on nurses’ turnover intention: an integrative review’, </w:t>
      </w:r>
      <w:r w:rsidRPr="00D449EF">
        <w:rPr>
          <w:rFonts w:ascii="Arial" w:eastAsia="Aptos" w:hAnsi="Arial" w:cs="Arial"/>
          <w:bCs/>
          <w:i/>
          <w:iCs/>
          <w:kern w:val="2"/>
          <w:lang w:eastAsia="en-US"/>
          <w14:ligatures w14:val="standardContextual"/>
        </w:rPr>
        <w:t>Nursing Reports</w:t>
      </w:r>
      <w:r w:rsidRPr="00D449EF">
        <w:rPr>
          <w:rFonts w:ascii="Arial" w:eastAsia="Aptos" w:hAnsi="Arial" w:cs="Arial"/>
          <w:bCs/>
          <w:kern w:val="2"/>
          <w:lang w:eastAsia="en-US"/>
          <w14:ligatures w14:val="standardContextual"/>
        </w:rPr>
        <w:t>, 11(4), pp. 787–810. Available at: </w:t>
      </w:r>
      <w:hyperlink r:id="rId12" w:tgtFrame="_blank" w:history="1">
        <w:r w:rsidRPr="00D449EF">
          <w:rPr>
            <w:rFonts w:ascii="Arial" w:eastAsia="Aptos" w:hAnsi="Arial" w:cs="Arial"/>
            <w:bCs/>
            <w:color w:val="467886"/>
            <w:kern w:val="2"/>
            <w:u w:val="single"/>
            <w:lang w:eastAsia="en-US"/>
            <w14:ligatures w14:val="standardContextual"/>
          </w:rPr>
          <w:t>https://doi.org/10.3390/nursrep11040075</w:t>
        </w:r>
      </w:hyperlink>
    </w:p>
    <w:p w14:paraId="57ABADD4"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Feeney, B. C. and Collins, N. L. (2014) ‘A new look at social support’, </w:t>
      </w:r>
      <w:r w:rsidRPr="00D449EF">
        <w:rPr>
          <w:rFonts w:ascii="Arial" w:eastAsia="Aptos" w:hAnsi="Arial" w:cs="Arial"/>
          <w:bCs/>
          <w:i/>
          <w:iCs/>
          <w:kern w:val="2"/>
          <w:lang w:eastAsia="en-US"/>
          <w14:ligatures w14:val="standardContextual"/>
        </w:rPr>
        <w:t>Personality and Social Psychology Review</w:t>
      </w:r>
      <w:r w:rsidRPr="00D449EF">
        <w:rPr>
          <w:rFonts w:ascii="Arial" w:eastAsia="Aptos" w:hAnsi="Arial" w:cs="Arial"/>
          <w:bCs/>
          <w:kern w:val="2"/>
          <w:lang w:eastAsia="en-US"/>
          <w14:ligatures w14:val="standardContextual"/>
        </w:rPr>
        <w:t>, 19(2), pp. 113–147. Available at: </w:t>
      </w:r>
      <w:hyperlink r:id="rId13" w:tgtFrame="_blank" w:history="1">
        <w:r w:rsidRPr="00D449EF">
          <w:rPr>
            <w:rFonts w:ascii="Arial" w:eastAsia="Aptos" w:hAnsi="Arial" w:cs="Arial"/>
            <w:bCs/>
            <w:color w:val="0000FF"/>
            <w:kern w:val="2"/>
            <w:u w:val="single"/>
            <w:lang w:eastAsia="en-US"/>
            <w14:ligatures w14:val="standardContextual"/>
          </w:rPr>
          <w:t>https://doi.org/10.1177/1088868314544222</w:t>
        </w:r>
      </w:hyperlink>
    </w:p>
    <w:p w14:paraId="70388CE8"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Hao, Y.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 ‘The origins of COVID</w:t>
      </w:r>
      <w:r w:rsidRPr="00D449EF">
        <w:rPr>
          <w:rFonts w:ascii="Cambria Math" w:eastAsia="Aptos" w:hAnsi="Cambria Math" w:cs="Cambria Math"/>
          <w:bCs/>
          <w:kern w:val="2"/>
          <w:lang w:eastAsia="en-US"/>
          <w14:ligatures w14:val="standardContextual"/>
        </w:rPr>
        <w:t>‐</w:t>
      </w:r>
      <w:r w:rsidRPr="00D449EF">
        <w:rPr>
          <w:rFonts w:ascii="Arial" w:eastAsia="Aptos" w:hAnsi="Arial" w:cs="Arial"/>
          <w:bCs/>
          <w:kern w:val="2"/>
          <w:lang w:eastAsia="en-US"/>
          <w14:ligatures w14:val="standardContextual"/>
        </w:rPr>
        <w:t>19 pandemic: a brief overview’, </w:t>
      </w:r>
      <w:r w:rsidRPr="00D449EF">
        <w:rPr>
          <w:rFonts w:ascii="Arial" w:eastAsia="Aptos" w:hAnsi="Arial" w:cs="Arial"/>
          <w:bCs/>
          <w:i/>
          <w:iCs/>
          <w:kern w:val="2"/>
          <w:lang w:eastAsia="en-US"/>
          <w14:ligatures w14:val="standardContextual"/>
        </w:rPr>
        <w:t>Transboundary and Emerging Diseases</w:t>
      </w:r>
      <w:r w:rsidRPr="00D449EF">
        <w:rPr>
          <w:rFonts w:ascii="Arial" w:eastAsia="Aptos" w:hAnsi="Arial" w:cs="Arial"/>
          <w:bCs/>
          <w:kern w:val="2"/>
          <w:lang w:eastAsia="en-US"/>
          <w14:ligatures w14:val="standardContextual"/>
        </w:rPr>
        <w:t>, (11 October). Available at: </w:t>
      </w:r>
      <w:hyperlink r:id="rId14" w:tgtFrame="_blank" w:history="1">
        <w:r w:rsidRPr="00D449EF">
          <w:rPr>
            <w:rFonts w:ascii="Arial" w:eastAsia="Aptos" w:hAnsi="Arial" w:cs="Arial"/>
            <w:bCs/>
            <w:color w:val="467886"/>
            <w:kern w:val="2"/>
            <w:u w:val="single"/>
            <w:lang w:eastAsia="en-US"/>
            <w14:ligatures w14:val="standardContextual"/>
          </w:rPr>
          <w:t>https://doi.org/10.1111/tbed.14732</w:t>
        </w:r>
      </w:hyperlink>
    </w:p>
    <w:p w14:paraId="448299E4"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Holmgreen, L.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(2017) ‘Conservation of resources theory’, in </w:t>
      </w:r>
      <w:proofErr w:type="gramStart"/>
      <w:r w:rsidRPr="00D449EF">
        <w:rPr>
          <w:rFonts w:ascii="Arial" w:eastAsia="Aptos" w:hAnsi="Arial" w:cs="Arial"/>
          <w:bCs/>
          <w:i/>
          <w:iCs/>
          <w:kern w:val="2"/>
          <w:lang w:eastAsia="en-US"/>
          <w14:ligatures w14:val="standardContextual"/>
        </w:rPr>
        <w:t>The</w:t>
      </w:r>
      <w:proofErr w:type="gramEnd"/>
      <w:r w:rsidRPr="00D449EF">
        <w:rPr>
          <w:rFonts w:ascii="Arial" w:eastAsia="Aptos" w:hAnsi="Arial" w:cs="Arial"/>
          <w:bCs/>
          <w:i/>
          <w:iCs/>
          <w:kern w:val="2"/>
          <w:lang w:eastAsia="en-US"/>
          <w14:ligatures w14:val="standardContextual"/>
        </w:rPr>
        <w:t xml:space="preserve"> handbook of stress and health</w:t>
      </w:r>
      <w:r w:rsidRPr="00D449EF">
        <w:rPr>
          <w:rFonts w:ascii="Arial" w:eastAsia="Aptos" w:hAnsi="Arial" w:cs="Arial"/>
          <w:bCs/>
          <w:kern w:val="2"/>
          <w:lang w:eastAsia="en-US"/>
          <w14:ligatures w14:val="standardContextual"/>
        </w:rPr>
        <w:t>. Available at: </w:t>
      </w:r>
      <w:hyperlink r:id="rId15" w:tgtFrame="_blank" w:history="1">
        <w:r w:rsidRPr="00D449EF">
          <w:rPr>
            <w:rFonts w:ascii="Arial" w:eastAsia="Aptos" w:hAnsi="Arial" w:cs="Arial"/>
            <w:bCs/>
            <w:color w:val="0000FF"/>
            <w:kern w:val="2"/>
            <w:u w:val="single"/>
            <w:lang w:eastAsia="en-US"/>
            <w14:ligatures w14:val="standardContextual"/>
          </w:rPr>
          <w:t>https://doi.org/10.1002/9781118993811.ch27</w:t>
        </w:r>
      </w:hyperlink>
    </w:p>
    <w:p w14:paraId="6156922C"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lastRenderedPageBreak/>
        <w:t>Li, Y., Chen, C. and Yuan, Y. (2025) ‘Evolving the job demands-resources framework to JD-R 3.0: the impact of after-hours connectivity and organizational support on employee psychological distress’, </w:t>
      </w:r>
      <w:r w:rsidRPr="00D449EF">
        <w:rPr>
          <w:rFonts w:ascii="Arial" w:eastAsia="Aptos" w:hAnsi="Arial" w:cs="Arial"/>
          <w:bCs/>
          <w:i/>
          <w:iCs/>
          <w:kern w:val="2"/>
          <w:lang w:eastAsia="en-US"/>
          <w14:ligatures w14:val="standardContextual"/>
        </w:rPr>
        <w:t xml:space="preserve">Acta </w:t>
      </w:r>
      <w:proofErr w:type="spellStart"/>
      <w:r w:rsidRPr="00D449EF">
        <w:rPr>
          <w:rFonts w:ascii="Arial" w:eastAsia="Aptos" w:hAnsi="Arial" w:cs="Arial"/>
          <w:bCs/>
          <w:i/>
          <w:iCs/>
          <w:kern w:val="2"/>
          <w:lang w:eastAsia="en-US"/>
          <w14:ligatures w14:val="standardContextual"/>
        </w:rPr>
        <w:t>Psychologica</w:t>
      </w:r>
      <w:proofErr w:type="spellEnd"/>
      <w:r w:rsidRPr="00D449EF">
        <w:rPr>
          <w:rFonts w:ascii="Arial" w:eastAsia="Aptos" w:hAnsi="Arial" w:cs="Arial"/>
          <w:bCs/>
          <w:kern w:val="2"/>
          <w:lang w:eastAsia="en-US"/>
          <w14:ligatures w14:val="standardContextual"/>
        </w:rPr>
        <w:t>, 253(March), p. 104710. Available at: </w:t>
      </w:r>
      <w:hyperlink r:id="rId16" w:tgtFrame="_blank" w:history="1">
        <w:r w:rsidRPr="00D449EF">
          <w:rPr>
            <w:rFonts w:ascii="Arial" w:eastAsia="Aptos" w:hAnsi="Arial" w:cs="Arial"/>
            <w:bCs/>
            <w:color w:val="0000FF"/>
            <w:kern w:val="2"/>
            <w:u w:val="single"/>
            <w:lang w:eastAsia="en-US"/>
            <w14:ligatures w14:val="standardContextual"/>
          </w:rPr>
          <w:t>https://doi.org/10.1016/j.actpsy.2025.104710</w:t>
        </w:r>
      </w:hyperlink>
    </w:p>
    <w:p w14:paraId="513293BA"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proofErr w:type="spellStart"/>
      <w:r w:rsidRPr="00D449EF">
        <w:rPr>
          <w:rFonts w:ascii="Arial" w:eastAsia="Aptos" w:hAnsi="Arial" w:cs="Arial"/>
          <w:bCs/>
          <w:kern w:val="2"/>
          <w:lang w:eastAsia="en-US"/>
          <w14:ligatures w14:val="standardContextual"/>
        </w:rPr>
        <w:t>Llop-Gironés</w:t>
      </w:r>
      <w:proofErr w:type="spellEnd"/>
      <w:r w:rsidRPr="00D449EF">
        <w:rPr>
          <w:rFonts w:ascii="Arial" w:eastAsia="Aptos" w:hAnsi="Arial" w:cs="Arial"/>
          <w:bCs/>
          <w:kern w:val="2"/>
          <w:lang w:eastAsia="en-US"/>
          <w14:ligatures w14:val="standardContextual"/>
        </w:rPr>
        <w:t>, A.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(2021) ‘Employment and working conditions of nurses: where and how health inequalities have increased during the COVID-19 pandemic?’, </w:t>
      </w:r>
      <w:r w:rsidRPr="00D449EF">
        <w:rPr>
          <w:rFonts w:ascii="Arial" w:eastAsia="Aptos" w:hAnsi="Arial" w:cs="Arial"/>
          <w:bCs/>
          <w:i/>
          <w:iCs/>
          <w:kern w:val="2"/>
          <w:lang w:eastAsia="en-US"/>
          <w14:ligatures w14:val="standardContextual"/>
        </w:rPr>
        <w:t>Human Resources for Health</w:t>
      </w:r>
      <w:r w:rsidRPr="00D449EF">
        <w:rPr>
          <w:rFonts w:ascii="Arial" w:eastAsia="Aptos" w:hAnsi="Arial" w:cs="Arial"/>
          <w:bCs/>
          <w:kern w:val="2"/>
          <w:lang w:eastAsia="en-US"/>
          <w14:ligatures w14:val="standardContextual"/>
        </w:rPr>
        <w:t>, 19(1). Available at: </w:t>
      </w:r>
      <w:hyperlink r:id="rId17" w:tgtFrame="_blank" w:history="1">
        <w:r w:rsidRPr="00D449EF">
          <w:rPr>
            <w:rFonts w:ascii="Arial" w:eastAsia="Aptos" w:hAnsi="Arial" w:cs="Arial"/>
            <w:bCs/>
            <w:color w:val="467886"/>
            <w:kern w:val="2"/>
            <w:u w:val="single"/>
            <w:lang w:eastAsia="en-US"/>
            <w14:ligatures w14:val="standardContextual"/>
          </w:rPr>
          <w:t>https://doi.org/10.1186/s12960-021-00651-7</w:t>
        </w:r>
      </w:hyperlink>
    </w:p>
    <w:p w14:paraId="1C5A1612"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NHS Professionals (2025) </w:t>
      </w:r>
      <w:r w:rsidRPr="00D449EF">
        <w:rPr>
          <w:rFonts w:ascii="Arial" w:eastAsia="Aptos" w:hAnsi="Arial" w:cs="Arial"/>
          <w:bCs/>
          <w:i/>
          <w:iCs/>
          <w:kern w:val="2"/>
          <w:lang w:eastAsia="en-US"/>
          <w14:ligatures w14:val="standardContextual"/>
        </w:rPr>
        <w:t>Healthcare support worker or healthcare assistant</w:t>
      </w:r>
      <w:r w:rsidRPr="00D449EF">
        <w:rPr>
          <w:rFonts w:ascii="Arial" w:eastAsia="Aptos" w:hAnsi="Arial" w:cs="Arial"/>
          <w:bCs/>
          <w:kern w:val="2"/>
          <w:lang w:eastAsia="en-US"/>
          <w14:ligatures w14:val="standardContextual"/>
        </w:rPr>
        <w:t>. Available at: </w:t>
      </w:r>
      <w:hyperlink r:id="rId18" w:tgtFrame="_blank" w:history="1">
        <w:r w:rsidRPr="00D449EF">
          <w:rPr>
            <w:rFonts w:ascii="Arial" w:eastAsia="Aptos" w:hAnsi="Arial" w:cs="Arial"/>
            <w:bCs/>
            <w:color w:val="467886"/>
            <w:kern w:val="2"/>
            <w:u w:val="single"/>
            <w:lang w:eastAsia="en-US"/>
            <w14:ligatures w14:val="standardContextual"/>
          </w:rPr>
          <w:t>https://www.nhsprofessionals.nhs.uk/nhs-staffing-pool-hub/careers-in-healthcare/healthcare-support-worker-or-healthcare-assistant</w:t>
        </w:r>
      </w:hyperlink>
      <w:r w:rsidRPr="00D449EF">
        <w:rPr>
          <w:rFonts w:ascii="Arial" w:eastAsia="Aptos" w:hAnsi="Arial" w:cs="Arial"/>
          <w:bCs/>
          <w:kern w:val="2"/>
          <w:lang w:eastAsia="en-US"/>
          <w14:ligatures w14:val="standardContextual"/>
        </w:rPr>
        <w:t> (Accessed: 13 October 2025).</w:t>
      </w:r>
    </w:p>
    <w:p w14:paraId="470D7FAA"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Pollock, A.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(2020) ‘Interventions to support the resilience and mental health of frontline health and social care professionals during and after a disease outbreak, epidemic or pandemic: a mixed methods systematic review’, </w:t>
      </w:r>
      <w:r w:rsidRPr="00D449EF">
        <w:rPr>
          <w:rFonts w:ascii="Arial" w:eastAsia="Aptos" w:hAnsi="Arial" w:cs="Arial"/>
          <w:bCs/>
          <w:i/>
          <w:iCs/>
          <w:kern w:val="2"/>
          <w:lang w:eastAsia="en-US"/>
          <w14:ligatures w14:val="standardContextual"/>
        </w:rPr>
        <w:t>Cochrane Database of Systematic Reviews</w:t>
      </w:r>
      <w:r w:rsidRPr="00D449EF">
        <w:rPr>
          <w:rFonts w:ascii="Arial" w:eastAsia="Aptos" w:hAnsi="Arial" w:cs="Arial"/>
          <w:bCs/>
          <w:kern w:val="2"/>
          <w:lang w:eastAsia="en-US"/>
          <w14:ligatures w14:val="standardContextual"/>
        </w:rPr>
        <w:t>, 11(11). Available at: </w:t>
      </w:r>
      <w:hyperlink r:id="rId19" w:tgtFrame="_blank" w:history="1">
        <w:r w:rsidRPr="00D449EF">
          <w:rPr>
            <w:rFonts w:ascii="Arial" w:eastAsia="Aptos" w:hAnsi="Arial" w:cs="Arial"/>
            <w:bCs/>
            <w:color w:val="0000FF"/>
            <w:kern w:val="2"/>
            <w:u w:val="single"/>
            <w:lang w:eastAsia="en-US"/>
            <w14:ligatures w14:val="standardContextual"/>
          </w:rPr>
          <w:t>https://doi.org/10.1002/14651858.cd013779</w:t>
        </w:r>
      </w:hyperlink>
    </w:p>
    <w:p w14:paraId="6BE76F67"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Poon, Y.-S. R.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 ‘A global overview of healthcare workers’ turnover intention amid COVID-19 pandemic: a systematic review with future directions’, </w:t>
      </w:r>
      <w:r w:rsidRPr="00D449EF">
        <w:rPr>
          <w:rFonts w:ascii="Arial" w:eastAsia="Aptos" w:hAnsi="Arial" w:cs="Arial"/>
          <w:bCs/>
          <w:i/>
          <w:iCs/>
          <w:kern w:val="2"/>
          <w:lang w:eastAsia="en-US"/>
          <w14:ligatures w14:val="standardContextual"/>
        </w:rPr>
        <w:t>Human Resources for Health</w:t>
      </w:r>
      <w:r w:rsidRPr="00D449EF">
        <w:rPr>
          <w:rFonts w:ascii="Arial" w:eastAsia="Aptos" w:hAnsi="Arial" w:cs="Arial"/>
          <w:bCs/>
          <w:kern w:val="2"/>
          <w:lang w:eastAsia="en-US"/>
          <w14:ligatures w14:val="standardContextual"/>
        </w:rPr>
        <w:t>, 20(1). Available at: </w:t>
      </w:r>
      <w:hyperlink r:id="rId20" w:tgtFrame="_blank" w:history="1">
        <w:r w:rsidRPr="00D449EF">
          <w:rPr>
            <w:rFonts w:ascii="Arial" w:eastAsia="Aptos" w:hAnsi="Arial" w:cs="Arial"/>
            <w:bCs/>
            <w:color w:val="467886"/>
            <w:kern w:val="2"/>
            <w:u w:val="single"/>
            <w:lang w:eastAsia="en-US"/>
            <w14:ligatures w14:val="standardContextual"/>
          </w:rPr>
          <w:t>https://doi.org/10.1186/s12960-022-00764-7</w:t>
        </w:r>
      </w:hyperlink>
    </w:p>
    <w:p w14:paraId="28A9A9AC"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Preti, E.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(2020) ‘The psychological impact of epidemic and pandemic outbreaks on healthcare workers: rapid review of the evidence’, </w:t>
      </w:r>
      <w:r w:rsidRPr="00D449EF">
        <w:rPr>
          <w:rFonts w:ascii="Arial" w:eastAsia="Aptos" w:hAnsi="Arial" w:cs="Arial"/>
          <w:bCs/>
          <w:i/>
          <w:iCs/>
          <w:kern w:val="2"/>
          <w:lang w:eastAsia="en-US"/>
          <w14:ligatures w14:val="standardContextual"/>
        </w:rPr>
        <w:t>Current Psychiatry Reports</w:t>
      </w:r>
      <w:r w:rsidRPr="00D449EF">
        <w:rPr>
          <w:rFonts w:ascii="Arial" w:eastAsia="Aptos" w:hAnsi="Arial" w:cs="Arial"/>
          <w:bCs/>
          <w:kern w:val="2"/>
          <w:lang w:eastAsia="en-US"/>
          <w14:ligatures w14:val="standardContextual"/>
        </w:rPr>
        <w:t>, 22(8). Available at: </w:t>
      </w:r>
      <w:hyperlink r:id="rId21" w:tgtFrame="_blank" w:history="1">
        <w:r w:rsidRPr="00D449EF">
          <w:rPr>
            <w:rFonts w:ascii="Arial" w:eastAsia="Aptos" w:hAnsi="Arial" w:cs="Arial"/>
            <w:bCs/>
            <w:color w:val="0000FF"/>
            <w:kern w:val="2"/>
            <w:u w:val="single"/>
            <w:lang w:eastAsia="en-US"/>
            <w14:ligatures w14:val="standardContextual"/>
          </w:rPr>
          <w:t>https://doi.org/10.1007/s11920-020-01166-z</w:t>
        </w:r>
      </w:hyperlink>
    </w:p>
    <w:p w14:paraId="0FDEEAA7"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Reddy, S. (2022) </w:t>
      </w:r>
      <w:r w:rsidRPr="00D449EF">
        <w:rPr>
          <w:rFonts w:ascii="Arial" w:eastAsia="Aptos" w:hAnsi="Arial" w:cs="Arial"/>
          <w:bCs/>
          <w:i/>
          <w:iCs/>
          <w:kern w:val="2"/>
          <w:lang w:eastAsia="en-US"/>
          <w14:ligatures w14:val="standardContextual"/>
        </w:rPr>
        <w:t>World failing in ‘our duty of care’ to protect mental health and well-being of health and care workers, finds report on impact of COVID-19</w:t>
      </w:r>
      <w:r w:rsidRPr="00D449EF">
        <w:rPr>
          <w:rFonts w:ascii="Arial" w:eastAsia="Aptos" w:hAnsi="Arial" w:cs="Arial"/>
          <w:bCs/>
          <w:kern w:val="2"/>
          <w:lang w:eastAsia="en-US"/>
          <w14:ligatures w14:val="standardContextual"/>
        </w:rPr>
        <w:t>. Available at: </w:t>
      </w:r>
      <w:hyperlink r:id="rId22" w:tgtFrame="_blank" w:history="1">
        <w:r w:rsidRPr="00D449EF">
          <w:rPr>
            <w:rFonts w:ascii="Arial" w:eastAsia="Aptos" w:hAnsi="Arial" w:cs="Arial"/>
            <w:bCs/>
            <w:color w:val="0000FF"/>
            <w:kern w:val="2"/>
            <w:u w:val="single"/>
            <w:lang w:eastAsia="en-US"/>
            <w14:ligatures w14:val="standardContextual"/>
          </w:rPr>
          <w:t>https://www.who.int/news/item/05-10-2022-world-failing-in--our-duty-of-care--to-protect-mental-health-and-wellbeing-of-health-and-care-workers--finds-report-on-impact-of-covid-19</w:t>
        </w:r>
      </w:hyperlink>
      <w:r w:rsidRPr="00D449EF">
        <w:rPr>
          <w:rFonts w:ascii="Arial" w:eastAsia="Aptos" w:hAnsi="Arial" w:cs="Arial"/>
          <w:bCs/>
          <w:kern w:val="2"/>
          <w:lang w:eastAsia="en-US"/>
          <w14:ligatures w14:val="standardContextual"/>
        </w:rPr>
        <w:t> (Accessed: 27 October 2025).</w:t>
      </w:r>
    </w:p>
    <w:p w14:paraId="75DCC0DC"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lastRenderedPageBreak/>
        <w:t>Rietveld, J.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(2024) ‘The UK’s pandemic preparedness and early response to the COVID-19 pandemic’, </w:t>
      </w:r>
      <w:r w:rsidRPr="00D449EF">
        <w:rPr>
          <w:rFonts w:ascii="Arial" w:eastAsia="Aptos" w:hAnsi="Arial" w:cs="Arial"/>
          <w:bCs/>
          <w:i/>
          <w:iCs/>
          <w:kern w:val="2"/>
          <w:lang w:eastAsia="en-US"/>
          <w14:ligatures w14:val="standardContextual"/>
        </w:rPr>
        <w:t>Global Public Health</w:t>
      </w:r>
      <w:r w:rsidRPr="00D449EF">
        <w:rPr>
          <w:rFonts w:ascii="Arial" w:eastAsia="Aptos" w:hAnsi="Arial" w:cs="Arial"/>
          <w:bCs/>
          <w:kern w:val="2"/>
          <w:lang w:eastAsia="en-US"/>
          <w14:ligatures w14:val="standardContextual"/>
        </w:rPr>
        <w:t>, 19(1). Available at: </w:t>
      </w:r>
      <w:hyperlink r:id="rId23" w:tgtFrame="_blank" w:history="1">
        <w:r w:rsidRPr="00D449EF">
          <w:rPr>
            <w:rFonts w:ascii="Arial" w:eastAsia="Aptos" w:hAnsi="Arial" w:cs="Arial"/>
            <w:bCs/>
            <w:color w:val="0000FF"/>
            <w:kern w:val="2"/>
            <w:u w:val="single"/>
            <w:lang w:eastAsia="en-US"/>
            <w14:ligatures w14:val="standardContextual"/>
          </w:rPr>
          <w:t>https://doi.org/10.1080/17441692.2024.2415499</w:t>
        </w:r>
      </w:hyperlink>
    </w:p>
    <w:p w14:paraId="30DFC0F8"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Robins-Browne, K.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(2022) ‘Interventions to support the mental health and well-being of front-line healthcare workers in hospitals during pandemics: an evidence review and synthesis’, </w:t>
      </w:r>
      <w:r w:rsidRPr="00D449EF">
        <w:rPr>
          <w:rFonts w:ascii="Arial" w:eastAsia="Aptos" w:hAnsi="Arial" w:cs="Arial"/>
          <w:bCs/>
          <w:i/>
          <w:iCs/>
          <w:kern w:val="2"/>
          <w:lang w:eastAsia="en-US"/>
          <w14:ligatures w14:val="standardContextual"/>
        </w:rPr>
        <w:t>BMJ Open</w:t>
      </w:r>
      <w:r w:rsidRPr="00D449EF">
        <w:rPr>
          <w:rFonts w:ascii="Arial" w:eastAsia="Aptos" w:hAnsi="Arial" w:cs="Arial"/>
          <w:bCs/>
          <w:kern w:val="2"/>
          <w:lang w:eastAsia="en-US"/>
          <w14:ligatures w14:val="standardContextual"/>
        </w:rPr>
        <w:t>, 12(11), p. e061317. Available at: </w:t>
      </w:r>
      <w:hyperlink r:id="rId24" w:tgtFrame="_blank" w:history="1">
        <w:r w:rsidRPr="00D449EF">
          <w:rPr>
            <w:rFonts w:ascii="Arial" w:eastAsia="Aptos" w:hAnsi="Arial" w:cs="Arial"/>
            <w:bCs/>
            <w:color w:val="0000FF"/>
            <w:kern w:val="2"/>
            <w:u w:val="single"/>
            <w:lang w:eastAsia="en-US"/>
            <w14:ligatures w14:val="standardContextual"/>
          </w:rPr>
          <w:t>https://doi.org/10.1136/bmjopen-2022-061317</w:t>
        </w:r>
      </w:hyperlink>
    </w:p>
    <w:p w14:paraId="12FAA61D"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Rodríguez, I.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(2019) ‘Individual, co-active and collective coping and organizational stress: a longitudinal study’, </w:t>
      </w:r>
      <w:r w:rsidRPr="00D449EF">
        <w:rPr>
          <w:rFonts w:ascii="Arial" w:eastAsia="Aptos" w:hAnsi="Arial" w:cs="Arial"/>
          <w:bCs/>
          <w:i/>
          <w:iCs/>
          <w:kern w:val="2"/>
          <w:lang w:eastAsia="en-US"/>
          <w14:ligatures w14:val="standardContextual"/>
        </w:rPr>
        <w:t>European Management Journal</w:t>
      </w:r>
      <w:r w:rsidRPr="00D449EF">
        <w:rPr>
          <w:rFonts w:ascii="Arial" w:eastAsia="Aptos" w:hAnsi="Arial" w:cs="Arial"/>
          <w:bCs/>
          <w:kern w:val="2"/>
          <w:lang w:eastAsia="en-US"/>
          <w14:ligatures w14:val="standardContextual"/>
        </w:rPr>
        <w:t>, 37(1), pp. 86–98. Available at: </w:t>
      </w:r>
      <w:hyperlink r:id="rId25" w:tgtFrame="_blank" w:history="1">
        <w:r w:rsidRPr="00D449EF">
          <w:rPr>
            <w:rFonts w:ascii="Arial" w:eastAsia="Aptos" w:hAnsi="Arial" w:cs="Arial"/>
            <w:bCs/>
            <w:color w:val="0000FF"/>
            <w:kern w:val="2"/>
            <w:u w:val="single"/>
            <w:lang w:eastAsia="en-US"/>
            <w14:ligatures w14:val="standardContextual"/>
          </w:rPr>
          <w:t>https://doi.org/10.1016/j.emj.2018.06.002</w:t>
        </w:r>
      </w:hyperlink>
    </w:p>
    <w:p w14:paraId="34C36CF8"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Schaufeli, W. B. and Taris, T. W. (2013) ‘A critical review of the job demands-resources model: implications for improving work and health’, in </w:t>
      </w:r>
      <w:r w:rsidRPr="00D449EF">
        <w:rPr>
          <w:rFonts w:ascii="Arial" w:eastAsia="Aptos" w:hAnsi="Arial" w:cs="Arial"/>
          <w:bCs/>
          <w:i/>
          <w:iCs/>
          <w:kern w:val="2"/>
          <w:lang w:eastAsia="en-US"/>
          <w14:ligatures w14:val="standardContextual"/>
        </w:rPr>
        <w:t>Bridging occupational, organizational and public health</w:t>
      </w:r>
      <w:r w:rsidRPr="00D449EF">
        <w:rPr>
          <w:rFonts w:ascii="Arial" w:eastAsia="Aptos" w:hAnsi="Arial" w:cs="Arial"/>
          <w:bCs/>
          <w:kern w:val="2"/>
          <w:lang w:eastAsia="en-US"/>
          <w14:ligatures w14:val="standardContextual"/>
        </w:rPr>
        <w:t>. Available at: </w:t>
      </w:r>
      <w:hyperlink r:id="rId26" w:tgtFrame="_blank" w:history="1">
        <w:r w:rsidRPr="00D449EF">
          <w:rPr>
            <w:rFonts w:ascii="Arial" w:eastAsia="Aptos" w:hAnsi="Arial" w:cs="Arial"/>
            <w:bCs/>
            <w:color w:val="0000FF"/>
            <w:kern w:val="2"/>
            <w:u w:val="single"/>
            <w:lang w:eastAsia="en-US"/>
            <w14:ligatures w14:val="standardContextual"/>
          </w:rPr>
          <w:t>https://doi.org/10.1007/978-94-007-5640-3_4</w:t>
        </w:r>
      </w:hyperlink>
    </w:p>
    <w:p w14:paraId="4838360B"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United Nations (2020) </w:t>
      </w:r>
      <w:r w:rsidRPr="00D449EF">
        <w:rPr>
          <w:rFonts w:ascii="Arial" w:eastAsia="Aptos" w:hAnsi="Arial" w:cs="Arial"/>
          <w:bCs/>
          <w:i/>
          <w:iCs/>
          <w:kern w:val="2"/>
          <w:lang w:eastAsia="en-US"/>
          <w14:ligatures w14:val="standardContextual"/>
        </w:rPr>
        <w:t>UNITED NATIONS POLICY BRIEF: COVID-19 and the Need for Action on Mental Health</w:t>
      </w:r>
      <w:r w:rsidRPr="00D449EF">
        <w:rPr>
          <w:rFonts w:ascii="Arial" w:eastAsia="Aptos" w:hAnsi="Arial" w:cs="Arial"/>
          <w:bCs/>
          <w:kern w:val="2"/>
          <w:lang w:eastAsia="en-US"/>
          <w14:ligatures w14:val="standardContextual"/>
        </w:rPr>
        <w:t>. Available at: </w:t>
      </w:r>
      <w:hyperlink r:id="rId27" w:tgtFrame="_blank" w:history="1">
        <w:r w:rsidRPr="00D449EF">
          <w:rPr>
            <w:rFonts w:ascii="Arial" w:eastAsia="Aptos" w:hAnsi="Arial" w:cs="Arial"/>
            <w:bCs/>
            <w:color w:val="0000FF"/>
            <w:kern w:val="2"/>
            <w:u w:val="single"/>
            <w:lang w:eastAsia="en-US"/>
            <w14:ligatures w14:val="standardContextual"/>
          </w:rPr>
          <w:t>https://unsdg.un.org/sites/default/files/2020-05/UN-Policy-Brief-COVID-19-and-mental-health.pdf</w:t>
        </w:r>
      </w:hyperlink>
    </w:p>
    <w:p w14:paraId="2F7E1692"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proofErr w:type="spellStart"/>
      <w:r w:rsidRPr="00D449EF">
        <w:rPr>
          <w:rFonts w:ascii="Arial" w:eastAsia="Aptos" w:hAnsi="Arial" w:cs="Arial"/>
          <w:bCs/>
          <w:kern w:val="2"/>
          <w:lang w:eastAsia="en-US"/>
          <w14:ligatures w14:val="standardContextual"/>
        </w:rPr>
        <w:t>Vicarelli</w:t>
      </w:r>
      <w:proofErr w:type="spellEnd"/>
      <w:r w:rsidRPr="00D449EF">
        <w:rPr>
          <w:rFonts w:ascii="Arial" w:eastAsia="Aptos" w:hAnsi="Arial" w:cs="Arial"/>
          <w:bCs/>
          <w:kern w:val="2"/>
          <w:lang w:eastAsia="en-US"/>
          <w14:ligatures w14:val="standardContextual"/>
        </w:rPr>
        <w:t>, G. (2024) ‘COVID-19 pandemic in Italy: a brief overview of the role and response of primary care’, </w:t>
      </w:r>
      <w:r w:rsidRPr="00D449EF">
        <w:rPr>
          <w:rFonts w:ascii="Arial" w:eastAsia="Aptos" w:hAnsi="Arial" w:cs="Arial"/>
          <w:bCs/>
          <w:i/>
          <w:iCs/>
          <w:kern w:val="2"/>
          <w:lang w:eastAsia="en-US"/>
          <w14:ligatures w14:val="standardContextual"/>
        </w:rPr>
        <w:t xml:space="preserve">La Presse </w:t>
      </w:r>
      <w:proofErr w:type="spellStart"/>
      <w:r w:rsidRPr="00D449EF">
        <w:rPr>
          <w:rFonts w:ascii="Arial" w:eastAsia="Aptos" w:hAnsi="Arial" w:cs="Arial"/>
          <w:bCs/>
          <w:i/>
          <w:iCs/>
          <w:kern w:val="2"/>
          <w:lang w:eastAsia="en-US"/>
          <w14:ligatures w14:val="standardContextual"/>
        </w:rPr>
        <w:t>Médicale</w:t>
      </w:r>
      <w:proofErr w:type="spellEnd"/>
      <w:r w:rsidRPr="00D449EF">
        <w:rPr>
          <w:rFonts w:ascii="Arial" w:eastAsia="Aptos" w:hAnsi="Arial" w:cs="Arial"/>
          <w:bCs/>
          <w:i/>
          <w:iCs/>
          <w:kern w:val="2"/>
          <w:lang w:eastAsia="en-US"/>
          <w14:ligatures w14:val="standardContextual"/>
        </w:rPr>
        <w:t xml:space="preserve"> Open</w:t>
      </w:r>
      <w:r w:rsidRPr="00D449EF">
        <w:rPr>
          <w:rFonts w:ascii="Arial" w:eastAsia="Aptos" w:hAnsi="Arial" w:cs="Arial"/>
          <w:bCs/>
          <w:kern w:val="2"/>
          <w:lang w:eastAsia="en-US"/>
          <w14:ligatures w14:val="standardContextual"/>
        </w:rPr>
        <w:t>, 5(October), p. 100055. Available at: </w:t>
      </w:r>
      <w:hyperlink r:id="rId28" w:tgtFrame="_blank" w:history="1">
        <w:r w:rsidRPr="00D449EF">
          <w:rPr>
            <w:rFonts w:ascii="Arial" w:eastAsia="Aptos" w:hAnsi="Arial" w:cs="Arial"/>
            <w:bCs/>
            <w:color w:val="0000FF"/>
            <w:kern w:val="2"/>
            <w:u w:val="single"/>
            <w:lang w:eastAsia="en-US"/>
            <w14:ligatures w14:val="standardContextual"/>
          </w:rPr>
          <w:t>https://doi.org/10.1016/j.lpmope.2024.100055</w:t>
        </w:r>
      </w:hyperlink>
    </w:p>
    <w:p w14:paraId="133498F6"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Walton, M., Murray, E. and Christian, M. D. (2020) ‘Mental health care for medical staff and affiliated healthcare workers during the COVID-19 pandemic’, </w:t>
      </w:r>
      <w:r w:rsidRPr="00D449EF">
        <w:rPr>
          <w:rFonts w:ascii="Arial" w:eastAsia="Aptos" w:hAnsi="Arial" w:cs="Arial"/>
          <w:bCs/>
          <w:i/>
          <w:iCs/>
          <w:kern w:val="2"/>
          <w:lang w:eastAsia="en-US"/>
          <w14:ligatures w14:val="standardContextual"/>
        </w:rPr>
        <w:t>European Heart Journal: Acute Cardiovascular Care</w:t>
      </w:r>
      <w:r w:rsidRPr="00D449EF">
        <w:rPr>
          <w:rFonts w:ascii="Arial" w:eastAsia="Aptos" w:hAnsi="Arial" w:cs="Arial"/>
          <w:bCs/>
          <w:kern w:val="2"/>
          <w:lang w:eastAsia="en-US"/>
          <w14:ligatures w14:val="standardContextual"/>
        </w:rPr>
        <w:t>, 9(3), pp. 241–247. Available at: </w:t>
      </w:r>
      <w:hyperlink r:id="rId29" w:tgtFrame="_blank" w:history="1">
        <w:r w:rsidRPr="00D449EF">
          <w:rPr>
            <w:rFonts w:ascii="Arial" w:eastAsia="Aptos" w:hAnsi="Arial" w:cs="Arial"/>
            <w:bCs/>
            <w:color w:val="467886"/>
            <w:kern w:val="2"/>
            <w:u w:val="single"/>
            <w:lang w:eastAsia="en-US"/>
            <w14:ligatures w14:val="standardContextual"/>
          </w:rPr>
          <w:t>https://doi.org/10.1177/2048872620922795</w:t>
        </w:r>
      </w:hyperlink>
    </w:p>
    <w:p w14:paraId="63DCD880"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World Health Organization (2019) </w:t>
      </w:r>
      <w:r w:rsidRPr="00D449EF">
        <w:rPr>
          <w:rFonts w:ascii="Arial" w:eastAsia="Aptos" w:hAnsi="Arial" w:cs="Arial"/>
          <w:bCs/>
          <w:i/>
          <w:iCs/>
          <w:kern w:val="2"/>
          <w:lang w:eastAsia="en-US"/>
          <w14:ligatures w14:val="standardContextual"/>
        </w:rPr>
        <w:t>Mental health</w:t>
      </w:r>
      <w:r w:rsidRPr="00D449EF">
        <w:rPr>
          <w:rFonts w:ascii="Arial" w:eastAsia="Aptos" w:hAnsi="Arial" w:cs="Arial"/>
          <w:bCs/>
          <w:kern w:val="2"/>
          <w:lang w:eastAsia="en-US"/>
          <w14:ligatures w14:val="standardContextual"/>
        </w:rPr>
        <w:t>. Available at: </w:t>
      </w:r>
      <w:hyperlink r:id="rId30" w:anchor="tab=tab_1" w:tgtFrame="_blank" w:history="1">
        <w:r w:rsidRPr="00D449EF">
          <w:rPr>
            <w:rFonts w:ascii="Arial" w:eastAsia="Aptos" w:hAnsi="Arial" w:cs="Arial"/>
            <w:bCs/>
            <w:color w:val="467886"/>
            <w:kern w:val="2"/>
            <w:u w:val="single"/>
            <w:lang w:eastAsia="en-US"/>
            <w14:ligatures w14:val="standardContextual"/>
          </w:rPr>
          <w:t>https://www.who.int/health-topics/mental-health#tab=tab_1</w:t>
        </w:r>
      </w:hyperlink>
      <w:r w:rsidRPr="00D449EF">
        <w:rPr>
          <w:rFonts w:ascii="Arial" w:eastAsia="Aptos" w:hAnsi="Arial" w:cs="Arial"/>
          <w:bCs/>
          <w:kern w:val="2"/>
          <w:lang w:eastAsia="en-US"/>
          <w14:ligatures w14:val="standardContextual"/>
        </w:rPr>
        <w:t> (Accessed: 13 October 2025).</w:t>
      </w:r>
    </w:p>
    <w:p w14:paraId="2A6A9D1D"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World Health Organization (2025) </w:t>
      </w:r>
      <w:r w:rsidRPr="00D449EF">
        <w:rPr>
          <w:rFonts w:ascii="Arial" w:eastAsia="Aptos" w:hAnsi="Arial" w:cs="Arial"/>
          <w:bCs/>
          <w:i/>
          <w:iCs/>
          <w:kern w:val="2"/>
          <w:lang w:eastAsia="en-US"/>
          <w14:ligatures w14:val="standardContextual"/>
        </w:rPr>
        <w:t>Pandemic prevention, preparedness and response agreement</w:t>
      </w:r>
      <w:r w:rsidRPr="00D449EF">
        <w:rPr>
          <w:rFonts w:ascii="Arial" w:eastAsia="Aptos" w:hAnsi="Arial" w:cs="Arial"/>
          <w:bCs/>
          <w:kern w:val="2"/>
          <w:lang w:eastAsia="en-US"/>
          <w14:ligatures w14:val="standardContextual"/>
        </w:rPr>
        <w:t>. Available at: </w:t>
      </w:r>
      <w:hyperlink r:id="rId31" w:tgtFrame="_blank" w:history="1">
        <w:r w:rsidRPr="00D449EF">
          <w:rPr>
            <w:rFonts w:ascii="Arial" w:eastAsia="Aptos" w:hAnsi="Arial" w:cs="Arial"/>
            <w:bCs/>
            <w:color w:val="0000FF"/>
            <w:kern w:val="2"/>
            <w:u w:val="single"/>
            <w:lang w:eastAsia="en-US"/>
            <w14:ligatures w14:val="standardContextual"/>
          </w:rPr>
          <w:t>https://www.who.int/news-room/questions-and-</w:t>
        </w:r>
        <w:r w:rsidRPr="00D449EF">
          <w:rPr>
            <w:rFonts w:ascii="Arial" w:eastAsia="Aptos" w:hAnsi="Arial" w:cs="Arial"/>
            <w:bCs/>
            <w:color w:val="0000FF"/>
            <w:kern w:val="2"/>
            <w:u w:val="single"/>
            <w:lang w:eastAsia="en-US"/>
            <w14:ligatures w14:val="standardContextual"/>
          </w:rPr>
          <w:lastRenderedPageBreak/>
          <w:t>answers/item/pandemic-prevention--preparedness-and-response-accord</w:t>
        </w:r>
      </w:hyperlink>
      <w:r w:rsidRPr="00D449EF">
        <w:rPr>
          <w:rFonts w:ascii="Arial" w:eastAsia="Aptos" w:hAnsi="Arial" w:cs="Arial"/>
          <w:bCs/>
          <w:kern w:val="2"/>
          <w:lang w:eastAsia="en-US"/>
          <w14:ligatures w14:val="standardContextual"/>
        </w:rPr>
        <w:t> (Accessed: 27 October 2025).</w:t>
      </w:r>
    </w:p>
    <w:p w14:paraId="571A299D" w14:textId="77777777" w:rsidR="00D449EF" w:rsidRPr="00D449EF" w:rsidRDefault="00D449EF" w:rsidP="00D449EF">
      <w:pPr>
        <w:spacing w:before="240" w:line="360" w:lineRule="auto"/>
        <w:jc w:val="both"/>
        <w:rPr>
          <w:rFonts w:ascii="Arial" w:eastAsia="Aptos" w:hAnsi="Arial" w:cs="Arial"/>
          <w:bCs/>
          <w:kern w:val="2"/>
          <w:lang w:eastAsia="en-US"/>
          <w14:ligatures w14:val="standardContextual"/>
        </w:rPr>
      </w:pPr>
      <w:r w:rsidRPr="00D449EF">
        <w:rPr>
          <w:rFonts w:ascii="Arial" w:eastAsia="Aptos" w:hAnsi="Arial" w:cs="Arial"/>
          <w:bCs/>
          <w:kern w:val="2"/>
          <w:lang w:eastAsia="en-US"/>
          <w14:ligatures w14:val="standardContextual"/>
        </w:rPr>
        <w:t>Zhu, Z. </w:t>
      </w:r>
      <w:r w:rsidRPr="00D449EF">
        <w:rPr>
          <w:rFonts w:ascii="Arial" w:eastAsia="Aptos" w:hAnsi="Arial" w:cs="Arial"/>
          <w:bCs/>
          <w:i/>
          <w:iCs/>
          <w:kern w:val="2"/>
          <w:lang w:eastAsia="en-US"/>
          <w14:ligatures w14:val="standardContextual"/>
        </w:rPr>
        <w:t>et al.</w:t>
      </w:r>
      <w:r w:rsidRPr="00D449EF">
        <w:rPr>
          <w:rFonts w:ascii="Arial" w:eastAsia="Aptos" w:hAnsi="Arial" w:cs="Arial"/>
          <w:bCs/>
          <w:kern w:val="2"/>
          <w:lang w:eastAsia="en-US"/>
          <w14:ligatures w14:val="standardContextual"/>
        </w:rPr>
        <w:t> (2020) ‘From SARS and MERS to COVID-19: a brief summary and comparison of severe acute respiratory infections caused by three highly pathogenic human coronaviruses’, </w:t>
      </w:r>
      <w:r w:rsidRPr="00D449EF">
        <w:rPr>
          <w:rFonts w:ascii="Arial" w:eastAsia="Aptos" w:hAnsi="Arial" w:cs="Arial"/>
          <w:bCs/>
          <w:i/>
          <w:iCs/>
          <w:kern w:val="2"/>
          <w:lang w:eastAsia="en-US"/>
          <w14:ligatures w14:val="standardContextual"/>
        </w:rPr>
        <w:t>Respiratory Research</w:t>
      </w:r>
      <w:r w:rsidRPr="00D449EF">
        <w:rPr>
          <w:rFonts w:ascii="Arial" w:eastAsia="Aptos" w:hAnsi="Arial" w:cs="Arial"/>
          <w:bCs/>
          <w:kern w:val="2"/>
          <w:lang w:eastAsia="en-US"/>
          <w14:ligatures w14:val="standardContextual"/>
        </w:rPr>
        <w:t>, 21(1). Available at: </w:t>
      </w:r>
      <w:hyperlink r:id="rId32" w:tgtFrame="_blank" w:history="1">
        <w:r w:rsidRPr="00D449EF">
          <w:rPr>
            <w:rFonts w:ascii="Arial" w:eastAsia="Aptos" w:hAnsi="Arial" w:cs="Arial"/>
            <w:bCs/>
            <w:color w:val="0000FF"/>
            <w:kern w:val="2"/>
            <w:u w:val="single"/>
            <w:lang w:eastAsia="en-US"/>
            <w14:ligatures w14:val="standardContextual"/>
          </w:rPr>
          <w:t>https://doi.org/10.1186/s12931-020-01479-w</w:t>
        </w:r>
      </w:hyperlink>
    </w:p>
    <w:p w14:paraId="40667825" w14:textId="51E394A0" w:rsidR="00776D96" w:rsidRPr="00D449EF" w:rsidRDefault="00776D96" w:rsidP="00D449EF">
      <w:pPr>
        <w:spacing w:before="240" w:line="360" w:lineRule="auto"/>
        <w:rPr>
          <w:rFonts w:ascii="Arial" w:eastAsia="Arial" w:hAnsi="Arial" w:cs="Arial"/>
        </w:rPr>
      </w:pPr>
    </w:p>
    <w:sectPr w:rsidR="00776D96" w:rsidRPr="00D449EF">
      <w:footerReference w:type="default" r:id="rId33"/>
      <w:footerReference w:type="first" r:id="rId34"/>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E2524" w14:textId="77777777" w:rsidR="0036293B" w:rsidRDefault="0036293B">
      <w:pPr>
        <w:spacing w:after="0" w:line="240" w:lineRule="auto"/>
      </w:pPr>
      <w:r>
        <w:separator/>
      </w:r>
    </w:p>
  </w:endnote>
  <w:endnote w:type="continuationSeparator" w:id="0">
    <w:p w14:paraId="50665BC9" w14:textId="77777777" w:rsidR="0036293B" w:rsidRDefault="00362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6777876C-8A42-4F94-8C1A-9C0BFAC54CD9}"/>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87FA52D4-DF9E-4830-8F3D-88808022508B}"/>
  </w:font>
  <w:font w:name="Georgia">
    <w:panose1 w:val="02040502050405020303"/>
    <w:charset w:val="00"/>
    <w:family w:val="roman"/>
    <w:pitch w:val="variable"/>
    <w:sig w:usb0="00000287" w:usb1="00000000" w:usb2="00000000" w:usb3="00000000" w:csb0="0000009F" w:csb1="00000000"/>
    <w:embedRegular r:id="rId3" w:fontKey="{2961BECF-748D-4F90-B901-525CF10EE238}"/>
    <w:embedItalic r:id="rId4" w:fontKey="{1DA1A227-E261-4A1F-826F-EDDE7D618E98}"/>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embedRegular r:id="rId5" w:fontKey="{3ADFB020-5292-4549-8CFA-D168407815EB}"/>
    <w:embedBold r:id="rId6" w:fontKey="{5A667945-5D1D-42A0-9EF6-B594F3E06540}"/>
  </w:font>
  <w:font w:name="Aptos">
    <w:charset w:val="00"/>
    <w:family w:val="swiss"/>
    <w:pitch w:val="variable"/>
    <w:sig w:usb0="20000287" w:usb1="00000003" w:usb2="00000000" w:usb3="00000000" w:csb0="0000019F" w:csb1="00000000"/>
    <w:embedRegular r:id="rId7" w:fontKey="{53DCCF94-7106-47AA-8A02-4637F9A7ADAE}"/>
    <w:embedItalic r:id="rId8" w:fontKey="{23F2B2B3-EFE5-4324-8B62-1E9EFDA73F0D}"/>
  </w:font>
  <w:font w:name="Cambria Math">
    <w:panose1 w:val="02040503050406030204"/>
    <w:charset w:val="00"/>
    <w:family w:val="roman"/>
    <w:pitch w:val="variable"/>
    <w:sig w:usb0="E00006FF" w:usb1="420024FF" w:usb2="02000000" w:usb3="00000000" w:csb0="0000019F" w:csb1="00000000"/>
    <w:embedRegular r:id="rId9" w:fontKey="{D5E668DE-E245-41C2-A40C-E7AB563BFAA1}"/>
    <w:embedBold r:id="rId10" w:fontKey="{2F398957-C351-4257-BCB9-55A59E05B92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997239"/>
      <w:docPartObj>
        <w:docPartGallery w:val="Page Numbers (Bottom of Page)"/>
        <w:docPartUnique/>
      </w:docPartObj>
    </w:sdtPr>
    <w:sdtEndPr>
      <w:rPr>
        <w:noProof/>
      </w:rPr>
    </w:sdtEndPr>
    <w:sdtContent>
      <w:p w14:paraId="27DF576F" w14:textId="19F56899" w:rsidR="00776D96" w:rsidRPr="00713F40" w:rsidRDefault="00713F40" w:rsidP="00713F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1233525"/>
      <w:docPartObj>
        <w:docPartGallery w:val="Page Numbers (Bottom of Page)"/>
        <w:docPartUnique/>
      </w:docPartObj>
    </w:sdtPr>
    <w:sdtEndPr>
      <w:rPr>
        <w:noProof/>
      </w:rPr>
    </w:sdtEndPr>
    <w:sdtContent>
      <w:p w14:paraId="7413DCF5" w14:textId="4247BF93" w:rsidR="00D449EF" w:rsidRDefault="00D449EF" w:rsidP="00D449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91F41" w14:textId="77777777" w:rsidR="0036293B" w:rsidRDefault="0036293B">
      <w:pPr>
        <w:spacing w:after="0" w:line="240" w:lineRule="auto"/>
      </w:pPr>
      <w:r>
        <w:separator/>
      </w:r>
    </w:p>
  </w:footnote>
  <w:footnote w:type="continuationSeparator" w:id="0">
    <w:p w14:paraId="4D19DC31" w14:textId="77777777" w:rsidR="0036293B" w:rsidRDefault="00362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4910F6"/>
    <w:multiLevelType w:val="multilevel"/>
    <w:tmpl w:val="BE9CEEF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54C25017"/>
    <w:multiLevelType w:val="multilevel"/>
    <w:tmpl w:val="83C225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17F5943"/>
    <w:multiLevelType w:val="multilevel"/>
    <w:tmpl w:val="87D2F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0072867">
    <w:abstractNumId w:val="2"/>
  </w:num>
  <w:num w:numId="2" w16cid:durableId="1350331928">
    <w:abstractNumId w:val="0"/>
  </w:num>
  <w:num w:numId="3" w16cid:durableId="1607889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D96"/>
    <w:rsid w:val="0000178F"/>
    <w:rsid w:val="00037195"/>
    <w:rsid w:val="000B6A45"/>
    <w:rsid w:val="00104CA0"/>
    <w:rsid w:val="001A1297"/>
    <w:rsid w:val="001D2E2A"/>
    <w:rsid w:val="00251A47"/>
    <w:rsid w:val="00290F24"/>
    <w:rsid w:val="00327210"/>
    <w:rsid w:val="0036293B"/>
    <w:rsid w:val="003E7C2B"/>
    <w:rsid w:val="00433329"/>
    <w:rsid w:val="004D08C0"/>
    <w:rsid w:val="00713F40"/>
    <w:rsid w:val="00776D96"/>
    <w:rsid w:val="008730E5"/>
    <w:rsid w:val="00A72F10"/>
    <w:rsid w:val="00A96AE5"/>
    <w:rsid w:val="00BD6ECE"/>
    <w:rsid w:val="00C20BB0"/>
    <w:rsid w:val="00CD2ACB"/>
    <w:rsid w:val="00D3397C"/>
    <w:rsid w:val="00D449EF"/>
    <w:rsid w:val="00EA1957"/>
    <w:rsid w:val="00EB5994"/>
    <w:rsid w:val="00F22706"/>
    <w:rsid w:val="00FA3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C57CF"/>
  <w15:docId w15:val="{050AA728-1446-4218-984E-B6E9CC7A0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line="360" w:lineRule="auto"/>
      <w:jc w:val="center"/>
      <w:outlineLvl w:val="0"/>
    </w:pPr>
    <w:rPr>
      <w:rFonts w:ascii="Arial" w:eastAsia="Arial" w:hAnsi="Arial" w:cs="Arial"/>
      <w:b/>
      <w:sz w:val="32"/>
      <w:szCs w:val="32"/>
    </w:rPr>
  </w:style>
  <w:style w:type="paragraph" w:styleId="Heading2">
    <w:name w:val="heading 2"/>
    <w:basedOn w:val="Normal"/>
    <w:next w:val="Normal"/>
    <w:link w:val="Heading2Char"/>
    <w:uiPriority w:val="9"/>
    <w:unhideWhenUsed/>
    <w:qFormat/>
    <w:pPr>
      <w:keepNext/>
      <w:keepLines/>
      <w:spacing w:before="40" w:after="0" w:line="360" w:lineRule="auto"/>
      <w:outlineLvl w:val="1"/>
    </w:pPr>
    <w:rPr>
      <w:rFonts w:ascii="Arial" w:eastAsia="Arial" w:hAnsi="Arial" w:cs="Arial"/>
      <w:b/>
      <w:i/>
      <w:sz w:val="28"/>
      <w:szCs w:val="28"/>
    </w:rPr>
  </w:style>
  <w:style w:type="paragraph" w:styleId="Heading3">
    <w:name w:val="heading 3"/>
    <w:basedOn w:val="Normal"/>
    <w:next w:val="Normal"/>
    <w:link w:val="Heading3Char"/>
    <w:uiPriority w:val="9"/>
    <w:semiHidden/>
    <w:unhideWhenUsed/>
    <w:qFormat/>
    <w:pPr>
      <w:spacing w:line="240" w:lineRule="auto"/>
      <w:outlineLvl w:val="2"/>
    </w:pPr>
    <w:rPr>
      <w:rFonts w:ascii="Arial" w:eastAsia="Arial" w:hAnsi="Arial" w:cs="Arial"/>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style>
  <w:style w:type="paragraph" w:styleId="ListParagraph">
    <w:name w:val="List Paragraph"/>
    <w:basedOn w:val="Normal"/>
    <w:uiPriority w:val="34"/>
    <w:qFormat/>
    <w:rsid w:val="00A276A0"/>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77/1088868314544222" TargetMode="External"/><Relationship Id="rId18" Type="http://schemas.openxmlformats.org/officeDocument/2006/relationships/hyperlink" Target="https://www.nhsprofessionals.nhs.uk/nhs-staffing-pool-hub/careers-in-healthcare/healthcare-support-worker-or-healthcare-assistant" TargetMode="External"/><Relationship Id="rId26" Type="http://schemas.openxmlformats.org/officeDocument/2006/relationships/hyperlink" Target="https://doi.org/10.1007/978-94-007-5640-3_4" TargetMode="External"/><Relationship Id="rId3" Type="http://schemas.openxmlformats.org/officeDocument/2006/relationships/styles" Target="styles.xml"/><Relationship Id="rId21" Type="http://schemas.openxmlformats.org/officeDocument/2006/relationships/hyperlink" Target="https://doi.org/10.1007/s11920-020-01166-z"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3390/nursrep11040075" TargetMode="External"/><Relationship Id="rId17" Type="http://schemas.openxmlformats.org/officeDocument/2006/relationships/hyperlink" Target="https://doi.org/10.1186/s12960-021-00651-7" TargetMode="External"/><Relationship Id="rId25" Type="http://schemas.openxmlformats.org/officeDocument/2006/relationships/hyperlink" Target="https://doi.org/10.1016/j.emj.2018.06.002"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actpsy.2025.104710" TargetMode="External"/><Relationship Id="rId20" Type="http://schemas.openxmlformats.org/officeDocument/2006/relationships/hyperlink" Target="https://doi.org/10.1186/s12960-022-00764-7" TargetMode="External"/><Relationship Id="rId29" Type="http://schemas.openxmlformats.org/officeDocument/2006/relationships/hyperlink" Target="https://doi.org/10.1177/20488726209227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1/jamanetworkopen.2021.3997" TargetMode="External"/><Relationship Id="rId24" Type="http://schemas.openxmlformats.org/officeDocument/2006/relationships/hyperlink" Target="https://doi.org/10.1136/bmjopen-2022-061317" TargetMode="External"/><Relationship Id="rId32" Type="http://schemas.openxmlformats.org/officeDocument/2006/relationships/hyperlink" Target="https://doi.org/10.1186/s12931-020-01479-w" TargetMode="External"/><Relationship Id="rId5" Type="http://schemas.openxmlformats.org/officeDocument/2006/relationships/webSettings" Target="webSettings.xml"/><Relationship Id="rId15" Type="http://schemas.openxmlformats.org/officeDocument/2006/relationships/hyperlink" Target="https://doi.org/10.1002/9781118993811.ch27" TargetMode="External"/><Relationship Id="rId23" Type="http://schemas.openxmlformats.org/officeDocument/2006/relationships/hyperlink" Target="https://doi.org/10.1080/17441692.2024.2415499" TargetMode="External"/><Relationship Id="rId28" Type="http://schemas.openxmlformats.org/officeDocument/2006/relationships/hyperlink" Target="https://doi.org/10.1016/j.lpmope.2024.100055" TargetMode="External"/><Relationship Id="rId36" Type="http://schemas.openxmlformats.org/officeDocument/2006/relationships/theme" Target="theme/theme1.xml"/><Relationship Id="rId10" Type="http://schemas.openxmlformats.org/officeDocument/2006/relationships/hyperlink" Target="https://doi.org/10.1002/ajim.23256" TargetMode="External"/><Relationship Id="rId19" Type="http://schemas.openxmlformats.org/officeDocument/2006/relationships/hyperlink" Target="https://doi.org/10.1002/14651858.cd013779" TargetMode="External"/><Relationship Id="rId31" Type="http://schemas.openxmlformats.org/officeDocument/2006/relationships/hyperlink" Target="https://www.who.int/news-room/questions-and-answers/item/pandemic-prevention--preparedness-and-response-accord" TargetMode="External"/><Relationship Id="rId4" Type="http://schemas.openxmlformats.org/officeDocument/2006/relationships/settings" Target="settings.xml"/><Relationship Id="rId9" Type="http://schemas.openxmlformats.org/officeDocument/2006/relationships/hyperlink" Target="https://www.who.int/news/item/02-03-2022-covid-19-pandemic-triggers-25-increase-in-prevalence-of-anxiety-and-depression-worldwide" TargetMode="External"/><Relationship Id="rId14" Type="http://schemas.openxmlformats.org/officeDocument/2006/relationships/hyperlink" Target="https://doi.org/10.1111/tbed.14732" TargetMode="External"/><Relationship Id="rId22" Type="http://schemas.openxmlformats.org/officeDocument/2006/relationships/hyperlink" Target="https://www.who.int/news/item/05-10-2022-world-failing-in--our-duty-of-care--to-protect-mental-health-and-wellbeing-of-health-and-care-workers--finds-report-on-impact-of-covid-19" TargetMode="External"/><Relationship Id="rId27" Type="http://schemas.openxmlformats.org/officeDocument/2006/relationships/hyperlink" Target="https://unsdg.un.org/sites/default/files/2020-05/UN-Policy-Brief-COVID-19-and-mental-health.pdf" TargetMode="External"/><Relationship Id="rId30" Type="http://schemas.openxmlformats.org/officeDocument/2006/relationships/hyperlink" Target="https://www.who.int/health-topics/mental-health" TargetMode="External"/><Relationship Id="rId35" Type="http://schemas.openxmlformats.org/officeDocument/2006/relationships/fontTable" Target="fontTable.xml"/><Relationship Id="rId8" Type="http://schemas.openxmlformats.org/officeDocument/2006/relationships/hyperlink" Target="https://www.bma.org.uk/media/5980/bma-covid-review-report-4-28-july-2022.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INE9Nu48ZYRVDTTo5+nJABmegQ==">CgMxLjAaHwoBMBIaChgICVIUChJ0YWJsZS5iaHZ5d2tvaDc2eGo4AHIhMVpDbFFfMUs0NnhsOHF6d2FIY3d6aEt5N1Z4Z2lQRXdi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4461</Words>
  <Characters>25428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Michael Ajuyah (2245019)</cp:lastModifiedBy>
  <cp:revision>2</cp:revision>
  <dcterms:created xsi:type="dcterms:W3CDTF">2025-12-03T21:38:00Z</dcterms:created>
  <dcterms:modified xsi:type="dcterms:W3CDTF">2025-12-03T21:38:00Z</dcterms:modified>
</cp:coreProperties>
</file>