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8DEAB3" w14:textId="77777777" w:rsidR="00E73599" w:rsidRDefault="00000000">
      <w:r>
        <w:t xml:space="preserve">Around 1289, William Cragh was witnessed by many to come back to life after being put to death – linked to the Saint Thomas of </w:t>
      </w:r>
      <w:proofErr w:type="spellStart"/>
      <w:r>
        <w:t>Cantilupe</w:t>
      </w:r>
      <w:proofErr w:type="spellEnd"/>
      <w:r>
        <w:rPr>
          <w:rStyle w:val="FootnoteReference"/>
        </w:rPr>
        <w:footnoteReference w:id="1"/>
      </w:r>
      <w:r>
        <w:t xml:space="preserve">, and theorised to be revived by him thanks to the prayers of his own and the Lady of Gower. In 1306, an investigation was done </w:t>
      </w:r>
      <w:proofErr w:type="gramStart"/>
      <w:r>
        <w:t>in order to</w:t>
      </w:r>
      <w:proofErr w:type="gramEnd"/>
      <w:r>
        <w:t xml:space="preserve"> see whether what claimed to have happened to William Cragh was truly a miracle that could be linked to Saint Thomas. Nine witnesses were questioned – one of which was known as Lady Mary de Briouze</w:t>
      </w:r>
      <w:r>
        <w:rPr>
          <w:rStyle w:val="FootnoteReference"/>
        </w:rPr>
        <w:footnoteReference w:id="2"/>
      </w:r>
      <w:r>
        <w:t xml:space="preserve">, who claimed to pray directly for William to be saved and for him to be resurrected </w:t>
      </w:r>
      <w:proofErr w:type="gramStart"/>
      <w:r>
        <w:t>in order to</w:t>
      </w:r>
      <w:proofErr w:type="gramEnd"/>
      <w:r>
        <w:t xml:space="preserve"> devote his life to God afterwards. She was married to Lord William de Briouze</w:t>
      </w:r>
      <w:r>
        <w:rPr>
          <w:rStyle w:val="FootnoteReference"/>
        </w:rPr>
        <w:footnoteReference w:id="3"/>
      </w:r>
      <w:r>
        <w:t xml:space="preserve">, who was the first to sentence William </w:t>
      </w:r>
      <w:proofErr w:type="spellStart"/>
      <w:r>
        <w:t>Cragh</w:t>
      </w:r>
      <w:proofErr w:type="spellEnd"/>
      <w:r>
        <w:t xml:space="preserve"> for his crimes, and testified that she had not seen William Cragh once he was brought back to life, as “[when] he withdrew from Hereford he said he wished to go to the Holy Land, and afterwards she did not see him.”</w:t>
      </w:r>
      <w:r>
        <w:rPr>
          <w:rStyle w:val="FootnoteReference"/>
        </w:rPr>
        <w:footnoteReference w:id="4"/>
      </w:r>
    </w:p>
    <w:p w14:paraId="1A71C559" w14:textId="6850E541" w:rsidR="00E73599" w:rsidRDefault="00000000">
      <w:r>
        <w:t xml:space="preserve">Lady Mary de Briouze was married to Lord William de Briouze Snr., and the mother to her son, William de Briouze Jr, a family high in society and wealthy by their own right. In 1287, William Cragh led an attack against </w:t>
      </w:r>
      <w:proofErr w:type="spellStart"/>
      <w:r>
        <w:t>Oystermouth</w:t>
      </w:r>
      <w:proofErr w:type="spellEnd"/>
      <w:r>
        <w:t xml:space="preserve"> Castle</w:t>
      </w:r>
      <w:r>
        <w:rPr>
          <w:rStyle w:val="FootnoteReference"/>
        </w:rPr>
        <w:footnoteReference w:id="5"/>
      </w:r>
      <w:r>
        <w:t xml:space="preserve">, the territory of which was owned at the time by Lord William de Briouze, killing 13 men in the process. </w:t>
      </w:r>
      <w:proofErr w:type="spellStart"/>
      <w:r>
        <w:t>Cragh</w:t>
      </w:r>
      <w:proofErr w:type="spellEnd"/>
      <w:r>
        <w:t xml:space="preserve"> was then captured and put to death, alongside one other assailant, a man by the name of Trahaearn ap Hywel. Although </w:t>
      </w:r>
      <w:r w:rsidR="007429F8">
        <w:t>Mary</w:t>
      </w:r>
      <w:r>
        <w:t xml:space="preserve"> herself was not witness to this, a worker by the name of Adam of Loughor witnessed William and Trahaearn be walked down to the gallows, whereupon Trahaearn was hung – until William was hauled off the ground to join him, and the beam they were on broke suddenly. Adam witnessed that they were both hung up again on one beam, and William was undoubtedly dead – estimating that even if he had been alive, he was hung up on the gallows for such a time that he would have only been able to walk for one mile. Adam of Loughor knew William Cragh for two years prior to the incident of the hanging – Lady Mary de Briouze had not known him at all before he was charged for his crimes.</w:t>
      </w:r>
    </w:p>
    <w:p w14:paraId="19ACA59A" w14:textId="77777777" w:rsidR="00E73599" w:rsidRDefault="00000000">
      <w:r>
        <w:t>Lady Mary had also been told by witnesses that he was certainly deceased, as quoted “which were customarily apparent in hanged men when they were dead, evident because of the natural excretion through their lower parts”</w:t>
      </w:r>
      <w:r>
        <w:rPr>
          <w:rStyle w:val="FootnoteReference"/>
        </w:rPr>
        <w:footnoteReference w:id="6"/>
      </w:r>
      <w:r>
        <w:t>, and after a while of their clear signs of passing they took him away to the Chapel of Blessed John the Baptist, a heavy distance in which he travelled uncomfortably, so painfully that it was said “any healthy person who was carried from thee said gallows to the said chapel […] would be almost dead”</w:t>
      </w:r>
      <w:r>
        <w:rPr>
          <w:rStyle w:val="FootnoteReference"/>
        </w:rPr>
        <w:footnoteReference w:id="7"/>
      </w:r>
      <w:r>
        <w:t xml:space="preserve">. The reason for which William was taken to the Church instead of buried </w:t>
      </w:r>
      <w:r>
        <w:lastRenderedPageBreak/>
        <w:t xml:space="preserve">immediately like Trahaearn was because Lady Mary had asked her husband to spare the criminals </w:t>
      </w:r>
      <w:proofErr w:type="gramStart"/>
      <w:r>
        <w:t>in order to</w:t>
      </w:r>
      <w:proofErr w:type="gramEnd"/>
      <w:r>
        <w:t xml:space="preserve"> allow them to repent for their sins, as a very religious woman herself. He refused, until they heard of Trahaearn’s death, and Mary begged her husband a second time to let her have </w:t>
      </w:r>
      <w:proofErr w:type="spellStart"/>
      <w:r>
        <w:t>Cragh’s</w:t>
      </w:r>
      <w:proofErr w:type="spellEnd"/>
      <w:r>
        <w:t xml:space="preserve"> body, who she believed to still be alive. She then claimed “</w:t>
      </w:r>
      <w:proofErr w:type="spellStart"/>
      <w:r>
        <w:t>the</w:t>
      </w:r>
      <w:proofErr w:type="spellEnd"/>
      <w:r>
        <w:t xml:space="preserve"> said William had lain dead in the said chapel all through the night until a breath of life appeared in him”</w:t>
      </w:r>
      <w:r>
        <w:rPr>
          <w:rStyle w:val="FootnoteReference"/>
        </w:rPr>
        <w:footnoteReference w:id="8"/>
      </w:r>
      <w:r>
        <w:t xml:space="preserve">, meaning she heard his breathing begin and supposedly heard him come back to life. Upon questioning she also revealed that on his way to the gallows, she had heard </w:t>
      </w:r>
      <w:proofErr w:type="spellStart"/>
      <w:r>
        <w:t>Cragh</w:t>
      </w:r>
      <w:proofErr w:type="spellEnd"/>
      <w:r>
        <w:t xml:space="preserve"> “[ask] God by the merit of St Thomas </w:t>
      </w:r>
      <w:proofErr w:type="spellStart"/>
      <w:r>
        <w:t>Cantilupe</w:t>
      </w:r>
      <w:proofErr w:type="spellEnd"/>
      <w:r>
        <w:t xml:space="preserve"> […] to liberate him from the most disgraceful death”</w:t>
      </w:r>
      <w:r>
        <w:rPr>
          <w:rStyle w:val="FootnoteReference"/>
        </w:rPr>
        <w:footnoteReference w:id="9"/>
      </w:r>
      <w:r>
        <w:t xml:space="preserve">, though she herself could not be certain if he mentioned him by name, she claimed to have a “special devotion” to St Thomas, to whom it has been credited before that God operates miracles through. She stated “with devotion and bent at the knee, […] asked the said St Thomas de </w:t>
      </w:r>
      <w:proofErr w:type="spellStart"/>
      <w:r>
        <w:t>Cantilupe</w:t>
      </w:r>
      <w:proofErr w:type="spellEnd"/>
      <w:r>
        <w:t xml:space="preserve"> to ask God that William who was hanged be returned to life” </w:t>
      </w:r>
      <w:proofErr w:type="gramStart"/>
      <w:r>
        <w:t>in order for</w:t>
      </w:r>
      <w:proofErr w:type="gramEnd"/>
      <w:r>
        <w:t xml:space="preserve"> William to then devote his life to serving God.</w:t>
      </w:r>
    </w:p>
    <w:p w14:paraId="0F59B640" w14:textId="335C2F86" w:rsidR="00E73599" w:rsidRDefault="00000000">
      <w:r>
        <w:t>When she and her handmaidens prayed for the help of St Thomas de Cantilupe, she was in her husband the lord’s castle of Swansea, fifteen years prior to the investigation in 1306, and the “measure was taken the same day that William was hanged”</w:t>
      </w:r>
      <w:r w:rsidR="003C2B3F">
        <w:rPr>
          <w:rStyle w:val="FootnoteReference"/>
        </w:rPr>
        <w:footnoteReference w:id="10"/>
      </w:r>
      <w:r>
        <w:t xml:space="preserve">, and once signs of life appeared in him, “the lady prepared broth herself for several days in her home in the aforesaid castle because it was said that William was not able to consume food.” Adam of Loughor in his investigation said that this lasted around 15 days – and once it was over, Lady Mary and her husband “led the said William who was hanged to Hereford Cathedral to the tomb of the said St Thomas de </w:t>
      </w:r>
      <w:proofErr w:type="spellStart"/>
      <w:r>
        <w:t>Cantilupe</w:t>
      </w:r>
      <w:proofErr w:type="spellEnd"/>
      <w:r>
        <w:t xml:space="preserve"> on account of devotion and to show and proclaim the said miracle.” She also confessed that William walked with them on foot for three days to Hereford Cathedral from the Castle of Swansea, meaning that circumstances must have changed between Adam’s confession that he did not think William would be able to walk more than one mile post death and the recovery process that Lady Mary put him through.</w:t>
      </w:r>
    </w:p>
    <w:p w14:paraId="6C611FD4" w14:textId="6129CEFA" w:rsidR="00E73599" w:rsidRDefault="00000000">
      <w:r>
        <w:t>It is then that she reveals she does not know if he is still living fifteen years past the miracle – but her testimony still proved to be valuable, as it seemed to be her own prayers alongside William’s that allowed him his revival and retribution for his sins. She used her rooms in Swansea Castle to nurse back to life a supposedly dead man – as a religious woman herself this brings proof to the fact she truly believed in the work she was doing, and thus value to her testimony as a woman of God.</w:t>
      </w:r>
    </w:p>
    <w:p w14:paraId="654188F1" w14:textId="77777777" w:rsidR="0089021E" w:rsidRPr="0089021E" w:rsidRDefault="00000000">
      <w:pPr>
        <w:rPr>
          <w:sz w:val="22"/>
          <w:szCs w:val="22"/>
          <w:u w:val="single"/>
        </w:rPr>
      </w:pPr>
      <w:r w:rsidRPr="0089021E">
        <w:rPr>
          <w:sz w:val="22"/>
          <w:szCs w:val="22"/>
          <w:u w:val="single"/>
        </w:rPr>
        <w:t>Bibliography – Electronic Sources</w:t>
      </w:r>
    </w:p>
    <w:p w14:paraId="0035C60F" w14:textId="1E2F605E" w:rsidR="00E73599" w:rsidRPr="0089021E" w:rsidRDefault="00000000">
      <w:pPr>
        <w:rPr>
          <w:sz w:val="22"/>
          <w:szCs w:val="22"/>
        </w:rPr>
      </w:pPr>
      <w:r w:rsidRPr="0089021E">
        <w:rPr>
          <w:sz w:val="22"/>
          <w:szCs w:val="22"/>
        </w:rPr>
        <w:t xml:space="preserve">The Miracle </w:t>
      </w:r>
      <w:proofErr w:type="gramStart"/>
      <w:r w:rsidRPr="0089021E">
        <w:rPr>
          <w:sz w:val="22"/>
          <w:szCs w:val="22"/>
        </w:rPr>
        <w:t>Of</w:t>
      </w:r>
      <w:proofErr w:type="gramEnd"/>
      <w:r w:rsidRPr="0089021E">
        <w:rPr>
          <w:sz w:val="22"/>
          <w:szCs w:val="22"/>
        </w:rPr>
        <w:t xml:space="preserve"> the Resuscitation of the Twice-Hanged William Cragh, ed. And trans. Harriett Webster, City Witness Project (</w:t>
      </w:r>
      <w:hyperlink r:id="rId7" w:history="1">
        <w:r w:rsidRPr="0089021E">
          <w:rPr>
            <w:rStyle w:val="Hyperlink"/>
            <w:sz w:val="22"/>
            <w:szCs w:val="22"/>
          </w:rPr>
          <w:t>www.medievalswansea.ac.uk</w:t>
        </w:r>
      </w:hyperlink>
      <w:r w:rsidRPr="0089021E">
        <w:rPr>
          <w:sz w:val="22"/>
          <w:szCs w:val="22"/>
        </w:rPr>
        <w:t xml:space="preserve"> , accessed 8 </w:t>
      </w:r>
      <w:proofErr w:type="gramStart"/>
      <w:r w:rsidRPr="0089021E">
        <w:rPr>
          <w:sz w:val="22"/>
          <w:szCs w:val="22"/>
        </w:rPr>
        <w:t>November,</w:t>
      </w:r>
      <w:proofErr w:type="gramEnd"/>
      <w:r w:rsidRPr="0089021E">
        <w:rPr>
          <w:sz w:val="22"/>
          <w:szCs w:val="22"/>
        </w:rPr>
        <w:t xml:space="preserve"> 2025)</w:t>
      </w:r>
    </w:p>
    <w:sectPr w:rsidR="00E73599" w:rsidRPr="0089021E">
      <w:headerReference w:type="default" r:id="rId8"/>
      <w:footerReference w:type="default" r:id="rId9"/>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D5E201" w14:textId="77777777" w:rsidR="000D64CD" w:rsidRDefault="000D64CD">
      <w:pPr>
        <w:spacing w:after="0" w:line="240" w:lineRule="auto"/>
      </w:pPr>
      <w:r>
        <w:separator/>
      </w:r>
    </w:p>
  </w:endnote>
  <w:endnote w:type="continuationSeparator" w:id="0">
    <w:p w14:paraId="271CFCFA" w14:textId="77777777" w:rsidR="000D64CD" w:rsidRDefault="000D64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474C2C"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11E6DF" w14:textId="77777777" w:rsidR="000D64CD" w:rsidRDefault="000D64CD">
      <w:pPr>
        <w:spacing w:after="0" w:line="240" w:lineRule="auto"/>
      </w:pPr>
      <w:r>
        <w:rPr>
          <w:color w:val="000000"/>
        </w:rPr>
        <w:separator/>
      </w:r>
    </w:p>
  </w:footnote>
  <w:footnote w:type="continuationSeparator" w:id="0">
    <w:p w14:paraId="3E9F7600" w14:textId="77777777" w:rsidR="000D64CD" w:rsidRDefault="000D64CD">
      <w:pPr>
        <w:spacing w:after="0" w:line="240" w:lineRule="auto"/>
      </w:pPr>
      <w:r>
        <w:continuationSeparator/>
      </w:r>
    </w:p>
  </w:footnote>
  <w:footnote w:id="1">
    <w:p w14:paraId="32659BF3" w14:textId="2D6A3DFD" w:rsidR="00000000" w:rsidRDefault="00000000" w:rsidP="003C2B3F">
      <w:pPr>
        <w:pStyle w:val="FootnoteText"/>
      </w:pPr>
      <w:r>
        <w:rPr>
          <w:rStyle w:val="FootnoteReference"/>
        </w:rPr>
        <w:footnoteRef/>
      </w:r>
      <w:r>
        <w:t xml:space="preserve"> Saint Thomas of </w:t>
      </w:r>
      <w:proofErr w:type="spellStart"/>
      <w:r>
        <w:t>Cantilupe</w:t>
      </w:r>
      <w:proofErr w:type="spellEnd"/>
      <w:r>
        <w:t xml:space="preserve"> (1218-1282) – Bishop of Hereford, who supposedly did healing miracles. Was canonised as a Saint by the Pope in 1320, after this investigation commenced.</w:t>
      </w:r>
    </w:p>
  </w:footnote>
  <w:footnote w:id="2">
    <w:p w14:paraId="02E93E3E" w14:textId="1E1F2F67" w:rsidR="00000000" w:rsidRDefault="00000000" w:rsidP="003C2B3F">
      <w:pPr>
        <w:pStyle w:val="FootnoteText"/>
      </w:pPr>
      <w:r>
        <w:rPr>
          <w:rStyle w:val="FootnoteReference"/>
        </w:rPr>
        <w:footnoteRef/>
      </w:r>
      <w:r>
        <w:t xml:space="preserve"> Lady Mary de Briouze (-1326) – William de Briouze’s third wife.</w:t>
      </w:r>
    </w:p>
  </w:footnote>
  <w:footnote w:id="3">
    <w:p w14:paraId="7446BE6E" w14:textId="22A48F6E" w:rsidR="00000000" w:rsidRDefault="00000000" w:rsidP="003C2B3F">
      <w:pPr>
        <w:pStyle w:val="FootnoteText"/>
      </w:pPr>
      <w:r>
        <w:rPr>
          <w:rStyle w:val="FootnoteReference"/>
        </w:rPr>
        <w:footnoteRef/>
      </w:r>
      <w:r>
        <w:t xml:space="preserve"> Lord William de Briouze Sr – The landowner of </w:t>
      </w:r>
      <w:proofErr w:type="spellStart"/>
      <w:r>
        <w:t>Oystermouth</w:t>
      </w:r>
      <w:proofErr w:type="spellEnd"/>
      <w:r>
        <w:t xml:space="preserve"> Castle, who sentenced </w:t>
      </w:r>
      <w:proofErr w:type="spellStart"/>
      <w:r>
        <w:t>Cragh</w:t>
      </w:r>
      <w:proofErr w:type="spellEnd"/>
      <w:r>
        <w:t xml:space="preserve"> to death for his actions.</w:t>
      </w:r>
    </w:p>
  </w:footnote>
  <w:footnote w:id="4">
    <w:p w14:paraId="1A8CD341" w14:textId="32FCADCE" w:rsidR="00000000" w:rsidRDefault="00000000" w:rsidP="003C2B3F">
      <w:pPr>
        <w:pStyle w:val="FootnoteText"/>
      </w:pPr>
      <w:r>
        <w:rPr>
          <w:rStyle w:val="FootnoteReference"/>
        </w:rPr>
        <w:footnoteRef/>
      </w:r>
      <w:r>
        <w:t xml:space="preserve"> </w:t>
      </w:r>
      <w:r>
        <w:rPr>
          <w:i/>
          <w:iCs/>
        </w:rPr>
        <w:t>Mary de Briouze</w:t>
      </w:r>
      <w:r>
        <w:t xml:space="preserve">, </w:t>
      </w:r>
      <w:r>
        <w:rPr>
          <w:i/>
          <w:iCs/>
        </w:rPr>
        <w:t xml:space="preserve">Witness II, The Twice-Hanged William Cragh, </w:t>
      </w:r>
      <w:r>
        <w:t>ed. And trans. Harriett Webster, City Witness Project</w:t>
      </w:r>
    </w:p>
  </w:footnote>
  <w:footnote w:id="5">
    <w:p w14:paraId="0749FA05" w14:textId="2D8A7023" w:rsidR="00000000" w:rsidRDefault="00000000" w:rsidP="003C2B3F">
      <w:pPr>
        <w:pStyle w:val="FootnoteText"/>
      </w:pPr>
      <w:r>
        <w:rPr>
          <w:rStyle w:val="FootnoteReference"/>
        </w:rPr>
        <w:footnoteRef/>
      </w:r>
      <w:r>
        <w:t xml:space="preserve"> </w:t>
      </w:r>
      <w:proofErr w:type="spellStart"/>
      <w:r>
        <w:t>Oystermouth</w:t>
      </w:r>
      <w:proofErr w:type="spellEnd"/>
      <w:r>
        <w:t xml:space="preserve"> Castle – A castle on the outskirts of Swansea.</w:t>
      </w:r>
    </w:p>
  </w:footnote>
  <w:footnote w:id="6">
    <w:p w14:paraId="49301160" w14:textId="491B0B39" w:rsidR="00000000" w:rsidRDefault="00000000" w:rsidP="003C2B3F">
      <w:pPr>
        <w:pStyle w:val="FootnoteText"/>
      </w:pPr>
      <w:r>
        <w:rPr>
          <w:rStyle w:val="FootnoteReference"/>
        </w:rPr>
        <w:footnoteRef/>
      </w:r>
      <w:r>
        <w:t xml:space="preserve"> </w:t>
      </w:r>
      <w:r>
        <w:rPr>
          <w:i/>
          <w:iCs/>
        </w:rPr>
        <w:t xml:space="preserve">Mary de Briouze, </w:t>
      </w:r>
      <w:r>
        <w:t>Webster, City Witness Project</w:t>
      </w:r>
    </w:p>
  </w:footnote>
  <w:footnote w:id="7">
    <w:p w14:paraId="2410E2B2" w14:textId="0DBA8F60" w:rsidR="00000000" w:rsidRDefault="00000000" w:rsidP="003C2B3F">
      <w:pPr>
        <w:pStyle w:val="FootnoteText"/>
      </w:pPr>
      <w:r>
        <w:rPr>
          <w:rStyle w:val="FootnoteReference"/>
        </w:rPr>
        <w:footnoteRef/>
      </w:r>
      <w:r>
        <w:rPr>
          <w:lang w:val="it-IT"/>
        </w:rPr>
        <w:t xml:space="preserve"> Ibid.</w:t>
      </w:r>
    </w:p>
  </w:footnote>
  <w:footnote w:id="8">
    <w:p w14:paraId="36E0E712" w14:textId="4271403F" w:rsidR="00000000" w:rsidRDefault="00000000" w:rsidP="003C2B3F">
      <w:pPr>
        <w:pStyle w:val="FootnoteText"/>
      </w:pPr>
      <w:r>
        <w:rPr>
          <w:rStyle w:val="FootnoteReference"/>
        </w:rPr>
        <w:footnoteRef/>
      </w:r>
      <w:r>
        <w:rPr>
          <w:lang w:val="it-IT"/>
        </w:rPr>
        <w:t xml:space="preserve"> Ibid.</w:t>
      </w:r>
    </w:p>
  </w:footnote>
  <w:footnote w:id="9">
    <w:p w14:paraId="3650D0F1" w14:textId="15E9B92A" w:rsidR="00000000" w:rsidRDefault="00000000" w:rsidP="003C2B3F">
      <w:pPr>
        <w:pStyle w:val="FootnoteText"/>
      </w:pPr>
      <w:r>
        <w:rPr>
          <w:rStyle w:val="FootnoteReference"/>
        </w:rPr>
        <w:footnoteRef/>
      </w:r>
      <w:r>
        <w:t xml:space="preserve"> Ibid.</w:t>
      </w:r>
    </w:p>
  </w:footnote>
  <w:footnote w:id="10">
    <w:p w14:paraId="72980171" w14:textId="5BE8EB10" w:rsidR="003C2B3F" w:rsidRDefault="003C2B3F">
      <w:pPr>
        <w:pStyle w:val="FootnoteText"/>
      </w:pPr>
      <w:r>
        <w:rPr>
          <w:rStyle w:val="FootnoteReference"/>
        </w:rPr>
        <w:footnoteRef/>
      </w:r>
      <w:r>
        <w:t xml:space="preserve"> 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71B77" w14:textId="77777777" w:rsidR="00000000" w:rsidRDefault="00000000">
    <w:pPr>
      <w:pStyle w:val="Header"/>
    </w:pPr>
    <w:r>
      <w:t>Flynn Theisler</w:t>
    </w:r>
  </w:p>
  <w:p w14:paraId="3B15516A" w14:textId="77777777" w:rsidR="00000000" w:rsidRDefault="00000000">
    <w:pPr>
      <w:pStyle w:val="Header"/>
    </w:pPr>
    <w:r>
      <w:t>2503772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E73599"/>
    <w:rsid w:val="000D64CD"/>
    <w:rsid w:val="003C2B3F"/>
    <w:rsid w:val="005E2EE3"/>
    <w:rsid w:val="007429F8"/>
    <w:rsid w:val="0089021E"/>
    <w:rsid w:val="00B168DD"/>
    <w:rsid w:val="00C15CCE"/>
    <w:rsid w:val="00E73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C668F"/>
  <w15:docId w15:val="{7C339CB0-E73D-43F8-9873-EE8CCD6E9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rPr>
      <w:rFonts w:ascii="Aptos" w:eastAsia="Aptos" w:hAnsi="Aptos" w:cs="Times New Roman"/>
      <w:kern w:val="3"/>
      <w:sz w:val="20"/>
      <w:szCs w:val="20"/>
    </w:rPr>
  </w:style>
  <w:style w:type="character" w:styleId="FootnoteReference">
    <w:name w:val="footnote reference"/>
    <w:basedOn w:val="DefaultParagraphFont"/>
    <w:rPr>
      <w:position w:val="0"/>
      <w:vertAlign w:val="superscript"/>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ascii="Aptos" w:eastAsia="Aptos" w:hAnsi="Aptos" w:cs="Times New Roman"/>
      <w:kern w:val="3"/>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ascii="Aptos" w:eastAsia="Aptos" w:hAnsi="Aptos" w:cs="Times New Roman"/>
      <w:kern w:val="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medievalswansea.ac.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679FDA-E3B7-4A78-BB15-E789D1689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840</Words>
  <Characters>4790</Characters>
  <Application>Microsoft Office Word</Application>
  <DocSecurity>0</DocSecurity>
  <Lines>39</Lines>
  <Paragraphs>11</Paragraphs>
  <ScaleCrop>false</ScaleCrop>
  <Company/>
  <LinksUpToDate>false</LinksUpToDate>
  <CharactersWithSpaces>5619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Flynn Theisler (2503772)</dc:creator>
  <dc:description/>
  <cp:lastModifiedBy>Flynn Theisler (2503772)</cp:lastModifiedBy>
  <cp:revision>4</cp:revision>
  <dcterms:created xsi:type="dcterms:W3CDTF">2025-11-11T18:31:00Z</dcterms:created>
  <dcterms:modified xsi:type="dcterms:W3CDTF">2025-11-11T18:31:00Z</dcterms:modified>
</cp:coreProperties>
</file>