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05DAC" w14:textId="77777777" w:rsidR="002977D9" w:rsidRPr="00806BA4" w:rsidRDefault="002977D9">
      <w:pPr>
        <w:rPr>
          <w:rFonts w:cs="Times New Roman"/>
          <w:color w:val="000000" w:themeColor="text1"/>
          <w:szCs w:val="24"/>
        </w:rPr>
      </w:pPr>
    </w:p>
    <w:p w14:paraId="3F464A27" w14:textId="77777777" w:rsidR="006930A9" w:rsidRPr="00806BA4" w:rsidRDefault="006930A9">
      <w:pPr>
        <w:rPr>
          <w:rFonts w:cs="Times New Roman"/>
          <w:color w:val="000000" w:themeColor="text1"/>
          <w:szCs w:val="24"/>
        </w:rPr>
      </w:pPr>
    </w:p>
    <w:p w14:paraId="06979CA1" w14:textId="77777777" w:rsidR="006930A9" w:rsidRPr="00806BA4" w:rsidRDefault="006930A9" w:rsidP="00291282">
      <w:pPr>
        <w:jc w:val="center"/>
        <w:rPr>
          <w:rFonts w:cs="Times New Roman"/>
          <w:color w:val="000000" w:themeColor="text1"/>
          <w:szCs w:val="24"/>
        </w:rPr>
      </w:pPr>
    </w:p>
    <w:p w14:paraId="01607388" w14:textId="77777777" w:rsidR="006930A9" w:rsidRPr="00806BA4" w:rsidRDefault="006930A9" w:rsidP="00291282">
      <w:pPr>
        <w:jc w:val="center"/>
        <w:rPr>
          <w:rFonts w:cs="Times New Roman"/>
          <w:b/>
          <w:color w:val="000000" w:themeColor="text1"/>
          <w:szCs w:val="24"/>
        </w:rPr>
      </w:pPr>
      <w:r w:rsidRPr="00806BA4">
        <w:rPr>
          <w:rFonts w:cs="Times New Roman"/>
          <w:b/>
          <w:color w:val="000000" w:themeColor="text1"/>
          <w:szCs w:val="24"/>
        </w:rPr>
        <w:t>Programme: BA International Hotel Management</w:t>
      </w:r>
    </w:p>
    <w:p w14:paraId="6C3CCDDE" w14:textId="77777777" w:rsidR="006930A9" w:rsidRPr="00806BA4" w:rsidRDefault="006930A9" w:rsidP="00291282">
      <w:pPr>
        <w:jc w:val="center"/>
        <w:rPr>
          <w:rFonts w:cs="Times New Roman"/>
          <w:b/>
          <w:color w:val="000000" w:themeColor="text1"/>
          <w:szCs w:val="24"/>
        </w:rPr>
      </w:pPr>
      <w:r w:rsidRPr="00806BA4">
        <w:rPr>
          <w:rFonts w:cs="Times New Roman"/>
          <w:b/>
          <w:color w:val="000000" w:themeColor="text1"/>
          <w:szCs w:val="24"/>
        </w:rPr>
        <w:t>Module: Financial Management for the Hotel Industry</w:t>
      </w:r>
    </w:p>
    <w:p w14:paraId="73B2B6F5" w14:textId="77777777" w:rsidR="006930A9" w:rsidRPr="00806BA4" w:rsidRDefault="006930A9" w:rsidP="00291282">
      <w:pPr>
        <w:jc w:val="center"/>
        <w:rPr>
          <w:rFonts w:cs="Times New Roman"/>
          <w:b/>
          <w:color w:val="000000" w:themeColor="text1"/>
          <w:szCs w:val="24"/>
        </w:rPr>
      </w:pPr>
      <w:r w:rsidRPr="00806BA4">
        <w:rPr>
          <w:rFonts w:cs="Times New Roman"/>
          <w:b/>
          <w:color w:val="000000" w:themeColor="text1"/>
          <w:szCs w:val="24"/>
        </w:rPr>
        <w:t>Module code: BMIH5007</w:t>
      </w:r>
    </w:p>
    <w:p w14:paraId="2A21BD61" w14:textId="77777777" w:rsidR="006930A9" w:rsidRPr="00806BA4" w:rsidRDefault="006930A9" w:rsidP="00291282">
      <w:pPr>
        <w:jc w:val="center"/>
        <w:rPr>
          <w:rFonts w:cs="Times New Roman"/>
          <w:b/>
          <w:color w:val="000000" w:themeColor="text1"/>
          <w:szCs w:val="24"/>
        </w:rPr>
      </w:pPr>
      <w:r w:rsidRPr="00806BA4">
        <w:rPr>
          <w:rFonts w:cs="Times New Roman"/>
          <w:b/>
          <w:color w:val="000000" w:themeColor="text1"/>
          <w:szCs w:val="24"/>
        </w:rPr>
        <w:t>Lecturer: Tristan Hawkins, Jaliya de Silva</w:t>
      </w:r>
    </w:p>
    <w:p w14:paraId="6B6B0D20" w14:textId="77777777" w:rsidR="006930A9" w:rsidRDefault="001703AB" w:rsidP="00291282">
      <w:pPr>
        <w:jc w:val="center"/>
        <w:rPr>
          <w:rFonts w:cs="Times New Roman"/>
          <w:b/>
          <w:color w:val="000000" w:themeColor="text1"/>
          <w:szCs w:val="24"/>
        </w:rPr>
      </w:pPr>
      <w:r w:rsidRPr="00806BA4">
        <w:rPr>
          <w:rFonts w:cs="Times New Roman"/>
          <w:b/>
          <w:color w:val="000000" w:themeColor="text1"/>
          <w:szCs w:val="24"/>
        </w:rPr>
        <w:t xml:space="preserve">Assignment Title: Report Case Study: The </w:t>
      </w:r>
      <w:r w:rsidR="00C762AF" w:rsidRPr="00806BA4">
        <w:rPr>
          <w:rFonts w:cs="Times New Roman"/>
          <w:b/>
          <w:color w:val="000000" w:themeColor="text1"/>
          <w:szCs w:val="24"/>
        </w:rPr>
        <w:t>Seacrest Lodge</w:t>
      </w:r>
    </w:p>
    <w:p w14:paraId="371C3FBB" w14:textId="14E4437B" w:rsidR="00095E68" w:rsidRDefault="00095E68" w:rsidP="00291282">
      <w:pPr>
        <w:jc w:val="center"/>
        <w:rPr>
          <w:rFonts w:cs="Times New Roman"/>
          <w:b/>
          <w:color w:val="000000" w:themeColor="text1"/>
          <w:szCs w:val="24"/>
        </w:rPr>
      </w:pPr>
      <w:r>
        <w:rPr>
          <w:rFonts w:cs="Times New Roman"/>
          <w:b/>
          <w:color w:val="000000" w:themeColor="text1"/>
          <w:szCs w:val="24"/>
        </w:rPr>
        <w:t>Student Name: Victor Badaluta</w:t>
      </w:r>
    </w:p>
    <w:p w14:paraId="00850FE5" w14:textId="5754009C" w:rsidR="00095E68" w:rsidRPr="00806BA4" w:rsidRDefault="00095E68" w:rsidP="00291282">
      <w:pPr>
        <w:jc w:val="center"/>
        <w:rPr>
          <w:rFonts w:cs="Times New Roman"/>
          <w:b/>
          <w:color w:val="000000" w:themeColor="text1"/>
          <w:szCs w:val="24"/>
        </w:rPr>
      </w:pPr>
      <w:r>
        <w:rPr>
          <w:rFonts w:cs="Times New Roman"/>
          <w:b/>
          <w:color w:val="000000" w:themeColor="text1"/>
          <w:szCs w:val="24"/>
        </w:rPr>
        <w:t>Student Number: 2212187</w:t>
      </w:r>
    </w:p>
    <w:p w14:paraId="04E36B21" w14:textId="77777777" w:rsidR="006930A9" w:rsidRPr="00806BA4" w:rsidRDefault="006930A9" w:rsidP="006930A9">
      <w:pPr>
        <w:rPr>
          <w:rFonts w:cs="Times New Roman"/>
          <w:b/>
          <w:color w:val="000000" w:themeColor="text1"/>
          <w:szCs w:val="24"/>
        </w:rPr>
      </w:pPr>
      <w:r w:rsidRPr="00806BA4">
        <w:rPr>
          <w:rFonts w:cs="Times New Roman"/>
          <w:b/>
          <w:color w:val="000000" w:themeColor="text1"/>
          <w:szCs w:val="24"/>
        </w:rPr>
        <w:br w:type="page"/>
      </w:r>
      <w:r w:rsidR="001703AB" w:rsidRPr="00806BA4">
        <w:rPr>
          <w:rFonts w:cs="Times New Roman"/>
          <w:b/>
          <w:color w:val="000000" w:themeColor="text1"/>
          <w:szCs w:val="24"/>
        </w:rPr>
        <w:lastRenderedPageBreak/>
        <w:t xml:space="preserve"> </w:t>
      </w:r>
    </w:p>
    <w:sdt>
      <w:sdtPr>
        <w:rPr>
          <w:rFonts w:eastAsiaTheme="minorHAnsi" w:cs="Times New Roman"/>
          <w:b w:val="0"/>
          <w:color w:val="000000" w:themeColor="text1"/>
          <w:szCs w:val="24"/>
        </w:rPr>
        <w:id w:val="-363211223"/>
        <w:docPartObj>
          <w:docPartGallery w:val="Table of Contents"/>
          <w:docPartUnique/>
        </w:docPartObj>
      </w:sdtPr>
      <w:sdtEndPr>
        <w:rPr>
          <w:bCs/>
          <w:noProof/>
        </w:rPr>
      </w:sdtEndPr>
      <w:sdtContent>
        <w:p w14:paraId="2391970C" w14:textId="77777777" w:rsidR="009B5BD6" w:rsidRPr="00806BA4" w:rsidRDefault="009B5BD6" w:rsidP="009B5BD6">
          <w:pPr>
            <w:pStyle w:val="TOCHeading"/>
            <w:spacing w:line="360" w:lineRule="auto"/>
            <w:jc w:val="center"/>
            <w:rPr>
              <w:rFonts w:cs="Times New Roman"/>
              <w:b w:val="0"/>
              <w:color w:val="000000" w:themeColor="text1"/>
              <w:szCs w:val="24"/>
            </w:rPr>
          </w:pPr>
          <w:r w:rsidRPr="00806BA4">
            <w:rPr>
              <w:rFonts w:cs="Times New Roman"/>
              <w:color w:val="000000" w:themeColor="text1"/>
              <w:szCs w:val="24"/>
            </w:rPr>
            <w:t>Table of Contents</w:t>
          </w:r>
        </w:p>
        <w:p w14:paraId="235C7AD5" w14:textId="77777777" w:rsidR="00D02F29" w:rsidRDefault="009B5BD6">
          <w:pPr>
            <w:pStyle w:val="TOC1"/>
            <w:tabs>
              <w:tab w:val="left" w:pos="440"/>
              <w:tab w:val="right" w:leader="dot" w:pos="9350"/>
            </w:tabs>
            <w:rPr>
              <w:rFonts w:asciiTheme="minorHAnsi" w:eastAsiaTheme="minorEastAsia" w:hAnsiTheme="minorHAnsi"/>
              <w:noProof/>
              <w:sz w:val="22"/>
            </w:rPr>
          </w:pPr>
          <w:r w:rsidRPr="00806BA4">
            <w:rPr>
              <w:rFonts w:cs="Times New Roman"/>
              <w:color w:val="000000" w:themeColor="text1"/>
              <w:szCs w:val="24"/>
            </w:rPr>
            <w:fldChar w:fldCharType="begin"/>
          </w:r>
          <w:r w:rsidRPr="00806BA4">
            <w:rPr>
              <w:rFonts w:cs="Times New Roman"/>
              <w:color w:val="000000" w:themeColor="text1"/>
              <w:szCs w:val="24"/>
            </w:rPr>
            <w:instrText xml:space="preserve"> TOC \o "1-3" \h \z \u </w:instrText>
          </w:r>
          <w:r w:rsidRPr="00806BA4">
            <w:rPr>
              <w:rFonts w:cs="Times New Roman"/>
              <w:color w:val="000000" w:themeColor="text1"/>
              <w:szCs w:val="24"/>
            </w:rPr>
            <w:fldChar w:fldCharType="separate"/>
          </w:r>
          <w:hyperlink w:anchor="_Toc159616480" w:history="1">
            <w:r w:rsidR="00D02F29" w:rsidRPr="009D49CF">
              <w:rPr>
                <w:rStyle w:val="Hyperlink"/>
                <w:rFonts w:cs="Times New Roman"/>
                <w:noProof/>
              </w:rPr>
              <w:t>1</w:t>
            </w:r>
            <w:r w:rsidR="00D02F29">
              <w:rPr>
                <w:rFonts w:asciiTheme="minorHAnsi" w:eastAsiaTheme="minorEastAsia" w:hAnsiTheme="minorHAnsi"/>
                <w:noProof/>
                <w:sz w:val="22"/>
              </w:rPr>
              <w:tab/>
            </w:r>
            <w:r w:rsidR="00D02F29" w:rsidRPr="009D49CF">
              <w:rPr>
                <w:rStyle w:val="Hyperlink"/>
                <w:rFonts w:cs="Times New Roman"/>
                <w:noProof/>
              </w:rPr>
              <w:t>Introduction</w:t>
            </w:r>
            <w:r w:rsidR="00D02F29">
              <w:rPr>
                <w:noProof/>
                <w:webHidden/>
              </w:rPr>
              <w:tab/>
            </w:r>
            <w:r w:rsidR="00D02F29">
              <w:rPr>
                <w:noProof/>
                <w:webHidden/>
              </w:rPr>
              <w:fldChar w:fldCharType="begin"/>
            </w:r>
            <w:r w:rsidR="00D02F29">
              <w:rPr>
                <w:noProof/>
                <w:webHidden/>
              </w:rPr>
              <w:instrText xml:space="preserve"> PAGEREF _Toc159616480 \h </w:instrText>
            </w:r>
            <w:r w:rsidR="00D02F29">
              <w:rPr>
                <w:noProof/>
                <w:webHidden/>
              </w:rPr>
            </w:r>
            <w:r w:rsidR="00D02F29">
              <w:rPr>
                <w:noProof/>
                <w:webHidden/>
              </w:rPr>
              <w:fldChar w:fldCharType="separate"/>
            </w:r>
            <w:r w:rsidR="00D02F29">
              <w:rPr>
                <w:noProof/>
                <w:webHidden/>
              </w:rPr>
              <w:t>3</w:t>
            </w:r>
            <w:r w:rsidR="00D02F29">
              <w:rPr>
                <w:noProof/>
                <w:webHidden/>
              </w:rPr>
              <w:fldChar w:fldCharType="end"/>
            </w:r>
          </w:hyperlink>
        </w:p>
        <w:p w14:paraId="2DE0FE31"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81" w:history="1">
            <w:r w:rsidR="00D02F29" w:rsidRPr="009D49CF">
              <w:rPr>
                <w:rStyle w:val="Hyperlink"/>
                <w:rFonts w:cs="Times New Roman"/>
                <w:noProof/>
              </w:rPr>
              <w:t>2</w:t>
            </w:r>
            <w:r w:rsidR="00D02F29">
              <w:rPr>
                <w:rFonts w:asciiTheme="minorHAnsi" w:eastAsiaTheme="minorEastAsia" w:hAnsiTheme="minorHAnsi"/>
                <w:noProof/>
                <w:sz w:val="22"/>
              </w:rPr>
              <w:tab/>
            </w:r>
            <w:r w:rsidR="00D02F29" w:rsidRPr="009D49CF">
              <w:rPr>
                <w:rStyle w:val="Hyperlink"/>
                <w:rFonts w:cs="Times New Roman"/>
                <w:noProof/>
              </w:rPr>
              <w:t>Market Analysis</w:t>
            </w:r>
            <w:r w:rsidR="00D02F29">
              <w:rPr>
                <w:noProof/>
                <w:webHidden/>
              </w:rPr>
              <w:tab/>
            </w:r>
            <w:r w:rsidR="00D02F29">
              <w:rPr>
                <w:noProof/>
                <w:webHidden/>
              </w:rPr>
              <w:fldChar w:fldCharType="begin"/>
            </w:r>
            <w:r w:rsidR="00D02F29">
              <w:rPr>
                <w:noProof/>
                <w:webHidden/>
              </w:rPr>
              <w:instrText xml:space="preserve"> PAGEREF _Toc159616481 \h </w:instrText>
            </w:r>
            <w:r w:rsidR="00D02F29">
              <w:rPr>
                <w:noProof/>
                <w:webHidden/>
              </w:rPr>
            </w:r>
            <w:r w:rsidR="00D02F29">
              <w:rPr>
                <w:noProof/>
                <w:webHidden/>
              </w:rPr>
              <w:fldChar w:fldCharType="separate"/>
            </w:r>
            <w:r w:rsidR="00D02F29">
              <w:rPr>
                <w:noProof/>
                <w:webHidden/>
              </w:rPr>
              <w:t>3</w:t>
            </w:r>
            <w:r w:rsidR="00D02F29">
              <w:rPr>
                <w:noProof/>
                <w:webHidden/>
              </w:rPr>
              <w:fldChar w:fldCharType="end"/>
            </w:r>
          </w:hyperlink>
        </w:p>
        <w:p w14:paraId="2B847C36"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82" w:history="1">
            <w:r w:rsidR="00D02F29" w:rsidRPr="009D49CF">
              <w:rPr>
                <w:rStyle w:val="Hyperlink"/>
                <w:rFonts w:cs="Times New Roman"/>
                <w:noProof/>
              </w:rPr>
              <w:t>2.1</w:t>
            </w:r>
            <w:r w:rsidR="00D02F29">
              <w:rPr>
                <w:rFonts w:asciiTheme="minorHAnsi" w:eastAsiaTheme="minorEastAsia" w:hAnsiTheme="minorHAnsi"/>
                <w:noProof/>
                <w:sz w:val="22"/>
              </w:rPr>
              <w:tab/>
            </w:r>
            <w:r w:rsidR="00D02F29" w:rsidRPr="009D49CF">
              <w:rPr>
                <w:rStyle w:val="Hyperlink"/>
                <w:rFonts w:cs="Times New Roman"/>
                <w:noProof/>
              </w:rPr>
              <w:t>Scope and Objectives</w:t>
            </w:r>
            <w:r w:rsidR="00D02F29">
              <w:rPr>
                <w:noProof/>
                <w:webHidden/>
              </w:rPr>
              <w:tab/>
            </w:r>
            <w:r w:rsidR="00D02F29">
              <w:rPr>
                <w:noProof/>
                <w:webHidden/>
              </w:rPr>
              <w:fldChar w:fldCharType="begin"/>
            </w:r>
            <w:r w:rsidR="00D02F29">
              <w:rPr>
                <w:noProof/>
                <w:webHidden/>
              </w:rPr>
              <w:instrText xml:space="preserve"> PAGEREF _Toc159616482 \h </w:instrText>
            </w:r>
            <w:r w:rsidR="00D02F29">
              <w:rPr>
                <w:noProof/>
                <w:webHidden/>
              </w:rPr>
            </w:r>
            <w:r w:rsidR="00D02F29">
              <w:rPr>
                <w:noProof/>
                <w:webHidden/>
              </w:rPr>
              <w:fldChar w:fldCharType="separate"/>
            </w:r>
            <w:r w:rsidR="00D02F29">
              <w:rPr>
                <w:noProof/>
                <w:webHidden/>
              </w:rPr>
              <w:t>3</w:t>
            </w:r>
            <w:r w:rsidR="00D02F29">
              <w:rPr>
                <w:noProof/>
                <w:webHidden/>
              </w:rPr>
              <w:fldChar w:fldCharType="end"/>
            </w:r>
          </w:hyperlink>
        </w:p>
        <w:p w14:paraId="149DF85D"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83" w:history="1">
            <w:r w:rsidR="00D02F29" w:rsidRPr="009D49CF">
              <w:rPr>
                <w:rStyle w:val="Hyperlink"/>
                <w:rFonts w:cs="Times New Roman"/>
                <w:noProof/>
              </w:rPr>
              <w:t>2.2</w:t>
            </w:r>
            <w:r w:rsidR="00D02F29">
              <w:rPr>
                <w:rFonts w:asciiTheme="minorHAnsi" w:eastAsiaTheme="minorEastAsia" w:hAnsiTheme="minorHAnsi"/>
                <w:noProof/>
                <w:sz w:val="22"/>
              </w:rPr>
              <w:tab/>
            </w:r>
            <w:r w:rsidR="00D02F29" w:rsidRPr="009D49CF">
              <w:rPr>
                <w:rStyle w:val="Hyperlink"/>
                <w:rFonts w:cs="Times New Roman"/>
                <w:noProof/>
              </w:rPr>
              <w:t>SWOT Analysis</w:t>
            </w:r>
            <w:r w:rsidR="00D02F29">
              <w:rPr>
                <w:noProof/>
                <w:webHidden/>
              </w:rPr>
              <w:tab/>
            </w:r>
            <w:r w:rsidR="00D02F29">
              <w:rPr>
                <w:noProof/>
                <w:webHidden/>
              </w:rPr>
              <w:fldChar w:fldCharType="begin"/>
            </w:r>
            <w:r w:rsidR="00D02F29">
              <w:rPr>
                <w:noProof/>
                <w:webHidden/>
              </w:rPr>
              <w:instrText xml:space="preserve"> PAGEREF _Toc159616483 \h </w:instrText>
            </w:r>
            <w:r w:rsidR="00D02F29">
              <w:rPr>
                <w:noProof/>
                <w:webHidden/>
              </w:rPr>
            </w:r>
            <w:r w:rsidR="00D02F29">
              <w:rPr>
                <w:noProof/>
                <w:webHidden/>
              </w:rPr>
              <w:fldChar w:fldCharType="separate"/>
            </w:r>
            <w:r w:rsidR="00D02F29">
              <w:rPr>
                <w:noProof/>
                <w:webHidden/>
              </w:rPr>
              <w:t>4</w:t>
            </w:r>
            <w:r w:rsidR="00D02F29">
              <w:rPr>
                <w:noProof/>
                <w:webHidden/>
              </w:rPr>
              <w:fldChar w:fldCharType="end"/>
            </w:r>
          </w:hyperlink>
        </w:p>
        <w:p w14:paraId="0B4DCBF9"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84" w:history="1">
            <w:r w:rsidR="00D02F29" w:rsidRPr="009D49CF">
              <w:rPr>
                <w:rStyle w:val="Hyperlink"/>
                <w:rFonts w:cs="Times New Roman"/>
                <w:noProof/>
              </w:rPr>
              <w:t>3</w:t>
            </w:r>
            <w:r w:rsidR="00D02F29">
              <w:rPr>
                <w:rFonts w:asciiTheme="minorHAnsi" w:eastAsiaTheme="minorEastAsia" w:hAnsiTheme="minorHAnsi"/>
                <w:noProof/>
                <w:sz w:val="22"/>
              </w:rPr>
              <w:tab/>
            </w:r>
            <w:r w:rsidR="00D02F29" w:rsidRPr="009D49CF">
              <w:rPr>
                <w:rStyle w:val="Hyperlink"/>
                <w:rFonts w:cs="Times New Roman"/>
                <w:noProof/>
              </w:rPr>
              <w:t>Financial Analysis</w:t>
            </w:r>
            <w:r w:rsidR="00D02F29">
              <w:rPr>
                <w:noProof/>
                <w:webHidden/>
              </w:rPr>
              <w:tab/>
            </w:r>
            <w:r w:rsidR="00D02F29">
              <w:rPr>
                <w:noProof/>
                <w:webHidden/>
              </w:rPr>
              <w:fldChar w:fldCharType="begin"/>
            </w:r>
            <w:r w:rsidR="00D02F29">
              <w:rPr>
                <w:noProof/>
                <w:webHidden/>
              </w:rPr>
              <w:instrText xml:space="preserve"> PAGEREF _Toc159616484 \h </w:instrText>
            </w:r>
            <w:r w:rsidR="00D02F29">
              <w:rPr>
                <w:noProof/>
                <w:webHidden/>
              </w:rPr>
            </w:r>
            <w:r w:rsidR="00D02F29">
              <w:rPr>
                <w:noProof/>
                <w:webHidden/>
              </w:rPr>
              <w:fldChar w:fldCharType="separate"/>
            </w:r>
            <w:r w:rsidR="00D02F29">
              <w:rPr>
                <w:noProof/>
                <w:webHidden/>
              </w:rPr>
              <w:t>4</w:t>
            </w:r>
            <w:r w:rsidR="00D02F29">
              <w:rPr>
                <w:noProof/>
                <w:webHidden/>
              </w:rPr>
              <w:fldChar w:fldCharType="end"/>
            </w:r>
          </w:hyperlink>
        </w:p>
        <w:p w14:paraId="4296CE2C"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85" w:history="1">
            <w:r w:rsidR="00D02F29" w:rsidRPr="009D49CF">
              <w:rPr>
                <w:rStyle w:val="Hyperlink"/>
                <w:rFonts w:cs="Times New Roman"/>
                <w:noProof/>
              </w:rPr>
              <w:t>3.1</w:t>
            </w:r>
            <w:r w:rsidR="00D02F29">
              <w:rPr>
                <w:rFonts w:asciiTheme="minorHAnsi" w:eastAsiaTheme="minorEastAsia" w:hAnsiTheme="minorHAnsi"/>
                <w:noProof/>
                <w:sz w:val="22"/>
              </w:rPr>
              <w:tab/>
            </w:r>
            <w:r w:rsidR="00D02F29" w:rsidRPr="009D49CF">
              <w:rPr>
                <w:rStyle w:val="Hyperlink"/>
                <w:rFonts w:cs="Times New Roman"/>
                <w:noProof/>
              </w:rPr>
              <w:t>Income Statement</w:t>
            </w:r>
            <w:r w:rsidR="00D02F29">
              <w:rPr>
                <w:noProof/>
                <w:webHidden/>
              </w:rPr>
              <w:tab/>
            </w:r>
            <w:r w:rsidR="00D02F29">
              <w:rPr>
                <w:noProof/>
                <w:webHidden/>
              </w:rPr>
              <w:fldChar w:fldCharType="begin"/>
            </w:r>
            <w:r w:rsidR="00D02F29">
              <w:rPr>
                <w:noProof/>
                <w:webHidden/>
              </w:rPr>
              <w:instrText xml:space="preserve"> PAGEREF _Toc159616485 \h </w:instrText>
            </w:r>
            <w:r w:rsidR="00D02F29">
              <w:rPr>
                <w:noProof/>
                <w:webHidden/>
              </w:rPr>
            </w:r>
            <w:r w:rsidR="00D02F29">
              <w:rPr>
                <w:noProof/>
                <w:webHidden/>
              </w:rPr>
              <w:fldChar w:fldCharType="separate"/>
            </w:r>
            <w:r w:rsidR="00D02F29">
              <w:rPr>
                <w:noProof/>
                <w:webHidden/>
              </w:rPr>
              <w:t>5</w:t>
            </w:r>
            <w:r w:rsidR="00D02F29">
              <w:rPr>
                <w:noProof/>
                <w:webHidden/>
              </w:rPr>
              <w:fldChar w:fldCharType="end"/>
            </w:r>
          </w:hyperlink>
        </w:p>
        <w:p w14:paraId="2E704919"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86" w:history="1">
            <w:r w:rsidR="00D02F29" w:rsidRPr="009D49CF">
              <w:rPr>
                <w:rStyle w:val="Hyperlink"/>
                <w:rFonts w:cs="Times New Roman"/>
                <w:noProof/>
              </w:rPr>
              <w:t>3.2</w:t>
            </w:r>
            <w:r w:rsidR="00D02F29">
              <w:rPr>
                <w:rFonts w:asciiTheme="minorHAnsi" w:eastAsiaTheme="minorEastAsia" w:hAnsiTheme="minorHAnsi"/>
                <w:noProof/>
                <w:sz w:val="22"/>
              </w:rPr>
              <w:tab/>
            </w:r>
            <w:r w:rsidR="00D02F29" w:rsidRPr="009D49CF">
              <w:rPr>
                <w:rStyle w:val="Hyperlink"/>
                <w:rFonts w:cs="Times New Roman"/>
                <w:noProof/>
              </w:rPr>
              <w:t>Balance Sheet</w:t>
            </w:r>
            <w:r w:rsidR="00D02F29">
              <w:rPr>
                <w:noProof/>
                <w:webHidden/>
              </w:rPr>
              <w:tab/>
            </w:r>
            <w:r w:rsidR="00D02F29">
              <w:rPr>
                <w:noProof/>
                <w:webHidden/>
              </w:rPr>
              <w:fldChar w:fldCharType="begin"/>
            </w:r>
            <w:r w:rsidR="00D02F29">
              <w:rPr>
                <w:noProof/>
                <w:webHidden/>
              </w:rPr>
              <w:instrText xml:space="preserve"> PAGEREF _Toc159616486 \h </w:instrText>
            </w:r>
            <w:r w:rsidR="00D02F29">
              <w:rPr>
                <w:noProof/>
                <w:webHidden/>
              </w:rPr>
            </w:r>
            <w:r w:rsidR="00D02F29">
              <w:rPr>
                <w:noProof/>
                <w:webHidden/>
              </w:rPr>
              <w:fldChar w:fldCharType="separate"/>
            </w:r>
            <w:r w:rsidR="00D02F29">
              <w:rPr>
                <w:noProof/>
                <w:webHidden/>
              </w:rPr>
              <w:t>5</w:t>
            </w:r>
            <w:r w:rsidR="00D02F29">
              <w:rPr>
                <w:noProof/>
                <w:webHidden/>
              </w:rPr>
              <w:fldChar w:fldCharType="end"/>
            </w:r>
          </w:hyperlink>
        </w:p>
        <w:p w14:paraId="24B11921"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87" w:history="1">
            <w:r w:rsidR="00D02F29" w:rsidRPr="009D49CF">
              <w:rPr>
                <w:rStyle w:val="Hyperlink"/>
                <w:rFonts w:cs="Times New Roman"/>
                <w:noProof/>
              </w:rPr>
              <w:t>4</w:t>
            </w:r>
            <w:r w:rsidR="00D02F29">
              <w:rPr>
                <w:rFonts w:asciiTheme="minorHAnsi" w:eastAsiaTheme="minorEastAsia" w:hAnsiTheme="minorHAnsi"/>
                <w:noProof/>
                <w:sz w:val="22"/>
              </w:rPr>
              <w:tab/>
            </w:r>
            <w:r w:rsidR="00D02F29" w:rsidRPr="009D49CF">
              <w:rPr>
                <w:rStyle w:val="Hyperlink"/>
                <w:rFonts w:cs="Times New Roman"/>
                <w:noProof/>
              </w:rPr>
              <w:t>Additional Financial Information</w:t>
            </w:r>
            <w:r w:rsidR="00D02F29">
              <w:rPr>
                <w:noProof/>
                <w:webHidden/>
              </w:rPr>
              <w:tab/>
            </w:r>
            <w:r w:rsidR="00D02F29">
              <w:rPr>
                <w:noProof/>
                <w:webHidden/>
              </w:rPr>
              <w:fldChar w:fldCharType="begin"/>
            </w:r>
            <w:r w:rsidR="00D02F29">
              <w:rPr>
                <w:noProof/>
                <w:webHidden/>
              </w:rPr>
              <w:instrText xml:space="preserve"> PAGEREF _Toc159616487 \h </w:instrText>
            </w:r>
            <w:r w:rsidR="00D02F29">
              <w:rPr>
                <w:noProof/>
                <w:webHidden/>
              </w:rPr>
            </w:r>
            <w:r w:rsidR="00D02F29">
              <w:rPr>
                <w:noProof/>
                <w:webHidden/>
              </w:rPr>
              <w:fldChar w:fldCharType="separate"/>
            </w:r>
            <w:r w:rsidR="00D02F29">
              <w:rPr>
                <w:noProof/>
                <w:webHidden/>
              </w:rPr>
              <w:t>6</w:t>
            </w:r>
            <w:r w:rsidR="00D02F29">
              <w:rPr>
                <w:noProof/>
                <w:webHidden/>
              </w:rPr>
              <w:fldChar w:fldCharType="end"/>
            </w:r>
          </w:hyperlink>
        </w:p>
        <w:p w14:paraId="391DC0AF"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88" w:history="1">
            <w:r w:rsidR="00D02F29" w:rsidRPr="009D49CF">
              <w:rPr>
                <w:rStyle w:val="Hyperlink"/>
                <w:rFonts w:cs="Times New Roman"/>
                <w:noProof/>
              </w:rPr>
              <w:t>1.1</w:t>
            </w:r>
            <w:r w:rsidR="00D02F29">
              <w:rPr>
                <w:rFonts w:asciiTheme="minorHAnsi" w:eastAsiaTheme="minorEastAsia" w:hAnsiTheme="minorHAnsi"/>
                <w:noProof/>
                <w:sz w:val="22"/>
              </w:rPr>
              <w:tab/>
            </w:r>
            <w:r w:rsidR="00D02F29" w:rsidRPr="009D49CF">
              <w:rPr>
                <w:rStyle w:val="Hyperlink"/>
                <w:rFonts w:cs="Times New Roman"/>
                <w:noProof/>
              </w:rPr>
              <w:t>Average room rate</w:t>
            </w:r>
            <w:r w:rsidR="00D02F29">
              <w:rPr>
                <w:noProof/>
                <w:webHidden/>
              </w:rPr>
              <w:tab/>
            </w:r>
            <w:r w:rsidR="00D02F29">
              <w:rPr>
                <w:noProof/>
                <w:webHidden/>
              </w:rPr>
              <w:fldChar w:fldCharType="begin"/>
            </w:r>
            <w:r w:rsidR="00D02F29">
              <w:rPr>
                <w:noProof/>
                <w:webHidden/>
              </w:rPr>
              <w:instrText xml:space="preserve"> PAGEREF _Toc159616488 \h </w:instrText>
            </w:r>
            <w:r w:rsidR="00D02F29">
              <w:rPr>
                <w:noProof/>
                <w:webHidden/>
              </w:rPr>
            </w:r>
            <w:r w:rsidR="00D02F29">
              <w:rPr>
                <w:noProof/>
                <w:webHidden/>
              </w:rPr>
              <w:fldChar w:fldCharType="separate"/>
            </w:r>
            <w:r w:rsidR="00D02F29">
              <w:rPr>
                <w:noProof/>
                <w:webHidden/>
              </w:rPr>
              <w:t>6</w:t>
            </w:r>
            <w:r w:rsidR="00D02F29">
              <w:rPr>
                <w:noProof/>
                <w:webHidden/>
              </w:rPr>
              <w:fldChar w:fldCharType="end"/>
            </w:r>
          </w:hyperlink>
        </w:p>
        <w:p w14:paraId="4575CE2B"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89" w:history="1">
            <w:r w:rsidR="00D02F29" w:rsidRPr="009D49CF">
              <w:rPr>
                <w:rStyle w:val="Hyperlink"/>
                <w:rFonts w:cs="Times New Roman"/>
                <w:noProof/>
              </w:rPr>
              <w:t>1.2</w:t>
            </w:r>
            <w:r w:rsidR="00D02F29">
              <w:rPr>
                <w:rFonts w:asciiTheme="minorHAnsi" w:eastAsiaTheme="minorEastAsia" w:hAnsiTheme="minorHAnsi"/>
                <w:noProof/>
                <w:sz w:val="22"/>
              </w:rPr>
              <w:tab/>
            </w:r>
            <w:r w:rsidR="00D02F29" w:rsidRPr="009D49CF">
              <w:rPr>
                <w:rStyle w:val="Hyperlink"/>
                <w:rFonts w:cs="Times New Roman"/>
                <w:noProof/>
              </w:rPr>
              <w:t>Occupancy rate</w:t>
            </w:r>
            <w:r w:rsidR="00D02F29">
              <w:rPr>
                <w:noProof/>
                <w:webHidden/>
              </w:rPr>
              <w:tab/>
            </w:r>
            <w:r w:rsidR="00D02F29">
              <w:rPr>
                <w:noProof/>
                <w:webHidden/>
              </w:rPr>
              <w:fldChar w:fldCharType="begin"/>
            </w:r>
            <w:r w:rsidR="00D02F29">
              <w:rPr>
                <w:noProof/>
                <w:webHidden/>
              </w:rPr>
              <w:instrText xml:space="preserve"> PAGEREF _Toc159616489 \h </w:instrText>
            </w:r>
            <w:r w:rsidR="00D02F29">
              <w:rPr>
                <w:noProof/>
                <w:webHidden/>
              </w:rPr>
            </w:r>
            <w:r w:rsidR="00D02F29">
              <w:rPr>
                <w:noProof/>
                <w:webHidden/>
              </w:rPr>
              <w:fldChar w:fldCharType="separate"/>
            </w:r>
            <w:r w:rsidR="00D02F29">
              <w:rPr>
                <w:noProof/>
                <w:webHidden/>
              </w:rPr>
              <w:t>7</w:t>
            </w:r>
            <w:r w:rsidR="00D02F29">
              <w:rPr>
                <w:noProof/>
                <w:webHidden/>
              </w:rPr>
              <w:fldChar w:fldCharType="end"/>
            </w:r>
          </w:hyperlink>
        </w:p>
        <w:p w14:paraId="5373243B"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90" w:history="1">
            <w:r w:rsidR="00D02F29" w:rsidRPr="009D49CF">
              <w:rPr>
                <w:rStyle w:val="Hyperlink"/>
                <w:rFonts w:cs="Times New Roman"/>
                <w:noProof/>
              </w:rPr>
              <w:t>2</w:t>
            </w:r>
            <w:r w:rsidR="00D02F29">
              <w:rPr>
                <w:rFonts w:asciiTheme="minorHAnsi" w:eastAsiaTheme="minorEastAsia" w:hAnsiTheme="minorHAnsi"/>
                <w:noProof/>
                <w:sz w:val="22"/>
              </w:rPr>
              <w:tab/>
            </w:r>
            <w:r w:rsidR="00D02F29" w:rsidRPr="009D49CF">
              <w:rPr>
                <w:rStyle w:val="Hyperlink"/>
                <w:rFonts w:cs="Times New Roman"/>
                <w:noProof/>
              </w:rPr>
              <w:t>Turnaround strategy</w:t>
            </w:r>
            <w:r w:rsidR="00D02F29">
              <w:rPr>
                <w:noProof/>
                <w:webHidden/>
              </w:rPr>
              <w:tab/>
            </w:r>
            <w:r w:rsidR="00D02F29">
              <w:rPr>
                <w:noProof/>
                <w:webHidden/>
              </w:rPr>
              <w:fldChar w:fldCharType="begin"/>
            </w:r>
            <w:r w:rsidR="00D02F29">
              <w:rPr>
                <w:noProof/>
                <w:webHidden/>
              </w:rPr>
              <w:instrText xml:space="preserve"> PAGEREF _Toc159616490 \h </w:instrText>
            </w:r>
            <w:r w:rsidR="00D02F29">
              <w:rPr>
                <w:noProof/>
                <w:webHidden/>
              </w:rPr>
            </w:r>
            <w:r w:rsidR="00D02F29">
              <w:rPr>
                <w:noProof/>
                <w:webHidden/>
              </w:rPr>
              <w:fldChar w:fldCharType="separate"/>
            </w:r>
            <w:r w:rsidR="00D02F29">
              <w:rPr>
                <w:noProof/>
                <w:webHidden/>
              </w:rPr>
              <w:t>7</w:t>
            </w:r>
            <w:r w:rsidR="00D02F29">
              <w:rPr>
                <w:noProof/>
                <w:webHidden/>
              </w:rPr>
              <w:fldChar w:fldCharType="end"/>
            </w:r>
          </w:hyperlink>
        </w:p>
        <w:p w14:paraId="0341D8C2"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91" w:history="1">
            <w:r w:rsidR="00D02F29" w:rsidRPr="009D49CF">
              <w:rPr>
                <w:rStyle w:val="Hyperlink"/>
                <w:rFonts w:cs="Times New Roman"/>
                <w:noProof/>
              </w:rPr>
              <w:t>5</w:t>
            </w:r>
            <w:r w:rsidR="00D02F29">
              <w:rPr>
                <w:rFonts w:asciiTheme="minorHAnsi" w:eastAsiaTheme="minorEastAsia" w:hAnsiTheme="minorHAnsi"/>
                <w:noProof/>
                <w:sz w:val="22"/>
              </w:rPr>
              <w:tab/>
            </w:r>
            <w:r w:rsidR="00D02F29" w:rsidRPr="009D49CF">
              <w:rPr>
                <w:rStyle w:val="Hyperlink"/>
                <w:rFonts w:cs="Times New Roman"/>
                <w:noProof/>
              </w:rPr>
              <w:t>Financial projections</w:t>
            </w:r>
            <w:r w:rsidR="00D02F29">
              <w:rPr>
                <w:noProof/>
                <w:webHidden/>
              </w:rPr>
              <w:tab/>
            </w:r>
            <w:r w:rsidR="00D02F29">
              <w:rPr>
                <w:noProof/>
                <w:webHidden/>
              </w:rPr>
              <w:fldChar w:fldCharType="begin"/>
            </w:r>
            <w:r w:rsidR="00D02F29">
              <w:rPr>
                <w:noProof/>
                <w:webHidden/>
              </w:rPr>
              <w:instrText xml:space="preserve"> PAGEREF _Toc159616491 \h </w:instrText>
            </w:r>
            <w:r w:rsidR="00D02F29">
              <w:rPr>
                <w:noProof/>
                <w:webHidden/>
              </w:rPr>
            </w:r>
            <w:r w:rsidR="00D02F29">
              <w:rPr>
                <w:noProof/>
                <w:webHidden/>
              </w:rPr>
              <w:fldChar w:fldCharType="separate"/>
            </w:r>
            <w:r w:rsidR="00D02F29">
              <w:rPr>
                <w:noProof/>
                <w:webHidden/>
              </w:rPr>
              <w:t>8</w:t>
            </w:r>
            <w:r w:rsidR="00D02F29">
              <w:rPr>
                <w:noProof/>
                <w:webHidden/>
              </w:rPr>
              <w:fldChar w:fldCharType="end"/>
            </w:r>
          </w:hyperlink>
        </w:p>
        <w:p w14:paraId="10253E7B"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92" w:history="1">
            <w:r w:rsidR="00D02F29" w:rsidRPr="009D49CF">
              <w:rPr>
                <w:rStyle w:val="Hyperlink"/>
                <w:rFonts w:cs="Times New Roman"/>
                <w:noProof/>
              </w:rPr>
              <w:t>5.1</w:t>
            </w:r>
            <w:r w:rsidR="00D02F29">
              <w:rPr>
                <w:rFonts w:asciiTheme="minorHAnsi" w:eastAsiaTheme="minorEastAsia" w:hAnsiTheme="minorHAnsi"/>
                <w:noProof/>
                <w:sz w:val="22"/>
              </w:rPr>
              <w:tab/>
            </w:r>
            <w:r w:rsidR="00D02F29" w:rsidRPr="009D49CF">
              <w:rPr>
                <w:rStyle w:val="Hyperlink"/>
                <w:rFonts w:cs="Times New Roman"/>
                <w:noProof/>
              </w:rPr>
              <w:t>Income Statement</w:t>
            </w:r>
            <w:r w:rsidR="00D02F29">
              <w:rPr>
                <w:noProof/>
                <w:webHidden/>
              </w:rPr>
              <w:tab/>
            </w:r>
            <w:r w:rsidR="00D02F29">
              <w:rPr>
                <w:noProof/>
                <w:webHidden/>
              </w:rPr>
              <w:fldChar w:fldCharType="begin"/>
            </w:r>
            <w:r w:rsidR="00D02F29">
              <w:rPr>
                <w:noProof/>
                <w:webHidden/>
              </w:rPr>
              <w:instrText xml:space="preserve"> PAGEREF _Toc159616492 \h </w:instrText>
            </w:r>
            <w:r w:rsidR="00D02F29">
              <w:rPr>
                <w:noProof/>
                <w:webHidden/>
              </w:rPr>
            </w:r>
            <w:r w:rsidR="00D02F29">
              <w:rPr>
                <w:noProof/>
                <w:webHidden/>
              </w:rPr>
              <w:fldChar w:fldCharType="separate"/>
            </w:r>
            <w:r w:rsidR="00D02F29">
              <w:rPr>
                <w:noProof/>
                <w:webHidden/>
              </w:rPr>
              <w:t>8</w:t>
            </w:r>
            <w:r w:rsidR="00D02F29">
              <w:rPr>
                <w:noProof/>
                <w:webHidden/>
              </w:rPr>
              <w:fldChar w:fldCharType="end"/>
            </w:r>
          </w:hyperlink>
        </w:p>
        <w:p w14:paraId="7FDAAA68"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93" w:history="1">
            <w:r w:rsidR="00D02F29" w:rsidRPr="009D49CF">
              <w:rPr>
                <w:rStyle w:val="Hyperlink"/>
                <w:rFonts w:cs="Times New Roman"/>
                <w:noProof/>
              </w:rPr>
              <w:t>5.2</w:t>
            </w:r>
            <w:r w:rsidR="00D02F29">
              <w:rPr>
                <w:rFonts w:asciiTheme="minorHAnsi" w:eastAsiaTheme="minorEastAsia" w:hAnsiTheme="minorHAnsi"/>
                <w:noProof/>
                <w:sz w:val="22"/>
              </w:rPr>
              <w:tab/>
            </w:r>
            <w:r w:rsidR="00D02F29" w:rsidRPr="009D49CF">
              <w:rPr>
                <w:rStyle w:val="Hyperlink"/>
                <w:rFonts w:cs="Times New Roman"/>
                <w:noProof/>
              </w:rPr>
              <w:t>Balance Sheet</w:t>
            </w:r>
            <w:r w:rsidR="00D02F29">
              <w:rPr>
                <w:noProof/>
                <w:webHidden/>
              </w:rPr>
              <w:tab/>
            </w:r>
            <w:r w:rsidR="00D02F29">
              <w:rPr>
                <w:noProof/>
                <w:webHidden/>
              </w:rPr>
              <w:fldChar w:fldCharType="begin"/>
            </w:r>
            <w:r w:rsidR="00D02F29">
              <w:rPr>
                <w:noProof/>
                <w:webHidden/>
              </w:rPr>
              <w:instrText xml:space="preserve"> PAGEREF _Toc159616493 \h </w:instrText>
            </w:r>
            <w:r w:rsidR="00D02F29">
              <w:rPr>
                <w:noProof/>
                <w:webHidden/>
              </w:rPr>
            </w:r>
            <w:r w:rsidR="00D02F29">
              <w:rPr>
                <w:noProof/>
                <w:webHidden/>
              </w:rPr>
              <w:fldChar w:fldCharType="separate"/>
            </w:r>
            <w:r w:rsidR="00D02F29">
              <w:rPr>
                <w:noProof/>
                <w:webHidden/>
              </w:rPr>
              <w:t>9</w:t>
            </w:r>
            <w:r w:rsidR="00D02F29">
              <w:rPr>
                <w:noProof/>
                <w:webHidden/>
              </w:rPr>
              <w:fldChar w:fldCharType="end"/>
            </w:r>
          </w:hyperlink>
        </w:p>
        <w:p w14:paraId="02C851B2" w14:textId="77777777" w:rsidR="00D02F29" w:rsidRDefault="00000000">
          <w:pPr>
            <w:pStyle w:val="TOC2"/>
            <w:tabs>
              <w:tab w:val="left" w:pos="880"/>
              <w:tab w:val="right" w:leader="dot" w:pos="9350"/>
            </w:tabs>
            <w:rPr>
              <w:rFonts w:asciiTheme="minorHAnsi" w:eastAsiaTheme="minorEastAsia" w:hAnsiTheme="minorHAnsi"/>
              <w:noProof/>
              <w:sz w:val="22"/>
            </w:rPr>
          </w:pPr>
          <w:hyperlink w:anchor="_Toc159616494" w:history="1">
            <w:r w:rsidR="00D02F29" w:rsidRPr="009D49CF">
              <w:rPr>
                <w:rStyle w:val="Hyperlink"/>
                <w:rFonts w:cs="Times New Roman"/>
                <w:noProof/>
              </w:rPr>
              <w:t>5.3</w:t>
            </w:r>
            <w:r w:rsidR="00D02F29">
              <w:rPr>
                <w:rFonts w:asciiTheme="minorHAnsi" w:eastAsiaTheme="minorEastAsia" w:hAnsiTheme="minorHAnsi"/>
                <w:noProof/>
                <w:sz w:val="22"/>
              </w:rPr>
              <w:tab/>
            </w:r>
            <w:r w:rsidR="00D02F29" w:rsidRPr="009D49CF">
              <w:rPr>
                <w:rStyle w:val="Hyperlink"/>
                <w:rFonts w:cs="Times New Roman"/>
                <w:noProof/>
              </w:rPr>
              <w:t>Cash Flow Analysis</w:t>
            </w:r>
            <w:r w:rsidR="00D02F29">
              <w:rPr>
                <w:noProof/>
                <w:webHidden/>
              </w:rPr>
              <w:tab/>
            </w:r>
            <w:r w:rsidR="00D02F29">
              <w:rPr>
                <w:noProof/>
                <w:webHidden/>
              </w:rPr>
              <w:fldChar w:fldCharType="begin"/>
            </w:r>
            <w:r w:rsidR="00D02F29">
              <w:rPr>
                <w:noProof/>
                <w:webHidden/>
              </w:rPr>
              <w:instrText xml:space="preserve"> PAGEREF _Toc159616494 \h </w:instrText>
            </w:r>
            <w:r w:rsidR="00D02F29">
              <w:rPr>
                <w:noProof/>
                <w:webHidden/>
              </w:rPr>
            </w:r>
            <w:r w:rsidR="00D02F29">
              <w:rPr>
                <w:noProof/>
                <w:webHidden/>
              </w:rPr>
              <w:fldChar w:fldCharType="separate"/>
            </w:r>
            <w:r w:rsidR="00D02F29">
              <w:rPr>
                <w:noProof/>
                <w:webHidden/>
              </w:rPr>
              <w:t>9</w:t>
            </w:r>
            <w:r w:rsidR="00D02F29">
              <w:rPr>
                <w:noProof/>
                <w:webHidden/>
              </w:rPr>
              <w:fldChar w:fldCharType="end"/>
            </w:r>
          </w:hyperlink>
        </w:p>
        <w:p w14:paraId="59F2BB28"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95" w:history="1">
            <w:r w:rsidR="00D02F29" w:rsidRPr="009D49CF">
              <w:rPr>
                <w:rStyle w:val="Hyperlink"/>
                <w:rFonts w:cs="Times New Roman"/>
                <w:noProof/>
              </w:rPr>
              <w:t>6</w:t>
            </w:r>
            <w:r w:rsidR="00D02F29">
              <w:rPr>
                <w:rFonts w:asciiTheme="minorHAnsi" w:eastAsiaTheme="minorEastAsia" w:hAnsiTheme="minorHAnsi"/>
                <w:noProof/>
                <w:sz w:val="22"/>
              </w:rPr>
              <w:tab/>
            </w:r>
            <w:r w:rsidR="00D02F29" w:rsidRPr="009D49CF">
              <w:rPr>
                <w:rStyle w:val="Hyperlink"/>
                <w:rFonts w:cs="Times New Roman"/>
                <w:noProof/>
              </w:rPr>
              <w:t>Conclusion</w:t>
            </w:r>
            <w:r w:rsidR="00D02F29">
              <w:rPr>
                <w:noProof/>
                <w:webHidden/>
              </w:rPr>
              <w:tab/>
            </w:r>
            <w:r w:rsidR="00D02F29">
              <w:rPr>
                <w:noProof/>
                <w:webHidden/>
              </w:rPr>
              <w:fldChar w:fldCharType="begin"/>
            </w:r>
            <w:r w:rsidR="00D02F29">
              <w:rPr>
                <w:noProof/>
                <w:webHidden/>
              </w:rPr>
              <w:instrText xml:space="preserve"> PAGEREF _Toc159616495 \h </w:instrText>
            </w:r>
            <w:r w:rsidR="00D02F29">
              <w:rPr>
                <w:noProof/>
                <w:webHidden/>
              </w:rPr>
            </w:r>
            <w:r w:rsidR="00D02F29">
              <w:rPr>
                <w:noProof/>
                <w:webHidden/>
              </w:rPr>
              <w:fldChar w:fldCharType="separate"/>
            </w:r>
            <w:r w:rsidR="00D02F29">
              <w:rPr>
                <w:noProof/>
                <w:webHidden/>
              </w:rPr>
              <w:t>10</w:t>
            </w:r>
            <w:r w:rsidR="00D02F29">
              <w:rPr>
                <w:noProof/>
                <w:webHidden/>
              </w:rPr>
              <w:fldChar w:fldCharType="end"/>
            </w:r>
          </w:hyperlink>
        </w:p>
        <w:p w14:paraId="5002CECA" w14:textId="77777777" w:rsidR="00D02F29" w:rsidRDefault="00000000">
          <w:pPr>
            <w:pStyle w:val="TOC1"/>
            <w:tabs>
              <w:tab w:val="left" w:pos="440"/>
              <w:tab w:val="right" w:leader="dot" w:pos="9350"/>
            </w:tabs>
            <w:rPr>
              <w:rFonts w:asciiTheme="minorHAnsi" w:eastAsiaTheme="minorEastAsia" w:hAnsiTheme="minorHAnsi"/>
              <w:noProof/>
              <w:sz w:val="22"/>
            </w:rPr>
          </w:pPr>
          <w:hyperlink w:anchor="_Toc159616496" w:history="1">
            <w:r w:rsidR="00D02F29" w:rsidRPr="009D49CF">
              <w:rPr>
                <w:rStyle w:val="Hyperlink"/>
                <w:rFonts w:cs="Times New Roman"/>
                <w:noProof/>
              </w:rPr>
              <w:t>7</w:t>
            </w:r>
            <w:r w:rsidR="00D02F29">
              <w:rPr>
                <w:rFonts w:asciiTheme="minorHAnsi" w:eastAsiaTheme="minorEastAsia" w:hAnsiTheme="minorHAnsi"/>
                <w:noProof/>
                <w:sz w:val="22"/>
              </w:rPr>
              <w:tab/>
            </w:r>
            <w:r w:rsidR="00D02F29" w:rsidRPr="009D49CF">
              <w:rPr>
                <w:rStyle w:val="Hyperlink"/>
                <w:rFonts w:cs="Times New Roman"/>
                <w:noProof/>
              </w:rPr>
              <w:t>References</w:t>
            </w:r>
            <w:r w:rsidR="00D02F29">
              <w:rPr>
                <w:noProof/>
                <w:webHidden/>
              </w:rPr>
              <w:tab/>
            </w:r>
            <w:r w:rsidR="00D02F29">
              <w:rPr>
                <w:noProof/>
                <w:webHidden/>
              </w:rPr>
              <w:fldChar w:fldCharType="begin"/>
            </w:r>
            <w:r w:rsidR="00D02F29">
              <w:rPr>
                <w:noProof/>
                <w:webHidden/>
              </w:rPr>
              <w:instrText xml:space="preserve"> PAGEREF _Toc159616496 \h </w:instrText>
            </w:r>
            <w:r w:rsidR="00D02F29">
              <w:rPr>
                <w:noProof/>
                <w:webHidden/>
              </w:rPr>
            </w:r>
            <w:r w:rsidR="00D02F29">
              <w:rPr>
                <w:noProof/>
                <w:webHidden/>
              </w:rPr>
              <w:fldChar w:fldCharType="separate"/>
            </w:r>
            <w:r w:rsidR="00D02F29">
              <w:rPr>
                <w:noProof/>
                <w:webHidden/>
              </w:rPr>
              <w:t>11</w:t>
            </w:r>
            <w:r w:rsidR="00D02F29">
              <w:rPr>
                <w:noProof/>
                <w:webHidden/>
              </w:rPr>
              <w:fldChar w:fldCharType="end"/>
            </w:r>
          </w:hyperlink>
        </w:p>
        <w:p w14:paraId="16C40363" w14:textId="77777777" w:rsidR="009B5BD6" w:rsidRPr="00806BA4" w:rsidRDefault="009B5BD6" w:rsidP="009B5BD6">
          <w:pPr>
            <w:spacing w:line="360" w:lineRule="auto"/>
            <w:jc w:val="both"/>
            <w:rPr>
              <w:rFonts w:cs="Times New Roman"/>
              <w:color w:val="000000" w:themeColor="text1"/>
              <w:szCs w:val="24"/>
            </w:rPr>
          </w:pPr>
          <w:r w:rsidRPr="00806BA4">
            <w:rPr>
              <w:rFonts w:cs="Times New Roman"/>
              <w:b/>
              <w:bCs/>
              <w:noProof/>
              <w:color w:val="000000" w:themeColor="text1"/>
              <w:szCs w:val="24"/>
            </w:rPr>
            <w:fldChar w:fldCharType="end"/>
          </w:r>
        </w:p>
      </w:sdtContent>
    </w:sdt>
    <w:p w14:paraId="78C2A4EF" w14:textId="77777777" w:rsidR="006930A9" w:rsidRPr="00806BA4" w:rsidRDefault="006930A9" w:rsidP="006930A9">
      <w:pPr>
        <w:rPr>
          <w:rFonts w:cs="Times New Roman"/>
          <w:b/>
          <w:color w:val="000000" w:themeColor="text1"/>
          <w:szCs w:val="24"/>
        </w:rPr>
      </w:pPr>
    </w:p>
    <w:p w14:paraId="5E3E58F6" w14:textId="77777777" w:rsidR="006930A9" w:rsidRPr="00806BA4" w:rsidRDefault="006930A9">
      <w:pPr>
        <w:rPr>
          <w:rFonts w:cs="Times New Roman"/>
          <w:b/>
          <w:color w:val="000000" w:themeColor="text1"/>
          <w:szCs w:val="24"/>
        </w:rPr>
      </w:pPr>
      <w:r w:rsidRPr="00806BA4">
        <w:rPr>
          <w:rFonts w:cs="Times New Roman"/>
          <w:b/>
          <w:color w:val="000000" w:themeColor="text1"/>
          <w:szCs w:val="24"/>
        </w:rPr>
        <w:br w:type="page"/>
      </w:r>
    </w:p>
    <w:p w14:paraId="18E7C430" w14:textId="77777777" w:rsidR="006930A9" w:rsidRPr="00806BA4" w:rsidRDefault="006930A9" w:rsidP="006930A9">
      <w:pPr>
        <w:rPr>
          <w:rFonts w:cs="Times New Roman"/>
          <w:b/>
          <w:color w:val="000000" w:themeColor="text1"/>
          <w:szCs w:val="24"/>
        </w:rPr>
      </w:pPr>
    </w:p>
    <w:p w14:paraId="0E5E31B8" w14:textId="77777777" w:rsidR="003A4203" w:rsidRPr="00806BA4" w:rsidRDefault="006930A9" w:rsidP="00A72E20">
      <w:pPr>
        <w:pStyle w:val="Heading1"/>
        <w:spacing w:line="360" w:lineRule="auto"/>
        <w:jc w:val="both"/>
        <w:rPr>
          <w:rFonts w:cs="Times New Roman"/>
          <w:b w:val="0"/>
          <w:color w:val="000000" w:themeColor="text1"/>
          <w:szCs w:val="24"/>
        </w:rPr>
      </w:pPr>
      <w:bookmarkStart w:id="0" w:name="_Toc159616480"/>
      <w:r w:rsidRPr="00806BA4">
        <w:rPr>
          <w:rFonts w:cs="Times New Roman"/>
          <w:color w:val="000000" w:themeColor="text1"/>
          <w:szCs w:val="24"/>
        </w:rPr>
        <w:t>Introduction</w:t>
      </w:r>
      <w:bookmarkEnd w:id="0"/>
    </w:p>
    <w:p w14:paraId="4EA60FDF" w14:textId="77777777" w:rsidR="006930A9" w:rsidRPr="00806BA4" w:rsidRDefault="008A5A3A" w:rsidP="00CB217A">
      <w:pPr>
        <w:spacing w:line="360" w:lineRule="auto"/>
        <w:jc w:val="both"/>
        <w:rPr>
          <w:rFonts w:cs="Times New Roman"/>
          <w:color w:val="000000" w:themeColor="text1"/>
          <w:szCs w:val="24"/>
        </w:rPr>
      </w:pPr>
      <w:r w:rsidRPr="00806BA4">
        <w:rPr>
          <w:rFonts w:cs="Times New Roman"/>
          <w:color w:val="000000" w:themeColor="text1"/>
          <w:szCs w:val="24"/>
        </w:rPr>
        <w:t xml:space="preserve">The flourishing destination for vacationers who are seeking a place for relaxation can visit Seacrest Lodge which has facilities like restaurants, bars, and other events. The Lodge is located on the scenic and attractive site of coastline. In terms of the lodging industry location is the key factor for the success of the business (Yang and Mao, 2020). Although the location of the hotel or lodge is a matter of concern still there are various other factors integrated into the progress of the firm. However, the resort has faced a decline in revenue in recent years which is indirectly associated to less occupancy rate and customer satisfaction. Customer satisfaction is the essential element that contributes to the cost of selling of the firm (Lim, et al., 2020). This indicates that customer satisfaction eventually aids the organization in generating sufficient revenue. However, as the lodge is unable to generate revenue the owner is concerned about the sustainability of the business in the long term. Therefore, the current report will pave the way for fruitful approaches that will aid the business to sustain through turnaround strategies. In addition to this, the report will also highlight the market position along with the financial projections of the firm in regard to attaining a valuable position within the competitive industry. </w:t>
      </w:r>
      <w:r w:rsidR="006930A9" w:rsidRPr="00806BA4">
        <w:rPr>
          <w:rFonts w:cs="Times New Roman"/>
          <w:b/>
          <w:color w:val="000000" w:themeColor="text1"/>
          <w:szCs w:val="24"/>
        </w:rPr>
        <w:t xml:space="preserve"> </w:t>
      </w:r>
    </w:p>
    <w:p w14:paraId="53BBC869" w14:textId="77777777" w:rsidR="006930A9" w:rsidRPr="00806BA4" w:rsidRDefault="004425C4" w:rsidP="00A72E20">
      <w:pPr>
        <w:pStyle w:val="Heading1"/>
        <w:spacing w:line="360" w:lineRule="auto"/>
        <w:jc w:val="both"/>
        <w:rPr>
          <w:rFonts w:cs="Times New Roman"/>
          <w:b w:val="0"/>
          <w:color w:val="000000" w:themeColor="text1"/>
          <w:szCs w:val="24"/>
        </w:rPr>
      </w:pPr>
      <w:bookmarkStart w:id="1" w:name="_Toc159616481"/>
      <w:r w:rsidRPr="00806BA4">
        <w:rPr>
          <w:rFonts w:cs="Times New Roman"/>
          <w:color w:val="000000" w:themeColor="text1"/>
          <w:szCs w:val="24"/>
        </w:rPr>
        <w:t>Market Analysis</w:t>
      </w:r>
      <w:bookmarkEnd w:id="1"/>
      <w:r w:rsidRPr="00806BA4">
        <w:rPr>
          <w:rFonts w:cs="Times New Roman"/>
          <w:color w:val="000000" w:themeColor="text1"/>
          <w:szCs w:val="24"/>
        </w:rPr>
        <w:t xml:space="preserve"> </w:t>
      </w:r>
    </w:p>
    <w:p w14:paraId="66043B49" w14:textId="77777777" w:rsidR="004425C4" w:rsidRPr="00806BA4" w:rsidRDefault="004425C4" w:rsidP="004425C4">
      <w:pPr>
        <w:pStyle w:val="Heading2"/>
        <w:spacing w:line="360" w:lineRule="auto"/>
        <w:jc w:val="both"/>
        <w:rPr>
          <w:rFonts w:cs="Times New Roman"/>
          <w:b w:val="0"/>
          <w:color w:val="000000" w:themeColor="text1"/>
          <w:szCs w:val="24"/>
        </w:rPr>
      </w:pPr>
      <w:bookmarkStart w:id="2" w:name="_Toc159616482"/>
      <w:r w:rsidRPr="00806BA4">
        <w:rPr>
          <w:rFonts w:cs="Times New Roman"/>
          <w:color w:val="000000" w:themeColor="text1"/>
          <w:szCs w:val="24"/>
        </w:rPr>
        <w:t>Scope and Objectives</w:t>
      </w:r>
      <w:bookmarkEnd w:id="2"/>
      <w:r w:rsidRPr="00806BA4">
        <w:rPr>
          <w:rFonts w:cs="Times New Roman"/>
          <w:color w:val="000000" w:themeColor="text1"/>
          <w:szCs w:val="24"/>
        </w:rPr>
        <w:t xml:space="preserve"> </w:t>
      </w:r>
    </w:p>
    <w:p w14:paraId="4B6342E0" w14:textId="77777777" w:rsidR="00141ABF" w:rsidRPr="00806BA4" w:rsidRDefault="00141ABF" w:rsidP="00141ABF">
      <w:pPr>
        <w:spacing w:line="360" w:lineRule="auto"/>
        <w:jc w:val="both"/>
        <w:rPr>
          <w:rFonts w:cs="Times New Roman"/>
          <w:color w:val="000000" w:themeColor="text1"/>
          <w:szCs w:val="24"/>
        </w:rPr>
      </w:pPr>
      <w:r w:rsidRPr="00806BA4">
        <w:rPr>
          <w:rFonts w:cs="Times New Roman"/>
          <w:color w:val="000000" w:themeColor="text1"/>
          <w:szCs w:val="24"/>
        </w:rPr>
        <w:t xml:space="preserve">The hospitality industry is a highly competitive sector that demands innovative strategies among the businesses that are part of the industry in regard to prosperity. The idealistic young travelers of the era seek personalized services which the hotel industry can achieve by incorporating effective advanced technologies (Salazar, 2018). Furthermore, as the industry is competitive thus it creates challenging situations for the businesses or firms to compete within the sector. Therefore, through the means of effective market analysis organizations can evaluate the trending aspects of the industry along with it they can incorporate innovative strategies to progress. The technological and non-technological innovative strategies can aid the firms in generating a positive sales turnover for the hotel (Martin-Rios and Ciobanu, 2019). As the key objectives of the industry are based on the sales turnover therefore it is significant for the industry to attain customer satisfaction by all means. Moreover, the integration of green practices is the progressive approach towards the key objectives of achieving a sustainable environment (Aksoy et al., 2022). </w:t>
      </w:r>
    </w:p>
    <w:p w14:paraId="3A095FAC" w14:textId="77777777" w:rsidR="00141ABF" w:rsidRPr="00806BA4" w:rsidRDefault="00141ABF" w:rsidP="00141ABF">
      <w:pPr>
        <w:rPr>
          <w:rFonts w:cs="Times New Roman"/>
          <w:color w:val="000000" w:themeColor="text1"/>
          <w:szCs w:val="24"/>
        </w:rPr>
      </w:pPr>
    </w:p>
    <w:p w14:paraId="14A80A3A" w14:textId="77777777" w:rsidR="006662A3" w:rsidRPr="00806BA4" w:rsidRDefault="006662A3" w:rsidP="006662A3">
      <w:pPr>
        <w:pStyle w:val="Heading2"/>
        <w:spacing w:line="360" w:lineRule="auto"/>
        <w:jc w:val="both"/>
        <w:rPr>
          <w:rFonts w:cs="Times New Roman"/>
          <w:b w:val="0"/>
          <w:color w:val="000000" w:themeColor="text1"/>
          <w:szCs w:val="24"/>
        </w:rPr>
      </w:pPr>
      <w:bookmarkStart w:id="3" w:name="_Toc159616483"/>
      <w:r w:rsidRPr="00806BA4">
        <w:rPr>
          <w:rFonts w:cs="Times New Roman"/>
          <w:color w:val="000000" w:themeColor="text1"/>
          <w:szCs w:val="24"/>
        </w:rPr>
        <w:t>SWOT Analysis</w:t>
      </w:r>
      <w:bookmarkEnd w:id="3"/>
    </w:p>
    <w:p w14:paraId="0D9D0427" w14:textId="77777777" w:rsidR="00141ABF" w:rsidRPr="00806BA4" w:rsidRDefault="00141ABF" w:rsidP="00141ABF">
      <w:pPr>
        <w:spacing w:line="360" w:lineRule="auto"/>
        <w:jc w:val="both"/>
        <w:rPr>
          <w:rFonts w:cs="Times New Roman"/>
          <w:color w:val="000000" w:themeColor="text1"/>
          <w:szCs w:val="24"/>
        </w:rPr>
      </w:pPr>
      <w:r w:rsidRPr="00806BA4">
        <w:rPr>
          <w:rFonts w:cs="Times New Roman"/>
          <w:color w:val="000000" w:themeColor="text1"/>
          <w:szCs w:val="24"/>
        </w:rPr>
        <w:t xml:space="preserve">SWOT analysis is the tool used for a business strategy that evaluates the organization's market position within the competitive industry (Teoli, et al., 2019). Therefore, the report includes a SWOT analysis in regard to exploring the market condition of the hospitality industry. </w:t>
      </w:r>
    </w:p>
    <w:p w14:paraId="5BB4FEAB" w14:textId="77777777" w:rsidR="00141ABF" w:rsidRPr="00806BA4" w:rsidRDefault="00141ABF" w:rsidP="00141ABF">
      <w:pPr>
        <w:spacing w:line="360" w:lineRule="auto"/>
        <w:jc w:val="both"/>
        <w:rPr>
          <w:rFonts w:cs="Times New Roman"/>
          <w:color w:val="000000" w:themeColor="text1"/>
          <w:szCs w:val="24"/>
        </w:rPr>
      </w:pPr>
      <w:r w:rsidRPr="00806BA4">
        <w:rPr>
          <w:rFonts w:cs="Times New Roman"/>
          <w:color w:val="000000" w:themeColor="text1"/>
          <w:szCs w:val="24"/>
        </w:rPr>
        <w:t>Strength:</w:t>
      </w:r>
    </w:p>
    <w:p w14:paraId="499AD04B" w14:textId="77777777" w:rsidR="00141ABF" w:rsidRPr="00806BA4" w:rsidRDefault="00141ABF" w:rsidP="00141ABF">
      <w:pPr>
        <w:pStyle w:val="ListParagraph"/>
        <w:numPr>
          <w:ilvl w:val="0"/>
          <w:numId w:val="2"/>
        </w:numPr>
        <w:spacing w:line="360" w:lineRule="auto"/>
        <w:jc w:val="both"/>
        <w:rPr>
          <w:rFonts w:cs="Times New Roman"/>
          <w:color w:val="000000" w:themeColor="text1"/>
          <w:szCs w:val="24"/>
        </w:rPr>
      </w:pPr>
      <w:r w:rsidRPr="00806BA4">
        <w:rPr>
          <w:rFonts w:cs="Times New Roman"/>
          <w:color w:val="000000" w:themeColor="text1"/>
          <w:szCs w:val="24"/>
        </w:rPr>
        <w:t>There is a high margin of profit for the businesses within the industry.</w:t>
      </w:r>
    </w:p>
    <w:p w14:paraId="5335B5D8" w14:textId="77777777" w:rsidR="00141ABF" w:rsidRPr="00806BA4" w:rsidRDefault="00141ABF" w:rsidP="00141ABF">
      <w:pPr>
        <w:pStyle w:val="ListParagraph"/>
        <w:numPr>
          <w:ilvl w:val="0"/>
          <w:numId w:val="2"/>
        </w:numPr>
        <w:spacing w:line="360" w:lineRule="auto"/>
        <w:jc w:val="both"/>
        <w:rPr>
          <w:rFonts w:cs="Times New Roman"/>
          <w:color w:val="000000" w:themeColor="text1"/>
          <w:szCs w:val="24"/>
        </w:rPr>
      </w:pPr>
      <w:r w:rsidRPr="00806BA4">
        <w:rPr>
          <w:rFonts w:cs="Times New Roman"/>
          <w:color w:val="000000" w:themeColor="text1"/>
          <w:szCs w:val="24"/>
        </w:rPr>
        <w:t>The businesses can make respective decisions without consulting.</w:t>
      </w:r>
    </w:p>
    <w:p w14:paraId="4E8E0F30" w14:textId="77777777" w:rsidR="00141ABF" w:rsidRPr="00806BA4" w:rsidRDefault="00141ABF" w:rsidP="00141ABF">
      <w:pPr>
        <w:pStyle w:val="ListParagraph"/>
        <w:numPr>
          <w:ilvl w:val="0"/>
          <w:numId w:val="2"/>
        </w:numPr>
        <w:spacing w:line="360" w:lineRule="auto"/>
        <w:jc w:val="both"/>
        <w:rPr>
          <w:rFonts w:cs="Times New Roman"/>
          <w:color w:val="000000" w:themeColor="text1"/>
          <w:szCs w:val="24"/>
        </w:rPr>
      </w:pPr>
      <w:r w:rsidRPr="00806BA4">
        <w:rPr>
          <w:rFonts w:cs="Times New Roman"/>
          <w:color w:val="000000" w:themeColor="text1"/>
          <w:szCs w:val="24"/>
        </w:rPr>
        <w:t>The hotel industry provides various job opportunities.</w:t>
      </w:r>
    </w:p>
    <w:p w14:paraId="3AE9779C" w14:textId="77777777" w:rsidR="00141ABF" w:rsidRPr="00806BA4" w:rsidRDefault="00141ABF" w:rsidP="00141ABF">
      <w:pPr>
        <w:spacing w:line="360" w:lineRule="auto"/>
        <w:jc w:val="both"/>
        <w:rPr>
          <w:rFonts w:cs="Times New Roman"/>
          <w:color w:val="000000" w:themeColor="text1"/>
          <w:szCs w:val="24"/>
        </w:rPr>
      </w:pPr>
      <w:r w:rsidRPr="00806BA4">
        <w:rPr>
          <w:rFonts w:cs="Times New Roman"/>
          <w:color w:val="000000" w:themeColor="text1"/>
          <w:szCs w:val="24"/>
        </w:rPr>
        <w:t>Weakness:</w:t>
      </w:r>
    </w:p>
    <w:p w14:paraId="299E66FA" w14:textId="77777777" w:rsidR="00141ABF" w:rsidRPr="00806BA4" w:rsidRDefault="00141ABF" w:rsidP="00141ABF">
      <w:pPr>
        <w:pStyle w:val="ListParagraph"/>
        <w:numPr>
          <w:ilvl w:val="0"/>
          <w:numId w:val="3"/>
        </w:numPr>
        <w:spacing w:line="360" w:lineRule="auto"/>
        <w:jc w:val="both"/>
        <w:rPr>
          <w:rFonts w:cs="Times New Roman"/>
          <w:color w:val="000000" w:themeColor="text1"/>
          <w:szCs w:val="24"/>
        </w:rPr>
      </w:pPr>
      <w:r w:rsidRPr="00806BA4">
        <w:rPr>
          <w:rFonts w:cs="Times New Roman"/>
          <w:color w:val="000000" w:themeColor="text1"/>
          <w:szCs w:val="24"/>
        </w:rPr>
        <w:t>The competitive industry demands high rates.</w:t>
      </w:r>
    </w:p>
    <w:p w14:paraId="3CE14D5A" w14:textId="77777777" w:rsidR="00141ABF" w:rsidRPr="00806BA4" w:rsidRDefault="00141ABF" w:rsidP="00141ABF">
      <w:pPr>
        <w:pStyle w:val="ListParagraph"/>
        <w:numPr>
          <w:ilvl w:val="0"/>
          <w:numId w:val="3"/>
        </w:numPr>
        <w:spacing w:line="360" w:lineRule="auto"/>
        <w:jc w:val="both"/>
        <w:rPr>
          <w:rFonts w:cs="Times New Roman"/>
          <w:color w:val="000000" w:themeColor="text1"/>
          <w:szCs w:val="24"/>
        </w:rPr>
      </w:pPr>
      <w:r w:rsidRPr="00806BA4">
        <w:rPr>
          <w:rFonts w:cs="Times New Roman"/>
          <w:color w:val="000000" w:themeColor="text1"/>
          <w:szCs w:val="24"/>
        </w:rPr>
        <w:t>Guests approach in terms of seasonal booking.</w:t>
      </w:r>
    </w:p>
    <w:p w14:paraId="2A6148F1" w14:textId="77777777" w:rsidR="00141ABF" w:rsidRPr="00806BA4" w:rsidRDefault="00141ABF" w:rsidP="00141ABF">
      <w:pPr>
        <w:pStyle w:val="ListParagraph"/>
        <w:numPr>
          <w:ilvl w:val="0"/>
          <w:numId w:val="3"/>
        </w:numPr>
        <w:spacing w:line="360" w:lineRule="auto"/>
        <w:jc w:val="both"/>
        <w:rPr>
          <w:rFonts w:cs="Times New Roman"/>
          <w:color w:val="000000" w:themeColor="text1"/>
          <w:szCs w:val="24"/>
        </w:rPr>
      </w:pPr>
      <w:r w:rsidRPr="00806BA4">
        <w:rPr>
          <w:rFonts w:cs="Times New Roman"/>
          <w:color w:val="000000" w:themeColor="text1"/>
          <w:szCs w:val="24"/>
        </w:rPr>
        <w:t>The industry demands high tax rates.</w:t>
      </w:r>
    </w:p>
    <w:p w14:paraId="713817D2" w14:textId="77777777" w:rsidR="00141ABF" w:rsidRPr="00806BA4" w:rsidRDefault="00141ABF" w:rsidP="00141ABF">
      <w:pPr>
        <w:spacing w:line="360" w:lineRule="auto"/>
        <w:jc w:val="both"/>
        <w:rPr>
          <w:rFonts w:cs="Times New Roman"/>
          <w:color w:val="000000" w:themeColor="text1"/>
          <w:szCs w:val="24"/>
        </w:rPr>
      </w:pPr>
      <w:r w:rsidRPr="00806BA4">
        <w:rPr>
          <w:rFonts w:cs="Times New Roman"/>
          <w:color w:val="000000" w:themeColor="text1"/>
          <w:szCs w:val="24"/>
        </w:rPr>
        <w:t>Opportunities:</w:t>
      </w:r>
    </w:p>
    <w:p w14:paraId="0FF6BE11" w14:textId="77777777" w:rsidR="00141ABF" w:rsidRPr="00806BA4" w:rsidRDefault="00141ABF" w:rsidP="00141ABF">
      <w:pPr>
        <w:pStyle w:val="ListParagraph"/>
        <w:numPr>
          <w:ilvl w:val="0"/>
          <w:numId w:val="4"/>
        </w:numPr>
        <w:spacing w:line="360" w:lineRule="auto"/>
        <w:jc w:val="both"/>
        <w:rPr>
          <w:rFonts w:cs="Times New Roman"/>
          <w:color w:val="000000" w:themeColor="text1"/>
          <w:szCs w:val="24"/>
        </w:rPr>
      </w:pPr>
      <w:r w:rsidRPr="00806BA4">
        <w:rPr>
          <w:rFonts w:cs="Times New Roman"/>
          <w:color w:val="000000" w:themeColor="text1"/>
          <w:szCs w:val="24"/>
        </w:rPr>
        <w:t>Huge amount of seasonal bookings.</w:t>
      </w:r>
    </w:p>
    <w:p w14:paraId="07E63F83" w14:textId="77777777" w:rsidR="00141ABF" w:rsidRPr="00806BA4" w:rsidRDefault="00141ABF" w:rsidP="00141ABF">
      <w:pPr>
        <w:pStyle w:val="ListParagraph"/>
        <w:numPr>
          <w:ilvl w:val="0"/>
          <w:numId w:val="4"/>
        </w:numPr>
        <w:spacing w:line="360" w:lineRule="auto"/>
        <w:jc w:val="both"/>
        <w:rPr>
          <w:rFonts w:cs="Times New Roman"/>
          <w:color w:val="000000" w:themeColor="text1"/>
          <w:szCs w:val="24"/>
        </w:rPr>
      </w:pPr>
      <w:r w:rsidRPr="00806BA4">
        <w:rPr>
          <w:rFonts w:cs="Times New Roman"/>
          <w:color w:val="000000" w:themeColor="text1"/>
          <w:szCs w:val="24"/>
        </w:rPr>
        <w:t>Industry can avail benefits from the innovative technologies.</w:t>
      </w:r>
    </w:p>
    <w:p w14:paraId="271F33F2" w14:textId="77777777" w:rsidR="00141ABF" w:rsidRPr="00806BA4" w:rsidRDefault="00141ABF" w:rsidP="00141ABF">
      <w:pPr>
        <w:pStyle w:val="ListParagraph"/>
        <w:numPr>
          <w:ilvl w:val="0"/>
          <w:numId w:val="4"/>
        </w:numPr>
        <w:spacing w:line="360" w:lineRule="auto"/>
        <w:jc w:val="both"/>
        <w:rPr>
          <w:rFonts w:cs="Times New Roman"/>
          <w:color w:val="000000" w:themeColor="text1"/>
          <w:szCs w:val="24"/>
        </w:rPr>
      </w:pPr>
      <w:r w:rsidRPr="00806BA4">
        <w:rPr>
          <w:rFonts w:cs="Times New Roman"/>
          <w:color w:val="000000" w:themeColor="text1"/>
          <w:szCs w:val="24"/>
        </w:rPr>
        <w:t>Rapid globalization provides opportunities to the hospitality business.</w:t>
      </w:r>
    </w:p>
    <w:p w14:paraId="73189CF5" w14:textId="77777777" w:rsidR="00141ABF" w:rsidRPr="00806BA4" w:rsidRDefault="00141ABF" w:rsidP="00141ABF">
      <w:pPr>
        <w:spacing w:line="360" w:lineRule="auto"/>
        <w:jc w:val="both"/>
        <w:rPr>
          <w:rFonts w:cs="Times New Roman"/>
          <w:color w:val="000000" w:themeColor="text1"/>
          <w:szCs w:val="24"/>
        </w:rPr>
      </w:pPr>
      <w:r w:rsidRPr="00806BA4">
        <w:rPr>
          <w:rFonts w:cs="Times New Roman"/>
          <w:color w:val="000000" w:themeColor="text1"/>
          <w:szCs w:val="24"/>
        </w:rPr>
        <w:t>Threats:</w:t>
      </w:r>
    </w:p>
    <w:p w14:paraId="124A5F3D" w14:textId="77777777" w:rsidR="00141ABF" w:rsidRPr="00806BA4" w:rsidRDefault="00141ABF" w:rsidP="00141ABF">
      <w:pPr>
        <w:pStyle w:val="ListParagraph"/>
        <w:numPr>
          <w:ilvl w:val="0"/>
          <w:numId w:val="5"/>
        </w:numPr>
        <w:spacing w:line="360" w:lineRule="auto"/>
        <w:jc w:val="both"/>
        <w:rPr>
          <w:rFonts w:cs="Times New Roman"/>
          <w:color w:val="000000" w:themeColor="text1"/>
          <w:szCs w:val="24"/>
        </w:rPr>
      </w:pPr>
      <w:r w:rsidRPr="00806BA4">
        <w:rPr>
          <w:rFonts w:cs="Times New Roman"/>
          <w:color w:val="000000" w:themeColor="text1"/>
          <w:szCs w:val="24"/>
        </w:rPr>
        <w:t>Alternatives are evolving rapidly such as Airbnb.</w:t>
      </w:r>
    </w:p>
    <w:p w14:paraId="4A3460EE" w14:textId="77777777" w:rsidR="00141ABF" w:rsidRPr="00806BA4" w:rsidRDefault="00141ABF" w:rsidP="00141ABF">
      <w:pPr>
        <w:pStyle w:val="ListParagraph"/>
        <w:numPr>
          <w:ilvl w:val="0"/>
          <w:numId w:val="5"/>
        </w:numPr>
        <w:spacing w:line="360" w:lineRule="auto"/>
        <w:jc w:val="both"/>
        <w:rPr>
          <w:rFonts w:cs="Times New Roman"/>
          <w:color w:val="000000" w:themeColor="text1"/>
          <w:szCs w:val="24"/>
        </w:rPr>
      </w:pPr>
      <w:r w:rsidRPr="00806BA4">
        <w:rPr>
          <w:rFonts w:cs="Times New Roman"/>
          <w:color w:val="000000" w:themeColor="text1"/>
          <w:szCs w:val="24"/>
        </w:rPr>
        <w:t>A highly competitive industry requires innovation.</w:t>
      </w:r>
    </w:p>
    <w:p w14:paraId="56776606" w14:textId="77777777" w:rsidR="00141ABF" w:rsidRPr="00806BA4" w:rsidRDefault="00141ABF" w:rsidP="00141ABF">
      <w:pPr>
        <w:pStyle w:val="ListParagraph"/>
        <w:numPr>
          <w:ilvl w:val="0"/>
          <w:numId w:val="5"/>
        </w:numPr>
        <w:spacing w:line="360" w:lineRule="auto"/>
        <w:jc w:val="both"/>
        <w:rPr>
          <w:rFonts w:cs="Times New Roman"/>
          <w:color w:val="000000" w:themeColor="text1"/>
          <w:szCs w:val="24"/>
        </w:rPr>
      </w:pPr>
      <w:r w:rsidRPr="00806BA4">
        <w:rPr>
          <w:rFonts w:cs="Times New Roman"/>
          <w:color w:val="000000" w:themeColor="text1"/>
          <w:szCs w:val="24"/>
        </w:rPr>
        <w:t>Unrest situations in the country can reduce the number of foreigners.</w:t>
      </w:r>
    </w:p>
    <w:p w14:paraId="3D91CCAC" w14:textId="77777777" w:rsidR="00CB217A" w:rsidRPr="00806BA4" w:rsidRDefault="00CB217A" w:rsidP="00CB217A">
      <w:pPr>
        <w:pStyle w:val="Heading1"/>
        <w:spacing w:line="360" w:lineRule="auto"/>
        <w:jc w:val="both"/>
        <w:rPr>
          <w:rFonts w:cs="Times New Roman"/>
          <w:b w:val="0"/>
          <w:color w:val="000000" w:themeColor="text1"/>
          <w:szCs w:val="24"/>
        </w:rPr>
      </w:pPr>
      <w:bookmarkStart w:id="4" w:name="_Toc159616484"/>
      <w:r w:rsidRPr="00806BA4">
        <w:rPr>
          <w:rFonts w:cs="Times New Roman"/>
          <w:color w:val="000000" w:themeColor="text1"/>
          <w:szCs w:val="24"/>
        </w:rPr>
        <w:t>Financial Analysis</w:t>
      </w:r>
      <w:bookmarkEnd w:id="4"/>
      <w:r w:rsidRPr="00806BA4">
        <w:rPr>
          <w:rFonts w:cs="Times New Roman"/>
          <w:color w:val="000000" w:themeColor="text1"/>
          <w:szCs w:val="24"/>
        </w:rPr>
        <w:t xml:space="preserve"> </w:t>
      </w:r>
    </w:p>
    <w:p w14:paraId="1D65A9D2" w14:textId="77777777" w:rsidR="009B5BD6" w:rsidRPr="00806BA4" w:rsidRDefault="009B5BD6" w:rsidP="009B5BD6">
      <w:pPr>
        <w:spacing w:line="360" w:lineRule="auto"/>
        <w:jc w:val="both"/>
        <w:rPr>
          <w:rFonts w:cs="Times New Roman"/>
          <w:noProof/>
          <w:color w:val="000000" w:themeColor="text1"/>
          <w:szCs w:val="24"/>
        </w:rPr>
      </w:pPr>
      <w:r w:rsidRPr="00806BA4">
        <w:rPr>
          <w:rFonts w:cs="Times New Roman"/>
          <w:noProof/>
          <w:color w:val="000000" w:themeColor="text1"/>
          <w:szCs w:val="24"/>
        </w:rPr>
        <w:t xml:space="preserve">Financial decision making requires an in-depth understanding related to the interest rates, compound interest, risk diversification, and inflation (Klapper and Lusardi, 2019). Financial management is the essential factor for the organization or firm to achieve a sufficient amount of revenue. The financial analysis could be attained through the prolific financial management which is the core requirement of the firm's financial stability. The organization's financial analysis would </w:t>
      </w:r>
      <w:r w:rsidRPr="00806BA4">
        <w:rPr>
          <w:rFonts w:cs="Times New Roman"/>
          <w:noProof/>
          <w:color w:val="000000" w:themeColor="text1"/>
          <w:szCs w:val="24"/>
        </w:rPr>
        <w:lastRenderedPageBreak/>
        <w:t xml:space="preserve">be performed on the basis of the income statement and balance sheet of the company. Therefore, Seacrest Lodge's financial position has been investigated in regard to exploring the cause of the decline in the revenue of the company over the past three years. </w:t>
      </w:r>
    </w:p>
    <w:p w14:paraId="60308DC4" w14:textId="77777777" w:rsidR="009B5BD6" w:rsidRPr="00806BA4" w:rsidRDefault="009B5BD6" w:rsidP="009B5BD6">
      <w:pPr>
        <w:rPr>
          <w:rFonts w:cs="Times New Roman"/>
          <w:color w:val="000000" w:themeColor="text1"/>
          <w:szCs w:val="24"/>
        </w:rPr>
      </w:pPr>
    </w:p>
    <w:p w14:paraId="41BB860C" w14:textId="77777777" w:rsidR="004425C4" w:rsidRPr="00806BA4" w:rsidRDefault="004425C4" w:rsidP="004425C4">
      <w:pPr>
        <w:pStyle w:val="Heading2"/>
        <w:spacing w:line="360" w:lineRule="auto"/>
        <w:jc w:val="both"/>
        <w:rPr>
          <w:rFonts w:cs="Times New Roman"/>
          <w:b w:val="0"/>
          <w:color w:val="000000" w:themeColor="text1"/>
          <w:szCs w:val="24"/>
        </w:rPr>
      </w:pPr>
      <w:bookmarkStart w:id="5" w:name="_Toc159616485"/>
      <w:r w:rsidRPr="00806BA4">
        <w:rPr>
          <w:rFonts w:cs="Times New Roman"/>
          <w:color w:val="000000" w:themeColor="text1"/>
          <w:szCs w:val="24"/>
        </w:rPr>
        <w:t>Income Statement</w:t>
      </w:r>
      <w:bookmarkEnd w:id="5"/>
    </w:p>
    <w:p w14:paraId="52125F23" w14:textId="77777777" w:rsidR="009B5BD6" w:rsidRPr="00806BA4" w:rsidRDefault="009B5BD6" w:rsidP="009B5BD6">
      <w:pPr>
        <w:spacing w:line="360" w:lineRule="auto"/>
        <w:jc w:val="both"/>
        <w:rPr>
          <w:rFonts w:cs="Times New Roman"/>
          <w:noProof/>
          <w:color w:val="000000" w:themeColor="text1"/>
          <w:szCs w:val="24"/>
        </w:rPr>
      </w:pPr>
      <w:r w:rsidRPr="00806BA4">
        <w:rPr>
          <w:rFonts w:cs="Times New Roman"/>
          <w:noProof/>
          <w:color w:val="000000" w:themeColor="text1"/>
          <w:szCs w:val="24"/>
        </w:rPr>
        <w:t xml:space="preserve">The income statement is the visual representation of the financial performance of the company through the report based on the revenue, gains, losses, and expenses within the specific period. Along with the income statement the company's cash flow and balance sheet are also associated with the organization's financial credibility. The figure mentioned below illustrates Seacrest Lodge's income statement in GBP for the three years time period. According to the income statement of the business, the revenue generated by the firm in three years has gradually decreased. As in the year 2021, Seacrest Lodge managed to produce £ 1,200,00, however, in the year 2022 it generated £1,100,000 which depicts that in comparison to the prior year, the revenue generated by the lodge decreased by £ 100,000 in value. However, in the year 2023, it further decreased to £950,000 which highlights that the financial position of the firm is not stable and in regard to resolving this issue financial strategies are required to to integrated within the business planning. Moreover, in terms of net income, it is mentioned in the income statement that the company has a negative figure for the year 2023 which represents the major decline in the financial position of the business stability.        </w:t>
      </w:r>
    </w:p>
    <w:p w14:paraId="25D8A752" w14:textId="77777777" w:rsidR="009B5BD6" w:rsidRPr="00806BA4" w:rsidRDefault="009B5BD6" w:rsidP="009B5BD6">
      <w:pPr>
        <w:spacing w:line="360" w:lineRule="auto"/>
        <w:jc w:val="both"/>
        <w:rPr>
          <w:rFonts w:cs="Times New Roman"/>
          <w:color w:val="000000" w:themeColor="text1"/>
          <w:szCs w:val="24"/>
        </w:rPr>
      </w:pPr>
      <w:r w:rsidRPr="00806BA4">
        <w:rPr>
          <w:rFonts w:cs="Times New Roman"/>
          <w:noProof/>
          <w:color w:val="000000" w:themeColor="text1"/>
          <w:szCs w:val="24"/>
        </w:rPr>
        <w:drawing>
          <wp:inline distT="0" distB="0" distL="0" distR="0" wp14:anchorId="161F7CD6" wp14:editId="5104E287">
            <wp:extent cx="5943600" cy="1283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283970"/>
                    </a:xfrm>
                    <a:prstGeom prst="rect">
                      <a:avLst/>
                    </a:prstGeom>
                  </pic:spPr>
                </pic:pic>
              </a:graphicData>
            </a:graphic>
          </wp:inline>
        </w:drawing>
      </w:r>
    </w:p>
    <w:p w14:paraId="0397B3F5" w14:textId="77777777" w:rsidR="004425C4" w:rsidRPr="00806BA4" w:rsidRDefault="004425C4" w:rsidP="004425C4">
      <w:pPr>
        <w:pStyle w:val="Heading2"/>
        <w:spacing w:line="360" w:lineRule="auto"/>
        <w:jc w:val="both"/>
        <w:rPr>
          <w:rFonts w:cs="Times New Roman"/>
          <w:b w:val="0"/>
          <w:color w:val="000000" w:themeColor="text1"/>
          <w:szCs w:val="24"/>
        </w:rPr>
      </w:pPr>
      <w:bookmarkStart w:id="6" w:name="_Toc159616486"/>
      <w:r w:rsidRPr="00806BA4">
        <w:rPr>
          <w:rFonts w:cs="Times New Roman"/>
          <w:color w:val="000000" w:themeColor="text1"/>
          <w:szCs w:val="24"/>
        </w:rPr>
        <w:t>Balance Sheet</w:t>
      </w:r>
      <w:bookmarkEnd w:id="6"/>
      <w:r w:rsidRPr="00806BA4">
        <w:rPr>
          <w:rFonts w:cs="Times New Roman"/>
          <w:color w:val="000000" w:themeColor="text1"/>
          <w:szCs w:val="24"/>
        </w:rPr>
        <w:t xml:space="preserve">  </w:t>
      </w:r>
    </w:p>
    <w:p w14:paraId="6DDF7633" w14:textId="77777777" w:rsidR="009B5BD6" w:rsidRPr="00806BA4" w:rsidRDefault="009B5BD6" w:rsidP="009B5BD6">
      <w:pPr>
        <w:spacing w:line="360" w:lineRule="auto"/>
        <w:jc w:val="both"/>
        <w:rPr>
          <w:rFonts w:cs="Times New Roman"/>
          <w:color w:val="000000" w:themeColor="text1"/>
          <w:szCs w:val="24"/>
        </w:rPr>
      </w:pPr>
      <w:r w:rsidRPr="00806BA4">
        <w:rPr>
          <w:rFonts w:cs="Times New Roman"/>
          <w:color w:val="000000" w:themeColor="text1"/>
          <w:szCs w:val="24"/>
        </w:rPr>
        <w:t xml:space="preserve">The strong financial balance sheet is seen as the key factor for the recovery from the financial sector disturbance through the means of credits and economic performance (Kapan and Minoiu, 2018). Therefore, managing the balance sheet is a vital aspect of regaining the financial position after the financial setbacks. Hence, the figure mentioned below indicates the balance sheet of Seacrest Lodge illustrating the three years performance of the firm. According to the balance sheet </w:t>
      </w:r>
      <w:r w:rsidRPr="00806BA4">
        <w:rPr>
          <w:rFonts w:cs="Times New Roman"/>
          <w:color w:val="000000" w:themeColor="text1"/>
          <w:szCs w:val="24"/>
        </w:rPr>
        <w:lastRenderedPageBreak/>
        <w:t xml:space="preserve">the cash and equivalents of the company have decreased from year 2021 to 2023. In addition to this, the accounts receivables are also portraying the gradual decrease in amount. Whereas, the property and equipment of the company maintain the cost for two years but in the year 2023 it also depreciated. The increase in total liabilities and decrease in assets pictured the unstable financial position of the company which further indicates that the growth and validity of the business will be seen as unsteady.  </w:t>
      </w:r>
    </w:p>
    <w:p w14:paraId="30C66536" w14:textId="77777777" w:rsidR="009B5BD6" w:rsidRPr="00806BA4" w:rsidRDefault="009B5BD6" w:rsidP="009B5BD6">
      <w:pPr>
        <w:spacing w:line="360" w:lineRule="auto"/>
        <w:jc w:val="both"/>
        <w:rPr>
          <w:rFonts w:cs="Times New Roman"/>
          <w:color w:val="000000" w:themeColor="text1"/>
          <w:szCs w:val="24"/>
        </w:rPr>
      </w:pPr>
      <w:r w:rsidRPr="00806BA4">
        <w:rPr>
          <w:rFonts w:cs="Times New Roman"/>
          <w:color w:val="000000" w:themeColor="text1"/>
          <w:szCs w:val="24"/>
        </w:rPr>
        <w:t xml:space="preserve"> </w:t>
      </w:r>
      <w:r w:rsidRPr="00806BA4">
        <w:rPr>
          <w:rFonts w:cs="Times New Roman"/>
          <w:noProof/>
          <w:color w:val="000000" w:themeColor="text1"/>
          <w:szCs w:val="24"/>
        </w:rPr>
        <w:drawing>
          <wp:inline distT="0" distB="0" distL="0" distR="0" wp14:anchorId="43732524" wp14:editId="3364B696">
            <wp:extent cx="5943600" cy="21723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943600" cy="2172335"/>
                    </a:xfrm>
                    <a:prstGeom prst="rect">
                      <a:avLst/>
                    </a:prstGeom>
                  </pic:spPr>
                </pic:pic>
              </a:graphicData>
            </a:graphic>
          </wp:inline>
        </w:drawing>
      </w:r>
    </w:p>
    <w:p w14:paraId="462584A2" w14:textId="77777777" w:rsidR="000E245E" w:rsidRPr="00806BA4" w:rsidRDefault="008318A6" w:rsidP="0073061C">
      <w:pPr>
        <w:pStyle w:val="Heading1"/>
        <w:rPr>
          <w:rFonts w:cs="Times New Roman"/>
          <w:b w:val="0"/>
          <w:color w:val="000000" w:themeColor="text1"/>
          <w:szCs w:val="24"/>
        </w:rPr>
      </w:pPr>
      <w:bookmarkStart w:id="7" w:name="_Toc159616487"/>
      <w:r w:rsidRPr="00806BA4">
        <w:rPr>
          <w:rFonts w:cs="Times New Roman"/>
          <w:color w:val="000000" w:themeColor="text1"/>
          <w:szCs w:val="24"/>
        </w:rPr>
        <w:t>Additional Financial Info</w:t>
      </w:r>
      <w:r w:rsidR="000E245E" w:rsidRPr="00806BA4">
        <w:rPr>
          <w:rFonts w:cs="Times New Roman"/>
          <w:color w:val="000000" w:themeColor="text1"/>
          <w:szCs w:val="24"/>
        </w:rPr>
        <w:t>rmation</w:t>
      </w:r>
      <w:bookmarkEnd w:id="7"/>
      <w:r w:rsidR="0092175E" w:rsidRPr="00806BA4">
        <w:rPr>
          <w:rFonts w:cs="Times New Roman"/>
          <w:b w:val="0"/>
          <w:color w:val="000000" w:themeColor="text1"/>
          <w:szCs w:val="24"/>
        </w:rPr>
        <w:t xml:space="preserve"> </w:t>
      </w:r>
    </w:p>
    <w:p w14:paraId="285E27A6" w14:textId="77777777" w:rsidR="00D202BA" w:rsidRPr="00806BA4" w:rsidRDefault="00D202BA" w:rsidP="00D202BA">
      <w:pPr>
        <w:pStyle w:val="Heading2"/>
        <w:numPr>
          <w:ilvl w:val="1"/>
          <w:numId w:val="6"/>
        </w:numPr>
        <w:spacing w:line="240" w:lineRule="auto"/>
        <w:rPr>
          <w:rFonts w:cs="Times New Roman"/>
          <w:color w:val="000000" w:themeColor="text1"/>
          <w:szCs w:val="24"/>
        </w:rPr>
      </w:pPr>
      <w:bookmarkStart w:id="8" w:name="_Toc159616488"/>
      <w:r w:rsidRPr="00806BA4">
        <w:rPr>
          <w:rFonts w:cs="Times New Roman"/>
          <w:color w:val="000000" w:themeColor="text1"/>
          <w:szCs w:val="24"/>
        </w:rPr>
        <w:t>Average room rate</w:t>
      </w:r>
      <w:bookmarkEnd w:id="8"/>
    </w:p>
    <w:p w14:paraId="3F23DB41" w14:textId="77777777" w:rsidR="00D202BA" w:rsidRPr="00806BA4" w:rsidRDefault="00D202BA" w:rsidP="00D202BA">
      <w:pPr>
        <w:spacing w:line="360" w:lineRule="auto"/>
        <w:jc w:val="both"/>
        <w:rPr>
          <w:rFonts w:cs="Times New Roman"/>
          <w:color w:val="000000" w:themeColor="text1"/>
          <w:szCs w:val="24"/>
        </w:rPr>
      </w:pPr>
      <w:r w:rsidRPr="00806BA4">
        <w:rPr>
          <w:rFonts w:cs="Times New Roman"/>
          <w:color w:val="000000" w:themeColor="text1"/>
          <w:szCs w:val="24"/>
        </w:rPr>
        <w:t>The average room rate (ARR) is the average cost charged by a hotel for a room stay for a certain period. The ARR value is calculated by dividing the total revenue generated during that time by the total number of rented rooms (Surya et al., 2019). The calculation for the average room rate at Seacrest Lodge for the years 2021, 2022, and 2023 is given below:</w:t>
      </w:r>
    </w:p>
    <w:p w14:paraId="5D9F1F2F"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 xml:space="preserve">ARR = </w:t>
      </w:r>
      <m:oMath>
        <m:f>
          <m:fPr>
            <m:ctrlPr>
              <w:rPr>
                <w:rFonts w:ascii="Cambria Math" w:eastAsiaTheme="minorEastAsia" w:hAnsi="Cambria Math" w:cs="Times New Roman"/>
                <w:i/>
                <w:noProof/>
                <w:color w:val="000000" w:themeColor="text1"/>
                <w:szCs w:val="24"/>
                <w:lang w:val="en-GB"/>
              </w:rPr>
            </m:ctrlPr>
          </m:fPr>
          <m:num>
            <m:r>
              <w:rPr>
                <w:rFonts w:ascii="Cambria Math" w:hAnsi="Cambria Math" w:cs="Times New Roman"/>
                <w:color w:val="000000" w:themeColor="text1"/>
                <w:szCs w:val="24"/>
              </w:rPr>
              <m:t>total room rate</m:t>
            </m:r>
          </m:num>
          <m:den>
            <m:r>
              <w:rPr>
                <w:rFonts w:ascii="Cambria Math" w:hAnsi="Cambria Math" w:cs="Times New Roman"/>
                <w:color w:val="000000" w:themeColor="text1"/>
                <w:szCs w:val="24"/>
              </w:rPr>
              <m:t>number of years</m:t>
            </m:r>
          </m:den>
        </m:f>
      </m:oMath>
    </w:p>
    <w:p w14:paraId="3C7C2E5C"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Total room rate =  £260 + £240 + £210 = £ 710</w:t>
      </w:r>
    </w:p>
    <w:p w14:paraId="030B4290"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Number of years = 3</w:t>
      </w:r>
    </w:p>
    <w:p w14:paraId="62053832"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 xml:space="preserve">ARR= </w:t>
      </w:r>
      <m:oMath>
        <m:f>
          <m:fPr>
            <m:ctrlPr>
              <w:rPr>
                <w:rFonts w:ascii="Cambria Math" w:eastAsiaTheme="minorEastAsia" w:hAnsi="Cambria Math" w:cs="Times New Roman"/>
                <w:i/>
                <w:noProof/>
                <w:color w:val="000000" w:themeColor="text1"/>
                <w:szCs w:val="24"/>
                <w:lang w:val="en-GB"/>
              </w:rPr>
            </m:ctrlPr>
          </m:fPr>
          <m:num>
            <m:r>
              <m:rPr>
                <m:sty m:val="p"/>
              </m:rPr>
              <w:rPr>
                <w:rFonts w:ascii="Cambria Math" w:hAnsi="Cambria Math" w:cs="Times New Roman"/>
                <w:color w:val="000000" w:themeColor="text1"/>
                <w:szCs w:val="24"/>
              </w:rPr>
              <m:t>£710</m:t>
            </m:r>
          </m:num>
          <m:den>
            <m:r>
              <w:rPr>
                <w:rFonts w:ascii="Cambria Math" w:hAnsi="Cambria Math" w:cs="Times New Roman"/>
                <w:color w:val="000000" w:themeColor="text1"/>
                <w:szCs w:val="24"/>
              </w:rPr>
              <m:t>3</m:t>
            </m:r>
          </m:den>
        </m:f>
      </m:oMath>
    </w:p>
    <w:p w14:paraId="7D49C49B"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ARR = £236.67</w:t>
      </w:r>
    </w:p>
    <w:p w14:paraId="12087B7A" w14:textId="77777777" w:rsidR="00D202BA" w:rsidRPr="00806BA4" w:rsidRDefault="00D202BA" w:rsidP="00D202BA">
      <w:pPr>
        <w:spacing w:line="360" w:lineRule="auto"/>
        <w:rPr>
          <w:rFonts w:cs="Times New Roman"/>
          <w:color w:val="000000" w:themeColor="text1"/>
          <w:szCs w:val="24"/>
        </w:rPr>
      </w:pPr>
      <w:r w:rsidRPr="00806BA4">
        <w:rPr>
          <w:rFonts w:cs="Times New Roman"/>
          <w:color w:val="000000" w:themeColor="text1"/>
          <w:szCs w:val="24"/>
        </w:rPr>
        <w:t>The average room rate for Seacrest Lodge for the years 2021, 2022, and 2023 is £236.67.</w:t>
      </w:r>
    </w:p>
    <w:p w14:paraId="6A75B2E3" w14:textId="77777777" w:rsidR="00D202BA" w:rsidRPr="00806BA4" w:rsidRDefault="00D202BA" w:rsidP="00D202BA">
      <w:pPr>
        <w:pStyle w:val="Heading2"/>
        <w:numPr>
          <w:ilvl w:val="1"/>
          <w:numId w:val="6"/>
        </w:numPr>
        <w:spacing w:line="240" w:lineRule="auto"/>
        <w:rPr>
          <w:rFonts w:cs="Times New Roman"/>
          <w:color w:val="000000" w:themeColor="text1"/>
          <w:szCs w:val="24"/>
        </w:rPr>
      </w:pPr>
      <w:bookmarkStart w:id="9" w:name="_Toc159616489"/>
      <w:r w:rsidRPr="00806BA4">
        <w:rPr>
          <w:rFonts w:cs="Times New Roman"/>
          <w:color w:val="000000" w:themeColor="text1"/>
          <w:szCs w:val="24"/>
        </w:rPr>
        <w:lastRenderedPageBreak/>
        <w:t>Occupancy rate</w:t>
      </w:r>
      <w:bookmarkEnd w:id="9"/>
    </w:p>
    <w:p w14:paraId="405C97D0" w14:textId="77777777" w:rsidR="00D202BA" w:rsidRPr="00806BA4" w:rsidRDefault="00D202BA" w:rsidP="00D202BA">
      <w:pPr>
        <w:spacing w:line="360" w:lineRule="auto"/>
        <w:jc w:val="both"/>
        <w:rPr>
          <w:rFonts w:cs="Times New Roman"/>
          <w:color w:val="000000" w:themeColor="text1"/>
          <w:szCs w:val="24"/>
        </w:rPr>
      </w:pPr>
      <w:r w:rsidRPr="00806BA4">
        <w:rPr>
          <w:rFonts w:cs="Times New Roman"/>
          <w:color w:val="000000" w:themeColor="text1"/>
          <w:szCs w:val="24"/>
          <w:shd w:val="clear" w:color="auto" w:fill="FFFFFF"/>
        </w:rPr>
        <w:t>Occupancy rate defines the space that has been rented out in contrast to the available total space. Occupancy rate is usually used to identify the occupancy ratio of hotel and rental services rooms (</w:t>
      </w:r>
      <w:r w:rsidRPr="00806BA4">
        <w:rPr>
          <w:rFonts w:cs="Times New Roman"/>
          <w:color w:val="000000" w:themeColor="text1"/>
          <w:szCs w:val="24"/>
        </w:rPr>
        <w:t>Aransyah et al., 2020). The calculation for the occupancy rate at Seacrest Lodge for the years 2021, 2022, and 2023 is given below:</w:t>
      </w:r>
    </w:p>
    <w:p w14:paraId="3B38EF3D"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 xml:space="preserve">Occupancy rate = </w:t>
      </w:r>
      <m:oMath>
        <m:f>
          <m:fPr>
            <m:ctrlPr>
              <w:rPr>
                <w:rFonts w:ascii="Cambria Math" w:eastAsiaTheme="minorEastAsia" w:hAnsi="Cambria Math" w:cs="Times New Roman"/>
                <w:i/>
                <w:noProof/>
                <w:color w:val="000000" w:themeColor="text1"/>
                <w:szCs w:val="24"/>
                <w:lang w:val="en-GB"/>
              </w:rPr>
            </m:ctrlPr>
          </m:fPr>
          <m:num>
            <m:r>
              <w:rPr>
                <w:rFonts w:ascii="Cambria Math" w:hAnsi="Cambria Math" w:cs="Times New Roman"/>
                <w:color w:val="000000" w:themeColor="text1"/>
                <w:szCs w:val="24"/>
              </w:rPr>
              <m:t xml:space="preserve">total occupany rate </m:t>
            </m:r>
          </m:num>
          <m:den>
            <m:r>
              <w:rPr>
                <w:rFonts w:ascii="Cambria Math" w:hAnsi="Cambria Math" w:cs="Times New Roman"/>
                <w:color w:val="000000" w:themeColor="text1"/>
                <w:szCs w:val="24"/>
              </w:rPr>
              <m:t>number of years</m:t>
            </m:r>
          </m:den>
        </m:f>
      </m:oMath>
    </w:p>
    <w:p w14:paraId="123EC77D"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Total occupancy rate= 65% + 60% + 50% = 175%</w:t>
      </w:r>
    </w:p>
    <w:p w14:paraId="0D77AF1A"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Number of years = 3</w:t>
      </w:r>
    </w:p>
    <w:p w14:paraId="43851DC2"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 xml:space="preserve">Occupancy rate = </w:t>
      </w:r>
      <m:oMath>
        <m:f>
          <m:fPr>
            <m:ctrlPr>
              <w:rPr>
                <w:rFonts w:ascii="Cambria Math" w:eastAsiaTheme="minorEastAsia" w:hAnsi="Cambria Math" w:cs="Times New Roman"/>
                <w:i/>
                <w:noProof/>
                <w:color w:val="000000" w:themeColor="text1"/>
                <w:szCs w:val="24"/>
                <w:lang w:val="en-GB"/>
              </w:rPr>
            </m:ctrlPr>
          </m:fPr>
          <m:num>
            <m:r>
              <w:rPr>
                <w:rFonts w:ascii="Cambria Math" w:hAnsi="Cambria Math" w:cs="Times New Roman"/>
                <w:color w:val="000000" w:themeColor="text1"/>
                <w:szCs w:val="24"/>
              </w:rPr>
              <m:t>175%</m:t>
            </m:r>
          </m:num>
          <m:den>
            <m:r>
              <w:rPr>
                <w:rFonts w:ascii="Cambria Math" w:hAnsi="Cambria Math" w:cs="Times New Roman"/>
                <w:color w:val="000000" w:themeColor="text1"/>
                <w:szCs w:val="24"/>
              </w:rPr>
              <m:t>3</m:t>
            </m:r>
          </m:den>
        </m:f>
      </m:oMath>
    </w:p>
    <w:p w14:paraId="64D386D9" w14:textId="77777777" w:rsidR="00D202BA" w:rsidRPr="00806BA4" w:rsidRDefault="00D202BA" w:rsidP="00D202BA">
      <w:pPr>
        <w:spacing w:line="360" w:lineRule="auto"/>
        <w:jc w:val="center"/>
        <w:rPr>
          <w:rFonts w:cs="Times New Roman"/>
          <w:color w:val="000000" w:themeColor="text1"/>
          <w:szCs w:val="24"/>
        </w:rPr>
      </w:pPr>
      <w:r w:rsidRPr="00806BA4">
        <w:rPr>
          <w:rFonts w:cs="Times New Roman"/>
          <w:color w:val="000000" w:themeColor="text1"/>
          <w:szCs w:val="24"/>
        </w:rPr>
        <w:t>Occupancy rate = 58.33%</w:t>
      </w:r>
    </w:p>
    <w:p w14:paraId="21E917D6" w14:textId="77777777" w:rsidR="00D202BA" w:rsidRPr="00806BA4" w:rsidRDefault="00D202BA" w:rsidP="00D202BA">
      <w:pPr>
        <w:spacing w:line="360" w:lineRule="auto"/>
        <w:rPr>
          <w:rFonts w:cs="Times New Roman"/>
          <w:color w:val="000000" w:themeColor="text1"/>
          <w:szCs w:val="24"/>
        </w:rPr>
      </w:pPr>
      <w:r w:rsidRPr="00806BA4">
        <w:rPr>
          <w:rFonts w:cs="Times New Roman"/>
          <w:color w:val="000000" w:themeColor="text1"/>
          <w:szCs w:val="24"/>
        </w:rPr>
        <w:t>The occupancy rate for Seacrest Lodge for the years 2021, 2022, and 2023 is 58.33%.</w:t>
      </w:r>
    </w:p>
    <w:p w14:paraId="064440E4" w14:textId="77777777" w:rsidR="00D202BA" w:rsidRPr="00806BA4" w:rsidRDefault="00D202BA" w:rsidP="00D202BA">
      <w:pPr>
        <w:pStyle w:val="Heading1"/>
        <w:numPr>
          <w:ilvl w:val="0"/>
          <w:numId w:val="6"/>
        </w:numPr>
        <w:rPr>
          <w:rFonts w:cs="Times New Roman"/>
          <w:color w:val="000000" w:themeColor="text1"/>
          <w:szCs w:val="24"/>
        </w:rPr>
      </w:pPr>
      <w:bookmarkStart w:id="10" w:name="_Toc159616490"/>
      <w:r w:rsidRPr="00806BA4">
        <w:rPr>
          <w:rFonts w:cs="Times New Roman"/>
          <w:color w:val="000000" w:themeColor="text1"/>
          <w:szCs w:val="24"/>
        </w:rPr>
        <w:t>Turnaround strategy</w:t>
      </w:r>
      <w:bookmarkEnd w:id="10"/>
    </w:p>
    <w:p w14:paraId="037A1DA2" w14:textId="77777777" w:rsidR="00D202BA" w:rsidRPr="005825C4" w:rsidRDefault="00D202BA" w:rsidP="005825C4">
      <w:pPr>
        <w:spacing w:line="360" w:lineRule="auto"/>
        <w:jc w:val="both"/>
        <w:rPr>
          <w:rFonts w:cs="Times New Roman"/>
          <w:color w:val="000000" w:themeColor="text1"/>
          <w:szCs w:val="24"/>
        </w:rPr>
      </w:pPr>
      <w:r w:rsidRPr="00806BA4">
        <w:rPr>
          <w:rFonts w:cs="Times New Roman"/>
          <w:color w:val="000000" w:themeColor="text1"/>
          <w:szCs w:val="24"/>
          <w:shd w:val="clear" w:color="auto" w:fill="FFFFFF"/>
        </w:rPr>
        <w:t>The turnaround concept is applied in organizational decline. It is described as the recovery of company or business performance after a decline (</w:t>
      </w:r>
      <w:r w:rsidRPr="00806BA4">
        <w:rPr>
          <w:rFonts w:cs="Times New Roman"/>
          <w:color w:val="000000" w:themeColor="text1"/>
          <w:szCs w:val="24"/>
        </w:rPr>
        <w:t>Bodolica and Spraggon, 2021).</w:t>
      </w:r>
      <w:r w:rsidRPr="00806BA4">
        <w:rPr>
          <w:rFonts w:cs="Times New Roman"/>
          <w:color w:val="000000" w:themeColor="text1"/>
          <w:szCs w:val="24"/>
          <w:shd w:val="clear" w:color="auto" w:fill="FFFFFF"/>
        </w:rPr>
        <w:t xml:space="preserve"> Generally, businesses apply two types of turnaround strategies which are retrenchment strategies also called operational actions that aim to cut down costs and assets. Another turnaround strategy is the strategic recovery strategy which involves adjusting areas in which the company competes (</w:t>
      </w:r>
      <w:r w:rsidRPr="00806BA4">
        <w:rPr>
          <w:rFonts w:cs="Times New Roman"/>
          <w:color w:val="000000" w:themeColor="text1"/>
          <w:szCs w:val="24"/>
        </w:rPr>
        <w:t>Santana et al., 2017)</w:t>
      </w:r>
      <w:r w:rsidR="005825C4">
        <w:rPr>
          <w:rFonts w:cs="Times New Roman"/>
          <w:color w:val="000000" w:themeColor="text1"/>
          <w:szCs w:val="24"/>
        </w:rPr>
        <w:t xml:space="preserve">. </w:t>
      </w:r>
      <w:r w:rsidRPr="005825C4">
        <w:rPr>
          <w:rFonts w:cs="Times New Roman"/>
          <w:color w:val="000000" w:themeColor="text1"/>
          <w:szCs w:val="24"/>
          <w:shd w:val="clear" w:color="auto" w:fill="FFFFFF"/>
        </w:rPr>
        <w:t>The first step of a turnaround strategy is to assess the current lodge's performance honestly. The lodge should review their financial statements they should not be limited to bank statements or cash flow statements (</w:t>
      </w:r>
      <w:r w:rsidRPr="005825C4">
        <w:rPr>
          <w:rFonts w:cs="Times New Roman"/>
          <w:color w:val="000000" w:themeColor="text1"/>
          <w:szCs w:val="24"/>
        </w:rPr>
        <w:t>Weygandt et al., 2018).</w:t>
      </w:r>
      <w:r w:rsidRPr="005825C4">
        <w:rPr>
          <w:rFonts w:cs="Times New Roman"/>
          <w:color w:val="000000" w:themeColor="text1"/>
          <w:szCs w:val="24"/>
          <w:shd w:val="clear" w:color="auto" w:fill="FFFFFF"/>
        </w:rPr>
        <w:t xml:space="preserve"> They should also assess the profit and loss ratio, balance sheet, and asset register. The lodge should focus on its occupancy rate and percentage, customer feedback, and employee motivation level. It will provide a clear view strengths and weaknesses of the lodge (</w:t>
      </w:r>
      <w:r w:rsidRPr="005825C4">
        <w:rPr>
          <w:rFonts w:cs="Times New Roman"/>
          <w:color w:val="000000" w:themeColor="text1"/>
          <w:szCs w:val="24"/>
        </w:rPr>
        <w:t>Johnston and Petacchi, 2017).</w:t>
      </w:r>
    </w:p>
    <w:p w14:paraId="7ECF892B" w14:textId="77777777" w:rsidR="00D202BA" w:rsidRPr="005825C4" w:rsidRDefault="00D202BA" w:rsidP="005825C4">
      <w:pPr>
        <w:spacing w:after="0" w:line="360" w:lineRule="auto"/>
        <w:jc w:val="both"/>
        <w:rPr>
          <w:rFonts w:cs="Times New Roman"/>
          <w:color w:val="000000" w:themeColor="text1"/>
          <w:szCs w:val="24"/>
          <w:shd w:val="clear" w:color="auto" w:fill="FFFFFF"/>
        </w:rPr>
      </w:pPr>
      <w:r w:rsidRPr="005825C4">
        <w:rPr>
          <w:rFonts w:cs="Times New Roman"/>
          <w:color w:val="000000" w:themeColor="text1"/>
          <w:szCs w:val="24"/>
          <w:shd w:val="clear" w:color="auto" w:fill="FFFFFF"/>
        </w:rPr>
        <w:t>The lodge should have defined long-term and short-term goals. The hotel should also analyze different factors like competition, market trends, and customer preferences. To attain its market position lodge can increase revenue, cut costs, and make strategies to enhance customer satisfaction. Having a direction will allow Lodge to be motivated and focused in a complete turnaround process (</w:t>
      </w:r>
      <w:r w:rsidRPr="005825C4">
        <w:rPr>
          <w:rFonts w:cs="Times New Roman"/>
          <w:color w:val="000000" w:themeColor="text1"/>
          <w:szCs w:val="24"/>
        </w:rPr>
        <w:t>Richard, 2017).</w:t>
      </w:r>
      <w:r w:rsidR="005825C4">
        <w:rPr>
          <w:rFonts w:cs="Times New Roman"/>
          <w:color w:val="000000" w:themeColor="text1"/>
          <w:szCs w:val="24"/>
          <w:shd w:val="clear" w:color="auto" w:fill="FFFFFF"/>
        </w:rPr>
        <w:t xml:space="preserve"> </w:t>
      </w:r>
      <w:r w:rsidRPr="005825C4">
        <w:rPr>
          <w:rFonts w:cs="Times New Roman"/>
          <w:color w:val="000000" w:themeColor="text1"/>
          <w:szCs w:val="24"/>
          <w:shd w:val="clear" w:color="auto" w:fill="FFFFFF"/>
        </w:rPr>
        <w:t xml:space="preserve">The lodge should invest in a modern property management </w:t>
      </w:r>
      <w:r w:rsidRPr="005825C4">
        <w:rPr>
          <w:rFonts w:cs="Times New Roman"/>
          <w:color w:val="000000" w:themeColor="text1"/>
          <w:szCs w:val="24"/>
          <w:shd w:val="clear" w:color="auto" w:fill="FFFFFF"/>
        </w:rPr>
        <w:lastRenderedPageBreak/>
        <w:t>system (PMS) that modernizes the reservation process, check-ins, and customer preferences. The lodge can adapt online booking platforms and develop a user-friendly website to attract more customers. The lodge can also depend on data analytics to understand customer behavior and develop strategies accordingly (</w:t>
      </w:r>
      <w:r w:rsidRPr="005825C4">
        <w:rPr>
          <w:rFonts w:cs="Times New Roman"/>
          <w:color w:val="000000" w:themeColor="text1"/>
          <w:szCs w:val="24"/>
        </w:rPr>
        <w:t>Gong, 2023).</w:t>
      </w:r>
    </w:p>
    <w:p w14:paraId="7ACE3519" w14:textId="77777777" w:rsidR="00D202BA" w:rsidRPr="005825C4" w:rsidRDefault="00D202BA" w:rsidP="005825C4">
      <w:pPr>
        <w:spacing w:after="0" w:line="360" w:lineRule="auto"/>
        <w:jc w:val="both"/>
        <w:rPr>
          <w:rFonts w:cs="Times New Roman"/>
          <w:color w:val="000000" w:themeColor="text1"/>
          <w:szCs w:val="24"/>
        </w:rPr>
      </w:pPr>
      <w:r w:rsidRPr="005825C4">
        <w:rPr>
          <w:rFonts w:cs="Times New Roman"/>
          <w:color w:val="000000" w:themeColor="text1"/>
          <w:szCs w:val="24"/>
          <w:shd w:val="clear" w:color="auto" w:fill="FFFFFF"/>
        </w:rPr>
        <w:t>One of the important elements of a turnaround strategy is to cut down unnecessary expenses. It can be done through cost analysis that will identify areas where individuals can cut back and the quality of services is not compromised. The managers can negotiate over prices with suppliers, and efficiently manage inventory and staff schedules (</w:t>
      </w:r>
      <w:r w:rsidRPr="005825C4">
        <w:rPr>
          <w:rFonts w:cs="Times New Roman"/>
          <w:color w:val="000000" w:themeColor="text1"/>
          <w:szCs w:val="24"/>
        </w:rPr>
        <w:t>Tamburini et al., 2020).</w:t>
      </w:r>
      <w:r w:rsidR="005825C4">
        <w:rPr>
          <w:rFonts w:cs="Times New Roman"/>
          <w:color w:val="000000" w:themeColor="text1"/>
          <w:szCs w:val="24"/>
        </w:rPr>
        <w:t xml:space="preserve"> </w:t>
      </w:r>
      <w:r w:rsidRPr="005825C4">
        <w:rPr>
          <w:rFonts w:cs="Times New Roman"/>
          <w:color w:val="000000" w:themeColor="text1"/>
          <w:szCs w:val="24"/>
          <w:shd w:val="clear" w:color="auto" w:fill="FFFFFF"/>
        </w:rPr>
        <w:t>For lodges marketing is the major element especially for those who are working independently. The lodge should re-develop its marketing strategies to increase its reach to more audiences. They can use social media, digital media, and influencer marketing to increase customer engagement. In marketing, the lodge can highlight its unique selling points, views, and services (</w:t>
      </w:r>
      <w:r w:rsidRPr="005825C4">
        <w:rPr>
          <w:rFonts w:cs="Times New Roman"/>
          <w:color w:val="000000" w:themeColor="text1"/>
          <w:szCs w:val="24"/>
        </w:rPr>
        <w:t>Peceny et al., 2019).</w:t>
      </w:r>
    </w:p>
    <w:p w14:paraId="53D7F14C" w14:textId="77777777" w:rsidR="00D202BA" w:rsidRPr="00F7243E" w:rsidRDefault="00D202BA" w:rsidP="00F7243E">
      <w:pPr>
        <w:spacing w:after="0" w:line="360" w:lineRule="auto"/>
        <w:jc w:val="both"/>
        <w:rPr>
          <w:rFonts w:cs="Times New Roman"/>
          <w:color w:val="000000" w:themeColor="text1"/>
          <w:szCs w:val="24"/>
          <w:shd w:val="clear" w:color="auto" w:fill="FFFFFF"/>
        </w:rPr>
      </w:pPr>
      <w:r w:rsidRPr="005825C4">
        <w:rPr>
          <w:rFonts w:cs="Times New Roman"/>
          <w:color w:val="000000" w:themeColor="text1"/>
          <w:szCs w:val="24"/>
          <w:shd w:val="clear" w:color="auto" w:fill="FFFFFF"/>
        </w:rPr>
        <w:t>Staff is the backbone of the hospitality sector and has a direct impact on customer satisfaction. The lodge should invest in staff training to keep the team up to date on industry demands. The management should develop a positive work environment as motivated employees are crucial for business success. Training can be provided in the lodge and through external training institutes (</w:t>
      </w:r>
      <w:r w:rsidRPr="005825C4">
        <w:rPr>
          <w:rFonts w:cs="Times New Roman"/>
          <w:color w:val="000000" w:themeColor="text1"/>
          <w:szCs w:val="24"/>
        </w:rPr>
        <w:t>Turkmenoglu, 2019).</w:t>
      </w:r>
      <w:r w:rsidR="005825C4">
        <w:rPr>
          <w:rFonts w:cs="Times New Roman"/>
          <w:color w:val="000000" w:themeColor="text1"/>
          <w:szCs w:val="24"/>
          <w:shd w:val="clear" w:color="auto" w:fill="FFFFFF"/>
        </w:rPr>
        <w:t xml:space="preserve"> </w:t>
      </w:r>
      <w:r w:rsidRPr="005825C4">
        <w:rPr>
          <w:rFonts w:cs="Times New Roman"/>
          <w:color w:val="000000" w:themeColor="text1"/>
          <w:szCs w:val="24"/>
          <w:shd w:val="clear" w:color="auto" w:fill="FFFFFF"/>
        </w:rPr>
        <w:t>The lodge should also focus on sustainable business practices as customers are concerned about the environment, therefore, the lodge should take measures to reduce its environmental impact. To achieve sustainability lodge can implement energy efficiency, waste reduction practices, and source local items. They can also highlight their sustainable business efforts in marketing (</w:t>
      </w:r>
      <w:r w:rsidRPr="005825C4">
        <w:rPr>
          <w:rFonts w:cs="Times New Roman"/>
          <w:color w:val="000000" w:themeColor="text1"/>
          <w:szCs w:val="24"/>
        </w:rPr>
        <w:t>Mbasera et al., 2016).</w:t>
      </w:r>
    </w:p>
    <w:p w14:paraId="1E50DC22" w14:textId="77777777" w:rsidR="001703AB" w:rsidRPr="00806BA4" w:rsidRDefault="001703AB" w:rsidP="004425C4">
      <w:pPr>
        <w:pStyle w:val="Heading1"/>
        <w:spacing w:line="360" w:lineRule="auto"/>
        <w:jc w:val="both"/>
        <w:rPr>
          <w:rFonts w:cs="Times New Roman"/>
          <w:color w:val="000000" w:themeColor="text1"/>
          <w:szCs w:val="24"/>
        </w:rPr>
      </w:pPr>
      <w:bookmarkStart w:id="11" w:name="_Toc159616491"/>
      <w:r w:rsidRPr="00806BA4">
        <w:rPr>
          <w:rFonts w:cs="Times New Roman"/>
          <w:color w:val="000000" w:themeColor="text1"/>
          <w:szCs w:val="24"/>
        </w:rPr>
        <w:t>Financial projections</w:t>
      </w:r>
      <w:bookmarkEnd w:id="11"/>
    </w:p>
    <w:p w14:paraId="1F19D0EE" w14:textId="77777777" w:rsidR="00FF1B82" w:rsidRPr="00806BA4" w:rsidRDefault="00FF1B82" w:rsidP="00FF1B82">
      <w:pPr>
        <w:pStyle w:val="Heading2"/>
        <w:rPr>
          <w:rFonts w:cs="Times New Roman"/>
          <w:color w:val="000000" w:themeColor="text1"/>
          <w:szCs w:val="24"/>
        </w:rPr>
      </w:pPr>
      <w:bookmarkStart w:id="12" w:name="_Toc159616492"/>
      <w:r w:rsidRPr="00806BA4">
        <w:rPr>
          <w:rFonts w:cs="Times New Roman"/>
          <w:color w:val="000000" w:themeColor="text1"/>
          <w:szCs w:val="24"/>
        </w:rPr>
        <w:t xml:space="preserve">Income </w:t>
      </w:r>
      <w:r w:rsidR="004232F2" w:rsidRPr="00806BA4">
        <w:rPr>
          <w:rFonts w:cs="Times New Roman"/>
          <w:color w:val="000000" w:themeColor="text1"/>
          <w:szCs w:val="24"/>
        </w:rPr>
        <w:t>Statement</w:t>
      </w:r>
      <w:bookmarkEnd w:id="12"/>
    </w:p>
    <w:tbl>
      <w:tblPr>
        <w:tblStyle w:val="TableGrid"/>
        <w:tblW w:w="10045" w:type="dxa"/>
        <w:tblLook w:val="04A0" w:firstRow="1" w:lastRow="0" w:firstColumn="1" w:lastColumn="0" w:noHBand="0" w:noVBand="1"/>
      </w:tblPr>
      <w:tblGrid>
        <w:gridCol w:w="3871"/>
        <w:gridCol w:w="1506"/>
        <w:gridCol w:w="1556"/>
        <w:gridCol w:w="1556"/>
        <w:gridCol w:w="1556"/>
      </w:tblGrid>
      <w:tr w:rsidR="00806BA4" w:rsidRPr="00806BA4" w14:paraId="1BFDAFB2" w14:textId="77777777" w:rsidTr="00FF1B82">
        <w:trPr>
          <w:trHeight w:val="378"/>
        </w:trPr>
        <w:tc>
          <w:tcPr>
            <w:tcW w:w="3871" w:type="dxa"/>
            <w:shd w:val="clear" w:color="auto" w:fill="BDD6EE" w:themeFill="accent1" w:themeFillTint="66"/>
            <w:noWrap/>
            <w:hideMark/>
          </w:tcPr>
          <w:p w14:paraId="3C71065D" w14:textId="77777777" w:rsidR="00FF1B82" w:rsidRPr="00806BA4" w:rsidRDefault="00FF1B82" w:rsidP="002E054C">
            <w:pPr>
              <w:rPr>
                <w:rFonts w:cs="Times New Roman"/>
                <w:b/>
                <w:bCs/>
                <w:color w:val="000000" w:themeColor="text1"/>
                <w:szCs w:val="24"/>
              </w:rPr>
            </w:pPr>
            <w:r w:rsidRPr="00806BA4">
              <w:rPr>
                <w:rFonts w:cs="Times New Roman"/>
                <w:b/>
                <w:bCs/>
                <w:color w:val="000000" w:themeColor="text1"/>
                <w:szCs w:val="24"/>
              </w:rPr>
              <w:t>Income Statement</w:t>
            </w:r>
          </w:p>
        </w:tc>
        <w:tc>
          <w:tcPr>
            <w:tcW w:w="1506" w:type="dxa"/>
            <w:shd w:val="clear" w:color="auto" w:fill="BDD6EE" w:themeFill="accent1" w:themeFillTint="66"/>
            <w:hideMark/>
          </w:tcPr>
          <w:p w14:paraId="570DF7B3" w14:textId="77777777" w:rsidR="00FF1B82" w:rsidRPr="00806BA4" w:rsidRDefault="00FF1B82" w:rsidP="002E054C">
            <w:pPr>
              <w:rPr>
                <w:rFonts w:cs="Times New Roman"/>
                <w:b/>
                <w:bCs/>
                <w:color w:val="000000" w:themeColor="text1"/>
                <w:szCs w:val="24"/>
              </w:rPr>
            </w:pPr>
            <w:r w:rsidRPr="00806BA4">
              <w:rPr>
                <w:rFonts w:cs="Times New Roman"/>
                <w:b/>
                <w:bCs/>
                <w:color w:val="000000" w:themeColor="text1"/>
                <w:szCs w:val="24"/>
              </w:rPr>
              <w:t>2023</w:t>
            </w:r>
          </w:p>
        </w:tc>
        <w:tc>
          <w:tcPr>
            <w:tcW w:w="1556" w:type="dxa"/>
            <w:shd w:val="clear" w:color="auto" w:fill="BDD6EE" w:themeFill="accent1" w:themeFillTint="66"/>
            <w:hideMark/>
          </w:tcPr>
          <w:p w14:paraId="4DE466AB" w14:textId="77777777" w:rsidR="00FF1B82" w:rsidRPr="00806BA4" w:rsidRDefault="00FF1B82" w:rsidP="002E054C">
            <w:pPr>
              <w:rPr>
                <w:rFonts w:cs="Times New Roman"/>
                <w:b/>
                <w:bCs/>
                <w:color w:val="000000" w:themeColor="text1"/>
                <w:szCs w:val="24"/>
              </w:rPr>
            </w:pPr>
            <w:r w:rsidRPr="00806BA4">
              <w:rPr>
                <w:rFonts w:cs="Times New Roman"/>
                <w:b/>
                <w:bCs/>
                <w:color w:val="000000" w:themeColor="text1"/>
                <w:szCs w:val="24"/>
              </w:rPr>
              <w:t>2024</w:t>
            </w:r>
          </w:p>
        </w:tc>
        <w:tc>
          <w:tcPr>
            <w:tcW w:w="1556" w:type="dxa"/>
            <w:shd w:val="clear" w:color="auto" w:fill="BDD6EE" w:themeFill="accent1" w:themeFillTint="66"/>
            <w:hideMark/>
          </w:tcPr>
          <w:p w14:paraId="4E438364" w14:textId="77777777" w:rsidR="00FF1B82" w:rsidRPr="00806BA4" w:rsidRDefault="00FF1B82" w:rsidP="002E054C">
            <w:pPr>
              <w:rPr>
                <w:rFonts w:cs="Times New Roman"/>
                <w:b/>
                <w:bCs/>
                <w:color w:val="000000" w:themeColor="text1"/>
                <w:szCs w:val="24"/>
              </w:rPr>
            </w:pPr>
            <w:r w:rsidRPr="00806BA4">
              <w:rPr>
                <w:rFonts w:cs="Times New Roman"/>
                <w:b/>
                <w:bCs/>
                <w:color w:val="000000" w:themeColor="text1"/>
                <w:szCs w:val="24"/>
              </w:rPr>
              <w:t>2025</w:t>
            </w:r>
          </w:p>
        </w:tc>
        <w:tc>
          <w:tcPr>
            <w:tcW w:w="1556" w:type="dxa"/>
            <w:shd w:val="clear" w:color="auto" w:fill="BDD6EE" w:themeFill="accent1" w:themeFillTint="66"/>
            <w:hideMark/>
          </w:tcPr>
          <w:p w14:paraId="0F1461EE" w14:textId="77777777" w:rsidR="00FF1B82" w:rsidRPr="00806BA4" w:rsidRDefault="00FF1B82" w:rsidP="002E054C">
            <w:pPr>
              <w:rPr>
                <w:rFonts w:cs="Times New Roman"/>
                <w:b/>
                <w:bCs/>
                <w:color w:val="000000" w:themeColor="text1"/>
                <w:szCs w:val="24"/>
              </w:rPr>
            </w:pPr>
            <w:r w:rsidRPr="00806BA4">
              <w:rPr>
                <w:rFonts w:cs="Times New Roman"/>
                <w:b/>
                <w:bCs/>
                <w:color w:val="000000" w:themeColor="text1"/>
                <w:szCs w:val="24"/>
              </w:rPr>
              <w:t>2026</w:t>
            </w:r>
          </w:p>
        </w:tc>
      </w:tr>
      <w:tr w:rsidR="00806BA4" w:rsidRPr="00806BA4" w14:paraId="6836B4DF" w14:textId="77777777" w:rsidTr="002E054C">
        <w:trPr>
          <w:trHeight w:val="359"/>
        </w:trPr>
        <w:tc>
          <w:tcPr>
            <w:tcW w:w="3871" w:type="dxa"/>
            <w:hideMark/>
          </w:tcPr>
          <w:p w14:paraId="6E49F709"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Revenue (Actual)</w:t>
            </w:r>
          </w:p>
        </w:tc>
        <w:tc>
          <w:tcPr>
            <w:tcW w:w="1506" w:type="dxa"/>
            <w:hideMark/>
          </w:tcPr>
          <w:p w14:paraId="2696F707"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950,000</w:t>
            </w:r>
          </w:p>
        </w:tc>
        <w:tc>
          <w:tcPr>
            <w:tcW w:w="1556" w:type="dxa"/>
            <w:hideMark/>
          </w:tcPr>
          <w:p w14:paraId="088F8A9C" w14:textId="77777777" w:rsidR="00FF1B82" w:rsidRPr="00806BA4" w:rsidRDefault="00FF1B82" w:rsidP="002E054C">
            <w:pPr>
              <w:rPr>
                <w:rFonts w:cs="Times New Roman"/>
                <w:color w:val="000000" w:themeColor="text1"/>
                <w:szCs w:val="24"/>
              </w:rPr>
            </w:pPr>
          </w:p>
        </w:tc>
        <w:tc>
          <w:tcPr>
            <w:tcW w:w="1556" w:type="dxa"/>
            <w:hideMark/>
          </w:tcPr>
          <w:p w14:paraId="05C52598" w14:textId="77777777" w:rsidR="00FF1B82" w:rsidRPr="00806BA4" w:rsidRDefault="00FF1B82" w:rsidP="002E054C">
            <w:pPr>
              <w:rPr>
                <w:rFonts w:cs="Times New Roman"/>
                <w:color w:val="000000" w:themeColor="text1"/>
                <w:szCs w:val="24"/>
              </w:rPr>
            </w:pPr>
          </w:p>
        </w:tc>
        <w:tc>
          <w:tcPr>
            <w:tcW w:w="1556" w:type="dxa"/>
            <w:hideMark/>
          </w:tcPr>
          <w:p w14:paraId="773FDE0E" w14:textId="77777777" w:rsidR="00FF1B82" w:rsidRPr="00806BA4" w:rsidRDefault="00FF1B82" w:rsidP="002E054C">
            <w:pPr>
              <w:rPr>
                <w:rFonts w:cs="Times New Roman"/>
                <w:color w:val="000000" w:themeColor="text1"/>
                <w:szCs w:val="24"/>
              </w:rPr>
            </w:pPr>
          </w:p>
        </w:tc>
      </w:tr>
      <w:tr w:rsidR="00806BA4" w:rsidRPr="00806BA4" w14:paraId="59C58100" w14:textId="77777777" w:rsidTr="002E054C">
        <w:trPr>
          <w:trHeight w:val="359"/>
        </w:trPr>
        <w:tc>
          <w:tcPr>
            <w:tcW w:w="3871" w:type="dxa"/>
            <w:hideMark/>
          </w:tcPr>
          <w:p w14:paraId="15C5BD89"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Growth</w:t>
            </w:r>
          </w:p>
        </w:tc>
        <w:tc>
          <w:tcPr>
            <w:tcW w:w="1506" w:type="dxa"/>
            <w:hideMark/>
          </w:tcPr>
          <w:p w14:paraId="5E04E12C" w14:textId="77777777" w:rsidR="00FF1B82" w:rsidRPr="00806BA4" w:rsidRDefault="00FF1B82" w:rsidP="002E054C">
            <w:pPr>
              <w:rPr>
                <w:rFonts w:cs="Times New Roman"/>
                <w:color w:val="000000" w:themeColor="text1"/>
                <w:szCs w:val="24"/>
              </w:rPr>
            </w:pPr>
          </w:p>
        </w:tc>
        <w:tc>
          <w:tcPr>
            <w:tcW w:w="1556" w:type="dxa"/>
            <w:hideMark/>
          </w:tcPr>
          <w:p w14:paraId="7C3F3BDC"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5%</w:t>
            </w:r>
          </w:p>
        </w:tc>
        <w:tc>
          <w:tcPr>
            <w:tcW w:w="1556" w:type="dxa"/>
            <w:hideMark/>
          </w:tcPr>
          <w:p w14:paraId="20E84FD3"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10%</w:t>
            </w:r>
          </w:p>
        </w:tc>
        <w:tc>
          <w:tcPr>
            <w:tcW w:w="1556" w:type="dxa"/>
            <w:hideMark/>
          </w:tcPr>
          <w:p w14:paraId="0B4B1085"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12%</w:t>
            </w:r>
          </w:p>
        </w:tc>
      </w:tr>
      <w:tr w:rsidR="00806BA4" w:rsidRPr="00806BA4" w14:paraId="587B746C" w14:textId="77777777" w:rsidTr="002E054C">
        <w:trPr>
          <w:trHeight w:val="359"/>
        </w:trPr>
        <w:tc>
          <w:tcPr>
            <w:tcW w:w="3871" w:type="dxa"/>
            <w:hideMark/>
          </w:tcPr>
          <w:p w14:paraId="08F2D02B"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Revenue (Projected)</w:t>
            </w:r>
          </w:p>
        </w:tc>
        <w:tc>
          <w:tcPr>
            <w:tcW w:w="1506" w:type="dxa"/>
            <w:hideMark/>
          </w:tcPr>
          <w:p w14:paraId="6628BC10" w14:textId="77777777" w:rsidR="00FF1B82" w:rsidRPr="00806BA4" w:rsidRDefault="00FF1B82" w:rsidP="002E054C">
            <w:pPr>
              <w:rPr>
                <w:rFonts w:cs="Times New Roman"/>
                <w:color w:val="000000" w:themeColor="text1"/>
                <w:szCs w:val="24"/>
              </w:rPr>
            </w:pPr>
          </w:p>
        </w:tc>
        <w:tc>
          <w:tcPr>
            <w:tcW w:w="1556" w:type="dxa"/>
            <w:hideMark/>
          </w:tcPr>
          <w:p w14:paraId="43C3A5BA"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£997,500</w:t>
            </w:r>
          </w:p>
        </w:tc>
        <w:tc>
          <w:tcPr>
            <w:tcW w:w="1556" w:type="dxa"/>
            <w:hideMark/>
          </w:tcPr>
          <w:p w14:paraId="43B9AA56"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£1,097,250</w:t>
            </w:r>
          </w:p>
        </w:tc>
        <w:tc>
          <w:tcPr>
            <w:tcW w:w="1556" w:type="dxa"/>
            <w:hideMark/>
          </w:tcPr>
          <w:p w14:paraId="44C86FF2"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£1,228,920</w:t>
            </w:r>
          </w:p>
        </w:tc>
      </w:tr>
      <w:tr w:rsidR="00806BA4" w:rsidRPr="00806BA4" w14:paraId="79020C8D" w14:textId="77777777" w:rsidTr="002E054C">
        <w:trPr>
          <w:trHeight w:val="359"/>
        </w:trPr>
        <w:tc>
          <w:tcPr>
            <w:tcW w:w="3871" w:type="dxa"/>
            <w:hideMark/>
          </w:tcPr>
          <w:p w14:paraId="132E4774"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Operating Expenses</w:t>
            </w:r>
          </w:p>
        </w:tc>
        <w:tc>
          <w:tcPr>
            <w:tcW w:w="1506" w:type="dxa"/>
            <w:hideMark/>
          </w:tcPr>
          <w:p w14:paraId="7177D60C"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1,100,000</w:t>
            </w:r>
          </w:p>
        </w:tc>
        <w:tc>
          <w:tcPr>
            <w:tcW w:w="1556" w:type="dxa"/>
            <w:hideMark/>
          </w:tcPr>
          <w:p w14:paraId="1D5B914F" w14:textId="77777777" w:rsidR="00FF1B82" w:rsidRPr="00806BA4" w:rsidRDefault="00FF1B82" w:rsidP="002E054C">
            <w:pPr>
              <w:rPr>
                <w:rFonts w:cs="Times New Roman"/>
                <w:color w:val="000000" w:themeColor="text1"/>
                <w:szCs w:val="24"/>
              </w:rPr>
            </w:pPr>
          </w:p>
        </w:tc>
        <w:tc>
          <w:tcPr>
            <w:tcW w:w="1556" w:type="dxa"/>
            <w:hideMark/>
          </w:tcPr>
          <w:p w14:paraId="5CE23C6B" w14:textId="77777777" w:rsidR="00FF1B82" w:rsidRPr="00806BA4" w:rsidRDefault="00FF1B82" w:rsidP="002E054C">
            <w:pPr>
              <w:rPr>
                <w:rFonts w:cs="Times New Roman"/>
                <w:color w:val="000000" w:themeColor="text1"/>
                <w:szCs w:val="24"/>
              </w:rPr>
            </w:pPr>
          </w:p>
        </w:tc>
        <w:tc>
          <w:tcPr>
            <w:tcW w:w="1556" w:type="dxa"/>
            <w:hideMark/>
          </w:tcPr>
          <w:p w14:paraId="6E34C1F7" w14:textId="77777777" w:rsidR="00FF1B82" w:rsidRPr="00806BA4" w:rsidRDefault="00FF1B82" w:rsidP="002E054C">
            <w:pPr>
              <w:rPr>
                <w:rFonts w:cs="Times New Roman"/>
                <w:color w:val="000000" w:themeColor="text1"/>
                <w:szCs w:val="24"/>
              </w:rPr>
            </w:pPr>
          </w:p>
        </w:tc>
      </w:tr>
      <w:tr w:rsidR="00806BA4" w:rsidRPr="00806BA4" w14:paraId="2D7D33A2" w14:textId="77777777" w:rsidTr="002E054C">
        <w:trPr>
          <w:trHeight w:val="359"/>
        </w:trPr>
        <w:tc>
          <w:tcPr>
            <w:tcW w:w="3871" w:type="dxa"/>
            <w:hideMark/>
          </w:tcPr>
          <w:p w14:paraId="5EA865BF"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Add:</w:t>
            </w:r>
          </w:p>
        </w:tc>
        <w:tc>
          <w:tcPr>
            <w:tcW w:w="1506" w:type="dxa"/>
            <w:hideMark/>
          </w:tcPr>
          <w:p w14:paraId="7D543935" w14:textId="77777777" w:rsidR="00FF1B82" w:rsidRPr="00806BA4" w:rsidRDefault="00FF1B82" w:rsidP="002E054C">
            <w:pPr>
              <w:rPr>
                <w:rFonts w:cs="Times New Roman"/>
                <w:color w:val="000000" w:themeColor="text1"/>
                <w:szCs w:val="24"/>
              </w:rPr>
            </w:pPr>
          </w:p>
        </w:tc>
        <w:tc>
          <w:tcPr>
            <w:tcW w:w="1556" w:type="dxa"/>
            <w:hideMark/>
          </w:tcPr>
          <w:p w14:paraId="2323AAE1" w14:textId="77777777" w:rsidR="00FF1B82" w:rsidRPr="00806BA4" w:rsidRDefault="00FF1B82" w:rsidP="002E054C">
            <w:pPr>
              <w:rPr>
                <w:rFonts w:cs="Times New Roman"/>
                <w:color w:val="000000" w:themeColor="text1"/>
                <w:szCs w:val="24"/>
              </w:rPr>
            </w:pPr>
          </w:p>
        </w:tc>
        <w:tc>
          <w:tcPr>
            <w:tcW w:w="1556" w:type="dxa"/>
            <w:hideMark/>
          </w:tcPr>
          <w:p w14:paraId="2A5F40B2" w14:textId="77777777" w:rsidR="00FF1B82" w:rsidRPr="00806BA4" w:rsidRDefault="00FF1B82" w:rsidP="002E054C">
            <w:pPr>
              <w:rPr>
                <w:rFonts w:cs="Times New Roman"/>
                <w:color w:val="000000" w:themeColor="text1"/>
                <w:szCs w:val="24"/>
              </w:rPr>
            </w:pPr>
          </w:p>
        </w:tc>
        <w:tc>
          <w:tcPr>
            <w:tcW w:w="1556" w:type="dxa"/>
            <w:hideMark/>
          </w:tcPr>
          <w:p w14:paraId="2341C708" w14:textId="77777777" w:rsidR="00FF1B82" w:rsidRPr="00806BA4" w:rsidRDefault="00FF1B82" w:rsidP="002E054C">
            <w:pPr>
              <w:rPr>
                <w:rFonts w:cs="Times New Roman"/>
                <w:color w:val="000000" w:themeColor="text1"/>
                <w:szCs w:val="24"/>
              </w:rPr>
            </w:pPr>
          </w:p>
        </w:tc>
      </w:tr>
      <w:tr w:rsidR="00806BA4" w:rsidRPr="00806BA4" w14:paraId="0184FF74" w14:textId="77777777" w:rsidTr="002E054C">
        <w:trPr>
          <w:trHeight w:val="359"/>
        </w:trPr>
        <w:tc>
          <w:tcPr>
            <w:tcW w:w="3871" w:type="dxa"/>
            <w:hideMark/>
          </w:tcPr>
          <w:p w14:paraId="37328A65"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Employee Training</w:t>
            </w:r>
          </w:p>
        </w:tc>
        <w:tc>
          <w:tcPr>
            <w:tcW w:w="1506" w:type="dxa"/>
            <w:hideMark/>
          </w:tcPr>
          <w:p w14:paraId="28F4158A" w14:textId="77777777" w:rsidR="00FF1B82" w:rsidRPr="00806BA4" w:rsidRDefault="00FF1B82" w:rsidP="002E054C">
            <w:pPr>
              <w:rPr>
                <w:rFonts w:cs="Times New Roman"/>
                <w:color w:val="000000" w:themeColor="text1"/>
                <w:szCs w:val="24"/>
              </w:rPr>
            </w:pPr>
          </w:p>
        </w:tc>
        <w:tc>
          <w:tcPr>
            <w:tcW w:w="1556" w:type="dxa"/>
            <w:hideMark/>
          </w:tcPr>
          <w:p w14:paraId="36EB2899"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£20,000</w:t>
            </w:r>
          </w:p>
        </w:tc>
        <w:tc>
          <w:tcPr>
            <w:tcW w:w="1556" w:type="dxa"/>
            <w:hideMark/>
          </w:tcPr>
          <w:p w14:paraId="76814AC6" w14:textId="77777777" w:rsidR="00FF1B82" w:rsidRPr="00806BA4" w:rsidRDefault="00FF1B82" w:rsidP="002E054C">
            <w:pPr>
              <w:rPr>
                <w:rFonts w:cs="Times New Roman"/>
                <w:color w:val="000000" w:themeColor="text1"/>
                <w:szCs w:val="24"/>
              </w:rPr>
            </w:pPr>
          </w:p>
        </w:tc>
        <w:tc>
          <w:tcPr>
            <w:tcW w:w="1556" w:type="dxa"/>
            <w:hideMark/>
          </w:tcPr>
          <w:p w14:paraId="591E7BEC" w14:textId="77777777" w:rsidR="00FF1B82" w:rsidRPr="00806BA4" w:rsidRDefault="00FF1B82" w:rsidP="002E054C">
            <w:pPr>
              <w:rPr>
                <w:rFonts w:cs="Times New Roman"/>
                <w:color w:val="000000" w:themeColor="text1"/>
                <w:szCs w:val="24"/>
              </w:rPr>
            </w:pPr>
          </w:p>
        </w:tc>
      </w:tr>
      <w:tr w:rsidR="00806BA4" w:rsidRPr="00806BA4" w14:paraId="53091EE7" w14:textId="77777777" w:rsidTr="002E054C">
        <w:trPr>
          <w:trHeight w:val="359"/>
        </w:trPr>
        <w:tc>
          <w:tcPr>
            <w:tcW w:w="3871" w:type="dxa"/>
            <w:hideMark/>
          </w:tcPr>
          <w:p w14:paraId="6648BC23"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lastRenderedPageBreak/>
              <w:t>Interest Payment</w:t>
            </w:r>
          </w:p>
        </w:tc>
        <w:tc>
          <w:tcPr>
            <w:tcW w:w="1506" w:type="dxa"/>
            <w:hideMark/>
          </w:tcPr>
          <w:p w14:paraId="0F6670FF" w14:textId="77777777" w:rsidR="00FF1B82" w:rsidRPr="00806BA4" w:rsidRDefault="00FF1B82" w:rsidP="002E054C">
            <w:pPr>
              <w:rPr>
                <w:rFonts w:cs="Times New Roman"/>
                <w:color w:val="000000" w:themeColor="text1"/>
                <w:szCs w:val="24"/>
              </w:rPr>
            </w:pPr>
          </w:p>
        </w:tc>
        <w:tc>
          <w:tcPr>
            <w:tcW w:w="1556" w:type="dxa"/>
            <w:hideMark/>
          </w:tcPr>
          <w:p w14:paraId="6809A340"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£40,000</w:t>
            </w:r>
          </w:p>
        </w:tc>
        <w:tc>
          <w:tcPr>
            <w:tcW w:w="1556" w:type="dxa"/>
            <w:hideMark/>
          </w:tcPr>
          <w:p w14:paraId="54C8CC6E"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£40,000</w:t>
            </w:r>
          </w:p>
        </w:tc>
        <w:tc>
          <w:tcPr>
            <w:tcW w:w="1556" w:type="dxa"/>
            <w:hideMark/>
          </w:tcPr>
          <w:p w14:paraId="36576D4E"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£40,000</w:t>
            </w:r>
          </w:p>
        </w:tc>
      </w:tr>
      <w:tr w:rsidR="00806BA4" w:rsidRPr="00806BA4" w14:paraId="6F13FE93" w14:textId="77777777" w:rsidTr="002E054C">
        <w:trPr>
          <w:trHeight w:val="359"/>
        </w:trPr>
        <w:tc>
          <w:tcPr>
            <w:tcW w:w="3871" w:type="dxa"/>
            <w:hideMark/>
          </w:tcPr>
          <w:p w14:paraId="1FF36E65"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Project Other Increase</w:t>
            </w:r>
          </w:p>
        </w:tc>
        <w:tc>
          <w:tcPr>
            <w:tcW w:w="1506" w:type="dxa"/>
            <w:hideMark/>
          </w:tcPr>
          <w:p w14:paraId="58DED070" w14:textId="77777777" w:rsidR="00FF1B82" w:rsidRPr="00806BA4" w:rsidRDefault="00FF1B82" w:rsidP="002E054C">
            <w:pPr>
              <w:rPr>
                <w:rFonts w:cs="Times New Roman"/>
                <w:color w:val="000000" w:themeColor="text1"/>
                <w:szCs w:val="24"/>
              </w:rPr>
            </w:pPr>
          </w:p>
        </w:tc>
        <w:tc>
          <w:tcPr>
            <w:tcW w:w="1556" w:type="dxa"/>
            <w:hideMark/>
          </w:tcPr>
          <w:p w14:paraId="76EF37EB"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£48,000</w:t>
            </w:r>
          </w:p>
        </w:tc>
        <w:tc>
          <w:tcPr>
            <w:tcW w:w="1556" w:type="dxa"/>
            <w:hideMark/>
          </w:tcPr>
          <w:p w14:paraId="52412D67"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£48,000</w:t>
            </w:r>
          </w:p>
        </w:tc>
        <w:tc>
          <w:tcPr>
            <w:tcW w:w="1556" w:type="dxa"/>
            <w:hideMark/>
          </w:tcPr>
          <w:p w14:paraId="2977AC26"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£48,000</w:t>
            </w:r>
          </w:p>
        </w:tc>
      </w:tr>
      <w:tr w:rsidR="00806BA4" w:rsidRPr="00806BA4" w14:paraId="1CD52C3E" w14:textId="77777777" w:rsidTr="002E054C">
        <w:trPr>
          <w:trHeight w:val="359"/>
        </w:trPr>
        <w:tc>
          <w:tcPr>
            <w:tcW w:w="3871" w:type="dxa"/>
            <w:hideMark/>
          </w:tcPr>
          <w:p w14:paraId="6D1A4642"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Operating Expenses (Projected)</w:t>
            </w:r>
          </w:p>
        </w:tc>
        <w:tc>
          <w:tcPr>
            <w:tcW w:w="1506" w:type="dxa"/>
            <w:hideMark/>
          </w:tcPr>
          <w:p w14:paraId="240651BB" w14:textId="77777777" w:rsidR="00FF1B82" w:rsidRPr="00806BA4" w:rsidRDefault="00FF1B82" w:rsidP="002E054C">
            <w:pPr>
              <w:rPr>
                <w:rFonts w:cs="Times New Roman"/>
                <w:color w:val="000000" w:themeColor="text1"/>
                <w:szCs w:val="24"/>
              </w:rPr>
            </w:pPr>
          </w:p>
        </w:tc>
        <w:tc>
          <w:tcPr>
            <w:tcW w:w="1556" w:type="dxa"/>
            <w:hideMark/>
          </w:tcPr>
          <w:p w14:paraId="217A413C"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£1,125,000</w:t>
            </w:r>
          </w:p>
        </w:tc>
        <w:tc>
          <w:tcPr>
            <w:tcW w:w="1556" w:type="dxa"/>
            <w:hideMark/>
          </w:tcPr>
          <w:p w14:paraId="6A256D84"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£1,215,000</w:t>
            </w:r>
          </w:p>
        </w:tc>
        <w:tc>
          <w:tcPr>
            <w:tcW w:w="1556" w:type="dxa"/>
            <w:hideMark/>
          </w:tcPr>
          <w:p w14:paraId="38E74F2C"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£1,093,500</w:t>
            </w:r>
          </w:p>
        </w:tc>
      </w:tr>
      <w:tr w:rsidR="00806BA4" w:rsidRPr="00806BA4" w14:paraId="093A1FE3" w14:textId="77777777" w:rsidTr="002E054C">
        <w:trPr>
          <w:trHeight w:val="359"/>
        </w:trPr>
        <w:tc>
          <w:tcPr>
            <w:tcW w:w="3871" w:type="dxa"/>
            <w:hideMark/>
          </w:tcPr>
          <w:p w14:paraId="390F1786"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Gross Profit</w:t>
            </w:r>
          </w:p>
        </w:tc>
        <w:tc>
          <w:tcPr>
            <w:tcW w:w="1506" w:type="dxa"/>
            <w:hideMark/>
          </w:tcPr>
          <w:p w14:paraId="130630B8" w14:textId="77777777" w:rsidR="00FF1B82" w:rsidRPr="00806BA4" w:rsidRDefault="00FF1B82" w:rsidP="002E054C">
            <w:pPr>
              <w:rPr>
                <w:rFonts w:cs="Times New Roman"/>
                <w:color w:val="000000" w:themeColor="text1"/>
                <w:szCs w:val="24"/>
              </w:rPr>
            </w:pPr>
          </w:p>
        </w:tc>
        <w:tc>
          <w:tcPr>
            <w:tcW w:w="1556" w:type="dxa"/>
            <w:hideMark/>
          </w:tcPr>
          <w:p w14:paraId="6F87CFCB"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-£127,500</w:t>
            </w:r>
          </w:p>
        </w:tc>
        <w:tc>
          <w:tcPr>
            <w:tcW w:w="1556" w:type="dxa"/>
            <w:hideMark/>
          </w:tcPr>
          <w:p w14:paraId="483B8D7D"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-£117,750</w:t>
            </w:r>
          </w:p>
        </w:tc>
        <w:tc>
          <w:tcPr>
            <w:tcW w:w="1556" w:type="dxa"/>
            <w:hideMark/>
          </w:tcPr>
          <w:p w14:paraId="2FAFE03C"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£135,420</w:t>
            </w:r>
          </w:p>
        </w:tc>
      </w:tr>
      <w:tr w:rsidR="00806BA4" w:rsidRPr="00806BA4" w14:paraId="42B3F647" w14:textId="77777777" w:rsidTr="002E054C">
        <w:trPr>
          <w:trHeight w:val="359"/>
        </w:trPr>
        <w:tc>
          <w:tcPr>
            <w:tcW w:w="3871" w:type="dxa"/>
            <w:hideMark/>
          </w:tcPr>
          <w:p w14:paraId="15E602E3"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Net Profit / (Loss)</w:t>
            </w:r>
          </w:p>
        </w:tc>
        <w:tc>
          <w:tcPr>
            <w:tcW w:w="1506" w:type="dxa"/>
            <w:hideMark/>
          </w:tcPr>
          <w:p w14:paraId="34097384" w14:textId="77777777" w:rsidR="00FF1B82" w:rsidRPr="00806BA4" w:rsidRDefault="00FF1B82" w:rsidP="002E054C">
            <w:pPr>
              <w:rPr>
                <w:rFonts w:cs="Times New Roman"/>
                <w:color w:val="000000" w:themeColor="text1"/>
                <w:szCs w:val="24"/>
              </w:rPr>
            </w:pPr>
          </w:p>
        </w:tc>
        <w:tc>
          <w:tcPr>
            <w:tcW w:w="1556" w:type="dxa"/>
            <w:hideMark/>
          </w:tcPr>
          <w:p w14:paraId="69A15981"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-£139,500</w:t>
            </w:r>
          </w:p>
        </w:tc>
        <w:tc>
          <w:tcPr>
            <w:tcW w:w="1556" w:type="dxa"/>
            <w:hideMark/>
          </w:tcPr>
          <w:p w14:paraId="6DF39FCC"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-£109,750</w:t>
            </w:r>
          </w:p>
        </w:tc>
        <w:tc>
          <w:tcPr>
            <w:tcW w:w="1556" w:type="dxa"/>
            <w:hideMark/>
          </w:tcPr>
          <w:p w14:paraId="36465191"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£143,420</w:t>
            </w:r>
          </w:p>
        </w:tc>
      </w:tr>
      <w:tr w:rsidR="00FF1B82" w:rsidRPr="00806BA4" w14:paraId="4C0DD6F8" w14:textId="77777777" w:rsidTr="002E054C">
        <w:trPr>
          <w:trHeight w:val="359"/>
        </w:trPr>
        <w:tc>
          <w:tcPr>
            <w:tcW w:w="3871" w:type="dxa"/>
            <w:hideMark/>
          </w:tcPr>
          <w:p w14:paraId="0CFBCA07"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Net Profit Margin</w:t>
            </w:r>
          </w:p>
        </w:tc>
        <w:tc>
          <w:tcPr>
            <w:tcW w:w="1506" w:type="dxa"/>
            <w:noWrap/>
            <w:hideMark/>
          </w:tcPr>
          <w:p w14:paraId="328225EB"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w:t>
            </w:r>
          </w:p>
        </w:tc>
        <w:tc>
          <w:tcPr>
            <w:tcW w:w="1556" w:type="dxa"/>
            <w:noWrap/>
            <w:hideMark/>
          </w:tcPr>
          <w:p w14:paraId="45F564C3"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-13.9%</w:t>
            </w:r>
          </w:p>
        </w:tc>
        <w:tc>
          <w:tcPr>
            <w:tcW w:w="1556" w:type="dxa"/>
            <w:noWrap/>
            <w:hideMark/>
          </w:tcPr>
          <w:p w14:paraId="7227761D"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w:t>
            </w:r>
          </w:p>
        </w:tc>
        <w:tc>
          <w:tcPr>
            <w:tcW w:w="1556" w:type="dxa"/>
            <w:noWrap/>
            <w:hideMark/>
          </w:tcPr>
          <w:p w14:paraId="6EEB183D" w14:textId="77777777" w:rsidR="00FF1B82" w:rsidRPr="00806BA4" w:rsidRDefault="00FF1B82" w:rsidP="002E054C">
            <w:pPr>
              <w:rPr>
                <w:rFonts w:cs="Times New Roman"/>
                <w:color w:val="000000" w:themeColor="text1"/>
                <w:szCs w:val="24"/>
              </w:rPr>
            </w:pPr>
            <w:r w:rsidRPr="00806BA4">
              <w:rPr>
                <w:rFonts w:cs="Times New Roman"/>
                <w:color w:val="000000" w:themeColor="text1"/>
                <w:szCs w:val="24"/>
              </w:rPr>
              <w:t>11.6%</w:t>
            </w:r>
          </w:p>
        </w:tc>
      </w:tr>
    </w:tbl>
    <w:p w14:paraId="49FCB6D8" w14:textId="77777777" w:rsidR="00FF1B82" w:rsidRPr="00806BA4" w:rsidRDefault="00FF1B82" w:rsidP="00FF1B82">
      <w:pPr>
        <w:rPr>
          <w:rFonts w:cs="Times New Roman"/>
          <w:color w:val="000000" w:themeColor="text1"/>
          <w:szCs w:val="24"/>
        </w:rPr>
      </w:pPr>
    </w:p>
    <w:p w14:paraId="7EFF52A2" w14:textId="77777777" w:rsidR="00FF1B82" w:rsidRPr="00806BA4" w:rsidRDefault="00FF1B82" w:rsidP="00FF1B82">
      <w:pPr>
        <w:pStyle w:val="Heading2"/>
        <w:rPr>
          <w:rFonts w:cs="Times New Roman"/>
          <w:color w:val="000000" w:themeColor="text1"/>
          <w:szCs w:val="24"/>
        </w:rPr>
      </w:pPr>
      <w:bookmarkStart w:id="13" w:name="_Toc159616493"/>
      <w:r w:rsidRPr="00806BA4">
        <w:rPr>
          <w:rFonts w:cs="Times New Roman"/>
          <w:color w:val="000000" w:themeColor="text1"/>
          <w:szCs w:val="24"/>
        </w:rPr>
        <w:t>Balance Sheet</w:t>
      </w:r>
      <w:bookmarkEnd w:id="13"/>
    </w:p>
    <w:tbl>
      <w:tblPr>
        <w:tblStyle w:val="TableGrid"/>
        <w:tblW w:w="10020" w:type="dxa"/>
        <w:tblLayout w:type="fixed"/>
        <w:tblLook w:val="0000" w:firstRow="0" w:lastRow="0" w:firstColumn="0" w:lastColumn="0" w:noHBand="0" w:noVBand="0"/>
      </w:tblPr>
      <w:tblGrid>
        <w:gridCol w:w="2684"/>
        <w:gridCol w:w="1840"/>
        <w:gridCol w:w="1725"/>
        <w:gridCol w:w="1955"/>
        <w:gridCol w:w="1816"/>
      </w:tblGrid>
      <w:tr w:rsidR="00806BA4" w:rsidRPr="00806BA4" w14:paraId="4B95CCC3" w14:textId="77777777" w:rsidTr="00FF1B82">
        <w:trPr>
          <w:trHeight w:val="379"/>
        </w:trPr>
        <w:tc>
          <w:tcPr>
            <w:tcW w:w="2684" w:type="dxa"/>
            <w:shd w:val="clear" w:color="auto" w:fill="BDD6EE" w:themeFill="accent1" w:themeFillTint="66"/>
          </w:tcPr>
          <w:p w14:paraId="24120CB6" w14:textId="77777777" w:rsidR="00FF1B82" w:rsidRPr="00806BA4" w:rsidRDefault="00FF1B82" w:rsidP="002E054C">
            <w:pPr>
              <w:spacing w:after="160"/>
              <w:rPr>
                <w:rFonts w:cs="Times New Roman"/>
                <w:b/>
                <w:bCs/>
                <w:color w:val="000000" w:themeColor="text1"/>
                <w:szCs w:val="24"/>
              </w:rPr>
            </w:pPr>
            <w:r w:rsidRPr="00806BA4">
              <w:rPr>
                <w:rFonts w:cs="Times New Roman"/>
                <w:b/>
                <w:bCs/>
                <w:color w:val="000000" w:themeColor="text1"/>
                <w:szCs w:val="24"/>
              </w:rPr>
              <w:t>Balance Sheet</w:t>
            </w:r>
          </w:p>
        </w:tc>
        <w:tc>
          <w:tcPr>
            <w:tcW w:w="1840" w:type="dxa"/>
            <w:shd w:val="clear" w:color="auto" w:fill="BDD6EE" w:themeFill="accent1" w:themeFillTint="66"/>
          </w:tcPr>
          <w:p w14:paraId="637E5F55" w14:textId="77777777" w:rsidR="00FF1B82" w:rsidRPr="00806BA4" w:rsidRDefault="00FF1B82" w:rsidP="002E054C">
            <w:pPr>
              <w:spacing w:after="160"/>
              <w:rPr>
                <w:rFonts w:cs="Times New Roman"/>
                <w:b/>
                <w:bCs/>
                <w:color w:val="000000" w:themeColor="text1"/>
                <w:szCs w:val="24"/>
              </w:rPr>
            </w:pPr>
            <w:r w:rsidRPr="00806BA4">
              <w:rPr>
                <w:rFonts w:cs="Times New Roman"/>
                <w:b/>
                <w:bCs/>
                <w:color w:val="000000" w:themeColor="text1"/>
                <w:szCs w:val="24"/>
              </w:rPr>
              <w:t>2023</w:t>
            </w:r>
          </w:p>
        </w:tc>
        <w:tc>
          <w:tcPr>
            <w:tcW w:w="1725" w:type="dxa"/>
            <w:shd w:val="clear" w:color="auto" w:fill="BDD6EE" w:themeFill="accent1" w:themeFillTint="66"/>
          </w:tcPr>
          <w:p w14:paraId="021C2915" w14:textId="77777777" w:rsidR="00FF1B82" w:rsidRPr="00806BA4" w:rsidRDefault="00FF1B82" w:rsidP="002E054C">
            <w:pPr>
              <w:spacing w:after="160"/>
              <w:rPr>
                <w:rFonts w:cs="Times New Roman"/>
                <w:b/>
                <w:bCs/>
                <w:color w:val="000000" w:themeColor="text1"/>
                <w:szCs w:val="24"/>
              </w:rPr>
            </w:pPr>
            <w:r w:rsidRPr="00806BA4">
              <w:rPr>
                <w:rFonts w:cs="Times New Roman"/>
                <w:b/>
                <w:bCs/>
                <w:color w:val="000000" w:themeColor="text1"/>
                <w:szCs w:val="24"/>
              </w:rPr>
              <w:t>2024</w:t>
            </w:r>
          </w:p>
        </w:tc>
        <w:tc>
          <w:tcPr>
            <w:tcW w:w="1955" w:type="dxa"/>
            <w:shd w:val="clear" w:color="auto" w:fill="BDD6EE" w:themeFill="accent1" w:themeFillTint="66"/>
          </w:tcPr>
          <w:p w14:paraId="0D60BF02" w14:textId="77777777" w:rsidR="00FF1B82" w:rsidRPr="00806BA4" w:rsidRDefault="00FF1B82" w:rsidP="002E054C">
            <w:pPr>
              <w:spacing w:after="160"/>
              <w:rPr>
                <w:rFonts w:cs="Times New Roman"/>
                <w:b/>
                <w:bCs/>
                <w:color w:val="000000" w:themeColor="text1"/>
                <w:szCs w:val="24"/>
              </w:rPr>
            </w:pPr>
            <w:r w:rsidRPr="00806BA4">
              <w:rPr>
                <w:rFonts w:cs="Times New Roman"/>
                <w:b/>
                <w:bCs/>
                <w:color w:val="000000" w:themeColor="text1"/>
                <w:szCs w:val="24"/>
              </w:rPr>
              <w:t>2025</w:t>
            </w:r>
          </w:p>
        </w:tc>
        <w:tc>
          <w:tcPr>
            <w:tcW w:w="1816" w:type="dxa"/>
            <w:shd w:val="clear" w:color="auto" w:fill="BDD6EE" w:themeFill="accent1" w:themeFillTint="66"/>
          </w:tcPr>
          <w:p w14:paraId="538C61EE" w14:textId="77777777" w:rsidR="00FF1B82" w:rsidRPr="00806BA4" w:rsidRDefault="00FF1B82" w:rsidP="002E054C">
            <w:pPr>
              <w:spacing w:after="160"/>
              <w:rPr>
                <w:rFonts w:cs="Times New Roman"/>
                <w:b/>
                <w:bCs/>
                <w:color w:val="000000" w:themeColor="text1"/>
                <w:szCs w:val="24"/>
              </w:rPr>
            </w:pPr>
            <w:r w:rsidRPr="00806BA4">
              <w:rPr>
                <w:rFonts w:cs="Times New Roman"/>
                <w:b/>
                <w:bCs/>
                <w:color w:val="000000" w:themeColor="text1"/>
                <w:szCs w:val="24"/>
              </w:rPr>
              <w:t>2026</w:t>
            </w:r>
          </w:p>
        </w:tc>
      </w:tr>
      <w:tr w:rsidR="00806BA4" w:rsidRPr="00806BA4" w14:paraId="12E95066" w14:textId="77777777" w:rsidTr="002E054C">
        <w:trPr>
          <w:trHeight w:val="359"/>
        </w:trPr>
        <w:tc>
          <w:tcPr>
            <w:tcW w:w="2684" w:type="dxa"/>
          </w:tcPr>
          <w:p w14:paraId="4CDD44DB"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Total Assets</w:t>
            </w:r>
          </w:p>
        </w:tc>
        <w:tc>
          <w:tcPr>
            <w:tcW w:w="1840" w:type="dxa"/>
          </w:tcPr>
          <w:p w14:paraId="5FA7749A"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£1,850,000</w:t>
            </w:r>
          </w:p>
        </w:tc>
        <w:tc>
          <w:tcPr>
            <w:tcW w:w="1725" w:type="dxa"/>
          </w:tcPr>
          <w:p w14:paraId="36311921"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£1,880,000</w:t>
            </w:r>
          </w:p>
        </w:tc>
        <w:tc>
          <w:tcPr>
            <w:tcW w:w="1955" w:type="dxa"/>
          </w:tcPr>
          <w:p w14:paraId="149DD105"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£1,930,000</w:t>
            </w:r>
          </w:p>
        </w:tc>
        <w:tc>
          <w:tcPr>
            <w:tcW w:w="1816" w:type="dxa"/>
          </w:tcPr>
          <w:p w14:paraId="056871FB"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£1,980,000</w:t>
            </w:r>
          </w:p>
        </w:tc>
      </w:tr>
      <w:tr w:rsidR="00806BA4" w:rsidRPr="00806BA4" w14:paraId="5C2AA269" w14:textId="77777777" w:rsidTr="002E054C">
        <w:trPr>
          <w:trHeight w:val="359"/>
        </w:trPr>
        <w:tc>
          <w:tcPr>
            <w:tcW w:w="2684" w:type="dxa"/>
          </w:tcPr>
          <w:p w14:paraId="1BBE24F6"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Current Assets</w:t>
            </w:r>
          </w:p>
        </w:tc>
        <w:tc>
          <w:tcPr>
            <w:tcW w:w="1840" w:type="dxa"/>
          </w:tcPr>
          <w:p w14:paraId="689CA4EA"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£50,000</w:t>
            </w:r>
          </w:p>
        </w:tc>
        <w:tc>
          <w:tcPr>
            <w:tcW w:w="1725" w:type="dxa"/>
          </w:tcPr>
          <w:p w14:paraId="5C6FA403"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£50,000</w:t>
            </w:r>
          </w:p>
        </w:tc>
        <w:tc>
          <w:tcPr>
            <w:tcW w:w="1955" w:type="dxa"/>
          </w:tcPr>
          <w:p w14:paraId="41F3DC5C"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£100,000</w:t>
            </w:r>
          </w:p>
        </w:tc>
        <w:tc>
          <w:tcPr>
            <w:tcW w:w="1816" w:type="dxa"/>
          </w:tcPr>
          <w:p w14:paraId="43598406"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£150,000</w:t>
            </w:r>
          </w:p>
        </w:tc>
      </w:tr>
      <w:tr w:rsidR="00806BA4" w:rsidRPr="00806BA4" w14:paraId="64CF4882" w14:textId="77777777" w:rsidTr="002E054C">
        <w:trPr>
          <w:trHeight w:val="359"/>
        </w:trPr>
        <w:tc>
          <w:tcPr>
            <w:tcW w:w="2684" w:type="dxa"/>
          </w:tcPr>
          <w:p w14:paraId="6AA573E1"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Property &amp; Equipment</w:t>
            </w:r>
          </w:p>
        </w:tc>
        <w:tc>
          <w:tcPr>
            <w:tcW w:w="1840" w:type="dxa"/>
          </w:tcPr>
          <w:p w14:paraId="685B617E"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£1,800,000</w:t>
            </w:r>
          </w:p>
        </w:tc>
        <w:tc>
          <w:tcPr>
            <w:tcW w:w="1725" w:type="dxa"/>
          </w:tcPr>
          <w:p w14:paraId="14B8080D"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£1,830,000</w:t>
            </w:r>
          </w:p>
        </w:tc>
        <w:tc>
          <w:tcPr>
            <w:tcW w:w="1955" w:type="dxa"/>
          </w:tcPr>
          <w:p w14:paraId="73199610"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£1,830,000</w:t>
            </w:r>
          </w:p>
        </w:tc>
        <w:tc>
          <w:tcPr>
            <w:tcW w:w="1816" w:type="dxa"/>
          </w:tcPr>
          <w:p w14:paraId="379EDE9F"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£1,830,000</w:t>
            </w:r>
          </w:p>
        </w:tc>
      </w:tr>
      <w:tr w:rsidR="00806BA4" w:rsidRPr="00806BA4" w14:paraId="7A4E8BA0" w14:textId="77777777" w:rsidTr="002E054C">
        <w:trPr>
          <w:trHeight w:val="737"/>
        </w:trPr>
        <w:tc>
          <w:tcPr>
            <w:tcW w:w="2684" w:type="dxa"/>
          </w:tcPr>
          <w:p w14:paraId="7F1D9FC1"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Other  Non - current Assets</w:t>
            </w:r>
          </w:p>
        </w:tc>
        <w:tc>
          <w:tcPr>
            <w:tcW w:w="1840" w:type="dxa"/>
          </w:tcPr>
          <w:p w14:paraId="2E86AAF9"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£150,000</w:t>
            </w:r>
          </w:p>
        </w:tc>
        <w:tc>
          <w:tcPr>
            <w:tcW w:w="1725" w:type="dxa"/>
          </w:tcPr>
          <w:p w14:paraId="7F59CFAB"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£200,000</w:t>
            </w:r>
          </w:p>
        </w:tc>
        <w:tc>
          <w:tcPr>
            <w:tcW w:w="1955" w:type="dxa"/>
          </w:tcPr>
          <w:p w14:paraId="3380E2AF"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£200,000</w:t>
            </w:r>
          </w:p>
        </w:tc>
        <w:tc>
          <w:tcPr>
            <w:tcW w:w="1816" w:type="dxa"/>
          </w:tcPr>
          <w:p w14:paraId="72852E4F"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£200,000</w:t>
            </w:r>
          </w:p>
        </w:tc>
      </w:tr>
      <w:tr w:rsidR="00806BA4" w:rsidRPr="00806BA4" w14:paraId="230A155D" w14:textId="77777777" w:rsidTr="002E054C">
        <w:trPr>
          <w:trHeight w:val="359"/>
        </w:trPr>
        <w:tc>
          <w:tcPr>
            <w:tcW w:w="2684" w:type="dxa"/>
          </w:tcPr>
          <w:p w14:paraId="324F6DF0"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Total Liabilities</w:t>
            </w:r>
          </w:p>
        </w:tc>
        <w:tc>
          <w:tcPr>
            <w:tcW w:w="1840" w:type="dxa"/>
          </w:tcPr>
          <w:p w14:paraId="2C3970EC"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£1,550,000</w:t>
            </w:r>
          </w:p>
        </w:tc>
        <w:tc>
          <w:tcPr>
            <w:tcW w:w="1725" w:type="dxa"/>
          </w:tcPr>
          <w:p w14:paraId="32ADD451"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£1,655,000</w:t>
            </w:r>
          </w:p>
        </w:tc>
        <w:tc>
          <w:tcPr>
            <w:tcW w:w="1955" w:type="dxa"/>
          </w:tcPr>
          <w:p w14:paraId="51B7054F"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£1,645,000</w:t>
            </w:r>
          </w:p>
        </w:tc>
        <w:tc>
          <w:tcPr>
            <w:tcW w:w="1816" w:type="dxa"/>
          </w:tcPr>
          <w:p w14:paraId="75539863" w14:textId="77777777" w:rsidR="00FF1B82" w:rsidRPr="00806BA4" w:rsidRDefault="00EC0C76" w:rsidP="002E054C">
            <w:pPr>
              <w:spacing w:after="160"/>
              <w:rPr>
                <w:rFonts w:cs="Times New Roman"/>
                <w:color w:val="000000" w:themeColor="text1"/>
                <w:szCs w:val="24"/>
              </w:rPr>
            </w:pPr>
            <w:r w:rsidRPr="00806BA4">
              <w:rPr>
                <w:rFonts w:cs="Times New Roman"/>
                <w:color w:val="000000" w:themeColor="text1"/>
                <w:szCs w:val="24"/>
              </w:rPr>
              <w:t>£1,640</w:t>
            </w:r>
            <w:r w:rsidR="00FF1B82" w:rsidRPr="00806BA4">
              <w:rPr>
                <w:rFonts w:cs="Times New Roman"/>
                <w:color w:val="000000" w:themeColor="text1"/>
                <w:szCs w:val="24"/>
              </w:rPr>
              <w:t>,000</w:t>
            </w:r>
          </w:p>
        </w:tc>
      </w:tr>
      <w:tr w:rsidR="00806BA4" w:rsidRPr="00806BA4" w14:paraId="53D6AC2E" w14:textId="77777777" w:rsidTr="002E054C">
        <w:trPr>
          <w:trHeight w:val="359"/>
        </w:trPr>
        <w:tc>
          <w:tcPr>
            <w:tcW w:w="2684" w:type="dxa"/>
          </w:tcPr>
          <w:p w14:paraId="54E24CF4"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 Current Liabilities</w:t>
            </w:r>
          </w:p>
        </w:tc>
        <w:tc>
          <w:tcPr>
            <w:tcW w:w="1840" w:type="dxa"/>
          </w:tcPr>
          <w:p w14:paraId="08AF0103"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£50,000</w:t>
            </w:r>
          </w:p>
        </w:tc>
        <w:tc>
          <w:tcPr>
            <w:tcW w:w="1725" w:type="dxa"/>
          </w:tcPr>
          <w:p w14:paraId="3CC697CC"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£55,000</w:t>
            </w:r>
          </w:p>
        </w:tc>
        <w:tc>
          <w:tcPr>
            <w:tcW w:w="1955" w:type="dxa"/>
          </w:tcPr>
          <w:p w14:paraId="29BA406E"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£45,000</w:t>
            </w:r>
          </w:p>
        </w:tc>
        <w:tc>
          <w:tcPr>
            <w:tcW w:w="1816" w:type="dxa"/>
          </w:tcPr>
          <w:p w14:paraId="69469533"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£40,000</w:t>
            </w:r>
          </w:p>
        </w:tc>
      </w:tr>
      <w:tr w:rsidR="00806BA4" w:rsidRPr="00806BA4" w14:paraId="2B69CB23" w14:textId="77777777" w:rsidTr="002E054C">
        <w:trPr>
          <w:trHeight w:val="359"/>
        </w:trPr>
        <w:tc>
          <w:tcPr>
            <w:tcW w:w="2684" w:type="dxa"/>
          </w:tcPr>
          <w:p w14:paraId="6D9834B4"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 Long-term financing</w:t>
            </w:r>
          </w:p>
        </w:tc>
        <w:tc>
          <w:tcPr>
            <w:tcW w:w="1840" w:type="dxa"/>
          </w:tcPr>
          <w:p w14:paraId="032ACEFC"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£1,500,000</w:t>
            </w:r>
          </w:p>
        </w:tc>
        <w:tc>
          <w:tcPr>
            <w:tcW w:w="1725" w:type="dxa"/>
          </w:tcPr>
          <w:p w14:paraId="1C535B1D"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£1,600,000</w:t>
            </w:r>
          </w:p>
        </w:tc>
        <w:tc>
          <w:tcPr>
            <w:tcW w:w="1955" w:type="dxa"/>
          </w:tcPr>
          <w:p w14:paraId="44DB188A"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£1,600,000</w:t>
            </w:r>
          </w:p>
        </w:tc>
        <w:tc>
          <w:tcPr>
            <w:tcW w:w="1816" w:type="dxa"/>
          </w:tcPr>
          <w:p w14:paraId="24494F09"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£1,600,000</w:t>
            </w:r>
          </w:p>
        </w:tc>
      </w:tr>
      <w:tr w:rsidR="00FF1B82" w:rsidRPr="00806BA4" w14:paraId="3B7F0960" w14:textId="77777777" w:rsidTr="002E054C">
        <w:trPr>
          <w:trHeight w:val="359"/>
        </w:trPr>
        <w:tc>
          <w:tcPr>
            <w:tcW w:w="2684" w:type="dxa"/>
          </w:tcPr>
          <w:p w14:paraId="14A2C067"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Equity</w:t>
            </w:r>
          </w:p>
        </w:tc>
        <w:tc>
          <w:tcPr>
            <w:tcW w:w="1840" w:type="dxa"/>
          </w:tcPr>
          <w:p w14:paraId="42BBFC38"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£300,000</w:t>
            </w:r>
          </w:p>
        </w:tc>
        <w:tc>
          <w:tcPr>
            <w:tcW w:w="1725" w:type="dxa"/>
          </w:tcPr>
          <w:p w14:paraId="40C7D127"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£305,000</w:t>
            </w:r>
          </w:p>
        </w:tc>
        <w:tc>
          <w:tcPr>
            <w:tcW w:w="1955" w:type="dxa"/>
          </w:tcPr>
          <w:p w14:paraId="4CAF92B8"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£325,000</w:t>
            </w:r>
          </w:p>
        </w:tc>
        <w:tc>
          <w:tcPr>
            <w:tcW w:w="1816" w:type="dxa"/>
          </w:tcPr>
          <w:p w14:paraId="069C769D" w14:textId="77777777" w:rsidR="00FF1B82" w:rsidRPr="00806BA4" w:rsidRDefault="00FF1B82" w:rsidP="002E054C">
            <w:pPr>
              <w:spacing w:after="160"/>
              <w:rPr>
                <w:rFonts w:cs="Times New Roman"/>
                <w:color w:val="000000" w:themeColor="text1"/>
                <w:szCs w:val="24"/>
              </w:rPr>
            </w:pPr>
            <w:r w:rsidRPr="00806BA4">
              <w:rPr>
                <w:rFonts w:cs="Times New Roman"/>
                <w:color w:val="000000" w:themeColor="text1"/>
                <w:szCs w:val="24"/>
              </w:rPr>
              <w:t>£335,000</w:t>
            </w:r>
          </w:p>
        </w:tc>
      </w:tr>
    </w:tbl>
    <w:p w14:paraId="13978563" w14:textId="77777777" w:rsidR="00FF1B82" w:rsidRPr="00806BA4" w:rsidRDefault="00FF1B82" w:rsidP="00FF1B82">
      <w:pPr>
        <w:rPr>
          <w:rFonts w:cs="Times New Roman"/>
          <w:color w:val="000000" w:themeColor="text1"/>
          <w:szCs w:val="24"/>
        </w:rPr>
      </w:pPr>
    </w:p>
    <w:p w14:paraId="36E4F4D1" w14:textId="77777777" w:rsidR="00FF1B82" w:rsidRPr="00806BA4" w:rsidRDefault="00FF1B82" w:rsidP="00FF1B82">
      <w:pPr>
        <w:rPr>
          <w:rFonts w:cs="Times New Roman"/>
          <w:color w:val="000000" w:themeColor="text1"/>
          <w:szCs w:val="24"/>
        </w:rPr>
      </w:pPr>
    </w:p>
    <w:p w14:paraId="0890C534" w14:textId="77777777" w:rsidR="00EC0C76" w:rsidRPr="00806BA4" w:rsidRDefault="00EC0C76" w:rsidP="00EC0C76">
      <w:pPr>
        <w:pStyle w:val="Heading2"/>
        <w:rPr>
          <w:rFonts w:cs="Times New Roman"/>
          <w:color w:val="000000" w:themeColor="text1"/>
          <w:szCs w:val="24"/>
        </w:rPr>
      </w:pPr>
      <w:bookmarkStart w:id="14" w:name="_Toc159616494"/>
      <w:r w:rsidRPr="00806BA4">
        <w:rPr>
          <w:rFonts w:cs="Times New Roman"/>
          <w:color w:val="000000" w:themeColor="text1"/>
          <w:szCs w:val="24"/>
        </w:rPr>
        <w:t>Cash Flow Analysis</w:t>
      </w:r>
      <w:bookmarkEnd w:id="14"/>
    </w:p>
    <w:tbl>
      <w:tblPr>
        <w:tblStyle w:val="TableGrid"/>
        <w:tblW w:w="10046" w:type="dxa"/>
        <w:tblLayout w:type="fixed"/>
        <w:tblLook w:val="0000" w:firstRow="0" w:lastRow="0" w:firstColumn="0" w:lastColumn="0" w:noHBand="0" w:noVBand="0"/>
      </w:tblPr>
      <w:tblGrid>
        <w:gridCol w:w="3867"/>
        <w:gridCol w:w="1660"/>
        <w:gridCol w:w="1439"/>
        <w:gridCol w:w="1549"/>
        <w:gridCol w:w="1531"/>
      </w:tblGrid>
      <w:tr w:rsidR="00806BA4" w:rsidRPr="00806BA4" w14:paraId="012CBCB0" w14:textId="77777777" w:rsidTr="00EC0C76">
        <w:trPr>
          <w:trHeight w:val="733"/>
        </w:trPr>
        <w:tc>
          <w:tcPr>
            <w:tcW w:w="3867" w:type="dxa"/>
            <w:shd w:val="clear" w:color="auto" w:fill="BDD6EE" w:themeFill="accent1" w:themeFillTint="66"/>
          </w:tcPr>
          <w:p w14:paraId="34EA161C" w14:textId="77777777" w:rsidR="00EC0C76" w:rsidRPr="00806BA4" w:rsidRDefault="00EC0C76" w:rsidP="002E054C">
            <w:pPr>
              <w:spacing w:after="160"/>
              <w:rPr>
                <w:rFonts w:cs="Times New Roman"/>
                <w:b/>
                <w:bCs/>
                <w:color w:val="000000" w:themeColor="text1"/>
                <w:szCs w:val="24"/>
              </w:rPr>
            </w:pPr>
            <w:r w:rsidRPr="00806BA4">
              <w:rPr>
                <w:rFonts w:cs="Times New Roman"/>
                <w:b/>
                <w:bCs/>
                <w:color w:val="000000" w:themeColor="text1"/>
                <w:szCs w:val="24"/>
              </w:rPr>
              <w:t>Cash Flow Analysis</w:t>
            </w:r>
          </w:p>
        </w:tc>
        <w:tc>
          <w:tcPr>
            <w:tcW w:w="1660" w:type="dxa"/>
            <w:shd w:val="clear" w:color="auto" w:fill="BDD6EE" w:themeFill="accent1" w:themeFillTint="66"/>
          </w:tcPr>
          <w:p w14:paraId="135F0F2F" w14:textId="77777777" w:rsidR="00EC0C76" w:rsidRPr="00806BA4" w:rsidRDefault="00EC0C76" w:rsidP="002E054C">
            <w:pPr>
              <w:spacing w:after="160"/>
              <w:rPr>
                <w:rFonts w:cs="Times New Roman"/>
                <w:b/>
                <w:bCs/>
                <w:color w:val="000000" w:themeColor="text1"/>
                <w:szCs w:val="24"/>
              </w:rPr>
            </w:pPr>
            <w:r w:rsidRPr="00806BA4">
              <w:rPr>
                <w:rFonts w:cs="Times New Roman"/>
                <w:b/>
                <w:bCs/>
                <w:color w:val="000000" w:themeColor="text1"/>
                <w:szCs w:val="24"/>
              </w:rPr>
              <w:t>2023</w:t>
            </w:r>
          </w:p>
        </w:tc>
        <w:tc>
          <w:tcPr>
            <w:tcW w:w="1439" w:type="dxa"/>
            <w:shd w:val="clear" w:color="auto" w:fill="BDD6EE" w:themeFill="accent1" w:themeFillTint="66"/>
          </w:tcPr>
          <w:p w14:paraId="40D63DD7" w14:textId="77777777" w:rsidR="00EC0C76" w:rsidRPr="00806BA4" w:rsidRDefault="00EC0C76" w:rsidP="002E054C">
            <w:pPr>
              <w:spacing w:after="160"/>
              <w:rPr>
                <w:rFonts w:cs="Times New Roman"/>
                <w:b/>
                <w:bCs/>
                <w:color w:val="000000" w:themeColor="text1"/>
                <w:szCs w:val="24"/>
              </w:rPr>
            </w:pPr>
            <w:r w:rsidRPr="00806BA4">
              <w:rPr>
                <w:rFonts w:cs="Times New Roman"/>
                <w:b/>
                <w:bCs/>
                <w:color w:val="000000" w:themeColor="text1"/>
                <w:szCs w:val="24"/>
              </w:rPr>
              <w:t>2024</w:t>
            </w:r>
          </w:p>
        </w:tc>
        <w:tc>
          <w:tcPr>
            <w:tcW w:w="1549" w:type="dxa"/>
            <w:shd w:val="clear" w:color="auto" w:fill="BDD6EE" w:themeFill="accent1" w:themeFillTint="66"/>
          </w:tcPr>
          <w:p w14:paraId="760F2AAF" w14:textId="77777777" w:rsidR="00EC0C76" w:rsidRPr="00806BA4" w:rsidRDefault="00EC0C76" w:rsidP="002E054C">
            <w:pPr>
              <w:spacing w:after="160"/>
              <w:rPr>
                <w:rFonts w:cs="Times New Roman"/>
                <w:b/>
                <w:bCs/>
                <w:color w:val="000000" w:themeColor="text1"/>
                <w:szCs w:val="24"/>
              </w:rPr>
            </w:pPr>
            <w:r w:rsidRPr="00806BA4">
              <w:rPr>
                <w:rFonts w:cs="Times New Roman"/>
                <w:b/>
                <w:bCs/>
                <w:color w:val="000000" w:themeColor="text1"/>
                <w:szCs w:val="24"/>
              </w:rPr>
              <w:t>2025</w:t>
            </w:r>
          </w:p>
        </w:tc>
        <w:tc>
          <w:tcPr>
            <w:tcW w:w="1531" w:type="dxa"/>
            <w:shd w:val="clear" w:color="auto" w:fill="BDD6EE" w:themeFill="accent1" w:themeFillTint="66"/>
          </w:tcPr>
          <w:p w14:paraId="3EE563A6" w14:textId="77777777" w:rsidR="00EC0C76" w:rsidRPr="00806BA4" w:rsidRDefault="00EC0C76" w:rsidP="002E054C">
            <w:pPr>
              <w:spacing w:after="160"/>
              <w:rPr>
                <w:rFonts w:cs="Times New Roman"/>
                <w:b/>
                <w:bCs/>
                <w:color w:val="000000" w:themeColor="text1"/>
                <w:szCs w:val="24"/>
              </w:rPr>
            </w:pPr>
            <w:r w:rsidRPr="00806BA4">
              <w:rPr>
                <w:rFonts w:cs="Times New Roman"/>
                <w:b/>
                <w:bCs/>
                <w:color w:val="000000" w:themeColor="text1"/>
                <w:szCs w:val="24"/>
              </w:rPr>
              <w:t>2026</w:t>
            </w:r>
          </w:p>
        </w:tc>
      </w:tr>
      <w:tr w:rsidR="00806BA4" w:rsidRPr="00806BA4" w14:paraId="193B2897" w14:textId="77777777" w:rsidTr="002E054C">
        <w:trPr>
          <w:trHeight w:val="697"/>
        </w:trPr>
        <w:tc>
          <w:tcPr>
            <w:tcW w:w="3867" w:type="dxa"/>
          </w:tcPr>
          <w:p w14:paraId="2C4F5633"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Net Cash Flow from Operations</w:t>
            </w:r>
          </w:p>
        </w:tc>
        <w:tc>
          <w:tcPr>
            <w:tcW w:w="1660" w:type="dxa"/>
          </w:tcPr>
          <w:p w14:paraId="7AAAA716"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-£110,000</w:t>
            </w:r>
          </w:p>
        </w:tc>
        <w:tc>
          <w:tcPr>
            <w:tcW w:w="1439" w:type="dxa"/>
          </w:tcPr>
          <w:p w14:paraId="7FD8E40C"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£210,000</w:t>
            </w:r>
          </w:p>
        </w:tc>
        <w:tc>
          <w:tcPr>
            <w:tcW w:w="1549" w:type="dxa"/>
          </w:tcPr>
          <w:p w14:paraId="3EB19BEB"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£50,000</w:t>
            </w:r>
          </w:p>
        </w:tc>
        <w:tc>
          <w:tcPr>
            <w:tcW w:w="1531" w:type="dxa"/>
          </w:tcPr>
          <w:p w14:paraId="3EB74E14"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£105,000</w:t>
            </w:r>
          </w:p>
        </w:tc>
      </w:tr>
      <w:tr w:rsidR="00806BA4" w:rsidRPr="00806BA4" w14:paraId="61DA4471" w14:textId="77777777" w:rsidTr="002E054C">
        <w:trPr>
          <w:trHeight w:val="697"/>
        </w:trPr>
        <w:tc>
          <w:tcPr>
            <w:tcW w:w="3867" w:type="dxa"/>
          </w:tcPr>
          <w:p w14:paraId="0D90DBBC"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Capital Expenditures</w:t>
            </w:r>
          </w:p>
        </w:tc>
        <w:tc>
          <w:tcPr>
            <w:tcW w:w="1660" w:type="dxa"/>
          </w:tcPr>
          <w:p w14:paraId="094A7B97"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£200,000</w:t>
            </w:r>
          </w:p>
        </w:tc>
        <w:tc>
          <w:tcPr>
            <w:tcW w:w="1439" w:type="dxa"/>
          </w:tcPr>
          <w:p w14:paraId="0973FD7E"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£300,000</w:t>
            </w:r>
          </w:p>
        </w:tc>
        <w:tc>
          <w:tcPr>
            <w:tcW w:w="1549" w:type="dxa"/>
          </w:tcPr>
          <w:p w14:paraId="41D06FA3" w14:textId="77777777" w:rsidR="00EC0C76" w:rsidRPr="00806BA4" w:rsidRDefault="00EC0C76" w:rsidP="002E054C">
            <w:pPr>
              <w:spacing w:after="160"/>
              <w:rPr>
                <w:rFonts w:cs="Times New Roman"/>
                <w:color w:val="000000" w:themeColor="text1"/>
                <w:szCs w:val="24"/>
              </w:rPr>
            </w:pPr>
          </w:p>
        </w:tc>
        <w:tc>
          <w:tcPr>
            <w:tcW w:w="1531" w:type="dxa"/>
          </w:tcPr>
          <w:p w14:paraId="7457A823" w14:textId="77777777" w:rsidR="00EC0C76" w:rsidRPr="00806BA4" w:rsidRDefault="00EC0C76" w:rsidP="002E054C">
            <w:pPr>
              <w:spacing w:after="160"/>
              <w:rPr>
                <w:rFonts w:cs="Times New Roman"/>
                <w:color w:val="000000" w:themeColor="text1"/>
                <w:szCs w:val="24"/>
              </w:rPr>
            </w:pPr>
          </w:p>
        </w:tc>
      </w:tr>
      <w:tr w:rsidR="00806BA4" w:rsidRPr="00806BA4" w14:paraId="62F9A5E9" w14:textId="77777777" w:rsidTr="002E054C">
        <w:trPr>
          <w:trHeight w:val="697"/>
        </w:trPr>
        <w:tc>
          <w:tcPr>
            <w:tcW w:w="3867" w:type="dxa"/>
          </w:tcPr>
          <w:p w14:paraId="0D809B77"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Long Term Loan</w:t>
            </w:r>
          </w:p>
        </w:tc>
        <w:tc>
          <w:tcPr>
            <w:tcW w:w="1660" w:type="dxa"/>
          </w:tcPr>
          <w:p w14:paraId="19D8D3BD" w14:textId="77777777" w:rsidR="00EC0C76" w:rsidRPr="00806BA4" w:rsidRDefault="00EC0C76" w:rsidP="002E054C">
            <w:pPr>
              <w:spacing w:after="160"/>
              <w:rPr>
                <w:rFonts w:cs="Times New Roman"/>
                <w:color w:val="000000" w:themeColor="text1"/>
                <w:szCs w:val="24"/>
              </w:rPr>
            </w:pPr>
          </w:p>
        </w:tc>
        <w:tc>
          <w:tcPr>
            <w:tcW w:w="1439" w:type="dxa"/>
          </w:tcPr>
          <w:p w14:paraId="2E3FB348"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£100,000</w:t>
            </w:r>
          </w:p>
        </w:tc>
        <w:tc>
          <w:tcPr>
            <w:tcW w:w="1549" w:type="dxa"/>
          </w:tcPr>
          <w:p w14:paraId="5CCD9EC8" w14:textId="77777777" w:rsidR="00EC0C76" w:rsidRPr="00806BA4" w:rsidRDefault="00EC0C76" w:rsidP="002E054C">
            <w:pPr>
              <w:spacing w:after="160"/>
              <w:rPr>
                <w:rFonts w:cs="Times New Roman"/>
                <w:color w:val="000000" w:themeColor="text1"/>
                <w:szCs w:val="24"/>
              </w:rPr>
            </w:pPr>
          </w:p>
        </w:tc>
        <w:tc>
          <w:tcPr>
            <w:tcW w:w="1531" w:type="dxa"/>
          </w:tcPr>
          <w:p w14:paraId="57513F63" w14:textId="77777777" w:rsidR="00EC0C76" w:rsidRPr="00806BA4" w:rsidRDefault="00EC0C76" w:rsidP="002E054C">
            <w:pPr>
              <w:spacing w:after="160"/>
              <w:rPr>
                <w:rFonts w:cs="Times New Roman"/>
                <w:color w:val="000000" w:themeColor="text1"/>
                <w:szCs w:val="24"/>
              </w:rPr>
            </w:pPr>
          </w:p>
        </w:tc>
      </w:tr>
      <w:tr w:rsidR="00806BA4" w:rsidRPr="00806BA4" w14:paraId="242B25C1" w14:textId="77777777" w:rsidTr="002E054C">
        <w:trPr>
          <w:trHeight w:val="697"/>
        </w:trPr>
        <w:tc>
          <w:tcPr>
            <w:tcW w:w="3867" w:type="dxa"/>
          </w:tcPr>
          <w:p w14:paraId="1E5EB988"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Net Profit / (Loss)</w:t>
            </w:r>
          </w:p>
        </w:tc>
        <w:tc>
          <w:tcPr>
            <w:tcW w:w="1660" w:type="dxa"/>
          </w:tcPr>
          <w:p w14:paraId="330060BC" w14:textId="77777777" w:rsidR="00EC0C76" w:rsidRPr="00806BA4" w:rsidRDefault="00EC0C76" w:rsidP="002E054C">
            <w:pPr>
              <w:spacing w:after="160"/>
              <w:rPr>
                <w:rFonts w:cs="Times New Roman"/>
                <w:color w:val="000000" w:themeColor="text1"/>
                <w:szCs w:val="24"/>
              </w:rPr>
            </w:pPr>
          </w:p>
        </w:tc>
        <w:tc>
          <w:tcPr>
            <w:tcW w:w="1439" w:type="dxa"/>
          </w:tcPr>
          <w:p w14:paraId="308BED55"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£-139,500</w:t>
            </w:r>
          </w:p>
        </w:tc>
        <w:tc>
          <w:tcPr>
            <w:tcW w:w="1549" w:type="dxa"/>
          </w:tcPr>
          <w:p w14:paraId="031C91FA"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-£109,750</w:t>
            </w:r>
          </w:p>
        </w:tc>
        <w:tc>
          <w:tcPr>
            <w:tcW w:w="1531" w:type="dxa"/>
          </w:tcPr>
          <w:p w14:paraId="7A18CADB"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£143,420</w:t>
            </w:r>
          </w:p>
        </w:tc>
      </w:tr>
      <w:tr w:rsidR="00EC0C76" w:rsidRPr="00806BA4" w14:paraId="4948A897" w14:textId="77777777" w:rsidTr="002E054C">
        <w:trPr>
          <w:trHeight w:val="697"/>
        </w:trPr>
        <w:tc>
          <w:tcPr>
            <w:tcW w:w="3867" w:type="dxa"/>
          </w:tcPr>
          <w:p w14:paraId="265420C7"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Net Cash Flow (Change in Cash Balance)</w:t>
            </w:r>
          </w:p>
        </w:tc>
        <w:tc>
          <w:tcPr>
            <w:tcW w:w="1660" w:type="dxa"/>
          </w:tcPr>
          <w:p w14:paraId="047A2699"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-£310,000</w:t>
            </w:r>
          </w:p>
        </w:tc>
        <w:tc>
          <w:tcPr>
            <w:tcW w:w="1439" w:type="dxa"/>
          </w:tcPr>
          <w:p w14:paraId="5D2766D0"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-£70,500</w:t>
            </w:r>
          </w:p>
        </w:tc>
        <w:tc>
          <w:tcPr>
            <w:tcW w:w="1549" w:type="dxa"/>
          </w:tcPr>
          <w:p w14:paraId="4BA03259"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-£59,750</w:t>
            </w:r>
          </w:p>
        </w:tc>
        <w:tc>
          <w:tcPr>
            <w:tcW w:w="1531" w:type="dxa"/>
          </w:tcPr>
          <w:p w14:paraId="5BB852AD" w14:textId="77777777" w:rsidR="00EC0C76" w:rsidRPr="00806BA4" w:rsidRDefault="00EC0C76" w:rsidP="002E054C">
            <w:pPr>
              <w:spacing w:after="160"/>
              <w:rPr>
                <w:rFonts w:cs="Times New Roman"/>
                <w:color w:val="000000" w:themeColor="text1"/>
                <w:szCs w:val="24"/>
              </w:rPr>
            </w:pPr>
            <w:r w:rsidRPr="00806BA4">
              <w:rPr>
                <w:rFonts w:cs="Times New Roman"/>
                <w:color w:val="000000" w:themeColor="text1"/>
                <w:szCs w:val="24"/>
              </w:rPr>
              <w:t>£248,420</w:t>
            </w:r>
          </w:p>
        </w:tc>
      </w:tr>
    </w:tbl>
    <w:p w14:paraId="0378785C" w14:textId="77777777" w:rsidR="00EC0C76" w:rsidRPr="00806BA4" w:rsidRDefault="00EC0C76" w:rsidP="00EC0C76">
      <w:pPr>
        <w:rPr>
          <w:rFonts w:cs="Times New Roman"/>
          <w:color w:val="000000" w:themeColor="text1"/>
          <w:szCs w:val="24"/>
        </w:rPr>
      </w:pPr>
    </w:p>
    <w:p w14:paraId="3FAE0A2F" w14:textId="77777777" w:rsidR="001703AB" w:rsidRPr="00806BA4" w:rsidRDefault="001703AB" w:rsidP="004425C4">
      <w:pPr>
        <w:pStyle w:val="Heading1"/>
        <w:spacing w:line="360" w:lineRule="auto"/>
        <w:jc w:val="both"/>
        <w:rPr>
          <w:rFonts w:cs="Times New Roman"/>
          <w:b w:val="0"/>
          <w:color w:val="000000" w:themeColor="text1"/>
          <w:szCs w:val="24"/>
        </w:rPr>
      </w:pPr>
      <w:bookmarkStart w:id="15" w:name="_Toc159616495"/>
      <w:r w:rsidRPr="00806BA4">
        <w:rPr>
          <w:rFonts w:cs="Times New Roman"/>
          <w:color w:val="000000" w:themeColor="text1"/>
          <w:szCs w:val="24"/>
        </w:rPr>
        <w:t>Conclusion</w:t>
      </w:r>
      <w:bookmarkEnd w:id="15"/>
      <w:r w:rsidR="0092175E" w:rsidRPr="00806BA4">
        <w:rPr>
          <w:rFonts w:cs="Times New Roman"/>
          <w:b w:val="0"/>
          <w:color w:val="000000" w:themeColor="text1"/>
          <w:szCs w:val="24"/>
        </w:rPr>
        <w:t xml:space="preserve"> </w:t>
      </w:r>
    </w:p>
    <w:p w14:paraId="12C97FB9" w14:textId="77777777" w:rsidR="000B06BC" w:rsidRPr="00806BA4" w:rsidRDefault="000B06BC" w:rsidP="000B06BC">
      <w:pPr>
        <w:spacing w:line="360" w:lineRule="auto"/>
        <w:jc w:val="both"/>
        <w:rPr>
          <w:rFonts w:cs="Times New Roman"/>
          <w:color w:val="000000" w:themeColor="text1"/>
          <w:szCs w:val="24"/>
        </w:rPr>
      </w:pPr>
      <w:r w:rsidRPr="00806BA4">
        <w:rPr>
          <w:rFonts w:cs="Times New Roman"/>
          <w:color w:val="000000" w:themeColor="text1"/>
          <w:szCs w:val="24"/>
        </w:rPr>
        <w:t>The flourishing destination for vacationers for relaxation is Seacrest Lodge which has facilities like restaurants, bars, and other events. The resort has faced a decline in revenue in recent years which affects occupancy rate and customer satisfaction. T</w:t>
      </w:r>
      <w:r w:rsidRPr="00806BA4">
        <w:rPr>
          <w:rFonts w:cs="Times New Roman"/>
          <w:noProof/>
          <w:color w:val="000000" w:themeColor="text1"/>
          <w:szCs w:val="24"/>
        </w:rPr>
        <w:t xml:space="preserve">he </w:t>
      </w:r>
      <w:r w:rsidRPr="00806BA4">
        <w:rPr>
          <w:rFonts w:cs="Times New Roman"/>
          <w:color w:val="000000" w:themeColor="text1"/>
          <w:szCs w:val="24"/>
        </w:rPr>
        <w:t>net income statement of</w:t>
      </w:r>
      <w:r w:rsidRPr="00806BA4">
        <w:rPr>
          <w:rFonts w:cs="Times New Roman"/>
          <w:noProof/>
          <w:color w:val="000000" w:themeColor="text1"/>
          <w:szCs w:val="24"/>
        </w:rPr>
        <w:t xml:space="preserve"> the company has a negative figure for the year 2023 which represents the major decline in the financial position</w:t>
      </w:r>
      <w:r w:rsidRPr="00806BA4">
        <w:rPr>
          <w:rFonts w:cs="Times New Roman"/>
          <w:color w:val="000000" w:themeColor="text1"/>
          <w:szCs w:val="24"/>
        </w:rPr>
        <w:t>. The average room rate for Seacrest Lodge for the years 2021, 2022, and 2023 is £236.67 and the occupancy rate is 58.33% which is quite low. There are various turnover strategies through which Seacrest Lodge can increase customer satisfaction and increase its sales.</w:t>
      </w:r>
    </w:p>
    <w:p w14:paraId="57359D18" w14:textId="77777777" w:rsidR="009B5BD6" w:rsidRPr="00806BA4" w:rsidRDefault="009B5BD6">
      <w:pPr>
        <w:rPr>
          <w:rFonts w:eastAsiaTheme="majorEastAsia" w:cs="Times New Roman"/>
          <w:b/>
          <w:color w:val="000000" w:themeColor="text1"/>
          <w:szCs w:val="24"/>
        </w:rPr>
      </w:pPr>
      <w:r w:rsidRPr="00806BA4">
        <w:rPr>
          <w:rFonts w:cs="Times New Roman"/>
          <w:b/>
          <w:color w:val="000000" w:themeColor="text1"/>
          <w:szCs w:val="24"/>
        </w:rPr>
        <w:br w:type="page"/>
      </w:r>
    </w:p>
    <w:p w14:paraId="3ED88719" w14:textId="77777777" w:rsidR="000B06BC" w:rsidRPr="00806BA4" w:rsidRDefault="00A72E20" w:rsidP="000B06BC">
      <w:pPr>
        <w:pStyle w:val="Heading1"/>
        <w:spacing w:line="360" w:lineRule="auto"/>
        <w:jc w:val="both"/>
        <w:rPr>
          <w:rFonts w:cs="Times New Roman"/>
          <w:b w:val="0"/>
          <w:color w:val="000000" w:themeColor="text1"/>
          <w:szCs w:val="24"/>
        </w:rPr>
      </w:pPr>
      <w:bookmarkStart w:id="16" w:name="_Toc159616496"/>
      <w:r w:rsidRPr="00806BA4">
        <w:rPr>
          <w:rFonts w:cs="Times New Roman"/>
          <w:color w:val="000000" w:themeColor="text1"/>
          <w:szCs w:val="24"/>
        </w:rPr>
        <w:lastRenderedPageBreak/>
        <w:t>References</w:t>
      </w:r>
      <w:bookmarkEnd w:id="16"/>
      <w:r w:rsidRPr="00806BA4">
        <w:rPr>
          <w:rFonts w:cs="Times New Roman"/>
          <w:color w:val="000000" w:themeColor="text1"/>
          <w:szCs w:val="24"/>
        </w:rPr>
        <w:t xml:space="preserve">   </w:t>
      </w:r>
    </w:p>
    <w:p w14:paraId="13C39AB5" w14:textId="77777777" w:rsidR="000B06BC" w:rsidRPr="00806BA4" w:rsidRDefault="000B06BC" w:rsidP="005730CE">
      <w:pPr>
        <w:spacing w:line="360" w:lineRule="auto"/>
        <w:ind w:left="720" w:hanging="720"/>
        <w:jc w:val="both"/>
      </w:pPr>
      <w:r w:rsidRPr="00806BA4">
        <w:t xml:space="preserve">  Aksoy, L., Choi, S., Dogru, T., Keiningham, T., Lorenz, M., Rubin, D. and Bruce Tracey, J. (2022). Global trends in hospitality. </w:t>
      </w:r>
      <w:r w:rsidRPr="00806BA4">
        <w:rPr>
          <w:i/>
          <w:iCs/>
        </w:rPr>
        <w:t>Journal of Business Research</w:t>
      </w:r>
      <w:r w:rsidRPr="00806BA4">
        <w:t xml:space="preserve">, [online] 142(142), pp.957–973. </w:t>
      </w:r>
    </w:p>
    <w:p w14:paraId="5212D650" w14:textId="77777777" w:rsidR="000B06BC" w:rsidRPr="00806BA4" w:rsidRDefault="000B06BC" w:rsidP="005730CE">
      <w:pPr>
        <w:spacing w:line="360" w:lineRule="auto"/>
        <w:ind w:left="720" w:hanging="720"/>
        <w:jc w:val="both"/>
        <w:rPr>
          <w:shd w:val="clear" w:color="auto" w:fill="FFFFFF"/>
        </w:rPr>
      </w:pPr>
      <w:r w:rsidRPr="00806BA4">
        <w:rPr>
          <w:shd w:val="clear" w:color="auto" w:fill="FFFFFF"/>
        </w:rPr>
        <w:t>Aransyah, M.F., Althalets, F., Wediawati, T. and Sari, A., 2020. The Impact of Promotion on Room Occupancy Rate in Mesra Business and Resort Hotel Samarinda. </w:t>
      </w:r>
      <w:r w:rsidRPr="00806BA4">
        <w:rPr>
          <w:i/>
          <w:iCs/>
          <w:shd w:val="clear" w:color="auto" w:fill="FFFFFF"/>
        </w:rPr>
        <w:t>International Journal of Applied Sciences in Tourism and Events</w:t>
      </w:r>
      <w:r w:rsidRPr="00806BA4">
        <w:rPr>
          <w:shd w:val="clear" w:color="auto" w:fill="FFFFFF"/>
        </w:rPr>
        <w:t>, </w:t>
      </w:r>
      <w:r w:rsidRPr="00806BA4">
        <w:rPr>
          <w:i/>
          <w:iCs/>
          <w:shd w:val="clear" w:color="auto" w:fill="FFFFFF"/>
        </w:rPr>
        <w:t>4</w:t>
      </w:r>
      <w:r w:rsidRPr="00806BA4">
        <w:rPr>
          <w:shd w:val="clear" w:color="auto" w:fill="FFFFFF"/>
        </w:rPr>
        <w:t>(2), pp.150-157.</w:t>
      </w:r>
    </w:p>
    <w:p w14:paraId="37B49C9F" w14:textId="77777777" w:rsidR="000B06BC" w:rsidRPr="00806BA4" w:rsidRDefault="000B06BC" w:rsidP="005730CE">
      <w:pPr>
        <w:spacing w:line="360" w:lineRule="auto"/>
        <w:ind w:left="720" w:hanging="720"/>
        <w:jc w:val="both"/>
      </w:pPr>
      <w:r w:rsidRPr="00806BA4">
        <w:rPr>
          <w:shd w:val="clear" w:color="auto" w:fill="FFFFFF"/>
        </w:rPr>
        <w:t>Bodolica, V. and Spraggon, M., 2021. Leadership in times of organizational decline: a literature review of antecedents, consequences and moderators. </w:t>
      </w:r>
      <w:r w:rsidRPr="00806BA4">
        <w:rPr>
          <w:i/>
          <w:iCs/>
          <w:shd w:val="clear" w:color="auto" w:fill="FFFFFF"/>
        </w:rPr>
        <w:t>International Journal of Organizational Analysis</w:t>
      </w:r>
      <w:r w:rsidRPr="00806BA4">
        <w:rPr>
          <w:shd w:val="clear" w:color="auto" w:fill="FFFFFF"/>
        </w:rPr>
        <w:t>, </w:t>
      </w:r>
      <w:r w:rsidRPr="00806BA4">
        <w:rPr>
          <w:i/>
          <w:iCs/>
          <w:shd w:val="clear" w:color="auto" w:fill="FFFFFF"/>
        </w:rPr>
        <w:t>29</w:t>
      </w:r>
      <w:r w:rsidRPr="00806BA4">
        <w:rPr>
          <w:shd w:val="clear" w:color="auto" w:fill="FFFFFF"/>
        </w:rPr>
        <w:t>(2), pp.415-435.</w:t>
      </w:r>
    </w:p>
    <w:p w14:paraId="26E94645" w14:textId="77777777" w:rsidR="000B06BC" w:rsidRPr="00806BA4" w:rsidRDefault="000B06BC" w:rsidP="005730CE">
      <w:pPr>
        <w:spacing w:line="360" w:lineRule="auto"/>
        <w:ind w:left="720" w:hanging="720"/>
        <w:jc w:val="both"/>
      </w:pPr>
      <w:r w:rsidRPr="00806BA4">
        <w:rPr>
          <w:shd w:val="clear" w:color="auto" w:fill="FFFFFF"/>
        </w:rPr>
        <w:t>Gong, S., 2023. </w:t>
      </w:r>
      <w:r w:rsidRPr="00806BA4">
        <w:rPr>
          <w:i/>
          <w:iCs/>
          <w:shd w:val="clear" w:color="auto" w:fill="FFFFFF"/>
        </w:rPr>
        <w:t>Technology Adoption in the Short-Term Rental Property Management Industry</w:t>
      </w:r>
      <w:r w:rsidRPr="00806BA4">
        <w:rPr>
          <w:shd w:val="clear" w:color="auto" w:fill="FFFFFF"/>
        </w:rPr>
        <w:t> (Doctoral dissertation).</w:t>
      </w:r>
    </w:p>
    <w:p w14:paraId="5E399BFB" w14:textId="77777777" w:rsidR="000B06BC" w:rsidRPr="00806BA4" w:rsidRDefault="000B06BC" w:rsidP="005730CE">
      <w:pPr>
        <w:spacing w:line="360" w:lineRule="auto"/>
        <w:ind w:left="720" w:hanging="720"/>
        <w:jc w:val="both"/>
        <w:rPr>
          <w:shd w:val="clear" w:color="auto" w:fill="FFFFFF"/>
        </w:rPr>
      </w:pPr>
      <w:r w:rsidRPr="00806BA4">
        <w:rPr>
          <w:shd w:val="clear" w:color="auto" w:fill="FFFFFF"/>
        </w:rPr>
        <w:t>Johnston, R. and Petacchi, R., 2017. Regulatory oversight of financial reporting: Securities and Exchange Commission comment letters. </w:t>
      </w:r>
      <w:r w:rsidRPr="00806BA4">
        <w:rPr>
          <w:i/>
          <w:iCs/>
          <w:shd w:val="clear" w:color="auto" w:fill="FFFFFF"/>
        </w:rPr>
        <w:t>Contemporary Accounting Research</w:t>
      </w:r>
      <w:r w:rsidRPr="00806BA4">
        <w:rPr>
          <w:shd w:val="clear" w:color="auto" w:fill="FFFFFF"/>
        </w:rPr>
        <w:t>, </w:t>
      </w:r>
      <w:r w:rsidRPr="00806BA4">
        <w:rPr>
          <w:i/>
          <w:iCs/>
          <w:shd w:val="clear" w:color="auto" w:fill="FFFFFF"/>
        </w:rPr>
        <w:t>34</w:t>
      </w:r>
      <w:r w:rsidRPr="00806BA4">
        <w:rPr>
          <w:shd w:val="clear" w:color="auto" w:fill="FFFFFF"/>
        </w:rPr>
        <w:t>(2), pp.1128-1155.</w:t>
      </w:r>
    </w:p>
    <w:p w14:paraId="6321E0FF" w14:textId="77777777" w:rsidR="000B06BC" w:rsidRPr="00806BA4" w:rsidRDefault="000B06BC" w:rsidP="005730CE">
      <w:pPr>
        <w:spacing w:line="360" w:lineRule="auto"/>
        <w:ind w:left="720" w:hanging="720"/>
        <w:jc w:val="both"/>
      </w:pPr>
      <w:r w:rsidRPr="00806BA4">
        <w:t xml:space="preserve">Kapan, T. and Minoiu, C. (2018). Balance sheet strength and bank lending: Evidence from the global financial crisis. </w:t>
      </w:r>
      <w:r w:rsidRPr="00806BA4">
        <w:rPr>
          <w:i/>
          <w:iCs/>
        </w:rPr>
        <w:t>Journal of Banking &amp; Finance</w:t>
      </w:r>
      <w:r w:rsidRPr="00806BA4">
        <w:t xml:space="preserve">, 92, pp.35–50. </w:t>
      </w:r>
    </w:p>
    <w:p w14:paraId="25C1774C" w14:textId="77777777" w:rsidR="000B06BC" w:rsidRPr="00806BA4" w:rsidRDefault="000B06BC" w:rsidP="005730CE">
      <w:pPr>
        <w:spacing w:line="360" w:lineRule="auto"/>
        <w:ind w:left="720" w:hanging="720"/>
        <w:jc w:val="both"/>
      </w:pPr>
      <w:r w:rsidRPr="00806BA4">
        <w:t xml:space="preserve">Klapper, L. and Lusardi, A. (2019). Financial literacy and financial resilience: Evidence from around the world. </w:t>
      </w:r>
      <w:r w:rsidRPr="00806BA4">
        <w:rPr>
          <w:i/>
          <w:iCs/>
        </w:rPr>
        <w:t>Financial Management</w:t>
      </w:r>
      <w:r w:rsidRPr="00806BA4">
        <w:t xml:space="preserve">, 49(3), pp.589–614. </w:t>
      </w:r>
    </w:p>
    <w:p w14:paraId="0A0A5E3A" w14:textId="77777777" w:rsidR="000B06BC" w:rsidRPr="00806BA4" w:rsidRDefault="000B06BC" w:rsidP="005730CE">
      <w:pPr>
        <w:spacing w:line="360" w:lineRule="auto"/>
        <w:ind w:left="720" w:hanging="720"/>
        <w:jc w:val="both"/>
      </w:pPr>
      <w:r w:rsidRPr="00806BA4">
        <w:t xml:space="preserve">Lim, L.G., Tuli, K.R. and Grewal, R. (2020). Customer Satisfaction and Its Impact on the Future Costs of Selling. </w:t>
      </w:r>
      <w:r w:rsidRPr="00806BA4">
        <w:rPr>
          <w:i/>
          <w:iCs/>
        </w:rPr>
        <w:t>Journal of Marketing</w:t>
      </w:r>
      <w:r w:rsidRPr="00806BA4">
        <w:t xml:space="preserve">, [online] 84(4), pp.23–44. </w:t>
      </w:r>
    </w:p>
    <w:p w14:paraId="4ACD92B7" w14:textId="77777777" w:rsidR="000B06BC" w:rsidRPr="00806BA4" w:rsidRDefault="000B06BC" w:rsidP="005730CE">
      <w:pPr>
        <w:spacing w:line="360" w:lineRule="auto"/>
        <w:ind w:left="720" w:hanging="720"/>
        <w:jc w:val="both"/>
      </w:pPr>
      <w:r w:rsidRPr="00806BA4">
        <w:t xml:space="preserve">Martin-Rios, C. and Ciobanu, T. (2019). Hospitality innovation strategies: An analysis of success factors and challenges. </w:t>
      </w:r>
      <w:r w:rsidRPr="00806BA4">
        <w:rPr>
          <w:i/>
          <w:iCs/>
        </w:rPr>
        <w:t>Tourism Management</w:t>
      </w:r>
      <w:r w:rsidRPr="00806BA4">
        <w:t xml:space="preserve">, [online] 70, pp.218–229. </w:t>
      </w:r>
    </w:p>
    <w:p w14:paraId="4B82406F" w14:textId="77777777" w:rsidR="000B06BC" w:rsidRPr="00806BA4" w:rsidRDefault="000B06BC" w:rsidP="005730CE">
      <w:pPr>
        <w:spacing w:line="360" w:lineRule="auto"/>
        <w:ind w:left="720" w:hanging="720"/>
        <w:jc w:val="both"/>
      </w:pPr>
      <w:r w:rsidRPr="00806BA4">
        <w:rPr>
          <w:shd w:val="clear" w:color="auto" w:fill="FFFFFF"/>
        </w:rPr>
        <w:t>Mbasera, M., Du Plessis, E., Saayman, M. and Kruger, M., 2016. Environmentally-friendly practices in hotels. </w:t>
      </w:r>
      <w:r w:rsidRPr="00806BA4">
        <w:rPr>
          <w:i/>
          <w:iCs/>
          <w:shd w:val="clear" w:color="auto" w:fill="FFFFFF"/>
        </w:rPr>
        <w:t>Acta Commercii</w:t>
      </w:r>
      <w:r w:rsidRPr="00806BA4">
        <w:rPr>
          <w:shd w:val="clear" w:color="auto" w:fill="FFFFFF"/>
        </w:rPr>
        <w:t>, </w:t>
      </w:r>
      <w:r w:rsidRPr="00806BA4">
        <w:rPr>
          <w:i/>
          <w:iCs/>
          <w:shd w:val="clear" w:color="auto" w:fill="FFFFFF"/>
        </w:rPr>
        <w:t>16</w:t>
      </w:r>
      <w:r w:rsidRPr="00806BA4">
        <w:rPr>
          <w:shd w:val="clear" w:color="auto" w:fill="FFFFFF"/>
        </w:rPr>
        <w:t>(1), pp.1-8.</w:t>
      </w:r>
    </w:p>
    <w:p w14:paraId="5EEEC6E0" w14:textId="77777777" w:rsidR="000B06BC" w:rsidRPr="00806BA4" w:rsidRDefault="000B06BC" w:rsidP="005730CE">
      <w:pPr>
        <w:spacing w:line="360" w:lineRule="auto"/>
        <w:ind w:left="720" w:hanging="720"/>
        <w:jc w:val="both"/>
      </w:pPr>
      <w:r w:rsidRPr="00806BA4">
        <w:rPr>
          <w:shd w:val="clear" w:color="auto" w:fill="FFFFFF"/>
        </w:rPr>
        <w:t>Peceny, U.S., Urbančič, J., Mokorel, S., Kuralt, V. and Ilijaš, T., 2019. Tourism 4.0: Challenges in marketing a paradigm shift. In </w:t>
      </w:r>
      <w:r w:rsidRPr="00806BA4">
        <w:rPr>
          <w:i/>
          <w:iCs/>
          <w:shd w:val="clear" w:color="auto" w:fill="FFFFFF"/>
        </w:rPr>
        <w:t>Consumer behavior and marketing</w:t>
      </w:r>
      <w:r w:rsidRPr="00806BA4">
        <w:rPr>
          <w:shd w:val="clear" w:color="auto" w:fill="FFFFFF"/>
        </w:rPr>
        <w:t>. IntechOpen.</w:t>
      </w:r>
    </w:p>
    <w:p w14:paraId="09507671" w14:textId="77777777" w:rsidR="000B06BC" w:rsidRPr="00806BA4" w:rsidRDefault="000B06BC" w:rsidP="005730CE">
      <w:pPr>
        <w:spacing w:line="360" w:lineRule="auto"/>
        <w:ind w:left="720" w:hanging="720"/>
        <w:jc w:val="both"/>
        <w:rPr>
          <w:shd w:val="clear" w:color="auto" w:fill="FFFFFF"/>
        </w:rPr>
      </w:pPr>
      <w:r w:rsidRPr="00806BA4">
        <w:rPr>
          <w:shd w:val="clear" w:color="auto" w:fill="FFFFFF"/>
        </w:rPr>
        <w:lastRenderedPageBreak/>
        <w:t>Richard, B., 2017. Hotel chains: survival strategies for a dynamic future. </w:t>
      </w:r>
      <w:r w:rsidRPr="00806BA4">
        <w:rPr>
          <w:i/>
          <w:iCs/>
          <w:shd w:val="clear" w:color="auto" w:fill="FFFFFF"/>
        </w:rPr>
        <w:t>Journal of Tourism Futures</w:t>
      </w:r>
      <w:r w:rsidRPr="00806BA4">
        <w:rPr>
          <w:shd w:val="clear" w:color="auto" w:fill="FFFFFF"/>
        </w:rPr>
        <w:t>, </w:t>
      </w:r>
      <w:r w:rsidRPr="00806BA4">
        <w:rPr>
          <w:i/>
          <w:iCs/>
          <w:shd w:val="clear" w:color="auto" w:fill="FFFFFF"/>
        </w:rPr>
        <w:t>3</w:t>
      </w:r>
      <w:r w:rsidRPr="00806BA4">
        <w:rPr>
          <w:shd w:val="clear" w:color="auto" w:fill="FFFFFF"/>
        </w:rPr>
        <w:t>(1), pp.56-65.</w:t>
      </w:r>
    </w:p>
    <w:p w14:paraId="6EDC7236" w14:textId="77777777" w:rsidR="000B06BC" w:rsidRPr="00806BA4" w:rsidRDefault="000B06BC" w:rsidP="005730CE">
      <w:pPr>
        <w:spacing w:line="360" w:lineRule="auto"/>
        <w:ind w:left="720" w:hanging="720"/>
        <w:jc w:val="both"/>
      </w:pPr>
      <w:r w:rsidRPr="00806BA4">
        <w:t xml:space="preserve">Salazar, A. (2018). Hospitality trends: opportunities and challenges. </w:t>
      </w:r>
      <w:r w:rsidRPr="00806BA4">
        <w:rPr>
          <w:i/>
          <w:iCs/>
        </w:rPr>
        <w:t>Worldwide Hospitality and Tourism Themes</w:t>
      </w:r>
      <w:r w:rsidRPr="00806BA4">
        <w:t xml:space="preserve">, 10(6), pp.674–679. </w:t>
      </w:r>
    </w:p>
    <w:p w14:paraId="1A16856B" w14:textId="77777777" w:rsidR="000B06BC" w:rsidRPr="00806BA4" w:rsidRDefault="000B06BC" w:rsidP="005730CE">
      <w:pPr>
        <w:spacing w:line="360" w:lineRule="auto"/>
        <w:ind w:left="720" w:hanging="720"/>
        <w:jc w:val="both"/>
        <w:rPr>
          <w:shd w:val="clear" w:color="auto" w:fill="FFFFFF"/>
        </w:rPr>
      </w:pPr>
      <w:r w:rsidRPr="00806BA4">
        <w:rPr>
          <w:shd w:val="clear" w:color="auto" w:fill="FFFFFF"/>
        </w:rPr>
        <w:t>Santana, M., Valle, R. and Galan, J.L., 2017. Turnaround strategies for companies in crisis: Watch out the causes of decline before firing people. </w:t>
      </w:r>
      <w:r w:rsidRPr="00806BA4">
        <w:rPr>
          <w:i/>
          <w:iCs/>
          <w:shd w:val="clear" w:color="auto" w:fill="FFFFFF"/>
        </w:rPr>
        <w:t>BRQ Business Research Quarterly</w:t>
      </w:r>
      <w:r w:rsidRPr="00806BA4">
        <w:rPr>
          <w:shd w:val="clear" w:color="auto" w:fill="FFFFFF"/>
        </w:rPr>
        <w:t>, </w:t>
      </w:r>
      <w:r w:rsidRPr="00806BA4">
        <w:rPr>
          <w:i/>
          <w:iCs/>
          <w:shd w:val="clear" w:color="auto" w:fill="FFFFFF"/>
        </w:rPr>
        <w:t>20</w:t>
      </w:r>
      <w:r w:rsidRPr="00806BA4">
        <w:rPr>
          <w:shd w:val="clear" w:color="auto" w:fill="FFFFFF"/>
        </w:rPr>
        <w:t>(3), pp.206-211.</w:t>
      </w:r>
    </w:p>
    <w:p w14:paraId="6D0920D3" w14:textId="77777777" w:rsidR="000B06BC" w:rsidRPr="00806BA4" w:rsidRDefault="000B06BC" w:rsidP="005730CE">
      <w:pPr>
        <w:spacing w:line="360" w:lineRule="auto"/>
        <w:ind w:left="720" w:hanging="720"/>
        <w:jc w:val="both"/>
        <w:rPr>
          <w:shd w:val="clear" w:color="auto" w:fill="FFFFFF"/>
        </w:rPr>
      </w:pPr>
      <w:r w:rsidRPr="00806BA4">
        <w:rPr>
          <w:shd w:val="clear" w:color="auto" w:fill="FFFFFF"/>
        </w:rPr>
        <w:t>Surya, P.R.A., Antara, D.M.S., Murni, N.G.N.S. and Sarja, N.L.A.K.Y., 2019. The implementation of e-commerce dynamic rate to generate room revenue. </w:t>
      </w:r>
      <w:r w:rsidRPr="00806BA4">
        <w:rPr>
          <w:i/>
          <w:iCs/>
          <w:shd w:val="clear" w:color="auto" w:fill="FFFFFF"/>
        </w:rPr>
        <w:t>International Journal of Green Tourism Research and Applications</w:t>
      </w:r>
      <w:r w:rsidRPr="00806BA4">
        <w:rPr>
          <w:shd w:val="clear" w:color="auto" w:fill="FFFFFF"/>
        </w:rPr>
        <w:t>, </w:t>
      </w:r>
      <w:r w:rsidRPr="00806BA4">
        <w:rPr>
          <w:i/>
          <w:iCs/>
          <w:shd w:val="clear" w:color="auto" w:fill="FFFFFF"/>
        </w:rPr>
        <w:t>1</w:t>
      </w:r>
      <w:r w:rsidRPr="00806BA4">
        <w:rPr>
          <w:shd w:val="clear" w:color="auto" w:fill="FFFFFF"/>
        </w:rPr>
        <w:t>(1), pp.34-54.</w:t>
      </w:r>
    </w:p>
    <w:p w14:paraId="123D3F62" w14:textId="77777777" w:rsidR="000B06BC" w:rsidRPr="00806BA4" w:rsidRDefault="000B06BC" w:rsidP="005730CE">
      <w:pPr>
        <w:spacing w:line="360" w:lineRule="auto"/>
        <w:ind w:left="720" w:hanging="720"/>
        <w:jc w:val="both"/>
      </w:pPr>
      <w:r w:rsidRPr="00806BA4">
        <w:rPr>
          <w:shd w:val="clear" w:color="auto" w:fill="FFFFFF"/>
        </w:rPr>
        <w:t>Tamburini, G., Bommarco, R., Wanger, T.C., Kremen, C., Van Der Heijden, M.G., Liebman, M. and Hallin, S., 2020. Agricultural diversification promotes multiple ecosystem services without compromising yield. </w:t>
      </w:r>
      <w:r w:rsidRPr="00806BA4">
        <w:rPr>
          <w:i/>
          <w:iCs/>
          <w:shd w:val="clear" w:color="auto" w:fill="FFFFFF"/>
        </w:rPr>
        <w:t>Science advances</w:t>
      </w:r>
      <w:r w:rsidRPr="00806BA4">
        <w:rPr>
          <w:shd w:val="clear" w:color="auto" w:fill="FFFFFF"/>
        </w:rPr>
        <w:t>, </w:t>
      </w:r>
      <w:r w:rsidRPr="00806BA4">
        <w:rPr>
          <w:i/>
          <w:iCs/>
          <w:shd w:val="clear" w:color="auto" w:fill="FFFFFF"/>
        </w:rPr>
        <w:t>6</w:t>
      </w:r>
      <w:r w:rsidRPr="00806BA4">
        <w:rPr>
          <w:shd w:val="clear" w:color="auto" w:fill="FFFFFF"/>
        </w:rPr>
        <w:t>(45), p.eaba1715.</w:t>
      </w:r>
    </w:p>
    <w:p w14:paraId="52B54879" w14:textId="77777777" w:rsidR="000B06BC" w:rsidRPr="00806BA4" w:rsidRDefault="000B06BC" w:rsidP="005730CE">
      <w:pPr>
        <w:spacing w:line="360" w:lineRule="auto"/>
        <w:ind w:left="720" w:hanging="720"/>
        <w:jc w:val="both"/>
      </w:pPr>
      <w:r w:rsidRPr="00806BA4">
        <w:t xml:space="preserve">Teoli, D., Sanvictores, T. and An, J. (2019). </w:t>
      </w:r>
      <w:r w:rsidRPr="00806BA4">
        <w:rPr>
          <w:i/>
          <w:iCs/>
        </w:rPr>
        <w:t>SWOT Analysis</w:t>
      </w:r>
      <w:r w:rsidRPr="00806BA4">
        <w:t>. [online] Europepmc.org. Available at: https://europepmc.org/article/med/30725987.</w:t>
      </w:r>
    </w:p>
    <w:p w14:paraId="0FAA3ACD" w14:textId="77777777" w:rsidR="000B06BC" w:rsidRPr="00806BA4" w:rsidRDefault="000B06BC" w:rsidP="005730CE">
      <w:pPr>
        <w:spacing w:line="360" w:lineRule="auto"/>
        <w:ind w:left="720" w:hanging="720"/>
        <w:jc w:val="both"/>
      </w:pPr>
      <w:r w:rsidRPr="00806BA4">
        <w:rPr>
          <w:shd w:val="clear" w:color="auto" w:fill="FFFFFF"/>
        </w:rPr>
        <w:t>Turkmenoglu, M.A., 2019. Investigating Benefits and Drawbacks of Employee Empowerment in the Sector of Hospitality: A Review. </w:t>
      </w:r>
      <w:r w:rsidRPr="00806BA4">
        <w:rPr>
          <w:i/>
          <w:iCs/>
          <w:shd w:val="clear" w:color="auto" w:fill="FFFFFF"/>
        </w:rPr>
        <w:t>International Research Journal of Business Studies</w:t>
      </w:r>
      <w:r w:rsidRPr="00806BA4">
        <w:rPr>
          <w:shd w:val="clear" w:color="auto" w:fill="FFFFFF"/>
        </w:rPr>
        <w:t>, </w:t>
      </w:r>
      <w:r w:rsidRPr="00806BA4">
        <w:rPr>
          <w:i/>
          <w:iCs/>
          <w:shd w:val="clear" w:color="auto" w:fill="FFFFFF"/>
        </w:rPr>
        <w:t>12</w:t>
      </w:r>
      <w:r w:rsidRPr="00806BA4">
        <w:rPr>
          <w:shd w:val="clear" w:color="auto" w:fill="FFFFFF"/>
        </w:rPr>
        <w:t>(1).</w:t>
      </w:r>
    </w:p>
    <w:p w14:paraId="109E9315" w14:textId="77777777" w:rsidR="000B06BC" w:rsidRPr="00806BA4" w:rsidRDefault="000B06BC" w:rsidP="005730CE">
      <w:pPr>
        <w:spacing w:line="360" w:lineRule="auto"/>
        <w:ind w:left="720" w:hanging="720"/>
        <w:jc w:val="both"/>
      </w:pPr>
      <w:r w:rsidRPr="00806BA4">
        <w:rPr>
          <w:shd w:val="clear" w:color="auto" w:fill="FFFFFF"/>
        </w:rPr>
        <w:t>Weygandt, J.J., Kimmel, P.D. and Kieso, D.E., 2018. </w:t>
      </w:r>
      <w:r w:rsidRPr="00806BA4">
        <w:rPr>
          <w:i/>
          <w:iCs/>
          <w:shd w:val="clear" w:color="auto" w:fill="FFFFFF"/>
        </w:rPr>
        <w:t>Financial accounting with international financial reporting standards</w:t>
      </w:r>
      <w:r w:rsidRPr="00806BA4">
        <w:rPr>
          <w:shd w:val="clear" w:color="auto" w:fill="FFFFFF"/>
        </w:rPr>
        <w:t>. John Wiley &amp; Sons.</w:t>
      </w:r>
    </w:p>
    <w:p w14:paraId="2E7D407B" w14:textId="77777777" w:rsidR="000B06BC" w:rsidRPr="00806BA4" w:rsidRDefault="000B06BC" w:rsidP="005730CE">
      <w:pPr>
        <w:spacing w:line="360" w:lineRule="auto"/>
        <w:ind w:left="720" w:hanging="720"/>
        <w:jc w:val="both"/>
      </w:pPr>
      <w:r w:rsidRPr="00806BA4">
        <w:t xml:space="preserve">Yang, Y. and Mao, Z. (2020). Location advantages of lodging properties: A comparison between hotels and Airbnb units in an urban environment. </w:t>
      </w:r>
      <w:r w:rsidRPr="00806BA4">
        <w:rPr>
          <w:i/>
          <w:iCs/>
        </w:rPr>
        <w:t>Annals of Tourism Research</w:t>
      </w:r>
      <w:r w:rsidRPr="00806BA4">
        <w:t xml:space="preserve">, 81, p.102861. </w:t>
      </w:r>
    </w:p>
    <w:sectPr w:rsidR="000B06BC" w:rsidRPr="00806BA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D6351"/>
    <w:multiLevelType w:val="hybridMultilevel"/>
    <w:tmpl w:val="AD74E012"/>
    <w:lvl w:ilvl="0" w:tplc="C8CA711C">
      <w:start w:val="1"/>
      <w:numFmt w:val="bullet"/>
      <w:lvlText w:val=""/>
      <w:lvlJc w:val="left"/>
      <w:pPr>
        <w:ind w:left="720" w:hanging="360"/>
      </w:pPr>
      <w:rPr>
        <w:rFonts w:ascii="Symbol" w:hAnsi="Symbol" w:hint="default"/>
      </w:rPr>
    </w:lvl>
    <w:lvl w:ilvl="1" w:tplc="B6E03D84" w:tentative="1">
      <w:start w:val="1"/>
      <w:numFmt w:val="bullet"/>
      <w:lvlText w:val="o"/>
      <w:lvlJc w:val="left"/>
      <w:pPr>
        <w:ind w:left="1440" w:hanging="360"/>
      </w:pPr>
      <w:rPr>
        <w:rFonts w:ascii="Courier New" w:hAnsi="Courier New" w:cs="Courier New" w:hint="default"/>
      </w:rPr>
    </w:lvl>
    <w:lvl w:ilvl="2" w:tplc="5324F27E" w:tentative="1">
      <w:start w:val="1"/>
      <w:numFmt w:val="bullet"/>
      <w:lvlText w:val=""/>
      <w:lvlJc w:val="left"/>
      <w:pPr>
        <w:ind w:left="2160" w:hanging="360"/>
      </w:pPr>
      <w:rPr>
        <w:rFonts w:ascii="Wingdings" w:hAnsi="Wingdings" w:hint="default"/>
      </w:rPr>
    </w:lvl>
    <w:lvl w:ilvl="3" w:tplc="7D56E492" w:tentative="1">
      <w:start w:val="1"/>
      <w:numFmt w:val="bullet"/>
      <w:lvlText w:val=""/>
      <w:lvlJc w:val="left"/>
      <w:pPr>
        <w:ind w:left="2880" w:hanging="360"/>
      </w:pPr>
      <w:rPr>
        <w:rFonts w:ascii="Symbol" w:hAnsi="Symbol" w:hint="default"/>
      </w:rPr>
    </w:lvl>
    <w:lvl w:ilvl="4" w:tplc="416C60E8" w:tentative="1">
      <w:start w:val="1"/>
      <w:numFmt w:val="bullet"/>
      <w:lvlText w:val="o"/>
      <w:lvlJc w:val="left"/>
      <w:pPr>
        <w:ind w:left="3600" w:hanging="360"/>
      </w:pPr>
      <w:rPr>
        <w:rFonts w:ascii="Courier New" w:hAnsi="Courier New" w:cs="Courier New" w:hint="default"/>
      </w:rPr>
    </w:lvl>
    <w:lvl w:ilvl="5" w:tplc="1186870E" w:tentative="1">
      <w:start w:val="1"/>
      <w:numFmt w:val="bullet"/>
      <w:lvlText w:val=""/>
      <w:lvlJc w:val="left"/>
      <w:pPr>
        <w:ind w:left="4320" w:hanging="360"/>
      </w:pPr>
      <w:rPr>
        <w:rFonts w:ascii="Wingdings" w:hAnsi="Wingdings" w:hint="default"/>
      </w:rPr>
    </w:lvl>
    <w:lvl w:ilvl="6" w:tplc="990A7AEA" w:tentative="1">
      <w:start w:val="1"/>
      <w:numFmt w:val="bullet"/>
      <w:lvlText w:val=""/>
      <w:lvlJc w:val="left"/>
      <w:pPr>
        <w:ind w:left="5040" w:hanging="360"/>
      </w:pPr>
      <w:rPr>
        <w:rFonts w:ascii="Symbol" w:hAnsi="Symbol" w:hint="default"/>
      </w:rPr>
    </w:lvl>
    <w:lvl w:ilvl="7" w:tplc="FAA8B7F4" w:tentative="1">
      <w:start w:val="1"/>
      <w:numFmt w:val="bullet"/>
      <w:lvlText w:val="o"/>
      <w:lvlJc w:val="left"/>
      <w:pPr>
        <w:ind w:left="5760" w:hanging="360"/>
      </w:pPr>
      <w:rPr>
        <w:rFonts w:ascii="Courier New" w:hAnsi="Courier New" w:cs="Courier New" w:hint="default"/>
      </w:rPr>
    </w:lvl>
    <w:lvl w:ilvl="8" w:tplc="8FCAD36C" w:tentative="1">
      <w:start w:val="1"/>
      <w:numFmt w:val="bullet"/>
      <w:lvlText w:val=""/>
      <w:lvlJc w:val="left"/>
      <w:pPr>
        <w:ind w:left="6480" w:hanging="360"/>
      </w:pPr>
      <w:rPr>
        <w:rFonts w:ascii="Wingdings" w:hAnsi="Wingdings" w:hint="default"/>
      </w:rPr>
    </w:lvl>
  </w:abstractNum>
  <w:abstractNum w:abstractNumId="1" w15:restartNumberingAfterBreak="0">
    <w:nsid w:val="13EA2B2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C725E34"/>
    <w:multiLevelType w:val="hybridMultilevel"/>
    <w:tmpl w:val="8F7290F8"/>
    <w:lvl w:ilvl="0" w:tplc="8ED406E6">
      <w:start w:val="1"/>
      <w:numFmt w:val="bullet"/>
      <w:lvlText w:val=""/>
      <w:lvlJc w:val="left"/>
      <w:pPr>
        <w:ind w:left="780" w:hanging="360"/>
      </w:pPr>
      <w:rPr>
        <w:rFonts w:ascii="Symbol" w:hAnsi="Symbol" w:hint="default"/>
      </w:rPr>
    </w:lvl>
    <w:lvl w:ilvl="1" w:tplc="F19481CC" w:tentative="1">
      <w:start w:val="1"/>
      <w:numFmt w:val="bullet"/>
      <w:lvlText w:val="o"/>
      <w:lvlJc w:val="left"/>
      <w:pPr>
        <w:ind w:left="1500" w:hanging="360"/>
      </w:pPr>
      <w:rPr>
        <w:rFonts w:ascii="Courier New" w:hAnsi="Courier New" w:cs="Courier New" w:hint="default"/>
      </w:rPr>
    </w:lvl>
    <w:lvl w:ilvl="2" w:tplc="020499CA" w:tentative="1">
      <w:start w:val="1"/>
      <w:numFmt w:val="bullet"/>
      <w:lvlText w:val=""/>
      <w:lvlJc w:val="left"/>
      <w:pPr>
        <w:ind w:left="2220" w:hanging="360"/>
      </w:pPr>
      <w:rPr>
        <w:rFonts w:ascii="Wingdings" w:hAnsi="Wingdings" w:hint="default"/>
      </w:rPr>
    </w:lvl>
    <w:lvl w:ilvl="3" w:tplc="424A93A2" w:tentative="1">
      <w:start w:val="1"/>
      <w:numFmt w:val="bullet"/>
      <w:lvlText w:val=""/>
      <w:lvlJc w:val="left"/>
      <w:pPr>
        <w:ind w:left="2940" w:hanging="360"/>
      </w:pPr>
      <w:rPr>
        <w:rFonts w:ascii="Symbol" w:hAnsi="Symbol" w:hint="default"/>
      </w:rPr>
    </w:lvl>
    <w:lvl w:ilvl="4" w:tplc="2DD83742" w:tentative="1">
      <w:start w:val="1"/>
      <w:numFmt w:val="bullet"/>
      <w:lvlText w:val="o"/>
      <w:lvlJc w:val="left"/>
      <w:pPr>
        <w:ind w:left="3660" w:hanging="360"/>
      </w:pPr>
      <w:rPr>
        <w:rFonts w:ascii="Courier New" w:hAnsi="Courier New" w:cs="Courier New" w:hint="default"/>
      </w:rPr>
    </w:lvl>
    <w:lvl w:ilvl="5" w:tplc="578C1AF6" w:tentative="1">
      <w:start w:val="1"/>
      <w:numFmt w:val="bullet"/>
      <w:lvlText w:val=""/>
      <w:lvlJc w:val="left"/>
      <w:pPr>
        <w:ind w:left="4380" w:hanging="360"/>
      </w:pPr>
      <w:rPr>
        <w:rFonts w:ascii="Wingdings" w:hAnsi="Wingdings" w:hint="default"/>
      </w:rPr>
    </w:lvl>
    <w:lvl w:ilvl="6" w:tplc="943C5904" w:tentative="1">
      <w:start w:val="1"/>
      <w:numFmt w:val="bullet"/>
      <w:lvlText w:val=""/>
      <w:lvlJc w:val="left"/>
      <w:pPr>
        <w:ind w:left="5100" w:hanging="360"/>
      </w:pPr>
      <w:rPr>
        <w:rFonts w:ascii="Symbol" w:hAnsi="Symbol" w:hint="default"/>
      </w:rPr>
    </w:lvl>
    <w:lvl w:ilvl="7" w:tplc="7E76E3EE" w:tentative="1">
      <w:start w:val="1"/>
      <w:numFmt w:val="bullet"/>
      <w:lvlText w:val="o"/>
      <w:lvlJc w:val="left"/>
      <w:pPr>
        <w:ind w:left="5820" w:hanging="360"/>
      </w:pPr>
      <w:rPr>
        <w:rFonts w:ascii="Courier New" w:hAnsi="Courier New" w:cs="Courier New" w:hint="default"/>
      </w:rPr>
    </w:lvl>
    <w:lvl w:ilvl="8" w:tplc="B3CC203A" w:tentative="1">
      <w:start w:val="1"/>
      <w:numFmt w:val="bullet"/>
      <w:lvlText w:val=""/>
      <w:lvlJc w:val="left"/>
      <w:pPr>
        <w:ind w:left="6540" w:hanging="360"/>
      </w:pPr>
      <w:rPr>
        <w:rFonts w:ascii="Wingdings" w:hAnsi="Wingdings" w:hint="default"/>
      </w:rPr>
    </w:lvl>
  </w:abstractNum>
  <w:abstractNum w:abstractNumId="3" w15:restartNumberingAfterBreak="0">
    <w:nsid w:val="38D342F0"/>
    <w:multiLevelType w:val="hybridMultilevel"/>
    <w:tmpl w:val="AC34F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C85A81"/>
    <w:multiLevelType w:val="hybridMultilevel"/>
    <w:tmpl w:val="484029AE"/>
    <w:lvl w:ilvl="0" w:tplc="F4D2D1DC">
      <w:start w:val="1"/>
      <w:numFmt w:val="bullet"/>
      <w:lvlText w:val=""/>
      <w:lvlJc w:val="left"/>
      <w:pPr>
        <w:ind w:left="720" w:hanging="360"/>
      </w:pPr>
      <w:rPr>
        <w:rFonts w:ascii="Symbol" w:hAnsi="Symbol" w:hint="default"/>
      </w:rPr>
    </w:lvl>
    <w:lvl w:ilvl="1" w:tplc="A62A43D4" w:tentative="1">
      <w:start w:val="1"/>
      <w:numFmt w:val="bullet"/>
      <w:lvlText w:val="o"/>
      <w:lvlJc w:val="left"/>
      <w:pPr>
        <w:ind w:left="1440" w:hanging="360"/>
      </w:pPr>
      <w:rPr>
        <w:rFonts w:ascii="Courier New" w:hAnsi="Courier New" w:cs="Courier New" w:hint="default"/>
      </w:rPr>
    </w:lvl>
    <w:lvl w:ilvl="2" w:tplc="79B8F450" w:tentative="1">
      <w:start w:val="1"/>
      <w:numFmt w:val="bullet"/>
      <w:lvlText w:val=""/>
      <w:lvlJc w:val="left"/>
      <w:pPr>
        <w:ind w:left="2160" w:hanging="360"/>
      </w:pPr>
      <w:rPr>
        <w:rFonts w:ascii="Wingdings" w:hAnsi="Wingdings" w:hint="default"/>
      </w:rPr>
    </w:lvl>
    <w:lvl w:ilvl="3" w:tplc="4F92F676" w:tentative="1">
      <w:start w:val="1"/>
      <w:numFmt w:val="bullet"/>
      <w:lvlText w:val=""/>
      <w:lvlJc w:val="left"/>
      <w:pPr>
        <w:ind w:left="2880" w:hanging="360"/>
      </w:pPr>
      <w:rPr>
        <w:rFonts w:ascii="Symbol" w:hAnsi="Symbol" w:hint="default"/>
      </w:rPr>
    </w:lvl>
    <w:lvl w:ilvl="4" w:tplc="BBE48EEC" w:tentative="1">
      <w:start w:val="1"/>
      <w:numFmt w:val="bullet"/>
      <w:lvlText w:val="o"/>
      <w:lvlJc w:val="left"/>
      <w:pPr>
        <w:ind w:left="3600" w:hanging="360"/>
      </w:pPr>
      <w:rPr>
        <w:rFonts w:ascii="Courier New" w:hAnsi="Courier New" w:cs="Courier New" w:hint="default"/>
      </w:rPr>
    </w:lvl>
    <w:lvl w:ilvl="5" w:tplc="929C181E" w:tentative="1">
      <w:start w:val="1"/>
      <w:numFmt w:val="bullet"/>
      <w:lvlText w:val=""/>
      <w:lvlJc w:val="left"/>
      <w:pPr>
        <w:ind w:left="4320" w:hanging="360"/>
      </w:pPr>
      <w:rPr>
        <w:rFonts w:ascii="Wingdings" w:hAnsi="Wingdings" w:hint="default"/>
      </w:rPr>
    </w:lvl>
    <w:lvl w:ilvl="6" w:tplc="7EA4C26C" w:tentative="1">
      <w:start w:val="1"/>
      <w:numFmt w:val="bullet"/>
      <w:lvlText w:val=""/>
      <w:lvlJc w:val="left"/>
      <w:pPr>
        <w:ind w:left="5040" w:hanging="360"/>
      </w:pPr>
      <w:rPr>
        <w:rFonts w:ascii="Symbol" w:hAnsi="Symbol" w:hint="default"/>
      </w:rPr>
    </w:lvl>
    <w:lvl w:ilvl="7" w:tplc="5628C70A" w:tentative="1">
      <w:start w:val="1"/>
      <w:numFmt w:val="bullet"/>
      <w:lvlText w:val="o"/>
      <w:lvlJc w:val="left"/>
      <w:pPr>
        <w:ind w:left="5760" w:hanging="360"/>
      </w:pPr>
      <w:rPr>
        <w:rFonts w:ascii="Courier New" w:hAnsi="Courier New" w:cs="Courier New" w:hint="default"/>
      </w:rPr>
    </w:lvl>
    <w:lvl w:ilvl="8" w:tplc="5AF86CAE" w:tentative="1">
      <w:start w:val="1"/>
      <w:numFmt w:val="bullet"/>
      <w:lvlText w:val=""/>
      <w:lvlJc w:val="left"/>
      <w:pPr>
        <w:ind w:left="6480" w:hanging="360"/>
      </w:pPr>
      <w:rPr>
        <w:rFonts w:ascii="Wingdings" w:hAnsi="Wingdings" w:hint="default"/>
      </w:rPr>
    </w:lvl>
  </w:abstractNum>
  <w:abstractNum w:abstractNumId="5" w15:restartNumberingAfterBreak="0">
    <w:nsid w:val="55917674"/>
    <w:multiLevelType w:val="multilevel"/>
    <w:tmpl w:val="F14A2A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A2D0A00"/>
    <w:multiLevelType w:val="hybridMultilevel"/>
    <w:tmpl w:val="8766E568"/>
    <w:lvl w:ilvl="0" w:tplc="32DA3C26">
      <w:start w:val="1"/>
      <w:numFmt w:val="bullet"/>
      <w:lvlText w:val=""/>
      <w:lvlJc w:val="left"/>
      <w:pPr>
        <w:ind w:left="720" w:hanging="360"/>
      </w:pPr>
      <w:rPr>
        <w:rFonts w:ascii="Symbol" w:hAnsi="Symbol" w:hint="default"/>
      </w:rPr>
    </w:lvl>
    <w:lvl w:ilvl="1" w:tplc="D6CA8A5E" w:tentative="1">
      <w:start w:val="1"/>
      <w:numFmt w:val="bullet"/>
      <w:lvlText w:val="o"/>
      <w:lvlJc w:val="left"/>
      <w:pPr>
        <w:ind w:left="1440" w:hanging="360"/>
      </w:pPr>
      <w:rPr>
        <w:rFonts w:ascii="Courier New" w:hAnsi="Courier New" w:cs="Courier New" w:hint="default"/>
      </w:rPr>
    </w:lvl>
    <w:lvl w:ilvl="2" w:tplc="CC2AE21C" w:tentative="1">
      <w:start w:val="1"/>
      <w:numFmt w:val="bullet"/>
      <w:lvlText w:val=""/>
      <w:lvlJc w:val="left"/>
      <w:pPr>
        <w:ind w:left="2160" w:hanging="360"/>
      </w:pPr>
      <w:rPr>
        <w:rFonts w:ascii="Wingdings" w:hAnsi="Wingdings" w:hint="default"/>
      </w:rPr>
    </w:lvl>
    <w:lvl w:ilvl="3" w:tplc="EBDE54C6" w:tentative="1">
      <w:start w:val="1"/>
      <w:numFmt w:val="bullet"/>
      <w:lvlText w:val=""/>
      <w:lvlJc w:val="left"/>
      <w:pPr>
        <w:ind w:left="2880" w:hanging="360"/>
      </w:pPr>
      <w:rPr>
        <w:rFonts w:ascii="Symbol" w:hAnsi="Symbol" w:hint="default"/>
      </w:rPr>
    </w:lvl>
    <w:lvl w:ilvl="4" w:tplc="8FAE96AC" w:tentative="1">
      <w:start w:val="1"/>
      <w:numFmt w:val="bullet"/>
      <w:lvlText w:val="o"/>
      <w:lvlJc w:val="left"/>
      <w:pPr>
        <w:ind w:left="3600" w:hanging="360"/>
      </w:pPr>
      <w:rPr>
        <w:rFonts w:ascii="Courier New" w:hAnsi="Courier New" w:cs="Courier New" w:hint="default"/>
      </w:rPr>
    </w:lvl>
    <w:lvl w:ilvl="5" w:tplc="F16C3B6C" w:tentative="1">
      <w:start w:val="1"/>
      <w:numFmt w:val="bullet"/>
      <w:lvlText w:val=""/>
      <w:lvlJc w:val="left"/>
      <w:pPr>
        <w:ind w:left="4320" w:hanging="360"/>
      </w:pPr>
      <w:rPr>
        <w:rFonts w:ascii="Wingdings" w:hAnsi="Wingdings" w:hint="default"/>
      </w:rPr>
    </w:lvl>
    <w:lvl w:ilvl="6" w:tplc="15D88850" w:tentative="1">
      <w:start w:val="1"/>
      <w:numFmt w:val="bullet"/>
      <w:lvlText w:val=""/>
      <w:lvlJc w:val="left"/>
      <w:pPr>
        <w:ind w:left="5040" w:hanging="360"/>
      </w:pPr>
      <w:rPr>
        <w:rFonts w:ascii="Symbol" w:hAnsi="Symbol" w:hint="default"/>
      </w:rPr>
    </w:lvl>
    <w:lvl w:ilvl="7" w:tplc="D70ED39A" w:tentative="1">
      <w:start w:val="1"/>
      <w:numFmt w:val="bullet"/>
      <w:lvlText w:val="o"/>
      <w:lvlJc w:val="left"/>
      <w:pPr>
        <w:ind w:left="5760" w:hanging="360"/>
      </w:pPr>
      <w:rPr>
        <w:rFonts w:ascii="Courier New" w:hAnsi="Courier New" w:cs="Courier New" w:hint="default"/>
      </w:rPr>
    </w:lvl>
    <w:lvl w:ilvl="8" w:tplc="3EA2470C" w:tentative="1">
      <w:start w:val="1"/>
      <w:numFmt w:val="bullet"/>
      <w:lvlText w:val=""/>
      <w:lvlJc w:val="left"/>
      <w:pPr>
        <w:ind w:left="6480" w:hanging="360"/>
      </w:pPr>
      <w:rPr>
        <w:rFonts w:ascii="Wingdings" w:hAnsi="Wingdings" w:hint="default"/>
      </w:rPr>
    </w:lvl>
  </w:abstractNum>
  <w:num w:numId="1" w16cid:durableId="930742285">
    <w:abstractNumId w:val="1"/>
  </w:num>
  <w:num w:numId="2" w16cid:durableId="71515252">
    <w:abstractNumId w:val="2"/>
  </w:num>
  <w:num w:numId="3" w16cid:durableId="435057982">
    <w:abstractNumId w:val="6"/>
  </w:num>
  <w:num w:numId="4" w16cid:durableId="740979336">
    <w:abstractNumId w:val="0"/>
  </w:num>
  <w:num w:numId="5" w16cid:durableId="258877917">
    <w:abstractNumId w:val="4"/>
  </w:num>
  <w:num w:numId="6" w16cid:durableId="2079161191">
    <w:abstractNumId w:val="5"/>
  </w:num>
  <w:num w:numId="7" w16cid:durableId="19400654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30A9"/>
    <w:rsid w:val="00095E68"/>
    <w:rsid w:val="000B06BC"/>
    <w:rsid w:val="000E245E"/>
    <w:rsid w:val="00141ABF"/>
    <w:rsid w:val="00155B31"/>
    <w:rsid w:val="001703AB"/>
    <w:rsid w:val="00291282"/>
    <w:rsid w:val="002977D9"/>
    <w:rsid w:val="003A4203"/>
    <w:rsid w:val="00415E6E"/>
    <w:rsid w:val="004232F2"/>
    <w:rsid w:val="004425C4"/>
    <w:rsid w:val="005730CE"/>
    <w:rsid w:val="005825C4"/>
    <w:rsid w:val="006662A3"/>
    <w:rsid w:val="006930A9"/>
    <w:rsid w:val="007E4530"/>
    <w:rsid w:val="00806BA4"/>
    <w:rsid w:val="008318A6"/>
    <w:rsid w:val="008A5A3A"/>
    <w:rsid w:val="0092175E"/>
    <w:rsid w:val="009B5BD6"/>
    <w:rsid w:val="00A30BA3"/>
    <w:rsid w:val="00A72E20"/>
    <w:rsid w:val="00C762AF"/>
    <w:rsid w:val="00CB217A"/>
    <w:rsid w:val="00D02F29"/>
    <w:rsid w:val="00D202BA"/>
    <w:rsid w:val="00EC0C76"/>
    <w:rsid w:val="00F7243E"/>
    <w:rsid w:val="00FF1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CD253D"/>
  <w15:chartTrackingRefBased/>
  <w15:docId w15:val="{A28FB4F5-2406-451C-9926-6AF8DF9F0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2BA"/>
    <w:rPr>
      <w:rFonts w:ascii="Times New Roman" w:hAnsi="Times New Roman"/>
      <w:sz w:val="24"/>
    </w:rPr>
  </w:style>
  <w:style w:type="paragraph" w:styleId="Heading1">
    <w:name w:val="heading 1"/>
    <w:basedOn w:val="Normal"/>
    <w:next w:val="Normal"/>
    <w:link w:val="Heading1Char"/>
    <w:uiPriority w:val="9"/>
    <w:qFormat/>
    <w:rsid w:val="00D202BA"/>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202BA"/>
    <w:pPr>
      <w:keepNext/>
      <w:keepLines/>
      <w:numPr>
        <w:ilvl w:val="1"/>
        <w:numId w:val="1"/>
      </w:numPr>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A72E20"/>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A72E2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72E2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72E2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72E2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72E2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72E2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2B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202BA"/>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A72E2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72E2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72E2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72E2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72E2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72E2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72E20"/>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41ABF"/>
    <w:pPr>
      <w:ind w:left="720"/>
      <w:contextualSpacing/>
    </w:pPr>
  </w:style>
  <w:style w:type="paragraph" w:styleId="NormalWeb">
    <w:name w:val="Normal (Web)"/>
    <w:basedOn w:val="Normal"/>
    <w:uiPriority w:val="99"/>
    <w:semiHidden/>
    <w:unhideWhenUsed/>
    <w:rsid w:val="009B5BD6"/>
    <w:rPr>
      <w:rFonts w:cs="Times New Roman"/>
      <w:szCs w:val="24"/>
    </w:rPr>
  </w:style>
  <w:style w:type="paragraph" w:styleId="TOCHeading">
    <w:name w:val="TOC Heading"/>
    <w:basedOn w:val="Heading1"/>
    <w:next w:val="Normal"/>
    <w:uiPriority w:val="39"/>
    <w:unhideWhenUsed/>
    <w:qFormat/>
    <w:rsid w:val="009B5BD6"/>
    <w:pPr>
      <w:numPr>
        <w:numId w:val="0"/>
      </w:numPr>
      <w:outlineLvl w:val="9"/>
    </w:pPr>
  </w:style>
  <w:style w:type="paragraph" w:styleId="TOC1">
    <w:name w:val="toc 1"/>
    <w:basedOn w:val="Normal"/>
    <w:next w:val="Normal"/>
    <w:autoRedefine/>
    <w:uiPriority w:val="39"/>
    <w:unhideWhenUsed/>
    <w:rsid w:val="009B5BD6"/>
    <w:pPr>
      <w:spacing w:after="100"/>
    </w:pPr>
  </w:style>
  <w:style w:type="paragraph" w:styleId="TOC2">
    <w:name w:val="toc 2"/>
    <w:basedOn w:val="Normal"/>
    <w:next w:val="Normal"/>
    <w:autoRedefine/>
    <w:uiPriority w:val="39"/>
    <w:unhideWhenUsed/>
    <w:rsid w:val="009B5BD6"/>
    <w:pPr>
      <w:spacing w:after="100"/>
      <w:ind w:left="220"/>
    </w:pPr>
  </w:style>
  <w:style w:type="character" w:styleId="Hyperlink">
    <w:name w:val="Hyperlink"/>
    <w:basedOn w:val="DefaultParagraphFont"/>
    <w:uiPriority w:val="99"/>
    <w:unhideWhenUsed/>
    <w:rsid w:val="009B5BD6"/>
    <w:rPr>
      <w:color w:val="0563C1" w:themeColor="hyperlink"/>
      <w:u w:val="single"/>
    </w:rPr>
  </w:style>
  <w:style w:type="table" w:styleId="TableGrid">
    <w:name w:val="Table Grid"/>
    <w:basedOn w:val="TableNormal"/>
    <w:uiPriority w:val="39"/>
    <w:rsid w:val="00FF1B82"/>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496428">
      <w:bodyDiv w:val="1"/>
      <w:marLeft w:val="0"/>
      <w:marRight w:val="0"/>
      <w:marTop w:val="0"/>
      <w:marBottom w:val="0"/>
      <w:divBdr>
        <w:top w:val="none" w:sz="0" w:space="0" w:color="auto"/>
        <w:left w:val="none" w:sz="0" w:space="0" w:color="auto"/>
        <w:bottom w:val="none" w:sz="0" w:space="0" w:color="auto"/>
        <w:right w:val="none" w:sz="0" w:space="0" w:color="auto"/>
      </w:divBdr>
      <w:divsChild>
        <w:div w:id="451781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8DFD8-F923-4D8B-A17D-721C80B49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2788</Words>
  <Characters>15894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Silviu Will</cp:lastModifiedBy>
  <cp:revision>12</cp:revision>
  <dcterms:created xsi:type="dcterms:W3CDTF">2024-02-23T08:06:00Z</dcterms:created>
  <dcterms:modified xsi:type="dcterms:W3CDTF">2024-02-27T19:38:00Z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30cfbc30c080adcce14efddc6627fb6039c97589b1642ba080b47fae241b3100</vt:lpwstr>
  </property>
</Properties>
</file>