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27C66678"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550FCF">
              <w:rPr>
                <w:rFonts w:ascii="Times New Roman" w:hAnsi="Times New Roman" w:cs="Times New Roman"/>
                <w:b/>
                <w:color w:val="auto"/>
                <w:sz w:val="48"/>
              </w:rPr>
              <w:t>Richard Saunders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2A33E91"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550FCF">
              <w:rPr>
                <w:rFonts w:ascii="Times New Roman" w:hAnsi="Times New Roman" w:cs="Times New Roman"/>
                <w:b/>
                <w:color w:val="auto"/>
                <w:sz w:val="48"/>
              </w:rPr>
              <w:t xml:space="preserve"> Saunders45@icloud.com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4F589240"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550FCF">
              <w:rPr>
                <w:rFonts w:ascii="Times New Roman" w:hAnsi="Times New Roman" w:cs="Times New Roman"/>
                <w:b/>
                <w:color w:val="auto"/>
                <w:sz w:val="48"/>
              </w:rPr>
              <w:t xml:space="preserve"> </w:t>
            </w:r>
            <w:r w:rsidR="00550FCF" w:rsidRPr="00550FCF">
              <w:rPr>
                <w:rFonts w:ascii="Times New Roman" w:hAnsi="Times New Roman" w:cs="Times New Roman"/>
                <w:b/>
                <w:bCs/>
                <w:sz w:val="32"/>
                <w:szCs w:val="32"/>
              </w:rPr>
              <w:t>2116869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15A142C8" w14:textId="77777777" w:rsidR="006827E9" w:rsidRDefault="006827E9" w:rsidP="006827E9">
            <w:pPr>
              <w:jc w:val="both"/>
              <w:rPr>
                <w:sz w:val="24"/>
                <w:szCs w:val="24"/>
              </w:rPr>
            </w:pPr>
            <w:r w:rsidRPr="006827E9">
              <w:rPr>
                <w:sz w:val="24"/>
                <w:szCs w:val="24"/>
              </w:rPr>
              <w:t>500 words (+/- 10%: include your actual word count at the end of each section).</w:t>
            </w:r>
          </w:p>
          <w:p w14:paraId="7E4270D1" w14:textId="77777777" w:rsidR="006827E9" w:rsidRDefault="006827E9" w:rsidP="006827E9">
            <w:pPr>
              <w:jc w:val="both"/>
              <w:rPr>
                <w:sz w:val="24"/>
                <w:szCs w:val="24"/>
              </w:rPr>
            </w:pPr>
          </w:p>
          <w:p w14:paraId="52446783" w14:textId="5B664A6F" w:rsidR="006827E9" w:rsidRPr="006827E9" w:rsidRDefault="006827E9" w:rsidP="006827E9">
            <w:pPr>
              <w:jc w:val="both"/>
              <w:rPr>
                <w:sz w:val="24"/>
                <w:szCs w:val="24"/>
              </w:rPr>
            </w:pPr>
            <w:r w:rsidRPr="006827E9">
              <w:rPr>
                <w:sz w:val="24"/>
                <w:szCs w:val="24"/>
              </w:rPr>
              <w:t xml:space="preserve">The key legislation and organisational policies and procedures for safeguarding children in Wales provide a framework for how practitioners practice. Health and social care workers are guided by legislation which in turn informs the policies and procedures within local authorities. For the purposes of this question, I have chosen a few to explore a few. </w:t>
            </w:r>
          </w:p>
          <w:p w14:paraId="2543E0E3" w14:textId="77777777" w:rsidR="006827E9" w:rsidRPr="006827E9" w:rsidRDefault="006827E9" w:rsidP="006827E9">
            <w:pPr>
              <w:jc w:val="both"/>
              <w:rPr>
                <w:sz w:val="24"/>
                <w:szCs w:val="24"/>
              </w:rPr>
            </w:pPr>
            <w:r w:rsidRPr="006827E9">
              <w:rPr>
                <w:sz w:val="24"/>
                <w:szCs w:val="24"/>
              </w:rPr>
              <w:t xml:space="preserve">The Children Act (1989) grants the local authority a power to assess the needs of a child within its constituency where there are concerns around safeguarding. Where there are immediate concerns for the safety and wellbeing of a child, the local authority can override parental responsibility in order to protect children’s rights. In s.3 of this Act ‘parental responsibility’ is defines the ‘rights, duties, powers, responsibilities and authority which by law a parent of a child has in relation to the child and his property’ (CA, 1989, s.3 (1)). Social work intervention can be necessary where concerns have been raised regarding the treatment of a child. </w:t>
            </w:r>
          </w:p>
          <w:p w14:paraId="38172534" w14:textId="77777777" w:rsidR="006827E9" w:rsidRPr="006827E9" w:rsidRDefault="006827E9" w:rsidP="006827E9">
            <w:pPr>
              <w:jc w:val="both"/>
              <w:rPr>
                <w:sz w:val="24"/>
                <w:szCs w:val="24"/>
              </w:rPr>
            </w:pPr>
            <w:r w:rsidRPr="006827E9">
              <w:rPr>
                <w:sz w:val="24"/>
                <w:szCs w:val="24"/>
              </w:rPr>
              <w:t>Health and social care professionals have a duty to report any instances where they feel there are safeguarding concerns. The legislation provides a power to act on behalf of the local authority to assess the needs of a child with a view to uphold the rights of the child and to safeguard the child from potential harm. The CA (1989) offers an early definition of what is considered ‘harm’ to mean the ill treatment or impairment of health or development of a child.</w:t>
            </w:r>
          </w:p>
          <w:p w14:paraId="6AFB1354" w14:textId="77777777" w:rsidR="006827E9" w:rsidRPr="006827E9" w:rsidRDefault="006827E9" w:rsidP="006827E9">
            <w:pPr>
              <w:jc w:val="both"/>
              <w:rPr>
                <w:sz w:val="24"/>
                <w:szCs w:val="24"/>
              </w:rPr>
            </w:pPr>
            <w:r w:rsidRPr="006827E9">
              <w:rPr>
                <w:sz w:val="24"/>
                <w:szCs w:val="24"/>
              </w:rPr>
              <w:t xml:space="preserve">There are some situations which require and immediate response in order to safeguard a child at risk of significant harm. s.43 of The Children Act (1989) stipulates; ‘On the application of a local authority or authorised person for an order to be made under this section with respect to a child, the court may make the order if it is satisfied that the applicant has reasonable cause to suspect that the child is suffering, or is likely to suffer, significant harm.’ After which an assessment of child’s health and/or development, or of the way in which they are being treated, will take place to discover if this is the case. (CA, 1989, s.1 (1)). This Act was revised in 2004 following a serious case review inquiry completed by Lord Lamming into the murder of Victoria </w:t>
            </w:r>
            <w:proofErr w:type="spellStart"/>
            <w:r w:rsidRPr="006827E9">
              <w:rPr>
                <w:sz w:val="24"/>
                <w:szCs w:val="24"/>
              </w:rPr>
              <w:t>Climbié</w:t>
            </w:r>
            <w:proofErr w:type="spellEnd"/>
            <w:r w:rsidRPr="006827E9">
              <w:rPr>
                <w:sz w:val="24"/>
                <w:szCs w:val="24"/>
              </w:rPr>
              <w:t xml:space="preserve">. The Children Act (2004) outlined a number of key changes to the child protection framework and additional definitions emerged. </w:t>
            </w:r>
          </w:p>
          <w:p w14:paraId="3D217CBF" w14:textId="77777777" w:rsidR="006827E9" w:rsidRPr="006827E9" w:rsidRDefault="006827E9" w:rsidP="006827E9">
            <w:pPr>
              <w:jc w:val="both"/>
              <w:rPr>
                <w:sz w:val="24"/>
                <w:szCs w:val="24"/>
              </w:rPr>
            </w:pPr>
          </w:p>
          <w:p w14:paraId="48BB6F59" w14:textId="77777777" w:rsidR="006827E9" w:rsidRPr="006827E9" w:rsidRDefault="006827E9" w:rsidP="006827E9">
            <w:pPr>
              <w:jc w:val="both"/>
              <w:rPr>
                <w:sz w:val="24"/>
                <w:szCs w:val="24"/>
              </w:rPr>
            </w:pPr>
            <w:r w:rsidRPr="006827E9">
              <w:rPr>
                <w:sz w:val="24"/>
                <w:szCs w:val="24"/>
              </w:rPr>
              <w:lastRenderedPageBreak/>
              <w:t xml:space="preserve">The All Wales Child Protection Procedures (AWCPP) has now changed to the Wales Safeguarding Procedure (2019) with the intention to standardise practice across all of Wales across children and adult services. This has become main piece of legislation which informs our practice across health and social care and is inclusive of the third sector. The key principles of which are taken from the Children Act (1989 and 2004) and with guidance from the UN Convention on the Rights of the Child. This has been adopted by </w:t>
            </w:r>
            <w:proofErr w:type="spellStart"/>
            <w:r w:rsidRPr="006827E9">
              <w:rPr>
                <w:sz w:val="24"/>
                <w:szCs w:val="24"/>
              </w:rPr>
              <w:t>Senedd</w:t>
            </w:r>
            <w:proofErr w:type="spellEnd"/>
            <w:r w:rsidRPr="006827E9">
              <w:rPr>
                <w:sz w:val="24"/>
                <w:szCs w:val="24"/>
              </w:rPr>
              <w:t xml:space="preserve"> </w:t>
            </w:r>
            <w:proofErr w:type="spellStart"/>
            <w:r w:rsidRPr="006827E9">
              <w:rPr>
                <w:sz w:val="24"/>
                <w:szCs w:val="24"/>
              </w:rPr>
              <w:t>Cymru</w:t>
            </w:r>
            <w:proofErr w:type="spellEnd"/>
            <w:r w:rsidRPr="006827E9">
              <w:rPr>
                <w:sz w:val="24"/>
                <w:szCs w:val="24"/>
              </w:rPr>
              <w:t xml:space="preserve"> as the bassline for working with children and families in Wales. </w:t>
            </w:r>
          </w:p>
          <w:p w14:paraId="59AB7981" w14:textId="77777777" w:rsidR="006827E9" w:rsidRPr="006827E9" w:rsidRDefault="006827E9" w:rsidP="006827E9">
            <w:pPr>
              <w:jc w:val="both"/>
              <w:rPr>
                <w:sz w:val="24"/>
                <w:szCs w:val="24"/>
              </w:rPr>
            </w:pPr>
          </w:p>
          <w:p w14:paraId="22613157" w14:textId="77777777" w:rsidR="006827E9" w:rsidRPr="006827E9" w:rsidRDefault="006827E9" w:rsidP="006827E9">
            <w:pPr>
              <w:jc w:val="both"/>
              <w:rPr>
                <w:sz w:val="24"/>
                <w:szCs w:val="24"/>
              </w:rPr>
            </w:pPr>
          </w:p>
          <w:p w14:paraId="4A95F4DB" w14:textId="05AEAA87" w:rsidR="00FC0334" w:rsidRDefault="006827E9" w:rsidP="006827E9">
            <w:pPr>
              <w:jc w:val="both"/>
              <w:rPr>
                <w:sz w:val="24"/>
                <w:szCs w:val="24"/>
              </w:rPr>
            </w:pPr>
            <w:r w:rsidRPr="006827E9">
              <w:rPr>
                <w:sz w:val="24"/>
                <w:szCs w:val="24"/>
              </w:rPr>
              <w:t>(Word count – 498)</w:t>
            </w:r>
          </w:p>
          <w:p w14:paraId="03BD6D93" w14:textId="55214B71" w:rsidR="007A628F" w:rsidRPr="008B28E7" w:rsidRDefault="007A628F" w:rsidP="006827E9">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7B7B4827" w14:textId="2D01BCD1"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38BF787" w14:textId="77777777" w:rsidR="00FC0334" w:rsidRPr="006108C9" w:rsidRDefault="00FC0334" w:rsidP="00FC0334">
            <w:pPr>
              <w:jc w:val="both"/>
              <w:rPr>
                <w:sz w:val="24"/>
                <w:szCs w:val="24"/>
              </w:rPr>
            </w:pPr>
          </w:p>
          <w:p w14:paraId="6BA3DD84" w14:textId="5C09DE8C"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1AB9753" w14:textId="63E69651" w:rsidR="006827E9" w:rsidRDefault="006827E9" w:rsidP="00FC0334">
            <w:pPr>
              <w:jc w:val="both"/>
              <w:rPr>
                <w:i/>
                <w:sz w:val="24"/>
                <w:szCs w:val="24"/>
              </w:rPr>
            </w:pPr>
          </w:p>
          <w:p w14:paraId="69BC7FB3" w14:textId="77777777" w:rsidR="006827E9" w:rsidRPr="006827E9" w:rsidRDefault="006827E9" w:rsidP="006827E9">
            <w:pPr>
              <w:jc w:val="both"/>
              <w:rPr>
                <w:i/>
                <w:sz w:val="24"/>
                <w:szCs w:val="24"/>
              </w:rPr>
            </w:pPr>
            <w:r w:rsidRPr="006827E9">
              <w:rPr>
                <w:i/>
                <w:sz w:val="24"/>
                <w:szCs w:val="24"/>
              </w:rPr>
              <w:t xml:space="preserve">Under the Social Services and Wellbeing (Wales) Act (2014) health and social care workers across Wales have a duty to assess the needs of children and adults. Whilst there are different sections of the act which apply specifically to children and adults, the general ethos of the Act is around ‘working together to safeguard people’. SSWWA (2014) was intended to be an all-encompassing framework which covered previous legislative guidance and offered up to date definitions of certain terms. </w:t>
            </w:r>
          </w:p>
          <w:p w14:paraId="7F7BF434" w14:textId="77777777" w:rsidR="006827E9" w:rsidRPr="006827E9" w:rsidRDefault="006827E9" w:rsidP="006827E9">
            <w:pPr>
              <w:jc w:val="both"/>
              <w:rPr>
                <w:i/>
                <w:sz w:val="24"/>
                <w:szCs w:val="24"/>
              </w:rPr>
            </w:pPr>
            <w:r w:rsidRPr="006827E9">
              <w:rPr>
                <w:i/>
                <w:sz w:val="24"/>
                <w:szCs w:val="24"/>
              </w:rPr>
              <w:t>The prominent difference when working between adults and children’s services is mental capacity. If a child is under the age of 16, he or she can still consent to treatment or care so long as they are assessed to have ‘</w:t>
            </w:r>
            <w:proofErr w:type="spellStart"/>
            <w:r w:rsidRPr="006827E9">
              <w:rPr>
                <w:i/>
                <w:sz w:val="24"/>
                <w:szCs w:val="24"/>
              </w:rPr>
              <w:t>Gillick</w:t>
            </w:r>
            <w:proofErr w:type="spellEnd"/>
            <w:r w:rsidRPr="006827E9">
              <w:rPr>
                <w:i/>
                <w:sz w:val="24"/>
                <w:szCs w:val="24"/>
              </w:rPr>
              <w:t xml:space="preserve"> competence’. This refers to a child having the functional ability to make a decision. An adult is firstly presumed to have capacity to make a decision unless there is reason to suggest otherwise. They must be supported to make their own decision in a way which best suits them. Consideration is to be paid to their preferred communication method, comfortable setting/environment, and/or the best time of day for them. This must then be explored via a capacity assessment and it decision specific (Mental Capacity Act, 2005). For example, an adult may have been assessed to lack capacity when it comes to managing their own finances. However, this does not automatically mean that they do not have the capacity in relation to their care and accommodation. It is important to note that an adult also has the right to make an unwise decision despite advice from others in their lives. The Human Rights Act (1998) sets out the fundamental rights that people in the United Kingdom are entitled to and these rights are to be protected at all. In this instance, if a person is found to lack capacity, then a decision can be made on their behalf so long as it is in that person’s best interest. If a decision is having to be made on a person’s behalf and is in their best interest, this has to be considered to be the least restrictive option for that person. </w:t>
            </w:r>
          </w:p>
          <w:p w14:paraId="51546A99" w14:textId="77777777" w:rsidR="006827E9" w:rsidRPr="006827E9" w:rsidRDefault="006827E9" w:rsidP="006827E9">
            <w:pPr>
              <w:jc w:val="both"/>
              <w:rPr>
                <w:i/>
                <w:sz w:val="24"/>
                <w:szCs w:val="24"/>
              </w:rPr>
            </w:pPr>
            <w:r w:rsidRPr="006827E9">
              <w:rPr>
                <w:i/>
                <w:sz w:val="24"/>
                <w:szCs w:val="24"/>
              </w:rPr>
              <w:t xml:space="preserve">In order to safeguard a child where there is reasonable cause to suspect they are at risk (s. 47 Children Act (1989)), professionals must exercise their duty to investigate and to protect that child from harm. After enquiries have been made and if there is substantial evidence to suggest that a child is in need of protection, then an application is made to the court of </w:t>
            </w:r>
            <w:r w:rsidRPr="006827E9">
              <w:rPr>
                <w:i/>
                <w:sz w:val="24"/>
                <w:szCs w:val="24"/>
              </w:rPr>
              <w:lastRenderedPageBreak/>
              <w:t xml:space="preserve">protection in order to remove that child from their parents care, overriding parental responsibility. </w:t>
            </w:r>
          </w:p>
          <w:p w14:paraId="2E8A453A" w14:textId="77777777" w:rsidR="006827E9" w:rsidRPr="006827E9" w:rsidRDefault="006827E9" w:rsidP="006827E9">
            <w:pPr>
              <w:jc w:val="both"/>
              <w:rPr>
                <w:i/>
                <w:sz w:val="24"/>
                <w:szCs w:val="24"/>
              </w:rPr>
            </w:pPr>
          </w:p>
          <w:p w14:paraId="202190C6" w14:textId="098E8D27" w:rsidR="006827E9" w:rsidRDefault="006827E9" w:rsidP="006827E9">
            <w:pPr>
              <w:jc w:val="both"/>
              <w:rPr>
                <w:i/>
                <w:sz w:val="24"/>
                <w:szCs w:val="24"/>
              </w:rPr>
            </w:pPr>
            <w:r w:rsidRPr="006827E9">
              <w:rPr>
                <w:i/>
                <w:sz w:val="24"/>
                <w:szCs w:val="24"/>
              </w:rPr>
              <w:t>(Word count – 438)</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bookmarkStart w:id="0" w:name="_GoBack"/>
      <w:bookmarkEnd w:id="0"/>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E4519BC" w14:textId="77777777" w:rsidR="00040CC8" w:rsidRDefault="00040CC8">
      <w:r>
        <w:separator/>
      </w:r>
    </w:p>
  </w:endnote>
  <w:endnote w:type="continuationSeparator" w:id="0">
    <w:p w14:paraId="6899A430" w14:textId="77777777" w:rsidR="00040CC8" w:rsidRDefault="00040C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7E2E7E0A" w:rsidR="00A5656A" w:rsidRDefault="00A5656A">
    <w:pPr>
      <w:pStyle w:val="Footer"/>
      <w:jc w:val="right"/>
    </w:pPr>
    <w:r>
      <w:fldChar w:fldCharType="begin"/>
    </w:r>
    <w:r>
      <w:instrText xml:space="preserve"> PAGE   \* MERGEFORMAT </w:instrText>
    </w:r>
    <w:r>
      <w:fldChar w:fldCharType="separate"/>
    </w:r>
    <w:r w:rsidR="006827E9">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33FF633" w14:textId="77777777" w:rsidR="00040CC8" w:rsidRDefault="00040CC8">
      <w:r>
        <w:separator/>
      </w:r>
    </w:p>
  </w:footnote>
  <w:footnote w:type="continuationSeparator" w:id="0">
    <w:p w14:paraId="56CA10DC" w14:textId="77777777" w:rsidR="00040CC8" w:rsidRDefault="00040CC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0CC8"/>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C6FF0"/>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0FCF"/>
    <w:rsid w:val="00557D77"/>
    <w:rsid w:val="00560A2A"/>
    <w:rsid w:val="00562EAA"/>
    <w:rsid w:val="00563B58"/>
    <w:rsid w:val="005640C4"/>
    <w:rsid w:val="0056684C"/>
    <w:rsid w:val="00574A0C"/>
    <w:rsid w:val="0057780F"/>
    <w:rsid w:val="00581E0A"/>
    <w:rsid w:val="00586D89"/>
    <w:rsid w:val="005877C8"/>
    <w:rsid w:val="00587923"/>
    <w:rsid w:val="00594F9F"/>
    <w:rsid w:val="005A1B4C"/>
    <w:rsid w:val="005A545C"/>
    <w:rsid w:val="005A559B"/>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08A8"/>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27E9"/>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2275"/>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3771"/>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5A6B"/>
    <w:rsid w:val="00EC6E15"/>
    <w:rsid w:val="00EC73CF"/>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4ECB"/>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B78E7"/>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F56A09E3-6FDA-49BE-9357-44311E3E78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4</Pages>
  <Words>1029</Words>
  <Characters>5870</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Richard Saunders</cp:lastModifiedBy>
  <cp:revision>11</cp:revision>
  <cp:lastPrinted>2020-02-11T19:20:00Z</cp:lastPrinted>
  <dcterms:created xsi:type="dcterms:W3CDTF">2022-09-29T11:35:00Z</dcterms:created>
  <dcterms:modified xsi:type="dcterms:W3CDTF">2023-02-24T10:22:00Z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