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076B2" w14:textId="2955B8E7" w:rsidR="001F4FA7" w:rsidRDefault="001F4FA7" w:rsidP="001F4FA7">
      <w:pPr>
        <w:rPr>
          <w:rFonts w:ascii="Georgia" w:eastAsia="Georgia" w:hAnsi="Georgia" w:cs="Georgia"/>
          <w:color w:val="000000"/>
          <w:sz w:val="21"/>
          <w:szCs w:val="21"/>
          <w:u w:color="000000"/>
        </w:rPr>
      </w:pPr>
      <w:r>
        <w:rPr>
          <w:rFonts w:ascii="Georgia" w:eastAsia="Georgia" w:hAnsi="Georgia" w:cs="Georgia"/>
          <w:noProof/>
          <w:color w:val="000000"/>
          <w:sz w:val="21"/>
          <w:szCs w:val="21"/>
          <w:u w:color="000000"/>
        </w:rPr>
        <w:drawing>
          <wp:inline distT="0" distB="0" distL="0" distR="0" wp14:anchorId="0E15A390" wp14:editId="0E1DD3DF">
            <wp:extent cx="1906270" cy="633095"/>
            <wp:effectExtent l="0" t="0" r="0" b="0"/>
            <wp:docPr id="1630980708" name="Picture 1"/>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1"/>
                    <pic:cNvPicPr>
                      <a:picLocks noRot="1" noChangeAspect="1" noMove="1" noResize="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3095"/>
                    </a:xfrm>
                    <a:prstGeom prst="rect">
                      <a:avLst/>
                    </a:prstGeom>
                    <a:noFill/>
                    <a:ln>
                      <a:noFill/>
                    </a:ln>
                    <a:effectLst/>
                  </pic:spPr>
                </pic:pic>
              </a:graphicData>
            </a:graphic>
          </wp:inline>
        </w:drawing>
      </w:r>
    </w:p>
    <w:p w14:paraId="797F6F63" w14:textId="77777777" w:rsidR="001F4FA7" w:rsidRDefault="001F4FA7" w:rsidP="001F4FA7">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 xml:space="preserve">Postgraduate/Distance Learning </w:t>
      </w:r>
    </w:p>
    <w:p w14:paraId="28E10FB1" w14:textId="77777777" w:rsidR="001F4FA7" w:rsidRDefault="001F4FA7" w:rsidP="001F4FA7">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Assignment coversheet &amp; feedback form</w:t>
      </w:r>
    </w:p>
    <w:p w14:paraId="5D23D456" w14:textId="77777777" w:rsidR="001F4FA7" w:rsidRDefault="001F4FA7" w:rsidP="001F4FA7">
      <w:pPr>
        <w:pStyle w:val="Body"/>
        <w:rPr>
          <w:rFonts w:ascii="Arial" w:eastAsia="Arial" w:hAnsi="Arial" w:cs="Arial"/>
          <w:sz w:val="28"/>
          <w:szCs w:val="28"/>
          <w:u w:color="000000"/>
        </w:rPr>
      </w:pPr>
    </w:p>
    <w:p w14:paraId="4295DBAE" w14:textId="77777777" w:rsidR="001F4FA7" w:rsidRDefault="001F4FA7" w:rsidP="001F4FA7">
      <w:pPr>
        <w:pStyle w:val="Heading3"/>
        <w:pBdr>
          <w:top w:val="none" w:sz="0" w:space="0" w:color="auto"/>
        </w:pBdr>
        <w:spacing w:before="0" w:after="0" w:line="240" w:lineRule="auto"/>
        <w:ind w:left="720"/>
        <w:jc w:val="center"/>
        <w:rPr>
          <w:rFonts w:ascii="Tahoma Bold" w:eastAsia="Tahoma Bold" w:hAnsi="Tahoma Bold" w:cs="Tahoma Bold"/>
          <w:spacing w:val="0"/>
          <w:sz w:val="20"/>
          <w:szCs w:val="20"/>
          <w:u w:color="000000"/>
        </w:rPr>
      </w:pPr>
      <w:r>
        <w:rPr>
          <w:rFonts w:ascii="Tahoma Bold" w:hAnsi="Tahoma Bold"/>
          <w:spacing w:val="0"/>
          <w:sz w:val="20"/>
          <w:szCs w:val="20"/>
          <w:u w:color="000000"/>
        </w:rPr>
        <w:t xml:space="preserve">THIS SHEET MUST BE THE FIRST PAGE OF THE ASSIGNMENT YOU ARE </w:t>
      </w:r>
      <w:proofErr w:type="gramStart"/>
      <w:r>
        <w:rPr>
          <w:rFonts w:ascii="Tahoma Bold" w:hAnsi="Tahoma Bold"/>
          <w:spacing w:val="0"/>
          <w:sz w:val="20"/>
          <w:szCs w:val="20"/>
          <w:u w:color="000000"/>
        </w:rPr>
        <w:t>SUBMITTING  (</w:t>
      </w:r>
      <w:proofErr w:type="gramEnd"/>
      <w:r>
        <w:rPr>
          <w:rFonts w:ascii="Tahoma Bold" w:hAnsi="Tahoma Bold"/>
          <w:spacing w:val="0"/>
          <w:sz w:val="20"/>
          <w:szCs w:val="20"/>
          <w:u w:color="000000"/>
        </w:rPr>
        <w:t>DO NOT SEND AS A SEPARATE FILE)</w:t>
      </w:r>
    </w:p>
    <w:p w14:paraId="0A198665" w14:textId="77777777" w:rsidR="001F4FA7" w:rsidRDefault="001F4FA7" w:rsidP="001F4FA7">
      <w:pPr>
        <w:pStyle w:val="Heading3"/>
        <w:pBdr>
          <w:top w:val="none" w:sz="0" w:space="0" w:color="auto"/>
        </w:pBdr>
        <w:spacing w:before="0" w:after="0" w:line="240" w:lineRule="auto"/>
        <w:ind w:left="720"/>
        <w:jc w:val="center"/>
        <w:rPr>
          <w:rFonts w:ascii="Trebuchet MS" w:eastAsia="Trebuchet MS" w:hAnsi="Trebuchet MS" w:cs="Trebuchet MS"/>
          <w:b/>
          <w:bCs/>
          <w:spacing w:val="0"/>
          <w:sz w:val="20"/>
          <w:szCs w:val="20"/>
          <w:u w:color="000000"/>
          <w:lang w:val="en-US"/>
        </w:rPr>
      </w:pPr>
    </w:p>
    <w:tbl>
      <w:tblPr>
        <w:tblW w:w="0" w:type="auto"/>
        <w:jc w:val="center"/>
        <w:shd w:val="clear" w:color="auto" w:fill="CED7E7"/>
        <w:tblLayout w:type="fixed"/>
        <w:tblLook w:val="0000" w:firstRow="0" w:lastRow="0" w:firstColumn="0" w:lastColumn="0" w:noHBand="0" w:noVBand="0"/>
      </w:tblPr>
      <w:tblGrid>
        <w:gridCol w:w="4776"/>
        <w:gridCol w:w="422"/>
        <w:gridCol w:w="1553"/>
        <w:gridCol w:w="284"/>
        <w:gridCol w:w="1799"/>
      </w:tblGrid>
      <w:tr w:rsidR="001F4FA7" w14:paraId="5514A0FE" w14:textId="77777777" w:rsidTr="001F4FA7">
        <w:trPr>
          <w:cantSplit/>
          <w:trHeight w:val="412"/>
          <w:jc w:val="center"/>
        </w:trPr>
        <w:tc>
          <w:tcPr>
            <w:tcW w:w="8834"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0457E8D" w14:textId="77777777" w:rsidR="001F4FA7" w:rsidRDefault="001F4FA7" w:rsidP="001F4FA7">
            <w:pPr>
              <w:spacing w:after="0" w:line="240" w:lineRule="auto"/>
              <w:ind w:right="34"/>
            </w:pPr>
            <w:r>
              <w:rPr>
                <w:rFonts w:ascii="Arial" w:eastAsia="Arial Unicode MS" w:hAnsi="Arial" w:cs="Arial Unicode MS"/>
                <w:b/>
                <w:bCs/>
                <w:color w:val="000000"/>
                <w:u w:color="000000"/>
              </w:rPr>
              <w:t>For completion by the student</w:t>
            </w:r>
            <w:r>
              <w:rPr>
                <w:rFonts w:ascii="Arial" w:eastAsia="Arial Unicode MS" w:hAnsi="Arial" w:cs="Arial Unicode MS"/>
                <w:color w:val="000000"/>
                <w:u w:color="000000"/>
              </w:rPr>
              <w:t>:</w:t>
            </w:r>
          </w:p>
        </w:tc>
      </w:tr>
      <w:tr w:rsidR="001F4FA7" w14:paraId="72DFE93B" w14:textId="77777777" w:rsidTr="001F4FA7">
        <w:trPr>
          <w:cantSplit/>
          <w:trHeight w:val="507"/>
          <w:jc w:val="center"/>
        </w:trPr>
        <w:tc>
          <w:tcPr>
            <w:tcW w:w="8834"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3710BD7" w14:textId="566B3B5E" w:rsidR="001F4FA7" w:rsidRDefault="001F4FA7" w:rsidP="001F4FA7">
            <w:pPr>
              <w:spacing w:after="0" w:line="240" w:lineRule="auto"/>
              <w:ind w:right="34"/>
            </w:pPr>
            <w:r>
              <w:rPr>
                <w:rFonts w:ascii="Arial" w:eastAsia="Arial Unicode MS" w:hAnsi="Arial" w:cs="Arial Unicode MS"/>
                <w:color w:val="000000"/>
                <w:u w:color="000000"/>
              </w:rPr>
              <w:t xml:space="preserve">Student Name: </w:t>
            </w:r>
            <w:r w:rsidR="00860F48">
              <w:rPr>
                <w:rFonts w:ascii="Arial" w:eastAsia="Arial Unicode MS" w:hAnsi="Arial" w:cs="Arial Unicode MS"/>
                <w:color w:val="000000"/>
                <w:u w:color="000000"/>
              </w:rPr>
              <w:t>JONATHAN WEEKES</w:t>
            </w:r>
          </w:p>
        </w:tc>
      </w:tr>
      <w:tr w:rsidR="001F4FA7" w14:paraId="7D0FDBC4" w14:textId="77777777" w:rsidTr="001F4FA7">
        <w:trPr>
          <w:cantSplit/>
          <w:trHeight w:val="1312"/>
          <w:jc w:val="center"/>
        </w:trPr>
        <w:tc>
          <w:tcPr>
            <w:tcW w:w="4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3036A22" w14:textId="061E0F5A" w:rsidR="001F4FA7" w:rsidRDefault="001F4FA7" w:rsidP="001F4FA7">
            <w:pPr>
              <w:spacing w:after="0" w:line="240" w:lineRule="auto"/>
              <w:ind w:right="34"/>
              <w:rPr>
                <w:rFonts w:ascii="Arial" w:eastAsia="Arial" w:hAnsi="Arial" w:cs="Arial"/>
                <w:color w:val="000000"/>
                <w:u w:color="000000"/>
              </w:rPr>
            </w:pPr>
            <w:r>
              <w:rPr>
                <w:rFonts w:ascii="Arial" w:eastAsia="Arial Unicode MS" w:hAnsi="Arial" w:cs="Arial Unicode MS"/>
                <w:color w:val="000000"/>
                <w:u w:color="000000"/>
              </w:rPr>
              <w:t xml:space="preserve">Module code:  </w:t>
            </w:r>
            <w:r w:rsidR="00860F48">
              <w:rPr>
                <w:rFonts w:ascii="Arial" w:eastAsia="Arial Unicode MS" w:hAnsi="Arial" w:cs="Arial Unicode MS"/>
                <w:color w:val="000000"/>
                <w:u w:color="000000"/>
              </w:rPr>
              <w:t>HPCA7023</w:t>
            </w:r>
          </w:p>
          <w:p w14:paraId="050B4AD6" w14:textId="77777777" w:rsidR="001F4FA7" w:rsidRDefault="001F4FA7" w:rsidP="001F4FA7">
            <w:pPr>
              <w:spacing w:after="0" w:line="240" w:lineRule="auto"/>
              <w:ind w:right="34"/>
              <w:rPr>
                <w:rFonts w:ascii="Arial" w:eastAsia="Arial" w:hAnsi="Arial" w:cs="Arial"/>
                <w:color w:val="000000"/>
                <w:u w:color="000000"/>
              </w:rPr>
            </w:pPr>
          </w:p>
          <w:p w14:paraId="1D4294DD" w14:textId="65087DD2" w:rsidR="001F4FA7" w:rsidRDefault="001F4FA7" w:rsidP="001F4FA7">
            <w:pPr>
              <w:spacing w:after="0" w:line="240" w:lineRule="auto"/>
              <w:ind w:right="34"/>
              <w:rPr>
                <w:rFonts w:ascii="Arial" w:eastAsia="Arial" w:hAnsi="Arial" w:cs="Arial"/>
                <w:color w:val="000000"/>
                <w:u w:color="000000"/>
              </w:rPr>
            </w:pPr>
            <w:r>
              <w:rPr>
                <w:rFonts w:ascii="Arial" w:eastAsia="Arial Unicode MS" w:hAnsi="Arial" w:cs="Arial Unicode MS"/>
                <w:color w:val="000000"/>
                <w:u w:color="000000"/>
              </w:rPr>
              <w:t xml:space="preserve">Module title:  </w:t>
            </w:r>
            <w:r w:rsidR="00860F48">
              <w:rPr>
                <w:rFonts w:ascii="Arial" w:eastAsia="Arial Unicode MS" w:hAnsi="Arial" w:cs="Arial Unicode MS"/>
                <w:color w:val="000000"/>
                <w:u w:color="000000"/>
              </w:rPr>
              <w:t>ECOLOGY &amp; SPIRITUALITY</w:t>
            </w:r>
          </w:p>
          <w:p w14:paraId="1E55A0B4" w14:textId="77777777" w:rsidR="001F4FA7" w:rsidRDefault="001F4FA7" w:rsidP="001F4FA7">
            <w:pPr>
              <w:spacing w:after="0" w:line="240" w:lineRule="auto"/>
              <w:ind w:right="34"/>
            </w:pPr>
          </w:p>
        </w:tc>
        <w:tc>
          <w:tcPr>
            <w:tcW w:w="225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6C754E30" w14:textId="77777777" w:rsidR="001F4FA7" w:rsidRDefault="001F4FA7" w:rsidP="001F4FA7">
            <w:pPr>
              <w:spacing w:after="0" w:line="240" w:lineRule="auto"/>
              <w:ind w:right="34"/>
              <w:rPr>
                <w:rFonts w:ascii="Arial" w:eastAsia="Arial Unicode MS" w:hAnsi="Arial" w:cs="Arial Unicode MS"/>
                <w:color w:val="000000"/>
                <w:u w:color="000000"/>
              </w:rPr>
            </w:pPr>
            <w:r>
              <w:rPr>
                <w:rFonts w:ascii="Arial" w:eastAsia="Arial Unicode MS" w:hAnsi="Arial" w:cs="Arial Unicode MS"/>
                <w:color w:val="000000"/>
                <w:u w:color="000000"/>
              </w:rPr>
              <w:t xml:space="preserve">Student ID number:  </w:t>
            </w:r>
          </w:p>
          <w:p w14:paraId="63B1047F" w14:textId="77777777" w:rsidR="00860F48" w:rsidRDefault="00860F48" w:rsidP="001F4FA7">
            <w:pPr>
              <w:spacing w:after="0" w:line="240" w:lineRule="auto"/>
              <w:ind w:right="34"/>
              <w:rPr>
                <w:rFonts w:ascii="Arial" w:eastAsia="Arial Unicode MS" w:hAnsi="Arial" w:cs="Arial Unicode MS"/>
                <w:color w:val="000000"/>
                <w:u w:color="000000"/>
              </w:rPr>
            </w:pPr>
          </w:p>
          <w:p w14:paraId="5602D8A1" w14:textId="13E06A6C" w:rsidR="00860F48" w:rsidRDefault="00860F48" w:rsidP="001F4FA7">
            <w:pPr>
              <w:spacing w:after="0" w:line="240" w:lineRule="auto"/>
              <w:ind w:right="34"/>
            </w:pPr>
            <w:r>
              <w:t>2234148</w:t>
            </w:r>
          </w:p>
        </w:tc>
        <w:tc>
          <w:tcPr>
            <w:tcW w:w="179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463D7E04" w14:textId="77777777" w:rsidR="001F4FA7" w:rsidRDefault="001F4FA7" w:rsidP="001F4FA7">
            <w:pPr>
              <w:spacing w:after="0" w:line="240" w:lineRule="auto"/>
              <w:ind w:right="34"/>
              <w:rPr>
                <w:rFonts w:ascii="Arial" w:eastAsia="Arial" w:hAnsi="Arial" w:cs="Arial"/>
                <w:color w:val="000000"/>
                <w:u w:color="000000"/>
              </w:rPr>
            </w:pPr>
            <w:r>
              <w:rPr>
                <w:rFonts w:ascii="Arial" w:eastAsia="Arial Unicode MS" w:hAnsi="Arial" w:cs="Arial Unicode MS"/>
                <w:color w:val="000000"/>
                <w:u w:color="000000"/>
              </w:rPr>
              <w:t>Educational support needs:</w:t>
            </w:r>
          </w:p>
          <w:p w14:paraId="40183E03" w14:textId="71C1DA3C" w:rsidR="001F4FA7" w:rsidRDefault="001F4FA7" w:rsidP="001F4FA7">
            <w:pPr>
              <w:spacing w:after="0" w:line="240" w:lineRule="auto"/>
              <w:ind w:right="34"/>
            </w:pPr>
            <w:r>
              <w:rPr>
                <w:rFonts w:ascii="Arial" w:eastAsia="Arial Unicode MS" w:hAnsi="Arial" w:cs="Arial Unicode MS"/>
                <w:color w:val="000000"/>
                <w:u w:color="000000"/>
              </w:rPr>
              <w:t>Yes</w:t>
            </w:r>
          </w:p>
        </w:tc>
      </w:tr>
      <w:tr w:rsidR="001F4FA7" w14:paraId="6ECFDA4C" w14:textId="77777777" w:rsidTr="001F4FA7">
        <w:trPr>
          <w:cantSplit/>
          <w:trHeight w:val="890"/>
          <w:jc w:val="center"/>
        </w:trPr>
        <w:tc>
          <w:tcPr>
            <w:tcW w:w="8834"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646EF6DF" w14:textId="0226F727" w:rsidR="001F4FA7" w:rsidRDefault="001F4FA7" w:rsidP="001F4FA7">
            <w:pPr>
              <w:spacing w:after="0" w:line="240" w:lineRule="auto"/>
              <w:ind w:right="34"/>
              <w:rPr>
                <w:rFonts w:ascii="Arial" w:eastAsia="Arial" w:hAnsi="Arial" w:cs="Arial"/>
                <w:color w:val="000000"/>
                <w:u w:color="000000"/>
              </w:rPr>
            </w:pPr>
            <w:r>
              <w:rPr>
                <w:rFonts w:ascii="Arial" w:eastAsia="Arial Unicode MS" w:hAnsi="Arial" w:cs="Arial Unicode MS"/>
                <w:color w:val="000000"/>
                <w:u w:color="000000"/>
              </w:rPr>
              <w:t xml:space="preserve">Module tutor:  </w:t>
            </w:r>
            <w:r w:rsidR="00860F48">
              <w:rPr>
                <w:rFonts w:ascii="Arial" w:eastAsia="Arial Unicode MS" w:hAnsi="Arial" w:cs="Arial Unicode MS"/>
                <w:color w:val="000000"/>
                <w:u w:color="000000"/>
              </w:rPr>
              <w:t>JACK HUNTER</w:t>
            </w:r>
          </w:p>
          <w:p w14:paraId="1001AED8" w14:textId="77777777" w:rsidR="001F4FA7" w:rsidRDefault="001F4FA7" w:rsidP="001F4FA7">
            <w:pPr>
              <w:spacing w:after="0" w:line="240" w:lineRule="auto"/>
              <w:ind w:right="34"/>
              <w:rPr>
                <w:rFonts w:ascii="Arial" w:eastAsia="Arial" w:hAnsi="Arial" w:cs="Arial"/>
                <w:color w:val="000000"/>
                <w:u w:color="000000"/>
              </w:rPr>
            </w:pPr>
          </w:p>
          <w:p w14:paraId="2B9D422D" w14:textId="77777777" w:rsidR="001F4FA7" w:rsidRDefault="001F4FA7" w:rsidP="001F4FA7">
            <w:pPr>
              <w:spacing w:after="0" w:line="240" w:lineRule="auto"/>
              <w:ind w:right="34"/>
              <w:rPr>
                <w:rFonts w:ascii="Arial" w:eastAsia="Arial" w:hAnsi="Arial" w:cs="Arial"/>
                <w:color w:val="000000"/>
                <w:u w:color="000000"/>
              </w:rPr>
            </w:pPr>
          </w:p>
          <w:p w14:paraId="4B008A8B" w14:textId="2E03798A" w:rsidR="001F4FA7" w:rsidRDefault="001F4FA7" w:rsidP="001F4FA7">
            <w:pPr>
              <w:spacing w:after="0" w:line="240" w:lineRule="auto"/>
              <w:ind w:right="34"/>
            </w:pPr>
            <w:r>
              <w:rPr>
                <w:rFonts w:ascii="Arial" w:eastAsia="Arial Unicode MS" w:hAnsi="Arial" w:cs="Arial Unicode MS"/>
                <w:color w:val="000000"/>
                <w:u w:color="000000"/>
              </w:rPr>
              <w:t>Assignment due date:</w:t>
            </w:r>
            <w:r w:rsidR="00860F48">
              <w:rPr>
                <w:rFonts w:ascii="Arial" w:eastAsia="Arial Unicode MS" w:hAnsi="Arial" w:cs="Arial Unicode MS"/>
                <w:color w:val="000000"/>
                <w:u w:color="000000"/>
              </w:rPr>
              <w:t xml:space="preserve"> 16 NOVEMBER 2023</w:t>
            </w:r>
          </w:p>
        </w:tc>
      </w:tr>
      <w:tr w:rsidR="001F4FA7" w14:paraId="5A664CE0" w14:textId="77777777" w:rsidTr="001F4FA7">
        <w:trPr>
          <w:cantSplit/>
          <w:trHeight w:val="744"/>
          <w:jc w:val="center"/>
        </w:trPr>
        <w:tc>
          <w:tcPr>
            <w:tcW w:w="8834"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F693B7" w14:textId="77777777" w:rsidR="001F4FA7" w:rsidRDefault="001F4FA7" w:rsidP="001F4FA7">
            <w:pPr>
              <w:pStyle w:val="Body"/>
              <w:rPr>
                <w:rFonts w:ascii="Arial" w:eastAsia="Arial" w:hAnsi="Arial" w:cs="Arial"/>
                <w:u w:color="000000"/>
              </w:rPr>
            </w:pPr>
            <w:r>
              <w:rPr>
                <w:rFonts w:ascii="Arial" w:hAnsi="Arial"/>
                <w:u w:color="000000"/>
                <w:lang w:val="en-US"/>
              </w:rPr>
              <w:t xml:space="preserve">If your module has multiple </w:t>
            </w:r>
            <w:proofErr w:type="gramStart"/>
            <w:r>
              <w:rPr>
                <w:rFonts w:ascii="Arial" w:hAnsi="Arial"/>
                <w:u w:color="000000"/>
                <w:lang w:val="en-US"/>
              </w:rPr>
              <w:t>submissions</w:t>
            </w:r>
            <w:proofErr w:type="gramEnd"/>
            <w:r>
              <w:rPr>
                <w:rFonts w:ascii="Arial" w:hAnsi="Arial"/>
                <w:u w:color="000000"/>
                <w:lang w:val="en-US"/>
              </w:rPr>
              <w:t xml:space="preserve"> please indicate which piece of work this is.</w:t>
            </w:r>
          </w:p>
          <w:p w14:paraId="2C8DA1EF" w14:textId="77777777" w:rsidR="001F4FA7" w:rsidRDefault="001F4FA7" w:rsidP="001F4FA7">
            <w:pPr>
              <w:pStyle w:val="Body"/>
              <w:rPr>
                <w:rFonts w:ascii="Arial" w:eastAsia="Arial" w:hAnsi="Arial" w:cs="Arial"/>
                <w:u w:color="000000"/>
                <w:lang w:val="en-US"/>
              </w:rPr>
            </w:pPr>
          </w:p>
          <w:p w14:paraId="508A081E" w14:textId="565A66F1" w:rsidR="001F4FA7" w:rsidRDefault="001F4FA7" w:rsidP="001F4FA7">
            <w:pPr>
              <w:pStyle w:val="Body"/>
              <w:rPr>
                <w:rFonts w:ascii="Arial" w:hAnsi="Arial"/>
                <w:u w:color="000000"/>
                <w:lang w:val="en-US"/>
              </w:rPr>
            </w:pPr>
            <w:r>
              <w:rPr>
                <w:rFonts w:ascii="Arial" w:hAnsi="Arial"/>
                <w:u w:color="000000"/>
                <w:lang w:val="en-US"/>
              </w:rPr>
              <w:t>1</w:t>
            </w:r>
            <w:r>
              <w:rPr>
                <w:rFonts w:ascii="Arial" w:hAnsi="Arial"/>
                <w:u w:color="000000"/>
                <w:vertAlign w:val="superscript"/>
                <w:lang w:val="en-US"/>
              </w:rPr>
              <w:t xml:space="preserve">st </w:t>
            </w:r>
            <w:r>
              <w:rPr>
                <w:rFonts w:ascii="Arial" w:hAnsi="Arial"/>
                <w:u w:color="000000"/>
                <w:lang w:val="en-US"/>
              </w:rPr>
              <w:t xml:space="preserve">    </w:t>
            </w:r>
          </w:p>
        </w:tc>
      </w:tr>
      <w:tr w:rsidR="001F4FA7" w14:paraId="73BD06D1" w14:textId="77777777" w:rsidTr="001F4FA7">
        <w:trPr>
          <w:cantSplit/>
          <w:trHeight w:val="1398"/>
          <w:jc w:val="center"/>
        </w:trPr>
        <w:tc>
          <w:tcPr>
            <w:tcW w:w="8834"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21A00F62" w14:textId="77777777" w:rsidR="001F4FA7" w:rsidRDefault="001F4FA7" w:rsidP="001F4FA7">
            <w:pPr>
              <w:spacing w:after="0" w:line="240" w:lineRule="auto"/>
              <w:ind w:right="34"/>
              <w:rPr>
                <w:rFonts w:ascii="Arial" w:eastAsia="Arial" w:hAnsi="Arial" w:cs="Arial"/>
                <w:color w:val="000000"/>
                <w:u w:color="000000"/>
              </w:rPr>
            </w:pPr>
            <w:r>
              <w:rPr>
                <w:rFonts w:ascii="Arial" w:eastAsia="Arial Unicode MS" w:hAnsi="Arial" w:cs="Arial Unicode MS"/>
                <w:color w:val="000000"/>
                <w:u w:color="000000"/>
              </w:rPr>
              <w:t>I confirm that this is my original work and that I have adhered to the University policy on plagiarism.</w:t>
            </w:r>
          </w:p>
          <w:p w14:paraId="147AEC8F" w14:textId="129564BB" w:rsidR="001F4FA7" w:rsidRDefault="001F4FA7" w:rsidP="001F4FA7">
            <w:pPr>
              <w:spacing w:after="0" w:line="240" w:lineRule="auto"/>
              <w:ind w:right="34"/>
              <w:rPr>
                <w:rFonts w:ascii="Arial" w:eastAsia="Arial" w:hAnsi="Arial" w:cs="Arial"/>
                <w:color w:val="000000"/>
                <w:u w:color="000000"/>
              </w:rPr>
            </w:pPr>
            <w:r>
              <w:rPr>
                <w:rFonts w:ascii="Arial" w:eastAsia="Arial Unicode MS" w:hAnsi="Arial" w:cs="Arial Unicode MS"/>
                <w:color w:val="000000"/>
                <w:u w:color="000000"/>
              </w:rPr>
              <w:t xml:space="preserve">Signed (type your name </w:t>
            </w:r>
            <w:proofErr w:type="gramStart"/>
            <w:r>
              <w:rPr>
                <w:rFonts w:ascii="Arial" w:eastAsia="Arial Unicode MS" w:hAnsi="Arial" w:cs="Arial Unicode MS"/>
                <w:color w:val="000000"/>
                <w:u w:color="000000"/>
              </w:rPr>
              <w:t>in)…</w:t>
            </w:r>
            <w:proofErr w:type="gramEnd"/>
            <w:r>
              <w:rPr>
                <w:rFonts w:ascii="Arial" w:eastAsia="Arial Unicode MS" w:hAnsi="Arial" w:cs="Arial Unicode MS"/>
                <w:color w:val="000000"/>
                <w:u w:color="000000"/>
              </w:rPr>
              <w:t>………</w:t>
            </w:r>
            <w:r w:rsidR="00860F48">
              <w:rPr>
                <w:rFonts w:ascii="Arial" w:eastAsia="Arial Unicode MS" w:hAnsi="Arial" w:cs="Arial Unicode MS"/>
                <w:color w:val="000000"/>
                <w:u w:color="000000"/>
              </w:rPr>
              <w:t>J.WEEKES</w:t>
            </w:r>
            <w:r>
              <w:rPr>
                <w:rFonts w:ascii="Arial" w:eastAsia="Arial Unicode MS" w:hAnsi="Arial" w:cs="Arial Unicode MS"/>
                <w:color w:val="000000"/>
                <w:u w:color="000000"/>
              </w:rPr>
              <w:t>…………………………………………</w:t>
            </w:r>
          </w:p>
          <w:p w14:paraId="4AD1E824" w14:textId="019A310A" w:rsidR="001F4FA7" w:rsidRDefault="001F4FA7" w:rsidP="001F4FA7">
            <w:pPr>
              <w:spacing w:after="0" w:line="240" w:lineRule="auto"/>
              <w:ind w:right="34"/>
              <w:rPr>
                <w:rFonts w:ascii="Calibri" w:eastAsia="Calibri" w:hAnsi="Calibri" w:cs="Calibri"/>
                <w:b/>
                <w:bCs/>
                <w:color w:val="000000"/>
                <w:sz w:val="44"/>
                <w:szCs w:val="44"/>
                <w:u w:color="000000"/>
              </w:rPr>
            </w:pPr>
            <w:r>
              <w:rPr>
                <w:rFonts w:ascii="Calibri" w:eastAsia="Arial Unicode MS" w:hAnsi="Calibri" w:cs="Arial Unicode MS"/>
                <w:b/>
                <w:bCs/>
                <w:color w:val="000000"/>
                <w:u w:color="000000"/>
              </w:rPr>
              <w:t xml:space="preserve">Email submission: if you are submitting this form via email, please tick this box </w:t>
            </w:r>
            <w:r w:rsidR="00860F48">
              <w:rPr>
                <w:rFonts w:ascii="Calibri" w:eastAsia="Arial Unicode MS" w:hAnsi="Calibri" w:cs="Arial Unicode MS"/>
                <w:b/>
                <w:bCs/>
                <w:color w:val="000000"/>
                <w:sz w:val="44"/>
                <w:szCs w:val="44"/>
                <w:u w:color="000000"/>
              </w:rPr>
              <w:sym w:font="Wingdings" w:char="F0FE"/>
            </w:r>
          </w:p>
          <w:p w14:paraId="71C37DC6" w14:textId="77777777" w:rsidR="001F4FA7" w:rsidRDefault="001F4FA7" w:rsidP="001F4FA7">
            <w:pPr>
              <w:spacing w:after="0" w:line="240" w:lineRule="auto"/>
              <w:ind w:right="34"/>
            </w:pPr>
            <w:r>
              <w:rPr>
                <w:rFonts w:ascii="Calibri" w:eastAsia="Arial Unicode MS" w:hAnsi="Calibri" w:cs="Arial Unicode MS"/>
                <w:b/>
                <w:bCs/>
                <w:color w:val="000000"/>
                <w:u w:color="000000"/>
              </w:rPr>
              <w:t>(as a substitute for your signature) to confirm that you agree to the above declaration.</w:t>
            </w:r>
          </w:p>
        </w:tc>
      </w:tr>
      <w:tr w:rsidR="001F4FA7" w14:paraId="405A48A5" w14:textId="77777777" w:rsidTr="001F4FA7">
        <w:trPr>
          <w:cantSplit/>
          <w:trHeight w:val="3467"/>
          <w:jc w:val="center"/>
        </w:trPr>
        <w:tc>
          <w:tcPr>
            <w:tcW w:w="8834"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BB83BA" w14:textId="77777777" w:rsidR="001F4FA7" w:rsidRDefault="001F4FA7" w:rsidP="001F4FA7">
            <w:pPr>
              <w:pStyle w:val="Body"/>
              <w:rPr>
                <w:rFonts w:ascii="Arial" w:eastAsia="Arial" w:hAnsi="Arial" w:cs="Arial"/>
                <w:b/>
                <w:bCs/>
                <w:u w:color="000000"/>
              </w:rPr>
            </w:pPr>
            <w:r>
              <w:rPr>
                <w:rFonts w:ascii="Arial" w:hAnsi="Arial"/>
                <w:b/>
                <w:bCs/>
                <w:u w:color="000000"/>
                <w:lang w:val="en-US"/>
              </w:rPr>
              <w:lastRenderedPageBreak/>
              <w:t>Assignment Mark</w:t>
            </w:r>
          </w:p>
          <w:p w14:paraId="75B93D86" w14:textId="77777777" w:rsidR="001F4FA7" w:rsidRDefault="001F4FA7" w:rsidP="001F4FA7">
            <w:pPr>
              <w:pStyle w:val="Body"/>
              <w:rPr>
                <w:rFonts w:ascii="Arial" w:eastAsia="Arial" w:hAnsi="Arial" w:cs="Arial"/>
                <w:sz w:val="20"/>
                <w:szCs w:val="20"/>
                <w:u w:color="000000"/>
                <w:lang w:val="en-US"/>
              </w:rPr>
            </w:pPr>
          </w:p>
          <w:p w14:paraId="5E7A3E68" w14:textId="77777777" w:rsidR="001F4FA7" w:rsidRDefault="001F4FA7" w:rsidP="001F4FA7">
            <w:pPr>
              <w:pStyle w:val="Body"/>
              <w:rPr>
                <w:rFonts w:ascii="Arial" w:eastAsia="Arial" w:hAnsi="Arial" w:cs="Arial"/>
                <w:b/>
                <w:bCs/>
                <w:sz w:val="20"/>
                <w:szCs w:val="20"/>
                <w:u w:color="000000"/>
              </w:rPr>
            </w:pPr>
            <w:r>
              <w:rPr>
                <w:rFonts w:ascii="Arial" w:hAnsi="Arial"/>
                <w:b/>
                <w:bCs/>
                <w:sz w:val="20"/>
                <w:szCs w:val="20"/>
                <w:u w:color="000000"/>
                <w:lang w:val="en-US"/>
              </w:rPr>
              <w:t>Final Mark</w:t>
            </w:r>
          </w:p>
          <w:p w14:paraId="12B8F805" w14:textId="77777777" w:rsidR="001F4FA7" w:rsidRDefault="001F4FA7" w:rsidP="001F4FA7">
            <w:pPr>
              <w:pStyle w:val="Body"/>
              <w:rPr>
                <w:rFonts w:ascii="Arial" w:eastAsia="Arial" w:hAnsi="Arial" w:cs="Arial"/>
                <w:sz w:val="20"/>
                <w:szCs w:val="20"/>
                <w:u w:color="000000"/>
                <w:lang w:val="en-US"/>
              </w:rPr>
            </w:pPr>
            <w:r>
              <w:rPr>
                <w:rFonts w:ascii="Arial" w:eastAsia="Arial" w:hAnsi="Arial" w:cs="Arial"/>
                <w:b/>
                <w:bCs/>
                <w:sz w:val="20"/>
                <w:szCs w:val="20"/>
                <w:u w:color="000000"/>
              </w:rPr>
              <w:tab/>
            </w:r>
            <w:r>
              <w:rPr>
                <w:rFonts w:ascii="Arial" w:hAnsi="Arial"/>
                <w:sz w:val="20"/>
                <w:szCs w:val="20"/>
                <w:u w:color="000000"/>
                <w:lang w:val="en-US"/>
              </w:rPr>
              <w:t>WILL BE GIVEN ON TURNITIN</w:t>
            </w:r>
          </w:p>
          <w:p w14:paraId="5D0FA24B" w14:textId="77777777" w:rsidR="001F4FA7" w:rsidRDefault="001F4FA7" w:rsidP="001F4FA7">
            <w:pPr>
              <w:spacing w:after="0" w:line="240" w:lineRule="auto"/>
              <w:ind w:left="142" w:right="34"/>
              <w:rPr>
                <w:rFonts w:ascii="Arial" w:eastAsia="Arial" w:hAnsi="Arial" w:cs="Arial"/>
                <w:b/>
                <w:bCs/>
                <w:color w:val="000000"/>
                <w:u w:color="000000"/>
              </w:rPr>
            </w:pPr>
          </w:p>
          <w:p w14:paraId="3BD20637" w14:textId="77777777" w:rsidR="001F4FA7" w:rsidRDefault="001F4FA7" w:rsidP="001F4FA7">
            <w:pPr>
              <w:spacing w:after="0" w:line="240" w:lineRule="auto"/>
              <w:ind w:left="142" w:right="34"/>
              <w:rPr>
                <w:rFonts w:ascii="Arial" w:eastAsia="Arial" w:hAnsi="Arial" w:cs="Arial"/>
                <w:color w:val="000000"/>
                <w:u w:color="000000"/>
              </w:rPr>
            </w:pPr>
            <w:r>
              <w:rPr>
                <w:rFonts w:ascii="Arial" w:eastAsia="Arial Unicode MS" w:hAnsi="Arial" w:cs="Arial Unicode MS"/>
                <w:b/>
                <w:bCs/>
                <w:color w:val="000000"/>
                <w:u w:color="000000"/>
              </w:rPr>
              <w:t>NB.</w:t>
            </w:r>
            <w:r>
              <w:rPr>
                <w:rFonts w:ascii="Arial" w:eastAsia="Arial Unicode MS" w:hAnsi="Arial" w:cs="Arial Unicode MS"/>
                <w:color w:val="000000"/>
                <w:u w:color="000000"/>
              </w:rPr>
              <w:t xml:space="preserve">  All marks are provisional until confirmed by the Final Examination Board.</w:t>
            </w:r>
          </w:p>
          <w:p w14:paraId="03454633" w14:textId="77777777" w:rsidR="001F4FA7" w:rsidRDefault="001F4FA7" w:rsidP="001F4FA7">
            <w:pPr>
              <w:spacing w:after="0" w:line="240" w:lineRule="auto"/>
              <w:rPr>
                <w:rFonts w:ascii="Arial" w:eastAsia="Arial" w:hAnsi="Arial" w:cs="Arial"/>
                <w:b/>
                <w:bCs/>
                <w:color w:val="000000"/>
                <w:u w:color="000000"/>
              </w:rPr>
            </w:pPr>
          </w:p>
          <w:p w14:paraId="13A2BA51" w14:textId="77777777" w:rsidR="001F4FA7" w:rsidRDefault="001F4FA7" w:rsidP="001F4FA7">
            <w:pPr>
              <w:spacing w:after="0" w:line="240" w:lineRule="auto"/>
              <w:rPr>
                <w:rFonts w:ascii="Arial" w:eastAsia="Arial" w:hAnsi="Arial" w:cs="Arial"/>
                <w:b/>
                <w:bCs/>
                <w:color w:val="000000"/>
                <w:u w:color="000000"/>
              </w:rPr>
            </w:pPr>
            <w:r>
              <w:rPr>
                <w:rFonts w:ascii="Arial" w:eastAsia="Arial Unicode MS" w:hAnsi="Arial" w:cs="Arial Unicode MS"/>
                <w:b/>
                <w:bCs/>
                <w:color w:val="000000"/>
                <w:u w:color="000000"/>
              </w:rPr>
              <w:t>PLEASE NOTE: ALL COMMENTS WILL BE POSTED ON TURNITIN</w:t>
            </w:r>
          </w:p>
          <w:p w14:paraId="64D27A36" w14:textId="77777777" w:rsidR="001F4FA7" w:rsidRDefault="001F4FA7" w:rsidP="001F4FA7">
            <w:pPr>
              <w:spacing w:after="0" w:line="240" w:lineRule="auto"/>
              <w:rPr>
                <w:rFonts w:ascii="Arial" w:eastAsia="Arial" w:hAnsi="Arial" w:cs="Arial"/>
                <w:b/>
                <w:bCs/>
                <w:color w:val="000000"/>
                <w:u w:color="000000"/>
              </w:rPr>
            </w:pPr>
          </w:p>
          <w:p w14:paraId="79A750B7" w14:textId="77777777" w:rsidR="001F4FA7" w:rsidRDefault="001F4FA7" w:rsidP="001F4FA7">
            <w:pPr>
              <w:spacing w:after="0" w:line="240" w:lineRule="auto"/>
              <w:rPr>
                <w:rFonts w:ascii="Arial" w:eastAsia="Arial" w:hAnsi="Arial" w:cs="Arial"/>
                <w:b/>
                <w:bCs/>
                <w:color w:val="000000"/>
                <w:u w:color="000000"/>
              </w:rPr>
            </w:pPr>
          </w:p>
          <w:p w14:paraId="22D07A4A" w14:textId="77777777" w:rsidR="001F4FA7" w:rsidRDefault="001F4FA7" w:rsidP="001F4FA7">
            <w:pPr>
              <w:spacing w:after="0" w:line="240" w:lineRule="auto"/>
              <w:rPr>
                <w:rFonts w:ascii="Arial" w:eastAsia="Arial" w:hAnsi="Arial" w:cs="Arial"/>
                <w:b/>
                <w:bCs/>
                <w:color w:val="000000"/>
                <w:u w:color="000000"/>
              </w:rPr>
            </w:pPr>
            <w:r>
              <w:rPr>
                <w:rFonts w:ascii="Arial" w:eastAsia="Arial Unicode MS" w:hAnsi="Arial" w:cs="Arial Unicode MS"/>
                <w:b/>
                <w:bCs/>
                <w:color w:val="000000"/>
                <w:u w:color="000000"/>
              </w:rPr>
              <w:t xml:space="preserve">For completion by Marker </w:t>
            </w:r>
            <w:proofErr w:type="gramStart"/>
            <w:r>
              <w:rPr>
                <w:rFonts w:ascii="Arial" w:eastAsia="Arial Unicode MS" w:hAnsi="Arial" w:cs="Arial Unicode MS"/>
                <w:b/>
                <w:bCs/>
                <w:color w:val="000000"/>
                <w:u w:color="000000"/>
              </w:rPr>
              <w:t>1 :</w:t>
            </w:r>
            <w:proofErr w:type="gramEnd"/>
          </w:p>
          <w:p w14:paraId="32F01B76" w14:textId="77777777" w:rsidR="001F4FA7" w:rsidRDefault="001F4FA7" w:rsidP="001F4FA7">
            <w:pPr>
              <w:spacing w:before="100" w:after="0" w:line="240" w:lineRule="auto"/>
            </w:pPr>
            <w:r>
              <w:rPr>
                <w:rFonts w:ascii="Arial" w:eastAsia="Arial Unicode MS" w:hAnsi="Arial" w:cs="Arial Unicode MS"/>
                <w:color w:val="000000"/>
                <w:u w:color="000000"/>
              </w:rPr>
              <w:t>Comments:</w:t>
            </w:r>
          </w:p>
        </w:tc>
      </w:tr>
      <w:tr w:rsidR="001F4FA7" w14:paraId="5BBA6161" w14:textId="77777777" w:rsidTr="001F4FA7">
        <w:trPr>
          <w:cantSplit/>
          <w:trHeight w:val="302"/>
          <w:jc w:val="center"/>
        </w:trPr>
        <w:tc>
          <w:tcPr>
            <w:tcW w:w="675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62A1C66B" w14:textId="77777777" w:rsidR="001F4FA7" w:rsidRDefault="001F4FA7" w:rsidP="001F4FA7">
            <w:pPr>
              <w:spacing w:before="100" w:after="0" w:line="240" w:lineRule="auto"/>
              <w:ind w:left="142" w:right="34"/>
            </w:pPr>
            <w:r>
              <w:rPr>
                <w:rFonts w:ascii="Arial" w:eastAsia="Arial Unicode MS" w:hAnsi="Arial" w:cs="Arial Unicode MS"/>
                <w:color w:val="000000"/>
                <w:u w:color="000000"/>
              </w:rPr>
              <w:t>Marker’s signature:</w:t>
            </w:r>
          </w:p>
        </w:tc>
        <w:tc>
          <w:tcPr>
            <w:tcW w:w="208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7345E6F6" w14:textId="77777777" w:rsidR="001F4FA7" w:rsidRDefault="001F4FA7" w:rsidP="001F4FA7">
            <w:pPr>
              <w:spacing w:before="100" w:after="0" w:line="240" w:lineRule="auto"/>
              <w:ind w:left="142" w:right="34"/>
            </w:pPr>
            <w:r>
              <w:rPr>
                <w:rFonts w:ascii="Arial" w:eastAsia="Arial Unicode MS" w:hAnsi="Arial" w:cs="Arial Unicode MS"/>
                <w:color w:val="000000"/>
                <w:u w:color="000000"/>
              </w:rPr>
              <w:t>Date:</w:t>
            </w:r>
          </w:p>
        </w:tc>
      </w:tr>
      <w:tr w:rsidR="001F4FA7" w14:paraId="59E83743" w14:textId="77777777" w:rsidTr="001F4FA7">
        <w:trPr>
          <w:cantSplit/>
          <w:trHeight w:val="1530"/>
          <w:jc w:val="center"/>
        </w:trPr>
        <w:tc>
          <w:tcPr>
            <w:tcW w:w="8834"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36A360" w14:textId="77777777" w:rsidR="001F4FA7" w:rsidRDefault="001F4FA7" w:rsidP="001F4FA7">
            <w:pPr>
              <w:spacing w:after="0" w:line="240" w:lineRule="auto"/>
              <w:rPr>
                <w:rFonts w:ascii="Arial" w:eastAsia="Arial" w:hAnsi="Arial" w:cs="Arial"/>
                <w:i/>
                <w:iCs/>
                <w:color w:val="000000"/>
                <w:u w:color="000000"/>
              </w:rPr>
            </w:pPr>
          </w:p>
          <w:p w14:paraId="03266B40" w14:textId="77777777" w:rsidR="001F4FA7" w:rsidRDefault="001F4FA7" w:rsidP="001F4FA7">
            <w:pPr>
              <w:spacing w:after="0" w:line="240" w:lineRule="auto"/>
              <w:rPr>
                <w:rFonts w:ascii="Arial" w:eastAsia="Arial" w:hAnsi="Arial" w:cs="Arial"/>
                <w:b/>
                <w:bCs/>
                <w:color w:val="000000"/>
                <w:u w:color="000000"/>
              </w:rPr>
            </w:pPr>
            <w:r>
              <w:rPr>
                <w:rFonts w:ascii="Arial" w:eastAsia="Arial Unicode MS" w:hAnsi="Arial" w:cs="Arial Unicode MS"/>
                <w:b/>
                <w:bCs/>
                <w:color w:val="000000"/>
                <w:u w:color="000000"/>
              </w:rPr>
              <w:t>For completion by Marker 2/Moderator:</w:t>
            </w:r>
          </w:p>
          <w:p w14:paraId="73ED33C3" w14:textId="77777777" w:rsidR="001F4FA7" w:rsidRDefault="001F4FA7" w:rsidP="001F4FA7">
            <w:pPr>
              <w:spacing w:after="0" w:line="240" w:lineRule="auto"/>
              <w:rPr>
                <w:rFonts w:ascii="Arial" w:eastAsia="Arial" w:hAnsi="Arial" w:cs="Arial"/>
                <w:b/>
                <w:bCs/>
                <w:color w:val="000000"/>
                <w:u w:color="000000"/>
              </w:rPr>
            </w:pPr>
          </w:p>
          <w:p w14:paraId="6DE7C4EA" w14:textId="77777777" w:rsidR="001F4FA7" w:rsidRDefault="001F4FA7" w:rsidP="001F4FA7">
            <w:pPr>
              <w:spacing w:after="0" w:line="240" w:lineRule="auto"/>
              <w:rPr>
                <w:rFonts w:ascii="Arial" w:eastAsia="Arial" w:hAnsi="Arial" w:cs="Arial"/>
                <w:color w:val="000000"/>
                <w:u w:color="000000"/>
              </w:rPr>
            </w:pPr>
            <w:r>
              <w:rPr>
                <w:rFonts w:ascii="Arial" w:eastAsia="Arial Unicode MS" w:hAnsi="Arial" w:cs="Arial Unicode MS"/>
                <w:color w:val="000000"/>
                <w:u w:color="000000"/>
              </w:rPr>
              <w:t>Comments:</w:t>
            </w:r>
          </w:p>
          <w:p w14:paraId="6F7A2656" w14:textId="77777777" w:rsidR="001F4FA7" w:rsidRDefault="001F4FA7" w:rsidP="001F4FA7">
            <w:pPr>
              <w:spacing w:after="0" w:line="240" w:lineRule="auto"/>
              <w:rPr>
                <w:rFonts w:ascii="Arial" w:eastAsia="Arial" w:hAnsi="Arial" w:cs="Arial"/>
                <w:color w:val="000000"/>
                <w:u w:color="000000"/>
              </w:rPr>
            </w:pPr>
          </w:p>
          <w:p w14:paraId="3C1DAFA6" w14:textId="77777777" w:rsidR="001F4FA7" w:rsidRDefault="001F4FA7" w:rsidP="001F4FA7">
            <w:pPr>
              <w:spacing w:after="0" w:line="240" w:lineRule="auto"/>
            </w:pPr>
          </w:p>
        </w:tc>
      </w:tr>
      <w:tr w:rsidR="001F4FA7" w14:paraId="226F2A1E" w14:textId="77777777" w:rsidTr="001F4FA7">
        <w:trPr>
          <w:cantSplit/>
          <w:trHeight w:val="509"/>
          <w:jc w:val="center"/>
        </w:trPr>
        <w:tc>
          <w:tcPr>
            <w:tcW w:w="519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9CFBE0" w14:textId="77777777" w:rsidR="001F4FA7" w:rsidRDefault="001F4FA7" w:rsidP="001F4FA7">
            <w:pPr>
              <w:spacing w:after="0" w:line="240" w:lineRule="auto"/>
            </w:pPr>
            <w:r>
              <w:rPr>
                <w:rFonts w:ascii="Arial" w:eastAsia="Arial Unicode MS" w:hAnsi="Arial" w:cs="Arial Unicode MS"/>
                <w:color w:val="000000"/>
                <w:u w:color="000000"/>
              </w:rPr>
              <w:t>Marker’s Signature:</w:t>
            </w:r>
          </w:p>
        </w:tc>
        <w:tc>
          <w:tcPr>
            <w:tcW w:w="363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77A7D9" w14:textId="77777777" w:rsidR="001F4FA7" w:rsidRDefault="001F4FA7" w:rsidP="001F4FA7">
            <w:pPr>
              <w:spacing w:after="0" w:line="240" w:lineRule="auto"/>
            </w:pPr>
            <w:r>
              <w:rPr>
                <w:rFonts w:ascii="Arial" w:eastAsia="Arial Unicode MS" w:hAnsi="Arial" w:cs="Arial Unicode MS"/>
                <w:color w:val="000000"/>
                <w:u w:color="000000"/>
              </w:rPr>
              <w:t>Date:</w:t>
            </w:r>
          </w:p>
        </w:tc>
      </w:tr>
      <w:tr w:rsidR="001F4FA7" w14:paraId="4EFD8C4A" w14:textId="77777777" w:rsidTr="001F4FA7">
        <w:trPr>
          <w:cantSplit/>
          <w:trHeight w:val="2404"/>
          <w:jc w:val="center"/>
        </w:trPr>
        <w:tc>
          <w:tcPr>
            <w:tcW w:w="8834"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AF8529" w14:textId="77777777" w:rsidR="001F4FA7" w:rsidRDefault="001F4FA7" w:rsidP="001F4FA7">
            <w:pPr>
              <w:pStyle w:val="Body"/>
              <w:rPr>
                <w:rFonts w:ascii="Arial" w:eastAsia="Arial" w:hAnsi="Arial" w:cs="Arial"/>
                <w:b/>
                <w:bCs/>
                <w:u w:color="000000"/>
              </w:rPr>
            </w:pPr>
            <w:r>
              <w:rPr>
                <w:rFonts w:ascii="Arial" w:hAnsi="Arial"/>
                <w:b/>
                <w:bCs/>
                <w:u w:color="000000"/>
                <w:lang w:val="en-US"/>
              </w:rPr>
              <w:t>AGREED INTERNAL MARK (where necessary):</w:t>
            </w:r>
          </w:p>
          <w:p w14:paraId="71943B93" w14:textId="77777777" w:rsidR="001F4FA7" w:rsidRDefault="001F4FA7" w:rsidP="001F4FA7">
            <w:pPr>
              <w:pStyle w:val="Body"/>
              <w:rPr>
                <w:rFonts w:ascii="Arial" w:eastAsia="Arial" w:hAnsi="Arial" w:cs="Arial"/>
                <w:b/>
                <w:bCs/>
                <w:u w:color="000000"/>
                <w:lang w:val="en-US"/>
              </w:rPr>
            </w:pPr>
          </w:p>
          <w:p w14:paraId="5EBE73C1" w14:textId="77777777" w:rsidR="001F4FA7" w:rsidRDefault="001F4FA7" w:rsidP="001F4FA7">
            <w:pPr>
              <w:pStyle w:val="Body"/>
              <w:rPr>
                <w:rFonts w:ascii="Arial" w:eastAsia="Arial" w:hAnsi="Arial" w:cs="Arial"/>
                <w:b/>
                <w:bCs/>
                <w:u w:color="000000"/>
              </w:rPr>
            </w:pPr>
            <w:r>
              <w:rPr>
                <w:rFonts w:ascii="Arial" w:hAnsi="Arial"/>
                <w:b/>
                <w:bCs/>
                <w:u w:color="000000"/>
                <w:lang w:val="en-US"/>
              </w:rPr>
              <w:t>Comment on process of arriving at agreed mark:</w:t>
            </w:r>
          </w:p>
          <w:p w14:paraId="4B6BAEF8" w14:textId="77777777" w:rsidR="001F4FA7" w:rsidRDefault="001F4FA7" w:rsidP="001F4FA7">
            <w:pPr>
              <w:pStyle w:val="Body"/>
              <w:rPr>
                <w:rFonts w:ascii="Arial" w:eastAsia="Arial" w:hAnsi="Arial" w:cs="Arial"/>
                <w:b/>
                <w:bCs/>
                <w:u w:color="000000"/>
                <w:lang w:val="en-US"/>
              </w:rPr>
            </w:pPr>
          </w:p>
          <w:p w14:paraId="7D244398" w14:textId="77777777" w:rsidR="001F4FA7" w:rsidRDefault="001F4FA7" w:rsidP="001F4FA7">
            <w:pPr>
              <w:pStyle w:val="Body"/>
              <w:rPr>
                <w:rFonts w:ascii="Arial" w:eastAsia="Arial" w:hAnsi="Arial" w:cs="Arial"/>
                <w:b/>
                <w:bCs/>
                <w:u w:color="000000"/>
                <w:lang w:val="en-US"/>
              </w:rPr>
            </w:pPr>
          </w:p>
          <w:p w14:paraId="734226CF" w14:textId="77777777" w:rsidR="001F4FA7" w:rsidRDefault="001F4FA7" w:rsidP="001F4FA7">
            <w:pPr>
              <w:pStyle w:val="Body"/>
              <w:rPr>
                <w:rFonts w:ascii="Arial" w:eastAsia="Arial" w:hAnsi="Arial" w:cs="Arial"/>
                <w:b/>
                <w:bCs/>
                <w:u w:color="000000"/>
                <w:lang w:val="en-US"/>
              </w:rPr>
            </w:pPr>
          </w:p>
          <w:p w14:paraId="4BD7D87F" w14:textId="77777777" w:rsidR="001F4FA7" w:rsidRDefault="001F4FA7" w:rsidP="001F4FA7">
            <w:pPr>
              <w:pStyle w:val="Body"/>
              <w:rPr>
                <w:rFonts w:ascii="Arial" w:eastAsia="Arial" w:hAnsi="Arial" w:cs="Arial"/>
                <w:b/>
                <w:bCs/>
                <w:u w:color="000000"/>
                <w:lang w:val="en-US"/>
              </w:rPr>
            </w:pPr>
          </w:p>
          <w:p w14:paraId="32995F5F" w14:textId="77777777" w:rsidR="001F4FA7" w:rsidRDefault="001F4FA7" w:rsidP="001F4FA7">
            <w:pPr>
              <w:pStyle w:val="Body"/>
              <w:rPr>
                <w:rFonts w:ascii="Arial" w:eastAsia="Arial" w:hAnsi="Arial" w:cs="Arial"/>
                <w:b/>
                <w:bCs/>
                <w:u w:color="000000"/>
                <w:lang w:val="en-US"/>
              </w:rPr>
            </w:pPr>
          </w:p>
          <w:p w14:paraId="40EC942E" w14:textId="77777777" w:rsidR="001F4FA7" w:rsidRDefault="001F4FA7" w:rsidP="001F4FA7">
            <w:pPr>
              <w:pStyle w:val="Body"/>
              <w:rPr>
                <w:rFonts w:hint="eastAsia"/>
              </w:rPr>
            </w:pPr>
          </w:p>
        </w:tc>
      </w:tr>
      <w:tr w:rsidR="001F4FA7" w14:paraId="1F38CBBA" w14:textId="77777777" w:rsidTr="001F4FA7">
        <w:trPr>
          <w:cantSplit/>
          <w:trHeight w:val="1749"/>
          <w:jc w:val="center"/>
        </w:trPr>
        <w:tc>
          <w:tcPr>
            <w:tcW w:w="8834"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FBDC14" w14:textId="77777777" w:rsidR="001F4FA7" w:rsidRDefault="001F4FA7" w:rsidP="001F4FA7">
            <w:pPr>
              <w:pStyle w:val="Body"/>
              <w:rPr>
                <w:rFonts w:ascii="Arial" w:eastAsia="Arial" w:hAnsi="Arial" w:cs="Arial"/>
                <w:b/>
                <w:bCs/>
                <w:u w:color="000000"/>
              </w:rPr>
            </w:pPr>
            <w:r>
              <w:rPr>
                <w:rFonts w:ascii="Arial" w:hAnsi="Arial"/>
                <w:b/>
                <w:bCs/>
                <w:u w:color="000000"/>
                <w:lang w:val="en-US"/>
              </w:rPr>
              <w:t>External Examiner’s comments (if relevant)</w:t>
            </w:r>
          </w:p>
          <w:p w14:paraId="2C36EC5E" w14:textId="77777777" w:rsidR="001F4FA7" w:rsidRDefault="001F4FA7" w:rsidP="001F4FA7">
            <w:pPr>
              <w:spacing w:after="0" w:line="240" w:lineRule="auto"/>
              <w:rPr>
                <w:rFonts w:ascii="Arial" w:eastAsia="Arial" w:hAnsi="Arial" w:cs="Arial"/>
                <w:color w:val="000000"/>
                <w:u w:color="000000"/>
              </w:rPr>
            </w:pPr>
          </w:p>
          <w:p w14:paraId="5216AACA" w14:textId="77777777" w:rsidR="001F4FA7" w:rsidRDefault="001F4FA7" w:rsidP="001F4FA7">
            <w:pPr>
              <w:spacing w:after="0" w:line="240" w:lineRule="auto"/>
              <w:rPr>
                <w:rFonts w:ascii="Arial" w:eastAsia="Arial" w:hAnsi="Arial" w:cs="Arial"/>
                <w:color w:val="000000"/>
                <w:u w:color="000000"/>
              </w:rPr>
            </w:pPr>
          </w:p>
          <w:p w14:paraId="4AA2DCA7" w14:textId="77777777" w:rsidR="001F4FA7" w:rsidRDefault="001F4FA7" w:rsidP="001F4FA7">
            <w:pPr>
              <w:spacing w:after="0" w:line="240" w:lineRule="auto"/>
              <w:rPr>
                <w:rFonts w:ascii="Arial" w:eastAsia="Arial" w:hAnsi="Arial" w:cs="Arial"/>
                <w:color w:val="000000"/>
                <w:u w:color="000000"/>
              </w:rPr>
            </w:pPr>
          </w:p>
          <w:p w14:paraId="64F7C144" w14:textId="77777777" w:rsidR="001F4FA7" w:rsidRDefault="001F4FA7" w:rsidP="001F4FA7">
            <w:pPr>
              <w:spacing w:after="0" w:line="240" w:lineRule="auto"/>
              <w:rPr>
                <w:rFonts w:ascii="Arial" w:eastAsia="Arial" w:hAnsi="Arial" w:cs="Arial"/>
                <w:color w:val="000000"/>
                <w:u w:color="000000"/>
              </w:rPr>
            </w:pPr>
          </w:p>
          <w:p w14:paraId="0FBE3C4D" w14:textId="77777777" w:rsidR="001F4FA7" w:rsidRDefault="001F4FA7" w:rsidP="001F4FA7">
            <w:pPr>
              <w:spacing w:after="0" w:line="240" w:lineRule="auto"/>
              <w:rPr>
                <w:rFonts w:ascii="Arial" w:eastAsia="Arial" w:hAnsi="Arial" w:cs="Arial"/>
                <w:color w:val="000000"/>
                <w:u w:color="000000"/>
              </w:rPr>
            </w:pPr>
          </w:p>
          <w:p w14:paraId="101C0D59" w14:textId="77777777" w:rsidR="001F4FA7" w:rsidRDefault="001F4FA7" w:rsidP="001F4FA7">
            <w:pPr>
              <w:spacing w:after="0" w:line="240" w:lineRule="auto"/>
            </w:pPr>
          </w:p>
        </w:tc>
      </w:tr>
      <w:tr w:rsidR="001F4FA7" w14:paraId="179109C6" w14:textId="77777777" w:rsidTr="001F4FA7">
        <w:trPr>
          <w:cantSplit/>
          <w:trHeight w:val="509"/>
          <w:jc w:val="center"/>
        </w:trPr>
        <w:tc>
          <w:tcPr>
            <w:tcW w:w="519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EC617B" w14:textId="77777777" w:rsidR="001F4FA7" w:rsidRDefault="001F4FA7" w:rsidP="001F4FA7">
            <w:pPr>
              <w:pStyle w:val="Body"/>
              <w:rPr>
                <w:rFonts w:hint="eastAsia"/>
              </w:rPr>
            </w:pPr>
            <w:r>
              <w:rPr>
                <w:rFonts w:ascii="Arial" w:hAnsi="Arial"/>
                <w:u w:color="000000"/>
                <w:lang w:val="en-US"/>
              </w:rPr>
              <w:t>External Examiner’s Signature:</w:t>
            </w:r>
          </w:p>
        </w:tc>
        <w:tc>
          <w:tcPr>
            <w:tcW w:w="363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648D63" w14:textId="77777777" w:rsidR="001F4FA7" w:rsidRDefault="001F4FA7" w:rsidP="001F4FA7">
            <w:pPr>
              <w:pStyle w:val="Body"/>
              <w:rPr>
                <w:rFonts w:hint="eastAsia"/>
              </w:rPr>
            </w:pPr>
            <w:r>
              <w:rPr>
                <w:rFonts w:ascii="Arial" w:hAnsi="Arial"/>
                <w:u w:color="000000"/>
                <w:lang w:val="en-US"/>
              </w:rPr>
              <w:t>Date:</w:t>
            </w:r>
          </w:p>
        </w:tc>
      </w:tr>
    </w:tbl>
    <w:p w14:paraId="4A84657B" w14:textId="37F2EA80" w:rsidR="00C10886" w:rsidRDefault="000C3277" w:rsidP="00F23D06">
      <w:pPr>
        <w:jc w:val="center"/>
        <w:rPr>
          <w:b/>
          <w:bCs/>
          <w:sz w:val="32"/>
          <w:szCs w:val="32"/>
        </w:rPr>
      </w:pPr>
      <w:r w:rsidRPr="00F23D06">
        <w:rPr>
          <w:b/>
          <w:bCs/>
          <w:sz w:val="32"/>
          <w:szCs w:val="32"/>
        </w:rPr>
        <w:lastRenderedPageBreak/>
        <w:t>A Critical Comparison of Two Secondary Sources</w:t>
      </w:r>
    </w:p>
    <w:p w14:paraId="08F58B29" w14:textId="26ECFA65" w:rsidR="00A0708F" w:rsidRPr="00A0708F" w:rsidRDefault="00A0708F" w:rsidP="00F23D06">
      <w:pPr>
        <w:jc w:val="center"/>
        <w:rPr>
          <w:i/>
          <w:iCs/>
          <w:sz w:val="40"/>
          <w:szCs w:val="40"/>
        </w:rPr>
      </w:pPr>
      <w:r w:rsidRPr="00A0708F">
        <w:rPr>
          <w:i/>
          <w:iCs/>
          <w:sz w:val="28"/>
          <w:szCs w:val="28"/>
        </w:rPr>
        <w:t>Nurit Bird-David’s ‘Animism Revisited: Personhood, Environment and Relational Epistemology,' and Kelly D. Alley’s ‘River Goddesses, Personhood and Rights of Nature: Implications for Spiritual Ecology’</w:t>
      </w:r>
    </w:p>
    <w:p w14:paraId="21C29464" w14:textId="77777777" w:rsidR="00A0708F" w:rsidRDefault="00A0708F" w:rsidP="00B9117C">
      <w:pPr>
        <w:ind w:firstLine="720"/>
        <w:rPr>
          <w:b/>
          <w:bCs/>
        </w:rPr>
      </w:pPr>
    </w:p>
    <w:p w14:paraId="2ACD1D86" w14:textId="7823683E" w:rsidR="00C10886" w:rsidRDefault="003A5EA1" w:rsidP="00B9117C">
      <w:pPr>
        <w:ind w:firstLine="720"/>
      </w:pPr>
      <w:r w:rsidRPr="00DF717D">
        <w:t>Across multiple disciplines, there has been an e</w:t>
      </w:r>
      <w:r w:rsidR="00C10886" w:rsidRPr="00DF717D">
        <w:t>volving discussion around the non-human and personhood.</w:t>
      </w:r>
      <w:r w:rsidRPr="00DF717D">
        <w:t xml:space="preserve"> </w:t>
      </w:r>
      <w:r w:rsidR="00C10886" w:rsidRPr="00DF717D">
        <w:t xml:space="preserve">This </w:t>
      </w:r>
      <w:r w:rsidR="00B9117C" w:rsidRPr="00DF717D">
        <w:t>essay</w:t>
      </w:r>
      <w:r w:rsidR="00C10886" w:rsidRPr="00DF717D">
        <w:t xml:space="preserve"> compares and contrasts </w:t>
      </w:r>
      <w:r w:rsidR="002A2093" w:rsidRPr="00DF717D">
        <w:t>Nurit Bird-David’s ‘Animism Revisited: Personhood, Environment and Relational Epistemology,'</w:t>
      </w:r>
      <w:r w:rsidR="002A2093" w:rsidRPr="00DF717D">
        <w:rPr>
          <w:rStyle w:val="FootnoteReference"/>
        </w:rPr>
        <w:footnoteReference w:id="1"/>
      </w:r>
      <w:r w:rsidR="002A2093" w:rsidRPr="00DF717D">
        <w:t xml:space="preserve"> and </w:t>
      </w:r>
      <w:r w:rsidR="00C10886" w:rsidRPr="00DF717D">
        <w:t xml:space="preserve">Kelly D. </w:t>
      </w:r>
      <w:r w:rsidR="00C10886" w:rsidRPr="000C3277">
        <w:t>Alley</w:t>
      </w:r>
      <w:r w:rsidR="00C10886">
        <w:t>’s</w:t>
      </w:r>
      <w:r w:rsidR="00C10886" w:rsidRPr="000C3277">
        <w:t xml:space="preserve"> ‘River Goddesses, Personhood and Rights of Nature: Implications for Spiritual Ecology’</w:t>
      </w:r>
      <w:r w:rsidR="00B9117C">
        <w:rPr>
          <w:rStyle w:val="FootnoteReference"/>
        </w:rPr>
        <w:footnoteReference w:id="2"/>
      </w:r>
      <w:r w:rsidR="002A2093">
        <w:t>.</w:t>
      </w:r>
      <w:r w:rsidR="00C10886">
        <w:t xml:space="preserve"> </w:t>
      </w:r>
      <w:r w:rsidR="00B9117C">
        <w:t>It</w:t>
      </w:r>
      <w:r w:rsidR="00C10886">
        <w:t xml:space="preserve"> will consider how these papers</w:t>
      </w:r>
      <w:r w:rsidR="00604D4F">
        <w:t xml:space="preserve"> contribute to the</w:t>
      </w:r>
      <w:r w:rsidR="00C10886">
        <w:t xml:space="preserve"> evolution of narratives</w:t>
      </w:r>
      <w:r w:rsidR="00B9117C">
        <w:t xml:space="preserve"> </w:t>
      </w:r>
      <w:r w:rsidR="00320009">
        <w:t>relating to</w:t>
      </w:r>
      <w:r w:rsidR="00B9117C">
        <w:t xml:space="preserve"> personhood and the non-human</w:t>
      </w:r>
      <w:r w:rsidR="00C10886">
        <w:t xml:space="preserve">, </w:t>
      </w:r>
      <w:r w:rsidR="00B9117C">
        <w:t xml:space="preserve">how </w:t>
      </w:r>
      <w:r w:rsidR="00C10886">
        <w:t xml:space="preserve">their methodology has </w:t>
      </w:r>
      <w:r w:rsidR="00604D4F">
        <w:t xml:space="preserve">contributed </w:t>
      </w:r>
      <w:r w:rsidR="00C10886">
        <w:t xml:space="preserve">to the different conceptions </w:t>
      </w:r>
      <w:r w:rsidR="00B9117C">
        <w:t>that they reach</w:t>
      </w:r>
      <w:r w:rsidR="00604D4F">
        <w:t xml:space="preserve">, </w:t>
      </w:r>
      <w:r>
        <w:t>and how the discussion can often show the difficulty of reconciling Western and non-Western ontologies.</w:t>
      </w:r>
    </w:p>
    <w:p w14:paraId="06F888B1" w14:textId="0B150620" w:rsidR="0063038E" w:rsidRDefault="00C10886" w:rsidP="00C10886">
      <w:pPr>
        <w:ind w:firstLine="720"/>
      </w:pPr>
      <w:r>
        <w:t>Animism Revisited</w:t>
      </w:r>
      <w:r w:rsidR="0063038E">
        <w:t xml:space="preserve"> was </w:t>
      </w:r>
      <w:r>
        <w:t xml:space="preserve">published </w:t>
      </w:r>
      <w:r w:rsidRPr="00D84C37">
        <w:t xml:space="preserve">in </w:t>
      </w:r>
      <w:r w:rsidRPr="009012C0">
        <w:rPr>
          <w:i/>
          <w:iCs/>
        </w:rPr>
        <w:t>Current Anthropology</w:t>
      </w:r>
      <w:r>
        <w:t>,</w:t>
      </w:r>
      <w:r w:rsidRPr="00D84C37">
        <w:t xml:space="preserve"> </w:t>
      </w:r>
      <w:r>
        <w:t>in a special edition inviting new perspectives on longstanding ideas</w:t>
      </w:r>
      <w:r w:rsidR="0063038E">
        <w:t xml:space="preserve">. </w:t>
      </w:r>
      <w:r>
        <w:t xml:space="preserve">Bird-David </w:t>
      </w:r>
      <w:r w:rsidRPr="00D84C37">
        <w:t>contribut</w:t>
      </w:r>
      <w:r>
        <w:t>ed</w:t>
      </w:r>
      <w:r w:rsidRPr="00D84C37">
        <w:t xml:space="preserve"> </w:t>
      </w:r>
      <w:r w:rsidR="00B246D8">
        <w:t xml:space="preserve">by shifting perspectives on the term Animism, </w:t>
      </w:r>
      <w:r w:rsidRPr="00D84C37">
        <w:t xml:space="preserve">highlighting how </w:t>
      </w:r>
      <w:r>
        <w:t xml:space="preserve">its understanding until that point had been largely </w:t>
      </w:r>
      <w:r w:rsidR="0063038E">
        <w:t>bound</w:t>
      </w:r>
      <w:r>
        <w:t xml:space="preserve"> by western ontological frameworks</w:t>
      </w:r>
      <w:r w:rsidR="0063038E">
        <w:t xml:space="preserve"> since its</w:t>
      </w:r>
      <w:r>
        <w:t xml:space="preserve"> introduction by E.B Tyler in 1871</w:t>
      </w:r>
      <w:r w:rsidR="00B246D8">
        <w:t xml:space="preserve">, and </w:t>
      </w:r>
      <w:r w:rsidR="00604D4F">
        <w:t>explain</w:t>
      </w:r>
      <w:r w:rsidR="00B246D8">
        <w:t>ing</w:t>
      </w:r>
      <w:r w:rsidR="00604D4F">
        <w:t xml:space="preserve"> </w:t>
      </w:r>
      <w:r w:rsidR="00B246D8">
        <w:t xml:space="preserve">how this </w:t>
      </w:r>
      <w:r w:rsidR="004B6C61">
        <w:t>gave rise to its</w:t>
      </w:r>
      <w:r w:rsidR="00B246D8">
        <w:t xml:space="preserve"> limited</w:t>
      </w:r>
      <w:r w:rsidR="004B6C61">
        <w:t xml:space="preserve"> understanding as</w:t>
      </w:r>
      <w:r w:rsidR="00DF717D">
        <w:t xml:space="preserve"> the</w:t>
      </w:r>
      <w:r w:rsidR="004B6C61">
        <w:t xml:space="preserve"> </w:t>
      </w:r>
      <w:r w:rsidR="005C0345">
        <w:t>‘belief among pre-literate societies, that trees, mountains, rivers and other natural formations possess animating power of spirit</w:t>
      </w:r>
      <w:r w:rsidR="004B6C61">
        <w:t>’</w:t>
      </w:r>
      <w:r w:rsidR="004B6C61">
        <w:rPr>
          <w:rStyle w:val="FootnoteReference"/>
        </w:rPr>
        <w:footnoteReference w:id="3"/>
      </w:r>
      <w:r w:rsidR="004B6C61">
        <w:t xml:space="preserve">. </w:t>
      </w:r>
      <w:r w:rsidR="0063038E">
        <w:t>The</w:t>
      </w:r>
      <w:r w:rsidR="005C0345">
        <w:t>y</w:t>
      </w:r>
      <w:r w:rsidR="0063038E">
        <w:t xml:space="preserve"> describe how animism</w:t>
      </w:r>
      <w:r w:rsidR="00B246D8">
        <w:t xml:space="preserve"> had been</w:t>
      </w:r>
      <w:r w:rsidR="0063038E">
        <w:t xml:space="preserve"> primarily understood </w:t>
      </w:r>
      <w:r>
        <w:t xml:space="preserve">within modernist, cartesian thinking, </w:t>
      </w:r>
      <w:r w:rsidR="005C0345">
        <w:t>and so viewed as ‘delusion’</w:t>
      </w:r>
      <w:r w:rsidR="005C0345">
        <w:rPr>
          <w:rStyle w:val="FootnoteReference"/>
        </w:rPr>
        <w:footnoteReference w:id="4"/>
      </w:r>
      <w:r w:rsidR="00604D4F">
        <w:t xml:space="preserve">, </w:t>
      </w:r>
      <w:r w:rsidR="0063038E">
        <w:t xml:space="preserve">regarding </w:t>
      </w:r>
      <w:r w:rsidR="00604D4F">
        <w:t xml:space="preserve">animistic ways of seeing the world </w:t>
      </w:r>
      <w:r w:rsidR="0063038E">
        <w:t>as</w:t>
      </w:r>
      <w:r>
        <w:t xml:space="preserve"> a failed epistemology, childish, and false science</w:t>
      </w:r>
      <w:r w:rsidR="005A103F">
        <w:rPr>
          <w:rStyle w:val="FootnoteReference"/>
        </w:rPr>
        <w:footnoteReference w:id="5"/>
      </w:r>
      <w:r w:rsidR="005C0345">
        <w:t>, a perspective that ‘reinforced derogatory images of indigenous peoples’</w:t>
      </w:r>
      <w:r w:rsidR="005C0345">
        <w:rPr>
          <w:rStyle w:val="FootnoteReference"/>
        </w:rPr>
        <w:footnoteReference w:id="6"/>
      </w:r>
      <w:r>
        <w:t xml:space="preserve">. </w:t>
      </w:r>
    </w:p>
    <w:p w14:paraId="3DE9DFBA" w14:textId="2EBAFD37" w:rsidR="00C10886" w:rsidRDefault="00C10886" w:rsidP="00C10886">
      <w:pPr>
        <w:ind w:firstLine="720"/>
      </w:pPr>
      <w:r>
        <w:t>Through ethnographic examples from their fieldwork with the Nayaka</w:t>
      </w:r>
      <w:r w:rsidR="00F60DD3">
        <w:t xml:space="preserve"> of South India</w:t>
      </w:r>
      <w:r>
        <w:t xml:space="preserve">, they show how the concept </w:t>
      </w:r>
      <w:r w:rsidRPr="00D84C37">
        <w:t>would be better understood from a relational framework.</w:t>
      </w:r>
      <w:r w:rsidR="0063038E">
        <w:t xml:space="preserve"> </w:t>
      </w:r>
      <w:r>
        <w:t xml:space="preserve">Bird-David </w:t>
      </w:r>
      <w:r w:rsidR="0063038E">
        <w:t>describes</w:t>
      </w:r>
      <w:r>
        <w:t xml:space="preserve"> examples of </w:t>
      </w:r>
      <w:proofErr w:type="spellStart"/>
      <w:r w:rsidR="00434411">
        <w:t>Devaru</w:t>
      </w:r>
      <w:proofErr w:type="spellEnd"/>
      <w:r>
        <w:t xml:space="preserve"> relationships among the Nayaka</w:t>
      </w:r>
      <w:r w:rsidR="0063038E">
        <w:t>, whereby the</w:t>
      </w:r>
      <w:r>
        <w:t xml:space="preserve"> personhood </w:t>
      </w:r>
      <w:r w:rsidR="0063038E">
        <w:t xml:space="preserve">of these beings </w:t>
      </w:r>
      <w:r>
        <w:t xml:space="preserve">is not </w:t>
      </w:r>
      <w:r w:rsidR="0063038E">
        <w:t xml:space="preserve">viewed in terms of </w:t>
      </w:r>
      <w:r>
        <w:t>a modernist object</w:t>
      </w:r>
      <w:r w:rsidR="0063038E">
        <w:t>, by their thing-ness</w:t>
      </w:r>
      <w:r>
        <w:t xml:space="preserve">, </w:t>
      </w:r>
      <w:r w:rsidR="0063038E">
        <w:t>but are</w:t>
      </w:r>
      <w:r>
        <w:t xml:space="preserve"> defined more by relationship with them</w:t>
      </w:r>
      <w:r w:rsidR="00A67BA3">
        <w:t>. They describe</w:t>
      </w:r>
      <w:r w:rsidR="00AA0563">
        <w:t xml:space="preserve"> how</w:t>
      </w:r>
      <w:r w:rsidR="005A1A59">
        <w:t xml:space="preserve"> ‘</w:t>
      </w:r>
      <w:r w:rsidR="005A1A59" w:rsidRPr="00DF717D">
        <w:rPr>
          <w:i/>
          <w:iCs/>
        </w:rPr>
        <w:t>as</w:t>
      </w:r>
      <w:r w:rsidR="005A1A59">
        <w:t xml:space="preserve"> and </w:t>
      </w:r>
      <w:r w:rsidR="005A1A59" w:rsidRPr="00DF717D">
        <w:rPr>
          <w:i/>
          <w:iCs/>
        </w:rPr>
        <w:t>when</w:t>
      </w:r>
      <w:r w:rsidR="005A1A59">
        <w:t xml:space="preserve"> and </w:t>
      </w:r>
      <w:r w:rsidR="005A1A59" w:rsidRPr="00DF717D">
        <w:rPr>
          <w:i/>
          <w:iCs/>
        </w:rPr>
        <w:t>because</w:t>
      </w:r>
      <w:r w:rsidR="005A1A59">
        <w:t xml:space="preserve"> they engage in and maintain relationships with other beings, they constitute them as kinds of persons’</w:t>
      </w:r>
      <w:r w:rsidR="005A1A59">
        <w:rPr>
          <w:rStyle w:val="FootnoteReference"/>
        </w:rPr>
        <w:footnoteReference w:id="7"/>
      </w:r>
      <w:r w:rsidR="0063038E">
        <w:t>.</w:t>
      </w:r>
      <w:r w:rsidR="00604D4F">
        <w:t xml:space="preserve"> They conclude their work by </w:t>
      </w:r>
      <w:r w:rsidR="00AA0563">
        <w:t>explaining that the Nayaka ‘seek to understand relatedness from a related point</w:t>
      </w:r>
      <w:r w:rsidR="00DF717D">
        <w:t xml:space="preserve"> of</w:t>
      </w:r>
      <w:r w:rsidR="00AA0563">
        <w:t xml:space="preserve"> view within the shifting horizons of the related viewer’, adding that ‘previous theories of animism, taking modernist personhood concepts and perceptions of the environment as universal, have grossly misunderstood animism as simple religion and a failed etymology’</w:t>
      </w:r>
      <w:r w:rsidR="00AA0563">
        <w:rPr>
          <w:rStyle w:val="FootnoteReference"/>
        </w:rPr>
        <w:footnoteReference w:id="8"/>
      </w:r>
      <w:r w:rsidR="00AA0563">
        <w:t>.</w:t>
      </w:r>
      <w:r w:rsidR="00B246D8">
        <w:t xml:space="preserve"> </w:t>
      </w:r>
    </w:p>
    <w:p w14:paraId="56C9ECAC" w14:textId="51F63BD1" w:rsidR="00604D4F" w:rsidRDefault="00C10886" w:rsidP="00C61DC5">
      <w:pPr>
        <w:ind w:firstLine="720"/>
      </w:pPr>
      <w:r>
        <w:t xml:space="preserve">In Alley’s paper, </w:t>
      </w:r>
      <w:r w:rsidR="00F11B9B">
        <w:t xml:space="preserve">River Goddesses, </w:t>
      </w:r>
      <w:r w:rsidR="00A67BA3">
        <w:t>she</w:t>
      </w:r>
      <w:r>
        <w:t xml:space="preserve"> discuss</w:t>
      </w:r>
      <w:r w:rsidR="00A67BA3">
        <w:t>es</w:t>
      </w:r>
      <w:r>
        <w:t xml:space="preserve"> experiments with rights based</w:t>
      </w:r>
      <w:r w:rsidR="006C2A03">
        <w:t xml:space="preserve"> legal</w:t>
      </w:r>
      <w:r>
        <w:t xml:space="preserve"> frameworks in regards to the Rivers Ganges, Yamuna and their tributaries, and </w:t>
      </w:r>
      <w:r w:rsidR="009012C0">
        <w:t>their</w:t>
      </w:r>
      <w:r>
        <w:t xml:space="preserve"> implications for </w:t>
      </w:r>
      <w:r>
        <w:lastRenderedPageBreak/>
        <w:t xml:space="preserve">ecology. This paper, published in 2019 for </w:t>
      </w:r>
      <w:r w:rsidRPr="009012C0">
        <w:rPr>
          <w:i/>
          <w:iCs/>
        </w:rPr>
        <w:t>Religion</w:t>
      </w:r>
      <w:r w:rsidR="009012C0" w:rsidRPr="009012C0">
        <w:rPr>
          <w:i/>
          <w:iCs/>
        </w:rPr>
        <w:t>s</w:t>
      </w:r>
      <w:r>
        <w:t xml:space="preserve">, is one of a number of </w:t>
      </w:r>
      <w:r w:rsidR="00320009">
        <w:t>articles</w:t>
      </w:r>
      <w:r>
        <w:t xml:space="preserve"> the author </w:t>
      </w:r>
      <w:r w:rsidR="006C2A03">
        <w:t>has contributed</w:t>
      </w:r>
      <w:r>
        <w:t xml:space="preserve"> </w:t>
      </w:r>
      <w:r w:rsidR="00604D4F">
        <w:t xml:space="preserve">over the years </w:t>
      </w:r>
      <w:r>
        <w:t xml:space="preserve">on cultural politics of river pollution prevention, water law, religion and ecology. </w:t>
      </w:r>
      <w:r w:rsidRPr="00D84C37">
        <w:t>Alley</w:t>
      </w:r>
      <w:r>
        <w:t xml:space="preserve"> </w:t>
      </w:r>
      <w:r w:rsidRPr="00D84C37">
        <w:t>shows examples of personhood and R</w:t>
      </w:r>
      <w:r>
        <w:t>ights of Nature legal frameworks</w:t>
      </w:r>
      <w:r w:rsidRPr="00D84C37">
        <w:t xml:space="preserve"> interacting with religion</w:t>
      </w:r>
      <w:r>
        <w:t xml:space="preserve"> in India</w:t>
      </w:r>
      <w:r w:rsidRPr="00D84C37">
        <w:t xml:space="preserve">, and explores the extent to which </w:t>
      </w:r>
      <w:r w:rsidR="009012C0">
        <w:t>they</w:t>
      </w:r>
      <w:r w:rsidRPr="00D84C37">
        <w:t xml:space="preserve"> represent religious ideas about Ganga, and how effective </w:t>
      </w:r>
      <w:r w:rsidR="009012C0">
        <w:t xml:space="preserve">they are </w:t>
      </w:r>
      <w:r w:rsidRPr="00D84C37">
        <w:t>from an environmental point of view.</w:t>
      </w:r>
      <w:r>
        <w:t xml:space="preserve"> </w:t>
      </w:r>
      <w:r w:rsidR="006C2A03">
        <w:t>In doing this, they contrast relevant legal rulings with interview evidence of religious devotees who revered Ganga as a goddess, as well as drawing on their knowledge of ongoing environmental campaigns for the rivers</w:t>
      </w:r>
      <w:r w:rsidR="00DF717D">
        <w:t>’</w:t>
      </w:r>
      <w:r w:rsidR="006C2A03">
        <w:t xml:space="preserve"> protection. </w:t>
      </w:r>
      <w:r>
        <w:t xml:space="preserve">They conclude that giving personhood to the rivers </w:t>
      </w:r>
      <w:r w:rsidR="006C2A03">
        <w:t>did not</w:t>
      </w:r>
      <w:r>
        <w:t xml:space="preserve"> contribute significantly to their protection, that devotees thought</w:t>
      </w:r>
      <w:r w:rsidR="006C2A03">
        <w:t xml:space="preserve"> giving</w:t>
      </w:r>
      <w:r>
        <w:t xml:space="preserve"> personhood </w:t>
      </w:r>
      <w:r w:rsidR="006C2A03">
        <w:t xml:space="preserve">to the river </w:t>
      </w:r>
      <w:r>
        <w:t>was denigrating a goddess, that governments who might have capitalised on it for nationalist purposes instead shelved the ruling because of other political reasons, and</w:t>
      </w:r>
      <w:r w:rsidR="00F11B9B">
        <w:t xml:space="preserve"> it did not appear to mobilise</w:t>
      </w:r>
      <w:r>
        <w:t xml:space="preserve"> </w:t>
      </w:r>
      <w:r w:rsidR="00F11B9B">
        <w:t xml:space="preserve">or add impetus to prominent </w:t>
      </w:r>
      <w:r>
        <w:t>environmentalists</w:t>
      </w:r>
      <w:r w:rsidR="00F11B9B">
        <w:t>’</w:t>
      </w:r>
      <w:r>
        <w:t xml:space="preserve"> </w:t>
      </w:r>
      <w:r w:rsidR="00F11B9B">
        <w:t xml:space="preserve">river protection campaigns. </w:t>
      </w:r>
    </w:p>
    <w:p w14:paraId="178A7C98" w14:textId="074982B6" w:rsidR="00C10886" w:rsidRPr="00C10886" w:rsidRDefault="000D3A8E" w:rsidP="00C10886">
      <w:pPr>
        <w:rPr>
          <w:b/>
          <w:bCs/>
        </w:rPr>
      </w:pPr>
      <w:r>
        <w:rPr>
          <w:b/>
          <w:bCs/>
        </w:rPr>
        <w:t>Reconciling Personhood with Western Ontologies</w:t>
      </w:r>
    </w:p>
    <w:p w14:paraId="03938025" w14:textId="41B55EB2" w:rsidR="00C10886" w:rsidRDefault="00C10886" w:rsidP="00C10886">
      <w:pPr>
        <w:ind w:firstLine="720"/>
      </w:pPr>
      <w:r>
        <w:t xml:space="preserve">Both of these papers deal with the ways in which ideas of personhood and concepts of the non-human that are held in </w:t>
      </w:r>
      <w:r w:rsidR="006C2A03">
        <w:t xml:space="preserve">Western societies </w:t>
      </w:r>
      <w:r w:rsidR="005D4712">
        <w:t>differ from those of</w:t>
      </w:r>
      <w:r w:rsidR="006C2A03">
        <w:t xml:space="preserve"> non-Western societies</w:t>
      </w:r>
      <w:r>
        <w:t xml:space="preserve">. This contrast in ideological position is central to Bird-David’s paper, and is </w:t>
      </w:r>
      <w:r w:rsidR="00D0539D">
        <w:t>discussed</w:t>
      </w:r>
      <w:r>
        <w:t xml:space="preserve"> in great depth</w:t>
      </w:r>
      <w:r w:rsidR="00D0539D">
        <w:t>,</w:t>
      </w:r>
      <w:r>
        <w:t xml:space="preserve"> </w:t>
      </w:r>
      <w:r w:rsidR="005D4712">
        <w:t>showing how</w:t>
      </w:r>
      <w:r>
        <w:t xml:space="preserve"> the traditional understandings of animism </w:t>
      </w:r>
      <w:r w:rsidR="005D4712">
        <w:t xml:space="preserve">within the study of anthropology </w:t>
      </w:r>
      <w:r>
        <w:t xml:space="preserve">were grounded within modernist thinking, and then how the Nayaka concept of the </w:t>
      </w:r>
      <w:proofErr w:type="spellStart"/>
      <w:r w:rsidR="00434411">
        <w:t>Devaru</w:t>
      </w:r>
      <w:proofErr w:type="spellEnd"/>
      <w:r>
        <w:t xml:space="preserve"> does not conform to that ontological </w:t>
      </w:r>
      <w:r w:rsidR="005A1A59">
        <w:t>view, showing in detail how they ‘do not dichotomize other beings vis-à-vis themselves’</w:t>
      </w:r>
      <w:r w:rsidR="005A1A59">
        <w:rPr>
          <w:rStyle w:val="FootnoteReference"/>
        </w:rPr>
        <w:footnoteReference w:id="9"/>
      </w:r>
      <w:r w:rsidR="009012C0">
        <w:t>.</w:t>
      </w:r>
      <w:r>
        <w:t xml:space="preserve"> </w:t>
      </w:r>
    </w:p>
    <w:p w14:paraId="22FD6E4F" w14:textId="740F8DB4" w:rsidR="00F938F4" w:rsidRDefault="00F42C2E" w:rsidP="001601AB">
      <w:pPr>
        <w:ind w:firstLine="720"/>
      </w:pPr>
      <w:r>
        <w:t xml:space="preserve">This distinction is also present in </w:t>
      </w:r>
      <w:r w:rsidR="00C10886">
        <w:t>Alley</w:t>
      </w:r>
      <w:r w:rsidR="00454AC7">
        <w:t xml:space="preserve">’s paper, </w:t>
      </w:r>
      <w:r>
        <w:t>where she contrasts</w:t>
      </w:r>
      <w:r w:rsidR="00C10886">
        <w:t xml:space="preserve"> the </w:t>
      </w:r>
      <w:r w:rsidR="00D0539D">
        <w:t xml:space="preserve">legal traditions and the attitudes of the devotees along the river Ganga. The judicial rulings, </w:t>
      </w:r>
      <w:r w:rsidR="00AA6AC1">
        <w:t xml:space="preserve">which are </w:t>
      </w:r>
      <w:r w:rsidR="00C10886">
        <w:t xml:space="preserve">based on colonial </w:t>
      </w:r>
      <w:r w:rsidR="00D0539D">
        <w:t xml:space="preserve">models of jurisprudence </w:t>
      </w:r>
      <w:r w:rsidR="006C2A03">
        <w:t xml:space="preserve">and </w:t>
      </w:r>
      <w:r w:rsidR="00AA6AC1">
        <w:t xml:space="preserve">therefore </w:t>
      </w:r>
      <w:r w:rsidR="006C2A03">
        <w:t>reflect</w:t>
      </w:r>
      <w:r w:rsidR="00D0539D">
        <w:t>ing</w:t>
      </w:r>
      <w:r w:rsidR="006C2A03">
        <w:t xml:space="preserve"> a Western </w:t>
      </w:r>
      <w:r>
        <w:t>perspective</w:t>
      </w:r>
      <w:r w:rsidR="00696D2E">
        <w:rPr>
          <w:rStyle w:val="FootnoteReference"/>
        </w:rPr>
        <w:footnoteReference w:id="10"/>
      </w:r>
      <w:r w:rsidR="00C10886">
        <w:t xml:space="preserve">, </w:t>
      </w:r>
      <w:r w:rsidR="00D0539D">
        <w:t xml:space="preserve">looked to establish the Rivers Ganges and Yamuna as juristic persons, or Persona </w:t>
      </w:r>
      <w:proofErr w:type="spellStart"/>
      <w:r w:rsidR="00D0539D">
        <w:t>Ficta</w:t>
      </w:r>
      <w:proofErr w:type="spellEnd"/>
      <w:r w:rsidR="00D0539D">
        <w:t>, and thereby ‘having the status of a legal person with all corresponding rights, duties and liabilities of a living person in order to preserve and conserve river Ganga and Yamuna’</w:t>
      </w:r>
      <w:r w:rsidR="00D0539D">
        <w:rPr>
          <w:rStyle w:val="FootnoteReference"/>
        </w:rPr>
        <w:footnoteReference w:id="11"/>
      </w:r>
      <w:r w:rsidR="00D0539D">
        <w:t>. This is contrasted with the views of devotees</w:t>
      </w:r>
      <w:r w:rsidR="00F938F4">
        <w:t xml:space="preserve">, </w:t>
      </w:r>
      <w:r w:rsidR="006C2A03">
        <w:t>whose beliefs represent a non-Western view</w:t>
      </w:r>
      <w:r w:rsidR="00F938F4">
        <w:t>, who responded critically of the rulings, seeing Ganga as a goddess and not a person</w:t>
      </w:r>
      <w:r w:rsidR="00F938F4">
        <w:rPr>
          <w:rStyle w:val="FootnoteReference"/>
        </w:rPr>
        <w:footnoteReference w:id="12"/>
      </w:r>
      <w:r w:rsidR="006C2A03">
        <w:t xml:space="preserve">. </w:t>
      </w:r>
    </w:p>
    <w:p w14:paraId="53E5652D" w14:textId="658F2927" w:rsidR="00857A91" w:rsidRDefault="006C2A03" w:rsidP="001601AB">
      <w:pPr>
        <w:ind w:firstLine="720"/>
      </w:pPr>
      <w:r>
        <w:t xml:space="preserve">While </w:t>
      </w:r>
      <w:r w:rsidR="007C3D01">
        <w:t>in the</w:t>
      </w:r>
      <w:r>
        <w:t xml:space="preserve"> paper</w:t>
      </w:r>
      <w:r w:rsidR="007C3D01">
        <w:t xml:space="preserve">, there is </w:t>
      </w:r>
      <w:r>
        <w:t xml:space="preserve">a </w:t>
      </w:r>
      <w:r w:rsidR="00D345C7">
        <w:t>contrast</w:t>
      </w:r>
      <w:r>
        <w:t xml:space="preserve"> between the judicial rulings and the opinions of the devotees,</w:t>
      </w:r>
      <w:r w:rsidR="00D345C7">
        <w:t xml:space="preserve"> the </w:t>
      </w:r>
      <w:r w:rsidR="007C3D01">
        <w:t xml:space="preserve">limitations of the </w:t>
      </w:r>
      <w:r w:rsidR="00D345C7">
        <w:t>primary sources and</w:t>
      </w:r>
      <w:r w:rsidR="00AA6AC1">
        <w:t xml:space="preserve"> use of interview as</w:t>
      </w:r>
      <w:r w:rsidR="00D345C7">
        <w:t xml:space="preserve"> method mean </w:t>
      </w:r>
      <w:r w:rsidR="007C3D01">
        <w:t>it is difficult to draw more than a cursory comparison.</w:t>
      </w:r>
      <w:r w:rsidR="00F42C2E">
        <w:t xml:space="preserve"> </w:t>
      </w:r>
      <w:r w:rsidR="00D345C7">
        <w:t>The legal rulings themselves may not give a valid reflection o</w:t>
      </w:r>
      <w:r w:rsidR="007C3D01">
        <w:t>f</w:t>
      </w:r>
      <w:r w:rsidR="00D345C7">
        <w:t xml:space="preserve"> the personhood beliefs of </w:t>
      </w:r>
      <w:r w:rsidR="007C3D01">
        <w:t>judges or legal advocates</w:t>
      </w:r>
      <w:r w:rsidR="00D345C7">
        <w:t xml:space="preserve">, rather </w:t>
      </w:r>
      <w:r w:rsidR="007C3D01">
        <w:t xml:space="preserve">just the way in which the legal framework has been </w:t>
      </w:r>
      <w:r w:rsidR="00AA6AC1">
        <w:t>interpreted or applied</w:t>
      </w:r>
      <w:r w:rsidR="007C3D01">
        <w:t xml:space="preserve"> to support the personhood of the rivers. </w:t>
      </w:r>
      <w:r w:rsidR="00D345C7">
        <w:t>Furthermore, limitations of the interview method</w:t>
      </w:r>
      <w:r w:rsidR="00E259DC">
        <w:t xml:space="preserve"> </w:t>
      </w:r>
      <w:r w:rsidR="00D345C7">
        <w:t xml:space="preserve">mean the detail of whether </w:t>
      </w:r>
      <w:r w:rsidR="00E259DC">
        <w:t>the beliefs of judges and legal advocates compared to the religious devote</w:t>
      </w:r>
      <w:r w:rsidR="00434411">
        <w:t>e</w:t>
      </w:r>
      <w:r w:rsidR="00E259DC">
        <w:t>s</w:t>
      </w:r>
      <w:r w:rsidR="00D345C7">
        <w:t xml:space="preserve"> amounts to a difference in ontological viewpoint is not demonstrated. </w:t>
      </w:r>
      <w:r w:rsidR="00F42C2E">
        <w:t xml:space="preserve">The interview evidence </w:t>
      </w:r>
      <w:r w:rsidR="00F938F4">
        <w:t>focused</w:t>
      </w:r>
      <w:r w:rsidR="00E259DC">
        <w:t xml:space="preserve"> on</w:t>
      </w:r>
      <w:r w:rsidR="00F42C2E">
        <w:t xml:space="preserve"> opinion or response to the rulings, </w:t>
      </w:r>
      <w:r w:rsidR="00F938F4">
        <w:t>with some respondents naming how their traditional, non-Western, conceptualisation of Ganga as Goddess, as Devi (goddess), as Bhagwan (</w:t>
      </w:r>
      <w:proofErr w:type="gramStart"/>
      <w:r w:rsidR="00F938F4">
        <w:t>god</w:t>
      </w:r>
      <w:proofErr w:type="gramEnd"/>
      <w:r w:rsidR="00F938F4">
        <w:t>)</w:t>
      </w:r>
      <w:r w:rsidR="00F938F4">
        <w:rPr>
          <w:rStyle w:val="FootnoteReference"/>
        </w:rPr>
        <w:footnoteReference w:id="13"/>
      </w:r>
      <w:r w:rsidR="00F938F4">
        <w:t xml:space="preserve"> differs from the concept of juristic person, presented by the legal rulings, </w:t>
      </w:r>
      <w:r w:rsidR="00F42C2E">
        <w:t>but not exploring more about how they themselves perceived the river</w:t>
      </w:r>
      <w:r w:rsidR="00F938F4">
        <w:t xml:space="preserve"> to the extent that we can </w:t>
      </w:r>
      <w:r w:rsidR="00F42C2E">
        <w:t xml:space="preserve">compare whether their conception of it was coming from a different ontological viewpoint. </w:t>
      </w:r>
      <w:r w:rsidR="00857A91">
        <w:t xml:space="preserve">As </w:t>
      </w:r>
      <w:r w:rsidR="00857A91">
        <w:lastRenderedPageBreak/>
        <w:t>well as interviews with participants in the legal cases and devotees, Alley also describes that their research came from participant observation</w:t>
      </w:r>
      <w:r w:rsidR="00857A91">
        <w:rPr>
          <w:rStyle w:val="FootnoteReference"/>
        </w:rPr>
        <w:footnoteReference w:id="14"/>
      </w:r>
      <w:r w:rsidR="00857A91">
        <w:t xml:space="preserve">, however, it is not clear what evidence this contributed to their paper and their conclusions. </w:t>
      </w:r>
    </w:p>
    <w:p w14:paraId="7A4D40E4" w14:textId="74C83292" w:rsidR="00DA6CDF" w:rsidRDefault="00716E5E" w:rsidP="00BE60DF">
      <w:pPr>
        <w:ind w:firstLine="720"/>
      </w:pPr>
      <w:r>
        <w:t xml:space="preserve">Bird-David, however, through detailed ethnographic study, drew on examples and stories of Nayaka conceptions of </w:t>
      </w:r>
      <w:proofErr w:type="spellStart"/>
      <w:r w:rsidR="00434411">
        <w:t>Devaru</w:t>
      </w:r>
      <w:proofErr w:type="spellEnd"/>
      <w:r>
        <w:t xml:space="preserve">, </w:t>
      </w:r>
      <w:r w:rsidR="002778B3">
        <w:t xml:space="preserve">and interactions with </w:t>
      </w:r>
      <w:proofErr w:type="spellStart"/>
      <w:r w:rsidR="00434411">
        <w:t>Devaru</w:t>
      </w:r>
      <w:proofErr w:type="spellEnd"/>
      <w:r w:rsidR="002778B3">
        <w:t xml:space="preserve"> through the Nayaka </w:t>
      </w:r>
      <w:proofErr w:type="spellStart"/>
      <w:r w:rsidR="00434411">
        <w:t>P</w:t>
      </w:r>
      <w:r w:rsidR="002778B3">
        <w:t>andalu</w:t>
      </w:r>
      <w:proofErr w:type="spellEnd"/>
      <w:r w:rsidR="002778B3">
        <w:t xml:space="preserve"> </w:t>
      </w:r>
      <w:r w:rsidR="00675903">
        <w:t xml:space="preserve">ritual </w:t>
      </w:r>
      <w:r>
        <w:t xml:space="preserve">so as to demonstrate that these spirit beings are not </w:t>
      </w:r>
      <w:r w:rsidR="00675903">
        <w:t xml:space="preserve">considered </w:t>
      </w:r>
      <w:r>
        <w:t xml:space="preserve">distinct things, in the modernist sense, but </w:t>
      </w:r>
      <w:r w:rsidR="00675903">
        <w:t xml:space="preserve">are beings that are </w:t>
      </w:r>
      <w:r>
        <w:t>engaged with relationally</w:t>
      </w:r>
      <w:r w:rsidR="002778B3">
        <w:t>, and with whom they share a sense of “we-ness”</w:t>
      </w:r>
      <w:r w:rsidR="002778B3">
        <w:rPr>
          <w:rStyle w:val="FootnoteReference"/>
        </w:rPr>
        <w:footnoteReference w:id="15"/>
      </w:r>
      <w:r>
        <w:t xml:space="preserve">. These examples were used </w:t>
      </w:r>
      <w:r w:rsidR="00857A91">
        <w:t xml:space="preserve">strongly </w:t>
      </w:r>
      <w:r w:rsidR="00434411">
        <w:t xml:space="preserve">in contrast with Western, modernist ontological frameworks to </w:t>
      </w:r>
      <w:r>
        <w:t xml:space="preserve">demonstrate the limitation </w:t>
      </w:r>
      <w:r w:rsidR="00434411">
        <w:t xml:space="preserve">of this </w:t>
      </w:r>
      <w:r>
        <w:t xml:space="preserve">way of viewing animism </w:t>
      </w:r>
      <w:r w:rsidR="00434411">
        <w:t>compared</w:t>
      </w:r>
      <w:r w:rsidR="00DA6CDF">
        <w:t xml:space="preserve"> to</w:t>
      </w:r>
      <w:r>
        <w:t xml:space="preserve"> indigenous views of personhood. It is not clear, however, if the author is presenting the Nayaka relational framework as being exemplary of non-Western, non-modernist ontological views, and therefore suggesting that this relational framework was able to be </w:t>
      </w:r>
      <w:r w:rsidR="00DA6CDF">
        <w:t>g</w:t>
      </w:r>
      <w:r>
        <w:t>eneralised beyond the Nayaka, or whether they were simply presenting it as an example that</w:t>
      </w:r>
      <w:r w:rsidR="00DA6CDF">
        <w:t xml:space="preserve"> requires shifting ontological frameworks in order to understand non-Western ideas of personhood. </w:t>
      </w:r>
    </w:p>
    <w:p w14:paraId="3183A087" w14:textId="6C47890D" w:rsidR="00C10886" w:rsidRDefault="00857A91" w:rsidP="00434411">
      <w:pPr>
        <w:ind w:firstLine="720"/>
      </w:pPr>
      <w:r>
        <w:t xml:space="preserve">While these two papers both </w:t>
      </w:r>
      <w:r w:rsidR="00434411">
        <w:t>discuss a point of</w:t>
      </w:r>
      <w:r>
        <w:t xml:space="preserve"> intersection </w:t>
      </w:r>
      <w:r w:rsidR="00434411">
        <w:t xml:space="preserve">between </w:t>
      </w:r>
      <w:r>
        <w:t>Western and non-Western perspectives, Bird-David’s methodology, drawing o</w:t>
      </w:r>
      <w:r w:rsidR="009012C0">
        <w:t>n</w:t>
      </w:r>
      <w:r>
        <w:t xml:space="preserve"> ethnographic evidence, provided a richer, more illustrative example to support their conclusion</w:t>
      </w:r>
      <w:r w:rsidR="006F4685">
        <w:t>, whereas All</w:t>
      </w:r>
      <w:r w:rsidR="00675903">
        <w:t>e</w:t>
      </w:r>
      <w:r w:rsidR="006F4685">
        <w:t>y, who relied mostly on interview responses</w:t>
      </w:r>
      <w:r w:rsidR="00675903">
        <w:t xml:space="preserve"> and legal rulings</w:t>
      </w:r>
      <w:r w:rsidR="006F4685">
        <w:t xml:space="preserve">, was able to </w:t>
      </w:r>
      <w:r w:rsidR="00434411">
        <w:t>show</w:t>
      </w:r>
      <w:r w:rsidR="006F4685">
        <w:t xml:space="preserve"> there was a difference of opinion, but not explain fully why this occurs, or whether there is an underlying ontological difference. </w:t>
      </w:r>
    </w:p>
    <w:p w14:paraId="7D1B3239" w14:textId="79886BA7" w:rsidR="00C10886" w:rsidRPr="00C10886" w:rsidRDefault="00C10886" w:rsidP="00C10886">
      <w:pPr>
        <w:rPr>
          <w:b/>
          <w:bCs/>
        </w:rPr>
      </w:pPr>
      <w:r w:rsidRPr="00C10886">
        <w:rPr>
          <w:b/>
          <w:bCs/>
        </w:rPr>
        <w:t>Concept of the Non-human</w:t>
      </w:r>
    </w:p>
    <w:p w14:paraId="0196E354" w14:textId="491061B8" w:rsidR="00C10886" w:rsidRDefault="00675903" w:rsidP="00B9117C">
      <w:pPr>
        <w:ind w:firstLine="720"/>
      </w:pPr>
      <w:r>
        <w:t>As a result, a question arises as to how the</w:t>
      </w:r>
      <w:r w:rsidR="00082E99">
        <w:t xml:space="preserve"> two papers </w:t>
      </w:r>
      <w:r>
        <w:t>treat the fundamental concepts</w:t>
      </w:r>
      <w:r w:rsidR="00320009">
        <w:t xml:space="preserve"> under discussion</w:t>
      </w:r>
      <w:r>
        <w:t xml:space="preserve">, and whether they were examining the same concept of the non-human. </w:t>
      </w:r>
      <w:r w:rsidR="003F3847">
        <w:t>While the</w:t>
      </w:r>
      <w:r w:rsidR="00320009">
        <w:t>y both</w:t>
      </w:r>
      <w:r w:rsidR="003F3847">
        <w:t xml:space="preserve"> discuss the idea of personhood, it is curious to note the ways in which they meet and differ in terms of how they view the concept of the non-human and of personhoo</w:t>
      </w:r>
      <w:r w:rsidR="00AA6AC1">
        <w:t>d</w:t>
      </w:r>
      <w:r w:rsidR="003F3847">
        <w:t xml:space="preserve">. </w:t>
      </w:r>
    </w:p>
    <w:p w14:paraId="149BB229" w14:textId="7AB9334D" w:rsidR="00C10886" w:rsidRDefault="00C10886" w:rsidP="00B9117C">
      <w:pPr>
        <w:ind w:firstLine="720"/>
      </w:pPr>
      <w:r>
        <w:t xml:space="preserve">Bird-David </w:t>
      </w:r>
      <w:r w:rsidR="00675903">
        <w:t xml:space="preserve">in </w:t>
      </w:r>
      <w:r>
        <w:t>discuss</w:t>
      </w:r>
      <w:r w:rsidR="00675903">
        <w:t xml:space="preserve">ing the </w:t>
      </w:r>
      <w:r>
        <w:t xml:space="preserve">non-human in relation to the </w:t>
      </w:r>
      <w:proofErr w:type="spellStart"/>
      <w:r w:rsidR="00434411">
        <w:t>Devaru</w:t>
      </w:r>
      <w:proofErr w:type="spellEnd"/>
      <w:r>
        <w:t xml:space="preserve">, </w:t>
      </w:r>
      <w:r w:rsidR="00675903">
        <w:t>is</w:t>
      </w:r>
      <w:r>
        <w:t xml:space="preserve"> </w:t>
      </w:r>
      <w:r w:rsidR="00675903">
        <w:t>guiding us to consider</w:t>
      </w:r>
      <w:r>
        <w:t xml:space="preserve"> non-human spirit beings </w:t>
      </w:r>
      <w:r w:rsidR="00675903">
        <w:t>from an entirely different ontological perspective</w:t>
      </w:r>
      <w:r w:rsidR="00192541">
        <w:t xml:space="preserve">. </w:t>
      </w:r>
      <w:r w:rsidR="00082E99">
        <w:t>They ground their position in theory,</w:t>
      </w:r>
      <w:r w:rsidR="00303C75">
        <w:t xml:space="preserve"> </w:t>
      </w:r>
      <w:r w:rsidR="009012C0">
        <w:t>relating it to</w:t>
      </w:r>
      <w:r w:rsidR="00303C75">
        <w:t xml:space="preserve"> Gibson’s theory of Affordances</w:t>
      </w:r>
      <w:r w:rsidR="00EB34B1">
        <w:rPr>
          <w:rStyle w:val="FootnoteReference"/>
        </w:rPr>
        <w:footnoteReference w:id="16"/>
      </w:r>
      <w:r w:rsidR="00303C75">
        <w:t>, Hallowell’s concept of “other-than-human persons”</w:t>
      </w:r>
      <w:r w:rsidR="00EB34B1">
        <w:rPr>
          <w:rStyle w:val="FootnoteReference"/>
        </w:rPr>
        <w:footnoteReference w:id="17"/>
      </w:r>
      <w:r w:rsidR="00303C75">
        <w:t>,</w:t>
      </w:r>
      <w:r w:rsidR="00EB34B1">
        <w:t xml:space="preserve"> and</w:t>
      </w:r>
      <w:r w:rsidR="00303C75">
        <w:t xml:space="preserve"> Strathern’s “dividual”</w:t>
      </w:r>
      <w:r w:rsidR="00EB34B1">
        <w:rPr>
          <w:rStyle w:val="FootnoteReference"/>
        </w:rPr>
        <w:footnoteReference w:id="18"/>
      </w:r>
      <w:r w:rsidR="00303C75">
        <w:t xml:space="preserve"> while setting themselves apart from Guthrie</w:t>
      </w:r>
      <w:r w:rsidR="00EB34B1">
        <w:t>’s theory of animism as a perceptual strategy</w:t>
      </w:r>
      <w:r w:rsidR="00EB34B1">
        <w:rPr>
          <w:rStyle w:val="FootnoteReference"/>
        </w:rPr>
        <w:footnoteReference w:id="19"/>
      </w:r>
      <w:r w:rsidR="00EB34B1">
        <w:t xml:space="preserve"> </w:t>
      </w:r>
      <w:r w:rsidR="00303C75">
        <w:t>and Durkheim</w:t>
      </w:r>
      <w:r w:rsidR="00EB34B1">
        <w:t>’s dualism</w:t>
      </w:r>
      <w:r w:rsidR="00EB34B1">
        <w:rPr>
          <w:rStyle w:val="FootnoteReference"/>
        </w:rPr>
        <w:footnoteReference w:id="20"/>
      </w:r>
      <w:r>
        <w:t xml:space="preserve">. They present the </w:t>
      </w:r>
      <w:proofErr w:type="spellStart"/>
      <w:r w:rsidR="00434411">
        <w:t>Devaru</w:t>
      </w:r>
      <w:proofErr w:type="spellEnd"/>
      <w:r>
        <w:t xml:space="preserve"> as an example to highlight the relational approaches to viewing animism and other spirits, where personhood </w:t>
      </w:r>
      <w:r w:rsidR="00EB34B1">
        <w:t>is not</w:t>
      </w:r>
      <w:r>
        <w:t xml:space="preserve"> bound to its thing-ness, but rather to its relationship or interaction with the </w:t>
      </w:r>
      <w:proofErr w:type="spellStart"/>
      <w:r w:rsidR="00B62775">
        <w:t>Devaru</w:t>
      </w:r>
      <w:proofErr w:type="spellEnd"/>
      <w:r w:rsidR="00B62775">
        <w:t xml:space="preserve"> as </w:t>
      </w:r>
      <w:r w:rsidR="00192541">
        <w:t>‘</w:t>
      </w:r>
      <w:proofErr w:type="spellStart"/>
      <w:r>
        <w:t>superperson</w:t>
      </w:r>
      <w:r w:rsidR="00B62775">
        <w:t>s</w:t>
      </w:r>
      <w:proofErr w:type="spellEnd"/>
      <w:r w:rsidR="00192541">
        <w:t>’</w:t>
      </w:r>
      <w:r>
        <w:t xml:space="preserve">, </w:t>
      </w:r>
      <w:r w:rsidR="0020515A">
        <w:t>and using this example to contrast</w:t>
      </w:r>
      <w:r w:rsidR="00EB34B1">
        <w:t xml:space="preserve"> with the </w:t>
      </w:r>
      <w:r>
        <w:t xml:space="preserve">modernist </w:t>
      </w:r>
      <w:r w:rsidR="0020515A">
        <w:t xml:space="preserve">conceptions of animism, which were the traditionally held </w:t>
      </w:r>
      <w:r w:rsidR="00FE7A2C">
        <w:t>conceptions</w:t>
      </w:r>
      <w:r w:rsidR="0020515A">
        <w:t xml:space="preserve"> within Anthropology until then</w:t>
      </w:r>
      <w:r>
        <w:t xml:space="preserve">. </w:t>
      </w:r>
    </w:p>
    <w:p w14:paraId="340E7B8E" w14:textId="3C76D3A8" w:rsidR="00C10886" w:rsidRDefault="00C10886" w:rsidP="00B9117C">
      <w:pPr>
        <w:ind w:firstLine="720"/>
      </w:pPr>
      <w:r>
        <w:t>Alley, in contrast,</w:t>
      </w:r>
      <w:r w:rsidR="00192541">
        <w:t xml:space="preserve"> is not guiding us or persuading us to look at a subject in a particular way</w:t>
      </w:r>
      <w:r w:rsidR="00EB34B1">
        <w:t>, nor showing this matter in its theoretical grounding</w:t>
      </w:r>
      <w:r w:rsidR="00192541">
        <w:t>, but is rather reporting on their findings about how personhood and</w:t>
      </w:r>
      <w:r>
        <w:t xml:space="preserve"> the concept of the non-human </w:t>
      </w:r>
      <w:r w:rsidR="00192541">
        <w:t xml:space="preserve">has been largely ineffective </w:t>
      </w:r>
      <w:r>
        <w:t>in relation to</w:t>
      </w:r>
      <w:r w:rsidR="00192541">
        <w:t xml:space="preserve"> the protection of</w:t>
      </w:r>
      <w:r>
        <w:t xml:space="preserve"> the Ganga and Yamuna</w:t>
      </w:r>
      <w:r w:rsidR="00192541">
        <w:t xml:space="preserve">. They are treating the non-human entities of Ganga and Yamuna as somewhat discrete entities, from the modernist perspective, </w:t>
      </w:r>
      <w:r>
        <w:t xml:space="preserve">whereby the rivers are </w:t>
      </w:r>
      <w:r>
        <w:lastRenderedPageBreak/>
        <w:t>defined by their physical form</w:t>
      </w:r>
      <w:r w:rsidR="00454AC7">
        <w:t xml:space="preserve">, </w:t>
      </w:r>
      <w:r>
        <w:t>without necessarily examin</w:t>
      </w:r>
      <w:r w:rsidR="00192541">
        <w:t>ing</w:t>
      </w:r>
      <w:r>
        <w:t xml:space="preserve"> </w:t>
      </w:r>
      <w:r w:rsidR="0028741B">
        <w:t xml:space="preserve">the extent to which </w:t>
      </w:r>
      <w:r>
        <w:t xml:space="preserve">this perspective was shared by </w:t>
      </w:r>
      <w:r w:rsidR="0028741B">
        <w:t xml:space="preserve">the devotees, environmentalists and even the judges. </w:t>
      </w:r>
    </w:p>
    <w:p w14:paraId="12243B49" w14:textId="09611B7F" w:rsidR="00C84363" w:rsidRDefault="00192541" w:rsidP="00B9117C">
      <w:pPr>
        <w:ind w:firstLine="720"/>
      </w:pPr>
      <w:r>
        <w:t xml:space="preserve">This again is due to the differences in methodology between the two authors, but also due to the scope of the two papers, and the conclusion that they are looking to </w:t>
      </w:r>
      <w:r w:rsidR="005E6382">
        <w:t>support</w:t>
      </w:r>
      <w:r>
        <w:t>. Bird-David’s explanation of the relational epistemology of the Nayaka is best demonstrated by</w:t>
      </w:r>
      <w:r w:rsidR="0028741B">
        <w:t xml:space="preserve"> the depth of</w:t>
      </w:r>
      <w:r>
        <w:t xml:space="preserve"> ethnographic examples, whereas for Alley to show</w:t>
      </w:r>
      <w:r w:rsidR="0028741B">
        <w:t xml:space="preserve"> the minimal impact that giving legal personhood to the </w:t>
      </w:r>
      <w:proofErr w:type="gramStart"/>
      <w:r w:rsidR="0028741B">
        <w:t>River</w:t>
      </w:r>
      <w:proofErr w:type="gramEnd"/>
      <w:r w:rsidR="0028741B">
        <w:t xml:space="preserve"> had on its protection, and</w:t>
      </w:r>
      <w:r>
        <w:t xml:space="preserve"> that religious devotees were not in support of </w:t>
      </w:r>
      <w:r w:rsidR="0028741B">
        <w:t>this</w:t>
      </w:r>
      <w:r>
        <w:t xml:space="preserve">, interview evidence was sufficient. </w:t>
      </w:r>
      <w:r w:rsidR="0028741B">
        <w:t>As to whether they viewed the river with a relational ontology, dealing with the concept of the non-human in the same way as in Bird</w:t>
      </w:r>
      <w:r w:rsidR="007C4D01">
        <w:t>-</w:t>
      </w:r>
      <w:r w:rsidR="0028741B">
        <w:t xml:space="preserve">David, </w:t>
      </w:r>
      <w:r w:rsidR="000D3A8E">
        <w:t>cannot easily be concluded, though it is</w:t>
      </w:r>
      <w:r w:rsidR="0028741B">
        <w:t xml:space="preserve"> suggested through some of the choices of interview evidence shared by Alley in the paper</w:t>
      </w:r>
      <w:r w:rsidR="000D3A8E">
        <w:t>. They explain that s</w:t>
      </w:r>
      <w:r w:rsidR="0028741B">
        <w:t>ome devotees described the river with kinship terms, saying they ‘feel related to [Ganga] as a child to a Mother’</w:t>
      </w:r>
      <w:r w:rsidR="0028741B">
        <w:rPr>
          <w:rStyle w:val="FootnoteReference"/>
        </w:rPr>
        <w:footnoteReference w:id="21"/>
      </w:r>
      <w:r w:rsidR="0028741B">
        <w:t xml:space="preserve"> which is similar to examples given by Bird-David of the Nayaka using kinship terms such as </w:t>
      </w:r>
      <w:proofErr w:type="gramStart"/>
      <w:r w:rsidR="0028741B">
        <w:t>‘”big</w:t>
      </w:r>
      <w:proofErr w:type="gramEnd"/>
      <w:r w:rsidR="0028741B">
        <w:t xml:space="preserve">” mother and father’ </w:t>
      </w:r>
      <w:r w:rsidR="000D3A8E">
        <w:t xml:space="preserve">to describe </w:t>
      </w:r>
      <w:proofErr w:type="spellStart"/>
      <w:r w:rsidR="000D3A8E">
        <w:t>Devaru</w:t>
      </w:r>
      <w:proofErr w:type="spellEnd"/>
      <w:r w:rsidR="000D3A8E">
        <w:rPr>
          <w:rStyle w:val="FootnoteReference"/>
        </w:rPr>
        <w:footnoteReference w:id="22"/>
      </w:r>
      <w:r w:rsidR="000D3A8E">
        <w:t xml:space="preserve">. While Alley could have related these responses to </w:t>
      </w:r>
      <w:r w:rsidR="006726E2">
        <w:t>a</w:t>
      </w:r>
      <w:r w:rsidR="000D3A8E">
        <w:t xml:space="preserve"> wider ontological discussion </w:t>
      </w:r>
      <w:r w:rsidR="00320009">
        <w:t>on</w:t>
      </w:r>
      <w:r w:rsidR="000D3A8E">
        <w:t xml:space="preserve"> the concept of the non-human and personhood, </w:t>
      </w:r>
      <w:r w:rsidR="00320009">
        <w:t>doing so would have diverted the convers</w:t>
      </w:r>
      <w:r w:rsidR="007C2790">
        <w:t>at</w:t>
      </w:r>
      <w:r w:rsidR="00320009">
        <w:t>ion away from paper’s intended focus</w:t>
      </w:r>
      <w:r w:rsidR="000D3A8E">
        <w:t>.</w:t>
      </w:r>
    </w:p>
    <w:p w14:paraId="7A4129C3" w14:textId="7EF93F6F" w:rsidR="00E46778" w:rsidRDefault="00C10886" w:rsidP="00C84363">
      <w:pPr>
        <w:ind w:firstLine="720"/>
      </w:pPr>
      <w:r>
        <w:t xml:space="preserve">Alley, however, </w:t>
      </w:r>
      <w:r w:rsidR="00F6425D">
        <w:t>is also referring to the concept of personhood in terms of “legal personhood”, and inviting responses to that</w:t>
      </w:r>
      <w:r w:rsidR="003E403C">
        <w:t xml:space="preserve"> definition</w:t>
      </w:r>
      <w:r w:rsidR="00F6425D">
        <w:t xml:space="preserve">. </w:t>
      </w:r>
      <w:r w:rsidR="003E403C">
        <w:t>T</w:t>
      </w:r>
      <w:r w:rsidR="00C84363">
        <w:t>h</w:t>
      </w:r>
      <w:r w:rsidR="00F6425D">
        <w:t xml:space="preserve">e discussion of </w:t>
      </w:r>
      <w:r w:rsidR="003E403C">
        <w:t xml:space="preserve">the </w:t>
      </w:r>
      <w:r w:rsidR="00F6425D">
        <w:t xml:space="preserve">non-human as </w:t>
      </w:r>
      <w:r w:rsidR="00F6425D" w:rsidRPr="00F6425D">
        <w:rPr>
          <w:i/>
          <w:iCs/>
        </w:rPr>
        <w:t>legal</w:t>
      </w:r>
      <w:r w:rsidR="00F6425D">
        <w:t xml:space="preserve"> entities</w:t>
      </w:r>
      <w:r w:rsidR="00C84363">
        <w:t xml:space="preserve"> is an entirely different concept</w:t>
      </w:r>
      <w:r w:rsidR="00F6425D">
        <w:t xml:space="preserve"> to the non-human as discussed by</w:t>
      </w:r>
      <w:r w:rsidR="00C84363">
        <w:t xml:space="preserve"> Bird-David</w:t>
      </w:r>
      <w:r w:rsidR="00F6425D">
        <w:t>. Nevertheless</w:t>
      </w:r>
      <w:r w:rsidR="00C84363">
        <w:t>,</w:t>
      </w:r>
      <w:r w:rsidR="003E403C">
        <w:t xml:space="preserve"> its legal definition</w:t>
      </w:r>
      <w:r w:rsidR="00C84363">
        <w:t xml:space="preserve"> still </w:t>
      </w:r>
      <w:r w:rsidR="003E403C">
        <w:t>speaks to</w:t>
      </w:r>
      <w:r w:rsidR="00C84363">
        <w:t xml:space="preserve"> how the non-human exists in relation to humans</w:t>
      </w:r>
      <w:r w:rsidR="003E403C">
        <w:rPr>
          <w:rStyle w:val="FootnoteReference"/>
        </w:rPr>
        <w:footnoteReference w:id="23"/>
      </w:r>
      <w:r w:rsidR="00C84363">
        <w:t xml:space="preserve">, in terms of which rights and duties it has, </w:t>
      </w:r>
      <w:r w:rsidR="003E403C">
        <w:t>despite</w:t>
      </w:r>
      <w:r w:rsidR="00C84363">
        <w:t xml:space="preserve"> still considering it a discrete “thing” in the modernist sense. </w:t>
      </w:r>
      <w:r w:rsidR="00E46778">
        <w:t xml:space="preserve">However, as </w:t>
      </w:r>
      <w:r w:rsidR="003E403C">
        <w:t xml:space="preserve">previously </w:t>
      </w:r>
      <w:r w:rsidR="00E46778">
        <w:t>state</w:t>
      </w:r>
      <w:r w:rsidR="003E403C">
        <w:t>d</w:t>
      </w:r>
      <w:r w:rsidR="00E46778">
        <w:t>, these legal rulings, and the application and interpretation of the law, do not necessarily correspond with the beliefs of people involved.</w:t>
      </w:r>
    </w:p>
    <w:p w14:paraId="172AE83A" w14:textId="69ED9023" w:rsidR="00C84363" w:rsidRDefault="00E46778" w:rsidP="00C84363">
      <w:pPr>
        <w:ind w:firstLine="720"/>
      </w:pPr>
      <w:r>
        <w:t>While the papers both discuss personhood and the nonhuman, the treatment of the</w:t>
      </w:r>
      <w:r w:rsidR="00F6425D">
        <w:t xml:space="preserve"> fundamental</w:t>
      </w:r>
      <w:r>
        <w:t xml:space="preserve"> concept is very different due to the methodology and approach they are using. </w:t>
      </w:r>
      <w:r w:rsidR="00ED3123">
        <w:t>In</w:t>
      </w:r>
      <w:r>
        <w:t xml:space="preserve"> Bird-David’s paper, we see a contrast between two different conceptions of the non-human, modernist vs Nayaka,</w:t>
      </w:r>
      <w:r w:rsidR="00ED3123">
        <w:t xml:space="preserve"> but</w:t>
      </w:r>
      <w:r>
        <w:t xml:space="preserve"> in Alley’s paper</w:t>
      </w:r>
      <w:r w:rsidR="00ED3123">
        <w:t xml:space="preserve">, </w:t>
      </w:r>
      <w:r w:rsidR="00F6425D">
        <w:t xml:space="preserve">we see the non-human defined in legal terms, as legal entities, and </w:t>
      </w:r>
      <w:r w:rsidR="00ED3123">
        <w:t xml:space="preserve">see contrasting opinions about </w:t>
      </w:r>
      <w:r w:rsidR="00F6425D">
        <w:t>these</w:t>
      </w:r>
      <w:r w:rsidR="00ED3123">
        <w:t xml:space="preserve"> rulings, </w:t>
      </w:r>
      <w:r w:rsidR="00F6425D">
        <w:t xml:space="preserve">rather than detail on the potential ontological </w:t>
      </w:r>
      <w:r w:rsidR="00ED3123">
        <w:t xml:space="preserve">differences </w:t>
      </w:r>
      <w:r w:rsidR="00F6425D">
        <w:t>at play between the different groups.</w:t>
      </w:r>
    </w:p>
    <w:p w14:paraId="68BA077C" w14:textId="7E2ACAA0" w:rsidR="00C10886" w:rsidRPr="00C10886" w:rsidRDefault="000C560B" w:rsidP="00C10886">
      <w:pPr>
        <w:rPr>
          <w:b/>
          <w:bCs/>
        </w:rPr>
      </w:pPr>
      <w:r>
        <w:rPr>
          <w:b/>
          <w:bCs/>
        </w:rPr>
        <w:t xml:space="preserve">Contribution to Ongoing </w:t>
      </w:r>
      <w:r w:rsidR="00C10886" w:rsidRPr="00C10886">
        <w:rPr>
          <w:b/>
          <w:bCs/>
        </w:rPr>
        <w:t>Debate</w:t>
      </w:r>
      <w:r>
        <w:rPr>
          <w:b/>
          <w:bCs/>
        </w:rPr>
        <w:t>s</w:t>
      </w:r>
    </w:p>
    <w:p w14:paraId="557CA29F" w14:textId="43A777F4" w:rsidR="000C560B" w:rsidRDefault="000C560B" w:rsidP="00B9117C">
      <w:pPr>
        <w:ind w:firstLine="720"/>
      </w:pPr>
      <w:r>
        <w:t xml:space="preserve">The </w:t>
      </w:r>
      <w:r w:rsidR="00646751">
        <w:t xml:space="preserve">way </w:t>
      </w:r>
      <w:r w:rsidR="009012C0">
        <w:t>in</w:t>
      </w:r>
      <w:r w:rsidR="00646751">
        <w:t xml:space="preserve"> which the two papers address the concept of the non-human from </w:t>
      </w:r>
      <w:r>
        <w:t>differing perspectives</w:t>
      </w:r>
      <w:r w:rsidR="00646751">
        <w:t>, and the extent</w:t>
      </w:r>
      <w:r>
        <w:t xml:space="preserve"> </w:t>
      </w:r>
      <w:r w:rsidR="00646751">
        <w:t>to which they delve into the respective theoretical grounding of their topic</w:t>
      </w:r>
      <w:r w:rsidR="009012C0">
        <w:t>,</w:t>
      </w:r>
      <w:r w:rsidR="00646751">
        <w:t xml:space="preserve"> </w:t>
      </w:r>
      <w:r>
        <w:t>can be understood by looking at them within the context of academic debates happening at the time</w:t>
      </w:r>
      <w:r w:rsidR="00646751">
        <w:t xml:space="preserve">, </w:t>
      </w:r>
      <w:r w:rsidR="00163208">
        <w:t xml:space="preserve">and </w:t>
      </w:r>
      <w:r w:rsidR="009012C0">
        <w:t>to which they were contributing</w:t>
      </w:r>
      <w:r>
        <w:t xml:space="preserve">. </w:t>
      </w:r>
    </w:p>
    <w:p w14:paraId="661CE9CC" w14:textId="5DF83295" w:rsidR="00C5222C" w:rsidRDefault="00C5222C" w:rsidP="00C5222C">
      <w:pPr>
        <w:ind w:firstLine="720"/>
      </w:pPr>
      <w:r>
        <w:t>Bird-David’s</w:t>
      </w:r>
      <w:r w:rsidR="00546347">
        <w:t xml:space="preserve"> paper in </w:t>
      </w:r>
      <w:r w:rsidR="00546347" w:rsidRPr="009012C0">
        <w:rPr>
          <w:i/>
          <w:iCs/>
        </w:rPr>
        <w:t>Current Anthropology</w:t>
      </w:r>
      <w:r w:rsidR="00546347">
        <w:t xml:space="preserve">’s special issue was answering the call to share new perspectives on long standing ideas, and </w:t>
      </w:r>
      <w:r w:rsidR="009012C0">
        <w:t>shared the</w:t>
      </w:r>
      <w:r>
        <w:t xml:space="preserve"> conclusion that we misunderstand indigenous ideas of animism if we simply look at them through a modernist lens</w:t>
      </w:r>
      <w:r w:rsidR="00546347">
        <w:t xml:space="preserve">. This </w:t>
      </w:r>
      <w:r>
        <w:t>arose within</w:t>
      </w:r>
      <w:r w:rsidR="009012C0">
        <w:t>,</w:t>
      </w:r>
      <w:r>
        <w:t xml:space="preserve"> and contributed to</w:t>
      </w:r>
      <w:r w:rsidR="009012C0">
        <w:t>,</w:t>
      </w:r>
      <w:r>
        <w:t xml:space="preserve"> an era in which the animism debate was revive</w:t>
      </w:r>
      <w:r w:rsidR="009012C0">
        <w:t>d</w:t>
      </w:r>
      <w:r>
        <w:t xml:space="preserve"> and many researchers looked to reconsider the ontological </w:t>
      </w:r>
      <w:r w:rsidR="00A26E05">
        <w:t>biases</w:t>
      </w:r>
      <w:r>
        <w:t xml:space="preserve"> of anthropological research</w:t>
      </w:r>
      <w:r w:rsidR="009012C0">
        <w:t>. It contributed to</w:t>
      </w:r>
      <w:r>
        <w:t xml:space="preserve"> </w:t>
      </w:r>
      <w:r w:rsidR="00546347">
        <w:t xml:space="preserve">significant </w:t>
      </w:r>
      <w:r>
        <w:t xml:space="preserve">shifts in </w:t>
      </w:r>
      <w:r>
        <w:lastRenderedPageBreak/>
        <w:t>the field, including Tim Ingold’s Rethinking the Animate</w:t>
      </w:r>
      <w:r>
        <w:rPr>
          <w:rStyle w:val="FootnoteReference"/>
        </w:rPr>
        <w:footnoteReference w:id="24"/>
      </w:r>
      <w:r w:rsidR="007C2790">
        <w:t xml:space="preserve">, </w:t>
      </w:r>
      <w:r>
        <w:t>Viveiros de Castro’s Perspectivism</w:t>
      </w:r>
      <w:r w:rsidR="00A26E05">
        <w:rPr>
          <w:rStyle w:val="FootnoteReference"/>
        </w:rPr>
        <w:footnoteReference w:id="25"/>
      </w:r>
      <w:r>
        <w:t xml:space="preserve"> and the Ontological Turn</w:t>
      </w:r>
      <w:r w:rsidR="00A26E05">
        <w:rPr>
          <w:rStyle w:val="FootnoteReference"/>
        </w:rPr>
        <w:footnoteReference w:id="26"/>
      </w:r>
      <w:r>
        <w:t>,</w:t>
      </w:r>
      <w:r w:rsidR="00163208">
        <w:t xml:space="preserve"> which</w:t>
      </w:r>
      <w:r w:rsidR="00546347">
        <w:t xml:space="preserve"> highlighted that while Anthropology had been interested in differences in “culture”, its study was being impeded by the presumption that metaphysical and ontological ideas </w:t>
      </w:r>
      <w:r w:rsidR="00320009">
        <w:t>about</w:t>
      </w:r>
      <w:r w:rsidR="00546347">
        <w:t xml:space="preserve"> nature were universal</w:t>
      </w:r>
      <w:r w:rsidR="00163208">
        <w:t xml:space="preserve">. This paper, by Bird-David, is </w:t>
      </w:r>
      <w:r w:rsidR="00E46778">
        <w:t>regarded</w:t>
      </w:r>
      <w:r w:rsidR="00163208">
        <w:t xml:space="preserve"> as being significant in the revival of this debate</w:t>
      </w:r>
      <w:r w:rsidR="00546347">
        <w:rPr>
          <w:rStyle w:val="FootnoteReference"/>
        </w:rPr>
        <w:footnoteReference w:id="27"/>
      </w:r>
      <w:r w:rsidR="00163208">
        <w:t xml:space="preserve">. </w:t>
      </w:r>
    </w:p>
    <w:p w14:paraId="41049C6A" w14:textId="546EFB65" w:rsidR="00A105DB" w:rsidRDefault="00C10886" w:rsidP="00B9117C">
      <w:pPr>
        <w:ind w:firstLine="720"/>
      </w:pPr>
      <w:r>
        <w:t>Alley</w:t>
      </w:r>
      <w:r w:rsidR="00F23D06">
        <w:t xml:space="preserve"> </w:t>
      </w:r>
      <w:r w:rsidR="00C5222C">
        <w:t>conversely, discusses</w:t>
      </w:r>
      <w:r w:rsidR="008C0DBE">
        <w:t xml:space="preserve"> personhood laws in more pragmatic terms of environmental implications, and this </w:t>
      </w:r>
      <w:r>
        <w:t xml:space="preserve">ecological emphasis is </w:t>
      </w:r>
      <w:r w:rsidR="00F23D06">
        <w:t xml:space="preserve">reflective of </w:t>
      </w:r>
      <w:r>
        <w:t>the time in which it is published</w:t>
      </w:r>
      <w:r w:rsidR="00F23D06">
        <w:t>. Within the same issue of the journal, there were many other papers discussi</w:t>
      </w:r>
      <w:r w:rsidR="00C5222C">
        <w:t>ng</w:t>
      </w:r>
      <w:r w:rsidR="00F23D06">
        <w:t xml:space="preserve"> the intersection between religion and ecology, as </w:t>
      </w:r>
      <w:r>
        <w:t xml:space="preserve">concerns about environment </w:t>
      </w:r>
      <w:r w:rsidR="00C5222C">
        <w:t>became</w:t>
      </w:r>
      <w:r>
        <w:t xml:space="preserve"> heightened following the publication of the </w:t>
      </w:r>
      <w:r w:rsidR="005F2E0B">
        <w:t xml:space="preserve">2018 report by the </w:t>
      </w:r>
      <w:r>
        <w:t>I</w:t>
      </w:r>
      <w:r w:rsidR="005F2E0B">
        <w:t xml:space="preserve">ntergovernmental </w:t>
      </w:r>
      <w:r>
        <w:t>P</w:t>
      </w:r>
      <w:r w:rsidR="005F2E0B">
        <w:t xml:space="preserve">anel on </w:t>
      </w:r>
      <w:r>
        <w:t>C</w:t>
      </w:r>
      <w:r w:rsidR="005F2E0B">
        <w:t xml:space="preserve">limate </w:t>
      </w:r>
      <w:r>
        <w:t>C</w:t>
      </w:r>
      <w:r w:rsidR="005F2E0B">
        <w:t>hange</w:t>
      </w:r>
      <w:r w:rsidR="005F2E0B">
        <w:rPr>
          <w:rStyle w:val="FootnoteReference"/>
        </w:rPr>
        <w:footnoteReference w:id="28"/>
      </w:r>
      <w:r>
        <w:t xml:space="preserve">, </w:t>
      </w:r>
      <w:r w:rsidR="000C560B">
        <w:t>highlighting the urgent need for effective action to tackle climate change</w:t>
      </w:r>
      <w:r w:rsidR="00F23D06">
        <w:t>. The paper was timely</w:t>
      </w:r>
      <w:r w:rsidR="009012C0">
        <w:t>,</w:t>
      </w:r>
      <w:r>
        <w:t xml:space="preserve"> </w:t>
      </w:r>
      <w:r w:rsidR="00C5222C">
        <w:t>also</w:t>
      </w:r>
      <w:r w:rsidR="009012C0">
        <w:t>,</w:t>
      </w:r>
      <w:r w:rsidR="00C5222C">
        <w:t xml:space="preserve"> </w:t>
      </w:r>
      <w:r>
        <w:t xml:space="preserve">considering that the rights of nature as a legal </w:t>
      </w:r>
      <w:r w:rsidR="00FF00E1">
        <w:t xml:space="preserve">and constitutional </w:t>
      </w:r>
      <w:r>
        <w:t xml:space="preserve">framework had become one of the </w:t>
      </w:r>
      <w:r w:rsidR="00454AC7">
        <w:t>instruments</w:t>
      </w:r>
      <w:r>
        <w:t xml:space="preserve"> of law </w:t>
      </w:r>
      <w:r w:rsidR="00FF00E1">
        <w:t xml:space="preserve">and </w:t>
      </w:r>
      <w:r w:rsidR="00A105DB">
        <w:t xml:space="preserve">policy </w:t>
      </w:r>
      <w:r>
        <w:t>to</w:t>
      </w:r>
      <w:r w:rsidR="00FF00E1">
        <w:t xml:space="preserve"> </w:t>
      </w:r>
      <w:r>
        <w:t>protect nature</w:t>
      </w:r>
      <w:r w:rsidR="00F23D06">
        <w:t xml:space="preserve"> </w:t>
      </w:r>
      <w:r w:rsidR="005F2E0B">
        <w:t>in the</w:t>
      </w:r>
      <w:r>
        <w:t xml:space="preserve"> Ecuador</w:t>
      </w:r>
      <w:r w:rsidR="005F2E0B">
        <w:t xml:space="preserve">ian constitution </w:t>
      </w:r>
      <w:r>
        <w:t>in 2008</w:t>
      </w:r>
      <w:r w:rsidR="005F2E0B">
        <w:rPr>
          <w:rStyle w:val="FootnoteReference"/>
        </w:rPr>
        <w:footnoteReference w:id="29"/>
      </w:r>
      <w:r>
        <w:t xml:space="preserve"> and</w:t>
      </w:r>
      <w:r w:rsidR="00FF00E1">
        <w:t xml:space="preserve"> the </w:t>
      </w:r>
      <w:proofErr w:type="spellStart"/>
      <w:r w:rsidR="00FF00E1">
        <w:t>Te</w:t>
      </w:r>
      <w:proofErr w:type="spellEnd"/>
      <w:r w:rsidR="00FF00E1">
        <w:t xml:space="preserve"> </w:t>
      </w:r>
      <w:proofErr w:type="spellStart"/>
      <w:r w:rsidR="00FF00E1">
        <w:t>Urewera</w:t>
      </w:r>
      <w:proofErr w:type="spellEnd"/>
      <w:r w:rsidR="00FF00E1">
        <w:t xml:space="preserve"> Act</w:t>
      </w:r>
      <w:r w:rsidR="00A105DB">
        <w:t xml:space="preserve"> in 2014</w:t>
      </w:r>
      <w:r w:rsidR="00FF00E1">
        <w:t xml:space="preserve">, </w:t>
      </w:r>
      <w:r w:rsidR="00A105DB">
        <w:t>granting</w:t>
      </w:r>
      <w:r w:rsidR="00FF00E1">
        <w:t xml:space="preserve"> personhood rights to</w:t>
      </w:r>
      <w:r>
        <w:t xml:space="preserve"> the Whanganui </w:t>
      </w:r>
      <w:r w:rsidR="00A105DB">
        <w:t>River</w:t>
      </w:r>
      <w:r w:rsidR="007C4D01">
        <w:t>, New Zealand</w:t>
      </w:r>
      <w:r w:rsidR="007A34F0">
        <w:rPr>
          <w:rStyle w:val="FootnoteReference"/>
        </w:rPr>
        <w:footnoteReference w:id="30"/>
      </w:r>
      <w:r w:rsidR="00F23D06">
        <w:t xml:space="preserve">, </w:t>
      </w:r>
      <w:r w:rsidR="00C5222C">
        <w:t xml:space="preserve">and </w:t>
      </w:r>
      <w:r w:rsidR="00F23D06">
        <w:t>so when the ruling occurred in India in 2017, it was relevant to discuss in terms of ecological implications</w:t>
      </w:r>
      <w:r>
        <w:t xml:space="preserve">. </w:t>
      </w:r>
    </w:p>
    <w:p w14:paraId="6AA53C21" w14:textId="1FE80E55" w:rsidR="00A67BA3" w:rsidRDefault="00A105DB" w:rsidP="0042574F">
      <w:pPr>
        <w:ind w:firstLine="720"/>
      </w:pPr>
      <w:r>
        <w:t xml:space="preserve">While </w:t>
      </w:r>
      <w:r w:rsidR="009012C0">
        <w:t xml:space="preserve">Alley looked at </w:t>
      </w:r>
      <w:r w:rsidR="00C10886">
        <w:t>personhood in relation to legal frameworks</w:t>
      </w:r>
      <w:r w:rsidR="009012C0">
        <w:t xml:space="preserve">, which </w:t>
      </w:r>
      <w:r w:rsidR="00C10886">
        <w:t>regard</w:t>
      </w:r>
      <w:r w:rsidR="009012C0">
        <w:t>s</w:t>
      </w:r>
      <w:r w:rsidR="00C10886">
        <w:t xml:space="preserve"> them in terms of</w:t>
      </w:r>
      <w:r w:rsidR="00FF00E1">
        <w:t xml:space="preserve"> Western constructs</w:t>
      </w:r>
      <w:r w:rsidR="00FF00E1">
        <w:rPr>
          <w:rStyle w:val="FootnoteReference"/>
        </w:rPr>
        <w:footnoteReference w:id="31"/>
      </w:r>
      <w:r w:rsidR="00FF00E1">
        <w:t xml:space="preserve"> and therefore as</w:t>
      </w:r>
      <w:r w:rsidR="00C10886">
        <w:t xml:space="preserve"> modernist objects</w:t>
      </w:r>
      <w:r>
        <w:t xml:space="preserve">, this alone does not sufficiently explain why </w:t>
      </w:r>
      <w:r w:rsidR="0042574F">
        <w:t>she</w:t>
      </w:r>
      <w:r>
        <w:t xml:space="preserve"> does not </w:t>
      </w:r>
      <w:r w:rsidR="0042574F">
        <w:t>include a discussion of potential ontological differences.  This is especially pertinent given that participant observation is listed among her methods, and yet the discussion does not show the benefit of the preceding two decades of advancement in anthropological thinking. Other papers, contemporaneous with hers, such as in Juan J. Guzman’s, ‘Decolonising Law and expanding Human Rights’</w:t>
      </w:r>
      <w:r w:rsidR="0042574F">
        <w:rPr>
          <w:rStyle w:val="FootnoteReference"/>
        </w:rPr>
        <w:footnoteReference w:id="32"/>
      </w:r>
      <w:r w:rsidR="0042574F">
        <w:t xml:space="preserve"> discuss Rights of Nature as a ‘great advance’ exactly because they ‘recognize and validate non-Western </w:t>
      </w:r>
      <w:proofErr w:type="gramStart"/>
      <w:r w:rsidR="0042574F">
        <w:t>ontologies’</w:t>
      </w:r>
      <w:proofErr w:type="gramEnd"/>
      <w:r w:rsidR="0042574F">
        <w:t xml:space="preserve">. It may be that, as this paper was published in </w:t>
      </w:r>
      <w:r w:rsidR="0042574F" w:rsidRPr="00214687">
        <w:rPr>
          <w:i/>
          <w:iCs/>
        </w:rPr>
        <w:t>Religions</w:t>
      </w:r>
      <w:r w:rsidR="0042574F">
        <w:t>, it is not directly concerned with grounding ideas in anthropological theory, however, while this paper is showing the matter and its intersection with many other disciplines, including jurisprudence, ecology and religion, it would be worth also including an acknowledgement of ontological differences to ground this paper in wider discussions around personhood and the non-human</w:t>
      </w:r>
      <w:r w:rsidR="00883D74">
        <w:t xml:space="preserve"> in anthropology</w:t>
      </w:r>
      <w:r w:rsidR="0042574F">
        <w:t xml:space="preserve">. </w:t>
      </w:r>
      <w:r>
        <w:t xml:space="preserve"> </w:t>
      </w:r>
    </w:p>
    <w:p w14:paraId="4982F3E6" w14:textId="04C123E4" w:rsidR="00C10886" w:rsidRPr="00C10886" w:rsidRDefault="00C61DC5" w:rsidP="00C10886">
      <w:pPr>
        <w:rPr>
          <w:b/>
          <w:bCs/>
        </w:rPr>
      </w:pPr>
      <w:r>
        <w:rPr>
          <w:b/>
          <w:bCs/>
        </w:rPr>
        <w:br w:type="page"/>
      </w:r>
      <w:r w:rsidR="00C10886" w:rsidRPr="00C10886">
        <w:rPr>
          <w:b/>
          <w:bCs/>
        </w:rPr>
        <w:lastRenderedPageBreak/>
        <w:t>Conclusion</w:t>
      </w:r>
    </w:p>
    <w:p w14:paraId="7923EA28" w14:textId="65E108F0" w:rsidR="00C10886" w:rsidRDefault="00204034" w:rsidP="00C10886">
      <w:r>
        <w:t xml:space="preserve">This essay has discussed two papers about personhood, looking at the similarities and differences in how they approach the concept of the non-human, the methodologies and primary sources they used, and how they present difficulties in reconciling Western and non-Western ideas of non-human personhood. </w:t>
      </w:r>
      <w:r w:rsidR="003E403C" w:rsidRPr="003E403C">
        <w:t>Bird-David's research makes a good case for this with ethnographic examples and a solid theoretical foundation,</w:t>
      </w:r>
      <w:r w:rsidR="003E403C">
        <w:t xml:space="preserve"> </w:t>
      </w:r>
      <w:r w:rsidR="00ED3123">
        <w:t>whereas Alley reports interview evidence from devotees to show how the legal rulings do not correspond with their religious beliefs</w:t>
      </w:r>
      <w:r w:rsidR="00ED3123" w:rsidRPr="00417399">
        <w:t xml:space="preserve">. These differences, and </w:t>
      </w:r>
      <w:r w:rsidR="00417399" w:rsidRPr="00417399">
        <w:t xml:space="preserve">their </w:t>
      </w:r>
      <w:r w:rsidR="00ED3123" w:rsidRPr="00417399">
        <w:t xml:space="preserve">relative success in showing the underlying reasons for these differences, can be understand by looking at the intended audience and the ongoing academic debates to which they were contributing. </w:t>
      </w:r>
      <w:r w:rsidR="00417399" w:rsidRPr="00417399">
        <w:t xml:space="preserve">The Ontological Turn, a major shift in anthropology that Bird-David helped to shape, required </w:t>
      </w:r>
      <w:r w:rsidR="00417399">
        <w:t>strong</w:t>
      </w:r>
      <w:r w:rsidR="00417399" w:rsidRPr="00417399">
        <w:t xml:space="preserve"> ethnographic</w:t>
      </w:r>
      <w:r w:rsidR="00417399">
        <w:t xml:space="preserve"> examples</w:t>
      </w:r>
      <w:r w:rsidR="00417399" w:rsidRPr="00417399">
        <w:t xml:space="preserve"> to support the suggested theories. </w:t>
      </w:r>
      <w:r w:rsidR="00BC7A2E" w:rsidRPr="00BC7A2E">
        <w:t xml:space="preserve">Even though Alley is writing during a period </w:t>
      </w:r>
      <w:r w:rsidR="00BC7A2E">
        <w:t xml:space="preserve">of heightened environmental concern, </w:t>
      </w:r>
      <w:r w:rsidR="00BC7A2E" w:rsidRPr="00BC7A2E">
        <w:t xml:space="preserve">in which awareness of the implications of legal personhood on environmental and river protection is </w:t>
      </w:r>
      <w:r w:rsidR="00DA7923">
        <w:t>vital</w:t>
      </w:r>
      <w:r w:rsidR="00BC7A2E">
        <w:t xml:space="preserve">, an acknowledgement of </w:t>
      </w:r>
      <w:r w:rsidR="00BC7A2E" w:rsidRPr="00BC7A2E">
        <w:t xml:space="preserve">this in relation to ontological differences would have </w:t>
      </w:r>
      <w:r w:rsidR="00BC7A2E">
        <w:t xml:space="preserve">helped ground these findings in relation to </w:t>
      </w:r>
      <w:proofErr w:type="gramStart"/>
      <w:r w:rsidR="00BC7A2E">
        <w:t>other</w:t>
      </w:r>
      <w:proofErr w:type="gramEnd"/>
      <w:r w:rsidR="00BC7A2E">
        <w:t xml:space="preserve"> research. </w:t>
      </w:r>
    </w:p>
    <w:p w14:paraId="60BC756D" w14:textId="77777777" w:rsidR="00C61DC5" w:rsidRDefault="00C61DC5" w:rsidP="00C10886">
      <w:pPr>
        <w:rPr>
          <w:b/>
          <w:bCs/>
        </w:rPr>
      </w:pPr>
    </w:p>
    <w:p w14:paraId="4B90B44C" w14:textId="008A9D2D" w:rsidR="005D4712" w:rsidRPr="005D4712" w:rsidRDefault="005D4712" w:rsidP="00C10886">
      <w:pPr>
        <w:rPr>
          <w:b/>
          <w:bCs/>
        </w:rPr>
      </w:pPr>
      <w:r w:rsidRPr="005D4712">
        <w:rPr>
          <w:b/>
          <w:bCs/>
        </w:rPr>
        <w:t>References</w:t>
      </w:r>
    </w:p>
    <w:p w14:paraId="58509689" w14:textId="77777777" w:rsidR="00171A7C" w:rsidRPr="005D4712" w:rsidRDefault="00171A7C" w:rsidP="005D4712">
      <w:pPr>
        <w:spacing w:line="240" w:lineRule="auto"/>
        <w:ind w:left="567" w:hanging="567"/>
        <w:rPr>
          <w:rFonts w:eastAsia="Times New Roman" w:cstheme="minorHAnsi"/>
          <w:lang w:eastAsia="en-GB"/>
        </w:rPr>
      </w:pPr>
      <w:r>
        <w:rPr>
          <w:rFonts w:eastAsia="Times New Roman" w:cstheme="minorHAnsi"/>
          <w:lang w:eastAsia="en-GB"/>
        </w:rPr>
        <w:t xml:space="preserve">Alley, </w:t>
      </w:r>
      <w:proofErr w:type="gramStart"/>
      <w:r>
        <w:rPr>
          <w:rFonts w:eastAsia="Times New Roman" w:cstheme="minorHAnsi"/>
          <w:lang w:eastAsia="en-GB"/>
        </w:rPr>
        <w:t>K.D.</w:t>
      </w:r>
      <w:r w:rsidRPr="005D4712">
        <w:rPr>
          <w:rFonts w:eastAsia="Times New Roman" w:cstheme="minorHAnsi"/>
          <w:lang w:eastAsia="en-GB"/>
        </w:rPr>
        <w:t>.</w:t>
      </w:r>
      <w:proofErr w:type="gramEnd"/>
      <w:r w:rsidRPr="005D4712">
        <w:rPr>
          <w:rFonts w:eastAsia="Times New Roman" w:cstheme="minorHAnsi"/>
          <w:lang w:eastAsia="en-GB"/>
        </w:rPr>
        <w:t xml:space="preserve"> River Goddesses, Personhood and Rights of Nature: Implications for Spiritual Ecology. </w:t>
      </w:r>
      <w:r w:rsidRPr="005D4712">
        <w:rPr>
          <w:rFonts w:eastAsia="Times New Roman" w:cstheme="minorHAnsi"/>
          <w:i/>
          <w:iCs/>
          <w:lang w:eastAsia="en-GB"/>
        </w:rPr>
        <w:t>Religions</w:t>
      </w:r>
      <w:r w:rsidRPr="005D4712">
        <w:rPr>
          <w:rFonts w:eastAsia="Times New Roman" w:cstheme="minorHAnsi"/>
          <w:lang w:eastAsia="en-GB"/>
        </w:rPr>
        <w:t xml:space="preserve"> 10,</w:t>
      </w:r>
      <w:r>
        <w:rPr>
          <w:rFonts w:eastAsia="Times New Roman" w:cstheme="minorHAnsi"/>
          <w:lang w:eastAsia="en-GB"/>
        </w:rPr>
        <w:t xml:space="preserve"> (</w:t>
      </w:r>
      <w:r w:rsidRPr="005D4712">
        <w:rPr>
          <w:rFonts w:eastAsia="Times New Roman" w:cstheme="minorHAnsi"/>
          <w:lang w:eastAsia="en-GB"/>
        </w:rPr>
        <w:t>2019</w:t>
      </w:r>
      <w:r>
        <w:rPr>
          <w:rFonts w:eastAsia="Times New Roman" w:cstheme="minorHAnsi"/>
          <w:lang w:eastAsia="en-GB"/>
        </w:rPr>
        <w:t>)</w:t>
      </w:r>
      <w:r w:rsidRPr="005D4712">
        <w:rPr>
          <w:rFonts w:eastAsia="Times New Roman" w:cstheme="minorHAnsi"/>
          <w:lang w:eastAsia="en-GB"/>
        </w:rPr>
        <w:t xml:space="preserve"> 502. </w:t>
      </w:r>
      <w:hyperlink r:id="rId9" w:history="1">
        <w:r w:rsidRPr="005D4712">
          <w:rPr>
            <w:rFonts w:eastAsia="Times New Roman" w:cstheme="minorHAnsi"/>
            <w:color w:val="0000FF"/>
            <w:u w:val="single"/>
            <w:lang w:eastAsia="en-GB"/>
          </w:rPr>
          <w:t>https://doi.org/10.3390/rel10090502</w:t>
        </w:r>
      </w:hyperlink>
    </w:p>
    <w:p w14:paraId="03A0D089" w14:textId="77777777" w:rsidR="00F479C9" w:rsidRDefault="00171A7C" w:rsidP="00F479C9">
      <w:pPr>
        <w:spacing w:line="240" w:lineRule="auto"/>
        <w:ind w:left="567" w:hanging="567"/>
        <w:rPr>
          <w:rFonts w:eastAsia="Times New Roman" w:cstheme="minorHAnsi"/>
          <w:lang w:eastAsia="en-GB"/>
        </w:rPr>
      </w:pPr>
      <w:r>
        <w:rPr>
          <w:rFonts w:eastAsia="Times New Roman" w:cstheme="minorHAnsi"/>
          <w:lang w:eastAsia="en-GB"/>
        </w:rPr>
        <w:t>Bird‐David, N</w:t>
      </w:r>
      <w:r w:rsidRPr="005D4712">
        <w:rPr>
          <w:rFonts w:eastAsia="Times New Roman" w:cstheme="minorHAnsi"/>
          <w:lang w:eastAsia="en-GB"/>
        </w:rPr>
        <w:t xml:space="preserve">. “Animism” Revisited: Personhood, Environment, and Relational Epistemology. </w:t>
      </w:r>
      <w:r w:rsidRPr="005D4712">
        <w:rPr>
          <w:rFonts w:eastAsia="Times New Roman" w:cstheme="minorHAnsi"/>
          <w:i/>
          <w:iCs/>
          <w:lang w:eastAsia="en-GB"/>
        </w:rPr>
        <w:t>Current</w:t>
      </w:r>
      <w:r w:rsidRPr="005D4712">
        <w:rPr>
          <w:rFonts w:eastAsia="Times New Roman" w:cstheme="minorHAnsi"/>
          <w:lang w:eastAsia="en-GB"/>
        </w:rPr>
        <w:t xml:space="preserve"> </w:t>
      </w:r>
      <w:r w:rsidRPr="005D4712">
        <w:rPr>
          <w:rFonts w:eastAsia="Times New Roman" w:cstheme="minorHAnsi"/>
          <w:i/>
          <w:iCs/>
          <w:lang w:eastAsia="en-GB"/>
        </w:rPr>
        <w:t>Anthropology</w:t>
      </w:r>
      <w:r w:rsidRPr="005D4712">
        <w:rPr>
          <w:rFonts w:eastAsia="Times New Roman" w:cstheme="minorHAnsi"/>
          <w:lang w:eastAsia="en-GB"/>
        </w:rPr>
        <w:t xml:space="preserve"> 40,</w:t>
      </w:r>
      <w:r>
        <w:rPr>
          <w:rFonts w:eastAsia="Times New Roman" w:cstheme="minorHAnsi"/>
          <w:lang w:eastAsia="en-GB"/>
        </w:rPr>
        <w:t xml:space="preserve"> (1999)</w:t>
      </w:r>
      <w:r w:rsidRPr="005D4712">
        <w:rPr>
          <w:rFonts w:eastAsia="Times New Roman" w:cstheme="minorHAnsi"/>
          <w:lang w:eastAsia="en-GB"/>
        </w:rPr>
        <w:t xml:space="preserve"> S67–S91. </w:t>
      </w:r>
      <w:hyperlink r:id="rId10" w:history="1">
        <w:r w:rsidRPr="005D4712">
          <w:rPr>
            <w:rFonts w:eastAsia="Times New Roman" w:cstheme="minorHAnsi"/>
            <w:color w:val="0000FF"/>
            <w:u w:val="single"/>
            <w:lang w:eastAsia="en-GB"/>
          </w:rPr>
          <w:t>https://doi.org/10.1086/200061</w:t>
        </w:r>
      </w:hyperlink>
    </w:p>
    <w:p w14:paraId="0C1365C3" w14:textId="591E89FF" w:rsidR="00F479C9" w:rsidRPr="00F479C9" w:rsidRDefault="00171A7C" w:rsidP="00F479C9">
      <w:pPr>
        <w:spacing w:line="240" w:lineRule="auto"/>
        <w:ind w:left="567" w:hanging="567"/>
        <w:rPr>
          <w:rFonts w:eastAsia="Times New Roman" w:cstheme="minorHAnsi"/>
          <w:lang w:eastAsia="en-GB"/>
        </w:rPr>
      </w:pPr>
      <w:r w:rsidRPr="00171A7C">
        <w:rPr>
          <w:rFonts w:ascii="Calibri" w:eastAsia="Times New Roman" w:hAnsi="Calibri" w:cs="Calibri"/>
          <w:lang w:eastAsia="en-GB"/>
        </w:rPr>
        <w:t xml:space="preserve">De Castro, </w:t>
      </w:r>
      <w:proofErr w:type="gramStart"/>
      <w:r w:rsidRPr="00171A7C">
        <w:rPr>
          <w:rFonts w:ascii="Calibri" w:eastAsia="Times New Roman" w:hAnsi="Calibri" w:cs="Calibri"/>
          <w:lang w:eastAsia="en-GB"/>
        </w:rPr>
        <w:t>E.V..</w:t>
      </w:r>
      <w:proofErr w:type="gramEnd"/>
      <w:r w:rsidRPr="00171A7C">
        <w:rPr>
          <w:rFonts w:ascii="Calibri" w:eastAsia="Times New Roman" w:hAnsi="Calibri" w:cs="Calibri"/>
          <w:lang w:eastAsia="en-GB"/>
        </w:rPr>
        <w:t xml:space="preserve"> Cosmological Deixis and Amerindian Perspectivism. </w:t>
      </w:r>
      <w:r w:rsidRPr="00171A7C">
        <w:rPr>
          <w:rFonts w:ascii="Calibri" w:eastAsia="Times New Roman" w:hAnsi="Calibri" w:cs="Calibri"/>
          <w:i/>
          <w:iCs/>
          <w:lang w:eastAsia="en-GB"/>
        </w:rPr>
        <w:t>The Journal of the Royal Anthropological</w:t>
      </w:r>
      <w:r w:rsidRPr="00171A7C">
        <w:rPr>
          <w:rFonts w:ascii="Calibri" w:eastAsia="Times New Roman" w:hAnsi="Calibri" w:cs="Calibri"/>
          <w:lang w:eastAsia="en-GB"/>
        </w:rPr>
        <w:t xml:space="preserve"> </w:t>
      </w:r>
      <w:r w:rsidRPr="00171A7C">
        <w:rPr>
          <w:rFonts w:ascii="Calibri" w:eastAsia="Times New Roman" w:hAnsi="Calibri" w:cs="Calibri"/>
          <w:i/>
          <w:iCs/>
          <w:lang w:eastAsia="en-GB"/>
        </w:rPr>
        <w:t>Institute</w:t>
      </w:r>
      <w:r w:rsidRPr="00171A7C">
        <w:rPr>
          <w:rFonts w:ascii="Calibri" w:eastAsia="Times New Roman" w:hAnsi="Calibri" w:cs="Calibri"/>
          <w:lang w:eastAsia="en-GB"/>
        </w:rPr>
        <w:t xml:space="preserve"> 4, </w:t>
      </w:r>
      <w:r>
        <w:rPr>
          <w:rFonts w:ascii="Calibri" w:eastAsia="Times New Roman" w:hAnsi="Calibri" w:cs="Calibri"/>
          <w:lang w:eastAsia="en-GB"/>
        </w:rPr>
        <w:t xml:space="preserve">(1998) </w:t>
      </w:r>
      <w:r w:rsidRPr="00171A7C">
        <w:rPr>
          <w:rFonts w:ascii="Calibri" w:eastAsia="Times New Roman" w:hAnsi="Calibri" w:cs="Calibri"/>
          <w:lang w:eastAsia="en-GB"/>
        </w:rPr>
        <w:t xml:space="preserve">469. </w:t>
      </w:r>
      <w:hyperlink r:id="rId11" w:history="1">
        <w:r w:rsidRPr="00171A7C">
          <w:rPr>
            <w:rFonts w:ascii="Calibri" w:eastAsia="Times New Roman" w:hAnsi="Calibri" w:cs="Calibri"/>
            <w:color w:val="0000FF"/>
            <w:u w:val="single"/>
            <w:lang w:eastAsia="en-GB"/>
          </w:rPr>
          <w:t>https://doi.org/10.2307/3034157</w:t>
        </w:r>
      </w:hyperlink>
    </w:p>
    <w:p w14:paraId="60FA0999" w14:textId="77777777" w:rsidR="00F479C9" w:rsidRDefault="00171A7C" w:rsidP="00F479C9">
      <w:pPr>
        <w:spacing w:after="0" w:line="240" w:lineRule="auto"/>
        <w:ind w:left="567" w:hanging="567"/>
      </w:pPr>
      <w:r w:rsidRPr="005D4712">
        <w:t xml:space="preserve">Ecuador, 2008. </w:t>
      </w:r>
      <w:proofErr w:type="spellStart"/>
      <w:r w:rsidRPr="005D4712">
        <w:rPr>
          <w:i/>
          <w:iCs/>
        </w:rPr>
        <w:t>Constitución</w:t>
      </w:r>
      <w:proofErr w:type="spellEnd"/>
      <w:r w:rsidRPr="005D4712">
        <w:rPr>
          <w:i/>
          <w:iCs/>
        </w:rPr>
        <w:t xml:space="preserve"> Política de la República del Ecuador</w:t>
      </w:r>
      <w:r w:rsidRPr="005D4712">
        <w:t xml:space="preserve">. National Legislative Bodies / National Authorities. </w:t>
      </w:r>
    </w:p>
    <w:p w14:paraId="190376F8" w14:textId="77777777" w:rsidR="00F479C9" w:rsidRDefault="00171A7C" w:rsidP="00F479C9">
      <w:pPr>
        <w:spacing w:after="0" w:line="240" w:lineRule="auto"/>
        <w:ind w:left="567" w:hanging="567"/>
        <w:rPr>
          <w:rFonts w:ascii="Calibri" w:eastAsia="Times New Roman" w:hAnsi="Calibri" w:cs="Calibri"/>
          <w:lang w:eastAsia="en-GB"/>
        </w:rPr>
      </w:pPr>
      <w:r w:rsidRPr="005D4712">
        <w:rPr>
          <w:rFonts w:eastAsia="Times New Roman" w:cstheme="minorHAnsi"/>
          <w:lang w:eastAsia="en-GB"/>
        </w:rPr>
        <w:t>Guzmán</w:t>
      </w:r>
      <w:r>
        <w:rPr>
          <w:rFonts w:eastAsia="Times New Roman" w:cstheme="minorHAnsi"/>
          <w:lang w:eastAsia="en-GB"/>
        </w:rPr>
        <w:t xml:space="preserve">, </w:t>
      </w:r>
      <w:proofErr w:type="gramStart"/>
      <w:r>
        <w:rPr>
          <w:rFonts w:eastAsia="Times New Roman" w:cstheme="minorHAnsi"/>
          <w:lang w:eastAsia="en-GB"/>
        </w:rPr>
        <w:t>J.J.</w:t>
      </w:r>
      <w:r w:rsidRPr="005D4712">
        <w:rPr>
          <w:rFonts w:eastAsia="Times New Roman" w:cstheme="minorHAnsi"/>
          <w:lang w:eastAsia="en-GB"/>
        </w:rPr>
        <w:t>.</w:t>
      </w:r>
      <w:proofErr w:type="gramEnd"/>
      <w:r w:rsidRPr="005D4712">
        <w:rPr>
          <w:rFonts w:eastAsia="Times New Roman" w:cstheme="minorHAnsi"/>
          <w:lang w:eastAsia="en-GB"/>
        </w:rPr>
        <w:t xml:space="preserve"> </w:t>
      </w:r>
      <w:r w:rsidRPr="005D4712">
        <w:rPr>
          <w:rFonts w:eastAsia="Times New Roman" w:cstheme="minorHAnsi"/>
          <w:i/>
          <w:iCs/>
          <w:lang w:eastAsia="en-GB"/>
        </w:rPr>
        <w:t>Decolonizing Law and expanding Human Rights: Indigenous Conceptions and the Rights of Nature in Ecuador</w:t>
      </w:r>
      <w:r w:rsidRPr="005D4712">
        <w:rPr>
          <w:rFonts w:eastAsia="Times New Roman" w:cstheme="minorHAnsi"/>
          <w:lang w:eastAsia="en-GB"/>
        </w:rPr>
        <w:t xml:space="preserve">. </w:t>
      </w:r>
      <w:proofErr w:type="spellStart"/>
      <w:r w:rsidRPr="00214687">
        <w:rPr>
          <w:rFonts w:eastAsia="Times New Roman" w:cstheme="minorHAnsi"/>
          <w:i/>
          <w:iCs/>
          <w:lang w:eastAsia="en-GB"/>
        </w:rPr>
        <w:t>Deusto</w:t>
      </w:r>
      <w:proofErr w:type="spellEnd"/>
      <w:r w:rsidRPr="00214687">
        <w:rPr>
          <w:rFonts w:eastAsia="Times New Roman" w:cstheme="minorHAnsi"/>
          <w:i/>
          <w:iCs/>
          <w:lang w:eastAsia="en-GB"/>
        </w:rPr>
        <w:t xml:space="preserve"> Journal of Human Rights</w:t>
      </w:r>
      <w:r>
        <w:rPr>
          <w:rFonts w:eastAsia="Times New Roman" w:cstheme="minorHAnsi"/>
          <w:lang w:eastAsia="en-GB"/>
        </w:rPr>
        <w:t xml:space="preserve"> (</w:t>
      </w:r>
      <w:r w:rsidRPr="005D4712">
        <w:rPr>
          <w:rFonts w:eastAsia="Times New Roman" w:cstheme="minorHAnsi"/>
          <w:lang w:eastAsia="en-GB"/>
        </w:rPr>
        <w:t>2019</w:t>
      </w:r>
      <w:r>
        <w:rPr>
          <w:rFonts w:eastAsia="Times New Roman" w:cstheme="minorHAnsi"/>
          <w:lang w:eastAsia="en-GB"/>
        </w:rPr>
        <w:t>)</w:t>
      </w:r>
      <w:r w:rsidRPr="005D4712">
        <w:rPr>
          <w:rFonts w:eastAsia="Times New Roman" w:cstheme="minorHAnsi"/>
          <w:lang w:eastAsia="en-GB"/>
        </w:rPr>
        <w:t xml:space="preserve"> 59–86. </w:t>
      </w:r>
      <w:hyperlink r:id="rId12" w:history="1">
        <w:r w:rsidRPr="005D4712">
          <w:rPr>
            <w:rFonts w:eastAsia="Times New Roman" w:cstheme="minorHAnsi"/>
            <w:color w:val="0000FF"/>
            <w:u w:val="single"/>
            <w:lang w:eastAsia="en-GB"/>
          </w:rPr>
          <w:t>https://doi.org/10.18543/djhr-4-2019pp59-86</w:t>
        </w:r>
      </w:hyperlink>
    </w:p>
    <w:p w14:paraId="257A49DF" w14:textId="77777777" w:rsidR="00F479C9" w:rsidRDefault="00171A7C" w:rsidP="00F479C9">
      <w:pPr>
        <w:spacing w:after="0" w:line="240" w:lineRule="auto"/>
        <w:ind w:left="567" w:hanging="567"/>
        <w:rPr>
          <w:rFonts w:ascii="Calibri" w:eastAsia="Times New Roman" w:hAnsi="Calibri" w:cs="Calibri"/>
          <w:lang w:eastAsia="en-GB"/>
        </w:rPr>
      </w:pPr>
      <w:r w:rsidRPr="00171A7C">
        <w:rPr>
          <w:rFonts w:ascii="Calibri" w:eastAsia="Times New Roman" w:hAnsi="Calibri" w:cs="Calibri"/>
          <w:lang w:eastAsia="en-GB"/>
        </w:rPr>
        <w:t xml:space="preserve">Ingold, T., 2006. Rethinking the animate, re-animating thought. </w:t>
      </w:r>
      <w:r w:rsidRPr="00171A7C">
        <w:rPr>
          <w:rFonts w:ascii="Calibri" w:eastAsia="Times New Roman" w:hAnsi="Calibri" w:cs="Calibri"/>
          <w:i/>
          <w:iCs/>
          <w:lang w:eastAsia="en-GB"/>
        </w:rPr>
        <w:t>Ethnos</w:t>
      </w:r>
      <w:r w:rsidRPr="00171A7C">
        <w:rPr>
          <w:rFonts w:ascii="Calibri" w:eastAsia="Times New Roman" w:hAnsi="Calibri" w:cs="Calibri"/>
          <w:lang w:eastAsia="en-GB"/>
        </w:rPr>
        <w:t xml:space="preserve"> 71, 9–20. </w:t>
      </w:r>
      <w:hyperlink r:id="rId13" w:history="1">
        <w:r w:rsidRPr="00171A7C">
          <w:rPr>
            <w:rFonts w:ascii="Calibri" w:eastAsia="Times New Roman" w:hAnsi="Calibri" w:cs="Calibri"/>
            <w:color w:val="0000FF"/>
            <w:u w:val="single"/>
            <w:lang w:eastAsia="en-GB"/>
          </w:rPr>
          <w:t>https://doi.org/10.1080/00141840600603111</w:t>
        </w:r>
      </w:hyperlink>
    </w:p>
    <w:p w14:paraId="070CC52D" w14:textId="1FC6B77F" w:rsidR="00171A7C" w:rsidRPr="00171A7C" w:rsidRDefault="00171A7C" w:rsidP="00F479C9">
      <w:pPr>
        <w:spacing w:after="0" w:line="240" w:lineRule="auto"/>
        <w:ind w:left="567" w:hanging="567"/>
        <w:rPr>
          <w:rFonts w:ascii="Calibri" w:eastAsia="Times New Roman" w:hAnsi="Calibri" w:cs="Calibri"/>
          <w:lang w:eastAsia="en-GB"/>
        </w:rPr>
      </w:pPr>
      <w:r w:rsidRPr="00171A7C">
        <w:rPr>
          <w:rFonts w:ascii="Calibri" w:eastAsia="Times New Roman" w:hAnsi="Calibri" w:cs="Calibri"/>
          <w:lang w:eastAsia="en-GB"/>
        </w:rPr>
        <w:t xml:space="preserve">IPCC. </w:t>
      </w:r>
      <w:r w:rsidRPr="00171A7C">
        <w:rPr>
          <w:rFonts w:ascii="Calibri" w:eastAsia="Times New Roman" w:hAnsi="Calibri" w:cs="Calibri"/>
          <w:i/>
          <w:iCs/>
          <w:lang w:eastAsia="en-GB"/>
        </w:rPr>
        <w:t>Global Warming of 1.5°C: IPCC Special Report on Impacts of Global Warming of 1.5°C above Pre-industrial Levels in Context of Strengthening Response to Climate Change, Sustainable Development, and Efforts to Eradicate Poverty</w:t>
      </w:r>
      <w:r w:rsidRPr="00171A7C">
        <w:rPr>
          <w:rFonts w:ascii="Calibri" w:eastAsia="Times New Roman" w:hAnsi="Calibri" w:cs="Calibri"/>
          <w:lang w:eastAsia="en-GB"/>
        </w:rPr>
        <w:t xml:space="preserve">, 1st ed (2018). Cambridge University Press. </w:t>
      </w:r>
      <w:hyperlink r:id="rId14" w:history="1">
        <w:r w:rsidRPr="00171A7C">
          <w:rPr>
            <w:rFonts w:ascii="Calibri" w:eastAsia="Times New Roman" w:hAnsi="Calibri" w:cs="Calibri"/>
            <w:color w:val="0000FF"/>
            <w:u w:val="single"/>
            <w:lang w:eastAsia="en-GB"/>
          </w:rPr>
          <w:t>https://doi.org/10.1017/9781009157940</w:t>
        </w:r>
      </w:hyperlink>
    </w:p>
    <w:p w14:paraId="0FF4F2B8" w14:textId="77777777" w:rsidR="00171A7C" w:rsidRPr="00171A7C" w:rsidRDefault="00171A7C" w:rsidP="00171A7C">
      <w:pPr>
        <w:pStyle w:val="FootnoteText"/>
        <w:ind w:left="567" w:hanging="567"/>
        <w:rPr>
          <w:rFonts w:ascii="Calibri" w:hAnsi="Calibri" w:cs="Calibri"/>
          <w:sz w:val="22"/>
          <w:szCs w:val="22"/>
        </w:rPr>
      </w:pPr>
      <w:r w:rsidRPr="00171A7C">
        <w:rPr>
          <w:rFonts w:ascii="Calibri" w:hAnsi="Calibri" w:cs="Calibri"/>
          <w:sz w:val="22"/>
          <w:szCs w:val="22"/>
        </w:rPr>
        <w:t xml:space="preserve">New Zealand Department of Conservation. </w:t>
      </w:r>
      <w:proofErr w:type="spellStart"/>
      <w:r w:rsidRPr="00171A7C">
        <w:rPr>
          <w:rFonts w:ascii="Calibri" w:hAnsi="Calibri" w:cs="Calibri"/>
          <w:i/>
          <w:iCs/>
          <w:sz w:val="22"/>
          <w:szCs w:val="22"/>
        </w:rPr>
        <w:t>Te</w:t>
      </w:r>
      <w:proofErr w:type="spellEnd"/>
      <w:r w:rsidRPr="00171A7C">
        <w:rPr>
          <w:rFonts w:ascii="Calibri" w:hAnsi="Calibri" w:cs="Calibri"/>
          <w:i/>
          <w:iCs/>
          <w:sz w:val="22"/>
          <w:szCs w:val="22"/>
        </w:rPr>
        <w:t xml:space="preserve"> </w:t>
      </w:r>
      <w:proofErr w:type="spellStart"/>
      <w:r w:rsidRPr="00171A7C">
        <w:rPr>
          <w:rFonts w:ascii="Calibri" w:hAnsi="Calibri" w:cs="Calibri"/>
          <w:i/>
          <w:iCs/>
          <w:sz w:val="22"/>
          <w:szCs w:val="22"/>
        </w:rPr>
        <w:t>Urewera</w:t>
      </w:r>
      <w:proofErr w:type="spellEnd"/>
      <w:r w:rsidRPr="00171A7C">
        <w:rPr>
          <w:rFonts w:ascii="Calibri" w:hAnsi="Calibri" w:cs="Calibri"/>
          <w:i/>
          <w:iCs/>
          <w:sz w:val="22"/>
          <w:szCs w:val="22"/>
        </w:rPr>
        <w:t xml:space="preserve"> Act </w:t>
      </w:r>
      <w:r w:rsidRPr="00171A7C">
        <w:rPr>
          <w:rFonts w:ascii="Calibri" w:hAnsi="Calibri" w:cs="Calibri"/>
          <w:sz w:val="22"/>
          <w:szCs w:val="22"/>
        </w:rPr>
        <w:t>(2014). Wellington: Parliamentary Counsel Office.</w:t>
      </w:r>
    </w:p>
    <w:p w14:paraId="43102621" w14:textId="77777777" w:rsidR="00171A7C" w:rsidRPr="00171A7C" w:rsidRDefault="00171A7C" w:rsidP="00171A7C">
      <w:pPr>
        <w:spacing w:after="0" w:line="240" w:lineRule="auto"/>
        <w:ind w:left="567" w:hanging="567"/>
        <w:rPr>
          <w:rFonts w:ascii="Calibri" w:eastAsia="Times New Roman" w:hAnsi="Calibri" w:cs="Calibri"/>
          <w:lang w:eastAsia="en-GB"/>
        </w:rPr>
      </w:pPr>
      <w:r w:rsidRPr="00171A7C">
        <w:rPr>
          <w:rFonts w:ascii="Calibri" w:eastAsia="Times New Roman" w:hAnsi="Calibri" w:cs="Calibri"/>
          <w:lang w:eastAsia="en-GB"/>
        </w:rPr>
        <w:t xml:space="preserve">Pedersen, </w:t>
      </w:r>
      <w:proofErr w:type="gramStart"/>
      <w:r w:rsidRPr="00171A7C">
        <w:rPr>
          <w:rFonts w:ascii="Calibri" w:eastAsia="Times New Roman" w:hAnsi="Calibri" w:cs="Calibri"/>
          <w:lang w:eastAsia="en-GB"/>
        </w:rPr>
        <w:t>M.A..</w:t>
      </w:r>
      <w:proofErr w:type="gramEnd"/>
      <w:r w:rsidRPr="00171A7C">
        <w:rPr>
          <w:rFonts w:ascii="Calibri" w:eastAsia="Times New Roman" w:hAnsi="Calibri" w:cs="Calibri"/>
          <w:lang w:eastAsia="en-GB"/>
        </w:rPr>
        <w:t xml:space="preserve"> Totemism, Animism and North Asian Indigenous Ontologies. Royal Anthropological Inst 7, </w:t>
      </w:r>
      <w:r>
        <w:rPr>
          <w:rFonts w:ascii="Calibri" w:eastAsia="Times New Roman" w:hAnsi="Calibri" w:cs="Calibri"/>
          <w:lang w:eastAsia="en-GB"/>
        </w:rPr>
        <w:t xml:space="preserve">(2001) </w:t>
      </w:r>
      <w:r w:rsidRPr="00171A7C">
        <w:rPr>
          <w:rFonts w:ascii="Calibri" w:eastAsia="Times New Roman" w:hAnsi="Calibri" w:cs="Calibri"/>
          <w:lang w:eastAsia="en-GB"/>
        </w:rPr>
        <w:t xml:space="preserve">411–427. </w:t>
      </w:r>
      <w:hyperlink r:id="rId15" w:history="1">
        <w:r w:rsidRPr="00171A7C">
          <w:rPr>
            <w:rFonts w:ascii="Calibri" w:eastAsia="Times New Roman" w:hAnsi="Calibri" w:cs="Calibri"/>
            <w:color w:val="0000FF"/>
            <w:u w:val="single"/>
            <w:lang w:eastAsia="en-GB"/>
          </w:rPr>
          <w:t>https://doi.org/10.1111/1467-9655.00070</w:t>
        </w:r>
      </w:hyperlink>
    </w:p>
    <w:p w14:paraId="5D939D0C" w14:textId="77777777" w:rsidR="00171A7C" w:rsidRPr="00171A7C" w:rsidRDefault="00171A7C" w:rsidP="00171A7C">
      <w:pPr>
        <w:spacing w:after="0" w:line="240" w:lineRule="auto"/>
        <w:ind w:left="567" w:hanging="567"/>
        <w:rPr>
          <w:rFonts w:ascii="Calibri" w:eastAsia="Times New Roman" w:hAnsi="Calibri" w:cs="Calibri"/>
          <w:lang w:eastAsia="en-GB"/>
        </w:rPr>
      </w:pPr>
      <w:r w:rsidRPr="00171A7C">
        <w:rPr>
          <w:rFonts w:ascii="Calibri" w:eastAsia="Times New Roman" w:hAnsi="Calibri" w:cs="Calibri"/>
          <w:lang w:eastAsia="en-GB"/>
        </w:rPr>
        <w:t xml:space="preserve">University of Cambridge, Heywood, P., Stein, F., Lazar, S., Candea, M., </w:t>
      </w:r>
      <w:proofErr w:type="spellStart"/>
      <w:r w:rsidRPr="00171A7C">
        <w:rPr>
          <w:rFonts w:ascii="Calibri" w:eastAsia="Times New Roman" w:hAnsi="Calibri" w:cs="Calibri"/>
          <w:lang w:eastAsia="en-GB"/>
        </w:rPr>
        <w:t>Diemberger</w:t>
      </w:r>
      <w:proofErr w:type="spellEnd"/>
      <w:r w:rsidRPr="00171A7C">
        <w:rPr>
          <w:rFonts w:ascii="Calibri" w:eastAsia="Times New Roman" w:hAnsi="Calibri" w:cs="Calibri"/>
          <w:lang w:eastAsia="en-GB"/>
        </w:rPr>
        <w:t xml:space="preserve">, H., Robbins, J., Sanchez, A., Stasch, </w:t>
      </w:r>
      <w:proofErr w:type="gramStart"/>
      <w:r w:rsidRPr="00171A7C">
        <w:rPr>
          <w:rFonts w:ascii="Calibri" w:eastAsia="Times New Roman" w:hAnsi="Calibri" w:cs="Calibri"/>
          <w:lang w:eastAsia="en-GB"/>
        </w:rPr>
        <w:t>R..</w:t>
      </w:r>
      <w:proofErr w:type="gramEnd"/>
      <w:r w:rsidRPr="00171A7C">
        <w:rPr>
          <w:rFonts w:ascii="Calibri" w:eastAsia="Times New Roman" w:hAnsi="Calibri" w:cs="Calibri"/>
          <w:lang w:eastAsia="en-GB"/>
        </w:rPr>
        <w:t xml:space="preserve"> Ontological Turn, The</w:t>
      </w:r>
      <w:r>
        <w:rPr>
          <w:rFonts w:ascii="Calibri" w:eastAsia="Times New Roman" w:hAnsi="Calibri" w:cs="Calibri"/>
          <w:lang w:eastAsia="en-GB"/>
        </w:rPr>
        <w:t xml:space="preserve"> (2017)</w:t>
      </w:r>
      <w:r w:rsidRPr="00171A7C">
        <w:rPr>
          <w:rFonts w:ascii="Calibri" w:eastAsia="Times New Roman" w:hAnsi="Calibri" w:cs="Calibri"/>
          <w:lang w:eastAsia="en-GB"/>
        </w:rPr>
        <w:t xml:space="preserve">. CEA. </w:t>
      </w:r>
      <w:hyperlink r:id="rId16" w:history="1">
        <w:r w:rsidRPr="00171A7C">
          <w:rPr>
            <w:rFonts w:ascii="Calibri" w:eastAsia="Times New Roman" w:hAnsi="Calibri" w:cs="Calibri"/>
            <w:color w:val="0000FF"/>
            <w:u w:val="single"/>
            <w:lang w:eastAsia="en-GB"/>
          </w:rPr>
          <w:t>https://doi.org/10.29164/17ontology</w:t>
        </w:r>
      </w:hyperlink>
    </w:p>
    <w:p w14:paraId="4A228195" w14:textId="77777777" w:rsidR="00171A7C" w:rsidRPr="00171A7C" w:rsidRDefault="00171A7C" w:rsidP="00171A7C">
      <w:pPr>
        <w:pStyle w:val="FootnoteText"/>
        <w:ind w:left="567" w:hanging="567"/>
        <w:rPr>
          <w:rFonts w:ascii="Calibri" w:hAnsi="Calibri" w:cs="Calibri"/>
          <w:sz w:val="22"/>
          <w:szCs w:val="22"/>
        </w:rPr>
      </w:pPr>
    </w:p>
    <w:p w14:paraId="3A90F43B" w14:textId="77777777" w:rsidR="005D4712" w:rsidRPr="00171A7C" w:rsidRDefault="005D4712" w:rsidP="00171A7C">
      <w:pPr>
        <w:ind w:left="567" w:hanging="567"/>
        <w:rPr>
          <w:rFonts w:ascii="Calibri" w:hAnsi="Calibri" w:cs="Calibri"/>
        </w:rPr>
      </w:pPr>
    </w:p>
    <w:sectPr w:rsidR="005D4712" w:rsidRPr="00171A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44DE16" w14:textId="77777777" w:rsidR="00C46946" w:rsidRDefault="00C46946" w:rsidP="00B9117C">
      <w:pPr>
        <w:spacing w:after="0" w:line="240" w:lineRule="auto"/>
      </w:pPr>
      <w:r>
        <w:separator/>
      </w:r>
    </w:p>
  </w:endnote>
  <w:endnote w:type="continuationSeparator" w:id="0">
    <w:p w14:paraId="0CBC2B4C" w14:textId="77777777" w:rsidR="00C46946" w:rsidRDefault="00C46946" w:rsidP="00B91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Neue">
    <w:altName w:val="Times New Roman"/>
    <w:charset w:val="00"/>
    <w:family w:val="roman"/>
    <w:pitch w:val="default"/>
  </w:font>
  <w:font w:name="Arial Unicode MS">
    <w:altName w:val="Yu Gothic"/>
    <w:panose1 w:val="020B0604020202020204"/>
    <w:charset w:val="80"/>
    <w:family w:val="swiss"/>
    <w:pitch w:val="variable"/>
    <w:sig w:usb0="F7FFAFFF" w:usb1="E9DFFFFF" w:usb2="0000003F" w:usb3="00000000" w:csb0="003F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5B8733" w14:textId="77777777" w:rsidR="00C46946" w:rsidRDefault="00C46946" w:rsidP="00B9117C">
      <w:pPr>
        <w:spacing w:after="0" w:line="240" w:lineRule="auto"/>
      </w:pPr>
      <w:r>
        <w:separator/>
      </w:r>
    </w:p>
  </w:footnote>
  <w:footnote w:type="continuationSeparator" w:id="0">
    <w:p w14:paraId="1552243C" w14:textId="77777777" w:rsidR="00C46946" w:rsidRDefault="00C46946" w:rsidP="00B9117C">
      <w:pPr>
        <w:spacing w:after="0" w:line="240" w:lineRule="auto"/>
      </w:pPr>
      <w:r>
        <w:continuationSeparator/>
      </w:r>
    </w:p>
  </w:footnote>
  <w:footnote w:id="1">
    <w:p w14:paraId="2FFB7506" w14:textId="056875BD" w:rsidR="002A2093" w:rsidRPr="002A2093" w:rsidRDefault="002A2093" w:rsidP="00C61DC5">
      <w:pPr>
        <w:spacing w:after="0"/>
        <w:ind w:left="567" w:hanging="567"/>
        <w:rPr>
          <w:rFonts w:eastAsia="Times New Roman" w:cstheme="minorHAnsi"/>
          <w:sz w:val="20"/>
          <w:szCs w:val="20"/>
          <w:lang w:eastAsia="en-GB"/>
        </w:rPr>
      </w:pPr>
      <w:r w:rsidRPr="002A2093">
        <w:rPr>
          <w:rStyle w:val="FootnoteReference"/>
          <w:rFonts w:cstheme="minorHAnsi"/>
          <w:sz w:val="20"/>
          <w:szCs w:val="20"/>
        </w:rPr>
        <w:footnoteRef/>
      </w:r>
      <w:r w:rsidRPr="002A2093">
        <w:rPr>
          <w:rFonts w:cstheme="minorHAnsi"/>
          <w:sz w:val="20"/>
          <w:szCs w:val="20"/>
        </w:rPr>
        <w:t xml:space="preserve"> </w:t>
      </w:r>
      <w:r w:rsidR="00214687">
        <w:rPr>
          <w:rFonts w:eastAsia="Times New Roman" w:cstheme="minorHAnsi"/>
          <w:sz w:val="20"/>
          <w:szCs w:val="20"/>
          <w:lang w:eastAsia="en-GB"/>
        </w:rPr>
        <w:t>Nurit Bird‐David. “Animism” Revisited</w:t>
      </w:r>
      <w:r w:rsidR="004B6C61" w:rsidRPr="002A2093">
        <w:rPr>
          <w:rFonts w:eastAsia="Times New Roman" w:cstheme="minorHAnsi"/>
          <w:sz w:val="20"/>
          <w:szCs w:val="20"/>
          <w:lang w:eastAsia="en-GB"/>
        </w:rPr>
        <w:t xml:space="preserve">: Personhood, Environment, and Relational Epistemology. </w:t>
      </w:r>
      <w:r w:rsidR="004B6C61" w:rsidRPr="007A34F0">
        <w:rPr>
          <w:rFonts w:eastAsia="Times New Roman" w:cstheme="minorHAnsi"/>
          <w:i/>
          <w:iCs/>
          <w:sz w:val="20"/>
          <w:szCs w:val="20"/>
          <w:lang w:eastAsia="en-GB"/>
        </w:rPr>
        <w:t>Current</w:t>
      </w:r>
      <w:r w:rsidR="004B6C61" w:rsidRPr="002A2093">
        <w:rPr>
          <w:rFonts w:eastAsia="Times New Roman" w:cstheme="minorHAnsi"/>
          <w:sz w:val="20"/>
          <w:szCs w:val="20"/>
          <w:lang w:eastAsia="en-GB"/>
        </w:rPr>
        <w:t xml:space="preserve"> </w:t>
      </w:r>
      <w:r w:rsidR="004B6C61" w:rsidRPr="007A34F0">
        <w:rPr>
          <w:rFonts w:eastAsia="Times New Roman" w:cstheme="minorHAnsi"/>
          <w:i/>
          <w:iCs/>
          <w:sz w:val="20"/>
          <w:szCs w:val="20"/>
          <w:lang w:eastAsia="en-GB"/>
        </w:rPr>
        <w:t>Anthropology</w:t>
      </w:r>
      <w:r w:rsidR="004B6C61" w:rsidRPr="002A2093">
        <w:rPr>
          <w:rFonts w:eastAsia="Times New Roman" w:cstheme="minorHAnsi"/>
          <w:sz w:val="20"/>
          <w:szCs w:val="20"/>
          <w:lang w:eastAsia="en-GB"/>
        </w:rPr>
        <w:t xml:space="preserve"> 40, </w:t>
      </w:r>
      <w:r w:rsidR="00C61DC5">
        <w:rPr>
          <w:rFonts w:eastAsia="Times New Roman" w:cstheme="minorHAnsi"/>
          <w:sz w:val="20"/>
          <w:szCs w:val="20"/>
          <w:lang w:eastAsia="en-GB"/>
        </w:rPr>
        <w:t xml:space="preserve">(1999) </w:t>
      </w:r>
      <w:r w:rsidR="004B6C61" w:rsidRPr="002A2093">
        <w:rPr>
          <w:rFonts w:eastAsia="Times New Roman" w:cstheme="minorHAnsi"/>
          <w:sz w:val="20"/>
          <w:szCs w:val="20"/>
          <w:lang w:eastAsia="en-GB"/>
        </w:rPr>
        <w:t xml:space="preserve">S67–S91. </w:t>
      </w:r>
    </w:p>
  </w:footnote>
  <w:footnote w:id="2">
    <w:p w14:paraId="3D9B5BDA" w14:textId="53B5A8C2" w:rsidR="00B9117C" w:rsidRPr="004B6C61" w:rsidRDefault="00B9117C" w:rsidP="00C61DC5">
      <w:pPr>
        <w:spacing w:after="0"/>
        <w:ind w:left="567" w:hanging="567"/>
        <w:rPr>
          <w:rFonts w:eastAsia="Times New Roman" w:cstheme="minorHAnsi"/>
          <w:sz w:val="20"/>
          <w:szCs w:val="20"/>
          <w:lang w:eastAsia="en-GB"/>
        </w:rPr>
      </w:pPr>
      <w:r w:rsidRPr="002A2093">
        <w:rPr>
          <w:rStyle w:val="FootnoteReference"/>
          <w:rFonts w:cstheme="minorHAnsi"/>
          <w:sz w:val="20"/>
          <w:szCs w:val="20"/>
        </w:rPr>
        <w:footnoteRef/>
      </w:r>
      <w:r w:rsidRPr="002A2093">
        <w:rPr>
          <w:rFonts w:cstheme="minorHAnsi"/>
          <w:sz w:val="20"/>
          <w:szCs w:val="20"/>
        </w:rPr>
        <w:t xml:space="preserve"> </w:t>
      </w:r>
      <w:r w:rsidR="00214687">
        <w:rPr>
          <w:rFonts w:eastAsia="Times New Roman" w:cstheme="minorHAnsi"/>
          <w:sz w:val="20"/>
          <w:szCs w:val="20"/>
          <w:lang w:eastAsia="en-GB"/>
        </w:rPr>
        <w:t>Kelly D. Alley. River Goddesses, Personhood and Rights of Nature</w:t>
      </w:r>
      <w:r w:rsidR="004B6C61" w:rsidRPr="002A2093">
        <w:rPr>
          <w:rFonts w:eastAsia="Times New Roman" w:cstheme="minorHAnsi"/>
          <w:sz w:val="20"/>
          <w:szCs w:val="20"/>
          <w:lang w:eastAsia="en-GB"/>
        </w:rPr>
        <w:t xml:space="preserve">: Implications for Spiritual Ecology. </w:t>
      </w:r>
      <w:r w:rsidR="004B6C61" w:rsidRPr="007A34F0">
        <w:rPr>
          <w:rFonts w:eastAsia="Times New Roman" w:cstheme="minorHAnsi"/>
          <w:i/>
          <w:iCs/>
          <w:sz w:val="20"/>
          <w:szCs w:val="20"/>
          <w:lang w:eastAsia="en-GB"/>
        </w:rPr>
        <w:t>Religions</w:t>
      </w:r>
      <w:r w:rsidR="004B6C61" w:rsidRPr="002A2093">
        <w:rPr>
          <w:rFonts w:eastAsia="Times New Roman" w:cstheme="minorHAnsi"/>
          <w:sz w:val="20"/>
          <w:szCs w:val="20"/>
          <w:lang w:eastAsia="en-GB"/>
        </w:rPr>
        <w:t xml:space="preserve"> 10, </w:t>
      </w:r>
      <w:r w:rsidR="00C61DC5">
        <w:rPr>
          <w:rFonts w:eastAsia="Times New Roman" w:cstheme="minorHAnsi"/>
          <w:sz w:val="20"/>
          <w:szCs w:val="20"/>
          <w:lang w:eastAsia="en-GB"/>
        </w:rPr>
        <w:t xml:space="preserve">(2019) </w:t>
      </w:r>
      <w:r w:rsidR="004B6C61" w:rsidRPr="002A2093">
        <w:rPr>
          <w:rFonts w:eastAsia="Times New Roman" w:cstheme="minorHAnsi"/>
          <w:sz w:val="20"/>
          <w:szCs w:val="20"/>
          <w:lang w:eastAsia="en-GB"/>
        </w:rPr>
        <w:t xml:space="preserve">502. </w:t>
      </w:r>
    </w:p>
  </w:footnote>
  <w:footnote w:id="3">
    <w:p w14:paraId="60BD0F61" w14:textId="6F888692" w:rsidR="004B6C61" w:rsidRDefault="004B6C61" w:rsidP="00C61DC5">
      <w:pPr>
        <w:pStyle w:val="FootnoteText"/>
        <w:ind w:left="567" w:hanging="567"/>
      </w:pPr>
      <w:r>
        <w:rPr>
          <w:rStyle w:val="FootnoteReference"/>
        </w:rPr>
        <w:footnoteRef/>
      </w:r>
      <w:r>
        <w:t xml:space="preserve"> </w:t>
      </w:r>
      <w:r w:rsidR="00214687">
        <w:rPr>
          <w:rFonts w:eastAsia="Times New Roman" w:cstheme="minorHAnsi"/>
          <w:lang w:eastAsia="en-GB"/>
        </w:rPr>
        <w:t>Nurit Bird‐David. “Animism” Revisited (1999)</w:t>
      </w:r>
      <w:r>
        <w:rPr>
          <w:rFonts w:eastAsia="Times New Roman" w:cstheme="minorHAnsi"/>
          <w:lang w:eastAsia="en-GB"/>
        </w:rPr>
        <w:t>, pp</w:t>
      </w:r>
      <w:r w:rsidR="005A103F">
        <w:rPr>
          <w:rFonts w:eastAsia="Times New Roman" w:cstheme="minorHAnsi"/>
          <w:lang w:eastAsia="en-GB"/>
        </w:rPr>
        <w:t>67</w:t>
      </w:r>
    </w:p>
  </w:footnote>
  <w:footnote w:id="4">
    <w:p w14:paraId="11DA5CAE" w14:textId="7B21B106" w:rsidR="005C0345" w:rsidRDefault="005C0345" w:rsidP="00C61DC5">
      <w:pPr>
        <w:pStyle w:val="FootnoteText"/>
      </w:pPr>
      <w:r>
        <w:rPr>
          <w:rStyle w:val="FootnoteReference"/>
        </w:rPr>
        <w:footnoteRef/>
      </w:r>
      <w:r>
        <w:t xml:space="preserve"> </w:t>
      </w:r>
      <w:r w:rsidR="00214687">
        <w:rPr>
          <w:rFonts w:eastAsia="Times New Roman" w:cstheme="minorHAnsi"/>
          <w:lang w:eastAsia="en-GB"/>
        </w:rPr>
        <w:t>Nurit Bird‐David. “Animism” Revisited (1999)</w:t>
      </w:r>
      <w:r>
        <w:rPr>
          <w:rFonts w:eastAsia="Times New Roman" w:cstheme="minorHAnsi"/>
          <w:lang w:eastAsia="en-GB"/>
        </w:rPr>
        <w:t>, pp69</w:t>
      </w:r>
    </w:p>
  </w:footnote>
  <w:footnote w:id="5">
    <w:p w14:paraId="6D37D7E7" w14:textId="19FA391C" w:rsidR="005A103F" w:rsidRDefault="005A103F" w:rsidP="00C61DC5">
      <w:pPr>
        <w:pStyle w:val="FootnoteText"/>
        <w:ind w:left="567" w:hanging="567"/>
      </w:pPr>
      <w:r>
        <w:rPr>
          <w:rStyle w:val="FootnoteReference"/>
        </w:rPr>
        <w:footnoteRef/>
      </w:r>
      <w:r>
        <w:t xml:space="preserve"> </w:t>
      </w:r>
      <w:r w:rsidR="00214687">
        <w:rPr>
          <w:rFonts w:eastAsia="Times New Roman" w:cstheme="minorHAnsi"/>
          <w:lang w:eastAsia="en-GB"/>
        </w:rPr>
        <w:t>Nurit Bird‐David. “Animism” Revisited (1999)</w:t>
      </w:r>
      <w:r>
        <w:rPr>
          <w:rFonts w:eastAsia="Times New Roman" w:cstheme="minorHAnsi"/>
          <w:lang w:eastAsia="en-GB"/>
        </w:rPr>
        <w:t>, pp69</w:t>
      </w:r>
    </w:p>
  </w:footnote>
  <w:footnote w:id="6">
    <w:p w14:paraId="59440F7F" w14:textId="1C063624" w:rsidR="005C0345" w:rsidRDefault="005C0345" w:rsidP="00C61DC5">
      <w:pPr>
        <w:pStyle w:val="FootnoteText"/>
        <w:ind w:left="567" w:hanging="567"/>
      </w:pPr>
      <w:r>
        <w:rPr>
          <w:rStyle w:val="FootnoteReference"/>
        </w:rPr>
        <w:footnoteRef/>
      </w:r>
      <w:r>
        <w:t xml:space="preserve"> </w:t>
      </w:r>
      <w:r w:rsidR="00214687">
        <w:rPr>
          <w:rFonts w:eastAsia="Times New Roman" w:cstheme="minorHAnsi"/>
          <w:lang w:eastAsia="en-GB"/>
        </w:rPr>
        <w:t>Nurit Bird‐David. “Animism” Revisited (1999)</w:t>
      </w:r>
      <w:r>
        <w:rPr>
          <w:rFonts w:eastAsia="Times New Roman" w:cstheme="minorHAnsi"/>
          <w:lang w:eastAsia="en-GB"/>
        </w:rPr>
        <w:t>, pp68</w:t>
      </w:r>
    </w:p>
  </w:footnote>
  <w:footnote w:id="7">
    <w:p w14:paraId="01F89FDD" w14:textId="03DA768B" w:rsidR="005A1A59" w:rsidRDefault="005A1A59" w:rsidP="00C61DC5">
      <w:pPr>
        <w:pStyle w:val="FootnoteText"/>
      </w:pPr>
      <w:r>
        <w:rPr>
          <w:rStyle w:val="FootnoteReference"/>
        </w:rPr>
        <w:footnoteRef/>
      </w:r>
      <w:r>
        <w:t xml:space="preserve"> </w:t>
      </w:r>
      <w:r w:rsidR="00214687">
        <w:rPr>
          <w:rFonts w:eastAsia="Times New Roman" w:cstheme="minorHAnsi"/>
          <w:lang w:eastAsia="en-GB"/>
        </w:rPr>
        <w:t>Nurit Bird‐David. “Animism” Revisited (1999)</w:t>
      </w:r>
      <w:r>
        <w:rPr>
          <w:rFonts w:eastAsia="Times New Roman" w:cstheme="minorHAnsi"/>
          <w:lang w:eastAsia="en-GB"/>
        </w:rPr>
        <w:t>, pp73</w:t>
      </w:r>
    </w:p>
  </w:footnote>
  <w:footnote w:id="8">
    <w:p w14:paraId="429368B6" w14:textId="48F7FFAC" w:rsidR="00AA0563" w:rsidRDefault="00AA0563" w:rsidP="00C61DC5">
      <w:pPr>
        <w:pStyle w:val="FootnoteText"/>
      </w:pPr>
      <w:r>
        <w:rPr>
          <w:rStyle w:val="FootnoteReference"/>
        </w:rPr>
        <w:footnoteRef/>
      </w:r>
      <w:r>
        <w:t xml:space="preserve"> </w:t>
      </w:r>
      <w:r w:rsidR="00214687">
        <w:rPr>
          <w:rFonts w:eastAsia="Times New Roman" w:cstheme="minorHAnsi"/>
          <w:lang w:eastAsia="en-GB"/>
        </w:rPr>
        <w:t>Nurit Bird‐David. “Animism” Revisited (1999)</w:t>
      </w:r>
      <w:r>
        <w:rPr>
          <w:rFonts w:eastAsia="Times New Roman" w:cstheme="minorHAnsi"/>
          <w:lang w:eastAsia="en-GB"/>
        </w:rPr>
        <w:t>, pp79</w:t>
      </w:r>
    </w:p>
  </w:footnote>
  <w:footnote w:id="9">
    <w:p w14:paraId="44808A88" w14:textId="4C33EB8A" w:rsidR="005A1A59" w:rsidRDefault="005A1A59" w:rsidP="005A1A59">
      <w:pPr>
        <w:pStyle w:val="FootnoteText"/>
      </w:pPr>
      <w:r>
        <w:rPr>
          <w:rStyle w:val="FootnoteReference"/>
        </w:rPr>
        <w:footnoteRef/>
      </w:r>
      <w:r>
        <w:t xml:space="preserve"> </w:t>
      </w:r>
      <w:r w:rsidR="00214687">
        <w:rPr>
          <w:rFonts w:eastAsia="Times New Roman" w:cstheme="minorHAnsi"/>
          <w:lang w:eastAsia="en-GB"/>
        </w:rPr>
        <w:t>Nurit Bird‐David. “Animism” Revisited (1999)</w:t>
      </w:r>
      <w:r>
        <w:rPr>
          <w:rFonts w:eastAsia="Times New Roman" w:cstheme="minorHAnsi"/>
          <w:lang w:eastAsia="en-GB"/>
        </w:rPr>
        <w:t>, pp73</w:t>
      </w:r>
    </w:p>
  </w:footnote>
  <w:footnote w:id="10">
    <w:p w14:paraId="651212C0" w14:textId="6CBDFB0C" w:rsidR="00696D2E" w:rsidRDefault="00696D2E" w:rsidP="00D0539D">
      <w:pPr>
        <w:pStyle w:val="FootnoteText"/>
        <w:ind w:left="567" w:hanging="567"/>
      </w:pPr>
      <w:r>
        <w:rPr>
          <w:rStyle w:val="FootnoteReference"/>
        </w:rPr>
        <w:footnoteRef/>
      </w:r>
      <w:r>
        <w:t xml:space="preserve"> </w:t>
      </w:r>
      <w:r w:rsidR="00BC23FD">
        <w:rPr>
          <w:rFonts w:eastAsia="Times New Roman" w:cstheme="minorHAnsi"/>
          <w:lang w:eastAsia="en-GB"/>
        </w:rPr>
        <w:t>Kelly D. Alley</w:t>
      </w:r>
      <w:r w:rsidRPr="002A2093">
        <w:rPr>
          <w:rFonts w:eastAsia="Times New Roman" w:cstheme="minorHAnsi"/>
          <w:lang w:eastAsia="en-GB"/>
        </w:rPr>
        <w:t>. River Goddesses, Personhood and Rights of Nature</w:t>
      </w:r>
      <w:r w:rsidR="005D4712">
        <w:rPr>
          <w:rFonts w:eastAsia="Times New Roman" w:cstheme="minorHAnsi"/>
          <w:lang w:eastAsia="en-GB"/>
        </w:rPr>
        <w:t xml:space="preserve">, </w:t>
      </w:r>
      <w:r w:rsidR="00214687">
        <w:rPr>
          <w:rFonts w:eastAsia="Times New Roman" w:cstheme="minorHAnsi"/>
          <w:lang w:eastAsia="en-GB"/>
        </w:rPr>
        <w:t xml:space="preserve">(2019) </w:t>
      </w:r>
      <w:r>
        <w:rPr>
          <w:rFonts w:eastAsia="Times New Roman" w:cstheme="minorHAnsi"/>
          <w:lang w:eastAsia="en-GB"/>
        </w:rPr>
        <w:t>pp</w:t>
      </w:r>
      <w:r w:rsidR="00D0539D">
        <w:rPr>
          <w:rFonts w:eastAsia="Times New Roman" w:cstheme="minorHAnsi"/>
          <w:lang w:eastAsia="en-GB"/>
        </w:rPr>
        <w:t>5</w:t>
      </w:r>
      <w:r>
        <w:rPr>
          <w:rFonts w:eastAsia="Times New Roman" w:cstheme="minorHAnsi"/>
          <w:lang w:eastAsia="en-GB"/>
        </w:rPr>
        <w:t>.</w:t>
      </w:r>
    </w:p>
  </w:footnote>
  <w:footnote w:id="11">
    <w:p w14:paraId="460F35CF" w14:textId="78CA02AA" w:rsidR="00D0539D" w:rsidRDefault="00D0539D" w:rsidP="00D0539D">
      <w:pPr>
        <w:pStyle w:val="FootnoteText"/>
        <w:ind w:left="567" w:hanging="567"/>
      </w:pPr>
      <w:r>
        <w:rPr>
          <w:rStyle w:val="FootnoteReference"/>
        </w:rPr>
        <w:footnoteRef/>
      </w:r>
      <w:r>
        <w:t xml:space="preserve"> </w:t>
      </w:r>
      <w:r w:rsidR="00214687">
        <w:rPr>
          <w:rFonts w:eastAsia="Times New Roman" w:cstheme="minorHAnsi"/>
          <w:lang w:eastAsia="en-GB"/>
        </w:rPr>
        <w:t>Kelly D. Alley. River Goddesses, Personhood and Rights of Nature (2019)</w:t>
      </w:r>
      <w:r>
        <w:rPr>
          <w:rFonts w:eastAsia="Times New Roman" w:cstheme="minorHAnsi"/>
          <w:lang w:eastAsia="en-GB"/>
        </w:rPr>
        <w:t>, pp6.</w:t>
      </w:r>
    </w:p>
  </w:footnote>
  <w:footnote w:id="12">
    <w:p w14:paraId="0D51547D" w14:textId="26B5B06D" w:rsidR="00F938F4" w:rsidRDefault="00F938F4">
      <w:pPr>
        <w:pStyle w:val="FootnoteText"/>
      </w:pPr>
      <w:r>
        <w:rPr>
          <w:rStyle w:val="FootnoteReference"/>
        </w:rPr>
        <w:footnoteRef/>
      </w:r>
      <w:r>
        <w:t xml:space="preserve"> </w:t>
      </w:r>
      <w:r w:rsidR="00214687">
        <w:rPr>
          <w:rFonts w:eastAsia="Times New Roman" w:cstheme="minorHAnsi"/>
          <w:lang w:eastAsia="en-GB"/>
        </w:rPr>
        <w:t>Kelly D. Alley. River Goddesses, Personhood and Rights of Nature (2019)</w:t>
      </w:r>
      <w:r>
        <w:rPr>
          <w:rFonts w:eastAsia="Times New Roman" w:cstheme="minorHAnsi"/>
          <w:lang w:eastAsia="en-GB"/>
        </w:rPr>
        <w:t>, pp9.</w:t>
      </w:r>
    </w:p>
  </w:footnote>
  <w:footnote w:id="13">
    <w:p w14:paraId="78C7F77B" w14:textId="1E188217" w:rsidR="00F938F4" w:rsidRDefault="00F938F4">
      <w:pPr>
        <w:pStyle w:val="FootnoteText"/>
      </w:pPr>
      <w:r>
        <w:rPr>
          <w:rStyle w:val="FootnoteReference"/>
        </w:rPr>
        <w:footnoteRef/>
      </w:r>
      <w:r>
        <w:t xml:space="preserve"> </w:t>
      </w:r>
      <w:r w:rsidR="00214687">
        <w:rPr>
          <w:rFonts w:eastAsia="Times New Roman" w:cstheme="minorHAnsi"/>
          <w:lang w:eastAsia="en-GB"/>
        </w:rPr>
        <w:t>Kelly D. Alley. River Goddesses, Personhood and Rights of Nature (2019)</w:t>
      </w:r>
      <w:r>
        <w:rPr>
          <w:rFonts w:eastAsia="Times New Roman" w:cstheme="minorHAnsi"/>
          <w:lang w:eastAsia="en-GB"/>
        </w:rPr>
        <w:t>, pp10.</w:t>
      </w:r>
    </w:p>
  </w:footnote>
  <w:footnote w:id="14">
    <w:p w14:paraId="40DBB75D" w14:textId="0F9A5F35" w:rsidR="00857A91" w:rsidRDefault="00857A91">
      <w:pPr>
        <w:pStyle w:val="FootnoteText"/>
      </w:pPr>
      <w:r>
        <w:rPr>
          <w:rStyle w:val="FootnoteReference"/>
        </w:rPr>
        <w:footnoteRef/>
      </w:r>
      <w:r>
        <w:t xml:space="preserve"> </w:t>
      </w:r>
      <w:r w:rsidR="00214687">
        <w:rPr>
          <w:rFonts w:eastAsia="Times New Roman" w:cstheme="minorHAnsi"/>
          <w:lang w:eastAsia="en-GB"/>
        </w:rPr>
        <w:t>Kelly D. Alley. River Goddesses, Personhood and Rights of Nature (2019)</w:t>
      </w:r>
      <w:r>
        <w:rPr>
          <w:rFonts w:eastAsia="Times New Roman" w:cstheme="minorHAnsi"/>
          <w:lang w:eastAsia="en-GB"/>
        </w:rPr>
        <w:t xml:space="preserve">. </w:t>
      </w:r>
      <w:r>
        <w:t>pp4</w:t>
      </w:r>
    </w:p>
  </w:footnote>
  <w:footnote w:id="15">
    <w:p w14:paraId="0E15B3F0" w14:textId="71B1ED56" w:rsidR="002778B3" w:rsidRDefault="002778B3">
      <w:pPr>
        <w:pStyle w:val="FootnoteText"/>
      </w:pPr>
      <w:r>
        <w:rPr>
          <w:rStyle w:val="FootnoteReference"/>
        </w:rPr>
        <w:footnoteRef/>
      </w:r>
      <w:r>
        <w:t xml:space="preserve"> </w:t>
      </w:r>
      <w:r w:rsidR="00214687">
        <w:t>Nurit Bird‐David. “Animism” Revisited (1999)</w:t>
      </w:r>
      <w:r>
        <w:rPr>
          <w:rFonts w:eastAsia="Times New Roman" w:cstheme="minorHAnsi"/>
          <w:lang w:eastAsia="en-GB"/>
        </w:rPr>
        <w:t>. pp73</w:t>
      </w:r>
    </w:p>
  </w:footnote>
  <w:footnote w:id="16">
    <w:p w14:paraId="01659BED" w14:textId="3F6D6CF4" w:rsidR="00EB34B1" w:rsidRDefault="00EB34B1">
      <w:pPr>
        <w:pStyle w:val="FootnoteText"/>
      </w:pPr>
      <w:r>
        <w:rPr>
          <w:rStyle w:val="FootnoteReference"/>
        </w:rPr>
        <w:footnoteRef/>
      </w:r>
      <w:r>
        <w:t xml:space="preserve"> </w:t>
      </w:r>
      <w:r w:rsidR="00214687">
        <w:rPr>
          <w:rFonts w:eastAsia="Times New Roman" w:cstheme="minorHAnsi"/>
          <w:lang w:eastAsia="en-GB"/>
        </w:rPr>
        <w:t>Nurit Bird‐David. “Animism” Revisited (1999)</w:t>
      </w:r>
      <w:r>
        <w:rPr>
          <w:rFonts w:eastAsia="Times New Roman" w:cstheme="minorHAnsi"/>
          <w:lang w:eastAsia="en-GB"/>
        </w:rPr>
        <w:t>. pp74</w:t>
      </w:r>
    </w:p>
  </w:footnote>
  <w:footnote w:id="17">
    <w:p w14:paraId="7B8C2D74" w14:textId="7B88AD72" w:rsidR="00EB34B1" w:rsidRDefault="00EB34B1">
      <w:pPr>
        <w:pStyle w:val="FootnoteText"/>
      </w:pPr>
      <w:r>
        <w:rPr>
          <w:rStyle w:val="FootnoteReference"/>
        </w:rPr>
        <w:footnoteRef/>
      </w:r>
      <w:r>
        <w:t xml:space="preserve"> </w:t>
      </w:r>
      <w:r w:rsidR="00214687">
        <w:rPr>
          <w:rFonts w:eastAsia="Times New Roman" w:cstheme="minorHAnsi"/>
          <w:lang w:eastAsia="en-GB"/>
        </w:rPr>
        <w:t>Nurit Bird‐David. “Animism” Revisited (1999)</w:t>
      </w:r>
      <w:r>
        <w:rPr>
          <w:rFonts w:eastAsia="Times New Roman" w:cstheme="minorHAnsi"/>
          <w:lang w:eastAsia="en-GB"/>
        </w:rPr>
        <w:t>. pp71</w:t>
      </w:r>
    </w:p>
  </w:footnote>
  <w:footnote w:id="18">
    <w:p w14:paraId="7C1BC33F" w14:textId="6694C56B" w:rsidR="00EB34B1" w:rsidRDefault="00EB34B1">
      <w:pPr>
        <w:pStyle w:val="FootnoteText"/>
      </w:pPr>
      <w:r>
        <w:rPr>
          <w:rStyle w:val="FootnoteReference"/>
        </w:rPr>
        <w:footnoteRef/>
      </w:r>
      <w:r>
        <w:t xml:space="preserve"> </w:t>
      </w:r>
      <w:r w:rsidR="00214687">
        <w:rPr>
          <w:rFonts w:eastAsia="Times New Roman" w:cstheme="minorHAnsi"/>
          <w:lang w:eastAsia="en-GB"/>
        </w:rPr>
        <w:t>Nurit Bird‐David. “Animism” Revisited (1999)</w:t>
      </w:r>
      <w:r>
        <w:rPr>
          <w:rFonts w:eastAsia="Times New Roman" w:cstheme="minorHAnsi"/>
          <w:lang w:eastAsia="en-GB"/>
        </w:rPr>
        <w:t>. pp72</w:t>
      </w:r>
    </w:p>
  </w:footnote>
  <w:footnote w:id="19">
    <w:p w14:paraId="77D96689" w14:textId="1F233D39" w:rsidR="00EB34B1" w:rsidRDefault="00EB34B1">
      <w:pPr>
        <w:pStyle w:val="FootnoteText"/>
      </w:pPr>
      <w:r>
        <w:rPr>
          <w:rStyle w:val="FootnoteReference"/>
        </w:rPr>
        <w:footnoteRef/>
      </w:r>
      <w:r>
        <w:t xml:space="preserve"> </w:t>
      </w:r>
      <w:r w:rsidR="00214687">
        <w:rPr>
          <w:rFonts w:eastAsia="Times New Roman" w:cstheme="minorHAnsi"/>
          <w:lang w:eastAsia="en-GB"/>
        </w:rPr>
        <w:t>Nurit Bird‐David. “Animism” Revisited (1999)</w:t>
      </w:r>
      <w:r>
        <w:rPr>
          <w:rFonts w:eastAsia="Times New Roman" w:cstheme="minorHAnsi"/>
          <w:lang w:eastAsia="en-GB"/>
        </w:rPr>
        <w:t>. pp71</w:t>
      </w:r>
    </w:p>
  </w:footnote>
  <w:footnote w:id="20">
    <w:p w14:paraId="6DE8AE70" w14:textId="15BB64D5" w:rsidR="00EB34B1" w:rsidRDefault="00EB34B1">
      <w:pPr>
        <w:pStyle w:val="FootnoteText"/>
      </w:pPr>
      <w:r>
        <w:rPr>
          <w:rStyle w:val="FootnoteReference"/>
        </w:rPr>
        <w:footnoteRef/>
      </w:r>
      <w:r>
        <w:t xml:space="preserve"> </w:t>
      </w:r>
      <w:r w:rsidR="00214687">
        <w:rPr>
          <w:rFonts w:eastAsia="Times New Roman" w:cstheme="minorHAnsi"/>
          <w:lang w:eastAsia="en-GB"/>
        </w:rPr>
        <w:t>Nurit Bird‐David. “Animism” Revisited (1999)</w:t>
      </w:r>
      <w:r>
        <w:rPr>
          <w:rFonts w:eastAsia="Times New Roman" w:cstheme="minorHAnsi"/>
          <w:lang w:eastAsia="en-GB"/>
        </w:rPr>
        <w:t>. pp70</w:t>
      </w:r>
    </w:p>
  </w:footnote>
  <w:footnote w:id="21">
    <w:p w14:paraId="5E46D87F" w14:textId="19A31644" w:rsidR="0028741B" w:rsidRPr="00A019CE" w:rsidRDefault="0028741B" w:rsidP="00A019CE">
      <w:pPr>
        <w:pStyle w:val="FootnoteText"/>
        <w:ind w:left="709" w:hanging="709"/>
        <w:rPr>
          <w:rFonts w:ascii="Calibri" w:hAnsi="Calibri" w:cs="Calibri"/>
        </w:rPr>
      </w:pPr>
      <w:r>
        <w:rPr>
          <w:rStyle w:val="FootnoteReference"/>
        </w:rPr>
        <w:footnoteRef/>
      </w:r>
      <w:r>
        <w:t xml:space="preserve"> </w:t>
      </w:r>
      <w:r w:rsidR="00214687">
        <w:rPr>
          <w:rFonts w:eastAsia="Times New Roman" w:cstheme="minorHAnsi"/>
          <w:lang w:eastAsia="en-GB"/>
        </w:rPr>
        <w:t>Kelly D. Alley. River Goddesses, Personhood and Rights of Nature (2019)</w:t>
      </w:r>
      <w:r w:rsidRPr="00A019CE">
        <w:rPr>
          <w:rFonts w:ascii="Calibri" w:eastAsia="Times New Roman" w:hAnsi="Calibri" w:cs="Calibri"/>
          <w:lang w:eastAsia="en-GB"/>
        </w:rPr>
        <w:t>, pp9.</w:t>
      </w:r>
    </w:p>
  </w:footnote>
  <w:footnote w:id="22">
    <w:p w14:paraId="285A473A" w14:textId="1EB58E44" w:rsidR="000D3A8E" w:rsidRPr="00A019CE" w:rsidRDefault="000D3A8E" w:rsidP="00A019CE">
      <w:pPr>
        <w:pStyle w:val="FootnoteText"/>
        <w:ind w:left="709" w:hanging="709"/>
        <w:rPr>
          <w:rFonts w:ascii="Calibri" w:hAnsi="Calibri" w:cs="Calibri"/>
        </w:rPr>
      </w:pPr>
      <w:r w:rsidRPr="00A019CE">
        <w:rPr>
          <w:rStyle w:val="FootnoteReference"/>
          <w:rFonts w:ascii="Calibri" w:hAnsi="Calibri" w:cs="Calibri"/>
        </w:rPr>
        <w:footnoteRef/>
      </w:r>
      <w:r w:rsidRPr="00A019CE">
        <w:rPr>
          <w:rFonts w:ascii="Calibri" w:hAnsi="Calibri" w:cs="Calibri"/>
        </w:rPr>
        <w:t xml:space="preserve"> </w:t>
      </w:r>
      <w:r w:rsidR="00214687">
        <w:rPr>
          <w:rFonts w:ascii="Calibri" w:eastAsia="Times New Roman" w:hAnsi="Calibri" w:cs="Calibri"/>
          <w:lang w:eastAsia="en-GB"/>
        </w:rPr>
        <w:t>Nurit Bird‐David. “Animism” Revisited (1999)</w:t>
      </w:r>
      <w:r w:rsidRPr="00A019CE">
        <w:rPr>
          <w:rFonts w:ascii="Calibri" w:eastAsia="Times New Roman" w:hAnsi="Calibri" w:cs="Calibri"/>
          <w:lang w:eastAsia="en-GB"/>
        </w:rPr>
        <w:t>. pp73</w:t>
      </w:r>
    </w:p>
  </w:footnote>
  <w:footnote w:id="23">
    <w:p w14:paraId="45BAA9E0" w14:textId="06D54886" w:rsidR="003E403C" w:rsidRDefault="003E403C">
      <w:pPr>
        <w:pStyle w:val="FootnoteText"/>
      </w:pPr>
      <w:r>
        <w:rPr>
          <w:rStyle w:val="FootnoteReference"/>
        </w:rPr>
        <w:footnoteRef/>
      </w:r>
      <w:r>
        <w:t xml:space="preserve"> </w:t>
      </w:r>
      <w:r>
        <w:rPr>
          <w:rFonts w:eastAsia="Times New Roman" w:cstheme="minorHAnsi"/>
          <w:lang w:eastAsia="en-GB"/>
        </w:rPr>
        <w:t>Kelly D. Alley. River Goddesses, Personhood and Rights of Nature (2019)</w:t>
      </w:r>
      <w:r w:rsidRPr="00A019CE">
        <w:rPr>
          <w:rFonts w:ascii="Calibri" w:eastAsia="Times New Roman" w:hAnsi="Calibri" w:cs="Calibri"/>
          <w:lang w:eastAsia="en-GB"/>
        </w:rPr>
        <w:t>, pp</w:t>
      </w:r>
      <w:r>
        <w:rPr>
          <w:rFonts w:ascii="Calibri" w:eastAsia="Times New Roman" w:hAnsi="Calibri" w:cs="Calibri"/>
          <w:lang w:eastAsia="en-GB"/>
        </w:rPr>
        <w:t>6</w:t>
      </w:r>
      <w:r w:rsidRPr="00A019CE">
        <w:rPr>
          <w:rFonts w:ascii="Calibri" w:eastAsia="Times New Roman" w:hAnsi="Calibri" w:cs="Calibri"/>
          <w:lang w:eastAsia="en-GB"/>
        </w:rPr>
        <w:t>.</w:t>
      </w:r>
    </w:p>
  </w:footnote>
  <w:footnote w:id="24">
    <w:p w14:paraId="51BAA38C" w14:textId="7152F3F0" w:rsidR="00C5222C" w:rsidRPr="0042574F" w:rsidRDefault="00C5222C" w:rsidP="00C61DC5">
      <w:pPr>
        <w:spacing w:after="0" w:line="240" w:lineRule="auto"/>
        <w:ind w:left="567" w:hanging="480"/>
        <w:rPr>
          <w:rFonts w:ascii="Calibri" w:eastAsia="Times New Roman" w:hAnsi="Calibri" w:cs="Calibri"/>
          <w:sz w:val="20"/>
          <w:szCs w:val="20"/>
          <w:lang w:eastAsia="en-GB"/>
        </w:rPr>
      </w:pPr>
      <w:r w:rsidRPr="009C3139">
        <w:rPr>
          <w:rStyle w:val="FootnoteReference"/>
          <w:sz w:val="20"/>
          <w:szCs w:val="20"/>
        </w:rPr>
        <w:footnoteRef/>
      </w:r>
      <w:r w:rsidRPr="009C3139">
        <w:rPr>
          <w:sz w:val="20"/>
          <w:szCs w:val="20"/>
        </w:rPr>
        <w:t xml:space="preserve"> </w:t>
      </w:r>
      <w:r w:rsidR="00BC23FD" w:rsidRPr="0042574F">
        <w:rPr>
          <w:sz w:val="20"/>
          <w:szCs w:val="20"/>
        </w:rPr>
        <w:t xml:space="preserve">Tim </w:t>
      </w:r>
      <w:r w:rsidRPr="0042574F">
        <w:rPr>
          <w:rFonts w:ascii="Calibri" w:eastAsia="Times New Roman" w:hAnsi="Calibri" w:cs="Calibri"/>
          <w:sz w:val="20"/>
          <w:szCs w:val="20"/>
          <w:lang w:eastAsia="en-GB"/>
        </w:rPr>
        <w:t xml:space="preserve">Ingold. Rethinking the animate, re-animating thought. </w:t>
      </w:r>
      <w:r w:rsidRPr="0042574F">
        <w:rPr>
          <w:rFonts w:ascii="Calibri" w:eastAsia="Times New Roman" w:hAnsi="Calibri" w:cs="Calibri"/>
          <w:i/>
          <w:iCs/>
          <w:sz w:val="20"/>
          <w:szCs w:val="20"/>
          <w:lang w:eastAsia="en-GB"/>
        </w:rPr>
        <w:t>Ethnos</w:t>
      </w:r>
      <w:r w:rsidRPr="0042574F">
        <w:rPr>
          <w:rFonts w:ascii="Calibri" w:eastAsia="Times New Roman" w:hAnsi="Calibri" w:cs="Calibri"/>
          <w:sz w:val="20"/>
          <w:szCs w:val="20"/>
          <w:lang w:eastAsia="en-GB"/>
        </w:rPr>
        <w:t xml:space="preserve"> 71,</w:t>
      </w:r>
      <w:r w:rsidR="00214687" w:rsidRPr="0042574F">
        <w:rPr>
          <w:rFonts w:ascii="Calibri" w:eastAsia="Times New Roman" w:hAnsi="Calibri" w:cs="Calibri"/>
          <w:sz w:val="20"/>
          <w:szCs w:val="20"/>
          <w:lang w:eastAsia="en-GB"/>
        </w:rPr>
        <w:t xml:space="preserve"> (2006)</w:t>
      </w:r>
      <w:r w:rsidRPr="0042574F">
        <w:rPr>
          <w:rFonts w:ascii="Calibri" w:eastAsia="Times New Roman" w:hAnsi="Calibri" w:cs="Calibri"/>
          <w:sz w:val="20"/>
          <w:szCs w:val="20"/>
          <w:lang w:eastAsia="en-GB"/>
        </w:rPr>
        <w:t xml:space="preserve"> 9–20. </w:t>
      </w:r>
    </w:p>
  </w:footnote>
  <w:footnote w:id="25">
    <w:p w14:paraId="70190A01" w14:textId="16653999" w:rsidR="00A26E05" w:rsidRPr="0042574F" w:rsidRDefault="00A26E05" w:rsidP="00C61DC5">
      <w:pPr>
        <w:spacing w:after="0"/>
        <w:ind w:left="567" w:hanging="480"/>
        <w:rPr>
          <w:rFonts w:ascii="Calibri" w:eastAsia="Times New Roman" w:hAnsi="Calibri" w:cs="Calibri"/>
          <w:sz w:val="20"/>
          <w:szCs w:val="20"/>
          <w:lang w:eastAsia="en-GB"/>
        </w:rPr>
      </w:pPr>
      <w:r w:rsidRPr="0042574F">
        <w:rPr>
          <w:rStyle w:val="FootnoteReference"/>
          <w:rFonts w:ascii="Calibri" w:hAnsi="Calibri" w:cs="Calibri"/>
          <w:sz w:val="20"/>
          <w:szCs w:val="20"/>
        </w:rPr>
        <w:footnoteRef/>
      </w:r>
      <w:r w:rsidRPr="0042574F">
        <w:rPr>
          <w:rFonts w:ascii="Calibri" w:hAnsi="Calibri" w:cs="Calibri"/>
          <w:sz w:val="20"/>
          <w:szCs w:val="20"/>
        </w:rPr>
        <w:t xml:space="preserve"> </w:t>
      </w:r>
      <w:r w:rsidR="00214687" w:rsidRPr="0042574F">
        <w:rPr>
          <w:rFonts w:ascii="Calibri" w:hAnsi="Calibri" w:cs="Calibri"/>
          <w:sz w:val="20"/>
          <w:szCs w:val="20"/>
        </w:rPr>
        <w:t xml:space="preserve">Eduardo Viveiros De </w:t>
      </w:r>
      <w:r w:rsidRPr="0042574F">
        <w:rPr>
          <w:rFonts w:ascii="Calibri" w:eastAsia="Times New Roman" w:hAnsi="Calibri" w:cs="Calibri"/>
          <w:sz w:val="20"/>
          <w:szCs w:val="20"/>
          <w:lang w:eastAsia="en-GB"/>
        </w:rPr>
        <w:t xml:space="preserve">Castro. </w:t>
      </w:r>
      <w:proofErr w:type="spellStart"/>
      <w:r w:rsidRPr="0042574F">
        <w:rPr>
          <w:rFonts w:ascii="Calibri" w:eastAsia="Times New Roman" w:hAnsi="Calibri" w:cs="Calibri"/>
          <w:sz w:val="20"/>
          <w:szCs w:val="20"/>
          <w:lang w:eastAsia="en-GB"/>
        </w:rPr>
        <w:t>Os</w:t>
      </w:r>
      <w:proofErr w:type="spellEnd"/>
      <w:r w:rsidRPr="0042574F">
        <w:rPr>
          <w:rFonts w:ascii="Calibri" w:eastAsia="Times New Roman" w:hAnsi="Calibri" w:cs="Calibri"/>
          <w:sz w:val="20"/>
          <w:szCs w:val="20"/>
          <w:lang w:eastAsia="en-GB"/>
        </w:rPr>
        <w:t xml:space="preserve"> </w:t>
      </w:r>
      <w:proofErr w:type="spellStart"/>
      <w:r w:rsidRPr="0042574F">
        <w:rPr>
          <w:rFonts w:ascii="Calibri" w:eastAsia="Times New Roman" w:hAnsi="Calibri" w:cs="Calibri"/>
          <w:sz w:val="20"/>
          <w:szCs w:val="20"/>
          <w:lang w:eastAsia="en-GB"/>
        </w:rPr>
        <w:t>pronomes</w:t>
      </w:r>
      <w:proofErr w:type="spellEnd"/>
      <w:r w:rsidRPr="0042574F">
        <w:rPr>
          <w:rFonts w:ascii="Calibri" w:eastAsia="Times New Roman" w:hAnsi="Calibri" w:cs="Calibri"/>
          <w:sz w:val="20"/>
          <w:szCs w:val="20"/>
          <w:lang w:eastAsia="en-GB"/>
        </w:rPr>
        <w:t xml:space="preserve"> </w:t>
      </w:r>
      <w:proofErr w:type="spellStart"/>
      <w:r w:rsidRPr="0042574F">
        <w:rPr>
          <w:rFonts w:ascii="Calibri" w:eastAsia="Times New Roman" w:hAnsi="Calibri" w:cs="Calibri"/>
          <w:sz w:val="20"/>
          <w:szCs w:val="20"/>
          <w:lang w:eastAsia="en-GB"/>
        </w:rPr>
        <w:t>cosmológicos</w:t>
      </w:r>
      <w:proofErr w:type="spellEnd"/>
      <w:r w:rsidRPr="0042574F">
        <w:rPr>
          <w:rFonts w:ascii="Calibri" w:eastAsia="Times New Roman" w:hAnsi="Calibri" w:cs="Calibri"/>
          <w:sz w:val="20"/>
          <w:szCs w:val="20"/>
          <w:lang w:eastAsia="en-GB"/>
        </w:rPr>
        <w:t xml:space="preserve"> e o </w:t>
      </w:r>
      <w:proofErr w:type="spellStart"/>
      <w:r w:rsidRPr="0042574F">
        <w:rPr>
          <w:rFonts w:ascii="Calibri" w:eastAsia="Times New Roman" w:hAnsi="Calibri" w:cs="Calibri"/>
          <w:sz w:val="20"/>
          <w:szCs w:val="20"/>
          <w:lang w:eastAsia="en-GB"/>
        </w:rPr>
        <w:t>perspectivismo</w:t>
      </w:r>
      <w:proofErr w:type="spellEnd"/>
      <w:r w:rsidRPr="0042574F">
        <w:rPr>
          <w:rFonts w:ascii="Calibri" w:eastAsia="Times New Roman" w:hAnsi="Calibri" w:cs="Calibri"/>
          <w:sz w:val="20"/>
          <w:szCs w:val="20"/>
          <w:lang w:eastAsia="en-GB"/>
        </w:rPr>
        <w:t xml:space="preserve"> </w:t>
      </w:r>
      <w:proofErr w:type="spellStart"/>
      <w:r w:rsidRPr="0042574F">
        <w:rPr>
          <w:rFonts w:ascii="Calibri" w:eastAsia="Times New Roman" w:hAnsi="Calibri" w:cs="Calibri"/>
          <w:sz w:val="20"/>
          <w:szCs w:val="20"/>
          <w:lang w:eastAsia="en-GB"/>
        </w:rPr>
        <w:t>ameríndio</w:t>
      </w:r>
      <w:proofErr w:type="spellEnd"/>
      <w:r w:rsidRPr="0042574F">
        <w:rPr>
          <w:rFonts w:ascii="Calibri" w:eastAsia="Times New Roman" w:hAnsi="Calibri" w:cs="Calibri"/>
          <w:sz w:val="20"/>
          <w:szCs w:val="20"/>
          <w:lang w:eastAsia="en-GB"/>
        </w:rPr>
        <w:t xml:space="preserve">. </w:t>
      </w:r>
      <w:r w:rsidRPr="0042574F">
        <w:rPr>
          <w:rFonts w:ascii="Calibri" w:eastAsia="Times New Roman" w:hAnsi="Calibri" w:cs="Calibri"/>
          <w:i/>
          <w:iCs/>
          <w:sz w:val="20"/>
          <w:szCs w:val="20"/>
          <w:lang w:eastAsia="en-GB"/>
        </w:rPr>
        <w:t>Mana</w:t>
      </w:r>
      <w:r w:rsidRPr="0042574F">
        <w:rPr>
          <w:rFonts w:ascii="Calibri" w:eastAsia="Times New Roman" w:hAnsi="Calibri" w:cs="Calibri"/>
          <w:sz w:val="20"/>
          <w:szCs w:val="20"/>
          <w:lang w:eastAsia="en-GB"/>
        </w:rPr>
        <w:t xml:space="preserve"> 2, </w:t>
      </w:r>
      <w:r w:rsidR="00214687" w:rsidRPr="0042574F">
        <w:rPr>
          <w:rFonts w:ascii="Calibri" w:eastAsia="Times New Roman" w:hAnsi="Calibri" w:cs="Calibri"/>
          <w:sz w:val="20"/>
          <w:szCs w:val="20"/>
          <w:lang w:eastAsia="en-GB"/>
        </w:rPr>
        <w:t xml:space="preserve">(1996) </w:t>
      </w:r>
      <w:r w:rsidRPr="0042574F">
        <w:rPr>
          <w:rFonts w:ascii="Calibri" w:eastAsia="Times New Roman" w:hAnsi="Calibri" w:cs="Calibri"/>
          <w:sz w:val="20"/>
          <w:szCs w:val="20"/>
          <w:lang w:eastAsia="en-GB"/>
        </w:rPr>
        <w:t xml:space="preserve">115–144. </w:t>
      </w:r>
    </w:p>
  </w:footnote>
  <w:footnote w:id="26">
    <w:p w14:paraId="7AE8BAEE" w14:textId="445F5C5A" w:rsidR="00A26E05" w:rsidRPr="0042574F" w:rsidRDefault="00A26E05" w:rsidP="00C61DC5">
      <w:pPr>
        <w:spacing w:after="0"/>
        <w:ind w:left="567" w:hanging="480"/>
        <w:rPr>
          <w:rFonts w:ascii="Calibri" w:eastAsia="Times New Roman" w:hAnsi="Calibri" w:cs="Calibri"/>
          <w:sz w:val="20"/>
          <w:szCs w:val="20"/>
          <w:lang w:eastAsia="en-GB"/>
        </w:rPr>
      </w:pPr>
      <w:r w:rsidRPr="0042574F">
        <w:rPr>
          <w:rStyle w:val="FootnoteReference"/>
          <w:rFonts w:ascii="Calibri" w:hAnsi="Calibri" w:cs="Calibri"/>
          <w:sz w:val="20"/>
          <w:szCs w:val="20"/>
        </w:rPr>
        <w:footnoteRef/>
      </w:r>
      <w:r w:rsidRPr="0042574F">
        <w:rPr>
          <w:rFonts w:ascii="Calibri" w:hAnsi="Calibri" w:cs="Calibri"/>
          <w:sz w:val="20"/>
          <w:szCs w:val="20"/>
        </w:rPr>
        <w:t xml:space="preserve"> </w:t>
      </w:r>
      <w:r w:rsidR="005528B0" w:rsidRPr="0042574F">
        <w:rPr>
          <w:rFonts w:ascii="Calibri" w:eastAsia="Times New Roman" w:hAnsi="Calibri" w:cs="Calibri"/>
          <w:sz w:val="20"/>
          <w:szCs w:val="20"/>
          <w:lang w:eastAsia="en-GB"/>
        </w:rPr>
        <w:t xml:space="preserve">University of Cambridge, Heywood, P., Stein, F., Lazar, S., Candea, M., </w:t>
      </w:r>
      <w:proofErr w:type="spellStart"/>
      <w:r w:rsidR="005528B0" w:rsidRPr="0042574F">
        <w:rPr>
          <w:rFonts w:ascii="Calibri" w:eastAsia="Times New Roman" w:hAnsi="Calibri" w:cs="Calibri"/>
          <w:sz w:val="20"/>
          <w:szCs w:val="20"/>
          <w:lang w:eastAsia="en-GB"/>
        </w:rPr>
        <w:t>Diemberger</w:t>
      </w:r>
      <w:proofErr w:type="spellEnd"/>
      <w:r w:rsidR="005528B0" w:rsidRPr="0042574F">
        <w:rPr>
          <w:rFonts w:ascii="Calibri" w:eastAsia="Times New Roman" w:hAnsi="Calibri" w:cs="Calibri"/>
          <w:sz w:val="20"/>
          <w:szCs w:val="20"/>
          <w:lang w:eastAsia="en-GB"/>
        </w:rPr>
        <w:t xml:space="preserve">, H., Robbins, J., Sanchez, A., Stasch, </w:t>
      </w:r>
      <w:proofErr w:type="gramStart"/>
      <w:r w:rsidR="005528B0" w:rsidRPr="0042574F">
        <w:rPr>
          <w:rFonts w:ascii="Calibri" w:eastAsia="Times New Roman" w:hAnsi="Calibri" w:cs="Calibri"/>
          <w:sz w:val="20"/>
          <w:szCs w:val="20"/>
          <w:lang w:eastAsia="en-GB"/>
        </w:rPr>
        <w:t>R..</w:t>
      </w:r>
      <w:proofErr w:type="gramEnd"/>
      <w:r w:rsidR="005528B0" w:rsidRPr="0042574F">
        <w:rPr>
          <w:rFonts w:ascii="Calibri" w:eastAsia="Times New Roman" w:hAnsi="Calibri" w:cs="Calibri"/>
          <w:sz w:val="20"/>
          <w:szCs w:val="20"/>
          <w:lang w:eastAsia="en-GB"/>
        </w:rPr>
        <w:t xml:space="preserve"> Ontological Turn, The. </w:t>
      </w:r>
      <w:r w:rsidR="005528B0" w:rsidRPr="0042574F">
        <w:rPr>
          <w:rFonts w:ascii="Calibri" w:eastAsia="Times New Roman" w:hAnsi="Calibri" w:cs="Calibri"/>
          <w:i/>
          <w:iCs/>
          <w:sz w:val="20"/>
          <w:szCs w:val="20"/>
          <w:lang w:eastAsia="en-GB"/>
        </w:rPr>
        <w:t>CEA</w:t>
      </w:r>
      <w:r w:rsidR="00214687" w:rsidRPr="0042574F">
        <w:rPr>
          <w:rFonts w:ascii="Calibri" w:eastAsia="Times New Roman" w:hAnsi="Calibri" w:cs="Calibri"/>
          <w:i/>
          <w:iCs/>
          <w:sz w:val="20"/>
          <w:szCs w:val="20"/>
          <w:lang w:eastAsia="en-GB"/>
        </w:rPr>
        <w:t xml:space="preserve"> </w:t>
      </w:r>
      <w:r w:rsidR="00214687" w:rsidRPr="0042574F">
        <w:rPr>
          <w:rFonts w:ascii="Calibri" w:eastAsia="Times New Roman" w:hAnsi="Calibri" w:cs="Calibri"/>
          <w:sz w:val="20"/>
          <w:szCs w:val="20"/>
          <w:lang w:eastAsia="en-GB"/>
        </w:rPr>
        <w:t>(2017)</w:t>
      </w:r>
      <w:r w:rsidR="005528B0" w:rsidRPr="0042574F">
        <w:rPr>
          <w:rFonts w:ascii="Calibri" w:eastAsia="Times New Roman" w:hAnsi="Calibri" w:cs="Calibri"/>
          <w:sz w:val="20"/>
          <w:szCs w:val="20"/>
          <w:lang w:eastAsia="en-GB"/>
        </w:rPr>
        <w:t xml:space="preserve">. </w:t>
      </w:r>
    </w:p>
  </w:footnote>
  <w:footnote w:id="27">
    <w:p w14:paraId="2D8E7F60" w14:textId="1966C443" w:rsidR="00546347" w:rsidRPr="0042574F" w:rsidRDefault="00546347" w:rsidP="00C61DC5">
      <w:pPr>
        <w:spacing w:after="0"/>
        <w:ind w:left="709" w:hanging="709"/>
        <w:rPr>
          <w:rFonts w:ascii="Calibri" w:eastAsia="Times New Roman" w:hAnsi="Calibri" w:cs="Calibri"/>
          <w:sz w:val="20"/>
          <w:szCs w:val="20"/>
          <w:lang w:eastAsia="en-GB"/>
        </w:rPr>
      </w:pPr>
      <w:r w:rsidRPr="0042574F">
        <w:rPr>
          <w:rStyle w:val="FootnoteReference"/>
          <w:sz w:val="20"/>
          <w:szCs w:val="20"/>
        </w:rPr>
        <w:footnoteRef/>
      </w:r>
      <w:r w:rsidRPr="0042574F">
        <w:rPr>
          <w:sz w:val="20"/>
          <w:szCs w:val="20"/>
        </w:rPr>
        <w:t xml:space="preserve"> </w:t>
      </w:r>
      <w:r w:rsidR="00214687" w:rsidRPr="0042574F">
        <w:rPr>
          <w:sz w:val="20"/>
          <w:szCs w:val="20"/>
        </w:rPr>
        <w:t xml:space="preserve">Morten A. </w:t>
      </w:r>
      <w:r w:rsidRPr="0042574F">
        <w:rPr>
          <w:rFonts w:ascii="Calibri" w:eastAsia="Times New Roman" w:hAnsi="Calibri" w:cs="Calibri"/>
          <w:sz w:val="20"/>
          <w:szCs w:val="20"/>
          <w:lang w:eastAsia="en-GB"/>
        </w:rPr>
        <w:t xml:space="preserve">Pedersen. Totemism, Animism and North Asian Indigenous Ontologies. Royal Anthropological Inst 7, </w:t>
      </w:r>
      <w:r w:rsidR="00214687" w:rsidRPr="0042574F">
        <w:rPr>
          <w:rFonts w:ascii="Calibri" w:eastAsia="Times New Roman" w:hAnsi="Calibri" w:cs="Calibri"/>
          <w:sz w:val="20"/>
          <w:szCs w:val="20"/>
          <w:lang w:eastAsia="en-GB"/>
        </w:rPr>
        <w:t xml:space="preserve">(2001) </w:t>
      </w:r>
      <w:r w:rsidRPr="0042574F">
        <w:rPr>
          <w:rFonts w:ascii="Calibri" w:eastAsia="Times New Roman" w:hAnsi="Calibri" w:cs="Calibri"/>
          <w:sz w:val="20"/>
          <w:szCs w:val="20"/>
          <w:lang w:eastAsia="en-GB"/>
        </w:rPr>
        <w:t xml:space="preserve">411–427. </w:t>
      </w:r>
    </w:p>
  </w:footnote>
  <w:footnote w:id="28">
    <w:p w14:paraId="24A4DF3E" w14:textId="1683F078" w:rsidR="005F2E0B" w:rsidRPr="0042574F" w:rsidRDefault="005F2E0B" w:rsidP="00C61DC5">
      <w:pPr>
        <w:spacing w:after="0"/>
        <w:ind w:left="567" w:hanging="480"/>
        <w:rPr>
          <w:rFonts w:ascii="Calibri" w:eastAsia="Times New Roman" w:hAnsi="Calibri" w:cs="Calibri"/>
          <w:sz w:val="20"/>
          <w:szCs w:val="20"/>
          <w:lang w:eastAsia="en-GB"/>
        </w:rPr>
      </w:pPr>
      <w:r w:rsidRPr="0042574F">
        <w:rPr>
          <w:rStyle w:val="FootnoteReference"/>
          <w:rFonts w:ascii="Calibri" w:hAnsi="Calibri" w:cs="Calibri"/>
          <w:sz w:val="20"/>
          <w:szCs w:val="20"/>
        </w:rPr>
        <w:footnoteRef/>
      </w:r>
      <w:r w:rsidRPr="0042574F">
        <w:rPr>
          <w:rFonts w:ascii="Calibri" w:hAnsi="Calibri" w:cs="Calibri"/>
          <w:sz w:val="20"/>
          <w:szCs w:val="20"/>
        </w:rPr>
        <w:t xml:space="preserve"> </w:t>
      </w:r>
      <w:r w:rsidRPr="0042574F">
        <w:rPr>
          <w:rFonts w:ascii="Calibri" w:eastAsia="Times New Roman" w:hAnsi="Calibri" w:cs="Calibri"/>
          <w:sz w:val="20"/>
          <w:szCs w:val="20"/>
          <w:lang w:eastAsia="en-GB"/>
        </w:rPr>
        <w:t xml:space="preserve">IPCC. </w:t>
      </w:r>
      <w:r w:rsidRPr="0042574F">
        <w:rPr>
          <w:rFonts w:ascii="Calibri" w:eastAsia="Times New Roman" w:hAnsi="Calibri" w:cs="Calibri"/>
          <w:i/>
          <w:iCs/>
          <w:sz w:val="20"/>
          <w:szCs w:val="20"/>
          <w:lang w:eastAsia="en-GB"/>
        </w:rPr>
        <w:t>Global Warming of 1.5°C: IPCC Special Report on Impacts of Global Warming of 1.5°C above Pre-industrial Levels in Context of Strengthening Response to Climate Change, Sustainable Development, and Efforts to Eradicate Poverty</w:t>
      </w:r>
      <w:r w:rsidRPr="0042574F">
        <w:rPr>
          <w:rFonts w:ascii="Calibri" w:eastAsia="Times New Roman" w:hAnsi="Calibri" w:cs="Calibri"/>
          <w:sz w:val="20"/>
          <w:szCs w:val="20"/>
          <w:lang w:eastAsia="en-GB"/>
        </w:rPr>
        <w:t>, 1st ed. Cambridge University Press</w:t>
      </w:r>
      <w:r w:rsidR="00214687" w:rsidRPr="0042574F">
        <w:rPr>
          <w:rFonts w:ascii="Calibri" w:eastAsia="Times New Roman" w:hAnsi="Calibri" w:cs="Calibri"/>
          <w:sz w:val="20"/>
          <w:szCs w:val="20"/>
          <w:lang w:eastAsia="en-GB"/>
        </w:rPr>
        <w:t xml:space="preserve"> (2018)</w:t>
      </w:r>
      <w:r w:rsidRPr="0042574F">
        <w:rPr>
          <w:rFonts w:ascii="Calibri" w:eastAsia="Times New Roman" w:hAnsi="Calibri" w:cs="Calibri"/>
          <w:sz w:val="20"/>
          <w:szCs w:val="20"/>
          <w:lang w:eastAsia="en-GB"/>
        </w:rPr>
        <w:t xml:space="preserve">. </w:t>
      </w:r>
    </w:p>
  </w:footnote>
  <w:footnote w:id="29">
    <w:p w14:paraId="7DBC4152" w14:textId="0498D98C" w:rsidR="005F2E0B" w:rsidRPr="0042574F" w:rsidRDefault="005F2E0B" w:rsidP="00C61DC5">
      <w:pPr>
        <w:pStyle w:val="FootnoteText"/>
        <w:ind w:left="567" w:hanging="480"/>
      </w:pPr>
      <w:r w:rsidRPr="0042574F">
        <w:rPr>
          <w:rStyle w:val="FootnoteReference"/>
        </w:rPr>
        <w:footnoteRef/>
      </w:r>
      <w:r w:rsidRPr="0042574F">
        <w:t xml:space="preserve"> Ecuador. </w:t>
      </w:r>
      <w:proofErr w:type="spellStart"/>
      <w:r w:rsidR="007A34F0" w:rsidRPr="0042574F">
        <w:rPr>
          <w:i/>
          <w:iCs/>
        </w:rPr>
        <w:t>Constitución</w:t>
      </w:r>
      <w:proofErr w:type="spellEnd"/>
      <w:r w:rsidR="007A34F0" w:rsidRPr="0042574F">
        <w:rPr>
          <w:i/>
          <w:iCs/>
        </w:rPr>
        <w:t xml:space="preserve"> Política de la República del Ecuador</w:t>
      </w:r>
      <w:r w:rsidR="007A34F0" w:rsidRPr="0042574F">
        <w:t>. National Legislative Bodies / National Authorities</w:t>
      </w:r>
      <w:r w:rsidR="00214687" w:rsidRPr="0042574F">
        <w:t xml:space="preserve"> (2008)</w:t>
      </w:r>
      <w:r w:rsidR="007A34F0" w:rsidRPr="0042574F">
        <w:t xml:space="preserve">. </w:t>
      </w:r>
    </w:p>
  </w:footnote>
  <w:footnote w:id="30">
    <w:p w14:paraId="5C7C5501" w14:textId="1AAE193B" w:rsidR="007A34F0" w:rsidRPr="0042574F" w:rsidRDefault="007A34F0" w:rsidP="00C61DC5">
      <w:pPr>
        <w:pStyle w:val="FootnoteText"/>
        <w:ind w:left="567" w:hanging="480"/>
      </w:pPr>
      <w:r w:rsidRPr="0042574F">
        <w:rPr>
          <w:rStyle w:val="FootnoteReference"/>
        </w:rPr>
        <w:footnoteRef/>
      </w:r>
      <w:r w:rsidRPr="0042574F">
        <w:t xml:space="preserve"> New Zealand Department of Conservation. </w:t>
      </w:r>
      <w:proofErr w:type="spellStart"/>
      <w:r w:rsidRPr="0042574F">
        <w:rPr>
          <w:i/>
          <w:iCs/>
        </w:rPr>
        <w:t>Te</w:t>
      </w:r>
      <w:proofErr w:type="spellEnd"/>
      <w:r w:rsidRPr="0042574F">
        <w:rPr>
          <w:i/>
          <w:iCs/>
        </w:rPr>
        <w:t xml:space="preserve"> </w:t>
      </w:r>
      <w:proofErr w:type="spellStart"/>
      <w:r w:rsidRPr="0042574F">
        <w:rPr>
          <w:i/>
          <w:iCs/>
        </w:rPr>
        <w:t>Urewera</w:t>
      </w:r>
      <w:proofErr w:type="spellEnd"/>
      <w:r w:rsidRPr="0042574F">
        <w:rPr>
          <w:i/>
          <w:iCs/>
        </w:rPr>
        <w:t xml:space="preserve"> Act 2014</w:t>
      </w:r>
      <w:r w:rsidRPr="0042574F">
        <w:t>. Wellington: Parliamentary Counsel Office</w:t>
      </w:r>
      <w:r w:rsidR="00214687" w:rsidRPr="0042574F">
        <w:t xml:space="preserve"> (2014)</w:t>
      </w:r>
      <w:r w:rsidRPr="0042574F">
        <w:t>.</w:t>
      </w:r>
    </w:p>
  </w:footnote>
  <w:footnote w:id="31">
    <w:p w14:paraId="38949F75" w14:textId="625D8994" w:rsidR="00FF00E1" w:rsidRPr="0042574F" w:rsidRDefault="00FF00E1" w:rsidP="00C61DC5">
      <w:pPr>
        <w:pStyle w:val="FootnoteText"/>
        <w:ind w:left="567" w:hanging="480"/>
      </w:pPr>
      <w:r w:rsidRPr="0042574F">
        <w:rPr>
          <w:rStyle w:val="FootnoteReference"/>
        </w:rPr>
        <w:footnoteRef/>
      </w:r>
      <w:r w:rsidRPr="0042574F">
        <w:t xml:space="preserve"> </w:t>
      </w:r>
      <w:r w:rsidR="00214687" w:rsidRPr="0042574F">
        <w:rPr>
          <w:rFonts w:eastAsia="Times New Roman" w:cstheme="minorHAnsi"/>
          <w:lang w:eastAsia="en-GB"/>
        </w:rPr>
        <w:t>Kelly D. Alley. River Goddesses, Personhood and Rights of Nature (2019)</w:t>
      </w:r>
      <w:r w:rsidRPr="0042574F">
        <w:rPr>
          <w:rFonts w:eastAsia="Times New Roman" w:cstheme="minorHAnsi"/>
          <w:lang w:eastAsia="en-GB"/>
        </w:rPr>
        <w:t xml:space="preserve">. </w:t>
      </w:r>
      <w:r w:rsidR="00C61DC5">
        <w:t>p</w:t>
      </w:r>
      <w:r w:rsidRPr="0042574F">
        <w:t>p5</w:t>
      </w:r>
    </w:p>
  </w:footnote>
  <w:footnote w:id="32">
    <w:p w14:paraId="254AAAAF" w14:textId="5EACF2ED" w:rsidR="0042574F" w:rsidRPr="0042574F" w:rsidRDefault="0042574F" w:rsidP="00C61DC5">
      <w:pPr>
        <w:spacing w:after="0"/>
        <w:ind w:left="567" w:hanging="480"/>
        <w:rPr>
          <w:rFonts w:eastAsia="Times New Roman" w:cstheme="minorHAnsi"/>
          <w:sz w:val="20"/>
          <w:szCs w:val="20"/>
          <w:lang w:eastAsia="en-GB"/>
        </w:rPr>
      </w:pPr>
      <w:r w:rsidRPr="0042574F">
        <w:rPr>
          <w:rStyle w:val="FootnoteReference"/>
          <w:sz w:val="20"/>
          <w:szCs w:val="20"/>
        </w:rPr>
        <w:footnoteRef/>
      </w:r>
      <w:r w:rsidRPr="0042574F">
        <w:rPr>
          <w:sz w:val="20"/>
          <w:szCs w:val="20"/>
        </w:rPr>
        <w:t xml:space="preserve"> Juan Jose </w:t>
      </w:r>
      <w:r w:rsidRPr="0042574F">
        <w:rPr>
          <w:rFonts w:eastAsia="Times New Roman" w:cstheme="minorHAnsi"/>
          <w:sz w:val="20"/>
          <w:szCs w:val="20"/>
          <w:lang w:eastAsia="en-GB"/>
        </w:rPr>
        <w:t xml:space="preserve">Guzmán. Decolonizing Law and expanding Human Rights: Indigenous Conceptions and the Rights of Nature in Ecuador. </w:t>
      </w:r>
      <w:proofErr w:type="spellStart"/>
      <w:r w:rsidRPr="0042574F">
        <w:rPr>
          <w:rFonts w:eastAsia="Times New Roman" w:cstheme="minorHAnsi"/>
          <w:i/>
          <w:iCs/>
          <w:sz w:val="20"/>
          <w:szCs w:val="20"/>
          <w:lang w:eastAsia="en-GB"/>
        </w:rPr>
        <w:t>Deusto</w:t>
      </w:r>
      <w:proofErr w:type="spellEnd"/>
      <w:r w:rsidRPr="0042574F">
        <w:rPr>
          <w:rFonts w:eastAsia="Times New Roman" w:cstheme="minorHAnsi"/>
          <w:i/>
          <w:iCs/>
          <w:sz w:val="20"/>
          <w:szCs w:val="20"/>
          <w:lang w:eastAsia="en-GB"/>
        </w:rPr>
        <w:t xml:space="preserve"> Journal of Human Rights </w:t>
      </w:r>
      <w:r w:rsidRPr="0042574F">
        <w:rPr>
          <w:rFonts w:eastAsia="Times New Roman" w:cstheme="minorHAnsi"/>
          <w:sz w:val="20"/>
          <w:szCs w:val="20"/>
          <w:lang w:eastAsia="en-GB"/>
        </w:rPr>
        <w:t xml:space="preserve">(2019) 59–86.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015BE"/>
    <w:multiLevelType w:val="hybridMultilevel"/>
    <w:tmpl w:val="A1DC0A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3E2D41"/>
    <w:multiLevelType w:val="hybridMultilevel"/>
    <w:tmpl w:val="C64E1C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44208D9"/>
    <w:multiLevelType w:val="hybridMultilevel"/>
    <w:tmpl w:val="3B4E9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651697"/>
    <w:multiLevelType w:val="hybridMultilevel"/>
    <w:tmpl w:val="BF3E40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7480439">
    <w:abstractNumId w:val="2"/>
  </w:num>
  <w:num w:numId="2" w16cid:durableId="2096516024">
    <w:abstractNumId w:val="0"/>
  </w:num>
  <w:num w:numId="3" w16cid:durableId="1449619727">
    <w:abstractNumId w:val="1"/>
  </w:num>
  <w:num w:numId="4" w16cid:durableId="14828473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277"/>
    <w:rsid w:val="000070B2"/>
    <w:rsid w:val="000231E0"/>
    <w:rsid w:val="00037A96"/>
    <w:rsid w:val="00045B9D"/>
    <w:rsid w:val="00082E99"/>
    <w:rsid w:val="00086FDE"/>
    <w:rsid w:val="000C3277"/>
    <w:rsid w:val="000C560B"/>
    <w:rsid w:val="000D3A8E"/>
    <w:rsid w:val="0011099B"/>
    <w:rsid w:val="001522E5"/>
    <w:rsid w:val="001601AB"/>
    <w:rsid w:val="00163208"/>
    <w:rsid w:val="00171A7C"/>
    <w:rsid w:val="00192541"/>
    <w:rsid w:val="001A5A3A"/>
    <w:rsid w:val="001D6590"/>
    <w:rsid w:val="001F4FA7"/>
    <w:rsid w:val="00204034"/>
    <w:rsid w:val="0020515A"/>
    <w:rsid w:val="00214687"/>
    <w:rsid w:val="002778B3"/>
    <w:rsid w:val="0028741B"/>
    <w:rsid w:val="002A2093"/>
    <w:rsid w:val="002F09D0"/>
    <w:rsid w:val="002F18F3"/>
    <w:rsid w:val="00303C75"/>
    <w:rsid w:val="00320009"/>
    <w:rsid w:val="00376259"/>
    <w:rsid w:val="003A5EA1"/>
    <w:rsid w:val="003B4DEA"/>
    <w:rsid w:val="003E403C"/>
    <w:rsid w:val="003E6C29"/>
    <w:rsid w:val="003F017F"/>
    <w:rsid w:val="003F3847"/>
    <w:rsid w:val="00417399"/>
    <w:rsid w:val="0042574F"/>
    <w:rsid w:val="00434411"/>
    <w:rsid w:val="00454AC7"/>
    <w:rsid w:val="004B6C61"/>
    <w:rsid w:val="004F0494"/>
    <w:rsid w:val="0052101C"/>
    <w:rsid w:val="00546347"/>
    <w:rsid w:val="005528B0"/>
    <w:rsid w:val="005A103F"/>
    <w:rsid w:val="005A1A59"/>
    <w:rsid w:val="005C0345"/>
    <w:rsid w:val="005D4712"/>
    <w:rsid w:val="005E6382"/>
    <w:rsid w:val="005F2E0B"/>
    <w:rsid w:val="00604D4F"/>
    <w:rsid w:val="00625D6A"/>
    <w:rsid w:val="0063038E"/>
    <w:rsid w:val="00646751"/>
    <w:rsid w:val="0066186F"/>
    <w:rsid w:val="00671441"/>
    <w:rsid w:val="006726E2"/>
    <w:rsid w:val="00675903"/>
    <w:rsid w:val="00683ED0"/>
    <w:rsid w:val="00696D2E"/>
    <w:rsid w:val="006C2A03"/>
    <w:rsid w:val="006F4685"/>
    <w:rsid w:val="00716E5E"/>
    <w:rsid w:val="007A34F0"/>
    <w:rsid w:val="007C2790"/>
    <w:rsid w:val="007C3D01"/>
    <w:rsid w:val="007C4D01"/>
    <w:rsid w:val="007F4740"/>
    <w:rsid w:val="00857A91"/>
    <w:rsid w:val="00860F48"/>
    <w:rsid w:val="00883D74"/>
    <w:rsid w:val="008C0DBE"/>
    <w:rsid w:val="008F305F"/>
    <w:rsid w:val="009012C0"/>
    <w:rsid w:val="00934D72"/>
    <w:rsid w:val="009860C4"/>
    <w:rsid w:val="00992C68"/>
    <w:rsid w:val="009A6CC1"/>
    <w:rsid w:val="009C3139"/>
    <w:rsid w:val="00A019CE"/>
    <w:rsid w:val="00A0708F"/>
    <w:rsid w:val="00A105DB"/>
    <w:rsid w:val="00A2040D"/>
    <w:rsid w:val="00A26E05"/>
    <w:rsid w:val="00A67BA3"/>
    <w:rsid w:val="00AA0563"/>
    <w:rsid w:val="00AA6AC1"/>
    <w:rsid w:val="00AC60E0"/>
    <w:rsid w:val="00AE6E80"/>
    <w:rsid w:val="00B246D8"/>
    <w:rsid w:val="00B445FE"/>
    <w:rsid w:val="00B54F5D"/>
    <w:rsid w:val="00B62775"/>
    <w:rsid w:val="00B87E11"/>
    <w:rsid w:val="00B9117C"/>
    <w:rsid w:val="00BC23FD"/>
    <w:rsid w:val="00BC7A2E"/>
    <w:rsid w:val="00BE33AC"/>
    <w:rsid w:val="00BE60DF"/>
    <w:rsid w:val="00C0758A"/>
    <w:rsid w:val="00C10886"/>
    <w:rsid w:val="00C226A7"/>
    <w:rsid w:val="00C46946"/>
    <w:rsid w:val="00C47908"/>
    <w:rsid w:val="00C5222C"/>
    <w:rsid w:val="00C61DC5"/>
    <w:rsid w:val="00C84363"/>
    <w:rsid w:val="00C934E1"/>
    <w:rsid w:val="00CC7E9A"/>
    <w:rsid w:val="00CD12BC"/>
    <w:rsid w:val="00D0539D"/>
    <w:rsid w:val="00D14225"/>
    <w:rsid w:val="00D345C7"/>
    <w:rsid w:val="00D81D2D"/>
    <w:rsid w:val="00D84C37"/>
    <w:rsid w:val="00DA6CDF"/>
    <w:rsid w:val="00DA7923"/>
    <w:rsid w:val="00DF717D"/>
    <w:rsid w:val="00E259DC"/>
    <w:rsid w:val="00E46778"/>
    <w:rsid w:val="00EB34B1"/>
    <w:rsid w:val="00EC62E3"/>
    <w:rsid w:val="00ED3123"/>
    <w:rsid w:val="00EF4999"/>
    <w:rsid w:val="00F11B9B"/>
    <w:rsid w:val="00F169C3"/>
    <w:rsid w:val="00F23D06"/>
    <w:rsid w:val="00F2581C"/>
    <w:rsid w:val="00F42C2E"/>
    <w:rsid w:val="00F479C9"/>
    <w:rsid w:val="00F60DD3"/>
    <w:rsid w:val="00F6425D"/>
    <w:rsid w:val="00F938F4"/>
    <w:rsid w:val="00FE7A2C"/>
    <w:rsid w:val="00FF00E1"/>
    <w:rsid w:val="00FF0922"/>
    <w:rsid w:val="00FF63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4FD33"/>
  <w15:chartTrackingRefBased/>
  <w15:docId w15:val="{8DB0C5CD-9159-4B7E-B5BB-5159E98A0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next w:val="Body"/>
    <w:link w:val="Heading3Char"/>
    <w:qFormat/>
    <w:rsid w:val="001F4FA7"/>
    <w:pPr>
      <w:keepNext/>
      <w:pBdr>
        <w:top w:val="single" w:sz="4" w:space="0" w:color="515151"/>
      </w:pBdr>
      <w:spacing w:before="360" w:after="40" w:line="288" w:lineRule="auto"/>
      <w:outlineLvl w:val="2"/>
    </w:pPr>
    <w:rPr>
      <w:rFonts w:ascii="Helvetica Neue" w:eastAsia="Arial Unicode MS" w:hAnsi="Helvetica Neue" w:cs="Arial Unicode MS"/>
      <w:color w:val="000000"/>
      <w:spacing w:val="5"/>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3277"/>
    <w:pPr>
      <w:ind w:left="720"/>
      <w:contextualSpacing/>
    </w:pPr>
  </w:style>
  <w:style w:type="table" w:styleId="TableGrid">
    <w:name w:val="Table Grid"/>
    <w:basedOn w:val="TableNormal"/>
    <w:uiPriority w:val="39"/>
    <w:rsid w:val="00992C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unhideWhenUsed/>
    <w:rsid w:val="00B9117C"/>
    <w:pPr>
      <w:spacing w:after="0" w:line="240" w:lineRule="auto"/>
    </w:pPr>
    <w:rPr>
      <w:sz w:val="20"/>
      <w:szCs w:val="20"/>
    </w:rPr>
  </w:style>
  <w:style w:type="character" w:customStyle="1" w:styleId="FootnoteTextChar">
    <w:name w:val="Footnote Text Char"/>
    <w:basedOn w:val="DefaultParagraphFont"/>
    <w:link w:val="FootnoteText"/>
    <w:uiPriority w:val="99"/>
    <w:rsid w:val="00B9117C"/>
    <w:rPr>
      <w:sz w:val="20"/>
      <w:szCs w:val="20"/>
    </w:rPr>
  </w:style>
  <w:style w:type="character" w:styleId="FootnoteReference">
    <w:name w:val="footnote reference"/>
    <w:basedOn w:val="DefaultParagraphFont"/>
    <w:uiPriority w:val="99"/>
    <w:semiHidden/>
    <w:unhideWhenUsed/>
    <w:rsid w:val="00B9117C"/>
    <w:rPr>
      <w:vertAlign w:val="superscript"/>
    </w:rPr>
  </w:style>
  <w:style w:type="character" w:styleId="Hyperlink">
    <w:name w:val="Hyperlink"/>
    <w:basedOn w:val="DefaultParagraphFont"/>
    <w:uiPriority w:val="99"/>
    <w:semiHidden/>
    <w:unhideWhenUsed/>
    <w:rsid w:val="002A2093"/>
    <w:rPr>
      <w:color w:val="0000FF"/>
      <w:u w:val="single"/>
    </w:rPr>
  </w:style>
  <w:style w:type="character" w:customStyle="1" w:styleId="Heading3Char">
    <w:name w:val="Heading 3 Char"/>
    <w:basedOn w:val="DefaultParagraphFont"/>
    <w:link w:val="Heading3"/>
    <w:rsid w:val="001F4FA7"/>
    <w:rPr>
      <w:rFonts w:ascii="Helvetica Neue" w:eastAsia="Arial Unicode MS" w:hAnsi="Helvetica Neue" w:cs="Arial Unicode MS"/>
      <w:color w:val="000000"/>
      <w:spacing w:val="5"/>
      <w:sz w:val="28"/>
      <w:szCs w:val="28"/>
      <w:lang w:eastAsia="en-GB"/>
    </w:rPr>
  </w:style>
  <w:style w:type="paragraph" w:customStyle="1" w:styleId="Body">
    <w:name w:val="Body"/>
    <w:rsid w:val="001F4FA7"/>
    <w:pPr>
      <w:spacing w:before="160" w:after="0" w:line="240" w:lineRule="auto"/>
    </w:pPr>
    <w:rPr>
      <w:rFonts w:ascii="Helvetica Neue" w:eastAsia="Arial Unicode MS" w:hAnsi="Helvetica Neue" w:cs="Arial Unicode MS"/>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16425">
      <w:bodyDiv w:val="1"/>
      <w:marLeft w:val="0"/>
      <w:marRight w:val="0"/>
      <w:marTop w:val="0"/>
      <w:marBottom w:val="0"/>
      <w:divBdr>
        <w:top w:val="none" w:sz="0" w:space="0" w:color="auto"/>
        <w:left w:val="none" w:sz="0" w:space="0" w:color="auto"/>
        <w:bottom w:val="none" w:sz="0" w:space="0" w:color="auto"/>
        <w:right w:val="none" w:sz="0" w:space="0" w:color="auto"/>
      </w:divBdr>
      <w:divsChild>
        <w:div w:id="900092940">
          <w:marLeft w:val="480"/>
          <w:marRight w:val="0"/>
          <w:marTop w:val="0"/>
          <w:marBottom w:val="0"/>
          <w:divBdr>
            <w:top w:val="none" w:sz="0" w:space="0" w:color="auto"/>
            <w:left w:val="none" w:sz="0" w:space="0" w:color="auto"/>
            <w:bottom w:val="none" w:sz="0" w:space="0" w:color="auto"/>
            <w:right w:val="none" w:sz="0" w:space="0" w:color="auto"/>
          </w:divBdr>
          <w:divsChild>
            <w:div w:id="1976716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903769">
      <w:bodyDiv w:val="1"/>
      <w:marLeft w:val="0"/>
      <w:marRight w:val="0"/>
      <w:marTop w:val="0"/>
      <w:marBottom w:val="0"/>
      <w:divBdr>
        <w:top w:val="none" w:sz="0" w:space="0" w:color="auto"/>
        <w:left w:val="none" w:sz="0" w:space="0" w:color="auto"/>
        <w:bottom w:val="none" w:sz="0" w:space="0" w:color="auto"/>
        <w:right w:val="none" w:sz="0" w:space="0" w:color="auto"/>
      </w:divBdr>
      <w:divsChild>
        <w:div w:id="570428707">
          <w:marLeft w:val="480"/>
          <w:marRight w:val="0"/>
          <w:marTop w:val="0"/>
          <w:marBottom w:val="0"/>
          <w:divBdr>
            <w:top w:val="none" w:sz="0" w:space="0" w:color="auto"/>
            <w:left w:val="none" w:sz="0" w:space="0" w:color="auto"/>
            <w:bottom w:val="none" w:sz="0" w:space="0" w:color="auto"/>
            <w:right w:val="none" w:sz="0" w:space="0" w:color="auto"/>
          </w:divBdr>
          <w:divsChild>
            <w:div w:id="219831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5324699">
      <w:bodyDiv w:val="1"/>
      <w:marLeft w:val="0"/>
      <w:marRight w:val="0"/>
      <w:marTop w:val="0"/>
      <w:marBottom w:val="0"/>
      <w:divBdr>
        <w:top w:val="none" w:sz="0" w:space="0" w:color="auto"/>
        <w:left w:val="none" w:sz="0" w:space="0" w:color="auto"/>
        <w:bottom w:val="none" w:sz="0" w:space="0" w:color="auto"/>
        <w:right w:val="none" w:sz="0" w:space="0" w:color="auto"/>
      </w:divBdr>
      <w:divsChild>
        <w:div w:id="1858155758">
          <w:marLeft w:val="480"/>
          <w:marRight w:val="0"/>
          <w:marTop w:val="0"/>
          <w:marBottom w:val="0"/>
          <w:divBdr>
            <w:top w:val="none" w:sz="0" w:space="0" w:color="auto"/>
            <w:left w:val="none" w:sz="0" w:space="0" w:color="auto"/>
            <w:bottom w:val="none" w:sz="0" w:space="0" w:color="auto"/>
            <w:right w:val="none" w:sz="0" w:space="0" w:color="auto"/>
          </w:divBdr>
          <w:divsChild>
            <w:div w:id="1621300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5836119">
      <w:bodyDiv w:val="1"/>
      <w:marLeft w:val="0"/>
      <w:marRight w:val="0"/>
      <w:marTop w:val="0"/>
      <w:marBottom w:val="0"/>
      <w:divBdr>
        <w:top w:val="none" w:sz="0" w:space="0" w:color="auto"/>
        <w:left w:val="none" w:sz="0" w:space="0" w:color="auto"/>
        <w:bottom w:val="none" w:sz="0" w:space="0" w:color="auto"/>
        <w:right w:val="none" w:sz="0" w:space="0" w:color="auto"/>
      </w:divBdr>
      <w:divsChild>
        <w:div w:id="1186015766">
          <w:marLeft w:val="480"/>
          <w:marRight w:val="0"/>
          <w:marTop w:val="0"/>
          <w:marBottom w:val="0"/>
          <w:divBdr>
            <w:top w:val="none" w:sz="0" w:space="0" w:color="auto"/>
            <w:left w:val="none" w:sz="0" w:space="0" w:color="auto"/>
            <w:bottom w:val="none" w:sz="0" w:space="0" w:color="auto"/>
            <w:right w:val="none" w:sz="0" w:space="0" w:color="auto"/>
          </w:divBdr>
          <w:divsChild>
            <w:div w:id="2142114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0586584">
      <w:bodyDiv w:val="1"/>
      <w:marLeft w:val="0"/>
      <w:marRight w:val="0"/>
      <w:marTop w:val="0"/>
      <w:marBottom w:val="0"/>
      <w:divBdr>
        <w:top w:val="none" w:sz="0" w:space="0" w:color="auto"/>
        <w:left w:val="none" w:sz="0" w:space="0" w:color="auto"/>
        <w:bottom w:val="none" w:sz="0" w:space="0" w:color="auto"/>
        <w:right w:val="none" w:sz="0" w:space="0" w:color="auto"/>
      </w:divBdr>
      <w:divsChild>
        <w:div w:id="616765389">
          <w:marLeft w:val="480"/>
          <w:marRight w:val="0"/>
          <w:marTop w:val="0"/>
          <w:marBottom w:val="0"/>
          <w:divBdr>
            <w:top w:val="none" w:sz="0" w:space="0" w:color="auto"/>
            <w:left w:val="none" w:sz="0" w:space="0" w:color="auto"/>
            <w:bottom w:val="none" w:sz="0" w:space="0" w:color="auto"/>
            <w:right w:val="none" w:sz="0" w:space="0" w:color="auto"/>
          </w:divBdr>
          <w:divsChild>
            <w:div w:id="102755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487924">
      <w:bodyDiv w:val="1"/>
      <w:marLeft w:val="0"/>
      <w:marRight w:val="0"/>
      <w:marTop w:val="0"/>
      <w:marBottom w:val="0"/>
      <w:divBdr>
        <w:top w:val="none" w:sz="0" w:space="0" w:color="auto"/>
        <w:left w:val="none" w:sz="0" w:space="0" w:color="auto"/>
        <w:bottom w:val="none" w:sz="0" w:space="0" w:color="auto"/>
        <w:right w:val="none" w:sz="0" w:space="0" w:color="auto"/>
      </w:divBdr>
      <w:divsChild>
        <w:div w:id="1312711671">
          <w:marLeft w:val="480"/>
          <w:marRight w:val="0"/>
          <w:marTop w:val="0"/>
          <w:marBottom w:val="0"/>
          <w:divBdr>
            <w:top w:val="none" w:sz="0" w:space="0" w:color="auto"/>
            <w:left w:val="none" w:sz="0" w:space="0" w:color="auto"/>
            <w:bottom w:val="none" w:sz="0" w:space="0" w:color="auto"/>
            <w:right w:val="none" w:sz="0" w:space="0" w:color="auto"/>
          </w:divBdr>
          <w:divsChild>
            <w:div w:id="763067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3519746">
      <w:bodyDiv w:val="1"/>
      <w:marLeft w:val="0"/>
      <w:marRight w:val="0"/>
      <w:marTop w:val="0"/>
      <w:marBottom w:val="0"/>
      <w:divBdr>
        <w:top w:val="none" w:sz="0" w:space="0" w:color="auto"/>
        <w:left w:val="none" w:sz="0" w:space="0" w:color="auto"/>
        <w:bottom w:val="none" w:sz="0" w:space="0" w:color="auto"/>
        <w:right w:val="none" w:sz="0" w:space="0" w:color="auto"/>
      </w:divBdr>
      <w:divsChild>
        <w:div w:id="89201700">
          <w:marLeft w:val="480"/>
          <w:marRight w:val="0"/>
          <w:marTop w:val="0"/>
          <w:marBottom w:val="0"/>
          <w:divBdr>
            <w:top w:val="none" w:sz="0" w:space="0" w:color="auto"/>
            <w:left w:val="none" w:sz="0" w:space="0" w:color="auto"/>
            <w:bottom w:val="none" w:sz="0" w:space="0" w:color="auto"/>
            <w:right w:val="none" w:sz="0" w:space="0" w:color="auto"/>
          </w:divBdr>
          <w:divsChild>
            <w:div w:id="145209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6289433">
      <w:bodyDiv w:val="1"/>
      <w:marLeft w:val="0"/>
      <w:marRight w:val="0"/>
      <w:marTop w:val="0"/>
      <w:marBottom w:val="0"/>
      <w:divBdr>
        <w:top w:val="none" w:sz="0" w:space="0" w:color="auto"/>
        <w:left w:val="none" w:sz="0" w:space="0" w:color="auto"/>
        <w:bottom w:val="none" w:sz="0" w:space="0" w:color="auto"/>
        <w:right w:val="none" w:sz="0" w:space="0" w:color="auto"/>
      </w:divBdr>
      <w:divsChild>
        <w:div w:id="666594550">
          <w:marLeft w:val="480"/>
          <w:marRight w:val="0"/>
          <w:marTop w:val="0"/>
          <w:marBottom w:val="0"/>
          <w:divBdr>
            <w:top w:val="none" w:sz="0" w:space="0" w:color="auto"/>
            <w:left w:val="none" w:sz="0" w:space="0" w:color="auto"/>
            <w:bottom w:val="none" w:sz="0" w:space="0" w:color="auto"/>
            <w:right w:val="none" w:sz="0" w:space="0" w:color="auto"/>
          </w:divBdr>
          <w:divsChild>
            <w:div w:id="1626888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191002">
      <w:bodyDiv w:val="1"/>
      <w:marLeft w:val="0"/>
      <w:marRight w:val="0"/>
      <w:marTop w:val="0"/>
      <w:marBottom w:val="0"/>
      <w:divBdr>
        <w:top w:val="none" w:sz="0" w:space="0" w:color="auto"/>
        <w:left w:val="none" w:sz="0" w:space="0" w:color="auto"/>
        <w:bottom w:val="none" w:sz="0" w:space="0" w:color="auto"/>
        <w:right w:val="none" w:sz="0" w:space="0" w:color="auto"/>
      </w:divBdr>
      <w:divsChild>
        <w:div w:id="1704479254">
          <w:marLeft w:val="480"/>
          <w:marRight w:val="0"/>
          <w:marTop w:val="0"/>
          <w:marBottom w:val="0"/>
          <w:divBdr>
            <w:top w:val="none" w:sz="0" w:space="0" w:color="auto"/>
            <w:left w:val="none" w:sz="0" w:space="0" w:color="auto"/>
            <w:bottom w:val="none" w:sz="0" w:space="0" w:color="auto"/>
            <w:right w:val="none" w:sz="0" w:space="0" w:color="auto"/>
          </w:divBdr>
          <w:divsChild>
            <w:div w:id="1026907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2604666">
      <w:bodyDiv w:val="1"/>
      <w:marLeft w:val="0"/>
      <w:marRight w:val="0"/>
      <w:marTop w:val="0"/>
      <w:marBottom w:val="0"/>
      <w:divBdr>
        <w:top w:val="none" w:sz="0" w:space="0" w:color="auto"/>
        <w:left w:val="none" w:sz="0" w:space="0" w:color="auto"/>
        <w:bottom w:val="none" w:sz="0" w:space="0" w:color="auto"/>
        <w:right w:val="none" w:sz="0" w:space="0" w:color="auto"/>
      </w:divBdr>
      <w:divsChild>
        <w:div w:id="1471939379">
          <w:marLeft w:val="480"/>
          <w:marRight w:val="0"/>
          <w:marTop w:val="0"/>
          <w:marBottom w:val="0"/>
          <w:divBdr>
            <w:top w:val="none" w:sz="0" w:space="0" w:color="auto"/>
            <w:left w:val="none" w:sz="0" w:space="0" w:color="auto"/>
            <w:bottom w:val="none" w:sz="0" w:space="0" w:color="auto"/>
            <w:right w:val="none" w:sz="0" w:space="0" w:color="auto"/>
          </w:divBdr>
          <w:divsChild>
            <w:div w:id="1532918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122338">
      <w:bodyDiv w:val="1"/>
      <w:marLeft w:val="0"/>
      <w:marRight w:val="0"/>
      <w:marTop w:val="0"/>
      <w:marBottom w:val="0"/>
      <w:divBdr>
        <w:top w:val="none" w:sz="0" w:space="0" w:color="auto"/>
        <w:left w:val="none" w:sz="0" w:space="0" w:color="auto"/>
        <w:bottom w:val="none" w:sz="0" w:space="0" w:color="auto"/>
        <w:right w:val="none" w:sz="0" w:space="0" w:color="auto"/>
      </w:divBdr>
    </w:div>
    <w:div w:id="1945189921">
      <w:bodyDiv w:val="1"/>
      <w:marLeft w:val="0"/>
      <w:marRight w:val="0"/>
      <w:marTop w:val="0"/>
      <w:marBottom w:val="0"/>
      <w:divBdr>
        <w:top w:val="none" w:sz="0" w:space="0" w:color="auto"/>
        <w:left w:val="none" w:sz="0" w:space="0" w:color="auto"/>
        <w:bottom w:val="none" w:sz="0" w:space="0" w:color="auto"/>
        <w:right w:val="none" w:sz="0" w:space="0" w:color="auto"/>
      </w:divBdr>
      <w:divsChild>
        <w:div w:id="735007246">
          <w:marLeft w:val="480"/>
          <w:marRight w:val="0"/>
          <w:marTop w:val="0"/>
          <w:marBottom w:val="0"/>
          <w:divBdr>
            <w:top w:val="none" w:sz="0" w:space="0" w:color="auto"/>
            <w:left w:val="none" w:sz="0" w:space="0" w:color="auto"/>
            <w:bottom w:val="none" w:sz="0" w:space="0" w:color="auto"/>
            <w:right w:val="none" w:sz="0" w:space="0" w:color="auto"/>
          </w:divBdr>
          <w:divsChild>
            <w:div w:id="1343782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0014184060060311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8543/djhr-4-2019pp59-86"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29164/17ontolo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307/3034157" TargetMode="External"/><Relationship Id="rId5" Type="http://schemas.openxmlformats.org/officeDocument/2006/relationships/webSettings" Target="webSettings.xml"/><Relationship Id="rId15" Type="http://schemas.openxmlformats.org/officeDocument/2006/relationships/hyperlink" Target="https://doi.org/10.1111/1467-9655.00070" TargetMode="External"/><Relationship Id="rId10" Type="http://schemas.openxmlformats.org/officeDocument/2006/relationships/hyperlink" Target="https://doi.org/10.1086/200061" TargetMode="External"/><Relationship Id="rId4" Type="http://schemas.openxmlformats.org/officeDocument/2006/relationships/settings" Target="settings.xml"/><Relationship Id="rId9" Type="http://schemas.openxmlformats.org/officeDocument/2006/relationships/hyperlink" Target="https://doi.org/10.3390/rel10090502" TargetMode="External"/><Relationship Id="rId14" Type="http://schemas.openxmlformats.org/officeDocument/2006/relationships/hyperlink" Target="https://doi.org/10.1017/97810091579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DBB425-C4DF-4008-9B8B-FF74351D2C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5803</TotalTime>
  <Pages>8</Pages>
  <Words>3090</Words>
  <Characters>17616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Weekes</dc:creator>
  <cp:keywords/>
  <dc:description/>
  <cp:lastModifiedBy>Jonathan Weekes</cp:lastModifiedBy>
  <cp:revision>62</cp:revision>
  <dcterms:created xsi:type="dcterms:W3CDTF">2023-10-15T10:17:00Z</dcterms:created>
  <dcterms:modified xsi:type="dcterms:W3CDTF">2023-11-15T13:31:00Z</dcterms:modified>
</cp:coreProperties>
</file>