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E0216" w14:textId="77777777" w:rsidR="00AD77A2" w:rsidRPr="001836AD" w:rsidRDefault="00AD77A2" w:rsidP="001836AD">
      <w:pPr>
        <w:ind w:left="360"/>
        <w:jc w:val="both"/>
        <w:rPr>
          <w:rFonts w:ascii="Arial" w:eastAsia="Arial" w:hAnsi="Arial" w:cs="Arial"/>
          <w:sz w:val="24"/>
          <w:szCs w:val="24"/>
        </w:rPr>
      </w:pPr>
    </w:p>
    <w:p w14:paraId="5D13D72B" w14:textId="77777777" w:rsidR="00AD77A2" w:rsidRPr="001836AD" w:rsidRDefault="00AD77A2" w:rsidP="001836AD">
      <w:pPr>
        <w:ind w:left="360"/>
        <w:jc w:val="both"/>
        <w:rPr>
          <w:rFonts w:ascii="Arial" w:eastAsia="Arial" w:hAnsi="Arial" w:cs="Arial"/>
          <w:sz w:val="24"/>
          <w:szCs w:val="24"/>
        </w:rPr>
      </w:pPr>
    </w:p>
    <w:p w14:paraId="724C7D22" w14:textId="77777777" w:rsidR="00AD77A2" w:rsidRPr="001836AD" w:rsidRDefault="00AD77A2" w:rsidP="001836AD">
      <w:pPr>
        <w:ind w:left="360"/>
        <w:jc w:val="both"/>
        <w:rPr>
          <w:rFonts w:ascii="Arial" w:eastAsia="Arial" w:hAnsi="Arial" w:cs="Arial"/>
          <w:sz w:val="24"/>
          <w:szCs w:val="24"/>
        </w:rPr>
      </w:pPr>
    </w:p>
    <w:p w14:paraId="1848C599" w14:textId="77777777" w:rsidR="00AD77A2" w:rsidRPr="001836AD" w:rsidRDefault="00AD77A2" w:rsidP="001836AD">
      <w:pPr>
        <w:ind w:left="360"/>
        <w:jc w:val="both"/>
        <w:rPr>
          <w:rFonts w:ascii="Arial" w:eastAsia="Arial" w:hAnsi="Arial" w:cs="Arial"/>
          <w:sz w:val="24"/>
          <w:szCs w:val="24"/>
        </w:rPr>
      </w:pPr>
    </w:p>
    <w:p w14:paraId="059A0536" w14:textId="77777777" w:rsidR="00AD77A2" w:rsidRPr="001836AD" w:rsidRDefault="00AD77A2" w:rsidP="001836AD">
      <w:pPr>
        <w:ind w:left="360"/>
        <w:jc w:val="both"/>
        <w:rPr>
          <w:rFonts w:ascii="Arial" w:eastAsia="Arial" w:hAnsi="Arial" w:cs="Arial"/>
          <w:sz w:val="24"/>
          <w:szCs w:val="24"/>
        </w:rPr>
      </w:pPr>
    </w:p>
    <w:p w14:paraId="607B7E13" w14:textId="77777777" w:rsidR="00AD77A2" w:rsidRPr="001836AD" w:rsidRDefault="00AD77A2" w:rsidP="001836AD">
      <w:pPr>
        <w:ind w:left="360"/>
        <w:jc w:val="both"/>
        <w:rPr>
          <w:rFonts w:ascii="Arial" w:eastAsia="Arial" w:hAnsi="Arial" w:cs="Arial"/>
          <w:sz w:val="24"/>
          <w:szCs w:val="24"/>
        </w:rPr>
      </w:pPr>
    </w:p>
    <w:p w14:paraId="37D3F9A7" w14:textId="77777777" w:rsidR="00AD77A2" w:rsidRPr="001836AD" w:rsidRDefault="00AD77A2" w:rsidP="001836AD">
      <w:pPr>
        <w:ind w:left="360"/>
        <w:jc w:val="both"/>
        <w:rPr>
          <w:rFonts w:ascii="Arial" w:eastAsia="Arial" w:hAnsi="Arial" w:cs="Arial"/>
          <w:sz w:val="24"/>
          <w:szCs w:val="24"/>
        </w:rPr>
      </w:pPr>
    </w:p>
    <w:p w14:paraId="335D62C7" w14:textId="77777777" w:rsidR="00AD77A2" w:rsidRPr="001836AD" w:rsidRDefault="00AD77A2" w:rsidP="001836AD">
      <w:pPr>
        <w:ind w:left="360"/>
        <w:jc w:val="both"/>
        <w:rPr>
          <w:rFonts w:ascii="Arial" w:eastAsia="Arial" w:hAnsi="Arial" w:cs="Arial"/>
          <w:sz w:val="24"/>
          <w:szCs w:val="24"/>
        </w:rPr>
      </w:pPr>
    </w:p>
    <w:p w14:paraId="31566894" w14:textId="77777777" w:rsidR="00AD77A2" w:rsidRPr="001836AD" w:rsidRDefault="00AD77A2" w:rsidP="001836AD">
      <w:pPr>
        <w:ind w:left="360"/>
        <w:jc w:val="both"/>
        <w:rPr>
          <w:rFonts w:ascii="Arial" w:eastAsia="Arial" w:hAnsi="Arial" w:cs="Arial"/>
          <w:sz w:val="24"/>
          <w:szCs w:val="24"/>
        </w:rPr>
      </w:pPr>
    </w:p>
    <w:p w14:paraId="4806104F" w14:textId="77777777" w:rsidR="00AD77A2" w:rsidRPr="001836AD" w:rsidRDefault="00AD77A2" w:rsidP="001836AD">
      <w:pPr>
        <w:ind w:left="360"/>
        <w:jc w:val="both"/>
        <w:rPr>
          <w:rFonts w:ascii="Arial" w:eastAsia="Arial" w:hAnsi="Arial" w:cs="Arial"/>
          <w:sz w:val="24"/>
          <w:szCs w:val="24"/>
        </w:rPr>
      </w:pPr>
    </w:p>
    <w:p w14:paraId="6261CDA0" w14:textId="5AF6C590" w:rsidR="00EC464B" w:rsidRPr="00742500" w:rsidRDefault="20D5577C" w:rsidP="00742500">
      <w:pPr>
        <w:ind w:left="360"/>
        <w:jc w:val="center"/>
        <w:rPr>
          <w:rFonts w:ascii="Arial" w:eastAsia="Arial" w:hAnsi="Arial" w:cs="Arial"/>
          <w:color w:val="000000" w:themeColor="text1"/>
          <w:sz w:val="24"/>
          <w:szCs w:val="24"/>
        </w:rPr>
      </w:pPr>
      <w:r w:rsidRPr="001836AD">
        <w:rPr>
          <w:rFonts w:ascii="Arial" w:eastAsia="Arial" w:hAnsi="Arial" w:cs="Arial"/>
          <w:sz w:val="24"/>
          <w:szCs w:val="24"/>
        </w:rPr>
        <w:t xml:space="preserve">Nia </w:t>
      </w:r>
      <w:r w:rsidRPr="00742500">
        <w:rPr>
          <w:rFonts w:ascii="Arial" w:eastAsia="Arial" w:hAnsi="Arial" w:cs="Arial"/>
          <w:color w:val="000000" w:themeColor="text1"/>
          <w:sz w:val="24"/>
          <w:szCs w:val="24"/>
        </w:rPr>
        <w:t>Milcoy</w:t>
      </w:r>
    </w:p>
    <w:p w14:paraId="5D1A5E32" w14:textId="1D9FDA64" w:rsidR="00EC464B" w:rsidRPr="00742500" w:rsidRDefault="23C6B939" w:rsidP="00742500">
      <w:pPr>
        <w:ind w:left="360"/>
        <w:jc w:val="center"/>
        <w:rPr>
          <w:rFonts w:ascii="Arial" w:eastAsia="Arial" w:hAnsi="Arial" w:cs="Arial"/>
          <w:color w:val="000000" w:themeColor="text1"/>
          <w:sz w:val="24"/>
          <w:szCs w:val="24"/>
        </w:rPr>
      </w:pPr>
      <w:r w:rsidRPr="00742500">
        <w:rPr>
          <w:rFonts w:ascii="Arial" w:eastAsia="Arial" w:hAnsi="Arial" w:cs="Arial"/>
          <w:color w:val="000000" w:themeColor="text1"/>
          <w:sz w:val="24"/>
          <w:szCs w:val="24"/>
        </w:rPr>
        <w:t>0</w:t>
      </w:r>
      <w:r w:rsidR="00742500" w:rsidRPr="00742500">
        <w:rPr>
          <w:rFonts w:ascii="Arial" w:eastAsia="Arial" w:hAnsi="Arial" w:cs="Arial"/>
          <w:color w:val="000000" w:themeColor="text1"/>
          <w:sz w:val="24"/>
          <w:szCs w:val="24"/>
        </w:rPr>
        <w:t>600733</w:t>
      </w:r>
    </w:p>
    <w:p w14:paraId="579C93A8" w14:textId="1DB2477D" w:rsidR="00EC464B" w:rsidRPr="001836AD" w:rsidRDefault="20D5577C" w:rsidP="00742500">
      <w:pPr>
        <w:ind w:left="360"/>
        <w:jc w:val="center"/>
        <w:rPr>
          <w:rFonts w:ascii="Arial" w:eastAsia="Arial" w:hAnsi="Arial" w:cs="Arial"/>
          <w:sz w:val="24"/>
          <w:szCs w:val="24"/>
        </w:rPr>
      </w:pPr>
      <w:r w:rsidRPr="001836AD">
        <w:rPr>
          <w:rFonts w:ascii="Arial" w:eastAsia="Arial" w:hAnsi="Arial" w:cs="Arial"/>
          <w:sz w:val="24"/>
          <w:szCs w:val="24"/>
        </w:rPr>
        <w:t>Talent Management in AFI</w:t>
      </w:r>
    </w:p>
    <w:p w14:paraId="2CD978A9" w14:textId="1CC08BFC" w:rsidR="00EC464B" w:rsidRPr="001836AD" w:rsidRDefault="19E570AB" w:rsidP="00742500">
      <w:pPr>
        <w:ind w:left="360"/>
        <w:jc w:val="center"/>
        <w:rPr>
          <w:rFonts w:ascii="Arial" w:eastAsia="Arial" w:hAnsi="Arial" w:cs="Arial"/>
          <w:sz w:val="24"/>
          <w:szCs w:val="24"/>
        </w:rPr>
      </w:pPr>
      <w:r w:rsidRPr="001836AD">
        <w:rPr>
          <w:rFonts w:ascii="Arial" w:eastAsia="Arial" w:hAnsi="Arial" w:cs="Arial"/>
          <w:sz w:val="24"/>
          <w:szCs w:val="24"/>
        </w:rPr>
        <w:t>November 2025</w:t>
      </w:r>
    </w:p>
    <w:p w14:paraId="6E1BAA83" w14:textId="0E728AD3" w:rsidR="0022180F" w:rsidRPr="001836AD" w:rsidRDefault="31D4613E" w:rsidP="00742500">
      <w:pPr>
        <w:ind w:left="360"/>
        <w:jc w:val="center"/>
        <w:rPr>
          <w:rFonts w:ascii="Arial" w:hAnsi="Arial" w:cs="Arial"/>
          <w:noProof/>
          <w:sz w:val="24"/>
          <w:szCs w:val="24"/>
        </w:rPr>
      </w:pPr>
      <w:r w:rsidRPr="001836AD">
        <w:rPr>
          <w:rFonts w:ascii="Arial" w:eastAsia="Arial" w:hAnsi="Arial" w:cs="Arial"/>
          <w:sz w:val="24"/>
          <w:szCs w:val="24"/>
        </w:rPr>
        <w:t>Number of words</w:t>
      </w:r>
      <w:r w:rsidR="73AF3945" w:rsidRPr="001836AD">
        <w:rPr>
          <w:rFonts w:ascii="Arial" w:eastAsia="Arial" w:hAnsi="Arial" w:cs="Arial"/>
          <w:sz w:val="24"/>
          <w:szCs w:val="24"/>
        </w:rPr>
        <w:t xml:space="preserve"> –38</w:t>
      </w:r>
      <w:r w:rsidR="00BF233E">
        <w:rPr>
          <w:rFonts w:ascii="Arial" w:eastAsia="Arial" w:hAnsi="Arial" w:cs="Arial"/>
          <w:sz w:val="24"/>
          <w:szCs w:val="24"/>
        </w:rPr>
        <w:t>49</w:t>
      </w:r>
    </w:p>
    <w:p w14:paraId="3570D738" w14:textId="77777777" w:rsidR="006B1C66" w:rsidRPr="001836AD" w:rsidRDefault="006B1C66" w:rsidP="00742500">
      <w:pPr>
        <w:jc w:val="center"/>
        <w:rPr>
          <w:rFonts w:ascii="Arial" w:eastAsia="Arial" w:hAnsi="Arial" w:cs="Arial"/>
          <w:sz w:val="24"/>
          <w:szCs w:val="24"/>
        </w:rPr>
      </w:pPr>
      <w:r w:rsidRPr="001836AD">
        <w:rPr>
          <w:rFonts w:ascii="Arial" w:eastAsia="Arial" w:hAnsi="Arial" w:cs="Arial"/>
          <w:sz w:val="24"/>
          <w:szCs w:val="24"/>
        </w:rPr>
        <w:br w:type="page"/>
      </w:r>
    </w:p>
    <w:sdt>
      <w:sdtPr>
        <w:rPr>
          <w:rFonts w:ascii="Arial" w:eastAsiaTheme="minorHAnsi" w:hAnsi="Arial" w:cs="Arial"/>
          <w:color w:val="auto"/>
          <w:kern w:val="2"/>
          <w:sz w:val="24"/>
          <w:szCs w:val="24"/>
          <w:lang w:eastAsia="en-US"/>
          <w14:ligatures w14:val="standardContextual"/>
        </w:rPr>
        <w:id w:val="184669159"/>
        <w:docPartObj>
          <w:docPartGallery w:val="Table of Contents"/>
          <w:docPartUnique/>
        </w:docPartObj>
      </w:sdtPr>
      <w:sdtEndPr/>
      <w:sdtContent>
        <w:p w14:paraId="32C7782F" w14:textId="59FCDE42" w:rsidR="003A01EE" w:rsidRPr="001836AD" w:rsidRDefault="0572E982" w:rsidP="001836AD">
          <w:pPr>
            <w:pStyle w:val="TOCHeading"/>
            <w:jc w:val="both"/>
            <w:rPr>
              <w:rFonts w:ascii="Arial" w:eastAsia="Arial" w:hAnsi="Arial" w:cs="Arial"/>
              <w:sz w:val="24"/>
              <w:szCs w:val="24"/>
            </w:rPr>
          </w:pPr>
          <w:r w:rsidRPr="001836AD">
            <w:rPr>
              <w:rFonts w:ascii="Arial" w:hAnsi="Arial" w:cs="Arial"/>
              <w:sz w:val="24"/>
              <w:szCs w:val="24"/>
            </w:rPr>
            <w:t>Table of Contents</w:t>
          </w:r>
        </w:p>
        <w:p w14:paraId="2DD266DF" w14:textId="523E941A" w:rsidR="00BF233E" w:rsidRDefault="283FD3C0">
          <w:pPr>
            <w:pStyle w:val="TOC1"/>
            <w:tabs>
              <w:tab w:val="right" w:leader="dot" w:pos="9016"/>
            </w:tabs>
            <w:rPr>
              <w:rFonts w:eastAsiaTheme="minorEastAsia"/>
              <w:noProof/>
              <w:sz w:val="24"/>
              <w:szCs w:val="24"/>
              <w:lang w:eastAsia="en-GB"/>
            </w:rPr>
          </w:pPr>
          <w:r w:rsidRPr="001836AD">
            <w:rPr>
              <w:rFonts w:ascii="Arial" w:hAnsi="Arial" w:cs="Arial"/>
              <w:sz w:val="24"/>
              <w:szCs w:val="24"/>
            </w:rPr>
            <w:fldChar w:fldCharType="begin"/>
          </w:r>
          <w:r w:rsidR="003A01EE" w:rsidRPr="001836AD">
            <w:rPr>
              <w:rFonts w:ascii="Arial" w:hAnsi="Arial" w:cs="Arial"/>
              <w:sz w:val="24"/>
              <w:szCs w:val="24"/>
            </w:rPr>
            <w:instrText>TOC \o "1-3" \z \u \h</w:instrText>
          </w:r>
          <w:r w:rsidRPr="001836AD">
            <w:rPr>
              <w:rFonts w:ascii="Arial" w:hAnsi="Arial" w:cs="Arial"/>
              <w:sz w:val="24"/>
              <w:szCs w:val="24"/>
            </w:rPr>
            <w:fldChar w:fldCharType="separate"/>
          </w:r>
          <w:hyperlink w:anchor="_Toc216002754" w:history="1">
            <w:r w:rsidR="00BF233E" w:rsidRPr="00413641">
              <w:rPr>
                <w:rStyle w:val="Hyperlink"/>
                <w:rFonts w:ascii="Arial" w:hAnsi="Arial" w:cs="Arial"/>
                <w:noProof/>
              </w:rPr>
              <w:t>Executive Summary</w:t>
            </w:r>
            <w:r w:rsidR="00BF233E">
              <w:rPr>
                <w:noProof/>
                <w:webHidden/>
              </w:rPr>
              <w:tab/>
            </w:r>
            <w:r w:rsidR="00BF233E">
              <w:rPr>
                <w:noProof/>
                <w:webHidden/>
              </w:rPr>
              <w:fldChar w:fldCharType="begin"/>
            </w:r>
            <w:r w:rsidR="00BF233E">
              <w:rPr>
                <w:noProof/>
                <w:webHidden/>
              </w:rPr>
              <w:instrText xml:space="preserve"> PAGEREF _Toc216002754 \h </w:instrText>
            </w:r>
            <w:r w:rsidR="00BF233E">
              <w:rPr>
                <w:noProof/>
                <w:webHidden/>
              </w:rPr>
            </w:r>
            <w:r w:rsidR="00BF233E">
              <w:rPr>
                <w:noProof/>
                <w:webHidden/>
              </w:rPr>
              <w:fldChar w:fldCharType="separate"/>
            </w:r>
            <w:r w:rsidR="00BF233E">
              <w:rPr>
                <w:noProof/>
                <w:webHidden/>
              </w:rPr>
              <w:t>3</w:t>
            </w:r>
            <w:r w:rsidR="00BF233E">
              <w:rPr>
                <w:noProof/>
                <w:webHidden/>
              </w:rPr>
              <w:fldChar w:fldCharType="end"/>
            </w:r>
          </w:hyperlink>
        </w:p>
        <w:p w14:paraId="7BC133C1" w14:textId="1F9F912D" w:rsidR="00BF233E" w:rsidRDefault="00BF233E">
          <w:pPr>
            <w:pStyle w:val="TOC1"/>
            <w:tabs>
              <w:tab w:val="right" w:leader="dot" w:pos="9016"/>
            </w:tabs>
            <w:rPr>
              <w:rFonts w:eastAsiaTheme="minorEastAsia"/>
              <w:noProof/>
              <w:sz w:val="24"/>
              <w:szCs w:val="24"/>
              <w:lang w:eastAsia="en-GB"/>
            </w:rPr>
          </w:pPr>
          <w:hyperlink w:anchor="_Toc216002755" w:history="1">
            <w:r w:rsidRPr="00413641">
              <w:rPr>
                <w:rStyle w:val="Hyperlink"/>
                <w:rFonts w:ascii="Arial" w:hAnsi="Arial" w:cs="Arial"/>
                <w:noProof/>
              </w:rPr>
              <w:t>1.0 Introduction</w:t>
            </w:r>
            <w:r>
              <w:rPr>
                <w:noProof/>
                <w:webHidden/>
              </w:rPr>
              <w:tab/>
            </w:r>
            <w:r>
              <w:rPr>
                <w:noProof/>
                <w:webHidden/>
              </w:rPr>
              <w:fldChar w:fldCharType="begin"/>
            </w:r>
            <w:r>
              <w:rPr>
                <w:noProof/>
                <w:webHidden/>
              </w:rPr>
              <w:instrText xml:space="preserve"> PAGEREF _Toc216002755 \h </w:instrText>
            </w:r>
            <w:r>
              <w:rPr>
                <w:noProof/>
                <w:webHidden/>
              </w:rPr>
            </w:r>
            <w:r>
              <w:rPr>
                <w:noProof/>
                <w:webHidden/>
              </w:rPr>
              <w:fldChar w:fldCharType="separate"/>
            </w:r>
            <w:r>
              <w:rPr>
                <w:noProof/>
                <w:webHidden/>
              </w:rPr>
              <w:t>3</w:t>
            </w:r>
            <w:r>
              <w:rPr>
                <w:noProof/>
                <w:webHidden/>
              </w:rPr>
              <w:fldChar w:fldCharType="end"/>
            </w:r>
          </w:hyperlink>
        </w:p>
        <w:p w14:paraId="3DEB5C8A" w14:textId="273B4099" w:rsidR="00BF233E" w:rsidRDefault="00BF233E">
          <w:pPr>
            <w:pStyle w:val="TOC1"/>
            <w:tabs>
              <w:tab w:val="right" w:leader="dot" w:pos="9016"/>
            </w:tabs>
            <w:rPr>
              <w:rFonts w:eastAsiaTheme="minorEastAsia"/>
              <w:noProof/>
              <w:sz w:val="24"/>
              <w:szCs w:val="24"/>
              <w:lang w:eastAsia="en-GB"/>
            </w:rPr>
          </w:pPr>
          <w:hyperlink w:anchor="_Toc216002756" w:history="1">
            <w:r w:rsidRPr="00413641">
              <w:rPr>
                <w:rStyle w:val="Hyperlink"/>
                <w:rFonts w:ascii="Arial" w:hAnsi="Arial" w:cs="Arial"/>
                <w:noProof/>
              </w:rPr>
              <w:t>2.0 External Factors impacting Talent Management at AFI</w:t>
            </w:r>
            <w:r>
              <w:rPr>
                <w:noProof/>
                <w:webHidden/>
              </w:rPr>
              <w:tab/>
            </w:r>
            <w:r>
              <w:rPr>
                <w:noProof/>
                <w:webHidden/>
              </w:rPr>
              <w:fldChar w:fldCharType="begin"/>
            </w:r>
            <w:r>
              <w:rPr>
                <w:noProof/>
                <w:webHidden/>
              </w:rPr>
              <w:instrText xml:space="preserve"> PAGEREF _Toc216002756 \h </w:instrText>
            </w:r>
            <w:r>
              <w:rPr>
                <w:noProof/>
                <w:webHidden/>
              </w:rPr>
            </w:r>
            <w:r>
              <w:rPr>
                <w:noProof/>
                <w:webHidden/>
              </w:rPr>
              <w:fldChar w:fldCharType="separate"/>
            </w:r>
            <w:r>
              <w:rPr>
                <w:noProof/>
                <w:webHidden/>
              </w:rPr>
              <w:t>4</w:t>
            </w:r>
            <w:r>
              <w:rPr>
                <w:noProof/>
                <w:webHidden/>
              </w:rPr>
              <w:fldChar w:fldCharType="end"/>
            </w:r>
          </w:hyperlink>
        </w:p>
        <w:p w14:paraId="0949E37E" w14:textId="12154FCA" w:rsidR="00BF233E" w:rsidRDefault="00BF233E">
          <w:pPr>
            <w:pStyle w:val="TOC2"/>
            <w:tabs>
              <w:tab w:val="right" w:leader="dot" w:pos="9016"/>
            </w:tabs>
            <w:rPr>
              <w:rFonts w:eastAsiaTheme="minorEastAsia"/>
              <w:noProof/>
              <w:sz w:val="24"/>
              <w:szCs w:val="24"/>
              <w:lang w:eastAsia="en-GB"/>
            </w:rPr>
          </w:pPr>
          <w:hyperlink w:anchor="_Toc216002757" w:history="1">
            <w:r w:rsidRPr="00413641">
              <w:rPr>
                <w:rStyle w:val="Hyperlink"/>
                <w:rFonts w:ascii="Arial" w:hAnsi="Arial" w:cs="Arial"/>
                <w:noProof/>
              </w:rPr>
              <w:t>2.1 Labour Market Conditions and Talent Scarcity</w:t>
            </w:r>
            <w:r>
              <w:rPr>
                <w:noProof/>
                <w:webHidden/>
              </w:rPr>
              <w:tab/>
            </w:r>
            <w:r>
              <w:rPr>
                <w:noProof/>
                <w:webHidden/>
              </w:rPr>
              <w:fldChar w:fldCharType="begin"/>
            </w:r>
            <w:r>
              <w:rPr>
                <w:noProof/>
                <w:webHidden/>
              </w:rPr>
              <w:instrText xml:space="preserve"> PAGEREF _Toc216002757 \h </w:instrText>
            </w:r>
            <w:r>
              <w:rPr>
                <w:noProof/>
                <w:webHidden/>
              </w:rPr>
            </w:r>
            <w:r>
              <w:rPr>
                <w:noProof/>
                <w:webHidden/>
              </w:rPr>
              <w:fldChar w:fldCharType="separate"/>
            </w:r>
            <w:r>
              <w:rPr>
                <w:noProof/>
                <w:webHidden/>
              </w:rPr>
              <w:t>4</w:t>
            </w:r>
            <w:r>
              <w:rPr>
                <w:noProof/>
                <w:webHidden/>
              </w:rPr>
              <w:fldChar w:fldCharType="end"/>
            </w:r>
          </w:hyperlink>
        </w:p>
        <w:p w14:paraId="72A90594" w14:textId="3ADE5AA1" w:rsidR="00BF233E" w:rsidRDefault="00BF233E">
          <w:pPr>
            <w:pStyle w:val="TOC2"/>
            <w:tabs>
              <w:tab w:val="right" w:leader="dot" w:pos="9016"/>
            </w:tabs>
            <w:rPr>
              <w:rFonts w:eastAsiaTheme="minorEastAsia"/>
              <w:noProof/>
              <w:sz w:val="24"/>
              <w:szCs w:val="24"/>
              <w:lang w:eastAsia="en-GB"/>
            </w:rPr>
          </w:pPr>
          <w:hyperlink w:anchor="_Toc216002758" w:history="1">
            <w:r w:rsidRPr="00413641">
              <w:rPr>
                <w:rStyle w:val="Hyperlink"/>
                <w:rFonts w:ascii="Arial" w:hAnsi="Arial" w:cs="Arial"/>
                <w:noProof/>
              </w:rPr>
              <w:t>2.2 Technological Factors: Digital Transformation and Workforce Capability</w:t>
            </w:r>
            <w:r>
              <w:rPr>
                <w:noProof/>
                <w:webHidden/>
              </w:rPr>
              <w:tab/>
            </w:r>
            <w:r>
              <w:rPr>
                <w:noProof/>
                <w:webHidden/>
              </w:rPr>
              <w:fldChar w:fldCharType="begin"/>
            </w:r>
            <w:r>
              <w:rPr>
                <w:noProof/>
                <w:webHidden/>
              </w:rPr>
              <w:instrText xml:space="preserve"> PAGEREF _Toc216002758 \h </w:instrText>
            </w:r>
            <w:r>
              <w:rPr>
                <w:noProof/>
                <w:webHidden/>
              </w:rPr>
            </w:r>
            <w:r>
              <w:rPr>
                <w:noProof/>
                <w:webHidden/>
              </w:rPr>
              <w:fldChar w:fldCharType="separate"/>
            </w:r>
            <w:r>
              <w:rPr>
                <w:noProof/>
                <w:webHidden/>
              </w:rPr>
              <w:t>4</w:t>
            </w:r>
            <w:r>
              <w:rPr>
                <w:noProof/>
                <w:webHidden/>
              </w:rPr>
              <w:fldChar w:fldCharType="end"/>
            </w:r>
          </w:hyperlink>
        </w:p>
        <w:p w14:paraId="5947F06E" w14:textId="78244CCB" w:rsidR="00BF233E" w:rsidRDefault="00BF233E">
          <w:pPr>
            <w:pStyle w:val="TOC2"/>
            <w:tabs>
              <w:tab w:val="right" w:leader="dot" w:pos="9016"/>
            </w:tabs>
            <w:rPr>
              <w:rFonts w:eastAsiaTheme="minorEastAsia"/>
              <w:noProof/>
              <w:sz w:val="24"/>
              <w:szCs w:val="24"/>
              <w:lang w:eastAsia="en-GB"/>
            </w:rPr>
          </w:pPr>
          <w:hyperlink w:anchor="_Toc216002759" w:history="1">
            <w:r w:rsidRPr="00413641">
              <w:rPr>
                <w:rStyle w:val="Hyperlink"/>
                <w:rFonts w:ascii="Arial" w:hAnsi="Arial" w:cs="Arial"/>
                <w:noProof/>
              </w:rPr>
              <w:t>2.3 Social Factors: Workforce Expectations, Wellbeing and Purpose</w:t>
            </w:r>
            <w:r>
              <w:rPr>
                <w:noProof/>
                <w:webHidden/>
              </w:rPr>
              <w:tab/>
            </w:r>
            <w:r>
              <w:rPr>
                <w:noProof/>
                <w:webHidden/>
              </w:rPr>
              <w:fldChar w:fldCharType="begin"/>
            </w:r>
            <w:r>
              <w:rPr>
                <w:noProof/>
                <w:webHidden/>
              </w:rPr>
              <w:instrText xml:space="preserve"> PAGEREF _Toc216002759 \h </w:instrText>
            </w:r>
            <w:r>
              <w:rPr>
                <w:noProof/>
                <w:webHidden/>
              </w:rPr>
            </w:r>
            <w:r>
              <w:rPr>
                <w:noProof/>
                <w:webHidden/>
              </w:rPr>
              <w:fldChar w:fldCharType="separate"/>
            </w:r>
            <w:r>
              <w:rPr>
                <w:noProof/>
                <w:webHidden/>
              </w:rPr>
              <w:t>5</w:t>
            </w:r>
            <w:r>
              <w:rPr>
                <w:noProof/>
                <w:webHidden/>
              </w:rPr>
              <w:fldChar w:fldCharType="end"/>
            </w:r>
          </w:hyperlink>
        </w:p>
        <w:p w14:paraId="37DF9AEE" w14:textId="3ED6D9A6" w:rsidR="00BF233E" w:rsidRDefault="00BF233E">
          <w:pPr>
            <w:pStyle w:val="TOC1"/>
            <w:tabs>
              <w:tab w:val="right" w:leader="dot" w:pos="9016"/>
            </w:tabs>
            <w:rPr>
              <w:rFonts w:eastAsiaTheme="minorEastAsia"/>
              <w:noProof/>
              <w:sz w:val="24"/>
              <w:szCs w:val="24"/>
              <w:lang w:eastAsia="en-GB"/>
            </w:rPr>
          </w:pPr>
          <w:hyperlink w:anchor="_Toc216002760" w:history="1">
            <w:r w:rsidRPr="00413641">
              <w:rPr>
                <w:rStyle w:val="Hyperlink"/>
                <w:rFonts w:ascii="Arial" w:hAnsi="Arial" w:cs="Arial"/>
                <w:noProof/>
              </w:rPr>
              <w:t>3.0 Internal Factors Affecting Talent Management at AFI UK</w:t>
            </w:r>
            <w:r>
              <w:rPr>
                <w:noProof/>
                <w:webHidden/>
              </w:rPr>
              <w:tab/>
            </w:r>
            <w:r>
              <w:rPr>
                <w:noProof/>
                <w:webHidden/>
              </w:rPr>
              <w:fldChar w:fldCharType="begin"/>
            </w:r>
            <w:r>
              <w:rPr>
                <w:noProof/>
                <w:webHidden/>
              </w:rPr>
              <w:instrText xml:space="preserve"> PAGEREF _Toc216002760 \h </w:instrText>
            </w:r>
            <w:r>
              <w:rPr>
                <w:noProof/>
                <w:webHidden/>
              </w:rPr>
            </w:r>
            <w:r>
              <w:rPr>
                <w:noProof/>
                <w:webHidden/>
              </w:rPr>
              <w:fldChar w:fldCharType="separate"/>
            </w:r>
            <w:r>
              <w:rPr>
                <w:noProof/>
                <w:webHidden/>
              </w:rPr>
              <w:t>5</w:t>
            </w:r>
            <w:r>
              <w:rPr>
                <w:noProof/>
                <w:webHidden/>
              </w:rPr>
              <w:fldChar w:fldCharType="end"/>
            </w:r>
          </w:hyperlink>
        </w:p>
        <w:p w14:paraId="184776AD" w14:textId="6B348809" w:rsidR="00BF233E" w:rsidRDefault="00BF233E">
          <w:pPr>
            <w:pStyle w:val="TOC2"/>
            <w:tabs>
              <w:tab w:val="right" w:leader="dot" w:pos="9016"/>
            </w:tabs>
            <w:rPr>
              <w:rFonts w:eastAsiaTheme="minorEastAsia"/>
              <w:noProof/>
              <w:sz w:val="24"/>
              <w:szCs w:val="24"/>
              <w:lang w:eastAsia="en-GB"/>
            </w:rPr>
          </w:pPr>
          <w:hyperlink w:anchor="_Toc216002761" w:history="1">
            <w:r w:rsidRPr="00413641">
              <w:rPr>
                <w:rStyle w:val="Hyperlink"/>
                <w:rFonts w:ascii="Arial" w:hAnsi="Arial" w:cs="Arial"/>
                <w:noProof/>
              </w:rPr>
              <w:t>3.1 Organisational Culture and Identity</w:t>
            </w:r>
            <w:r>
              <w:rPr>
                <w:noProof/>
                <w:webHidden/>
              </w:rPr>
              <w:tab/>
            </w:r>
            <w:r>
              <w:rPr>
                <w:noProof/>
                <w:webHidden/>
              </w:rPr>
              <w:fldChar w:fldCharType="begin"/>
            </w:r>
            <w:r>
              <w:rPr>
                <w:noProof/>
                <w:webHidden/>
              </w:rPr>
              <w:instrText xml:space="preserve"> PAGEREF _Toc216002761 \h </w:instrText>
            </w:r>
            <w:r>
              <w:rPr>
                <w:noProof/>
                <w:webHidden/>
              </w:rPr>
            </w:r>
            <w:r>
              <w:rPr>
                <w:noProof/>
                <w:webHidden/>
              </w:rPr>
              <w:fldChar w:fldCharType="separate"/>
            </w:r>
            <w:r>
              <w:rPr>
                <w:noProof/>
                <w:webHidden/>
              </w:rPr>
              <w:t>6</w:t>
            </w:r>
            <w:r>
              <w:rPr>
                <w:noProof/>
                <w:webHidden/>
              </w:rPr>
              <w:fldChar w:fldCharType="end"/>
            </w:r>
          </w:hyperlink>
        </w:p>
        <w:p w14:paraId="08A09900" w14:textId="7C65F9CF" w:rsidR="00BF233E" w:rsidRDefault="00BF233E">
          <w:pPr>
            <w:pStyle w:val="TOC2"/>
            <w:tabs>
              <w:tab w:val="right" w:leader="dot" w:pos="9016"/>
            </w:tabs>
            <w:rPr>
              <w:rFonts w:eastAsiaTheme="minorEastAsia"/>
              <w:noProof/>
              <w:sz w:val="24"/>
              <w:szCs w:val="24"/>
              <w:lang w:eastAsia="en-GB"/>
            </w:rPr>
          </w:pPr>
          <w:hyperlink w:anchor="_Toc216002762" w:history="1">
            <w:r w:rsidRPr="00413641">
              <w:rPr>
                <w:rStyle w:val="Hyperlink"/>
                <w:rFonts w:ascii="Arial" w:eastAsia="Arial" w:hAnsi="Arial" w:cs="Arial"/>
                <w:noProof/>
              </w:rPr>
              <w:t>3.2 Leadership Capability and Talent Development</w:t>
            </w:r>
            <w:r>
              <w:rPr>
                <w:noProof/>
                <w:webHidden/>
              </w:rPr>
              <w:tab/>
            </w:r>
            <w:r>
              <w:rPr>
                <w:noProof/>
                <w:webHidden/>
              </w:rPr>
              <w:fldChar w:fldCharType="begin"/>
            </w:r>
            <w:r>
              <w:rPr>
                <w:noProof/>
                <w:webHidden/>
              </w:rPr>
              <w:instrText xml:space="preserve"> PAGEREF _Toc216002762 \h </w:instrText>
            </w:r>
            <w:r>
              <w:rPr>
                <w:noProof/>
                <w:webHidden/>
              </w:rPr>
            </w:r>
            <w:r>
              <w:rPr>
                <w:noProof/>
                <w:webHidden/>
              </w:rPr>
              <w:fldChar w:fldCharType="separate"/>
            </w:r>
            <w:r>
              <w:rPr>
                <w:noProof/>
                <w:webHidden/>
              </w:rPr>
              <w:t>6</w:t>
            </w:r>
            <w:r>
              <w:rPr>
                <w:noProof/>
                <w:webHidden/>
              </w:rPr>
              <w:fldChar w:fldCharType="end"/>
            </w:r>
          </w:hyperlink>
        </w:p>
        <w:p w14:paraId="141A59CA" w14:textId="3C874CB8" w:rsidR="00BF233E" w:rsidRDefault="00BF233E">
          <w:pPr>
            <w:pStyle w:val="TOC2"/>
            <w:tabs>
              <w:tab w:val="right" w:leader="dot" w:pos="9016"/>
            </w:tabs>
            <w:rPr>
              <w:rFonts w:eastAsiaTheme="minorEastAsia"/>
              <w:noProof/>
              <w:sz w:val="24"/>
              <w:szCs w:val="24"/>
              <w:lang w:eastAsia="en-GB"/>
            </w:rPr>
          </w:pPr>
          <w:hyperlink w:anchor="_Toc216002763" w:history="1">
            <w:r w:rsidRPr="00413641">
              <w:rPr>
                <w:rStyle w:val="Hyperlink"/>
                <w:rFonts w:ascii="Arial" w:hAnsi="Arial" w:cs="Arial"/>
                <w:noProof/>
              </w:rPr>
              <w:t>3.3 Employee Engagement, Development and Geographic Constraints</w:t>
            </w:r>
            <w:r>
              <w:rPr>
                <w:noProof/>
                <w:webHidden/>
              </w:rPr>
              <w:tab/>
            </w:r>
            <w:r>
              <w:rPr>
                <w:noProof/>
                <w:webHidden/>
              </w:rPr>
              <w:fldChar w:fldCharType="begin"/>
            </w:r>
            <w:r>
              <w:rPr>
                <w:noProof/>
                <w:webHidden/>
              </w:rPr>
              <w:instrText xml:space="preserve"> PAGEREF _Toc216002763 \h </w:instrText>
            </w:r>
            <w:r>
              <w:rPr>
                <w:noProof/>
                <w:webHidden/>
              </w:rPr>
            </w:r>
            <w:r>
              <w:rPr>
                <w:noProof/>
                <w:webHidden/>
              </w:rPr>
              <w:fldChar w:fldCharType="separate"/>
            </w:r>
            <w:r>
              <w:rPr>
                <w:noProof/>
                <w:webHidden/>
              </w:rPr>
              <w:t>7</w:t>
            </w:r>
            <w:r>
              <w:rPr>
                <w:noProof/>
                <w:webHidden/>
              </w:rPr>
              <w:fldChar w:fldCharType="end"/>
            </w:r>
          </w:hyperlink>
        </w:p>
        <w:p w14:paraId="51F3441E" w14:textId="136C1352" w:rsidR="00BF233E" w:rsidRDefault="00BF233E">
          <w:pPr>
            <w:pStyle w:val="TOC1"/>
            <w:tabs>
              <w:tab w:val="right" w:leader="dot" w:pos="9016"/>
            </w:tabs>
            <w:rPr>
              <w:rFonts w:eastAsiaTheme="minorEastAsia"/>
              <w:noProof/>
              <w:sz w:val="24"/>
              <w:szCs w:val="24"/>
              <w:lang w:eastAsia="en-GB"/>
            </w:rPr>
          </w:pPr>
          <w:hyperlink w:anchor="_Toc216002764" w:history="1">
            <w:r w:rsidRPr="00413641">
              <w:rPr>
                <w:rStyle w:val="Hyperlink"/>
                <w:rFonts w:ascii="Arial" w:hAnsi="Arial" w:cs="Arial"/>
                <w:noProof/>
              </w:rPr>
              <w:t>4.0 Critical Analysis of AFI’s Current Talent Management Approach</w:t>
            </w:r>
            <w:r>
              <w:rPr>
                <w:noProof/>
                <w:webHidden/>
              </w:rPr>
              <w:tab/>
            </w:r>
            <w:r>
              <w:rPr>
                <w:noProof/>
                <w:webHidden/>
              </w:rPr>
              <w:fldChar w:fldCharType="begin"/>
            </w:r>
            <w:r>
              <w:rPr>
                <w:noProof/>
                <w:webHidden/>
              </w:rPr>
              <w:instrText xml:space="preserve"> PAGEREF _Toc216002764 \h </w:instrText>
            </w:r>
            <w:r>
              <w:rPr>
                <w:noProof/>
                <w:webHidden/>
              </w:rPr>
            </w:r>
            <w:r>
              <w:rPr>
                <w:noProof/>
                <w:webHidden/>
              </w:rPr>
              <w:fldChar w:fldCharType="separate"/>
            </w:r>
            <w:r>
              <w:rPr>
                <w:noProof/>
                <w:webHidden/>
              </w:rPr>
              <w:t>8</w:t>
            </w:r>
            <w:r>
              <w:rPr>
                <w:noProof/>
                <w:webHidden/>
              </w:rPr>
              <w:fldChar w:fldCharType="end"/>
            </w:r>
          </w:hyperlink>
        </w:p>
        <w:p w14:paraId="7C891367" w14:textId="63386CBB" w:rsidR="00BF233E" w:rsidRDefault="00BF233E">
          <w:pPr>
            <w:pStyle w:val="TOC2"/>
            <w:tabs>
              <w:tab w:val="right" w:leader="dot" w:pos="9016"/>
            </w:tabs>
            <w:rPr>
              <w:rFonts w:eastAsiaTheme="minorEastAsia"/>
              <w:noProof/>
              <w:sz w:val="24"/>
              <w:szCs w:val="24"/>
              <w:lang w:eastAsia="en-GB"/>
            </w:rPr>
          </w:pPr>
          <w:hyperlink w:anchor="_Toc216002765" w:history="1">
            <w:r w:rsidRPr="00413641">
              <w:rPr>
                <w:rStyle w:val="Hyperlink"/>
                <w:rFonts w:ascii="Arial" w:hAnsi="Arial" w:cs="Arial"/>
                <w:noProof/>
              </w:rPr>
              <w:t>4.1 Competition for Talent and Local Labour Market Constraints</w:t>
            </w:r>
            <w:r>
              <w:rPr>
                <w:noProof/>
                <w:webHidden/>
              </w:rPr>
              <w:tab/>
            </w:r>
            <w:r>
              <w:rPr>
                <w:noProof/>
                <w:webHidden/>
              </w:rPr>
              <w:fldChar w:fldCharType="begin"/>
            </w:r>
            <w:r>
              <w:rPr>
                <w:noProof/>
                <w:webHidden/>
              </w:rPr>
              <w:instrText xml:space="preserve"> PAGEREF _Toc216002765 \h </w:instrText>
            </w:r>
            <w:r>
              <w:rPr>
                <w:noProof/>
                <w:webHidden/>
              </w:rPr>
            </w:r>
            <w:r>
              <w:rPr>
                <w:noProof/>
                <w:webHidden/>
              </w:rPr>
              <w:fldChar w:fldCharType="separate"/>
            </w:r>
            <w:r>
              <w:rPr>
                <w:noProof/>
                <w:webHidden/>
              </w:rPr>
              <w:t>8</w:t>
            </w:r>
            <w:r>
              <w:rPr>
                <w:noProof/>
                <w:webHidden/>
              </w:rPr>
              <w:fldChar w:fldCharType="end"/>
            </w:r>
          </w:hyperlink>
        </w:p>
        <w:p w14:paraId="31BA54D3" w14:textId="2F70B238" w:rsidR="00BF233E" w:rsidRDefault="00BF233E">
          <w:pPr>
            <w:pStyle w:val="TOC2"/>
            <w:tabs>
              <w:tab w:val="right" w:leader="dot" w:pos="9016"/>
            </w:tabs>
            <w:rPr>
              <w:rFonts w:eastAsiaTheme="minorEastAsia"/>
              <w:noProof/>
              <w:sz w:val="24"/>
              <w:szCs w:val="24"/>
              <w:lang w:eastAsia="en-GB"/>
            </w:rPr>
          </w:pPr>
          <w:hyperlink w:anchor="_Toc216002766" w:history="1">
            <w:r w:rsidRPr="00413641">
              <w:rPr>
                <w:rStyle w:val="Hyperlink"/>
                <w:rFonts w:ascii="Arial" w:hAnsi="Arial" w:cs="Arial"/>
                <w:noProof/>
              </w:rPr>
              <w:t>4.2 Limited Use of Recruitment Technology</w:t>
            </w:r>
            <w:r>
              <w:rPr>
                <w:noProof/>
                <w:webHidden/>
              </w:rPr>
              <w:tab/>
            </w:r>
            <w:r>
              <w:rPr>
                <w:noProof/>
                <w:webHidden/>
              </w:rPr>
              <w:fldChar w:fldCharType="begin"/>
            </w:r>
            <w:r>
              <w:rPr>
                <w:noProof/>
                <w:webHidden/>
              </w:rPr>
              <w:instrText xml:space="preserve"> PAGEREF _Toc216002766 \h </w:instrText>
            </w:r>
            <w:r>
              <w:rPr>
                <w:noProof/>
                <w:webHidden/>
              </w:rPr>
            </w:r>
            <w:r>
              <w:rPr>
                <w:noProof/>
                <w:webHidden/>
              </w:rPr>
              <w:fldChar w:fldCharType="separate"/>
            </w:r>
            <w:r>
              <w:rPr>
                <w:noProof/>
                <w:webHidden/>
              </w:rPr>
              <w:t>9</w:t>
            </w:r>
            <w:r>
              <w:rPr>
                <w:noProof/>
                <w:webHidden/>
              </w:rPr>
              <w:fldChar w:fldCharType="end"/>
            </w:r>
          </w:hyperlink>
        </w:p>
        <w:p w14:paraId="5454E69D" w14:textId="5A525FD5" w:rsidR="00BF233E" w:rsidRDefault="00BF233E">
          <w:pPr>
            <w:pStyle w:val="TOC2"/>
            <w:tabs>
              <w:tab w:val="right" w:leader="dot" w:pos="9016"/>
            </w:tabs>
            <w:rPr>
              <w:rFonts w:eastAsiaTheme="minorEastAsia"/>
              <w:noProof/>
              <w:sz w:val="24"/>
              <w:szCs w:val="24"/>
              <w:lang w:eastAsia="en-GB"/>
            </w:rPr>
          </w:pPr>
          <w:hyperlink w:anchor="_Toc216002767" w:history="1">
            <w:r w:rsidRPr="00413641">
              <w:rPr>
                <w:rStyle w:val="Hyperlink"/>
                <w:rFonts w:ascii="Arial" w:hAnsi="Arial" w:cs="Arial"/>
                <w:noProof/>
              </w:rPr>
              <w:t>4.3 Increased organisational focus on developing skills in-house</w:t>
            </w:r>
            <w:r>
              <w:rPr>
                <w:noProof/>
                <w:webHidden/>
              </w:rPr>
              <w:tab/>
            </w:r>
            <w:r>
              <w:rPr>
                <w:noProof/>
                <w:webHidden/>
              </w:rPr>
              <w:fldChar w:fldCharType="begin"/>
            </w:r>
            <w:r>
              <w:rPr>
                <w:noProof/>
                <w:webHidden/>
              </w:rPr>
              <w:instrText xml:space="preserve"> PAGEREF _Toc216002767 \h </w:instrText>
            </w:r>
            <w:r>
              <w:rPr>
                <w:noProof/>
                <w:webHidden/>
              </w:rPr>
            </w:r>
            <w:r>
              <w:rPr>
                <w:noProof/>
                <w:webHidden/>
              </w:rPr>
              <w:fldChar w:fldCharType="separate"/>
            </w:r>
            <w:r>
              <w:rPr>
                <w:noProof/>
                <w:webHidden/>
              </w:rPr>
              <w:t>9</w:t>
            </w:r>
            <w:r>
              <w:rPr>
                <w:noProof/>
                <w:webHidden/>
              </w:rPr>
              <w:fldChar w:fldCharType="end"/>
            </w:r>
          </w:hyperlink>
        </w:p>
        <w:p w14:paraId="581FE535" w14:textId="3ADC6439" w:rsidR="00BF233E" w:rsidRDefault="00BF233E">
          <w:pPr>
            <w:pStyle w:val="TOC3"/>
            <w:tabs>
              <w:tab w:val="right" w:leader="dot" w:pos="9016"/>
            </w:tabs>
            <w:rPr>
              <w:rFonts w:eastAsiaTheme="minorEastAsia"/>
              <w:noProof/>
              <w:sz w:val="24"/>
              <w:szCs w:val="24"/>
              <w:lang w:eastAsia="en-GB"/>
            </w:rPr>
          </w:pPr>
          <w:hyperlink w:anchor="_Toc216002768" w:history="1">
            <w:r w:rsidRPr="00413641">
              <w:rPr>
                <w:rStyle w:val="Hyperlink"/>
                <w:rFonts w:ascii="Arial" w:hAnsi="Arial" w:cs="Arial"/>
                <w:noProof/>
              </w:rPr>
              <w:t>Figure 1: AFI People Wheel (Arla Food Ingredients, 2025)</w:t>
            </w:r>
            <w:r>
              <w:rPr>
                <w:noProof/>
                <w:webHidden/>
              </w:rPr>
              <w:tab/>
            </w:r>
            <w:r>
              <w:rPr>
                <w:noProof/>
                <w:webHidden/>
              </w:rPr>
              <w:fldChar w:fldCharType="begin"/>
            </w:r>
            <w:r>
              <w:rPr>
                <w:noProof/>
                <w:webHidden/>
              </w:rPr>
              <w:instrText xml:space="preserve"> PAGEREF _Toc216002768 \h </w:instrText>
            </w:r>
            <w:r>
              <w:rPr>
                <w:noProof/>
                <w:webHidden/>
              </w:rPr>
            </w:r>
            <w:r>
              <w:rPr>
                <w:noProof/>
                <w:webHidden/>
              </w:rPr>
              <w:fldChar w:fldCharType="separate"/>
            </w:r>
            <w:r>
              <w:rPr>
                <w:noProof/>
                <w:webHidden/>
              </w:rPr>
              <w:t>10</w:t>
            </w:r>
            <w:r>
              <w:rPr>
                <w:noProof/>
                <w:webHidden/>
              </w:rPr>
              <w:fldChar w:fldCharType="end"/>
            </w:r>
          </w:hyperlink>
        </w:p>
        <w:p w14:paraId="5AA909BB" w14:textId="28725AF6" w:rsidR="00BF233E" w:rsidRDefault="00BF233E">
          <w:pPr>
            <w:pStyle w:val="TOC1"/>
            <w:tabs>
              <w:tab w:val="right" w:leader="dot" w:pos="9016"/>
            </w:tabs>
            <w:rPr>
              <w:rFonts w:eastAsiaTheme="minorEastAsia"/>
              <w:noProof/>
              <w:sz w:val="24"/>
              <w:szCs w:val="24"/>
              <w:lang w:eastAsia="en-GB"/>
            </w:rPr>
          </w:pPr>
          <w:hyperlink w:anchor="_Toc216002769" w:history="1">
            <w:r w:rsidRPr="00413641">
              <w:rPr>
                <w:rStyle w:val="Hyperlink"/>
                <w:rFonts w:ascii="Arial" w:hAnsi="Arial" w:cs="Arial"/>
                <w:noProof/>
              </w:rPr>
              <w:t>5.0 Conclusion</w:t>
            </w:r>
            <w:r>
              <w:rPr>
                <w:noProof/>
                <w:webHidden/>
              </w:rPr>
              <w:tab/>
            </w:r>
            <w:r>
              <w:rPr>
                <w:noProof/>
                <w:webHidden/>
              </w:rPr>
              <w:fldChar w:fldCharType="begin"/>
            </w:r>
            <w:r>
              <w:rPr>
                <w:noProof/>
                <w:webHidden/>
              </w:rPr>
              <w:instrText xml:space="preserve"> PAGEREF _Toc216002769 \h </w:instrText>
            </w:r>
            <w:r>
              <w:rPr>
                <w:noProof/>
                <w:webHidden/>
              </w:rPr>
            </w:r>
            <w:r>
              <w:rPr>
                <w:noProof/>
                <w:webHidden/>
              </w:rPr>
              <w:fldChar w:fldCharType="separate"/>
            </w:r>
            <w:r>
              <w:rPr>
                <w:noProof/>
                <w:webHidden/>
              </w:rPr>
              <w:t>11</w:t>
            </w:r>
            <w:r>
              <w:rPr>
                <w:noProof/>
                <w:webHidden/>
              </w:rPr>
              <w:fldChar w:fldCharType="end"/>
            </w:r>
          </w:hyperlink>
        </w:p>
        <w:p w14:paraId="21E71EDB" w14:textId="31C26557" w:rsidR="00BF233E" w:rsidRDefault="00BF233E">
          <w:pPr>
            <w:pStyle w:val="TOC1"/>
            <w:tabs>
              <w:tab w:val="right" w:leader="dot" w:pos="9016"/>
            </w:tabs>
            <w:rPr>
              <w:rFonts w:eastAsiaTheme="minorEastAsia"/>
              <w:noProof/>
              <w:sz w:val="24"/>
              <w:szCs w:val="24"/>
              <w:lang w:eastAsia="en-GB"/>
            </w:rPr>
          </w:pPr>
          <w:hyperlink w:anchor="_Toc216002770" w:history="1">
            <w:r w:rsidRPr="00413641">
              <w:rPr>
                <w:rStyle w:val="Hyperlink"/>
                <w:rFonts w:ascii="Arial" w:hAnsi="Arial" w:cs="Arial"/>
                <w:noProof/>
              </w:rPr>
              <w:t>6.0 Recommendations for Strengthening Talent Management at AFI UK</w:t>
            </w:r>
            <w:r>
              <w:rPr>
                <w:noProof/>
                <w:webHidden/>
              </w:rPr>
              <w:tab/>
            </w:r>
            <w:r>
              <w:rPr>
                <w:noProof/>
                <w:webHidden/>
              </w:rPr>
              <w:fldChar w:fldCharType="begin"/>
            </w:r>
            <w:r>
              <w:rPr>
                <w:noProof/>
                <w:webHidden/>
              </w:rPr>
              <w:instrText xml:space="preserve"> PAGEREF _Toc216002770 \h </w:instrText>
            </w:r>
            <w:r>
              <w:rPr>
                <w:noProof/>
                <w:webHidden/>
              </w:rPr>
            </w:r>
            <w:r>
              <w:rPr>
                <w:noProof/>
                <w:webHidden/>
              </w:rPr>
              <w:fldChar w:fldCharType="separate"/>
            </w:r>
            <w:r>
              <w:rPr>
                <w:noProof/>
                <w:webHidden/>
              </w:rPr>
              <w:t>11</w:t>
            </w:r>
            <w:r>
              <w:rPr>
                <w:noProof/>
                <w:webHidden/>
              </w:rPr>
              <w:fldChar w:fldCharType="end"/>
            </w:r>
          </w:hyperlink>
        </w:p>
        <w:p w14:paraId="3A977BD2" w14:textId="3B7DF5B1" w:rsidR="00BF233E" w:rsidRDefault="00BF233E">
          <w:pPr>
            <w:pStyle w:val="TOC2"/>
            <w:tabs>
              <w:tab w:val="right" w:leader="dot" w:pos="9016"/>
            </w:tabs>
            <w:rPr>
              <w:rFonts w:eastAsiaTheme="minorEastAsia"/>
              <w:noProof/>
              <w:sz w:val="24"/>
              <w:szCs w:val="24"/>
              <w:lang w:eastAsia="en-GB"/>
            </w:rPr>
          </w:pPr>
          <w:hyperlink w:anchor="_Toc216002771" w:history="1">
            <w:r w:rsidRPr="00413641">
              <w:rPr>
                <w:rStyle w:val="Hyperlink"/>
                <w:rFonts w:ascii="Arial" w:hAnsi="Arial" w:cs="Arial"/>
                <w:noProof/>
              </w:rPr>
              <w:t>6.1 Digitalising and Standardising Recruitment Processes</w:t>
            </w:r>
            <w:r>
              <w:rPr>
                <w:noProof/>
                <w:webHidden/>
              </w:rPr>
              <w:tab/>
            </w:r>
            <w:r>
              <w:rPr>
                <w:noProof/>
                <w:webHidden/>
              </w:rPr>
              <w:fldChar w:fldCharType="begin"/>
            </w:r>
            <w:r>
              <w:rPr>
                <w:noProof/>
                <w:webHidden/>
              </w:rPr>
              <w:instrText xml:space="preserve"> PAGEREF _Toc216002771 \h </w:instrText>
            </w:r>
            <w:r>
              <w:rPr>
                <w:noProof/>
                <w:webHidden/>
              </w:rPr>
            </w:r>
            <w:r>
              <w:rPr>
                <w:noProof/>
                <w:webHidden/>
              </w:rPr>
              <w:fldChar w:fldCharType="separate"/>
            </w:r>
            <w:r>
              <w:rPr>
                <w:noProof/>
                <w:webHidden/>
              </w:rPr>
              <w:t>12</w:t>
            </w:r>
            <w:r>
              <w:rPr>
                <w:noProof/>
                <w:webHidden/>
              </w:rPr>
              <w:fldChar w:fldCharType="end"/>
            </w:r>
          </w:hyperlink>
        </w:p>
        <w:p w14:paraId="6075ECF9" w14:textId="4E3B8133" w:rsidR="00BF233E" w:rsidRDefault="00BF233E">
          <w:pPr>
            <w:pStyle w:val="TOC2"/>
            <w:tabs>
              <w:tab w:val="right" w:leader="dot" w:pos="9016"/>
            </w:tabs>
            <w:rPr>
              <w:rFonts w:eastAsiaTheme="minorEastAsia"/>
              <w:noProof/>
              <w:sz w:val="24"/>
              <w:szCs w:val="24"/>
              <w:lang w:eastAsia="en-GB"/>
            </w:rPr>
          </w:pPr>
          <w:hyperlink w:anchor="_Toc216002772" w:history="1">
            <w:r w:rsidRPr="00413641">
              <w:rPr>
                <w:rStyle w:val="Hyperlink"/>
                <w:rFonts w:ascii="Arial" w:hAnsi="Arial" w:cs="Arial"/>
                <w:noProof/>
              </w:rPr>
              <w:t>6.2 Ensuring Equitable and Inclusive Access to Development</w:t>
            </w:r>
            <w:r>
              <w:rPr>
                <w:noProof/>
                <w:webHidden/>
              </w:rPr>
              <w:tab/>
            </w:r>
            <w:r>
              <w:rPr>
                <w:noProof/>
                <w:webHidden/>
              </w:rPr>
              <w:fldChar w:fldCharType="begin"/>
            </w:r>
            <w:r>
              <w:rPr>
                <w:noProof/>
                <w:webHidden/>
              </w:rPr>
              <w:instrText xml:space="preserve"> PAGEREF _Toc216002772 \h </w:instrText>
            </w:r>
            <w:r>
              <w:rPr>
                <w:noProof/>
                <w:webHidden/>
              </w:rPr>
            </w:r>
            <w:r>
              <w:rPr>
                <w:noProof/>
                <w:webHidden/>
              </w:rPr>
              <w:fldChar w:fldCharType="separate"/>
            </w:r>
            <w:r>
              <w:rPr>
                <w:noProof/>
                <w:webHidden/>
              </w:rPr>
              <w:t>12</w:t>
            </w:r>
            <w:r>
              <w:rPr>
                <w:noProof/>
                <w:webHidden/>
              </w:rPr>
              <w:fldChar w:fldCharType="end"/>
            </w:r>
          </w:hyperlink>
        </w:p>
        <w:p w14:paraId="2710E373" w14:textId="1721AC38" w:rsidR="00BF233E" w:rsidRDefault="00BF233E">
          <w:pPr>
            <w:pStyle w:val="TOC2"/>
            <w:tabs>
              <w:tab w:val="right" w:leader="dot" w:pos="9016"/>
            </w:tabs>
            <w:rPr>
              <w:rFonts w:eastAsiaTheme="minorEastAsia"/>
              <w:noProof/>
              <w:sz w:val="24"/>
              <w:szCs w:val="24"/>
              <w:lang w:eastAsia="en-GB"/>
            </w:rPr>
          </w:pPr>
          <w:hyperlink w:anchor="_Toc216002773" w:history="1">
            <w:r w:rsidRPr="00413641">
              <w:rPr>
                <w:rStyle w:val="Hyperlink"/>
                <w:rFonts w:ascii="Arial" w:hAnsi="Arial" w:cs="Arial"/>
                <w:noProof/>
              </w:rPr>
              <w:t>6.3 Strengthening Front-Line Leadership Capability and Accountability</w:t>
            </w:r>
            <w:r>
              <w:rPr>
                <w:noProof/>
                <w:webHidden/>
              </w:rPr>
              <w:tab/>
            </w:r>
            <w:r>
              <w:rPr>
                <w:noProof/>
                <w:webHidden/>
              </w:rPr>
              <w:fldChar w:fldCharType="begin"/>
            </w:r>
            <w:r>
              <w:rPr>
                <w:noProof/>
                <w:webHidden/>
              </w:rPr>
              <w:instrText xml:space="preserve"> PAGEREF _Toc216002773 \h </w:instrText>
            </w:r>
            <w:r>
              <w:rPr>
                <w:noProof/>
                <w:webHidden/>
              </w:rPr>
            </w:r>
            <w:r>
              <w:rPr>
                <w:noProof/>
                <w:webHidden/>
              </w:rPr>
              <w:fldChar w:fldCharType="separate"/>
            </w:r>
            <w:r>
              <w:rPr>
                <w:noProof/>
                <w:webHidden/>
              </w:rPr>
              <w:t>13</w:t>
            </w:r>
            <w:r>
              <w:rPr>
                <w:noProof/>
                <w:webHidden/>
              </w:rPr>
              <w:fldChar w:fldCharType="end"/>
            </w:r>
          </w:hyperlink>
        </w:p>
        <w:p w14:paraId="4DF28832" w14:textId="6DB4250F" w:rsidR="00BF233E" w:rsidRDefault="00BF233E">
          <w:pPr>
            <w:pStyle w:val="TOC1"/>
            <w:tabs>
              <w:tab w:val="right" w:leader="dot" w:pos="9016"/>
            </w:tabs>
            <w:rPr>
              <w:rFonts w:eastAsiaTheme="minorEastAsia"/>
              <w:noProof/>
              <w:sz w:val="24"/>
              <w:szCs w:val="24"/>
              <w:lang w:eastAsia="en-GB"/>
            </w:rPr>
          </w:pPr>
          <w:hyperlink w:anchor="_Toc216002774" w:history="1">
            <w:r w:rsidRPr="00413641">
              <w:rPr>
                <w:rStyle w:val="Hyperlink"/>
                <w:rFonts w:ascii="Arial" w:hAnsi="Arial" w:cs="Arial"/>
                <w:noProof/>
              </w:rPr>
              <w:t>7.0 References</w:t>
            </w:r>
            <w:r>
              <w:rPr>
                <w:noProof/>
                <w:webHidden/>
              </w:rPr>
              <w:tab/>
            </w:r>
            <w:r>
              <w:rPr>
                <w:noProof/>
                <w:webHidden/>
              </w:rPr>
              <w:fldChar w:fldCharType="begin"/>
            </w:r>
            <w:r>
              <w:rPr>
                <w:noProof/>
                <w:webHidden/>
              </w:rPr>
              <w:instrText xml:space="preserve"> PAGEREF _Toc216002774 \h </w:instrText>
            </w:r>
            <w:r>
              <w:rPr>
                <w:noProof/>
                <w:webHidden/>
              </w:rPr>
            </w:r>
            <w:r>
              <w:rPr>
                <w:noProof/>
                <w:webHidden/>
              </w:rPr>
              <w:fldChar w:fldCharType="separate"/>
            </w:r>
            <w:r>
              <w:rPr>
                <w:noProof/>
                <w:webHidden/>
              </w:rPr>
              <w:t>14</w:t>
            </w:r>
            <w:r>
              <w:rPr>
                <w:noProof/>
                <w:webHidden/>
              </w:rPr>
              <w:fldChar w:fldCharType="end"/>
            </w:r>
          </w:hyperlink>
        </w:p>
        <w:p w14:paraId="6C5FC2B3" w14:textId="7067185B" w:rsidR="00BF233E" w:rsidRDefault="00BF233E">
          <w:pPr>
            <w:pStyle w:val="TOC1"/>
            <w:tabs>
              <w:tab w:val="right" w:leader="dot" w:pos="9016"/>
            </w:tabs>
            <w:rPr>
              <w:rFonts w:eastAsiaTheme="minorEastAsia"/>
              <w:noProof/>
              <w:sz w:val="24"/>
              <w:szCs w:val="24"/>
              <w:lang w:eastAsia="en-GB"/>
            </w:rPr>
          </w:pPr>
          <w:hyperlink w:anchor="_Toc216002775" w:history="1">
            <w:r w:rsidRPr="00413641">
              <w:rPr>
                <w:rStyle w:val="Hyperlink"/>
                <w:rFonts w:ascii="Arial" w:eastAsia="Arial" w:hAnsi="Arial" w:cs="Arial"/>
                <w:noProof/>
              </w:rPr>
              <w:t>8.0 Appendix</w:t>
            </w:r>
            <w:r>
              <w:rPr>
                <w:noProof/>
                <w:webHidden/>
              </w:rPr>
              <w:tab/>
            </w:r>
            <w:r>
              <w:rPr>
                <w:noProof/>
                <w:webHidden/>
              </w:rPr>
              <w:fldChar w:fldCharType="begin"/>
            </w:r>
            <w:r>
              <w:rPr>
                <w:noProof/>
                <w:webHidden/>
              </w:rPr>
              <w:instrText xml:space="preserve"> PAGEREF _Toc216002775 \h </w:instrText>
            </w:r>
            <w:r>
              <w:rPr>
                <w:noProof/>
                <w:webHidden/>
              </w:rPr>
            </w:r>
            <w:r>
              <w:rPr>
                <w:noProof/>
                <w:webHidden/>
              </w:rPr>
              <w:fldChar w:fldCharType="separate"/>
            </w:r>
            <w:r>
              <w:rPr>
                <w:noProof/>
                <w:webHidden/>
              </w:rPr>
              <w:t>20</w:t>
            </w:r>
            <w:r>
              <w:rPr>
                <w:noProof/>
                <w:webHidden/>
              </w:rPr>
              <w:fldChar w:fldCharType="end"/>
            </w:r>
          </w:hyperlink>
        </w:p>
        <w:p w14:paraId="30BD3361" w14:textId="2D580E65" w:rsidR="00BF233E" w:rsidRDefault="00BF233E">
          <w:pPr>
            <w:pStyle w:val="TOC2"/>
            <w:tabs>
              <w:tab w:val="right" w:leader="dot" w:pos="9016"/>
            </w:tabs>
            <w:rPr>
              <w:rFonts w:eastAsiaTheme="minorEastAsia"/>
              <w:noProof/>
              <w:sz w:val="24"/>
              <w:szCs w:val="24"/>
              <w:lang w:eastAsia="en-GB"/>
            </w:rPr>
          </w:pPr>
          <w:hyperlink w:anchor="_Toc216002776" w:history="1">
            <w:r w:rsidRPr="00413641">
              <w:rPr>
                <w:rStyle w:val="Hyperlink"/>
                <w:rFonts w:ascii="Arial" w:hAnsi="Arial" w:cs="Arial"/>
                <w:noProof/>
              </w:rPr>
              <w:t>Appendix 1</w:t>
            </w:r>
            <w:r>
              <w:rPr>
                <w:noProof/>
                <w:webHidden/>
              </w:rPr>
              <w:tab/>
            </w:r>
            <w:r>
              <w:rPr>
                <w:noProof/>
                <w:webHidden/>
              </w:rPr>
              <w:fldChar w:fldCharType="begin"/>
            </w:r>
            <w:r>
              <w:rPr>
                <w:noProof/>
                <w:webHidden/>
              </w:rPr>
              <w:instrText xml:space="preserve"> PAGEREF _Toc216002776 \h </w:instrText>
            </w:r>
            <w:r>
              <w:rPr>
                <w:noProof/>
                <w:webHidden/>
              </w:rPr>
            </w:r>
            <w:r>
              <w:rPr>
                <w:noProof/>
                <w:webHidden/>
              </w:rPr>
              <w:fldChar w:fldCharType="separate"/>
            </w:r>
            <w:r>
              <w:rPr>
                <w:noProof/>
                <w:webHidden/>
              </w:rPr>
              <w:t>20</w:t>
            </w:r>
            <w:r>
              <w:rPr>
                <w:noProof/>
                <w:webHidden/>
              </w:rPr>
              <w:fldChar w:fldCharType="end"/>
            </w:r>
          </w:hyperlink>
        </w:p>
        <w:p w14:paraId="1C1076D8" w14:textId="6568EEDF" w:rsidR="283FD3C0" w:rsidRPr="001836AD" w:rsidRDefault="283FD3C0" w:rsidP="001836AD">
          <w:pPr>
            <w:pStyle w:val="TOC1"/>
            <w:tabs>
              <w:tab w:val="right" w:leader="dot" w:pos="9015"/>
            </w:tabs>
            <w:jc w:val="both"/>
            <w:rPr>
              <w:rStyle w:val="Hyperlink"/>
              <w:rFonts w:ascii="Arial" w:hAnsi="Arial" w:cs="Arial"/>
              <w:sz w:val="24"/>
              <w:szCs w:val="24"/>
            </w:rPr>
          </w:pPr>
          <w:r w:rsidRPr="001836AD">
            <w:rPr>
              <w:rFonts w:ascii="Arial" w:hAnsi="Arial" w:cs="Arial"/>
              <w:sz w:val="24"/>
              <w:szCs w:val="24"/>
            </w:rPr>
            <w:fldChar w:fldCharType="end"/>
          </w:r>
        </w:p>
      </w:sdtContent>
    </w:sdt>
    <w:p w14:paraId="295A69F5" w14:textId="48EC705F" w:rsidR="003A01EE" w:rsidRPr="001836AD" w:rsidRDefault="003A01EE" w:rsidP="001836AD">
      <w:pPr>
        <w:jc w:val="both"/>
        <w:rPr>
          <w:rFonts w:ascii="Arial" w:eastAsia="Arial" w:hAnsi="Arial" w:cs="Arial"/>
          <w:sz w:val="24"/>
          <w:szCs w:val="24"/>
        </w:rPr>
      </w:pPr>
    </w:p>
    <w:p w14:paraId="2ACBFE81" w14:textId="77777777" w:rsidR="00D02C88" w:rsidRPr="001836AD" w:rsidRDefault="00D02C88" w:rsidP="001836AD">
      <w:pPr>
        <w:jc w:val="both"/>
        <w:rPr>
          <w:rFonts w:ascii="Arial" w:eastAsia="Arial" w:hAnsi="Arial" w:cs="Arial"/>
          <w:sz w:val="24"/>
          <w:szCs w:val="24"/>
        </w:rPr>
      </w:pPr>
    </w:p>
    <w:p w14:paraId="71D320C7" w14:textId="77777777" w:rsidR="00D02C88" w:rsidRPr="001836AD" w:rsidRDefault="00D02C88" w:rsidP="001836AD">
      <w:pPr>
        <w:jc w:val="both"/>
        <w:rPr>
          <w:rFonts w:ascii="Arial" w:eastAsia="Arial" w:hAnsi="Arial" w:cs="Arial"/>
          <w:sz w:val="24"/>
          <w:szCs w:val="24"/>
        </w:rPr>
      </w:pPr>
    </w:p>
    <w:p w14:paraId="708F1748" w14:textId="77777777" w:rsidR="00D02C88" w:rsidRPr="001836AD" w:rsidRDefault="00D02C88" w:rsidP="001836AD">
      <w:pPr>
        <w:jc w:val="both"/>
        <w:rPr>
          <w:rFonts w:ascii="Arial" w:eastAsia="Arial" w:hAnsi="Arial" w:cs="Arial"/>
          <w:sz w:val="24"/>
          <w:szCs w:val="24"/>
        </w:rPr>
      </w:pPr>
    </w:p>
    <w:p w14:paraId="47220D49" w14:textId="77777777" w:rsidR="00FA6D79" w:rsidRDefault="00FA6D79" w:rsidP="001836AD">
      <w:pPr>
        <w:spacing w:after="0" w:line="360" w:lineRule="auto"/>
        <w:jc w:val="both"/>
        <w:rPr>
          <w:rFonts w:ascii="Arial" w:eastAsia="Arial" w:hAnsi="Arial" w:cs="Arial"/>
          <w:kern w:val="0"/>
          <w:sz w:val="24"/>
          <w:szCs w:val="24"/>
          <w:lang w:eastAsia="en-GB"/>
          <w14:ligatures w14:val="none"/>
        </w:rPr>
      </w:pPr>
    </w:p>
    <w:p w14:paraId="732388A9" w14:textId="77777777" w:rsidR="00662C3D" w:rsidRPr="001836AD" w:rsidRDefault="00662C3D" w:rsidP="001836AD">
      <w:pPr>
        <w:spacing w:after="0" w:line="360" w:lineRule="auto"/>
        <w:jc w:val="both"/>
        <w:rPr>
          <w:rFonts w:ascii="Arial" w:eastAsia="Arial" w:hAnsi="Arial" w:cs="Arial"/>
          <w:kern w:val="0"/>
          <w:sz w:val="24"/>
          <w:szCs w:val="24"/>
          <w:lang w:eastAsia="en-GB"/>
          <w14:ligatures w14:val="none"/>
        </w:rPr>
      </w:pPr>
    </w:p>
    <w:p w14:paraId="2AA01724" w14:textId="77777777" w:rsidR="00FA6D79" w:rsidRPr="001836AD" w:rsidRDefault="00FA6D79" w:rsidP="001836AD">
      <w:pPr>
        <w:spacing w:after="0" w:line="360" w:lineRule="auto"/>
        <w:jc w:val="both"/>
        <w:rPr>
          <w:rFonts w:ascii="Arial" w:eastAsia="Arial" w:hAnsi="Arial" w:cs="Arial"/>
          <w:kern w:val="0"/>
          <w:sz w:val="24"/>
          <w:szCs w:val="24"/>
          <w:lang w:eastAsia="en-GB"/>
          <w14:ligatures w14:val="none"/>
        </w:rPr>
      </w:pPr>
    </w:p>
    <w:p w14:paraId="72F782DF" w14:textId="77777777" w:rsidR="00FA6D79" w:rsidRDefault="00FA6D79" w:rsidP="001836AD">
      <w:pPr>
        <w:spacing w:after="0" w:line="360" w:lineRule="auto"/>
        <w:jc w:val="both"/>
        <w:rPr>
          <w:rFonts w:ascii="Arial" w:eastAsia="Arial" w:hAnsi="Arial" w:cs="Arial"/>
          <w:kern w:val="0"/>
          <w:sz w:val="24"/>
          <w:szCs w:val="24"/>
          <w:lang w:eastAsia="en-GB"/>
          <w14:ligatures w14:val="none"/>
        </w:rPr>
      </w:pPr>
    </w:p>
    <w:p w14:paraId="7FC2AA2A" w14:textId="77777777" w:rsidR="00662C3D" w:rsidRPr="001836AD" w:rsidRDefault="00662C3D" w:rsidP="001836AD">
      <w:pPr>
        <w:spacing w:after="0" w:line="360" w:lineRule="auto"/>
        <w:jc w:val="both"/>
        <w:rPr>
          <w:rFonts w:ascii="Arial" w:eastAsia="Arial" w:hAnsi="Arial" w:cs="Arial"/>
          <w:kern w:val="0"/>
          <w:sz w:val="24"/>
          <w:szCs w:val="24"/>
          <w:lang w:eastAsia="en-GB"/>
          <w14:ligatures w14:val="none"/>
        </w:rPr>
      </w:pPr>
    </w:p>
    <w:p w14:paraId="4817058A" w14:textId="5AFC69F0" w:rsidR="004C725D" w:rsidRDefault="7A5F7F00" w:rsidP="00742500">
      <w:pPr>
        <w:pStyle w:val="Heading1"/>
        <w:rPr>
          <w:rFonts w:ascii="Arial" w:hAnsi="Arial" w:cs="Arial"/>
          <w:sz w:val="24"/>
          <w:szCs w:val="24"/>
        </w:rPr>
      </w:pPr>
      <w:bookmarkStart w:id="0" w:name="_Toc216002754"/>
      <w:commentRangeStart w:id="1"/>
      <w:r w:rsidRPr="00742500">
        <w:rPr>
          <w:rFonts w:ascii="Arial" w:hAnsi="Arial" w:cs="Arial"/>
          <w:sz w:val="24"/>
          <w:szCs w:val="24"/>
        </w:rPr>
        <w:lastRenderedPageBreak/>
        <w:t>Executive Summary</w:t>
      </w:r>
      <w:commentRangeEnd w:id="1"/>
      <w:r w:rsidR="009E4CB9" w:rsidRPr="00742500">
        <w:rPr>
          <w:rStyle w:val="CommentReference"/>
          <w:rFonts w:ascii="Arial" w:hAnsi="Arial" w:cs="Arial"/>
          <w:sz w:val="24"/>
          <w:szCs w:val="24"/>
        </w:rPr>
        <w:commentReference w:id="1"/>
      </w:r>
      <w:bookmarkEnd w:id="0"/>
    </w:p>
    <w:p w14:paraId="7FE3EDE4" w14:textId="77777777" w:rsidR="00662C3D" w:rsidRPr="00662C3D" w:rsidRDefault="00662C3D" w:rsidP="00662C3D"/>
    <w:p w14:paraId="2F45D6DA" w14:textId="42F2FE44" w:rsidR="00A64187" w:rsidRPr="00A64187" w:rsidRDefault="00A64187" w:rsidP="001836AD">
      <w:pPr>
        <w:jc w:val="both"/>
        <w:rPr>
          <w:rFonts w:ascii="Arial" w:eastAsia="Arial" w:hAnsi="Arial" w:cs="Arial"/>
          <w:sz w:val="24"/>
          <w:szCs w:val="24"/>
        </w:rPr>
      </w:pPr>
      <w:r w:rsidRPr="00A64187">
        <w:rPr>
          <w:rFonts w:ascii="Arial" w:eastAsia="Arial" w:hAnsi="Arial" w:cs="Arial"/>
          <w:sz w:val="24"/>
          <w:szCs w:val="24"/>
        </w:rPr>
        <w:t>Arla Food Ingredients (AFI UK) operates in a specialist dairy and nutrition sector where success depends on attracting and developing expertise in engineering, food science, digital capability and supply chain. External pressures</w:t>
      </w:r>
      <w:r w:rsidR="00510FFF">
        <w:rPr>
          <w:rFonts w:ascii="Arial" w:eastAsia="Arial" w:hAnsi="Arial" w:cs="Arial"/>
          <w:sz w:val="24"/>
          <w:szCs w:val="24"/>
        </w:rPr>
        <w:t xml:space="preserve"> </w:t>
      </w:r>
      <w:r w:rsidRPr="00A64187">
        <w:rPr>
          <w:rFonts w:ascii="Arial" w:eastAsia="Arial" w:hAnsi="Arial" w:cs="Arial"/>
          <w:sz w:val="24"/>
          <w:szCs w:val="24"/>
        </w:rPr>
        <w:t>including national shortages in STEM and digital skills, rapid technological change and rising expectations around job quality, flexibility and purpose</w:t>
      </w:r>
      <w:r w:rsidR="00510FFF">
        <w:rPr>
          <w:rFonts w:ascii="Arial" w:eastAsia="Arial" w:hAnsi="Arial" w:cs="Arial"/>
          <w:sz w:val="24"/>
          <w:szCs w:val="24"/>
        </w:rPr>
        <w:t xml:space="preserve"> </w:t>
      </w:r>
      <w:r w:rsidRPr="00A64187">
        <w:rPr>
          <w:rFonts w:ascii="Arial" w:eastAsia="Arial" w:hAnsi="Arial" w:cs="Arial"/>
          <w:sz w:val="24"/>
          <w:szCs w:val="24"/>
        </w:rPr>
        <w:t>shape AFI’s talent needs. These challenges are particularly acute at the west Wales site, where rural geography and limited labour mobility restrict access to specialist talent. Internally, AFI benefits from strong cultural foundations, a structured People Calendar, effective onboarding and growing investment in leadership and capability development. However, disparities in access to development between office and shift-based employees, limited digitalisation of recruitment and insufficient workforce analytics constrain AFI’s ability to compete for and retain key skills.</w:t>
      </w:r>
    </w:p>
    <w:p w14:paraId="25503061" w14:textId="77777777" w:rsidR="00A64187" w:rsidRPr="00A64187" w:rsidRDefault="00A64187" w:rsidP="001836AD">
      <w:pPr>
        <w:jc w:val="both"/>
        <w:rPr>
          <w:rFonts w:ascii="Arial" w:eastAsia="Arial" w:hAnsi="Arial" w:cs="Arial"/>
          <w:sz w:val="24"/>
          <w:szCs w:val="24"/>
        </w:rPr>
      </w:pPr>
      <w:r w:rsidRPr="00A64187">
        <w:rPr>
          <w:rFonts w:ascii="Arial" w:eastAsia="Arial" w:hAnsi="Arial" w:cs="Arial"/>
          <w:sz w:val="24"/>
          <w:szCs w:val="24"/>
        </w:rPr>
        <w:t>Aligned with CIPD’s 2024 findings on talent competition, digital recruitment and the need to build skills in-house, AFI performs well in internal capability-building but lags in digital talent processes, sourcing diversity and inclusive development access. To strengthen future workforce resilience, the report recommends enhancing employer branding and sourcing channels, digitalising and standardising recruitment, creating equitable learning opportunities for shift-based colleagues, developing consistent frontline leadership capability, improving wellbeing and rota flexibility for operational employees, and implementing strategic workforce planning. Collectively, these actions will enable AFI UK to build a more inclusive, skilled and future-ready workforce that supports both operational performance and its purpose-led, cooperative mission.</w:t>
      </w:r>
    </w:p>
    <w:p w14:paraId="156E130F" w14:textId="3BB27E3B" w:rsidR="00EC464B" w:rsidRPr="00742500" w:rsidRDefault="00742500" w:rsidP="00742500">
      <w:pPr>
        <w:pStyle w:val="Heading1"/>
        <w:rPr>
          <w:rFonts w:ascii="Arial" w:hAnsi="Arial" w:cs="Arial"/>
          <w:sz w:val="24"/>
          <w:szCs w:val="24"/>
        </w:rPr>
      </w:pPr>
      <w:bookmarkStart w:id="2" w:name="_Toc216002755"/>
      <w:r>
        <w:rPr>
          <w:rFonts w:ascii="Arial" w:hAnsi="Arial" w:cs="Arial"/>
          <w:sz w:val="24"/>
          <w:szCs w:val="24"/>
        </w:rPr>
        <w:t xml:space="preserve">1.0 </w:t>
      </w:r>
      <w:r w:rsidR="7A5F7F00" w:rsidRPr="00742500">
        <w:rPr>
          <w:rFonts w:ascii="Arial" w:hAnsi="Arial" w:cs="Arial"/>
          <w:sz w:val="24"/>
          <w:szCs w:val="24"/>
        </w:rPr>
        <w:t>Introduction</w:t>
      </w:r>
      <w:bookmarkEnd w:id="2"/>
    </w:p>
    <w:p w14:paraId="6F6EC792" w14:textId="77777777" w:rsidR="00867E19" w:rsidRPr="00742500" w:rsidRDefault="00867E19" w:rsidP="001836AD">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742500">
        <w:rPr>
          <w:rFonts w:ascii="Arial" w:eastAsia="Times New Roman" w:hAnsi="Arial" w:cs="Arial"/>
          <w:kern w:val="0"/>
          <w:sz w:val="24"/>
          <w:szCs w:val="24"/>
          <w:lang w:eastAsia="en-GB"/>
          <w14:ligatures w14:val="none"/>
        </w:rPr>
        <w:t>Talent management refers to the integrated organisational processes used to attract, develop, engage and retain individuals whose skills and behaviours are critical to long-term organisational performance (CIPD, 2023). It is widely understood as a continuous cycle encompassing recruitment, learning and development, performance management, succession planning and employee experience, all of which must align with business strategy to ensure current and future capability needs are met. Effective talent management increasingly depends on an employee value proposition that supports development, wellbeing, inclusion and long-term retention.</w:t>
      </w:r>
    </w:p>
    <w:p w14:paraId="4ADF1DE7" w14:textId="582BC092" w:rsidR="00FA0E33" w:rsidRPr="00232996" w:rsidRDefault="00867E19" w:rsidP="001836AD">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742500">
        <w:rPr>
          <w:rFonts w:ascii="Arial" w:eastAsia="Times New Roman" w:hAnsi="Arial" w:cs="Arial"/>
          <w:kern w:val="0"/>
          <w:sz w:val="24"/>
          <w:szCs w:val="24"/>
          <w:lang w:eastAsia="en-GB"/>
          <w14:ligatures w14:val="none"/>
        </w:rPr>
        <w:t>Within this context, Arla Food Ingredients (AFI UK)</w:t>
      </w:r>
      <w:r w:rsidR="00F82323">
        <w:rPr>
          <w:rFonts w:ascii="Arial" w:eastAsia="Times New Roman" w:hAnsi="Arial" w:cs="Arial"/>
          <w:kern w:val="0"/>
          <w:sz w:val="24"/>
          <w:szCs w:val="24"/>
          <w:lang w:eastAsia="en-GB"/>
          <w14:ligatures w14:val="none"/>
        </w:rPr>
        <w:t xml:space="preserve"> </w:t>
      </w:r>
      <w:r w:rsidRPr="00742500">
        <w:rPr>
          <w:rFonts w:ascii="Arial" w:eastAsia="Times New Roman" w:hAnsi="Arial" w:cs="Arial"/>
          <w:kern w:val="0"/>
          <w:sz w:val="24"/>
          <w:szCs w:val="24"/>
          <w:lang w:eastAsia="en-GB"/>
          <w14:ligatures w14:val="none"/>
        </w:rPr>
        <w:t>a specialist division of the Arla Foods cooperative</w:t>
      </w:r>
      <w:r w:rsidR="00510FFF">
        <w:rPr>
          <w:rFonts w:ascii="Arial" w:eastAsia="Times New Roman" w:hAnsi="Arial" w:cs="Arial"/>
          <w:kern w:val="0"/>
          <w:sz w:val="24"/>
          <w:szCs w:val="24"/>
          <w:lang w:eastAsia="en-GB"/>
          <w14:ligatures w14:val="none"/>
        </w:rPr>
        <w:t xml:space="preserve"> </w:t>
      </w:r>
      <w:r w:rsidRPr="00742500">
        <w:rPr>
          <w:rFonts w:ascii="Arial" w:eastAsia="Times New Roman" w:hAnsi="Arial" w:cs="Arial"/>
          <w:kern w:val="0"/>
          <w:sz w:val="24"/>
          <w:szCs w:val="24"/>
          <w:lang w:eastAsia="en-GB"/>
          <w14:ligatures w14:val="none"/>
        </w:rPr>
        <w:t xml:space="preserve">operates in the advanced dairy and nutrition sector where </w:t>
      </w:r>
      <w:r w:rsidRPr="00232996">
        <w:rPr>
          <w:rFonts w:ascii="Arial" w:eastAsia="Times New Roman" w:hAnsi="Arial" w:cs="Arial"/>
          <w:kern w:val="0"/>
          <w:sz w:val="24"/>
          <w:szCs w:val="24"/>
          <w:lang w:eastAsia="en-GB"/>
          <w14:ligatures w14:val="none"/>
        </w:rPr>
        <w:t xml:space="preserve">competitive advantage is driven by technical expertise across engineering, food science, digital systems and supply chain. The organisation faces intensifying competition for scarce specialist and STEM-related skills, reflecting national skills shortages (EngineeringUK, 2023; UKCES, 2022), and an increasing need to build internal capability to sustain growth. At the same time, workforce expectations have evolved beyond pay towards holistic value propositions incorporating learning, wellbeing, flexibility, purpose and meaningful work (Tanwar and Kumar, 2019). AFI UK utilises a structured annual People Calendar (Arla Foods, 2023) to coordinate </w:t>
      </w:r>
      <w:r w:rsidRPr="00232996">
        <w:rPr>
          <w:rFonts w:ascii="Arial" w:eastAsia="Times New Roman" w:hAnsi="Arial" w:cs="Arial"/>
          <w:kern w:val="0"/>
          <w:sz w:val="24"/>
          <w:szCs w:val="24"/>
          <w:lang w:eastAsia="en-GB"/>
          <w14:ligatures w14:val="none"/>
        </w:rPr>
        <w:lastRenderedPageBreak/>
        <w:t>performance management, talent review, engagement activity and organisational health, supporting leadership accountability and enabling more consistent development pathways across its sites.</w:t>
      </w:r>
    </w:p>
    <w:p w14:paraId="33FE2F23" w14:textId="77777777" w:rsidR="0026475A" w:rsidRDefault="0026475A" w:rsidP="00742500">
      <w:pPr>
        <w:pStyle w:val="Heading1"/>
        <w:rPr>
          <w:rFonts w:ascii="Arial" w:hAnsi="Arial" w:cs="Arial"/>
          <w:sz w:val="24"/>
          <w:szCs w:val="24"/>
        </w:rPr>
      </w:pPr>
    </w:p>
    <w:p w14:paraId="269E3E64" w14:textId="178A6981" w:rsidR="00EC464B" w:rsidRPr="00232996" w:rsidRDefault="7869BCEA" w:rsidP="00742500">
      <w:pPr>
        <w:pStyle w:val="Heading1"/>
        <w:rPr>
          <w:rFonts w:ascii="Arial" w:hAnsi="Arial" w:cs="Arial"/>
          <w:sz w:val="24"/>
          <w:szCs w:val="24"/>
        </w:rPr>
      </w:pPr>
      <w:bookmarkStart w:id="3" w:name="_Toc216002756"/>
      <w:commentRangeStart w:id="4"/>
      <w:commentRangeStart w:id="5"/>
      <w:r w:rsidRPr="00232996">
        <w:rPr>
          <w:rFonts w:ascii="Arial" w:hAnsi="Arial" w:cs="Arial"/>
          <w:sz w:val="24"/>
          <w:szCs w:val="24"/>
        </w:rPr>
        <w:t xml:space="preserve">2.0 External </w:t>
      </w:r>
      <w:r w:rsidR="7A5F7F00" w:rsidRPr="00232996">
        <w:rPr>
          <w:rFonts w:ascii="Arial" w:hAnsi="Arial" w:cs="Arial"/>
          <w:sz w:val="24"/>
          <w:szCs w:val="24"/>
        </w:rPr>
        <w:t>Factors</w:t>
      </w:r>
      <w:r w:rsidR="4445F9FE" w:rsidRPr="00232996">
        <w:rPr>
          <w:rFonts w:ascii="Arial" w:hAnsi="Arial" w:cs="Arial"/>
          <w:sz w:val="24"/>
          <w:szCs w:val="24"/>
        </w:rPr>
        <w:t xml:space="preserve"> impacting Talent Management</w:t>
      </w:r>
      <w:r w:rsidR="0A5D2B3B" w:rsidRPr="00232996">
        <w:rPr>
          <w:rFonts w:ascii="Arial" w:hAnsi="Arial" w:cs="Arial"/>
          <w:sz w:val="24"/>
          <w:szCs w:val="24"/>
        </w:rPr>
        <w:t xml:space="preserve"> at AFI</w:t>
      </w:r>
      <w:commentRangeEnd w:id="4"/>
      <w:r w:rsidR="00FC4CDD" w:rsidRPr="00232996">
        <w:rPr>
          <w:rStyle w:val="CommentReference"/>
          <w:rFonts w:ascii="Arial" w:hAnsi="Arial" w:cs="Arial"/>
          <w:sz w:val="24"/>
          <w:szCs w:val="24"/>
        </w:rPr>
        <w:commentReference w:id="4"/>
      </w:r>
      <w:commentRangeEnd w:id="5"/>
      <w:r w:rsidR="002C2E36" w:rsidRPr="00232996">
        <w:rPr>
          <w:rStyle w:val="CommentReference"/>
          <w:rFonts w:ascii="Arial" w:hAnsi="Arial" w:cs="Arial"/>
          <w:sz w:val="24"/>
          <w:szCs w:val="24"/>
        </w:rPr>
        <w:commentReference w:id="5"/>
      </w:r>
      <w:bookmarkEnd w:id="3"/>
    </w:p>
    <w:p w14:paraId="2A2EBF0A" w14:textId="3963312D" w:rsidR="283FD3C0" w:rsidRDefault="7869BCEA" w:rsidP="00742500">
      <w:pPr>
        <w:pStyle w:val="Heading2"/>
        <w:rPr>
          <w:rFonts w:ascii="Arial" w:hAnsi="Arial" w:cs="Arial"/>
          <w:sz w:val="24"/>
          <w:szCs w:val="24"/>
        </w:rPr>
      </w:pPr>
      <w:bookmarkStart w:id="6" w:name="_Toc216002757"/>
      <w:r w:rsidRPr="00232996">
        <w:rPr>
          <w:rFonts w:ascii="Arial" w:hAnsi="Arial" w:cs="Arial"/>
          <w:sz w:val="24"/>
          <w:szCs w:val="24"/>
        </w:rPr>
        <w:t>2.1 Labour Market Conditions and Talent Scarcity</w:t>
      </w:r>
      <w:bookmarkEnd w:id="6"/>
    </w:p>
    <w:p w14:paraId="772F4209" w14:textId="7CE6A36D" w:rsidR="00243DED" w:rsidRPr="00243DED" w:rsidRDefault="00243DED" w:rsidP="001836AD">
      <w:pPr>
        <w:jc w:val="both"/>
        <w:rPr>
          <w:rFonts w:ascii="Arial" w:hAnsi="Arial" w:cs="Arial"/>
          <w:sz w:val="24"/>
          <w:szCs w:val="24"/>
        </w:rPr>
      </w:pPr>
      <w:r w:rsidRPr="00243DED">
        <w:rPr>
          <w:rFonts w:ascii="Arial" w:hAnsi="Arial" w:cs="Arial"/>
          <w:sz w:val="24"/>
          <w:szCs w:val="24"/>
        </w:rPr>
        <w:t xml:space="preserve">AFI UK operates within a national labour market characterised by persistent shortages in engineering, scientific and digital skills (CIPD, 2024; EngineeringUK, 2022). These pressures are more acute at the West Wales site, where rural geography, limited transport links and lower population density restrict access to specialist talent relative to AFI’s English locations (ONS, 2021; Bevan Foundation, 2021). Wales also produces proportionally fewer STEM graduates than England (HESA, 2023), further narrowing external pipelines for technical roles. AFI </w:t>
      </w:r>
      <w:r w:rsidR="00CE367A">
        <w:rPr>
          <w:rFonts w:ascii="Arial" w:hAnsi="Arial" w:cs="Arial"/>
          <w:sz w:val="24"/>
          <w:szCs w:val="24"/>
        </w:rPr>
        <w:t>w</w:t>
      </w:r>
      <w:r w:rsidRPr="00243DED">
        <w:rPr>
          <w:rFonts w:ascii="Arial" w:hAnsi="Arial" w:cs="Arial"/>
          <w:sz w:val="24"/>
          <w:szCs w:val="24"/>
        </w:rPr>
        <w:t>est Wales therefore competes in a structurally constrained labour market where attracting and retaining specialist capability is significantly more challenging</w:t>
      </w:r>
      <w:r w:rsidR="00F121A4">
        <w:rPr>
          <w:rFonts w:ascii="Arial" w:hAnsi="Arial" w:cs="Arial"/>
          <w:sz w:val="24"/>
          <w:szCs w:val="24"/>
        </w:rPr>
        <w:t xml:space="preserve"> (Appendix 1). </w:t>
      </w:r>
    </w:p>
    <w:p w14:paraId="6B053B0B" w14:textId="7F058F43" w:rsidR="00243DED" w:rsidRPr="00243DED" w:rsidRDefault="00243DED" w:rsidP="001836AD">
      <w:pPr>
        <w:jc w:val="both"/>
        <w:rPr>
          <w:rFonts w:ascii="Arial" w:hAnsi="Arial" w:cs="Arial"/>
          <w:sz w:val="24"/>
          <w:szCs w:val="24"/>
        </w:rPr>
      </w:pPr>
      <w:r w:rsidRPr="00243DED">
        <w:rPr>
          <w:rFonts w:ascii="Arial" w:hAnsi="Arial" w:cs="Arial"/>
          <w:sz w:val="24"/>
          <w:szCs w:val="24"/>
        </w:rPr>
        <w:t>Shifting workforce expectations amplify these pressures. Employees increasingly prioritise meaningful work, organisational purpose, job quality and fairness in flexibility (CIPD Good Work Index, 2024; Tanwar and Kumar, 2019). AFI’s cooperative ownership and sustainability-led mission provide a strong purpose-driven proposition, particularly attractive to early-career candidates. However, research shows that misalignment between purpose-based messaging and the lived employee experience can erode trust in the psychological contract (Nikolaou and Oostrom, 2015). In rural contexts</w:t>
      </w:r>
      <w:r w:rsidR="00510FFF">
        <w:rPr>
          <w:rFonts w:ascii="Arial" w:hAnsi="Arial" w:cs="Arial"/>
          <w:sz w:val="24"/>
          <w:szCs w:val="24"/>
        </w:rPr>
        <w:t xml:space="preserve"> </w:t>
      </w:r>
      <w:r w:rsidRPr="00243DED">
        <w:rPr>
          <w:rFonts w:ascii="Arial" w:hAnsi="Arial" w:cs="Arial"/>
          <w:sz w:val="24"/>
          <w:szCs w:val="24"/>
        </w:rPr>
        <w:t>where commutes are longer, alternatives limited and operational roles less flexible</w:t>
      </w:r>
      <w:r w:rsidR="00510FFF">
        <w:rPr>
          <w:rFonts w:ascii="Arial" w:hAnsi="Arial" w:cs="Arial"/>
          <w:sz w:val="24"/>
          <w:szCs w:val="24"/>
        </w:rPr>
        <w:t xml:space="preserve"> </w:t>
      </w:r>
      <w:r w:rsidRPr="00243DED">
        <w:rPr>
          <w:rFonts w:ascii="Arial" w:hAnsi="Arial" w:cs="Arial"/>
          <w:sz w:val="24"/>
          <w:szCs w:val="24"/>
        </w:rPr>
        <w:t>predictable rotas, shift-swapping options and tailored wellbeing support play a critical role in retention.</w:t>
      </w:r>
    </w:p>
    <w:p w14:paraId="42B704DD" w14:textId="48E3794B" w:rsidR="00243DED" w:rsidRPr="00243DED" w:rsidRDefault="00243DED" w:rsidP="001836AD">
      <w:pPr>
        <w:jc w:val="both"/>
        <w:rPr>
          <w:rFonts w:ascii="Arial" w:hAnsi="Arial" w:cs="Arial"/>
          <w:sz w:val="24"/>
          <w:szCs w:val="24"/>
        </w:rPr>
      </w:pPr>
      <w:r w:rsidRPr="00243DED">
        <w:rPr>
          <w:rFonts w:ascii="Arial" w:hAnsi="Arial" w:cs="Arial"/>
          <w:sz w:val="24"/>
          <w:szCs w:val="24"/>
        </w:rPr>
        <w:t xml:space="preserve">These labour market realities increase the strategic importance of building internal capability. CIPD (2024) emphasises that organisations facing skills shortages should invest in talent development, internal progression and robust onboarding to reduce reliance on external hiring. For AFI </w:t>
      </w:r>
      <w:r w:rsidR="00515168">
        <w:rPr>
          <w:rFonts w:ascii="Arial" w:hAnsi="Arial" w:cs="Arial"/>
          <w:sz w:val="24"/>
          <w:szCs w:val="24"/>
        </w:rPr>
        <w:t>w</w:t>
      </w:r>
      <w:r w:rsidRPr="00243DED">
        <w:rPr>
          <w:rFonts w:ascii="Arial" w:hAnsi="Arial" w:cs="Arial"/>
          <w:sz w:val="24"/>
          <w:szCs w:val="24"/>
        </w:rPr>
        <w:t>est Wales, the loss of a single specialist can create immediate operational strain, making effective early socialisation and retention essential. Structured onboarding and digital tools that enhance consistency and engagement are shown to support retention in skill-scarce environments (Frogeli, Jenner and Gustavsson, 2023; Mohdzaini, 2021). AFI’s existing strengths in apprenticeships, coaching and long-tenure internal progression illustrate how rural employers can mitigate labour scarcity by maximising internal capability.</w:t>
      </w:r>
    </w:p>
    <w:p w14:paraId="7C21DBFA" w14:textId="77777777" w:rsidR="0026475A" w:rsidRPr="0026475A" w:rsidRDefault="0026475A" w:rsidP="0026475A"/>
    <w:p w14:paraId="02AB2486" w14:textId="6D2E95BB" w:rsidR="006B5E19" w:rsidRDefault="7869BCEA" w:rsidP="00742500">
      <w:pPr>
        <w:pStyle w:val="Heading2"/>
        <w:rPr>
          <w:rFonts w:ascii="Arial" w:hAnsi="Arial" w:cs="Arial"/>
          <w:sz w:val="24"/>
          <w:szCs w:val="24"/>
        </w:rPr>
      </w:pPr>
      <w:bookmarkStart w:id="7" w:name="_Toc216002758"/>
      <w:r w:rsidRPr="00232996">
        <w:rPr>
          <w:rFonts w:ascii="Arial" w:hAnsi="Arial" w:cs="Arial"/>
          <w:sz w:val="24"/>
          <w:szCs w:val="24"/>
        </w:rPr>
        <w:t>2.2 Technological Factors: Digital Transformation and Workforce Capability</w:t>
      </w:r>
      <w:bookmarkEnd w:id="7"/>
    </w:p>
    <w:p w14:paraId="04BCA299" w14:textId="77777777" w:rsidR="00CC7FEA" w:rsidRPr="00232996" w:rsidRDefault="00CC7FEA" w:rsidP="00662C3D">
      <w:pPr>
        <w:jc w:val="both"/>
        <w:rPr>
          <w:rFonts w:ascii="Arial" w:hAnsi="Arial" w:cs="Arial"/>
          <w:sz w:val="24"/>
          <w:szCs w:val="24"/>
        </w:rPr>
      </w:pPr>
      <w:r w:rsidRPr="00232996">
        <w:rPr>
          <w:rFonts w:ascii="Arial" w:hAnsi="Arial" w:cs="Arial"/>
          <w:sz w:val="24"/>
          <w:szCs w:val="24"/>
        </w:rPr>
        <w:t xml:space="preserve">Technological transformation across advanced manufacturing is reshaping workforce skill requirements, increasing demand for digitally fluent employees able to operate automated systems, interpret data and support continuous improvement (World Economic Forum, 2023; CIPD, 2024). Within AFI UK, dairy processing increasingly </w:t>
      </w:r>
      <w:r w:rsidRPr="00232996">
        <w:rPr>
          <w:rFonts w:ascii="Arial" w:hAnsi="Arial" w:cs="Arial"/>
          <w:sz w:val="24"/>
          <w:szCs w:val="24"/>
        </w:rPr>
        <w:lastRenderedPageBreak/>
        <w:t>relies on digital monitoring, predictive maintenance, automated quality control and sustainability-driven data systems. Organisations perceived as technologically progressive are also more attractive to talent seeking innovation, learning and future-oriented roles (Kanwal and Van Hoye, 2024), reinforcing the link between technological investment and employer brand.</w:t>
      </w:r>
    </w:p>
    <w:p w14:paraId="53B670DE" w14:textId="38463DE9" w:rsidR="00CC7FEA" w:rsidRPr="00232996" w:rsidRDefault="00CC7FEA" w:rsidP="00662C3D">
      <w:pPr>
        <w:jc w:val="both"/>
        <w:rPr>
          <w:rFonts w:ascii="Arial" w:hAnsi="Arial" w:cs="Arial"/>
          <w:sz w:val="24"/>
          <w:szCs w:val="24"/>
        </w:rPr>
      </w:pPr>
      <w:r w:rsidRPr="00232996">
        <w:rPr>
          <w:rFonts w:ascii="Arial" w:hAnsi="Arial" w:cs="Arial"/>
          <w:sz w:val="24"/>
          <w:szCs w:val="24"/>
        </w:rPr>
        <w:t xml:space="preserve">Technology is also reshaping how AFI attracts, selects and develops talent. Arla’s centralised talent acquisition function uses digital tools such as applicant tracking systems (ATS), online assessments and virtual interviews to enhance recruitment efficiency and standardisation, supporting high-volume hiring needs. This reflects wider evidence that e-HRM improves candidate experience and operational effectiveness (Mohdzaini, 2023). However, research shows that centrally designed digital processes may not fully account for local labour market variations (Parry and Tyson, 2011), highlighting the need for flexibility in rural settings like </w:t>
      </w:r>
      <w:r w:rsidR="007F3EAF">
        <w:rPr>
          <w:rFonts w:ascii="Arial" w:hAnsi="Arial" w:cs="Arial"/>
          <w:sz w:val="24"/>
          <w:szCs w:val="24"/>
        </w:rPr>
        <w:t>w</w:t>
      </w:r>
      <w:r w:rsidRPr="00232996">
        <w:rPr>
          <w:rFonts w:ascii="Arial" w:hAnsi="Arial" w:cs="Arial"/>
          <w:sz w:val="24"/>
          <w:szCs w:val="24"/>
        </w:rPr>
        <w:t>est Wales where talent pools are smaller and mobility limited.</w:t>
      </w:r>
    </w:p>
    <w:p w14:paraId="1914D1B6" w14:textId="77777777" w:rsidR="00CC7FEA" w:rsidRDefault="00CC7FEA" w:rsidP="00662C3D">
      <w:pPr>
        <w:jc w:val="both"/>
        <w:rPr>
          <w:rFonts w:ascii="Arial" w:hAnsi="Arial" w:cs="Arial"/>
          <w:sz w:val="24"/>
          <w:szCs w:val="24"/>
        </w:rPr>
      </w:pPr>
      <w:r w:rsidRPr="00232996">
        <w:rPr>
          <w:rFonts w:ascii="Arial" w:hAnsi="Arial" w:cs="Arial"/>
          <w:sz w:val="24"/>
          <w:szCs w:val="24"/>
        </w:rPr>
        <w:t>Technological change additionally influences learning and development. Digital learning platforms, virtual modules and AI-enabled tools broaden access and support personalised development, aligning with post-pandemic shifts in organisational learning (Talukdar et al., 2022; Troldan, 2024). For AFI UK, this capability is particularly valuable in rural contexts where external training providers and professional networks are less accessible. Ensuring inclusive access across all shift patterns and sites will be essential to building the digital capability required for future workforce resilience.</w:t>
      </w:r>
    </w:p>
    <w:p w14:paraId="1D77C152" w14:textId="77777777" w:rsidR="004311C4" w:rsidRDefault="004311C4" w:rsidP="00662C3D">
      <w:pPr>
        <w:pStyle w:val="Heading2"/>
        <w:jc w:val="both"/>
        <w:rPr>
          <w:rFonts w:ascii="Arial" w:hAnsi="Arial" w:cs="Arial"/>
          <w:sz w:val="24"/>
          <w:szCs w:val="24"/>
        </w:rPr>
      </w:pPr>
    </w:p>
    <w:p w14:paraId="7AA3B680" w14:textId="38D34E83" w:rsidR="006B5E19" w:rsidRPr="00232996" w:rsidRDefault="7869BCEA" w:rsidP="00662C3D">
      <w:pPr>
        <w:pStyle w:val="Heading2"/>
        <w:jc w:val="both"/>
        <w:rPr>
          <w:rFonts w:ascii="Arial" w:hAnsi="Arial" w:cs="Arial"/>
          <w:sz w:val="24"/>
          <w:szCs w:val="24"/>
        </w:rPr>
      </w:pPr>
      <w:bookmarkStart w:id="8" w:name="_Toc216002759"/>
      <w:r w:rsidRPr="00232996">
        <w:rPr>
          <w:rFonts w:ascii="Arial" w:hAnsi="Arial" w:cs="Arial"/>
          <w:sz w:val="24"/>
          <w:szCs w:val="24"/>
        </w:rPr>
        <w:t>2.3 Social Factors: Workforce Expectations, Wellbeing and Purpose</w:t>
      </w:r>
      <w:bookmarkEnd w:id="8"/>
    </w:p>
    <w:p w14:paraId="0FCEC4E7" w14:textId="08F3CE7C" w:rsidR="00CC7FEA" w:rsidRDefault="00CC7FEA" w:rsidP="00662C3D">
      <w:pPr>
        <w:jc w:val="both"/>
        <w:rPr>
          <w:rFonts w:ascii="Arial" w:hAnsi="Arial" w:cs="Arial"/>
          <w:sz w:val="24"/>
          <w:szCs w:val="24"/>
        </w:rPr>
      </w:pPr>
      <w:r w:rsidRPr="00232996">
        <w:rPr>
          <w:rFonts w:ascii="Arial" w:hAnsi="Arial" w:cs="Arial"/>
          <w:sz w:val="24"/>
          <w:szCs w:val="24"/>
        </w:rPr>
        <w:t>While labour market conditions and technological transformation represent the two primary external forces shaping AFI’s talent strategy, broader social expectations</w:t>
      </w:r>
      <w:r w:rsidR="00070485">
        <w:rPr>
          <w:rFonts w:ascii="Arial" w:hAnsi="Arial" w:cs="Arial"/>
          <w:sz w:val="24"/>
          <w:szCs w:val="24"/>
        </w:rPr>
        <w:t xml:space="preserve"> </w:t>
      </w:r>
      <w:r w:rsidRPr="00232996">
        <w:rPr>
          <w:rFonts w:ascii="Arial" w:hAnsi="Arial" w:cs="Arial"/>
          <w:sz w:val="24"/>
          <w:szCs w:val="24"/>
        </w:rPr>
        <w:t>such as fairness, inclusion, wellbeing and organisational purpose</w:t>
      </w:r>
      <w:r w:rsidR="00070485">
        <w:rPr>
          <w:rFonts w:ascii="Arial" w:hAnsi="Arial" w:cs="Arial"/>
          <w:sz w:val="24"/>
          <w:szCs w:val="24"/>
        </w:rPr>
        <w:t xml:space="preserve"> </w:t>
      </w:r>
      <w:r w:rsidRPr="00232996">
        <w:rPr>
          <w:rFonts w:ascii="Arial" w:hAnsi="Arial" w:cs="Arial"/>
          <w:sz w:val="24"/>
          <w:szCs w:val="24"/>
        </w:rPr>
        <w:t>interact with these factors and influence how employees experience work. These expectations have been integrated into the labour market analysis above, as they directly affect attraction, retention and employee engagement within rural operational environments. They therefore do not constitute a standalone external factor for the purposes of this report.</w:t>
      </w:r>
    </w:p>
    <w:p w14:paraId="668310B3" w14:textId="77777777" w:rsidR="004311C4" w:rsidRDefault="004311C4" w:rsidP="00991CC4">
      <w:pPr>
        <w:pStyle w:val="Heading1"/>
        <w:rPr>
          <w:rFonts w:ascii="Arial" w:hAnsi="Arial" w:cs="Arial"/>
          <w:sz w:val="24"/>
          <w:szCs w:val="24"/>
        </w:rPr>
      </w:pPr>
    </w:p>
    <w:p w14:paraId="56E15CBC" w14:textId="77A0950D" w:rsidR="005E533F" w:rsidRPr="00464A8F" w:rsidRDefault="7453C551" w:rsidP="00991CC4">
      <w:pPr>
        <w:pStyle w:val="Heading1"/>
        <w:rPr>
          <w:rFonts w:ascii="Arial" w:hAnsi="Arial" w:cs="Arial"/>
          <w:sz w:val="24"/>
          <w:szCs w:val="24"/>
        </w:rPr>
      </w:pPr>
      <w:bookmarkStart w:id="9" w:name="_Toc216002760"/>
      <w:r w:rsidRPr="00464A8F">
        <w:rPr>
          <w:rFonts w:ascii="Arial" w:hAnsi="Arial" w:cs="Arial"/>
          <w:sz w:val="24"/>
          <w:szCs w:val="24"/>
        </w:rPr>
        <w:t>3.0 Internal Factors Affecting Talent Management at AFI UK</w:t>
      </w:r>
      <w:bookmarkEnd w:id="9"/>
    </w:p>
    <w:p w14:paraId="634EEF93" w14:textId="1B93EC4C" w:rsidR="00191B46" w:rsidRPr="00232996" w:rsidRDefault="00191B46" w:rsidP="00662C3D">
      <w:pPr>
        <w:jc w:val="both"/>
        <w:rPr>
          <w:rFonts w:ascii="Arial" w:hAnsi="Arial" w:cs="Arial"/>
          <w:sz w:val="24"/>
          <w:szCs w:val="24"/>
        </w:rPr>
      </w:pPr>
      <w:r w:rsidRPr="00232996">
        <w:rPr>
          <w:rFonts w:ascii="Arial" w:hAnsi="Arial" w:cs="Arial"/>
          <w:sz w:val="24"/>
          <w:szCs w:val="24"/>
        </w:rPr>
        <w:t>AFI UK’s ability to respond to labour scarcity, technological change and evolving workforce expectations is shaped fundamentally by its internal capabilities, systems and culture. The CIPD (n.d.) emphasises that effective resourcing relies on coherent internal processes, while Boxall and Purcell (2016) argue that organisational structures, behaviours and leadership determine whether external pressures translate into strategic opportunity or talent risk. As AFI expands its specialist operations within Arla Foods’ UK network, establishing consistency in culture, leadership and employee experience has become increasingly important</w:t>
      </w:r>
      <w:r w:rsidR="00070485">
        <w:rPr>
          <w:rFonts w:ascii="Arial" w:hAnsi="Arial" w:cs="Arial"/>
          <w:sz w:val="24"/>
          <w:szCs w:val="24"/>
        </w:rPr>
        <w:t xml:space="preserve"> </w:t>
      </w:r>
      <w:r w:rsidRPr="00232996">
        <w:rPr>
          <w:rFonts w:ascii="Arial" w:hAnsi="Arial" w:cs="Arial"/>
          <w:sz w:val="24"/>
          <w:szCs w:val="24"/>
        </w:rPr>
        <w:t xml:space="preserve">particularly in rural locations such as </w:t>
      </w:r>
      <w:r w:rsidR="005D03F4">
        <w:rPr>
          <w:rFonts w:ascii="Arial" w:hAnsi="Arial" w:cs="Arial"/>
          <w:sz w:val="24"/>
          <w:szCs w:val="24"/>
        </w:rPr>
        <w:t>w</w:t>
      </w:r>
      <w:r w:rsidRPr="00232996">
        <w:rPr>
          <w:rFonts w:ascii="Arial" w:hAnsi="Arial" w:cs="Arial"/>
          <w:sz w:val="24"/>
          <w:szCs w:val="24"/>
        </w:rPr>
        <w:t xml:space="preserve">est Wales, where labour scarcity magnifies the impact of internal strengths and </w:t>
      </w:r>
      <w:r w:rsidRPr="00232996">
        <w:rPr>
          <w:rFonts w:ascii="Arial" w:hAnsi="Arial" w:cs="Arial"/>
          <w:sz w:val="24"/>
          <w:szCs w:val="24"/>
        </w:rPr>
        <w:lastRenderedPageBreak/>
        <w:t>weaknesses. The following sections examine three critical internal factors: organisational culture, leadership capability and employee engagement.</w:t>
      </w:r>
    </w:p>
    <w:p w14:paraId="26A7D64C" w14:textId="77777777" w:rsidR="00742500" w:rsidRPr="00742500" w:rsidRDefault="00742500" w:rsidP="00742500">
      <w:pPr>
        <w:rPr>
          <w:rFonts w:ascii="Arial" w:hAnsi="Arial" w:cs="Arial"/>
          <w:sz w:val="24"/>
          <w:szCs w:val="24"/>
        </w:rPr>
      </w:pPr>
    </w:p>
    <w:p w14:paraId="14FD9546" w14:textId="3DFE63FE" w:rsidR="009F5226" w:rsidRPr="00742500" w:rsidRDefault="2AF2DD1A" w:rsidP="00742500">
      <w:pPr>
        <w:pStyle w:val="Heading2"/>
        <w:rPr>
          <w:rFonts w:ascii="Arial" w:hAnsi="Arial" w:cs="Arial"/>
          <w:sz w:val="24"/>
          <w:szCs w:val="24"/>
        </w:rPr>
      </w:pPr>
      <w:bookmarkStart w:id="10" w:name="_Toc216002761"/>
      <w:r w:rsidRPr="00742500">
        <w:rPr>
          <w:rFonts w:ascii="Arial" w:hAnsi="Arial" w:cs="Arial"/>
          <w:sz w:val="24"/>
          <w:szCs w:val="24"/>
        </w:rPr>
        <w:t>3.1 Organisational Culture and Identity</w:t>
      </w:r>
      <w:bookmarkEnd w:id="10"/>
    </w:p>
    <w:p w14:paraId="2DAB2E54" w14:textId="615F89C0" w:rsidR="00481336" w:rsidRPr="00481336" w:rsidRDefault="00481336" w:rsidP="00481336">
      <w:pPr>
        <w:jc w:val="both"/>
        <w:rPr>
          <w:rFonts w:ascii="Arial" w:hAnsi="Arial" w:cs="Arial"/>
          <w:sz w:val="24"/>
          <w:szCs w:val="24"/>
        </w:rPr>
      </w:pPr>
      <w:r w:rsidRPr="00481336">
        <w:rPr>
          <w:rFonts w:ascii="Arial" w:hAnsi="Arial" w:cs="Arial"/>
          <w:sz w:val="24"/>
          <w:szCs w:val="24"/>
        </w:rPr>
        <w:t>AFI UK’s cooperative identity and sustainability-led mission underpin its talent proposition. Purpose-driven cultures increasingly attract employees seeking ethical alignment, meaningful work and long-term organisational responsibility (Tenekwah, 2024; CIPD, 2024). AFI’s values—collaboration, care and continuous improvement—align with wider labour market expectations, and early feedback following the West Wales integration suggests employees value Arla’s ethos. Digital platforms such as SharePoint and Viva Engage reinforce this by improving visibility of initiatives and strengthening connection with the wider UK network.</w:t>
      </w:r>
    </w:p>
    <w:p w14:paraId="1B1D1B0B" w14:textId="77777777" w:rsidR="00481336" w:rsidRPr="00481336" w:rsidRDefault="00481336" w:rsidP="00481336">
      <w:pPr>
        <w:jc w:val="both"/>
        <w:rPr>
          <w:rFonts w:ascii="Arial" w:hAnsi="Arial" w:cs="Arial"/>
          <w:sz w:val="24"/>
          <w:szCs w:val="24"/>
        </w:rPr>
      </w:pPr>
      <w:r w:rsidRPr="00481336">
        <w:rPr>
          <w:rFonts w:ascii="Arial" w:hAnsi="Arial" w:cs="Arial"/>
          <w:sz w:val="24"/>
          <w:szCs w:val="24"/>
        </w:rPr>
        <w:t>Cultural messaging, however, is effective only when consistently experienced. Research shows culture becomes symbolic rather than functional when engagement is uneven across groups (Taylor, 2022). At AFI West Wales, operational employees have limited access to digital communication during shifts, reducing participation in cultural initiatives. Similar patterns appear in manufacturing settings where digital connectivity often favours office-based staff (Gifford, 2019), risking weakened trust and psychological contract fulfilment (Tanwar and Kumar, 2019).</w:t>
      </w:r>
    </w:p>
    <w:p w14:paraId="46A33642" w14:textId="77777777" w:rsidR="00481336" w:rsidRPr="00481336" w:rsidRDefault="00481336" w:rsidP="00481336">
      <w:pPr>
        <w:jc w:val="both"/>
        <w:rPr>
          <w:rFonts w:ascii="Arial" w:hAnsi="Arial" w:cs="Arial"/>
          <w:sz w:val="24"/>
          <w:szCs w:val="24"/>
        </w:rPr>
      </w:pPr>
      <w:r w:rsidRPr="00481336">
        <w:rPr>
          <w:rFonts w:ascii="Arial" w:hAnsi="Arial" w:cs="Arial"/>
          <w:sz w:val="24"/>
          <w:szCs w:val="24"/>
        </w:rPr>
        <w:t>AFI UK has begun addressing these disparities by tailoring communications for shift teams and increasing leadership presence on the shop floor. To achieve deeper cohesion, values must be modelled by leaders, embedded into performance frameworks and made accessible across all work patterns (CIPD, 2023). Ensuring operational colleagues experience the cooperative culture as directly as corporate employees is essential for long-term engagement.</w:t>
      </w:r>
    </w:p>
    <w:p w14:paraId="7E6563D4" w14:textId="77777777" w:rsidR="00481336" w:rsidRPr="00481336" w:rsidRDefault="00481336" w:rsidP="00481336">
      <w:pPr>
        <w:jc w:val="both"/>
        <w:rPr>
          <w:rFonts w:ascii="Arial" w:hAnsi="Arial" w:cs="Arial"/>
          <w:sz w:val="24"/>
          <w:szCs w:val="24"/>
        </w:rPr>
      </w:pPr>
      <w:r w:rsidRPr="00481336">
        <w:rPr>
          <w:rFonts w:ascii="Arial" w:hAnsi="Arial" w:cs="Arial"/>
          <w:sz w:val="24"/>
          <w:szCs w:val="24"/>
        </w:rPr>
        <w:t>An additional priority is inclusive succession planning with visible career pathways, particularly for shift-based employees. Clear progression strengthens engagement in skills-scarce environments (Garavan, McCarthy and Morley, 2021). Lacey and Groves (2022:459) argue that traditional identification of high performers has been overly linear, overlooking contextual and relational indicators of readiness. Likewise, Hirsh (2000), Murphy (2009a), Blass (2009), Clutterbuck (2012) and Cascio et al. (2017) distinguish between hierarchical succession models and modern, flexible approaches drawing on wider talent pools. For AFI UK—especially in rural sites where external recruitment is difficult—adopting such inclusive models is critical to strengthening internal capability.</w:t>
      </w:r>
    </w:p>
    <w:p w14:paraId="76185981" w14:textId="12B3C4C3" w:rsidR="00D16BF3" w:rsidRPr="00742500" w:rsidRDefault="00D16BF3" w:rsidP="00481336">
      <w:pPr>
        <w:jc w:val="both"/>
        <w:rPr>
          <w:rFonts w:ascii="Arial" w:hAnsi="Arial" w:cs="Arial"/>
          <w:sz w:val="24"/>
          <w:szCs w:val="24"/>
        </w:rPr>
      </w:pPr>
    </w:p>
    <w:p w14:paraId="0A17DADA" w14:textId="1415F8D6" w:rsidR="009F5226" w:rsidRPr="00742500" w:rsidRDefault="2AF2DD1A" w:rsidP="00742500">
      <w:pPr>
        <w:pStyle w:val="Heading2"/>
        <w:rPr>
          <w:rFonts w:ascii="Arial" w:eastAsia="Arial" w:hAnsi="Arial" w:cs="Arial"/>
          <w:sz w:val="24"/>
          <w:szCs w:val="24"/>
        </w:rPr>
      </w:pPr>
      <w:bookmarkStart w:id="11" w:name="_Toc216002762"/>
      <w:r w:rsidRPr="00742500">
        <w:rPr>
          <w:rFonts w:ascii="Arial" w:eastAsia="Arial" w:hAnsi="Arial" w:cs="Arial"/>
          <w:sz w:val="24"/>
          <w:szCs w:val="24"/>
        </w:rPr>
        <w:t>3.2 Leadership Capability and Talent Development</w:t>
      </w:r>
      <w:bookmarkEnd w:id="11"/>
    </w:p>
    <w:p w14:paraId="758BE92B" w14:textId="77777777" w:rsidR="007D7D7C" w:rsidRPr="007D7D7C" w:rsidRDefault="007D7D7C" w:rsidP="007D7D7C">
      <w:pPr>
        <w:jc w:val="both"/>
        <w:rPr>
          <w:rFonts w:ascii="Arial" w:eastAsia="Arial" w:hAnsi="Arial" w:cs="Arial"/>
          <w:sz w:val="24"/>
          <w:szCs w:val="24"/>
        </w:rPr>
      </w:pPr>
      <w:r w:rsidRPr="007D7D7C">
        <w:rPr>
          <w:rFonts w:ascii="Arial" w:eastAsia="Arial" w:hAnsi="Arial" w:cs="Arial"/>
          <w:sz w:val="24"/>
          <w:szCs w:val="24"/>
        </w:rPr>
        <w:t>Leadership capability is central to attraction, development and retention, particularly in specialist technical environments where employees value clarity, support and psychological safety (Edmondson, 2019; Tenekwah, 2024). Leaders shape candidate experience, influence internal mobility and foster belonging—key predictors of engagement (Iles et al., 2020). AFI UK’s investment in succession planning and high-</w:t>
      </w:r>
      <w:r w:rsidRPr="007D7D7C">
        <w:rPr>
          <w:rFonts w:ascii="Arial" w:eastAsia="Arial" w:hAnsi="Arial" w:cs="Arial"/>
          <w:sz w:val="24"/>
          <w:szCs w:val="24"/>
        </w:rPr>
        <w:lastRenderedPageBreak/>
        <w:t>potential pathways aligns with CIPD (2024) and McKinsey (2023) guidance on internal capability building.</w:t>
      </w:r>
    </w:p>
    <w:p w14:paraId="137D1747" w14:textId="77777777" w:rsidR="007D7D7C" w:rsidRPr="007D7D7C" w:rsidRDefault="007D7D7C" w:rsidP="007D7D7C">
      <w:pPr>
        <w:jc w:val="both"/>
        <w:rPr>
          <w:rFonts w:ascii="Arial" w:eastAsia="Arial" w:hAnsi="Arial" w:cs="Arial"/>
          <w:sz w:val="24"/>
          <w:szCs w:val="24"/>
        </w:rPr>
      </w:pPr>
      <w:r w:rsidRPr="007D7D7C">
        <w:rPr>
          <w:rFonts w:ascii="Arial" w:eastAsia="Arial" w:hAnsi="Arial" w:cs="Arial"/>
          <w:sz w:val="24"/>
          <w:szCs w:val="24"/>
        </w:rPr>
        <w:t>However, AFI’s leadership development currently operates largely through selective pathways. Exclusive talent models can create perceptions of elitism, limit wider capability growth and reduce motivation among those not included (Swailes, 2020; Roy and Devi, 2017). When selection criteria lack transparency, employees may disengage or view development as unattainable (De Boeck et al., 2018). These risks are amplified for shift-based employees at West Wales, who have reduced development time, fewer digital tools and limited interaction with senior leaders—factors linked to slower progression and higher turnover (Samoliuk et al., 2022).</w:t>
      </w:r>
    </w:p>
    <w:p w14:paraId="40F2ADA0" w14:textId="77777777" w:rsidR="007D7D7C" w:rsidRPr="007D7D7C" w:rsidRDefault="007D7D7C" w:rsidP="007D7D7C">
      <w:pPr>
        <w:jc w:val="both"/>
        <w:rPr>
          <w:rFonts w:ascii="Arial" w:eastAsia="Arial" w:hAnsi="Arial" w:cs="Arial"/>
          <w:sz w:val="24"/>
          <w:szCs w:val="24"/>
        </w:rPr>
      </w:pPr>
      <w:r w:rsidRPr="007D7D7C">
        <w:rPr>
          <w:rFonts w:ascii="Arial" w:eastAsia="Arial" w:hAnsi="Arial" w:cs="Arial"/>
          <w:sz w:val="24"/>
          <w:szCs w:val="24"/>
        </w:rPr>
        <w:t>Arla UK has broadened access through onsite development and clearer leadership expectations within performance frameworks, but variation persists across sites. A more inclusive strategy—consistent with Hongal and Kinange (2020) and Gupta and Praveen (2023)—should extend development beyond high-potential cohorts by offering training outside standard hours, designing programmes for operational roles and integrating people-focused KPIs such as engagement, retention and mobility into managerial objectives (Garavan et al., 2021).</w:t>
      </w:r>
    </w:p>
    <w:p w14:paraId="62DE2D72" w14:textId="77777777" w:rsidR="004A7671" w:rsidRPr="00742500" w:rsidRDefault="004A7671" w:rsidP="00742500">
      <w:pPr>
        <w:pStyle w:val="Heading2"/>
        <w:rPr>
          <w:rFonts w:ascii="Arial" w:hAnsi="Arial" w:cs="Arial"/>
          <w:sz w:val="24"/>
          <w:szCs w:val="24"/>
        </w:rPr>
      </w:pPr>
    </w:p>
    <w:p w14:paraId="35D35BB2" w14:textId="142529B5" w:rsidR="283FD3C0" w:rsidRDefault="2AF2DD1A" w:rsidP="00662C3D">
      <w:pPr>
        <w:pStyle w:val="Heading2"/>
        <w:rPr>
          <w:rFonts w:ascii="Arial" w:hAnsi="Arial" w:cs="Arial"/>
          <w:sz w:val="24"/>
          <w:szCs w:val="24"/>
        </w:rPr>
      </w:pPr>
      <w:bookmarkStart w:id="12" w:name="_Toc216002763"/>
      <w:r w:rsidRPr="00742500">
        <w:rPr>
          <w:rFonts w:ascii="Arial" w:hAnsi="Arial" w:cs="Arial"/>
          <w:sz w:val="24"/>
          <w:szCs w:val="24"/>
        </w:rPr>
        <w:t>3.3 Employee Engagement, Development and Geographic Constraints</w:t>
      </w:r>
      <w:bookmarkEnd w:id="12"/>
    </w:p>
    <w:p w14:paraId="3E7BC94E" w14:textId="77777777" w:rsidR="007D7D7C" w:rsidRPr="007D7D7C" w:rsidRDefault="007D7D7C" w:rsidP="007D7D7C">
      <w:pPr>
        <w:jc w:val="both"/>
        <w:rPr>
          <w:rFonts w:ascii="Arial" w:eastAsia="Arial" w:hAnsi="Arial" w:cs="Arial"/>
          <w:sz w:val="24"/>
          <w:szCs w:val="24"/>
        </w:rPr>
      </w:pPr>
      <w:r w:rsidRPr="007D7D7C">
        <w:rPr>
          <w:rFonts w:ascii="Arial" w:eastAsia="Arial" w:hAnsi="Arial" w:cs="Arial"/>
          <w:sz w:val="24"/>
          <w:szCs w:val="24"/>
        </w:rPr>
        <w:t>Employee engagement is closely linked to retention, discretionary effort and employer brand advocacy (Markos and Sridevi, 2010; Backhaus and Tikoo, 2004). AFI UK has prioritised engagement during organisational transition, helping maintain the psychological contract—a buffer against turnover during change (Rousseau, 1995). Recent internal presentations included unsolicited employee testimonials about career progression, sponsored study and flexible working, indicating authentic engagement and perceived organisational investment. This aligns with the CIPD Good Work Index (2025), which highlights employee voice, development and supportive management as key drivers of positive work experiences.</w:t>
      </w:r>
    </w:p>
    <w:p w14:paraId="2DE6794C" w14:textId="77777777" w:rsidR="007D7D7C" w:rsidRPr="007D7D7C" w:rsidRDefault="007D7D7C" w:rsidP="007D7D7C">
      <w:pPr>
        <w:jc w:val="both"/>
        <w:rPr>
          <w:rFonts w:ascii="Arial" w:eastAsia="Arial" w:hAnsi="Arial" w:cs="Arial"/>
          <w:sz w:val="24"/>
          <w:szCs w:val="24"/>
        </w:rPr>
      </w:pPr>
      <w:r w:rsidRPr="007D7D7C">
        <w:rPr>
          <w:rFonts w:ascii="Arial" w:eastAsia="Arial" w:hAnsi="Arial" w:cs="Arial"/>
          <w:sz w:val="24"/>
          <w:szCs w:val="24"/>
        </w:rPr>
        <w:t>Engagement, however, varies. Shift-based teams at West Wales have reduced access to communication platforms, fewer interactions with senior leaders and limited opportunities for cross-functional collaboration—patterns consistent with wider manufacturing research showing lower inclusion in dispersed operational roles (Gifford, 2019; Akkermans et al., 2020). Given that operational roles at West Wales are hard to recruit externally, uneven engagement presents a significant risk.</w:t>
      </w:r>
    </w:p>
    <w:p w14:paraId="7DC828C7" w14:textId="77777777" w:rsidR="007D7D7C" w:rsidRPr="007D7D7C" w:rsidRDefault="007D7D7C" w:rsidP="007D7D7C">
      <w:pPr>
        <w:jc w:val="both"/>
        <w:rPr>
          <w:rFonts w:ascii="Arial" w:eastAsia="Arial" w:hAnsi="Arial" w:cs="Arial"/>
          <w:sz w:val="24"/>
          <w:szCs w:val="24"/>
        </w:rPr>
      </w:pPr>
      <w:r w:rsidRPr="007D7D7C">
        <w:rPr>
          <w:rFonts w:ascii="Arial" w:eastAsia="Arial" w:hAnsi="Arial" w:cs="Arial"/>
          <w:sz w:val="24"/>
          <w:szCs w:val="24"/>
        </w:rPr>
        <w:t>Geography intensifies these challenges. Rural labour markets provide limited specialist talent, fewer development resources and reduced exposure to senior leaders (ONS, 2023; House of Commons Library, 2022), weakening perceived career prospects and increasing turnover intention (De Boeck et al., 2018). In such contexts, engagement and development act as essential retention mechanisms rather than discretionary practices.</w:t>
      </w:r>
    </w:p>
    <w:p w14:paraId="02D16823" w14:textId="77777777" w:rsidR="007D7D7C" w:rsidRPr="007D7D7C" w:rsidRDefault="007D7D7C" w:rsidP="007D7D7C">
      <w:pPr>
        <w:jc w:val="both"/>
        <w:rPr>
          <w:rFonts w:ascii="Arial" w:eastAsia="Arial" w:hAnsi="Arial" w:cs="Arial"/>
          <w:sz w:val="24"/>
          <w:szCs w:val="24"/>
        </w:rPr>
      </w:pPr>
      <w:r w:rsidRPr="007D7D7C">
        <w:rPr>
          <w:rFonts w:ascii="Arial" w:eastAsia="Arial" w:hAnsi="Arial" w:cs="Arial"/>
          <w:sz w:val="24"/>
          <w:szCs w:val="24"/>
        </w:rPr>
        <w:t xml:space="preserve">AFI UK offers digital learning and structured mobility pathways, but participation varies due to shift patterns and logistical constraints. Development supports retention only </w:t>
      </w:r>
      <w:r w:rsidRPr="007D7D7C">
        <w:rPr>
          <w:rFonts w:ascii="Arial" w:eastAsia="Arial" w:hAnsi="Arial" w:cs="Arial"/>
          <w:sz w:val="24"/>
          <w:szCs w:val="24"/>
        </w:rPr>
        <w:lastRenderedPageBreak/>
        <w:t>when opportunities are accessible, clearly communicated and linked to transparent career routes (Garavan et al., 2021; CIPD, 2024). Strengthening locally tailored development, offering learning outside standard hours and clarifying technical and leadership pathways would help employees in rural production roles view AFI UK as a sustainable long-term career destination.</w:t>
      </w:r>
    </w:p>
    <w:p w14:paraId="4B0B2EDB" w14:textId="77777777" w:rsidR="005C6E6F" w:rsidRPr="005C6E6F" w:rsidRDefault="005C6E6F" w:rsidP="001836AD">
      <w:pPr>
        <w:jc w:val="both"/>
        <w:rPr>
          <w:rFonts w:ascii="Arial" w:eastAsia="Arial" w:hAnsi="Arial" w:cs="Arial"/>
          <w:sz w:val="24"/>
          <w:szCs w:val="24"/>
        </w:rPr>
      </w:pPr>
      <w:r w:rsidRPr="005C6E6F">
        <w:rPr>
          <w:rFonts w:ascii="Arial" w:eastAsia="Arial" w:hAnsi="Arial" w:cs="Arial"/>
          <w:sz w:val="24"/>
          <w:szCs w:val="24"/>
        </w:rPr>
        <w:t>AFI UK provides digital learning, mobility pathways and leadership programmes, but participation varies due to shift patterns and logistical constraints. Development supports retention only when opportunities are accessible, clearly communicated and linked to transparent career trajectories (Garavan et al., 2021; CIPD, 2024). Strengthening locally tailored development, offering learning outside standard hours and clarifying technical and leadership pathways would help employees in rural production roles see AFI UK as a long-term career destination.</w:t>
      </w:r>
    </w:p>
    <w:p w14:paraId="2D9ABC73" w14:textId="77777777" w:rsidR="005C6E6F" w:rsidRPr="00742500" w:rsidRDefault="005C6E6F" w:rsidP="001836AD">
      <w:pPr>
        <w:jc w:val="both"/>
        <w:rPr>
          <w:rFonts w:ascii="Arial" w:eastAsia="Arial" w:hAnsi="Arial" w:cs="Arial"/>
          <w:sz w:val="24"/>
          <w:szCs w:val="24"/>
        </w:rPr>
      </w:pPr>
    </w:p>
    <w:p w14:paraId="71EFDA73" w14:textId="4C8B238D" w:rsidR="00EB6ED1" w:rsidRPr="00742500" w:rsidRDefault="429DAA78" w:rsidP="00742500">
      <w:pPr>
        <w:pStyle w:val="Heading1"/>
        <w:rPr>
          <w:rFonts w:ascii="Arial" w:hAnsi="Arial" w:cs="Arial"/>
          <w:sz w:val="24"/>
          <w:szCs w:val="24"/>
        </w:rPr>
      </w:pPr>
      <w:bookmarkStart w:id="13" w:name="_Toc216002764"/>
      <w:r w:rsidRPr="00742500">
        <w:rPr>
          <w:rFonts w:ascii="Arial" w:hAnsi="Arial" w:cs="Arial"/>
          <w:sz w:val="24"/>
          <w:szCs w:val="24"/>
        </w:rPr>
        <w:t>4.0 Critical Analysis of AFI’s Current Talent Management Approach</w:t>
      </w:r>
      <w:bookmarkEnd w:id="13"/>
    </w:p>
    <w:p w14:paraId="44D3F059" w14:textId="78E59A97" w:rsidR="45A60BD7" w:rsidRPr="00742500" w:rsidRDefault="45A60BD7" w:rsidP="001836AD">
      <w:pPr>
        <w:spacing w:before="240" w:after="240"/>
        <w:jc w:val="both"/>
        <w:rPr>
          <w:rFonts w:ascii="Arial" w:eastAsia="Arial" w:hAnsi="Arial" w:cs="Arial"/>
          <w:sz w:val="24"/>
          <w:szCs w:val="24"/>
        </w:rPr>
      </w:pPr>
      <w:r w:rsidRPr="00742500">
        <w:rPr>
          <w:rFonts w:ascii="Arial" w:eastAsia="Arial" w:hAnsi="Arial" w:cs="Arial"/>
          <w:sz w:val="24"/>
          <w:szCs w:val="24"/>
        </w:rPr>
        <w:t xml:space="preserve">AFI UK’s talent strategy in relation to three priority findings from the CIPD Resourcing and Talent Planning report (2024): intensifying competition for qualified talent, increasing digitalisation of recruitment and the need to build internal capability to address persistent skills shortages. The analysis integrates research and benchmarking to assess strengths and limitations, with particular attention to the rural context of </w:t>
      </w:r>
      <w:r w:rsidR="003E7C17" w:rsidRPr="00742500">
        <w:rPr>
          <w:rFonts w:ascii="Arial" w:eastAsia="Arial" w:hAnsi="Arial" w:cs="Arial"/>
          <w:sz w:val="24"/>
          <w:szCs w:val="24"/>
        </w:rPr>
        <w:t>w</w:t>
      </w:r>
      <w:r w:rsidRPr="00742500">
        <w:rPr>
          <w:rFonts w:ascii="Arial" w:eastAsia="Arial" w:hAnsi="Arial" w:cs="Arial"/>
          <w:sz w:val="24"/>
          <w:szCs w:val="24"/>
        </w:rPr>
        <w:t>est Wales.</w:t>
      </w:r>
    </w:p>
    <w:p w14:paraId="1F961A8E" w14:textId="26781785" w:rsidR="00EB6ED1" w:rsidRPr="00742500" w:rsidRDefault="00EB6ED1" w:rsidP="001836AD">
      <w:pPr>
        <w:pStyle w:val="Heading2"/>
        <w:jc w:val="both"/>
        <w:rPr>
          <w:rFonts w:ascii="Arial" w:eastAsia="Arial" w:hAnsi="Arial" w:cs="Arial"/>
          <w:sz w:val="24"/>
          <w:szCs w:val="24"/>
        </w:rPr>
      </w:pPr>
    </w:p>
    <w:p w14:paraId="5C858590" w14:textId="77777777" w:rsidR="00EB6ED1" w:rsidRPr="00742500" w:rsidRDefault="429DAA78" w:rsidP="00742500">
      <w:pPr>
        <w:pStyle w:val="Heading2"/>
        <w:rPr>
          <w:rFonts w:ascii="Arial" w:hAnsi="Arial" w:cs="Arial"/>
          <w:sz w:val="24"/>
          <w:szCs w:val="24"/>
        </w:rPr>
      </w:pPr>
      <w:bookmarkStart w:id="14" w:name="_Toc216002765"/>
      <w:r w:rsidRPr="00742500">
        <w:rPr>
          <w:rFonts w:ascii="Arial" w:hAnsi="Arial" w:cs="Arial"/>
          <w:sz w:val="24"/>
          <w:szCs w:val="24"/>
        </w:rPr>
        <w:t>4.1 Competition for Talent and Local Labour Market Constraints</w:t>
      </w:r>
      <w:bookmarkEnd w:id="14"/>
    </w:p>
    <w:p w14:paraId="1EC7DA2F" w14:textId="1F22934D" w:rsidR="41709242" w:rsidRPr="00742500" w:rsidRDefault="41709242" w:rsidP="001836AD">
      <w:pPr>
        <w:spacing w:before="240" w:after="240"/>
        <w:jc w:val="both"/>
        <w:rPr>
          <w:rFonts w:ascii="Arial" w:eastAsia="Arial" w:hAnsi="Arial" w:cs="Arial"/>
          <w:sz w:val="24"/>
          <w:szCs w:val="24"/>
        </w:rPr>
      </w:pPr>
      <w:r w:rsidRPr="00742500">
        <w:rPr>
          <w:rFonts w:ascii="Arial" w:eastAsia="Arial" w:hAnsi="Arial" w:cs="Arial"/>
          <w:sz w:val="24"/>
          <w:szCs w:val="24"/>
        </w:rPr>
        <w:t xml:space="preserve">CIPD (2024) reports that 69% of UK employers face increased difficulty filling roles and 64% struggle to attract suitable candidates. AFI UK reflects these challenges, particularly for engineering, production and logistics roles that require onsite presence and are constrained by shifts. At </w:t>
      </w:r>
      <w:r w:rsidR="003E7C17" w:rsidRPr="00742500">
        <w:rPr>
          <w:rFonts w:ascii="Arial" w:eastAsia="Arial" w:hAnsi="Arial" w:cs="Arial"/>
          <w:sz w:val="24"/>
          <w:szCs w:val="24"/>
        </w:rPr>
        <w:t>w</w:t>
      </w:r>
      <w:r w:rsidRPr="00742500">
        <w:rPr>
          <w:rFonts w:ascii="Arial" w:eastAsia="Arial" w:hAnsi="Arial" w:cs="Arial"/>
          <w:sz w:val="24"/>
          <w:szCs w:val="24"/>
        </w:rPr>
        <w:t>est Wales, rural labour scarcity further limits access to specialist and diverse talent.</w:t>
      </w:r>
    </w:p>
    <w:p w14:paraId="49D13983" w14:textId="41B029E1" w:rsidR="41709242" w:rsidRPr="00742500" w:rsidRDefault="41709242" w:rsidP="001836AD">
      <w:pPr>
        <w:spacing w:before="240" w:after="240"/>
        <w:jc w:val="both"/>
        <w:rPr>
          <w:rFonts w:ascii="Arial" w:eastAsia="Arial" w:hAnsi="Arial" w:cs="Arial"/>
          <w:sz w:val="24"/>
          <w:szCs w:val="24"/>
        </w:rPr>
      </w:pPr>
      <w:r w:rsidRPr="00742500">
        <w:rPr>
          <w:rFonts w:ascii="Arial" w:eastAsia="Arial" w:hAnsi="Arial" w:cs="Arial"/>
          <w:sz w:val="24"/>
          <w:szCs w:val="24"/>
        </w:rPr>
        <w:t>AFI’s current approach</w:t>
      </w:r>
      <w:r w:rsidR="008610BC">
        <w:rPr>
          <w:rFonts w:ascii="Arial" w:eastAsia="Arial" w:hAnsi="Arial" w:cs="Arial"/>
          <w:sz w:val="24"/>
          <w:szCs w:val="24"/>
        </w:rPr>
        <w:t xml:space="preserve"> </w:t>
      </w:r>
      <w:r w:rsidRPr="00742500">
        <w:rPr>
          <w:rFonts w:ascii="Arial" w:eastAsia="Arial" w:hAnsi="Arial" w:cs="Arial"/>
          <w:sz w:val="24"/>
          <w:szCs w:val="24"/>
        </w:rPr>
        <w:t>rooted in local hiring channels, community networks and regional recruitment agencies</w:t>
      </w:r>
      <w:r w:rsidR="008610BC">
        <w:rPr>
          <w:rFonts w:ascii="Arial" w:eastAsia="Arial" w:hAnsi="Arial" w:cs="Arial"/>
          <w:sz w:val="24"/>
          <w:szCs w:val="24"/>
        </w:rPr>
        <w:t xml:space="preserve"> </w:t>
      </w:r>
      <w:r w:rsidRPr="00742500">
        <w:rPr>
          <w:rFonts w:ascii="Arial" w:eastAsia="Arial" w:hAnsi="Arial" w:cs="Arial"/>
          <w:sz w:val="24"/>
          <w:szCs w:val="24"/>
        </w:rPr>
        <w:t>has supported cultural alignment and operational continuity. However, reliance on geographically narrow sourcing restricts applicant diversity and innovation, limiting long-term organisational resilience (Akkermans et al., 2020; Swailes, 2020). CIPD (2024) recommends widening pipelines through digital sourcing, targeted campaigns and proactive talent pool cultivation, suggesting AFI must broaden its reach beyond local networks.</w:t>
      </w:r>
    </w:p>
    <w:p w14:paraId="49B3A7DD" w14:textId="312B0703" w:rsidR="41709242" w:rsidRPr="00742500" w:rsidRDefault="41709242" w:rsidP="001836AD">
      <w:pPr>
        <w:spacing w:before="240" w:after="240"/>
        <w:jc w:val="both"/>
        <w:rPr>
          <w:rFonts w:ascii="Arial" w:eastAsia="Arial" w:hAnsi="Arial" w:cs="Arial"/>
          <w:sz w:val="24"/>
          <w:szCs w:val="24"/>
        </w:rPr>
      </w:pPr>
      <w:r w:rsidRPr="00742500">
        <w:rPr>
          <w:rFonts w:ascii="Arial" w:eastAsia="Arial" w:hAnsi="Arial" w:cs="Arial"/>
          <w:sz w:val="24"/>
          <w:szCs w:val="24"/>
        </w:rPr>
        <w:t xml:space="preserve">From an employer branding perspective, localised attraction strategies also reduce visibility in wider markets. Backhaus and Tikoo (2004) argue that modern employer brand strength depends on digital presence, storytelling and reputation management, particularly for younger workers. Arla has responded by enhancing its digital employer brand through social media, employee stories and improved recruitment content. However, the benefits for AFI </w:t>
      </w:r>
      <w:r w:rsidR="003E7C17" w:rsidRPr="00742500">
        <w:rPr>
          <w:rFonts w:ascii="Arial" w:eastAsia="Arial" w:hAnsi="Arial" w:cs="Arial"/>
          <w:sz w:val="24"/>
          <w:szCs w:val="24"/>
        </w:rPr>
        <w:t>w</w:t>
      </w:r>
      <w:r w:rsidRPr="00742500">
        <w:rPr>
          <w:rFonts w:ascii="Arial" w:eastAsia="Arial" w:hAnsi="Arial" w:cs="Arial"/>
          <w:sz w:val="24"/>
          <w:szCs w:val="24"/>
        </w:rPr>
        <w:t xml:space="preserve">est Wales depend on whether site-specific </w:t>
      </w:r>
      <w:r w:rsidRPr="00742500">
        <w:rPr>
          <w:rFonts w:ascii="Arial" w:eastAsia="Arial" w:hAnsi="Arial" w:cs="Arial"/>
          <w:sz w:val="24"/>
          <w:szCs w:val="24"/>
        </w:rPr>
        <w:lastRenderedPageBreak/>
        <w:t>opportunities are visible within wider campaigns, rather than overshadowed by generic corporate messaging.</w:t>
      </w:r>
    </w:p>
    <w:p w14:paraId="01BDE877" w14:textId="77777777" w:rsidR="00742500" w:rsidRPr="00742500" w:rsidRDefault="00742500" w:rsidP="001836AD">
      <w:pPr>
        <w:spacing w:before="240" w:after="240"/>
        <w:jc w:val="both"/>
        <w:rPr>
          <w:rFonts w:ascii="Arial" w:eastAsia="Arial" w:hAnsi="Arial" w:cs="Arial"/>
          <w:sz w:val="24"/>
          <w:szCs w:val="24"/>
        </w:rPr>
      </w:pPr>
    </w:p>
    <w:p w14:paraId="2C79233A" w14:textId="119C81D0" w:rsidR="00EB6ED1" w:rsidRPr="00742500" w:rsidRDefault="00742500" w:rsidP="00742500">
      <w:pPr>
        <w:pStyle w:val="Heading2"/>
        <w:rPr>
          <w:rFonts w:ascii="Arial" w:hAnsi="Arial" w:cs="Arial"/>
          <w:sz w:val="24"/>
          <w:szCs w:val="24"/>
        </w:rPr>
      </w:pPr>
      <w:bookmarkStart w:id="15" w:name="_Toc216002766"/>
      <w:r w:rsidRPr="00742500">
        <w:rPr>
          <w:rFonts w:ascii="Arial" w:hAnsi="Arial" w:cs="Arial"/>
          <w:sz w:val="24"/>
          <w:szCs w:val="24"/>
        </w:rPr>
        <w:t>4.2</w:t>
      </w:r>
      <w:r w:rsidR="429DAA78" w:rsidRPr="00742500">
        <w:rPr>
          <w:rFonts w:ascii="Arial" w:hAnsi="Arial" w:cs="Arial"/>
          <w:sz w:val="24"/>
          <w:szCs w:val="24"/>
        </w:rPr>
        <w:t xml:space="preserve"> Limited Use of Recruitment Technology</w:t>
      </w:r>
      <w:bookmarkEnd w:id="15"/>
    </w:p>
    <w:p w14:paraId="07B3F5E9" w14:textId="3A01D8F0" w:rsidR="00D2205B" w:rsidRPr="00742500" w:rsidRDefault="00D2205B" w:rsidP="001836AD">
      <w:pPr>
        <w:jc w:val="both"/>
        <w:rPr>
          <w:rFonts w:ascii="Arial" w:hAnsi="Arial" w:cs="Arial"/>
          <w:sz w:val="24"/>
          <w:szCs w:val="24"/>
        </w:rPr>
      </w:pPr>
      <w:r w:rsidRPr="00742500">
        <w:rPr>
          <w:rFonts w:ascii="Arial" w:hAnsi="Arial" w:cs="Arial"/>
          <w:sz w:val="24"/>
          <w:szCs w:val="24"/>
        </w:rPr>
        <w:t>CIPD (2024) identifies digital recruitment</w:t>
      </w:r>
      <w:r w:rsidR="008610BC">
        <w:rPr>
          <w:rFonts w:ascii="Arial" w:hAnsi="Arial" w:cs="Arial"/>
          <w:sz w:val="24"/>
          <w:szCs w:val="24"/>
        </w:rPr>
        <w:t xml:space="preserve"> </w:t>
      </w:r>
      <w:r w:rsidRPr="00742500">
        <w:rPr>
          <w:rFonts w:ascii="Arial" w:hAnsi="Arial" w:cs="Arial"/>
          <w:sz w:val="24"/>
          <w:szCs w:val="24"/>
        </w:rPr>
        <w:t>through ATS platforms, automated screening and virtual assessment</w:t>
      </w:r>
      <w:r w:rsidR="008610BC">
        <w:rPr>
          <w:rFonts w:ascii="Arial" w:hAnsi="Arial" w:cs="Arial"/>
          <w:sz w:val="24"/>
          <w:szCs w:val="24"/>
        </w:rPr>
        <w:t xml:space="preserve"> </w:t>
      </w:r>
      <w:r w:rsidRPr="00742500">
        <w:rPr>
          <w:rFonts w:ascii="Arial" w:hAnsi="Arial" w:cs="Arial"/>
          <w:sz w:val="24"/>
          <w:szCs w:val="24"/>
        </w:rPr>
        <w:t>as a key driver of efficiency, fairness and data-led decision-making. AFI UK partly reflects this through Arla’s central ATS for salaried roles, but recruitment for operational positions at West Wales remains largely manual.</w:t>
      </w:r>
    </w:p>
    <w:p w14:paraId="1DED942F" w14:textId="77777777" w:rsidR="00D2205B" w:rsidRPr="00742500" w:rsidRDefault="00D2205B" w:rsidP="001836AD">
      <w:pPr>
        <w:jc w:val="both"/>
        <w:rPr>
          <w:rFonts w:ascii="Arial" w:hAnsi="Arial" w:cs="Arial"/>
          <w:sz w:val="24"/>
          <w:szCs w:val="24"/>
        </w:rPr>
      </w:pPr>
      <w:r w:rsidRPr="00742500">
        <w:rPr>
          <w:rFonts w:ascii="Arial" w:hAnsi="Arial" w:cs="Arial"/>
          <w:sz w:val="24"/>
          <w:szCs w:val="24"/>
        </w:rPr>
        <w:t>While manual hiring supports community relationships, it risks inconsistency, limited scalability and greater exposure to bias (Highhouse et al., 2016). Contemporary evidence shows that organisations relying on manual processes face higher inefficiency and weaker candidate experience than those using structured, technology-enabled recruitment (Deloitte, 2023). Arla UK recognises these issues and is exploring extending ATS capability to operational roles, balancing modernisation with local relational strengths.</w:t>
      </w:r>
    </w:p>
    <w:p w14:paraId="3E5A8CD1" w14:textId="23A8B8BA" w:rsidR="00D2205B" w:rsidRPr="00742500" w:rsidRDefault="00D2205B" w:rsidP="001836AD">
      <w:pPr>
        <w:jc w:val="both"/>
        <w:rPr>
          <w:rFonts w:ascii="Arial" w:hAnsi="Arial" w:cs="Arial"/>
          <w:sz w:val="24"/>
          <w:szCs w:val="24"/>
        </w:rPr>
      </w:pPr>
      <w:r w:rsidRPr="00742500">
        <w:rPr>
          <w:rFonts w:ascii="Arial" w:hAnsi="Arial" w:cs="Arial"/>
          <w:sz w:val="24"/>
          <w:szCs w:val="24"/>
        </w:rPr>
        <w:t>Benchmarking indicates that end-to-end digital recruitment improves diversity, pipeline reach and candidate experience</w:t>
      </w:r>
      <w:r w:rsidR="008610BC">
        <w:rPr>
          <w:rFonts w:ascii="Arial" w:hAnsi="Arial" w:cs="Arial"/>
          <w:sz w:val="24"/>
          <w:szCs w:val="24"/>
        </w:rPr>
        <w:t xml:space="preserve"> </w:t>
      </w:r>
      <w:r w:rsidRPr="00742500">
        <w:rPr>
          <w:rFonts w:ascii="Arial" w:hAnsi="Arial" w:cs="Arial"/>
          <w:sz w:val="24"/>
          <w:szCs w:val="24"/>
        </w:rPr>
        <w:t>particularly for younger, digitally fluent applicants (CIPD, 2024; Mohdzaini, 2023). AFI’s manual approach may therefore disadvantage applicants who expect seamless, mobile-friendly systems and restricts access to recruitment analytics. Without data, AFI cannot easily identify bottlenecks, track drop-off or evaluate sourcing effectiveness, limiting strategic workforce planning (CIPD, 2024).</w:t>
      </w:r>
    </w:p>
    <w:p w14:paraId="32D8FB2E" w14:textId="77777777" w:rsidR="00D2205B" w:rsidRPr="00742500" w:rsidRDefault="00D2205B" w:rsidP="001836AD">
      <w:pPr>
        <w:jc w:val="both"/>
        <w:rPr>
          <w:rFonts w:ascii="Arial" w:hAnsi="Arial" w:cs="Arial"/>
          <w:sz w:val="24"/>
          <w:szCs w:val="24"/>
        </w:rPr>
      </w:pPr>
      <w:r w:rsidRPr="00742500">
        <w:rPr>
          <w:rFonts w:ascii="Arial" w:hAnsi="Arial" w:cs="Arial"/>
          <w:sz w:val="24"/>
          <w:szCs w:val="24"/>
        </w:rPr>
        <w:t>Arla’s wider UK network is moving towards more digitalised recruitment, but AFI West Wales remains earlier in this transition due to its historical reliance on community hiring. Adopting a blended model that preserves relational strengths while integrating scalable, data-driven recruitment processes is now essential.</w:t>
      </w:r>
    </w:p>
    <w:p w14:paraId="74A3EB37" w14:textId="77777777" w:rsidR="00742500" w:rsidRPr="00742500" w:rsidRDefault="00742500" w:rsidP="001836AD">
      <w:pPr>
        <w:jc w:val="both"/>
        <w:rPr>
          <w:rFonts w:ascii="Arial" w:hAnsi="Arial" w:cs="Arial"/>
          <w:sz w:val="24"/>
          <w:szCs w:val="24"/>
        </w:rPr>
      </w:pPr>
    </w:p>
    <w:p w14:paraId="409ABEC7" w14:textId="45E20583" w:rsidR="00EB6ED1" w:rsidRPr="00742500" w:rsidRDefault="429DAA78" w:rsidP="00742500">
      <w:pPr>
        <w:pStyle w:val="Heading2"/>
        <w:rPr>
          <w:rFonts w:ascii="Arial" w:hAnsi="Arial" w:cs="Arial"/>
          <w:sz w:val="24"/>
          <w:szCs w:val="24"/>
        </w:rPr>
      </w:pPr>
      <w:bookmarkStart w:id="16" w:name="_Toc216002767"/>
      <w:r w:rsidRPr="00742500">
        <w:rPr>
          <w:rFonts w:ascii="Arial" w:hAnsi="Arial" w:cs="Arial"/>
          <w:sz w:val="24"/>
          <w:szCs w:val="24"/>
        </w:rPr>
        <w:t>4.</w:t>
      </w:r>
      <w:r w:rsidR="00742500" w:rsidRPr="00742500">
        <w:rPr>
          <w:rFonts w:ascii="Arial" w:hAnsi="Arial" w:cs="Arial"/>
          <w:sz w:val="24"/>
          <w:szCs w:val="24"/>
        </w:rPr>
        <w:t>3</w:t>
      </w:r>
      <w:r w:rsidRPr="00742500">
        <w:rPr>
          <w:rFonts w:ascii="Arial" w:hAnsi="Arial" w:cs="Arial"/>
          <w:sz w:val="24"/>
          <w:szCs w:val="24"/>
        </w:rPr>
        <w:t xml:space="preserve"> Increased organisational focus on developing skills in-house</w:t>
      </w:r>
      <w:bookmarkEnd w:id="16"/>
    </w:p>
    <w:p w14:paraId="421FAD39" w14:textId="42A43579" w:rsidR="696B430B" w:rsidRPr="00742500" w:rsidRDefault="00EE5B3D" w:rsidP="001836AD">
      <w:pPr>
        <w:jc w:val="both"/>
        <w:rPr>
          <w:rFonts w:ascii="Arial" w:eastAsia="Arial" w:hAnsi="Arial" w:cs="Arial"/>
          <w:sz w:val="24"/>
          <w:szCs w:val="24"/>
        </w:rPr>
      </w:pPr>
      <w:r w:rsidRPr="00742500">
        <w:rPr>
          <w:rFonts w:ascii="Arial" w:eastAsia="Arial" w:hAnsi="Arial" w:cs="Arial"/>
          <w:sz w:val="24"/>
          <w:szCs w:val="24"/>
        </w:rPr>
        <w:t>CIPD (2024) reports that organisations are expanding L&amp;D provision and strengthening career pathways as a key response to ongoing skills shortages. AFI UK aligns strongly with this trend through its apprenticeships, internal mobility routes, leadership programmes and the structured People Calendar, which integrates performance, succession and development planning. These initiatives demonstrate a mature capability-building approach and represent a core strength of AFI’s talent strategy, consistent with evidence that sustained investment in internal development enhances retention and long-term workforce resilience (McKinsey, 2023).</w:t>
      </w:r>
    </w:p>
    <w:p w14:paraId="43111EE4" w14:textId="77777777" w:rsidR="00EB6ED1" w:rsidRPr="00742500" w:rsidRDefault="429DAA78" w:rsidP="00742500">
      <w:pPr>
        <w:pStyle w:val="Heading3"/>
        <w:rPr>
          <w:rFonts w:ascii="Arial" w:hAnsi="Arial" w:cs="Arial"/>
          <w:sz w:val="24"/>
          <w:szCs w:val="24"/>
        </w:rPr>
      </w:pPr>
      <w:bookmarkStart w:id="17" w:name="_Toc216002768"/>
      <w:r w:rsidRPr="00742500">
        <w:rPr>
          <w:rFonts w:ascii="Arial" w:hAnsi="Arial" w:cs="Arial"/>
          <w:sz w:val="24"/>
          <w:szCs w:val="24"/>
        </w:rPr>
        <w:lastRenderedPageBreak/>
        <w:t>Figure 1: AFI People Wheel (Arla Food Ingredients, 2025)</w:t>
      </w:r>
      <w:bookmarkEnd w:id="17"/>
    </w:p>
    <w:p w14:paraId="02DAE487" w14:textId="77777777" w:rsidR="00EB6ED1" w:rsidRPr="001836AD" w:rsidRDefault="00EB6ED1" w:rsidP="001836AD">
      <w:pPr>
        <w:jc w:val="both"/>
        <w:rPr>
          <w:rFonts w:ascii="Arial" w:eastAsia="Arial" w:hAnsi="Arial" w:cs="Arial"/>
          <w:sz w:val="24"/>
          <w:szCs w:val="24"/>
        </w:rPr>
      </w:pPr>
      <w:r w:rsidRPr="001836AD">
        <w:rPr>
          <w:rFonts w:ascii="Arial" w:hAnsi="Arial" w:cs="Arial"/>
          <w:noProof/>
          <w:sz w:val="24"/>
          <w:szCs w:val="24"/>
        </w:rPr>
        <w:drawing>
          <wp:inline distT="0" distB="0" distL="0" distR="0" wp14:anchorId="4CFE211A" wp14:editId="4C48CF51">
            <wp:extent cx="5731510" cy="3912101"/>
            <wp:effectExtent l="0" t="0" r="21590" b="12700"/>
            <wp:docPr id="194176260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462670C1" w14:textId="77777777" w:rsidR="00352E54" w:rsidRPr="00352E54" w:rsidRDefault="00352E54" w:rsidP="00352E54">
      <w:pPr>
        <w:jc w:val="both"/>
        <w:rPr>
          <w:rFonts w:ascii="Arial" w:hAnsi="Arial" w:cs="Arial"/>
          <w:sz w:val="24"/>
          <w:szCs w:val="24"/>
        </w:rPr>
      </w:pPr>
      <w:r w:rsidRPr="00352E54">
        <w:rPr>
          <w:rFonts w:ascii="Arial" w:hAnsi="Arial" w:cs="Arial"/>
          <w:sz w:val="24"/>
          <w:szCs w:val="24"/>
        </w:rPr>
        <w:t>AFI’s integrated “People Wheel” positions development as a continuous cycle connecting performance, engagement, succession planning and capability assessment. This aligns with contemporary HR models emphasising continuous learning and the Resource-Based View, which identifies internal skills as a source of competitive advantage (Barney, 1991). Clear development opportunities also support retention by strengthening progression confidence and perceived organisational investment (De Boeck et al., 2018; Gupta and Praveen, 2023).</w:t>
      </w:r>
    </w:p>
    <w:p w14:paraId="4BC0665E" w14:textId="77777777" w:rsidR="00352E54" w:rsidRPr="00352E54" w:rsidRDefault="00352E54" w:rsidP="00352E54">
      <w:pPr>
        <w:jc w:val="both"/>
        <w:rPr>
          <w:rFonts w:ascii="Arial" w:hAnsi="Arial" w:cs="Arial"/>
          <w:sz w:val="24"/>
          <w:szCs w:val="24"/>
        </w:rPr>
      </w:pPr>
      <w:r w:rsidRPr="00352E54">
        <w:rPr>
          <w:rFonts w:ascii="Arial" w:hAnsi="Arial" w:cs="Arial"/>
          <w:sz w:val="24"/>
          <w:szCs w:val="24"/>
        </w:rPr>
        <w:t>However, access remains uneven. Office-based employees benefit more from high-potential programmes and digital learning due to flexible schedules, better connectivity and greater visibility with senior leaders (Swailes, 2020). Shift-based teams face barriers including fixed patterns, fewer learning spaces and limited networking, which research links to weaker career prospects and higher turnover (Samoliuk et al., 2022). With much of Arla’s UK workforce being shift-based (Arla HR Data, 2024), these disparities significantly affect progression and retention.</w:t>
      </w:r>
    </w:p>
    <w:p w14:paraId="2F23FE37" w14:textId="77777777" w:rsidR="00352E54" w:rsidRPr="00352E54" w:rsidRDefault="00352E54" w:rsidP="00352E54">
      <w:pPr>
        <w:jc w:val="both"/>
        <w:rPr>
          <w:rFonts w:ascii="Arial" w:hAnsi="Arial" w:cs="Arial"/>
          <w:sz w:val="24"/>
          <w:szCs w:val="24"/>
        </w:rPr>
      </w:pPr>
      <w:r w:rsidRPr="00352E54">
        <w:rPr>
          <w:rFonts w:ascii="Arial" w:hAnsi="Arial" w:cs="Arial"/>
          <w:sz w:val="24"/>
          <w:szCs w:val="24"/>
        </w:rPr>
        <w:t>Benchmarking shows leading FMCG employers prioritise equitable development through multi-shift learning access, on-site pathways and technical academies (Garavan et al., 2021). Without similar measures, the People Calendar risks reinforcing segmentation rather than enabling inclusive growth, particularly at West Wales where global frameworks must be adapted to local operational realities.</w:t>
      </w:r>
    </w:p>
    <w:p w14:paraId="7389A23D" w14:textId="77777777" w:rsidR="00B8468E" w:rsidRPr="00742500" w:rsidRDefault="00B8468E" w:rsidP="001836AD">
      <w:pPr>
        <w:jc w:val="both"/>
        <w:rPr>
          <w:rFonts w:ascii="Arial" w:hAnsi="Arial" w:cs="Arial"/>
          <w:sz w:val="24"/>
          <w:szCs w:val="24"/>
        </w:rPr>
      </w:pPr>
      <w:r w:rsidRPr="00742500">
        <w:rPr>
          <w:rFonts w:ascii="Arial" w:hAnsi="Arial" w:cs="Arial"/>
          <w:sz w:val="24"/>
          <w:szCs w:val="24"/>
        </w:rPr>
        <w:t xml:space="preserve">While AFI UK aligns well with CIPD (2024) priorities on capability building, gaps remain in attraction reach, recruitment digitalisation and equitable development access. Progress is being made through enhanced digital tools and broadened sourcing, but </w:t>
      </w:r>
      <w:r w:rsidRPr="00742500">
        <w:rPr>
          <w:rFonts w:ascii="Arial" w:hAnsi="Arial" w:cs="Arial"/>
          <w:sz w:val="24"/>
          <w:szCs w:val="24"/>
        </w:rPr>
        <w:lastRenderedPageBreak/>
        <w:t>sustained improvement requires clearer timelines and targeted local implementation, especially in rural sites.</w:t>
      </w:r>
    </w:p>
    <w:p w14:paraId="56D86D57" w14:textId="0633871E" w:rsidR="00435847" w:rsidRPr="00742500" w:rsidRDefault="76AC7091" w:rsidP="00742500">
      <w:pPr>
        <w:pStyle w:val="Heading1"/>
        <w:rPr>
          <w:rFonts w:ascii="Arial" w:hAnsi="Arial" w:cs="Arial"/>
          <w:sz w:val="24"/>
          <w:szCs w:val="24"/>
        </w:rPr>
      </w:pPr>
      <w:bookmarkStart w:id="18" w:name="_Toc216002769"/>
      <w:r w:rsidRPr="00742500">
        <w:rPr>
          <w:rFonts w:ascii="Arial" w:hAnsi="Arial" w:cs="Arial"/>
          <w:sz w:val="24"/>
          <w:szCs w:val="24"/>
        </w:rPr>
        <w:t>5</w:t>
      </w:r>
      <w:r w:rsidR="7C56B722" w:rsidRPr="00742500">
        <w:rPr>
          <w:rFonts w:ascii="Arial" w:hAnsi="Arial" w:cs="Arial"/>
          <w:sz w:val="24"/>
          <w:szCs w:val="24"/>
        </w:rPr>
        <w:t>.0 Conclusion</w:t>
      </w:r>
      <w:bookmarkEnd w:id="18"/>
    </w:p>
    <w:p w14:paraId="2031F899" w14:textId="77777777" w:rsidR="00AA054C" w:rsidRPr="00A269D0" w:rsidRDefault="00AA054C" w:rsidP="00AA054C">
      <w:pPr>
        <w:jc w:val="both"/>
        <w:rPr>
          <w:rFonts w:ascii="Arial" w:hAnsi="Arial" w:cs="Arial"/>
          <w:sz w:val="24"/>
          <w:szCs w:val="24"/>
        </w:rPr>
      </w:pPr>
      <w:r w:rsidRPr="00A269D0">
        <w:rPr>
          <w:rFonts w:ascii="Arial" w:hAnsi="Arial" w:cs="Arial"/>
          <w:sz w:val="24"/>
          <w:szCs w:val="24"/>
        </w:rPr>
        <w:t>The analysis of internal and external factors shaping talent management at AFI UK highlights its position within a specialist, skills-dependent manufacturing and nutrition sector. Persistent labour shortages, rising digital capability requirements and shifting workforce expectations continue to shape the employee value proposition. While development, purpose and wellbeing remain key drivers of attraction and retention (CIPD, 2024; Tanwar and Kumar, 2019), competitive pay also remains influential, particularly when recruiting into rural and shift-based roles.</w:t>
      </w:r>
    </w:p>
    <w:p w14:paraId="381AB9A8" w14:textId="77777777" w:rsidR="00AA054C" w:rsidRPr="00A269D0" w:rsidRDefault="00AA054C" w:rsidP="00AA054C">
      <w:pPr>
        <w:jc w:val="both"/>
        <w:rPr>
          <w:rFonts w:ascii="Arial" w:hAnsi="Arial" w:cs="Arial"/>
          <w:sz w:val="24"/>
          <w:szCs w:val="24"/>
        </w:rPr>
      </w:pPr>
      <w:r w:rsidRPr="00A269D0">
        <w:rPr>
          <w:rFonts w:ascii="Arial" w:hAnsi="Arial" w:cs="Arial"/>
          <w:sz w:val="24"/>
          <w:szCs w:val="24"/>
        </w:rPr>
        <w:t>Internally, organisational culture, leadership capability and equitable access to development emerged as the most significant determinants of attraction, performance and retention. However, these factors are not experienced uniformly, with shift-based employees facing barriers that limit visibility, progression and access to learning. This uneven experience affects engagement and succession, especially at the west Wales site where labour scarcity magnifies internal weaknesses.</w:t>
      </w:r>
    </w:p>
    <w:p w14:paraId="74514515" w14:textId="77777777" w:rsidR="00AA054C" w:rsidRPr="00A269D0" w:rsidRDefault="00AA054C" w:rsidP="00AA054C">
      <w:pPr>
        <w:jc w:val="both"/>
        <w:rPr>
          <w:rFonts w:ascii="Arial" w:hAnsi="Arial" w:cs="Arial"/>
          <w:sz w:val="24"/>
          <w:szCs w:val="24"/>
        </w:rPr>
      </w:pPr>
      <w:r w:rsidRPr="00A269D0">
        <w:rPr>
          <w:rFonts w:ascii="Arial" w:hAnsi="Arial" w:cs="Arial"/>
          <w:sz w:val="24"/>
          <w:szCs w:val="24"/>
        </w:rPr>
        <w:t>Despite these challenges, AFI UK demonstrates strong foundations. Effective onboarding supports early retention; the cooperative identity enhances engagement; and the People Calendar offers structured development and succession planning. These strengths align with wider trends prioritising internal capability-building in response to skills shortages.</w:t>
      </w:r>
    </w:p>
    <w:p w14:paraId="6CD43BC6" w14:textId="77777777" w:rsidR="00AA054C" w:rsidRPr="00A269D0" w:rsidRDefault="00AA054C" w:rsidP="00AA054C">
      <w:pPr>
        <w:jc w:val="both"/>
        <w:rPr>
          <w:rFonts w:ascii="Arial" w:hAnsi="Arial" w:cs="Arial"/>
          <w:sz w:val="24"/>
          <w:szCs w:val="24"/>
        </w:rPr>
      </w:pPr>
      <w:r w:rsidRPr="00A269D0">
        <w:rPr>
          <w:rFonts w:ascii="Arial" w:hAnsi="Arial" w:cs="Arial"/>
          <w:sz w:val="24"/>
          <w:szCs w:val="24"/>
        </w:rPr>
        <w:t>However, limitations persist. Narrow sourcing breadth restricts candidate diversity, limited recruitment digitalisation reduces scalability, and inconsistent development access risks retention in critical operational roles. Although AFI’s purpose-led identity strengthens its employer brand, digital visibility to wider labour markets remains underdeveloped.</w:t>
      </w:r>
    </w:p>
    <w:p w14:paraId="25061298" w14:textId="77777777" w:rsidR="00AA054C" w:rsidRPr="00A269D0" w:rsidRDefault="00AA054C" w:rsidP="00AA054C">
      <w:pPr>
        <w:jc w:val="both"/>
        <w:rPr>
          <w:rFonts w:ascii="Arial" w:hAnsi="Arial" w:cs="Arial"/>
          <w:sz w:val="24"/>
          <w:szCs w:val="24"/>
        </w:rPr>
      </w:pPr>
      <w:r w:rsidRPr="00A269D0">
        <w:rPr>
          <w:rFonts w:ascii="Arial" w:hAnsi="Arial" w:cs="Arial"/>
          <w:sz w:val="24"/>
          <w:szCs w:val="24"/>
        </w:rPr>
        <w:t>To remain competitive in an increasingly skills-driven sector, AFI UK must balance internal capability-building with a more outward-facing attraction and recruitment strategy. Enhancing recruitment technology, widening sourcing channels, strengthening front-line leadership capability and designing learning solutions suited to shift-based environments will be essential. Together, these actions will build organisational resilience, reduce reliance on external labour markets and support AFI UK in sustaining a skilled, engaged and future-ready workforce.</w:t>
      </w:r>
    </w:p>
    <w:p w14:paraId="0071963D" w14:textId="77777777" w:rsidR="00670DF2" w:rsidRPr="00742500" w:rsidRDefault="00670DF2" w:rsidP="00742500">
      <w:pPr>
        <w:pStyle w:val="Heading1"/>
        <w:rPr>
          <w:rFonts w:ascii="Arial" w:hAnsi="Arial" w:cs="Arial"/>
          <w:sz w:val="24"/>
          <w:szCs w:val="24"/>
        </w:rPr>
      </w:pPr>
      <w:bookmarkStart w:id="19" w:name="_Toc216002770"/>
      <w:r w:rsidRPr="00742500">
        <w:rPr>
          <w:rFonts w:ascii="Arial" w:hAnsi="Arial" w:cs="Arial"/>
          <w:sz w:val="24"/>
          <w:szCs w:val="24"/>
        </w:rPr>
        <w:t>6.0 Recommendations for Strengthening Talent Management at AFI UK</w:t>
      </w:r>
      <w:bookmarkEnd w:id="19"/>
    </w:p>
    <w:p w14:paraId="4DB1CDFC" w14:textId="0BF46CE3" w:rsidR="00670DF2" w:rsidRPr="00BF233E" w:rsidRDefault="00754F03" w:rsidP="00BF233E">
      <w:pPr>
        <w:jc w:val="both"/>
        <w:rPr>
          <w:rFonts w:ascii="Arial" w:hAnsi="Arial" w:cs="Arial"/>
          <w:sz w:val="24"/>
          <w:szCs w:val="24"/>
        </w:rPr>
      </w:pPr>
      <w:r w:rsidRPr="00BF233E">
        <w:rPr>
          <w:rFonts w:ascii="Arial" w:hAnsi="Arial" w:cs="Arial"/>
          <w:sz w:val="24"/>
          <w:szCs w:val="24"/>
        </w:rPr>
        <w:t xml:space="preserve">Drawing on the findings from Sections 2–4, and aligned with the CIPD Resourcing and Talent Planning Report (2024), this section presents three prioritised recommendations to strengthen attraction, recruitment, development and retention across AFI UK. These recommendations respond directly to AFI’s most significant challenges: the constrained rural labour market in west Wales, uneven development access for shift-based employees, and variation in front-line leadership capability. Each recommendation is strategically important, adaptable across sites and feasible </w:t>
      </w:r>
      <w:r w:rsidRPr="00BF233E">
        <w:rPr>
          <w:rFonts w:ascii="Arial" w:hAnsi="Arial" w:cs="Arial"/>
          <w:sz w:val="24"/>
          <w:szCs w:val="24"/>
        </w:rPr>
        <w:lastRenderedPageBreak/>
        <w:t>with moderate investment. Indicative costings are provided to support planning and implementation.</w:t>
      </w:r>
    </w:p>
    <w:p w14:paraId="39381646" w14:textId="77777777" w:rsidR="00670DF2" w:rsidRPr="00742500" w:rsidRDefault="00670DF2" w:rsidP="00742500">
      <w:pPr>
        <w:pStyle w:val="Heading2"/>
        <w:rPr>
          <w:rFonts w:ascii="Arial" w:hAnsi="Arial" w:cs="Arial"/>
          <w:sz w:val="24"/>
          <w:szCs w:val="24"/>
        </w:rPr>
      </w:pPr>
      <w:bookmarkStart w:id="20" w:name="_Toc216002771"/>
      <w:r w:rsidRPr="00742500">
        <w:rPr>
          <w:rFonts w:ascii="Arial" w:hAnsi="Arial" w:cs="Arial"/>
          <w:sz w:val="24"/>
          <w:szCs w:val="24"/>
        </w:rPr>
        <w:t>6.1 Digitalising and Standardising Recruitment Processes</w:t>
      </w:r>
      <w:bookmarkEnd w:id="20"/>
    </w:p>
    <w:p w14:paraId="6EC228CB" w14:textId="77777777" w:rsidR="003D5DA3" w:rsidRPr="003D5DA3" w:rsidRDefault="003D5DA3" w:rsidP="003D5DA3">
      <w:pPr>
        <w:jc w:val="both"/>
        <w:rPr>
          <w:rFonts w:ascii="Arial" w:hAnsi="Arial" w:cs="Arial"/>
          <w:sz w:val="24"/>
          <w:szCs w:val="24"/>
        </w:rPr>
      </w:pPr>
      <w:r w:rsidRPr="003D5DA3">
        <w:rPr>
          <w:rFonts w:ascii="Arial" w:hAnsi="Arial" w:cs="Arial"/>
          <w:sz w:val="24"/>
          <w:szCs w:val="24"/>
        </w:rPr>
        <w:t>The analysis identified significant recruitment challenges across AFI UK, reflecting national shortages in engineering, digital and scientific skills, alongside the acute constraints of the rural west Wales labour market. Despite these pressures, operational recruitment remains heavily manual, limiting AFI’s ability to widen sourcing reach, ensure process consistency and access the analytics required for strategic workforce planning. CIPD (2024) emphasises that digital recruitment—supported by applicant tracking systems (ATS), automated screening and virtual assessments—increases fairness, efficiency and candidate experience. Historically, access to digital recruitment processes has differed across roles and locations, but AFI’s increasing alignment with global Talent Acquisition now offers an opportunity to strengthen recruitment capability while acknowledging the unique challenges of rural hiring.</w:t>
      </w:r>
    </w:p>
    <w:p w14:paraId="29A3F3F3" w14:textId="77777777" w:rsidR="003D5DA3" w:rsidRPr="003D5DA3" w:rsidRDefault="003D5DA3" w:rsidP="003D5DA3">
      <w:pPr>
        <w:jc w:val="both"/>
        <w:rPr>
          <w:rFonts w:ascii="Arial" w:hAnsi="Arial" w:cs="Arial"/>
          <w:sz w:val="24"/>
          <w:szCs w:val="24"/>
        </w:rPr>
      </w:pPr>
      <w:r w:rsidRPr="003D5DA3">
        <w:rPr>
          <w:rFonts w:ascii="Arial" w:hAnsi="Arial" w:cs="Arial"/>
          <w:sz w:val="24"/>
          <w:szCs w:val="24"/>
        </w:rPr>
        <w:t>Evidence shows that organisations with fully digitalised recruitment pipelines attract more diverse and digitally fluent applicants (Mohdzaini, 2023; Deloitte, 2023). Extending Arla’s central ATS to operational roles would allow AFI to introduce structured screening, automated workflow management and more sophisticated data capture. Although there are associated costs, these are small relative to the productivity loss and re-hiring expenditure associated with hard-to-fill roles in specialist manufacturing environments. A blended approach is recommended: digitalising recruitment processes while continuing to leverage community-based relationships, partnerships with further education providers and employee referrals. This approach enables AFI to preserve the relational strengths of rural hiring while addressing earlier findings that limited digital capability constrains candidate diversity, slows hiring and results in inconsistent processes across sites.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96"/>
        <w:gridCol w:w="1970"/>
        <w:gridCol w:w="4450"/>
      </w:tblGrid>
      <w:tr w:rsidR="0089787E" w:rsidRPr="0089787E" w14:paraId="227F6EAE" w14:textId="77777777" w:rsidTr="0089787E">
        <w:trPr>
          <w:tblHeader/>
          <w:tblCellSpacing w:w="15" w:type="dxa"/>
        </w:trPr>
        <w:tc>
          <w:tcPr>
            <w:tcW w:w="0" w:type="auto"/>
            <w:vAlign w:val="center"/>
            <w:hideMark/>
          </w:tcPr>
          <w:p w14:paraId="1FFB76B1" w14:textId="77777777" w:rsidR="0089787E" w:rsidRPr="0089787E" w:rsidRDefault="0089787E" w:rsidP="0089787E">
            <w:r w:rsidRPr="0089787E">
              <w:t>Cost Area</w:t>
            </w:r>
          </w:p>
        </w:tc>
        <w:tc>
          <w:tcPr>
            <w:tcW w:w="0" w:type="auto"/>
            <w:vAlign w:val="center"/>
            <w:hideMark/>
          </w:tcPr>
          <w:p w14:paraId="0D052F62" w14:textId="77777777" w:rsidR="0089787E" w:rsidRPr="0089787E" w:rsidRDefault="0089787E" w:rsidP="0089787E">
            <w:r w:rsidRPr="0089787E">
              <w:t>Estimated Cost</w:t>
            </w:r>
          </w:p>
        </w:tc>
        <w:tc>
          <w:tcPr>
            <w:tcW w:w="0" w:type="auto"/>
            <w:vAlign w:val="center"/>
            <w:hideMark/>
          </w:tcPr>
          <w:p w14:paraId="1AF7763B" w14:textId="77777777" w:rsidR="0089787E" w:rsidRPr="0089787E" w:rsidRDefault="0089787E" w:rsidP="0089787E">
            <w:r w:rsidRPr="0089787E">
              <w:t>Purpose</w:t>
            </w:r>
          </w:p>
        </w:tc>
      </w:tr>
      <w:tr w:rsidR="0089787E" w:rsidRPr="0089787E" w14:paraId="758F7B68" w14:textId="77777777" w:rsidTr="0089787E">
        <w:trPr>
          <w:tblCellSpacing w:w="15" w:type="dxa"/>
        </w:trPr>
        <w:tc>
          <w:tcPr>
            <w:tcW w:w="0" w:type="auto"/>
            <w:vAlign w:val="center"/>
            <w:hideMark/>
          </w:tcPr>
          <w:p w14:paraId="0DC5DA5D" w14:textId="77777777" w:rsidR="0089787E" w:rsidRPr="0089787E" w:rsidRDefault="0089787E" w:rsidP="0089787E">
            <w:r w:rsidRPr="0089787E">
              <w:t>ATS licences &amp; system integration</w:t>
            </w:r>
          </w:p>
        </w:tc>
        <w:tc>
          <w:tcPr>
            <w:tcW w:w="0" w:type="auto"/>
            <w:vAlign w:val="center"/>
            <w:hideMark/>
          </w:tcPr>
          <w:p w14:paraId="7A56CA65" w14:textId="77777777" w:rsidR="0089787E" w:rsidRPr="0089787E" w:rsidRDefault="0089787E" w:rsidP="0089787E">
            <w:r w:rsidRPr="0089787E">
              <w:t>£30,000–£50,000 per year</w:t>
            </w:r>
          </w:p>
        </w:tc>
        <w:tc>
          <w:tcPr>
            <w:tcW w:w="0" w:type="auto"/>
            <w:vAlign w:val="center"/>
            <w:hideMark/>
          </w:tcPr>
          <w:p w14:paraId="6E9F6FC3" w14:textId="77777777" w:rsidR="0089787E" w:rsidRPr="0089787E" w:rsidRDefault="0089787E" w:rsidP="0089787E">
            <w:r w:rsidRPr="0089787E">
              <w:t>Implements digital workflow, automated screening &amp; data capture</w:t>
            </w:r>
          </w:p>
        </w:tc>
      </w:tr>
      <w:tr w:rsidR="0089787E" w:rsidRPr="0089787E" w14:paraId="1CD606DB" w14:textId="77777777" w:rsidTr="0089787E">
        <w:trPr>
          <w:tblCellSpacing w:w="15" w:type="dxa"/>
        </w:trPr>
        <w:tc>
          <w:tcPr>
            <w:tcW w:w="0" w:type="auto"/>
            <w:vAlign w:val="center"/>
            <w:hideMark/>
          </w:tcPr>
          <w:p w14:paraId="1C7E3075" w14:textId="77777777" w:rsidR="0089787E" w:rsidRPr="0089787E" w:rsidRDefault="0089787E" w:rsidP="0089787E">
            <w:r w:rsidRPr="0089787E">
              <w:t>Digital onboarding platform</w:t>
            </w:r>
          </w:p>
        </w:tc>
        <w:tc>
          <w:tcPr>
            <w:tcW w:w="0" w:type="auto"/>
            <w:vAlign w:val="center"/>
            <w:hideMark/>
          </w:tcPr>
          <w:p w14:paraId="3015ACBB" w14:textId="77777777" w:rsidR="0089787E" w:rsidRPr="0089787E" w:rsidRDefault="0089787E" w:rsidP="0089787E">
            <w:r w:rsidRPr="0089787E">
              <w:t>£10,000–£15,000</w:t>
            </w:r>
          </w:p>
        </w:tc>
        <w:tc>
          <w:tcPr>
            <w:tcW w:w="0" w:type="auto"/>
            <w:vAlign w:val="center"/>
            <w:hideMark/>
          </w:tcPr>
          <w:p w14:paraId="4A904C90" w14:textId="77777777" w:rsidR="0089787E" w:rsidRPr="0089787E" w:rsidRDefault="0089787E" w:rsidP="0089787E">
            <w:r w:rsidRPr="0089787E">
              <w:t>Standardises onboarding and reduces early attrition</w:t>
            </w:r>
          </w:p>
        </w:tc>
      </w:tr>
      <w:tr w:rsidR="0089787E" w:rsidRPr="0089787E" w14:paraId="25E3454E" w14:textId="77777777" w:rsidTr="0089787E">
        <w:trPr>
          <w:tblCellSpacing w:w="15" w:type="dxa"/>
        </w:trPr>
        <w:tc>
          <w:tcPr>
            <w:tcW w:w="0" w:type="auto"/>
            <w:vAlign w:val="center"/>
            <w:hideMark/>
          </w:tcPr>
          <w:p w14:paraId="59D1D187" w14:textId="77777777" w:rsidR="0089787E" w:rsidRPr="0089787E" w:rsidRDefault="0089787E" w:rsidP="0089787E">
            <w:r w:rsidRPr="0089787E">
              <w:t>Hiring manager digital skills training</w:t>
            </w:r>
          </w:p>
        </w:tc>
        <w:tc>
          <w:tcPr>
            <w:tcW w:w="0" w:type="auto"/>
            <w:vAlign w:val="center"/>
            <w:hideMark/>
          </w:tcPr>
          <w:p w14:paraId="61601D4E" w14:textId="77777777" w:rsidR="0089787E" w:rsidRPr="0089787E" w:rsidRDefault="0089787E" w:rsidP="0089787E">
            <w:r w:rsidRPr="0089787E">
              <w:t>£5,000</w:t>
            </w:r>
          </w:p>
        </w:tc>
        <w:tc>
          <w:tcPr>
            <w:tcW w:w="0" w:type="auto"/>
            <w:vAlign w:val="center"/>
            <w:hideMark/>
          </w:tcPr>
          <w:p w14:paraId="3F511D71" w14:textId="77777777" w:rsidR="0089787E" w:rsidRPr="0089787E" w:rsidRDefault="0089787E" w:rsidP="0089787E">
            <w:r w:rsidRPr="0089787E">
              <w:t>Ensures consistent, fair and compliant use of digital tools</w:t>
            </w:r>
          </w:p>
        </w:tc>
      </w:tr>
    </w:tbl>
    <w:p w14:paraId="61465648" w14:textId="7E044E54" w:rsidR="00670DF2" w:rsidRPr="00742500" w:rsidRDefault="00670DF2" w:rsidP="00742500">
      <w:pPr>
        <w:pStyle w:val="Heading2"/>
        <w:rPr>
          <w:rFonts w:ascii="Arial" w:hAnsi="Arial" w:cs="Arial"/>
          <w:sz w:val="24"/>
          <w:szCs w:val="24"/>
        </w:rPr>
      </w:pPr>
    </w:p>
    <w:p w14:paraId="6268FF5E" w14:textId="77777777" w:rsidR="00670DF2" w:rsidRPr="00742500" w:rsidRDefault="00670DF2" w:rsidP="00742500">
      <w:pPr>
        <w:pStyle w:val="Heading2"/>
        <w:rPr>
          <w:rFonts w:ascii="Arial" w:hAnsi="Arial" w:cs="Arial"/>
          <w:sz w:val="24"/>
          <w:szCs w:val="24"/>
        </w:rPr>
      </w:pPr>
      <w:bookmarkStart w:id="21" w:name="_Toc216002772"/>
      <w:r w:rsidRPr="00742500">
        <w:rPr>
          <w:rFonts w:ascii="Arial" w:hAnsi="Arial" w:cs="Arial"/>
          <w:sz w:val="24"/>
          <w:szCs w:val="24"/>
        </w:rPr>
        <w:t>6.2 Ensuring Equitable and Inclusive Access to Development</w:t>
      </w:r>
      <w:bookmarkEnd w:id="21"/>
    </w:p>
    <w:p w14:paraId="7C97EC01" w14:textId="77777777" w:rsidR="00B724BC" w:rsidRPr="00B724BC" w:rsidRDefault="00B724BC" w:rsidP="00B724BC">
      <w:pPr>
        <w:jc w:val="both"/>
        <w:rPr>
          <w:rFonts w:ascii="Arial" w:hAnsi="Arial" w:cs="Arial"/>
          <w:sz w:val="24"/>
          <w:szCs w:val="24"/>
        </w:rPr>
      </w:pPr>
      <w:r w:rsidRPr="00B724BC">
        <w:rPr>
          <w:rFonts w:ascii="Arial" w:hAnsi="Arial" w:cs="Arial"/>
          <w:sz w:val="24"/>
          <w:szCs w:val="24"/>
        </w:rPr>
        <w:t xml:space="preserve">Sections 3.2 and 3.3 highlighted notable disparities in development access across AFI UK, with shift-based and rural employees disproportionately disadvantaged. West Wales employees experience limited digital connectivity, fewer informal interactions with senior leaders and reduced availability for training delivered during traditional office hours. These constraints align with wider research showing that inconsistent </w:t>
      </w:r>
      <w:r w:rsidRPr="00B724BC">
        <w:rPr>
          <w:rFonts w:ascii="Arial" w:hAnsi="Arial" w:cs="Arial"/>
          <w:sz w:val="24"/>
          <w:szCs w:val="24"/>
        </w:rPr>
        <w:lastRenderedPageBreak/>
        <w:t>development access contributes to higher turnover and slower progression in manufacturing settings (Samoliuk et al., 2022; Gifford, 2019). Despite these challenges, the west Wales operation has consistently performed strongly—one of the reasons AFI integrated the site into its global network. Sustaining this success requires strengthening development accessibility to build long-term workforce resilience.</w:t>
      </w:r>
    </w:p>
    <w:p w14:paraId="6B45E27D" w14:textId="77777777" w:rsidR="00B724BC" w:rsidRPr="00B724BC" w:rsidRDefault="00B724BC" w:rsidP="00B724BC">
      <w:pPr>
        <w:jc w:val="both"/>
        <w:rPr>
          <w:rFonts w:ascii="Arial" w:hAnsi="Arial" w:cs="Arial"/>
          <w:sz w:val="24"/>
          <w:szCs w:val="24"/>
        </w:rPr>
      </w:pPr>
      <w:r w:rsidRPr="00B724BC">
        <w:rPr>
          <w:rFonts w:ascii="Arial" w:hAnsi="Arial" w:cs="Arial"/>
          <w:sz w:val="24"/>
          <w:szCs w:val="24"/>
        </w:rPr>
        <w:t>The integration with Arla provides an opportunity to enhance development provision by combining strong local operational capability with AFI’s global learning infrastructure. CIPD (2024) highlights that, in a context of national skills shortages, organisations must prioritise internal development and ensure equal access across working patterns and locations. AFI UK is well positioned to progress this due to its established People Calendar, apprenticeship schemes and leadership programmes.</w:t>
      </w:r>
    </w:p>
    <w:p w14:paraId="730EC6A0" w14:textId="77777777" w:rsidR="00B724BC" w:rsidRPr="00B724BC" w:rsidRDefault="00B724BC" w:rsidP="00B724BC">
      <w:pPr>
        <w:jc w:val="both"/>
        <w:rPr>
          <w:rFonts w:ascii="Arial" w:hAnsi="Arial" w:cs="Arial"/>
          <w:sz w:val="24"/>
          <w:szCs w:val="24"/>
        </w:rPr>
      </w:pPr>
      <w:r w:rsidRPr="00B724BC">
        <w:rPr>
          <w:rFonts w:ascii="Arial" w:hAnsi="Arial" w:cs="Arial"/>
          <w:sz w:val="24"/>
          <w:szCs w:val="24"/>
        </w:rPr>
        <w:t>To improve equity, AFI should expand multi-shift learning delivery to ensure training is available across a wider range of working hours. Providing protected development time within shifts, and repeating programmes across different time slots, would support participation from operational teams. Establishing small on-site learning hubs would provide accessible spaces for technical and leadership development, helping to overcome the digital and logistical challenges faced at rural sites. Strengthening career pathways (e.g., Operator → Technician → Team Leader), supported by mentoring and buddy schemes, would increase progression confidence and support retention. These interventions respond directly to earlier findings that shift-based colleagues experience reduced visibility of development opportunities and weaker leadership support.</w:t>
      </w:r>
    </w:p>
    <w:p w14:paraId="18E6D3A6" w14:textId="77777777" w:rsidR="00B724BC" w:rsidRPr="00B724BC" w:rsidRDefault="00B724BC" w:rsidP="00B724BC">
      <w:pPr>
        <w:jc w:val="both"/>
        <w:rPr>
          <w:rFonts w:ascii="Arial" w:hAnsi="Arial" w:cs="Arial"/>
          <w:b/>
          <w:bCs/>
          <w:sz w:val="24"/>
          <w:szCs w:val="24"/>
        </w:rPr>
      </w:pPr>
      <w:r w:rsidRPr="00B724BC">
        <w:rPr>
          <w:rFonts w:ascii="Arial" w:hAnsi="Arial" w:cs="Arial"/>
          <w:b/>
          <w:bCs/>
          <w:sz w:val="24"/>
          <w:szCs w:val="24"/>
        </w:rPr>
        <w:t>Estimated Development Investment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86"/>
        <w:gridCol w:w="1709"/>
        <w:gridCol w:w="4721"/>
      </w:tblGrid>
      <w:tr w:rsidR="00B724BC" w:rsidRPr="00B724BC" w14:paraId="4EB5E5B6" w14:textId="77777777" w:rsidTr="00B724BC">
        <w:trPr>
          <w:tblHeader/>
          <w:tblCellSpacing w:w="15" w:type="dxa"/>
        </w:trPr>
        <w:tc>
          <w:tcPr>
            <w:tcW w:w="0" w:type="auto"/>
            <w:vAlign w:val="center"/>
            <w:hideMark/>
          </w:tcPr>
          <w:p w14:paraId="6A5253F4" w14:textId="77777777" w:rsidR="00B724BC" w:rsidRPr="00B724BC" w:rsidRDefault="00B724BC" w:rsidP="00B724BC">
            <w:pPr>
              <w:jc w:val="both"/>
              <w:rPr>
                <w:rFonts w:ascii="Arial" w:hAnsi="Arial" w:cs="Arial"/>
                <w:b/>
                <w:bCs/>
                <w:sz w:val="24"/>
                <w:szCs w:val="24"/>
              </w:rPr>
            </w:pPr>
            <w:r w:rsidRPr="00B724BC">
              <w:rPr>
                <w:rFonts w:ascii="Arial" w:hAnsi="Arial" w:cs="Arial"/>
                <w:b/>
                <w:bCs/>
                <w:sz w:val="24"/>
                <w:szCs w:val="24"/>
              </w:rPr>
              <w:t>Cost Area</w:t>
            </w:r>
          </w:p>
        </w:tc>
        <w:tc>
          <w:tcPr>
            <w:tcW w:w="0" w:type="auto"/>
            <w:vAlign w:val="center"/>
            <w:hideMark/>
          </w:tcPr>
          <w:p w14:paraId="736BB0DF" w14:textId="77777777" w:rsidR="00B724BC" w:rsidRPr="00B724BC" w:rsidRDefault="00B724BC" w:rsidP="00B724BC">
            <w:pPr>
              <w:jc w:val="both"/>
              <w:rPr>
                <w:rFonts w:ascii="Arial" w:hAnsi="Arial" w:cs="Arial"/>
                <w:b/>
                <w:bCs/>
                <w:sz w:val="24"/>
                <w:szCs w:val="24"/>
              </w:rPr>
            </w:pPr>
            <w:r w:rsidRPr="00B724BC">
              <w:rPr>
                <w:rFonts w:ascii="Arial" w:hAnsi="Arial" w:cs="Arial"/>
                <w:b/>
                <w:bCs/>
                <w:sz w:val="24"/>
                <w:szCs w:val="24"/>
              </w:rPr>
              <w:t>Estimated Cost</w:t>
            </w:r>
          </w:p>
        </w:tc>
        <w:tc>
          <w:tcPr>
            <w:tcW w:w="0" w:type="auto"/>
            <w:vAlign w:val="center"/>
            <w:hideMark/>
          </w:tcPr>
          <w:p w14:paraId="056D572C" w14:textId="77777777" w:rsidR="00B724BC" w:rsidRPr="00B724BC" w:rsidRDefault="00B724BC" w:rsidP="00B724BC">
            <w:pPr>
              <w:jc w:val="both"/>
              <w:rPr>
                <w:rFonts w:ascii="Arial" w:hAnsi="Arial" w:cs="Arial"/>
                <w:b/>
                <w:bCs/>
                <w:sz w:val="24"/>
                <w:szCs w:val="24"/>
              </w:rPr>
            </w:pPr>
            <w:r w:rsidRPr="00B724BC">
              <w:rPr>
                <w:rFonts w:ascii="Arial" w:hAnsi="Arial" w:cs="Arial"/>
                <w:b/>
                <w:bCs/>
                <w:sz w:val="24"/>
                <w:szCs w:val="24"/>
              </w:rPr>
              <w:t>Purpose</w:t>
            </w:r>
          </w:p>
        </w:tc>
      </w:tr>
      <w:tr w:rsidR="00B724BC" w:rsidRPr="00B724BC" w14:paraId="6A068557" w14:textId="77777777" w:rsidTr="00B724BC">
        <w:trPr>
          <w:tblCellSpacing w:w="15" w:type="dxa"/>
        </w:trPr>
        <w:tc>
          <w:tcPr>
            <w:tcW w:w="0" w:type="auto"/>
            <w:vAlign w:val="center"/>
            <w:hideMark/>
          </w:tcPr>
          <w:p w14:paraId="333A4FD5" w14:textId="77777777" w:rsidR="00B724BC" w:rsidRPr="00B724BC" w:rsidRDefault="00B724BC" w:rsidP="00B724BC">
            <w:pPr>
              <w:jc w:val="both"/>
              <w:rPr>
                <w:rFonts w:ascii="Arial" w:hAnsi="Arial" w:cs="Arial"/>
                <w:sz w:val="24"/>
                <w:szCs w:val="24"/>
              </w:rPr>
            </w:pPr>
            <w:r w:rsidRPr="00B724BC">
              <w:rPr>
                <w:rFonts w:ascii="Arial" w:hAnsi="Arial" w:cs="Arial"/>
                <w:sz w:val="24"/>
                <w:szCs w:val="24"/>
              </w:rPr>
              <w:t>On-site learning hubs</w:t>
            </w:r>
          </w:p>
        </w:tc>
        <w:tc>
          <w:tcPr>
            <w:tcW w:w="0" w:type="auto"/>
            <w:vAlign w:val="center"/>
            <w:hideMark/>
          </w:tcPr>
          <w:p w14:paraId="5F157A9D" w14:textId="77777777" w:rsidR="00B724BC" w:rsidRPr="00B724BC" w:rsidRDefault="00B724BC" w:rsidP="00B724BC">
            <w:pPr>
              <w:jc w:val="both"/>
              <w:rPr>
                <w:rFonts w:ascii="Arial" w:hAnsi="Arial" w:cs="Arial"/>
                <w:sz w:val="24"/>
                <w:szCs w:val="24"/>
              </w:rPr>
            </w:pPr>
            <w:r w:rsidRPr="00B724BC">
              <w:rPr>
                <w:rFonts w:ascii="Arial" w:hAnsi="Arial" w:cs="Arial"/>
                <w:sz w:val="24"/>
                <w:szCs w:val="24"/>
              </w:rPr>
              <w:t>£8,000–£12,000</w:t>
            </w:r>
          </w:p>
        </w:tc>
        <w:tc>
          <w:tcPr>
            <w:tcW w:w="0" w:type="auto"/>
            <w:vAlign w:val="center"/>
            <w:hideMark/>
          </w:tcPr>
          <w:p w14:paraId="560DC9E0" w14:textId="77777777" w:rsidR="00B724BC" w:rsidRPr="00B724BC" w:rsidRDefault="00B724BC" w:rsidP="00B724BC">
            <w:pPr>
              <w:jc w:val="both"/>
              <w:rPr>
                <w:rFonts w:ascii="Arial" w:hAnsi="Arial" w:cs="Arial"/>
                <w:sz w:val="24"/>
                <w:szCs w:val="24"/>
              </w:rPr>
            </w:pPr>
            <w:r w:rsidRPr="00B724BC">
              <w:rPr>
                <w:rFonts w:ascii="Arial" w:hAnsi="Arial" w:cs="Arial"/>
                <w:sz w:val="24"/>
                <w:szCs w:val="24"/>
              </w:rPr>
              <w:t>Accessible technical and leadership learning</w:t>
            </w:r>
          </w:p>
        </w:tc>
      </w:tr>
      <w:tr w:rsidR="00B724BC" w:rsidRPr="00B724BC" w14:paraId="5E494AA8" w14:textId="77777777" w:rsidTr="00B724BC">
        <w:trPr>
          <w:tblCellSpacing w:w="15" w:type="dxa"/>
        </w:trPr>
        <w:tc>
          <w:tcPr>
            <w:tcW w:w="0" w:type="auto"/>
            <w:vAlign w:val="center"/>
            <w:hideMark/>
          </w:tcPr>
          <w:p w14:paraId="17365B2F" w14:textId="77777777" w:rsidR="00B724BC" w:rsidRPr="00B724BC" w:rsidRDefault="00B724BC" w:rsidP="00B724BC">
            <w:pPr>
              <w:jc w:val="both"/>
              <w:rPr>
                <w:rFonts w:ascii="Arial" w:hAnsi="Arial" w:cs="Arial"/>
                <w:sz w:val="24"/>
                <w:szCs w:val="24"/>
              </w:rPr>
            </w:pPr>
            <w:r w:rsidRPr="00B724BC">
              <w:rPr>
                <w:rFonts w:ascii="Arial" w:hAnsi="Arial" w:cs="Arial"/>
                <w:sz w:val="24"/>
                <w:szCs w:val="24"/>
              </w:rPr>
              <w:t>Multi-shift learning delivery</w:t>
            </w:r>
          </w:p>
        </w:tc>
        <w:tc>
          <w:tcPr>
            <w:tcW w:w="0" w:type="auto"/>
            <w:vAlign w:val="center"/>
            <w:hideMark/>
          </w:tcPr>
          <w:p w14:paraId="1B54E83A" w14:textId="77777777" w:rsidR="00B724BC" w:rsidRPr="00B724BC" w:rsidRDefault="00B724BC" w:rsidP="00B724BC">
            <w:pPr>
              <w:jc w:val="both"/>
              <w:rPr>
                <w:rFonts w:ascii="Arial" w:hAnsi="Arial" w:cs="Arial"/>
                <w:sz w:val="24"/>
                <w:szCs w:val="24"/>
              </w:rPr>
            </w:pPr>
            <w:r w:rsidRPr="00B724BC">
              <w:rPr>
                <w:rFonts w:ascii="Arial" w:hAnsi="Arial" w:cs="Arial"/>
                <w:sz w:val="24"/>
                <w:szCs w:val="24"/>
              </w:rPr>
              <w:t>£15,000 per year</w:t>
            </w:r>
          </w:p>
        </w:tc>
        <w:tc>
          <w:tcPr>
            <w:tcW w:w="0" w:type="auto"/>
            <w:vAlign w:val="center"/>
            <w:hideMark/>
          </w:tcPr>
          <w:p w14:paraId="235DBDDB" w14:textId="77777777" w:rsidR="00B724BC" w:rsidRPr="00B724BC" w:rsidRDefault="00B724BC" w:rsidP="00B724BC">
            <w:pPr>
              <w:jc w:val="both"/>
              <w:rPr>
                <w:rFonts w:ascii="Arial" w:hAnsi="Arial" w:cs="Arial"/>
                <w:sz w:val="24"/>
                <w:szCs w:val="24"/>
              </w:rPr>
            </w:pPr>
            <w:r w:rsidRPr="00B724BC">
              <w:rPr>
                <w:rFonts w:ascii="Arial" w:hAnsi="Arial" w:cs="Arial"/>
                <w:sz w:val="24"/>
                <w:szCs w:val="24"/>
              </w:rPr>
              <w:t>Supports development access across working patterns</w:t>
            </w:r>
          </w:p>
        </w:tc>
      </w:tr>
      <w:tr w:rsidR="00B724BC" w:rsidRPr="00B724BC" w14:paraId="0D39E228" w14:textId="77777777" w:rsidTr="00B724BC">
        <w:trPr>
          <w:tblCellSpacing w:w="15" w:type="dxa"/>
        </w:trPr>
        <w:tc>
          <w:tcPr>
            <w:tcW w:w="0" w:type="auto"/>
            <w:vAlign w:val="center"/>
            <w:hideMark/>
          </w:tcPr>
          <w:p w14:paraId="3CC1EF8A" w14:textId="77777777" w:rsidR="00B724BC" w:rsidRPr="00B724BC" w:rsidRDefault="00B724BC" w:rsidP="00B724BC">
            <w:pPr>
              <w:jc w:val="both"/>
              <w:rPr>
                <w:rFonts w:ascii="Arial" w:hAnsi="Arial" w:cs="Arial"/>
                <w:sz w:val="24"/>
                <w:szCs w:val="24"/>
              </w:rPr>
            </w:pPr>
            <w:r w:rsidRPr="00B724BC">
              <w:rPr>
                <w:rFonts w:ascii="Arial" w:hAnsi="Arial" w:cs="Arial"/>
                <w:sz w:val="24"/>
                <w:szCs w:val="24"/>
              </w:rPr>
              <w:t>Mentoring &amp; buddy schemes</w:t>
            </w:r>
          </w:p>
        </w:tc>
        <w:tc>
          <w:tcPr>
            <w:tcW w:w="0" w:type="auto"/>
            <w:vAlign w:val="center"/>
            <w:hideMark/>
          </w:tcPr>
          <w:p w14:paraId="770F592C" w14:textId="77777777" w:rsidR="00B724BC" w:rsidRPr="00B724BC" w:rsidRDefault="00B724BC" w:rsidP="00B724BC">
            <w:pPr>
              <w:jc w:val="both"/>
              <w:rPr>
                <w:rFonts w:ascii="Arial" w:hAnsi="Arial" w:cs="Arial"/>
                <w:sz w:val="24"/>
                <w:szCs w:val="24"/>
              </w:rPr>
            </w:pPr>
            <w:r w:rsidRPr="00B724BC">
              <w:rPr>
                <w:rFonts w:ascii="Arial" w:hAnsi="Arial" w:cs="Arial"/>
                <w:sz w:val="24"/>
                <w:szCs w:val="24"/>
              </w:rPr>
              <w:t>&lt; £1,000</w:t>
            </w:r>
          </w:p>
        </w:tc>
        <w:tc>
          <w:tcPr>
            <w:tcW w:w="0" w:type="auto"/>
            <w:vAlign w:val="center"/>
            <w:hideMark/>
          </w:tcPr>
          <w:p w14:paraId="22DCD73C" w14:textId="77777777" w:rsidR="00B724BC" w:rsidRPr="00B724BC" w:rsidRDefault="00B724BC" w:rsidP="00B724BC">
            <w:pPr>
              <w:jc w:val="both"/>
              <w:rPr>
                <w:rFonts w:ascii="Arial" w:hAnsi="Arial" w:cs="Arial"/>
                <w:sz w:val="24"/>
                <w:szCs w:val="24"/>
              </w:rPr>
            </w:pPr>
            <w:r w:rsidRPr="00B724BC">
              <w:rPr>
                <w:rFonts w:ascii="Arial" w:hAnsi="Arial" w:cs="Arial"/>
                <w:sz w:val="24"/>
                <w:szCs w:val="24"/>
              </w:rPr>
              <w:t>Builds progression confidence and early-career support</w:t>
            </w:r>
          </w:p>
        </w:tc>
      </w:tr>
    </w:tbl>
    <w:p w14:paraId="53583A92" w14:textId="77777777" w:rsidR="00C53761" w:rsidRPr="00E65D64" w:rsidRDefault="00C53761" w:rsidP="00E65D64">
      <w:pPr>
        <w:jc w:val="both"/>
        <w:rPr>
          <w:rFonts w:ascii="Arial" w:hAnsi="Arial" w:cs="Arial"/>
          <w:sz w:val="24"/>
          <w:szCs w:val="24"/>
        </w:rPr>
      </w:pPr>
    </w:p>
    <w:p w14:paraId="239E2F3E" w14:textId="77777777" w:rsidR="00670DF2" w:rsidRPr="00742500" w:rsidRDefault="00670DF2" w:rsidP="00742500">
      <w:pPr>
        <w:pStyle w:val="Heading2"/>
        <w:rPr>
          <w:rFonts w:ascii="Arial" w:hAnsi="Arial" w:cs="Arial"/>
          <w:sz w:val="24"/>
          <w:szCs w:val="24"/>
        </w:rPr>
      </w:pPr>
      <w:bookmarkStart w:id="22" w:name="_Toc216002773"/>
      <w:r w:rsidRPr="00742500">
        <w:rPr>
          <w:rFonts w:ascii="Arial" w:hAnsi="Arial" w:cs="Arial"/>
          <w:sz w:val="24"/>
          <w:szCs w:val="24"/>
        </w:rPr>
        <w:t>6.3 Strengthening Front-Line Leadership Capability and Accountability</w:t>
      </w:r>
      <w:bookmarkEnd w:id="22"/>
    </w:p>
    <w:p w14:paraId="3CA183B2" w14:textId="77777777" w:rsidR="00B724BC" w:rsidRPr="00B724BC" w:rsidRDefault="00B724BC" w:rsidP="00B724BC">
      <w:pPr>
        <w:jc w:val="both"/>
        <w:rPr>
          <w:rFonts w:ascii="Arial" w:hAnsi="Arial" w:cs="Arial"/>
          <w:sz w:val="24"/>
          <w:szCs w:val="24"/>
        </w:rPr>
      </w:pPr>
      <w:r w:rsidRPr="00B724BC">
        <w:rPr>
          <w:rFonts w:ascii="Arial" w:hAnsi="Arial" w:cs="Arial"/>
          <w:sz w:val="24"/>
          <w:szCs w:val="24"/>
        </w:rPr>
        <w:t xml:space="preserve">Leadership was consistently identified as a critical internal factor influencing engagement, cultural cohesion and retention across AFI UK. While AFI provides structured development for high-potential colleagues, people-management capability remains uneven across sites, particularly within operational environments where front-line leaders have the most direct influence on the employee experience. Research shows that employees interpret organisational culture primarily through interactions with their line managers (CIPD, 2024; Deloitte, 2023). In west Wales, where labour </w:t>
      </w:r>
      <w:r w:rsidRPr="00B724BC">
        <w:rPr>
          <w:rFonts w:ascii="Arial" w:hAnsi="Arial" w:cs="Arial"/>
          <w:sz w:val="24"/>
          <w:szCs w:val="24"/>
        </w:rPr>
        <w:lastRenderedPageBreak/>
        <w:t>scarcity magnifies the consequences of attrition, inconsistent leadership capability presents a significant risk. Nevertheless, the site continues to perform strongly, contributing to Arla’s acquisition decision and demonstrating the importance of strong local leadership. Sustaining this performance requires investment in consistent, site-wide leadership capability.</w:t>
      </w:r>
    </w:p>
    <w:p w14:paraId="1B462094" w14:textId="77777777" w:rsidR="00B724BC" w:rsidRPr="00B724BC" w:rsidRDefault="00B724BC" w:rsidP="00B724BC">
      <w:pPr>
        <w:jc w:val="both"/>
        <w:rPr>
          <w:rFonts w:ascii="Arial" w:hAnsi="Arial" w:cs="Arial"/>
          <w:sz w:val="24"/>
          <w:szCs w:val="24"/>
        </w:rPr>
      </w:pPr>
      <w:r w:rsidRPr="00B724BC">
        <w:rPr>
          <w:rFonts w:ascii="Arial" w:hAnsi="Arial" w:cs="Arial"/>
          <w:sz w:val="24"/>
          <w:szCs w:val="24"/>
        </w:rPr>
        <w:t>AFI UK should introduce a UK-wide leadership capability framework setting clear behavioural expectations aligned with cooperative values and the People Calendar. Targeted development for front-line and shift leaders—focusing on coaching, communication, recognition and career conversations—is essential. Embedding people-focused KPIs, such as retention, engagement and development participation, into managerial objectives would reinforce accountability and ensure leadership behaviours are consistent across teams. These actions address earlier findings that operational employees feel less connected to leadership, experience reduced development visibility and rely more heavily on their immediate managers for support. Strengthening front-line leadership capability will directly influence engagement, progression confidence and retention across AFI’s most critical technical roles.</w:t>
      </w:r>
    </w:p>
    <w:p w14:paraId="6C5C8A3B" w14:textId="77777777" w:rsidR="00B724BC" w:rsidRPr="00B724BC" w:rsidRDefault="00B724BC" w:rsidP="00B724BC">
      <w:pPr>
        <w:jc w:val="both"/>
        <w:rPr>
          <w:rFonts w:ascii="Arial" w:hAnsi="Arial" w:cs="Arial"/>
          <w:b/>
          <w:bCs/>
          <w:sz w:val="24"/>
          <w:szCs w:val="24"/>
        </w:rPr>
      </w:pPr>
      <w:r w:rsidRPr="00B724BC">
        <w:rPr>
          <w:rFonts w:ascii="Arial" w:hAnsi="Arial" w:cs="Arial"/>
          <w:b/>
          <w:bCs/>
          <w:sz w:val="24"/>
          <w:szCs w:val="24"/>
        </w:rPr>
        <w:t>Estimated Leadership Investment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13"/>
        <w:gridCol w:w="2329"/>
        <w:gridCol w:w="4474"/>
      </w:tblGrid>
      <w:tr w:rsidR="00B724BC" w:rsidRPr="00B724BC" w14:paraId="5E8B8C60" w14:textId="77777777" w:rsidTr="00B724BC">
        <w:trPr>
          <w:tblHeader/>
          <w:tblCellSpacing w:w="15" w:type="dxa"/>
        </w:trPr>
        <w:tc>
          <w:tcPr>
            <w:tcW w:w="0" w:type="auto"/>
            <w:vAlign w:val="center"/>
            <w:hideMark/>
          </w:tcPr>
          <w:p w14:paraId="352FE9AD" w14:textId="77777777" w:rsidR="00B724BC" w:rsidRPr="00B724BC" w:rsidRDefault="00B724BC" w:rsidP="00B724BC">
            <w:pPr>
              <w:jc w:val="both"/>
              <w:rPr>
                <w:rFonts w:ascii="Arial" w:hAnsi="Arial" w:cs="Arial"/>
                <w:b/>
                <w:bCs/>
                <w:sz w:val="24"/>
                <w:szCs w:val="24"/>
              </w:rPr>
            </w:pPr>
            <w:r w:rsidRPr="00B724BC">
              <w:rPr>
                <w:rFonts w:ascii="Arial" w:hAnsi="Arial" w:cs="Arial"/>
                <w:b/>
                <w:bCs/>
                <w:sz w:val="24"/>
                <w:szCs w:val="24"/>
              </w:rPr>
              <w:t>Cost Area</w:t>
            </w:r>
          </w:p>
        </w:tc>
        <w:tc>
          <w:tcPr>
            <w:tcW w:w="0" w:type="auto"/>
            <w:vAlign w:val="center"/>
            <w:hideMark/>
          </w:tcPr>
          <w:p w14:paraId="0A246F96" w14:textId="77777777" w:rsidR="00B724BC" w:rsidRPr="00B724BC" w:rsidRDefault="00B724BC" w:rsidP="00B724BC">
            <w:pPr>
              <w:jc w:val="both"/>
              <w:rPr>
                <w:rFonts w:ascii="Arial" w:hAnsi="Arial" w:cs="Arial"/>
                <w:b/>
                <w:bCs/>
                <w:sz w:val="24"/>
                <w:szCs w:val="24"/>
              </w:rPr>
            </w:pPr>
            <w:r w:rsidRPr="00B724BC">
              <w:rPr>
                <w:rFonts w:ascii="Arial" w:hAnsi="Arial" w:cs="Arial"/>
                <w:b/>
                <w:bCs/>
                <w:sz w:val="24"/>
                <w:szCs w:val="24"/>
              </w:rPr>
              <w:t>Estimated Cost</w:t>
            </w:r>
          </w:p>
        </w:tc>
        <w:tc>
          <w:tcPr>
            <w:tcW w:w="0" w:type="auto"/>
            <w:vAlign w:val="center"/>
            <w:hideMark/>
          </w:tcPr>
          <w:p w14:paraId="32D989E3" w14:textId="77777777" w:rsidR="00B724BC" w:rsidRPr="00B724BC" w:rsidRDefault="00B724BC" w:rsidP="00B724BC">
            <w:pPr>
              <w:jc w:val="both"/>
              <w:rPr>
                <w:rFonts w:ascii="Arial" w:hAnsi="Arial" w:cs="Arial"/>
                <w:b/>
                <w:bCs/>
                <w:sz w:val="24"/>
                <w:szCs w:val="24"/>
              </w:rPr>
            </w:pPr>
            <w:r w:rsidRPr="00B724BC">
              <w:rPr>
                <w:rFonts w:ascii="Arial" w:hAnsi="Arial" w:cs="Arial"/>
                <w:b/>
                <w:bCs/>
                <w:sz w:val="24"/>
                <w:szCs w:val="24"/>
              </w:rPr>
              <w:t>Purpose</w:t>
            </w:r>
          </w:p>
        </w:tc>
      </w:tr>
      <w:tr w:rsidR="00B724BC" w:rsidRPr="00B724BC" w14:paraId="73879476" w14:textId="77777777" w:rsidTr="00B724BC">
        <w:trPr>
          <w:tblCellSpacing w:w="15" w:type="dxa"/>
        </w:trPr>
        <w:tc>
          <w:tcPr>
            <w:tcW w:w="0" w:type="auto"/>
            <w:vAlign w:val="center"/>
            <w:hideMark/>
          </w:tcPr>
          <w:p w14:paraId="2A952095" w14:textId="77777777" w:rsidR="00B724BC" w:rsidRPr="00B724BC" w:rsidRDefault="00B724BC" w:rsidP="00B724BC">
            <w:pPr>
              <w:jc w:val="both"/>
              <w:rPr>
                <w:rFonts w:ascii="Arial" w:hAnsi="Arial" w:cs="Arial"/>
                <w:sz w:val="24"/>
                <w:szCs w:val="24"/>
              </w:rPr>
            </w:pPr>
            <w:r w:rsidRPr="00B724BC">
              <w:rPr>
                <w:rFonts w:ascii="Arial" w:hAnsi="Arial" w:cs="Arial"/>
                <w:sz w:val="24"/>
                <w:szCs w:val="24"/>
              </w:rPr>
              <w:t>Leadership programme</w:t>
            </w:r>
          </w:p>
        </w:tc>
        <w:tc>
          <w:tcPr>
            <w:tcW w:w="0" w:type="auto"/>
            <w:vAlign w:val="center"/>
            <w:hideMark/>
          </w:tcPr>
          <w:p w14:paraId="360FC893" w14:textId="77777777" w:rsidR="00B724BC" w:rsidRPr="00B724BC" w:rsidRDefault="00B724BC" w:rsidP="00B724BC">
            <w:pPr>
              <w:jc w:val="both"/>
              <w:rPr>
                <w:rFonts w:ascii="Arial" w:hAnsi="Arial" w:cs="Arial"/>
                <w:sz w:val="24"/>
                <w:szCs w:val="24"/>
              </w:rPr>
            </w:pPr>
            <w:r w:rsidRPr="00B724BC">
              <w:rPr>
                <w:rFonts w:ascii="Arial" w:hAnsi="Arial" w:cs="Arial"/>
                <w:sz w:val="24"/>
                <w:szCs w:val="24"/>
              </w:rPr>
              <w:t>£20,000–£30,000 per year</w:t>
            </w:r>
          </w:p>
        </w:tc>
        <w:tc>
          <w:tcPr>
            <w:tcW w:w="0" w:type="auto"/>
            <w:vAlign w:val="center"/>
            <w:hideMark/>
          </w:tcPr>
          <w:p w14:paraId="168E7E14" w14:textId="77777777" w:rsidR="00B724BC" w:rsidRPr="00B724BC" w:rsidRDefault="00B724BC" w:rsidP="00B724BC">
            <w:pPr>
              <w:jc w:val="both"/>
              <w:rPr>
                <w:rFonts w:ascii="Arial" w:hAnsi="Arial" w:cs="Arial"/>
                <w:sz w:val="24"/>
                <w:szCs w:val="24"/>
              </w:rPr>
            </w:pPr>
            <w:r w:rsidRPr="00B724BC">
              <w:rPr>
                <w:rFonts w:ascii="Arial" w:hAnsi="Arial" w:cs="Arial"/>
                <w:sz w:val="24"/>
                <w:szCs w:val="24"/>
              </w:rPr>
              <w:t>Builds consistent managerial capability</w:t>
            </w:r>
          </w:p>
        </w:tc>
      </w:tr>
      <w:tr w:rsidR="00B724BC" w:rsidRPr="00B724BC" w14:paraId="4EB99A58" w14:textId="77777777" w:rsidTr="00B724BC">
        <w:trPr>
          <w:tblCellSpacing w:w="15" w:type="dxa"/>
        </w:trPr>
        <w:tc>
          <w:tcPr>
            <w:tcW w:w="0" w:type="auto"/>
            <w:vAlign w:val="center"/>
            <w:hideMark/>
          </w:tcPr>
          <w:p w14:paraId="335772D9" w14:textId="77777777" w:rsidR="00B724BC" w:rsidRPr="00B724BC" w:rsidRDefault="00B724BC" w:rsidP="00B724BC">
            <w:pPr>
              <w:jc w:val="both"/>
              <w:rPr>
                <w:rFonts w:ascii="Arial" w:hAnsi="Arial" w:cs="Arial"/>
                <w:sz w:val="24"/>
                <w:szCs w:val="24"/>
              </w:rPr>
            </w:pPr>
            <w:r w:rsidRPr="00B724BC">
              <w:rPr>
                <w:rFonts w:ascii="Arial" w:hAnsi="Arial" w:cs="Arial"/>
                <w:sz w:val="24"/>
                <w:szCs w:val="24"/>
              </w:rPr>
              <w:t>Coaching provision</w:t>
            </w:r>
          </w:p>
        </w:tc>
        <w:tc>
          <w:tcPr>
            <w:tcW w:w="0" w:type="auto"/>
            <w:vAlign w:val="center"/>
            <w:hideMark/>
          </w:tcPr>
          <w:p w14:paraId="3CDDAB99" w14:textId="77777777" w:rsidR="00B724BC" w:rsidRPr="00B724BC" w:rsidRDefault="00B724BC" w:rsidP="00B724BC">
            <w:pPr>
              <w:jc w:val="both"/>
              <w:rPr>
                <w:rFonts w:ascii="Arial" w:hAnsi="Arial" w:cs="Arial"/>
                <w:sz w:val="24"/>
                <w:szCs w:val="24"/>
              </w:rPr>
            </w:pPr>
            <w:r w:rsidRPr="00B724BC">
              <w:rPr>
                <w:rFonts w:ascii="Arial" w:hAnsi="Arial" w:cs="Arial"/>
                <w:sz w:val="24"/>
                <w:szCs w:val="24"/>
              </w:rPr>
              <w:t>£10,000 per year</w:t>
            </w:r>
          </w:p>
        </w:tc>
        <w:tc>
          <w:tcPr>
            <w:tcW w:w="0" w:type="auto"/>
            <w:vAlign w:val="center"/>
            <w:hideMark/>
          </w:tcPr>
          <w:p w14:paraId="1F0CF256" w14:textId="77777777" w:rsidR="00B724BC" w:rsidRPr="00B724BC" w:rsidRDefault="00B724BC" w:rsidP="00B724BC">
            <w:pPr>
              <w:jc w:val="both"/>
              <w:rPr>
                <w:rFonts w:ascii="Arial" w:hAnsi="Arial" w:cs="Arial"/>
                <w:sz w:val="24"/>
                <w:szCs w:val="24"/>
              </w:rPr>
            </w:pPr>
            <w:r w:rsidRPr="00B724BC">
              <w:rPr>
                <w:rFonts w:ascii="Arial" w:hAnsi="Arial" w:cs="Arial"/>
                <w:sz w:val="24"/>
                <w:szCs w:val="24"/>
              </w:rPr>
              <w:t>Supports effective people management</w:t>
            </w:r>
          </w:p>
        </w:tc>
      </w:tr>
      <w:tr w:rsidR="00B724BC" w:rsidRPr="00B724BC" w14:paraId="1670251E" w14:textId="77777777" w:rsidTr="00B724BC">
        <w:trPr>
          <w:tblCellSpacing w:w="15" w:type="dxa"/>
        </w:trPr>
        <w:tc>
          <w:tcPr>
            <w:tcW w:w="0" w:type="auto"/>
            <w:vAlign w:val="center"/>
            <w:hideMark/>
          </w:tcPr>
          <w:p w14:paraId="4162F849" w14:textId="77777777" w:rsidR="00B724BC" w:rsidRPr="00B724BC" w:rsidRDefault="00B724BC" w:rsidP="00B724BC">
            <w:pPr>
              <w:jc w:val="both"/>
              <w:rPr>
                <w:rFonts w:ascii="Arial" w:hAnsi="Arial" w:cs="Arial"/>
                <w:sz w:val="24"/>
                <w:szCs w:val="24"/>
              </w:rPr>
            </w:pPr>
            <w:r w:rsidRPr="00B724BC">
              <w:rPr>
                <w:rFonts w:ascii="Arial" w:hAnsi="Arial" w:cs="Arial"/>
                <w:sz w:val="24"/>
                <w:szCs w:val="24"/>
              </w:rPr>
              <w:t>Embedding people KPIs</w:t>
            </w:r>
          </w:p>
        </w:tc>
        <w:tc>
          <w:tcPr>
            <w:tcW w:w="0" w:type="auto"/>
            <w:vAlign w:val="center"/>
            <w:hideMark/>
          </w:tcPr>
          <w:p w14:paraId="0CDBEBF4" w14:textId="77777777" w:rsidR="00B724BC" w:rsidRPr="00B724BC" w:rsidRDefault="00B724BC" w:rsidP="00B724BC">
            <w:pPr>
              <w:jc w:val="both"/>
              <w:rPr>
                <w:rFonts w:ascii="Arial" w:hAnsi="Arial" w:cs="Arial"/>
                <w:sz w:val="24"/>
                <w:szCs w:val="24"/>
              </w:rPr>
            </w:pPr>
            <w:r w:rsidRPr="00B724BC">
              <w:rPr>
                <w:rFonts w:ascii="Arial" w:hAnsi="Arial" w:cs="Arial"/>
                <w:sz w:val="24"/>
                <w:szCs w:val="24"/>
              </w:rPr>
              <w:t>Minimal cost</w:t>
            </w:r>
          </w:p>
        </w:tc>
        <w:tc>
          <w:tcPr>
            <w:tcW w:w="0" w:type="auto"/>
            <w:vAlign w:val="center"/>
            <w:hideMark/>
          </w:tcPr>
          <w:p w14:paraId="6BF7A48A" w14:textId="77777777" w:rsidR="00B724BC" w:rsidRPr="00B724BC" w:rsidRDefault="00B724BC" w:rsidP="00B724BC">
            <w:pPr>
              <w:jc w:val="both"/>
              <w:rPr>
                <w:rFonts w:ascii="Arial" w:hAnsi="Arial" w:cs="Arial"/>
                <w:sz w:val="24"/>
                <w:szCs w:val="24"/>
              </w:rPr>
            </w:pPr>
            <w:r w:rsidRPr="00B724BC">
              <w:rPr>
                <w:rFonts w:ascii="Arial" w:hAnsi="Arial" w:cs="Arial"/>
                <w:sz w:val="24"/>
                <w:szCs w:val="24"/>
              </w:rPr>
              <w:t>Reinforces accountability for engagement and retention</w:t>
            </w:r>
          </w:p>
        </w:tc>
      </w:tr>
    </w:tbl>
    <w:p w14:paraId="093DD537" w14:textId="3F562B64" w:rsidR="00EC464B" w:rsidRPr="00933D86" w:rsidRDefault="7C56B722" w:rsidP="00742500">
      <w:pPr>
        <w:pStyle w:val="Heading1"/>
        <w:rPr>
          <w:rFonts w:ascii="Arial" w:hAnsi="Arial" w:cs="Arial"/>
          <w:sz w:val="24"/>
          <w:szCs w:val="24"/>
        </w:rPr>
      </w:pPr>
      <w:bookmarkStart w:id="23" w:name="_Toc216002774"/>
      <w:r w:rsidRPr="00933D86">
        <w:rPr>
          <w:rFonts w:ascii="Arial" w:hAnsi="Arial" w:cs="Arial"/>
          <w:sz w:val="24"/>
          <w:szCs w:val="24"/>
        </w:rPr>
        <w:t>7</w:t>
      </w:r>
      <w:r w:rsidR="00CBA643" w:rsidRPr="00933D86">
        <w:rPr>
          <w:rFonts w:ascii="Arial" w:hAnsi="Arial" w:cs="Arial"/>
          <w:sz w:val="24"/>
          <w:szCs w:val="24"/>
        </w:rPr>
        <w:t xml:space="preserve">.0 </w:t>
      </w:r>
      <w:r w:rsidR="7A5F7F00" w:rsidRPr="00933D86">
        <w:rPr>
          <w:rFonts w:ascii="Arial" w:hAnsi="Arial" w:cs="Arial"/>
          <w:sz w:val="24"/>
          <w:szCs w:val="24"/>
        </w:rPr>
        <w:t>Reference</w:t>
      </w:r>
      <w:r w:rsidR="76AC7091" w:rsidRPr="00933D86">
        <w:rPr>
          <w:rFonts w:ascii="Arial" w:hAnsi="Arial" w:cs="Arial"/>
          <w:sz w:val="24"/>
          <w:szCs w:val="24"/>
        </w:rPr>
        <w:t>s</w:t>
      </w:r>
      <w:bookmarkEnd w:id="23"/>
      <w:r w:rsidR="7A5F7F00" w:rsidRPr="00933D86">
        <w:rPr>
          <w:rFonts w:ascii="Arial" w:hAnsi="Arial" w:cs="Arial"/>
          <w:sz w:val="24"/>
          <w:szCs w:val="24"/>
        </w:rPr>
        <w:t xml:space="preserve"> </w:t>
      </w:r>
    </w:p>
    <w:p w14:paraId="155A92C3" w14:textId="4A9D238F" w:rsidR="00460D70" w:rsidRPr="00196162" w:rsidRDefault="00460D70" w:rsidP="00196162">
      <w:pPr>
        <w:spacing w:before="240" w:after="240"/>
        <w:rPr>
          <w:rFonts w:ascii="Arial" w:eastAsia="Arial" w:hAnsi="Arial" w:cs="Arial"/>
          <w:i/>
          <w:iCs/>
          <w:sz w:val="24"/>
          <w:szCs w:val="24"/>
        </w:rPr>
      </w:pPr>
      <w:r w:rsidRPr="00196162">
        <w:rPr>
          <w:rFonts w:ascii="Arial" w:eastAsia="Arial" w:hAnsi="Arial" w:cs="Arial"/>
          <w:i/>
          <w:iCs/>
          <w:sz w:val="24"/>
          <w:szCs w:val="24"/>
        </w:rPr>
        <w:t xml:space="preserve">Akkermans, J., Richardson, J. and Kraimer, M. (2020) ‘The COVID-19 crisis as a career shock: Implications for careers and vocational behaviour’, </w:t>
      </w:r>
      <w:r w:rsidRPr="00196162">
        <w:rPr>
          <w:rFonts w:ascii="Arial" w:eastAsia="Arial" w:hAnsi="Arial" w:cs="Arial"/>
          <w:sz w:val="24"/>
          <w:szCs w:val="24"/>
        </w:rPr>
        <w:t>Journal of Vocational Behavior</w:t>
      </w:r>
      <w:r w:rsidRPr="00196162">
        <w:rPr>
          <w:rFonts w:ascii="Arial" w:eastAsia="Arial" w:hAnsi="Arial" w:cs="Arial"/>
          <w:i/>
          <w:iCs/>
          <w:sz w:val="24"/>
          <w:szCs w:val="24"/>
        </w:rPr>
        <w:t xml:space="preserve">, </w:t>
      </w:r>
      <w:r w:rsidRPr="00196162">
        <w:rPr>
          <w:rFonts w:ascii="Arial" w:eastAsia="Arial" w:hAnsi="Arial" w:cs="Arial"/>
          <w:sz w:val="24"/>
          <w:szCs w:val="24"/>
        </w:rPr>
        <w:t>119, 103434.</w:t>
      </w:r>
      <w:r w:rsidR="00196162" w:rsidRPr="00196162">
        <w:rPr>
          <w:rFonts w:ascii="Arial" w:eastAsia="Arial" w:hAnsi="Arial" w:cs="Arial"/>
          <w:sz w:val="24"/>
          <w:szCs w:val="24"/>
        </w:rPr>
        <w:t xml:space="preserve"> </w:t>
      </w:r>
      <w:r w:rsidRPr="00196162">
        <w:rPr>
          <w:rFonts w:ascii="Arial" w:eastAsia="Arial" w:hAnsi="Arial" w:cs="Arial"/>
          <w:sz w:val="24"/>
          <w:szCs w:val="24"/>
        </w:rPr>
        <w:t>doi: 10.1016/j.jvb.2020.103434</w:t>
      </w:r>
    </w:p>
    <w:p w14:paraId="4FFF710C" w14:textId="3E8BD441" w:rsidR="5CA99B6C" w:rsidRPr="00196162" w:rsidRDefault="5CA99B6C" w:rsidP="00196162">
      <w:pPr>
        <w:spacing w:before="240" w:after="240"/>
        <w:rPr>
          <w:rFonts w:ascii="Arial" w:eastAsia="Arial" w:hAnsi="Arial" w:cs="Arial"/>
          <w:sz w:val="24"/>
          <w:szCs w:val="24"/>
        </w:rPr>
      </w:pPr>
      <w:r w:rsidRPr="00196162">
        <w:rPr>
          <w:rFonts w:ascii="Arial" w:eastAsia="Arial" w:hAnsi="Arial" w:cs="Arial"/>
          <w:sz w:val="24"/>
          <w:szCs w:val="24"/>
        </w:rPr>
        <w:t xml:space="preserve">Arla Foods Ingredients (2025) </w:t>
      </w:r>
      <w:r w:rsidRPr="00196162">
        <w:rPr>
          <w:rFonts w:ascii="Arial" w:eastAsia="Arial" w:hAnsi="Arial" w:cs="Arial"/>
          <w:i/>
          <w:iCs/>
          <w:sz w:val="24"/>
          <w:szCs w:val="24"/>
        </w:rPr>
        <w:t>AFI People Wheel</w:t>
      </w:r>
      <w:r w:rsidRPr="00196162">
        <w:rPr>
          <w:rFonts w:ascii="Arial" w:eastAsia="Arial" w:hAnsi="Arial" w:cs="Arial"/>
          <w:sz w:val="24"/>
          <w:szCs w:val="24"/>
        </w:rPr>
        <w:t>. Internal document.</w:t>
      </w:r>
    </w:p>
    <w:p w14:paraId="0424BE53" w14:textId="3C6CCB0C" w:rsidR="00C226D6" w:rsidRPr="00196162" w:rsidRDefault="00C226D6" w:rsidP="00196162">
      <w:pPr>
        <w:spacing w:before="240" w:after="240"/>
        <w:rPr>
          <w:rFonts w:ascii="Arial" w:hAnsi="Arial" w:cs="Arial"/>
          <w:sz w:val="24"/>
          <w:szCs w:val="24"/>
        </w:rPr>
      </w:pPr>
      <w:r w:rsidRPr="00196162">
        <w:rPr>
          <w:rFonts w:ascii="Arial" w:hAnsi="Arial" w:cs="Arial"/>
          <w:sz w:val="24"/>
          <w:szCs w:val="24"/>
        </w:rPr>
        <w:t xml:space="preserve">Arla HR Data (2024) </w:t>
      </w:r>
      <w:r w:rsidRPr="00196162">
        <w:rPr>
          <w:rFonts w:ascii="Arial" w:hAnsi="Arial" w:cs="Arial"/>
          <w:i/>
          <w:iCs/>
          <w:sz w:val="24"/>
          <w:szCs w:val="24"/>
        </w:rPr>
        <w:t>UK Workforce Demographics Report</w:t>
      </w:r>
      <w:r w:rsidRPr="00196162">
        <w:rPr>
          <w:rFonts w:ascii="Arial" w:hAnsi="Arial" w:cs="Arial"/>
          <w:sz w:val="24"/>
          <w:szCs w:val="24"/>
        </w:rPr>
        <w:t>. Internal document.</w:t>
      </w:r>
    </w:p>
    <w:p w14:paraId="50C2B49E" w14:textId="76C846A3"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rPr>
        <w:t xml:space="preserve">Backhaus, K. and Tikoo, S. (2004) ‘Conceptualizing and researching employer branding’, </w:t>
      </w:r>
      <w:r w:rsidRPr="00196162">
        <w:rPr>
          <w:rFonts w:ascii="Arial" w:eastAsia="Arial" w:hAnsi="Arial" w:cs="Arial"/>
          <w:i/>
          <w:iCs/>
          <w:sz w:val="24"/>
          <w:szCs w:val="24"/>
        </w:rPr>
        <w:t>Career Development International</w:t>
      </w:r>
      <w:r w:rsidRPr="00196162">
        <w:rPr>
          <w:rFonts w:ascii="Arial" w:eastAsia="Arial" w:hAnsi="Arial" w:cs="Arial"/>
          <w:sz w:val="24"/>
          <w:szCs w:val="24"/>
        </w:rPr>
        <w:t>, 9(5), pp. 501–517.</w:t>
      </w:r>
      <w:r w:rsidR="0021682F" w:rsidRPr="00196162">
        <w:rPr>
          <w:rFonts w:ascii="Arial" w:hAnsi="Arial" w:cs="Arial"/>
          <w:sz w:val="24"/>
          <w:szCs w:val="24"/>
        </w:rPr>
        <w:t xml:space="preserve"> </w:t>
      </w:r>
      <w:r w:rsidR="0021682F" w:rsidRPr="00196162">
        <w:rPr>
          <w:rFonts w:ascii="Arial" w:eastAsia="Arial" w:hAnsi="Arial" w:cs="Arial"/>
          <w:sz w:val="24"/>
          <w:szCs w:val="24"/>
        </w:rPr>
        <w:t>doi: 10.1108/13620430410550754</w:t>
      </w:r>
    </w:p>
    <w:p w14:paraId="01BA9265" w14:textId="4C764F2A" w:rsidR="00071752" w:rsidRPr="00196162" w:rsidRDefault="00071752" w:rsidP="00196162">
      <w:pPr>
        <w:spacing w:before="240" w:after="240"/>
        <w:rPr>
          <w:rFonts w:ascii="Arial" w:eastAsia="Arial" w:hAnsi="Arial" w:cs="Arial"/>
          <w:sz w:val="24"/>
          <w:szCs w:val="24"/>
        </w:rPr>
      </w:pPr>
      <w:r w:rsidRPr="00196162">
        <w:rPr>
          <w:rFonts w:ascii="Arial" w:eastAsia="Arial" w:hAnsi="Arial" w:cs="Arial"/>
          <w:sz w:val="24"/>
          <w:szCs w:val="24"/>
        </w:rPr>
        <w:t xml:space="preserve">Barney, J. (1991) ‘Firm resources and sustained competitive advantage’, </w:t>
      </w:r>
      <w:r w:rsidRPr="00196162">
        <w:rPr>
          <w:rFonts w:ascii="Arial" w:eastAsia="Arial" w:hAnsi="Arial" w:cs="Arial"/>
          <w:i/>
          <w:iCs/>
          <w:sz w:val="24"/>
          <w:szCs w:val="24"/>
        </w:rPr>
        <w:t>Journal of Management</w:t>
      </w:r>
      <w:r w:rsidRPr="00196162">
        <w:rPr>
          <w:rFonts w:ascii="Arial" w:eastAsia="Arial" w:hAnsi="Arial" w:cs="Arial"/>
          <w:sz w:val="24"/>
          <w:szCs w:val="24"/>
        </w:rPr>
        <w:t>, 17(1), pp. 99–120.</w:t>
      </w:r>
      <w:r w:rsidR="00110E15" w:rsidRPr="00196162">
        <w:rPr>
          <w:rFonts w:ascii="Arial" w:eastAsia="Arial" w:hAnsi="Arial" w:cs="Arial"/>
          <w:sz w:val="24"/>
          <w:szCs w:val="24"/>
        </w:rPr>
        <w:t xml:space="preserve"> </w:t>
      </w:r>
      <w:r w:rsidR="009341D9" w:rsidRPr="00196162">
        <w:rPr>
          <w:rFonts w:ascii="Arial" w:eastAsia="Arial" w:hAnsi="Arial" w:cs="Arial"/>
          <w:sz w:val="24"/>
          <w:szCs w:val="24"/>
        </w:rPr>
        <w:t>doi: 10.1177/014920639101700108</w:t>
      </w:r>
    </w:p>
    <w:p w14:paraId="024576BB" w14:textId="1CF8D566" w:rsidR="00985D32" w:rsidRPr="00196162" w:rsidRDefault="00985D32" w:rsidP="00196162">
      <w:pPr>
        <w:spacing w:before="240" w:after="240"/>
        <w:rPr>
          <w:rFonts w:ascii="Arial" w:eastAsia="Arial" w:hAnsi="Arial" w:cs="Arial"/>
          <w:sz w:val="24"/>
          <w:szCs w:val="24"/>
        </w:rPr>
      </w:pPr>
      <w:r w:rsidRPr="00196162">
        <w:rPr>
          <w:rFonts w:ascii="Arial" w:eastAsia="Arial" w:hAnsi="Arial" w:cs="Arial"/>
          <w:sz w:val="24"/>
          <w:szCs w:val="24"/>
        </w:rPr>
        <w:lastRenderedPageBreak/>
        <w:t>Blass</w:t>
      </w:r>
      <w:r w:rsidR="006B3993" w:rsidRPr="00196162">
        <w:rPr>
          <w:rFonts w:ascii="Arial" w:eastAsia="Arial" w:hAnsi="Arial" w:cs="Arial"/>
          <w:sz w:val="24"/>
          <w:szCs w:val="24"/>
        </w:rPr>
        <w:t xml:space="preserve">, E. </w:t>
      </w:r>
      <w:r w:rsidR="007F654D" w:rsidRPr="00196162">
        <w:rPr>
          <w:rFonts w:ascii="Arial" w:eastAsia="Arial" w:hAnsi="Arial" w:cs="Arial"/>
          <w:sz w:val="24"/>
          <w:szCs w:val="24"/>
        </w:rPr>
        <w:t xml:space="preserve">(ed.) (2009) </w:t>
      </w:r>
      <w:r w:rsidR="007F654D" w:rsidRPr="00196162">
        <w:rPr>
          <w:rFonts w:ascii="Arial" w:eastAsia="Arial" w:hAnsi="Arial" w:cs="Arial"/>
          <w:i/>
          <w:iCs/>
          <w:sz w:val="24"/>
          <w:szCs w:val="24"/>
        </w:rPr>
        <w:t xml:space="preserve">Talent </w:t>
      </w:r>
      <w:r w:rsidR="00444E5A" w:rsidRPr="00196162">
        <w:rPr>
          <w:rFonts w:ascii="Arial" w:eastAsia="Arial" w:hAnsi="Arial" w:cs="Arial"/>
          <w:i/>
          <w:iCs/>
          <w:sz w:val="24"/>
          <w:szCs w:val="24"/>
        </w:rPr>
        <w:t>Management: cases and commentary.</w:t>
      </w:r>
      <w:r w:rsidR="00444E5A" w:rsidRPr="00196162">
        <w:rPr>
          <w:rFonts w:ascii="Arial" w:eastAsia="Arial" w:hAnsi="Arial" w:cs="Arial"/>
          <w:sz w:val="24"/>
          <w:szCs w:val="24"/>
        </w:rPr>
        <w:t xml:space="preserve"> </w:t>
      </w:r>
      <w:r w:rsidR="00385C5D" w:rsidRPr="00196162">
        <w:rPr>
          <w:rFonts w:ascii="Arial" w:eastAsia="Arial" w:hAnsi="Arial" w:cs="Arial"/>
          <w:sz w:val="24"/>
          <w:szCs w:val="24"/>
        </w:rPr>
        <w:t xml:space="preserve">Basingstoke: Palgrave Macmillan. </w:t>
      </w:r>
    </w:p>
    <w:p w14:paraId="55E2F19F" w14:textId="531257AE" w:rsidR="5CA99B6C" w:rsidRPr="00196162" w:rsidRDefault="5CA99B6C" w:rsidP="00196162">
      <w:pPr>
        <w:spacing w:before="240" w:after="240"/>
        <w:rPr>
          <w:rFonts w:ascii="Arial" w:eastAsia="Arial" w:hAnsi="Arial" w:cs="Arial"/>
          <w:sz w:val="24"/>
          <w:szCs w:val="24"/>
        </w:rPr>
      </w:pPr>
      <w:r w:rsidRPr="00196162">
        <w:rPr>
          <w:rFonts w:ascii="Arial" w:eastAsia="Arial" w:hAnsi="Arial" w:cs="Arial"/>
          <w:sz w:val="24"/>
          <w:szCs w:val="24"/>
        </w:rPr>
        <w:t xml:space="preserve">Boxall, P. and Purcell, J. (2016) </w:t>
      </w:r>
      <w:r w:rsidRPr="00196162">
        <w:rPr>
          <w:rFonts w:ascii="Arial" w:eastAsia="Arial" w:hAnsi="Arial" w:cs="Arial"/>
          <w:i/>
          <w:iCs/>
          <w:sz w:val="24"/>
          <w:szCs w:val="24"/>
        </w:rPr>
        <w:t>Strategy and human resource management</w:t>
      </w:r>
      <w:r w:rsidRPr="00196162">
        <w:rPr>
          <w:rFonts w:ascii="Arial" w:eastAsia="Arial" w:hAnsi="Arial" w:cs="Arial"/>
          <w:sz w:val="24"/>
          <w:szCs w:val="24"/>
        </w:rPr>
        <w:t>. 4th edn. London: Palgrave Macmillan.</w:t>
      </w:r>
    </w:p>
    <w:p w14:paraId="0C503C4C" w14:textId="2D7530DC" w:rsidR="00031697" w:rsidRPr="00196162" w:rsidRDefault="00031697" w:rsidP="00196162">
      <w:pPr>
        <w:spacing w:before="240" w:after="240"/>
        <w:rPr>
          <w:rFonts w:ascii="Arial" w:hAnsi="Arial" w:cs="Arial"/>
          <w:sz w:val="24"/>
          <w:szCs w:val="24"/>
        </w:rPr>
      </w:pPr>
      <w:r w:rsidRPr="00196162">
        <w:rPr>
          <w:rFonts w:ascii="Arial" w:eastAsia="Arial" w:hAnsi="Arial" w:cs="Arial"/>
          <w:sz w:val="24"/>
          <w:szCs w:val="24"/>
        </w:rPr>
        <w:t>Cas</w:t>
      </w:r>
      <w:r w:rsidR="006042B5" w:rsidRPr="00196162">
        <w:rPr>
          <w:rFonts w:ascii="Arial" w:eastAsia="Arial" w:hAnsi="Arial" w:cs="Arial"/>
          <w:sz w:val="24"/>
          <w:szCs w:val="24"/>
        </w:rPr>
        <w:t>cio, W.F., B</w:t>
      </w:r>
      <w:r w:rsidR="009D653F" w:rsidRPr="00196162">
        <w:rPr>
          <w:rFonts w:ascii="Arial" w:eastAsia="Arial" w:hAnsi="Arial" w:cs="Arial"/>
          <w:sz w:val="24"/>
          <w:szCs w:val="24"/>
        </w:rPr>
        <w:t xml:space="preserve">ooudreau, J. and Church, A. (2017) </w:t>
      </w:r>
      <w:r w:rsidR="00FD68F3" w:rsidRPr="00196162">
        <w:rPr>
          <w:rFonts w:ascii="Arial" w:eastAsia="Arial" w:hAnsi="Arial" w:cs="Arial"/>
          <w:sz w:val="24"/>
          <w:szCs w:val="24"/>
        </w:rPr>
        <w:t>Using a risk-optimisation lens: maximising talent rea</w:t>
      </w:r>
      <w:r w:rsidR="002563EA" w:rsidRPr="00196162">
        <w:rPr>
          <w:rFonts w:ascii="Arial" w:eastAsia="Arial" w:hAnsi="Arial" w:cs="Arial"/>
          <w:sz w:val="24"/>
          <w:szCs w:val="24"/>
        </w:rPr>
        <w:t>diness for an uncertain future. In sparrow, P. and Cooper, C. (e</w:t>
      </w:r>
      <w:r w:rsidR="00502226" w:rsidRPr="00196162">
        <w:rPr>
          <w:rFonts w:ascii="Arial" w:eastAsia="Arial" w:hAnsi="Arial" w:cs="Arial"/>
          <w:sz w:val="24"/>
          <w:szCs w:val="24"/>
        </w:rPr>
        <w:t xml:space="preserve">ds) </w:t>
      </w:r>
      <w:r w:rsidR="00502226" w:rsidRPr="00196162">
        <w:rPr>
          <w:rFonts w:ascii="Arial" w:eastAsia="Arial" w:hAnsi="Arial" w:cs="Arial"/>
          <w:i/>
          <w:iCs/>
          <w:sz w:val="24"/>
          <w:szCs w:val="24"/>
        </w:rPr>
        <w:t>A research agenda for human resource management</w:t>
      </w:r>
      <w:r w:rsidR="002360A4" w:rsidRPr="00196162">
        <w:rPr>
          <w:rFonts w:ascii="Arial" w:eastAsia="Arial" w:hAnsi="Arial" w:cs="Arial"/>
          <w:i/>
          <w:iCs/>
          <w:sz w:val="24"/>
          <w:szCs w:val="24"/>
        </w:rPr>
        <w:t>.</w:t>
      </w:r>
      <w:r w:rsidR="002360A4" w:rsidRPr="00196162">
        <w:rPr>
          <w:rFonts w:ascii="Arial" w:eastAsia="Arial" w:hAnsi="Arial" w:cs="Arial"/>
          <w:sz w:val="24"/>
          <w:szCs w:val="24"/>
        </w:rPr>
        <w:t xml:space="preserve"> Cheltenham: Edward Elgar. </w:t>
      </w:r>
    </w:p>
    <w:p w14:paraId="41648BCC" w14:textId="77777777" w:rsidR="00641417" w:rsidRPr="00196162" w:rsidRDefault="00641417" w:rsidP="00196162">
      <w:pPr>
        <w:spacing w:before="240" w:after="240"/>
        <w:rPr>
          <w:rFonts w:ascii="Arial" w:eastAsia="Arial" w:hAnsi="Arial" w:cs="Arial"/>
          <w:sz w:val="24"/>
          <w:szCs w:val="24"/>
        </w:rPr>
      </w:pPr>
      <w:r w:rsidRPr="00196162">
        <w:rPr>
          <w:rFonts w:ascii="Arial" w:eastAsia="Arial" w:hAnsi="Arial" w:cs="Arial"/>
          <w:sz w:val="24"/>
          <w:szCs w:val="24"/>
        </w:rPr>
        <w:t xml:space="preserve">Ceredigion County Council (2023) </w:t>
      </w:r>
      <w:r w:rsidRPr="00196162">
        <w:rPr>
          <w:rFonts w:ascii="Arial" w:eastAsia="Arial" w:hAnsi="Arial" w:cs="Arial"/>
          <w:i/>
          <w:iCs/>
          <w:sz w:val="24"/>
          <w:szCs w:val="24"/>
        </w:rPr>
        <w:t>Population Statistics: Ceredigion</w:t>
      </w:r>
      <w:r w:rsidRPr="00196162">
        <w:rPr>
          <w:rFonts w:ascii="Arial" w:eastAsia="Arial" w:hAnsi="Arial" w:cs="Arial"/>
          <w:sz w:val="24"/>
          <w:szCs w:val="24"/>
        </w:rPr>
        <w:t xml:space="preserve">. Available at: </w:t>
      </w:r>
      <w:hyperlink r:id="rId17" w:tgtFrame="_new" w:history="1">
        <w:r w:rsidRPr="00196162">
          <w:rPr>
            <w:rStyle w:val="Hyperlink"/>
            <w:rFonts w:ascii="Arial" w:eastAsia="Arial" w:hAnsi="Arial" w:cs="Arial"/>
            <w:sz w:val="24"/>
            <w:szCs w:val="24"/>
          </w:rPr>
          <w:t>https://www.ceredigion.gov.uk</w:t>
        </w:r>
      </w:hyperlink>
      <w:r w:rsidRPr="00196162">
        <w:rPr>
          <w:rFonts w:ascii="Arial" w:eastAsia="Arial" w:hAnsi="Arial" w:cs="Arial"/>
          <w:sz w:val="24"/>
          <w:szCs w:val="24"/>
        </w:rPr>
        <w:t xml:space="preserve"> (Accessed: 20 February 2025).</w:t>
      </w:r>
    </w:p>
    <w:p w14:paraId="4953E09C" w14:textId="77777777" w:rsidR="00641417" w:rsidRPr="00196162" w:rsidRDefault="00641417" w:rsidP="00196162">
      <w:pPr>
        <w:spacing w:before="240" w:after="240"/>
        <w:rPr>
          <w:rFonts w:ascii="Arial" w:eastAsia="Arial" w:hAnsi="Arial" w:cs="Arial"/>
          <w:sz w:val="24"/>
          <w:szCs w:val="24"/>
        </w:rPr>
      </w:pPr>
      <w:r w:rsidRPr="00196162">
        <w:rPr>
          <w:rFonts w:ascii="Arial" w:eastAsia="Arial" w:hAnsi="Arial" w:cs="Arial"/>
          <w:sz w:val="24"/>
          <w:szCs w:val="24"/>
        </w:rPr>
        <w:t xml:space="preserve">CIPD (no date) </w:t>
      </w:r>
      <w:r w:rsidRPr="00196162">
        <w:rPr>
          <w:rFonts w:ascii="Arial" w:eastAsia="Arial" w:hAnsi="Arial" w:cs="Arial"/>
          <w:i/>
          <w:iCs/>
          <w:sz w:val="24"/>
          <w:szCs w:val="24"/>
        </w:rPr>
        <w:t>Resourcing: Factsheet</w:t>
      </w:r>
      <w:r w:rsidRPr="00196162">
        <w:rPr>
          <w:rFonts w:ascii="Arial" w:eastAsia="Arial" w:hAnsi="Arial" w:cs="Arial"/>
          <w:sz w:val="24"/>
          <w:szCs w:val="24"/>
        </w:rPr>
        <w:t xml:space="preserve">. Available at: </w:t>
      </w:r>
      <w:hyperlink r:id="rId18" w:tgtFrame="_new" w:history="1">
        <w:r w:rsidRPr="00196162">
          <w:rPr>
            <w:rStyle w:val="Hyperlink"/>
            <w:rFonts w:ascii="Arial" w:eastAsia="Arial" w:hAnsi="Arial" w:cs="Arial"/>
            <w:sz w:val="24"/>
            <w:szCs w:val="24"/>
          </w:rPr>
          <w:t>https://www.cipd.org/uk/knowledge/factsheets/resourcing/</w:t>
        </w:r>
      </w:hyperlink>
      <w:r w:rsidRPr="00196162">
        <w:rPr>
          <w:rFonts w:ascii="Arial" w:eastAsia="Arial" w:hAnsi="Arial" w:cs="Arial"/>
          <w:sz w:val="24"/>
          <w:szCs w:val="24"/>
        </w:rPr>
        <w:t xml:space="preserve"> (Accessed: 11 September 2025).</w:t>
      </w:r>
    </w:p>
    <w:p w14:paraId="31DC8FCC" w14:textId="77777777" w:rsidR="00641417" w:rsidRPr="00196162" w:rsidRDefault="00641417" w:rsidP="00196162">
      <w:pPr>
        <w:spacing w:before="240" w:after="240"/>
        <w:rPr>
          <w:rFonts w:ascii="Arial" w:eastAsia="Arial" w:hAnsi="Arial" w:cs="Arial"/>
          <w:sz w:val="24"/>
          <w:szCs w:val="24"/>
        </w:rPr>
      </w:pPr>
      <w:r w:rsidRPr="00196162">
        <w:rPr>
          <w:rFonts w:ascii="Arial" w:eastAsia="Arial" w:hAnsi="Arial" w:cs="Arial"/>
          <w:sz w:val="24"/>
          <w:szCs w:val="24"/>
        </w:rPr>
        <w:t xml:space="preserve">CIPD (no date) </w:t>
      </w:r>
      <w:r w:rsidRPr="00196162">
        <w:rPr>
          <w:rFonts w:ascii="Arial" w:eastAsia="Arial" w:hAnsi="Arial" w:cs="Arial"/>
          <w:i/>
          <w:iCs/>
          <w:sz w:val="24"/>
          <w:szCs w:val="24"/>
        </w:rPr>
        <w:t>Profession Map</w:t>
      </w:r>
      <w:r w:rsidRPr="00196162">
        <w:rPr>
          <w:rFonts w:ascii="Arial" w:eastAsia="Arial" w:hAnsi="Arial" w:cs="Arial"/>
          <w:sz w:val="24"/>
          <w:szCs w:val="24"/>
        </w:rPr>
        <w:t>. London: CIPD.</w:t>
      </w:r>
    </w:p>
    <w:p w14:paraId="758557C1" w14:textId="77777777" w:rsidR="00641417" w:rsidRPr="00196162" w:rsidRDefault="00641417" w:rsidP="00196162">
      <w:pPr>
        <w:spacing w:before="240" w:after="240"/>
        <w:rPr>
          <w:rFonts w:ascii="Arial" w:eastAsia="Arial" w:hAnsi="Arial" w:cs="Arial"/>
          <w:sz w:val="24"/>
          <w:szCs w:val="24"/>
        </w:rPr>
      </w:pPr>
      <w:r w:rsidRPr="00196162">
        <w:rPr>
          <w:rFonts w:ascii="Arial" w:eastAsia="Arial" w:hAnsi="Arial" w:cs="Arial"/>
          <w:sz w:val="24"/>
          <w:szCs w:val="24"/>
        </w:rPr>
        <w:t xml:space="preserve">CIPD (2023a) </w:t>
      </w:r>
      <w:r w:rsidRPr="00196162">
        <w:rPr>
          <w:rFonts w:ascii="Arial" w:eastAsia="Arial" w:hAnsi="Arial" w:cs="Arial"/>
          <w:i/>
          <w:iCs/>
          <w:sz w:val="24"/>
          <w:szCs w:val="24"/>
        </w:rPr>
        <w:t>Talent Management: Factsheet</w:t>
      </w:r>
      <w:r w:rsidRPr="00196162">
        <w:rPr>
          <w:rFonts w:ascii="Arial" w:eastAsia="Arial" w:hAnsi="Arial" w:cs="Arial"/>
          <w:sz w:val="24"/>
          <w:szCs w:val="24"/>
        </w:rPr>
        <w:t xml:space="preserve">. Available at: </w:t>
      </w:r>
      <w:hyperlink r:id="rId19" w:tgtFrame="_new" w:history="1">
        <w:r w:rsidRPr="00196162">
          <w:rPr>
            <w:rStyle w:val="Hyperlink"/>
            <w:rFonts w:ascii="Arial" w:eastAsia="Arial" w:hAnsi="Arial" w:cs="Arial"/>
            <w:sz w:val="24"/>
            <w:szCs w:val="24"/>
          </w:rPr>
          <w:t>https://www.cipd.org/uk/knowledge/factsheets/talent-factsheet/</w:t>
        </w:r>
      </w:hyperlink>
      <w:r w:rsidRPr="00196162">
        <w:rPr>
          <w:rFonts w:ascii="Arial" w:eastAsia="Arial" w:hAnsi="Arial" w:cs="Arial"/>
          <w:sz w:val="24"/>
          <w:szCs w:val="24"/>
        </w:rPr>
        <w:t xml:space="preserve"> (Accessed: 7 October 2024).</w:t>
      </w:r>
    </w:p>
    <w:p w14:paraId="17846E5E" w14:textId="77777777" w:rsidR="00641417" w:rsidRPr="00196162" w:rsidRDefault="00641417" w:rsidP="00196162">
      <w:pPr>
        <w:spacing w:before="240" w:after="240"/>
        <w:rPr>
          <w:rFonts w:ascii="Arial" w:eastAsia="Arial" w:hAnsi="Arial" w:cs="Arial"/>
          <w:sz w:val="24"/>
          <w:szCs w:val="24"/>
        </w:rPr>
      </w:pPr>
      <w:r w:rsidRPr="00196162">
        <w:rPr>
          <w:rFonts w:ascii="Arial" w:eastAsia="Arial" w:hAnsi="Arial" w:cs="Arial"/>
          <w:sz w:val="24"/>
          <w:szCs w:val="24"/>
        </w:rPr>
        <w:t xml:space="preserve">CIPD (2023b) </w:t>
      </w:r>
      <w:r w:rsidRPr="00196162">
        <w:rPr>
          <w:rFonts w:ascii="Arial" w:eastAsia="Arial" w:hAnsi="Arial" w:cs="Arial"/>
          <w:i/>
          <w:iCs/>
          <w:sz w:val="24"/>
          <w:szCs w:val="24"/>
        </w:rPr>
        <w:t>The True Story of the UK Gig Economy</w:t>
      </w:r>
      <w:r w:rsidRPr="00196162">
        <w:rPr>
          <w:rFonts w:ascii="Arial" w:eastAsia="Arial" w:hAnsi="Arial" w:cs="Arial"/>
          <w:sz w:val="24"/>
          <w:szCs w:val="24"/>
        </w:rPr>
        <w:t xml:space="preserve">. Available at: </w:t>
      </w:r>
      <w:hyperlink r:id="rId20" w:tgtFrame="_new" w:history="1">
        <w:r w:rsidRPr="00196162">
          <w:rPr>
            <w:rStyle w:val="Hyperlink"/>
            <w:rFonts w:ascii="Arial" w:eastAsia="Arial" w:hAnsi="Arial" w:cs="Arial"/>
            <w:sz w:val="24"/>
            <w:szCs w:val="24"/>
          </w:rPr>
          <w:t>https://www.cipd.org/uk/knowledge/reports/true-story-gig-economy/</w:t>
        </w:r>
      </w:hyperlink>
      <w:r w:rsidRPr="00196162">
        <w:rPr>
          <w:rFonts w:ascii="Arial" w:eastAsia="Arial" w:hAnsi="Arial" w:cs="Arial"/>
          <w:sz w:val="24"/>
          <w:szCs w:val="24"/>
        </w:rPr>
        <w:t xml:space="preserve"> (Accessed: 7 October 2024).</w:t>
      </w:r>
    </w:p>
    <w:p w14:paraId="4E8ACB50" w14:textId="77777777" w:rsidR="00641417" w:rsidRPr="00196162" w:rsidRDefault="00641417" w:rsidP="00196162">
      <w:pPr>
        <w:spacing w:before="240" w:after="240"/>
        <w:rPr>
          <w:rFonts w:ascii="Arial" w:eastAsia="Arial" w:hAnsi="Arial" w:cs="Arial"/>
          <w:sz w:val="24"/>
          <w:szCs w:val="24"/>
        </w:rPr>
      </w:pPr>
      <w:r w:rsidRPr="00196162">
        <w:rPr>
          <w:rFonts w:ascii="Arial" w:eastAsia="Arial" w:hAnsi="Arial" w:cs="Arial"/>
          <w:sz w:val="24"/>
          <w:szCs w:val="24"/>
        </w:rPr>
        <w:t xml:space="preserve">CIPD (2023c) </w:t>
      </w:r>
      <w:r w:rsidRPr="00196162">
        <w:rPr>
          <w:rFonts w:ascii="Arial" w:eastAsia="Arial" w:hAnsi="Arial" w:cs="Arial"/>
          <w:i/>
          <w:iCs/>
          <w:sz w:val="24"/>
          <w:szCs w:val="24"/>
        </w:rPr>
        <w:t>The Gig Economy: What Does It Really Look Like?</w:t>
      </w:r>
      <w:r w:rsidRPr="00196162">
        <w:rPr>
          <w:rFonts w:ascii="Arial" w:eastAsia="Arial" w:hAnsi="Arial" w:cs="Arial"/>
          <w:sz w:val="24"/>
          <w:szCs w:val="24"/>
        </w:rPr>
        <w:t xml:space="preserve"> Available at: </w:t>
      </w:r>
      <w:hyperlink r:id="rId21" w:tgtFrame="_new" w:history="1">
        <w:r w:rsidRPr="00196162">
          <w:rPr>
            <w:rStyle w:val="Hyperlink"/>
            <w:rFonts w:ascii="Arial" w:eastAsia="Arial" w:hAnsi="Arial" w:cs="Arial"/>
            <w:sz w:val="24"/>
            <w:szCs w:val="24"/>
          </w:rPr>
          <w:t>https://www.cipd.org/uk/knowledge/reports/gig-economy-insights/</w:t>
        </w:r>
      </w:hyperlink>
      <w:r w:rsidRPr="00196162">
        <w:rPr>
          <w:rFonts w:ascii="Arial" w:eastAsia="Arial" w:hAnsi="Arial" w:cs="Arial"/>
          <w:sz w:val="24"/>
          <w:szCs w:val="24"/>
        </w:rPr>
        <w:t xml:space="preserve"> (Accessed: 7 October 2024).</w:t>
      </w:r>
    </w:p>
    <w:p w14:paraId="3DA69A9F" w14:textId="77777777" w:rsidR="00641417" w:rsidRPr="00196162" w:rsidRDefault="00641417" w:rsidP="00196162">
      <w:pPr>
        <w:spacing w:before="240" w:after="240"/>
        <w:rPr>
          <w:rFonts w:ascii="Arial" w:eastAsia="Arial" w:hAnsi="Arial" w:cs="Arial"/>
          <w:sz w:val="24"/>
          <w:szCs w:val="24"/>
        </w:rPr>
      </w:pPr>
      <w:r w:rsidRPr="00196162">
        <w:rPr>
          <w:rFonts w:ascii="Arial" w:eastAsia="Arial" w:hAnsi="Arial" w:cs="Arial"/>
          <w:sz w:val="24"/>
          <w:szCs w:val="24"/>
        </w:rPr>
        <w:t xml:space="preserve">CIPD (2023d) </w:t>
      </w:r>
      <w:r w:rsidRPr="00196162">
        <w:rPr>
          <w:rFonts w:ascii="Arial" w:eastAsia="Arial" w:hAnsi="Arial" w:cs="Arial"/>
          <w:i/>
          <w:iCs/>
          <w:sz w:val="24"/>
          <w:szCs w:val="24"/>
        </w:rPr>
        <w:t>Recruitment: An Introduction</w:t>
      </w:r>
      <w:r w:rsidRPr="00196162">
        <w:rPr>
          <w:rFonts w:ascii="Arial" w:eastAsia="Arial" w:hAnsi="Arial" w:cs="Arial"/>
          <w:sz w:val="24"/>
          <w:szCs w:val="24"/>
        </w:rPr>
        <w:t xml:space="preserve">. Available at: </w:t>
      </w:r>
      <w:hyperlink r:id="rId22" w:tgtFrame="_new" w:history="1">
        <w:r w:rsidRPr="00196162">
          <w:rPr>
            <w:rStyle w:val="Hyperlink"/>
            <w:rFonts w:ascii="Arial" w:eastAsia="Arial" w:hAnsi="Arial" w:cs="Arial"/>
            <w:sz w:val="24"/>
            <w:szCs w:val="24"/>
          </w:rPr>
          <w:t>https://www.cipd.org/uk/knowledge/factsheets/recruitment/</w:t>
        </w:r>
      </w:hyperlink>
      <w:r w:rsidRPr="00196162">
        <w:rPr>
          <w:rFonts w:ascii="Arial" w:eastAsia="Arial" w:hAnsi="Arial" w:cs="Arial"/>
          <w:sz w:val="24"/>
          <w:szCs w:val="24"/>
        </w:rPr>
        <w:t xml:space="preserve"> (Accessed: 7 October 2024).</w:t>
      </w:r>
    </w:p>
    <w:p w14:paraId="3B86A871" w14:textId="77777777" w:rsidR="00641417" w:rsidRPr="00196162" w:rsidRDefault="00641417" w:rsidP="00196162">
      <w:pPr>
        <w:spacing w:before="240" w:after="240"/>
        <w:rPr>
          <w:rFonts w:ascii="Arial" w:eastAsia="Arial" w:hAnsi="Arial" w:cs="Arial"/>
          <w:sz w:val="24"/>
          <w:szCs w:val="24"/>
        </w:rPr>
      </w:pPr>
      <w:r w:rsidRPr="00196162">
        <w:rPr>
          <w:rFonts w:ascii="Arial" w:eastAsia="Arial" w:hAnsi="Arial" w:cs="Arial"/>
          <w:sz w:val="24"/>
          <w:szCs w:val="24"/>
        </w:rPr>
        <w:t xml:space="preserve">CIPD (2024a) </w:t>
      </w:r>
      <w:r w:rsidRPr="00196162">
        <w:rPr>
          <w:rFonts w:ascii="Arial" w:eastAsia="Arial" w:hAnsi="Arial" w:cs="Arial"/>
          <w:i/>
          <w:iCs/>
          <w:sz w:val="24"/>
          <w:szCs w:val="24"/>
        </w:rPr>
        <w:t>Talent Management: Factsheet</w:t>
      </w:r>
      <w:r w:rsidRPr="00196162">
        <w:rPr>
          <w:rFonts w:ascii="Arial" w:eastAsia="Arial" w:hAnsi="Arial" w:cs="Arial"/>
          <w:sz w:val="24"/>
          <w:szCs w:val="24"/>
        </w:rPr>
        <w:t xml:space="preserve">. Available at: </w:t>
      </w:r>
      <w:hyperlink r:id="rId23" w:tgtFrame="_new" w:history="1">
        <w:r w:rsidRPr="00196162">
          <w:rPr>
            <w:rStyle w:val="Hyperlink"/>
            <w:rFonts w:ascii="Arial" w:eastAsia="Arial" w:hAnsi="Arial" w:cs="Arial"/>
            <w:sz w:val="24"/>
            <w:szCs w:val="24"/>
          </w:rPr>
          <w:t>https://www.cipd.org/uk/knowledge/factsheets/talent-factsheet/</w:t>
        </w:r>
      </w:hyperlink>
      <w:r w:rsidRPr="00196162">
        <w:rPr>
          <w:rFonts w:ascii="Arial" w:eastAsia="Arial" w:hAnsi="Arial" w:cs="Arial"/>
          <w:sz w:val="24"/>
          <w:szCs w:val="24"/>
        </w:rPr>
        <w:t xml:space="preserve"> (Accessed: 3 October 2025).</w:t>
      </w:r>
    </w:p>
    <w:p w14:paraId="37F8D95C" w14:textId="77777777" w:rsidR="00641417" w:rsidRPr="00196162" w:rsidRDefault="00641417" w:rsidP="00196162">
      <w:pPr>
        <w:spacing w:before="240" w:after="240"/>
        <w:rPr>
          <w:rFonts w:ascii="Arial" w:eastAsia="Arial" w:hAnsi="Arial" w:cs="Arial"/>
          <w:sz w:val="24"/>
          <w:szCs w:val="24"/>
        </w:rPr>
      </w:pPr>
      <w:r w:rsidRPr="00196162">
        <w:rPr>
          <w:rFonts w:ascii="Arial" w:eastAsia="Arial" w:hAnsi="Arial" w:cs="Arial"/>
          <w:sz w:val="24"/>
          <w:szCs w:val="24"/>
        </w:rPr>
        <w:t xml:space="preserve">CIPD (2024b) </w:t>
      </w:r>
      <w:r w:rsidRPr="00196162">
        <w:rPr>
          <w:rFonts w:ascii="Arial" w:eastAsia="Arial" w:hAnsi="Arial" w:cs="Arial"/>
          <w:i/>
          <w:iCs/>
          <w:sz w:val="24"/>
          <w:szCs w:val="24"/>
        </w:rPr>
        <w:t>Employer Brand: Factsheet</w:t>
      </w:r>
      <w:r w:rsidRPr="00196162">
        <w:rPr>
          <w:rFonts w:ascii="Arial" w:eastAsia="Arial" w:hAnsi="Arial" w:cs="Arial"/>
          <w:sz w:val="24"/>
          <w:szCs w:val="24"/>
        </w:rPr>
        <w:t xml:space="preserve">. Available at: </w:t>
      </w:r>
      <w:hyperlink r:id="rId24" w:tgtFrame="_new" w:history="1">
        <w:r w:rsidRPr="00196162">
          <w:rPr>
            <w:rStyle w:val="Hyperlink"/>
            <w:rFonts w:ascii="Arial" w:eastAsia="Arial" w:hAnsi="Arial" w:cs="Arial"/>
            <w:sz w:val="24"/>
            <w:szCs w:val="24"/>
          </w:rPr>
          <w:t>https://www.cipd.org/uk/knowledge/factsheets/employer-brand/</w:t>
        </w:r>
      </w:hyperlink>
      <w:r w:rsidRPr="00196162">
        <w:rPr>
          <w:rFonts w:ascii="Arial" w:eastAsia="Arial" w:hAnsi="Arial" w:cs="Arial"/>
          <w:sz w:val="24"/>
          <w:szCs w:val="24"/>
        </w:rPr>
        <w:t xml:space="preserve"> (Accessed: 28 October 2025).</w:t>
      </w:r>
    </w:p>
    <w:p w14:paraId="60B75DE2" w14:textId="77777777" w:rsidR="00641417" w:rsidRPr="00196162" w:rsidRDefault="00641417" w:rsidP="00196162">
      <w:pPr>
        <w:spacing w:before="240" w:after="240"/>
        <w:rPr>
          <w:rFonts w:ascii="Arial" w:eastAsia="Arial" w:hAnsi="Arial" w:cs="Arial"/>
          <w:sz w:val="24"/>
          <w:szCs w:val="24"/>
        </w:rPr>
      </w:pPr>
      <w:r w:rsidRPr="00196162">
        <w:rPr>
          <w:rFonts w:ascii="Arial" w:eastAsia="Arial" w:hAnsi="Arial" w:cs="Arial"/>
          <w:sz w:val="24"/>
          <w:szCs w:val="24"/>
        </w:rPr>
        <w:t xml:space="preserve">CIPD (2024c) </w:t>
      </w:r>
      <w:r w:rsidRPr="00196162">
        <w:rPr>
          <w:rFonts w:ascii="Arial" w:eastAsia="Arial" w:hAnsi="Arial" w:cs="Arial"/>
          <w:i/>
          <w:iCs/>
          <w:sz w:val="24"/>
          <w:szCs w:val="24"/>
        </w:rPr>
        <w:t>Resourcing and Talent Planning Report 2024</w:t>
      </w:r>
      <w:r w:rsidRPr="00196162">
        <w:rPr>
          <w:rFonts w:ascii="Arial" w:eastAsia="Arial" w:hAnsi="Arial" w:cs="Arial"/>
          <w:sz w:val="24"/>
          <w:szCs w:val="24"/>
        </w:rPr>
        <w:t>. London: CIPD.</w:t>
      </w:r>
    </w:p>
    <w:p w14:paraId="7599A188" w14:textId="77777777" w:rsidR="00641417" w:rsidRPr="00196162" w:rsidRDefault="00641417" w:rsidP="00196162">
      <w:pPr>
        <w:spacing w:before="240" w:after="240"/>
        <w:rPr>
          <w:rFonts w:ascii="Arial" w:eastAsia="Arial" w:hAnsi="Arial" w:cs="Arial"/>
          <w:sz w:val="24"/>
          <w:szCs w:val="24"/>
        </w:rPr>
      </w:pPr>
      <w:r w:rsidRPr="00196162">
        <w:rPr>
          <w:rFonts w:ascii="Arial" w:eastAsia="Arial" w:hAnsi="Arial" w:cs="Arial"/>
          <w:sz w:val="24"/>
          <w:szCs w:val="24"/>
        </w:rPr>
        <w:t xml:space="preserve">CIPD (2024d) </w:t>
      </w:r>
      <w:r w:rsidRPr="00196162">
        <w:rPr>
          <w:rFonts w:ascii="Arial" w:eastAsia="Arial" w:hAnsi="Arial" w:cs="Arial"/>
          <w:i/>
          <w:iCs/>
          <w:sz w:val="24"/>
          <w:szCs w:val="24"/>
        </w:rPr>
        <w:t>Good Work Index 2024</w:t>
      </w:r>
      <w:r w:rsidRPr="00196162">
        <w:rPr>
          <w:rFonts w:ascii="Arial" w:eastAsia="Arial" w:hAnsi="Arial" w:cs="Arial"/>
          <w:sz w:val="24"/>
          <w:szCs w:val="24"/>
        </w:rPr>
        <w:t>. London: CIPD.</w:t>
      </w:r>
    </w:p>
    <w:p w14:paraId="21D6D6F8" w14:textId="77777777" w:rsidR="00641417" w:rsidRPr="00196162" w:rsidRDefault="00641417" w:rsidP="00196162">
      <w:pPr>
        <w:spacing w:before="240" w:after="240"/>
        <w:rPr>
          <w:rFonts w:ascii="Arial" w:eastAsia="Arial" w:hAnsi="Arial" w:cs="Arial"/>
          <w:sz w:val="24"/>
          <w:szCs w:val="24"/>
        </w:rPr>
      </w:pPr>
      <w:r w:rsidRPr="00196162">
        <w:rPr>
          <w:rFonts w:ascii="Arial" w:eastAsia="Arial" w:hAnsi="Arial" w:cs="Arial"/>
          <w:sz w:val="24"/>
          <w:szCs w:val="24"/>
        </w:rPr>
        <w:t xml:space="preserve">CIPD (2024e) </w:t>
      </w:r>
      <w:r w:rsidRPr="00196162">
        <w:rPr>
          <w:rFonts w:ascii="Arial" w:eastAsia="Arial" w:hAnsi="Arial" w:cs="Arial"/>
          <w:i/>
          <w:iCs/>
          <w:sz w:val="24"/>
          <w:szCs w:val="24"/>
        </w:rPr>
        <w:t>Inclusive Recruitment: Guide for Employers</w:t>
      </w:r>
      <w:r w:rsidRPr="00196162">
        <w:rPr>
          <w:rFonts w:ascii="Arial" w:eastAsia="Arial" w:hAnsi="Arial" w:cs="Arial"/>
          <w:sz w:val="24"/>
          <w:szCs w:val="24"/>
        </w:rPr>
        <w:t>. London: CIPD.</w:t>
      </w:r>
    </w:p>
    <w:p w14:paraId="4A01A59C" w14:textId="77777777" w:rsidR="00641417" w:rsidRPr="00196162" w:rsidRDefault="00641417" w:rsidP="00196162">
      <w:pPr>
        <w:spacing w:before="240" w:after="240"/>
        <w:rPr>
          <w:rFonts w:ascii="Arial" w:eastAsia="Arial" w:hAnsi="Arial" w:cs="Arial"/>
          <w:sz w:val="24"/>
          <w:szCs w:val="24"/>
        </w:rPr>
      </w:pPr>
      <w:r w:rsidRPr="00196162">
        <w:rPr>
          <w:rFonts w:ascii="Arial" w:eastAsia="Arial" w:hAnsi="Arial" w:cs="Arial"/>
          <w:sz w:val="24"/>
          <w:szCs w:val="24"/>
        </w:rPr>
        <w:lastRenderedPageBreak/>
        <w:t xml:space="preserve">CIPD (2025a) </w:t>
      </w:r>
      <w:r w:rsidRPr="00196162">
        <w:rPr>
          <w:rFonts w:ascii="Arial" w:eastAsia="Arial" w:hAnsi="Arial" w:cs="Arial"/>
          <w:i/>
          <w:iCs/>
          <w:sz w:val="24"/>
          <w:szCs w:val="24"/>
        </w:rPr>
        <w:t>Strategic Workforce Planning</w:t>
      </w:r>
      <w:r w:rsidRPr="00196162">
        <w:rPr>
          <w:rFonts w:ascii="Arial" w:eastAsia="Arial" w:hAnsi="Arial" w:cs="Arial"/>
          <w:sz w:val="24"/>
          <w:szCs w:val="24"/>
        </w:rPr>
        <w:t xml:space="preserve">. Available at: </w:t>
      </w:r>
      <w:hyperlink r:id="rId25" w:tgtFrame="_new" w:history="1">
        <w:r w:rsidRPr="00196162">
          <w:rPr>
            <w:rStyle w:val="Hyperlink"/>
            <w:rFonts w:ascii="Arial" w:eastAsia="Arial" w:hAnsi="Arial" w:cs="Arial"/>
            <w:sz w:val="24"/>
            <w:szCs w:val="24"/>
          </w:rPr>
          <w:t>https://www.cipd.org/uk/knowledge/guides/strategic-workforce-planning/</w:t>
        </w:r>
      </w:hyperlink>
      <w:r w:rsidRPr="00196162">
        <w:rPr>
          <w:rFonts w:ascii="Arial" w:eastAsia="Arial" w:hAnsi="Arial" w:cs="Arial"/>
          <w:sz w:val="24"/>
          <w:szCs w:val="24"/>
        </w:rPr>
        <w:t xml:space="preserve"> (Accessed: 24 October 2025).</w:t>
      </w:r>
    </w:p>
    <w:p w14:paraId="3C3B3062" w14:textId="77777777" w:rsidR="00641417" w:rsidRPr="00196162" w:rsidRDefault="00641417" w:rsidP="00196162">
      <w:pPr>
        <w:spacing w:before="240" w:after="240"/>
        <w:rPr>
          <w:rFonts w:ascii="Arial" w:eastAsia="Arial" w:hAnsi="Arial" w:cs="Arial"/>
          <w:sz w:val="24"/>
          <w:szCs w:val="24"/>
        </w:rPr>
      </w:pPr>
      <w:r w:rsidRPr="00196162">
        <w:rPr>
          <w:rFonts w:ascii="Arial" w:eastAsia="Arial" w:hAnsi="Arial" w:cs="Arial"/>
          <w:sz w:val="24"/>
          <w:szCs w:val="24"/>
        </w:rPr>
        <w:t xml:space="preserve">CIPD (2025b) </w:t>
      </w:r>
      <w:r w:rsidRPr="00196162">
        <w:rPr>
          <w:rFonts w:ascii="Arial" w:eastAsia="Arial" w:hAnsi="Arial" w:cs="Arial"/>
          <w:i/>
          <w:iCs/>
          <w:sz w:val="24"/>
          <w:szCs w:val="24"/>
        </w:rPr>
        <w:t>Workforce Planning: Factsheet</w:t>
      </w:r>
      <w:r w:rsidRPr="00196162">
        <w:rPr>
          <w:rFonts w:ascii="Arial" w:eastAsia="Arial" w:hAnsi="Arial" w:cs="Arial"/>
          <w:sz w:val="24"/>
          <w:szCs w:val="24"/>
        </w:rPr>
        <w:t xml:space="preserve">. Available at: </w:t>
      </w:r>
      <w:hyperlink r:id="rId26" w:tgtFrame="_new" w:history="1">
        <w:r w:rsidRPr="00196162">
          <w:rPr>
            <w:rStyle w:val="Hyperlink"/>
            <w:rFonts w:ascii="Arial" w:eastAsia="Arial" w:hAnsi="Arial" w:cs="Arial"/>
            <w:sz w:val="24"/>
            <w:szCs w:val="24"/>
          </w:rPr>
          <w:t>https://www.cipd.org/uk/knowledge/factsheets/workforce-planning/</w:t>
        </w:r>
      </w:hyperlink>
      <w:r w:rsidRPr="00196162">
        <w:rPr>
          <w:rFonts w:ascii="Arial" w:eastAsia="Arial" w:hAnsi="Arial" w:cs="Arial"/>
          <w:sz w:val="24"/>
          <w:szCs w:val="24"/>
        </w:rPr>
        <w:t xml:space="preserve"> (Accessed: 24 October 2025).</w:t>
      </w:r>
    </w:p>
    <w:p w14:paraId="49CF05F2" w14:textId="3F411EA4" w:rsidR="001610C4" w:rsidRPr="00196162" w:rsidRDefault="001610C4" w:rsidP="00196162">
      <w:pPr>
        <w:spacing w:before="240" w:after="240"/>
        <w:rPr>
          <w:rFonts w:ascii="Arial" w:eastAsia="Arial" w:hAnsi="Arial" w:cs="Arial"/>
          <w:i/>
          <w:iCs/>
          <w:sz w:val="24"/>
          <w:szCs w:val="24"/>
        </w:rPr>
      </w:pPr>
      <w:r w:rsidRPr="00196162">
        <w:rPr>
          <w:rFonts w:ascii="Arial" w:eastAsia="Arial" w:hAnsi="Arial" w:cs="Arial"/>
          <w:sz w:val="24"/>
          <w:szCs w:val="24"/>
        </w:rPr>
        <w:t>Clutterbuck, D</w:t>
      </w:r>
      <w:r w:rsidR="004B799E" w:rsidRPr="00196162">
        <w:rPr>
          <w:rFonts w:ascii="Arial" w:eastAsia="Arial" w:hAnsi="Arial" w:cs="Arial"/>
          <w:sz w:val="24"/>
          <w:szCs w:val="24"/>
        </w:rPr>
        <w:t xml:space="preserve">. (2012) </w:t>
      </w:r>
      <w:r w:rsidR="004B799E" w:rsidRPr="00196162">
        <w:rPr>
          <w:rFonts w:ascii="Arial" w:eastAsia="Arial" w:hAnsi="Arial" w:cs="Arial"/>
          <w:i/>
          <w:iCs/>
          <w:sz w:val="24"/>
          <w:szCs w:val="24"/>
        </w:rPr>
        <w:t xml:space="preserve">The Talent wave: why succession planning </w:t>
      </w:r>
      <w:r w:rsidR="0096521A" w:rsidRPr="00196162">
        <w:rPr>
          <w:rFonts w:ascii="Arial" w:eastAsia="Arial" w:hAnsi="Arial" w:cs="Arial"/>
          <w:i/>
          <w:iCs/>
          <w:sz w:val="24"/>
          <w:szCs w:val="24"/>
        </w:rPr>
        <w:t xml:space="preserve">fails and what to do about it. </w:t>
      </w:r>
      <w:r w:rsidR="00715BC6" w:rsidRPr="00196162">
        <w:rPr>
          <w:rFonts w:ascii="Arial" w:eastAsia="Arial" w:hAnsi="Arial" w:cs="Arial"/>
          <w:sz w:val="24"/>
          <w:szCs w:val="24"/>
        </w:rPr>
        <w:t xml:space="preserve">London: Kogan Page. </w:t>
      </w:r>
    </w:p>
    <w:p w14:paraId="779C400E" w14:textId="77777777" w:rsidR="000F23ED" w:rsidRPr="00196162" w:rsidRDefault="5CA99B6C" w:rsidP="00196162">
      <w:pPr>
        <w:spacing w:before="240" w:after="240"/>
        <w:rPr>
          <w:rFonts w:ascii="Arial" w:eastAsia="Arial" w:hAnsi="Arial" w:cs="Arial"/>
          <w:sz w:val="24"/>
          <w:szCs w:val="24"/>
        </w:rPr>
      </w:pPr>
      <w:r w:rsidRPr="00196162">
        <w:rPr>
          <w:rFonts w:ascii="Arial" w:eastAsia="Arial" w:hAnsi="Arial" w:cs="Arial"/>
          <w:sz w:val="24"/>
          <w:szCs w:val="24"/>
        </w:rPr>
        <w:t xml:space="preserve">De Boeck, G., Dries, N. and Tierens, H. (2018) ‘The experience of talent management: Uncovering the subjective experience of high potentials’, </w:t>
      </w:r>
      <w:r w:rsidRPr="00196162">
        <w:rPr>
          <w:rFonts w:ascii="Arial" w:eastAsia="Arial" w:hAnsi="Arial" w:cs="Arial"/>
          <w:i/>
          <w:iCs/>
          <w:sz w:val="24"/>
          <w:szCs w:val="24"/>
        </w:rPr>
        <w:t>International Journal of Human Resource Management</w:t>
      </w:r>
      <w:r w:rsidRPr="00196162">
        <w:rPr>
          <w:rFonts w:ascii="Arial" w:eastAsia="Arial" w:hAnsi="Arial" w:cs="Arial"/>
          <w:sz w:val="24"/>
          <w:szCs w:val="24"/>
        </w:rPr>
        <w:t>, 29(2), pp. 1–28.</w:t>
      </w:r>
      <w:r w:rsidR="000F23ED" w:rsidRPr="00196162">
        <w:rPr>
          <w:rFonts w:ascii="Arial" w:hAnsi="Arial" w:cs="Arial"/>
          <w:sz w:val="24"/>
          <w:szCs w:val="24"/>
        </w:rPr>
        <w:t xml:space="preserve"> </w:t>
      </w:r>
      <w:r w:rsidR="000F23ED" w:rsidRPr="00196162">
        <w:rPr>
          <w:rFonts w:ascii="Arial" w:eastAsia="Arial" w:hAnsi="Arial" w:cs="Arial"/>
          <w:sz w:val="24"/>
          <w:szCs w:val="24"/>
        </w:rPr>
        <w:t>doi: 10.1080/09585192.2016.1239213</w:t>
      </w:r>
    </w:p>
    <w:p w14:paraId="7D062440" w14:textId="7E9D6798" w:rsidR="00D5318F" w:rsidRPr="00196162" w:rsidRDefault="00D5318F" w:rsidP="00196162">
      <w:pPr>
        <w:spacing w:before="240" w:after="240"/>
        <w:rPr>
          <w:rFonts w:ascii="Arial" w:hAnsi="Arial" w:cs="Arial"/>
          <w:sz w:val="24"/>
          <w:szCs w:val="24"/>
        </w:rPr>
      </w:pPr>
      <w:r w:rsidRPr="00196162">
        <w:rPr>
          <w:rFonts w:ascii="Arial" w:hAnsi="Arial" w:cs="Arial"/>
          <w:sz w:val="24"/>
          <w:szCs w:val="24"/>
        </w:rPr>
        <w:t xml:space="preserve">Deloitte (2023) </w:t>
      </w:r>
      <w:r w:rsidRPr="00196162">
        <w:rPr>
          <w:rFonts w:ascii="Arial" w:hAnsi="Arial" w:cs="Arial"/>
          <w:i/>
          <w:iCs/>
          <w:sz w:val="24"/>
          <w:szCs w:val="24"/>
        </w:rPr>
        <w:t>Global Human Capital Trends Report</w:t>
      </w:r>
      <w:r w:rsidRPr="00196162">
        <w:rPr>
          <w:rFonts w:ascii="Arial" w:hAnsi="Arial" w:cs="Arial"/>
          <w:sz w:val="24"/>
          <w:szCs w:val="24"/>
        </w:rPr>
        <w:t>. London: Deloitte.</w:t>
      </w:r>
    </w:p>
    <w:p w14:paraId="03DBBD1A" w14:textId="75018BC7"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rPr>
        <w:t xml:space="preserve">Edmondson, A. (2019) </w:t>
      </w:r>
      <w:r w:rsidRPr="00196162">
        <w:rPr>
          <w:rFonts w:ascii="Arial" w:eastAsia="Arial" w:hAnsi="Arial" w:cs="Arial"/>
          <w:i/>
          <w:iCs/>
          <w:sz w:val="24"/>
          <w:szCs w:val="24"/>
        </w:rPr>
        <w:t>The fearless organization: Creating psychological safety in the workplace for learning, innovation, and growth</w:t>
      </w:r>
      <w:r w:rsidRPr="00196162">
        <w:rPr>
          <w:rFonts w:ascii="Arial" w:eastAsia="Arial" w:hAnsi="Arial" w:cs="Arial"/>
          <w:sz w:val="24"/>
          <w:szCs w:val="24"/>
        </w:rPr>
        <w:t>. Hoboken, NJ: Wiley.</w:t>
      </w:r>
    </w:p>
    <w:p w14:paraId="24F7285D" w14:textId="75388355"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rPr>
        <w:t xml:space="preserve">EngineeringUK (2022) </w:t>
      </w:r>
      <w:r w:rsidRPr="00196162">
        <w:rPr>
          <w:rFonts w:ascii="Arial" w:eastAsia="Arial" w:hAnsi="Arial" w:cs="Arial"/>
          <w:i/>
          <w:iCs/>
          <w:sz w:val="24"/>
          <w:szCs w:val="24"/>
        </w:rPr>
        <w:t>Engineering Skills Gap Report</w:t>
      </w:r>
      <w:r w:rsidRPr="00196162">
        <w:rPr>
          <w:rFonts w:ascii="Arial" w:eastAsia="Arial" w:hAnsi="Arial" w:cs="Arial"/>
          <w:sz w:val="24"/>
          <w:szCs w:val="24"/>
        </w:rPr>
        <w:t xml:space="preserve">. Available at: </w:t>
      </w:r>
      <w:hyperlink r:id="rId27">
        <w:r w:rsidRPr="00196162">
          <w:rPr>
            <w:rStyle w:val="Hyperlink"/>
            <w:rFonts w:ascii="Arial" w:eastAsia="Arial" w:hAnsi="Arial" w:cs="Arial"/>
            <w:sz w:val="24"/>
            <w:szCs w:val="24"/>
          </w:rPr>
          <w:t>https://www.engineeringuk.com</w:t>
        </w:r>
      </w:hyperlink>
      <w:r w:rsidRPr="00196162">
        <w:rPr>
          <w:rFonts w:ascii="Arial" w:eastAsia="Arial" w:hAnsi="Arial" w:cs="Arial"/>
          <w:sz w:val="24"/>
          <w:szCs w:val="24"/>
        </w:rPr>
        <w:t xml:space="preserve"> (Accessed: 10 February 2025).</w:t>
      </w:r>
    </w:p>
    <w:p w14:paraId="6F38534C" w14:textId="2970728D"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rPr>
        <w:t xml:space="preserve">Frogeli, E., Jenner, B. and Gustavsson, P. (2023) ‘Effectiveness of formal onboarding’, </w:t>
      </w:r>
      <w:r w:rsidRPr="00196162">
        <w:rPr>
          <w:rFonts w:ascii="Arial" w:eastAsia="Arial" w:hAnsi="Arial" w:cs="Arial"/>
          <w:i/>
          <w:iCs/>
          <w:sz w:val="24"/>
          <w:szCs w:val="24"/>
        </w:rPr>
        <w:t>PLOS ONE</w:t>
      </w:r>
      <w:r w:rsidRPr="00196162">
        <w:rPr>
          <w:rFonts w:ascii="Arial" w:eastAsia="Arial" w:hAnsi="Arial" w:cs="Arial"/>
          <w:sz w:val="24"/>
          <w:szCs w:val="24"/>
        </w:rPr>
        <w:t>, 17(2), pp. 1–17.</w:t>
      </w:r>
      <w:r w:rsidR="004A0EA7" w:rsidRPr="00196162">
        <w:rPr>
          <w:rFonts w:ascii="Arial" w:eastAsia="Arial" w:hAnsi="Arial" w:cs="Arial"/>
          <w:color w:val="FF0000"/>
          <w:sz w:val="24"/>
          <w:szCs w:val="24"/>
        </w:rPr>
        <w:t xml:space="preserve"> </w:t>
      </w:r>
      <w:r w:rsidR="004A0EA7" w:rsidRPr="00196162">
        <w:rPr>
          <w:rFonts w:ascii="Arial" w:eastAsia="Arial" w:hAnsi="Arial" w:cs="Arial"/>
          <w:sz w:val="24"/>
          <w:szCs w:val="24"/>
        </w:rPr>
        <w:t>doi: 10.1371/journal.pone.0281447</w:t>
      </w:r>
    </w:p>
    <w:p w14:paraId="5E27D51E" w14:textId="7877C89A"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rPr>
        <w:t xml:space="preserve">Garavan, T., McCarthy, A. and Morley, M. (2021) ‘Global talent management: Advances and insights’, </w:t>
      </w:r>
      <w:r w:rsidRPr="00196162">
        <w:rPr>
          <w:rFonts w:ascii="Arial" w:eastAsia="Arial" w:hAnsi="Arial" w:cs="Arial"/>
          <w:i/>
          <w:iCs/>
          <w:sz w:val="24"/>
          <w:szCs w:val="24"/>
        </w:rPr>
        <w:t>International Journal of Human Resource Management</w:t>
      </w:r>
      <w:r w:rsidRPr="00196162">
        <w:rPr>
          <w:rFonts w:ascii="Arial" w:eastAsia="Arial" w:hAnsi="Arial" w:cs="Arial"/>
          <w:sz w:val="24"/>
          <w:szCs w:val="24"/>
        </w:rPr>
        <w:t>, 32(17), pp. 3652–3675.</w:t>
      </w:r>
      <w:r w:rsidR="00E729C6" w:rsidRPr="00196162">
        <w:rPr>
          <w:rFonts w:ascii="Arial" w:eastAsia="Arial" w:hAnsi="Arial" w:cs="Arial"/>
          <w:sz w:val="24"/>
          <w:szCs w:val="24"/>
        </w:rPr>
        <w:t xml:space="preserve"> </w:t>
      </w:r>
      <w:r w:rsidR="00E729C6" w:rsidRPr="00196162">
        <w:rPr>
          <w:rFonts w:ascii="Arial" w:eastAsia="Arial" w:hAnsi="Arial" w:cs="Arial"/>
          <w:sz w:val="24"/>
          <w:szCs w:val="24"/>
        </w:rPr>
        <w:t>doi: 10.1080/09585192.2020.1838804</w:t>
      </w:r>
    </w:p>
    <w:p w14:paraId="1644A5E9" w14:textId="686ADF63"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rPr>
        <w:t xml:space="preserve">Gifford, J. (2019) </w:t>
      </w:r>
      <w:r w:rsidRPr="00196162">
        <w:rPr>
          <w:rFonts w:ascii="Arial" w:eastAsia="Arial" w:hAnsi="Arial" w:cs="Arial"/>
          <w:i/>
          <w:iCs/>
          <w:sz w:val="24"/>
          <w:szCs w:val="24"/>
        </w:rPr>
        <w:t>The future of work: Job quality in manufacturing</w:t>
      </w:r>
      <w:r w:rsidRPr="00196162">
        <w:rPr>
          <w:rFonts w:ascii="Arial" w:eastAsia="Arial" w:hAnsi="Arial" w:cs="Arial"/>
          <w:sz w:val="24"/>
          <w:szCs w:val="24"/>
        </w:rPr>
        <w:t>. London: CIPD.</w:t>
      </w:r>
    </w:p>
    <w:p w14:paraId="4E3F6DD3" w14:textId="31918361"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rPr>
        <w:t xml:space="preserve">Gov.uk (2024a) </w:t>
      </w:r>
      <w:r w:rsidRPr="00196162">
        <w:rPr>
          <w:rFonts w:ascii="Arial" w:eastAsia="Arial" w:hAnsi="Arial" w:cs="Arial"/>
          <w:i/>
          <w:iCs/>
          <w:sz w:val="24"/>
          <w:szCs w:val="24"/>
        </w:rPr>
        <w:t>Apprenticeship achievements: Update</w:t>
      </w:r>
      <w:r w:rsidRPr="00196162">
        <w:rPr>
          <w:rFonts w:ascii="Arial" w:eastAsia="Arial" w:hAnsi="Arial" w:cs="Arial"/>
          <w:sz w:val="24"/>
          <w:szCs w:val="24"/>
        </w:rPr>
        <w:t xml:space="preserve">. Available at: </w:t>
      </w:r>
      <w:hyperlink r:id="rId28">
        <w:r w:rsidRPr="00196162">
          <w:rPr>
            <w:rStyle w:val="Hyperlink"/>
            <w:rFonts w:ascii="Arial" w:eastAsia="Arial" w:hAnsi="Arial" w:cs="Arial"/>
            <w:sz w:val="24"/>
            <w:szCs w:val="24"/>
          </w:rPr>
          <w:t>https://www.gov.uk</w:t>
        </w:r>
      </w:hyperlink>
      <w:r w:rsidRPr="00196162">
        <w:rPr>
          <w:rFonts w:ascii="Arial" w:eastAsia="Arial" w:hAnsi="Arial" w:cs="Arial"/>
          <w:sz w:val="24"/>
          <w:szCs w:val="24"/>
        </w:rPr>
        <w:t xml:space="preserve"> (Accessed: 12 November 2024).</w:t>
      </w:r>
    </w:p>
    <w:p w14:paraId="5427F028" w14:textId="00A75614"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rPr>
        <w:t xml:space="preserve">Gov.uk (2024b) </w:t>
      </w:r>
      <w:r w:rsidRPr="00196162">
        <w:rPr>
          <w:rFonts w:ascii="Arial" w:eastAsia="Arial" w:hAnsi="Arial" w:cs="Arial"/>
          <w:i/>
          <w:iCs/>
          <w:sz w:val="24"/>
          <w:szCs w:val="24"/>
        </w:rPr>
        <w:t>Employment Rights Bill overview</w:t>
      </w:r>
      <w:r w:rsidRPr="00196162">
        <w:rPr>
          <w:rFonts w:ascii="Arial" w:eastAsia="Arial" w:hAnsi="Arial" w:cs="Arial"/>
          <w:sz w:val="24"/>
          <w:szCs w:val="24"/>
        </w:rPr>
        <w:t xml:space="preserve">. Available at: </w:t>
      </w:r>
      <w:hyperlink r:id="rId29">
        <w:r w:rsidRPr="00196162">
          <w:rPr>
            <w:rStyle w:val="Hyperlink"/>
            <w:rFonts w:ascii="Arial" w:eastAsia="Arial" w:hAnsi="Arial" w:cs="Arial"/>
            <w:sz w:val="24"/>
            <w:szCs w:val="24"/>
          </w:rPr>
          <w:t>https://www.gov.uk</w:t>
        </w:r>
      </w:hyperlink>
      <w:r w:rsidRPr="00196162">
        <w:rPr>
          <w:rFonts w:ascii="Arial" w:eastAsia="Arial" w:hAnsi="Arial" w:cs="Arial"/>
          <w:sz w:val="24"/>
          <w:szCs w:val="24"/>
        </w:rPr>
        <w:t xml:space="preserve"> (Accessed: 12 November 2024).</w:t>
      </w:r>
    </w:p>
    <w:p w14:paraId="4F0EF35D" w14:textId="6175E873" w:rsidR="00F9391C" w:rsidRPr="00196162" w:rsidRDefault="5CA99B6C" w:rsidP="00196162">
      <w:pPr>
        <w:spacing w:before="240" w:after="240"/>
        <w:rPr>
          <w:rFonts w:ascii="Arial" w:eastAsia="Arial" w:hAnsi="Arial" w:cs="Arial"/>
          <w:sz w:val="24"/>
          <w:szCs w:val="24"/>
        </w:rPr>
      </w:pPr>
      <w:r w:rsidRPr="00196162">
        <w:rPr>
          <w:rFonts w:ascii="Arial" w:eastAsia="Arial" w:hAnsi="Arial" w:cs="Arial"/>
          <w:sz w:val="24"/>
          <w:szCs w:val="24"/>
        </w:rPr>
        <w:t xml:space="preserve">Gupta, G. and Praveen, N. (2023) ‘Impact of recruitment and selection on organisational effectiveness’, </w:t>
      </w:r>
      <w:r w:rsidRPr="00196162">
        <w:rPr>
          <w:rFonts w:ascii="Arial" w:eastAsia="Arial" w:hAnsi="Arial" w:cs="Arial"/>
          <w:i/>
          <w:iCs/>
          <w:sz w:val="24"/>
          <w:szCs w:val="24"/>
        </w:rPr>
        <w:t>International Research Journal of Modernization in Engineering Technology and Science</w:t>
      </w:r>
      <w:r w:rsidRPr="00196162">
        <w:rPr>
          <w:rFonts w:ascii="Arial" w:eastAsia="Arial" w:hAnsi="Arial" w:cs="Arial"/>
          <w:sz w:val="24"/>
          <w:szCs w:val="24"/>
        </w:rPr>
        <w:t>, 5(4), pp. 1–7.</w:t>
      </w:r>
      <w:r w:rsidR="00F9391C" w:rsidRPr="00196162">
        <w:rPr>
          <w:rFonts w:ascii="Arial" w:eastAsia="Times New Roman" w:hAnsi="Arial" w:cs="Arial"/>
          <w:b/>
          <w:bCs/>
          <w:kern w:val="0"/>
          <w:sz w:val="24"/>
          <w:szCs w:val="24"/>
          <w:lang w:eastAsia="en-GB"/>
          <w14:ligatures w14:val="none"/>
        </w:rPr>
        <w:t xml:space="preserve"> </w:t>
      </w:r>
      <w:r w:rsidR="00F9391C" w:rsidRPr="00196162">
        <w:rPr>
          <w:rFonts w:ascii="Arial" w:eastAsia="Arial" w:hAnsi="Arial" w:cs="Arial"/>
          <w:sz w:val="24"/>
          <w:szCs w:val="24"/>
        </w:rPr>
        <w:t xml:space="preserve">Available at: </w:t>
      </w:r>
      <w:hyperlink r:id="rId30" w:tgtFrame="_new" w:history="1">
        <w:r w:rsidR="00F9391C" w:rsidRPr="00196162">
          <w:rPr>
            <w:rStyle w:val="Hyperlink"/>
            <w:rFonts w:ascii="Arial" w:eastAsia="Arial" w:hAnsi="Arial" w:cs="Arial"/>
            <w:color w:val="auto"/>
            <w:sz w:val="24"/>
            <w:szCs w:val="24"/>
          </w:rPr>
          <w:t>https://www.irjmets.com</w:t>
        </w:r>
      </w:hyperlink>
      <w:r w:rsidR="00F9391C" w:rsidRPr="00196162">
        <w:rPr>
          <w:rFonts w:ascii="Arial" w:eastAsia="Arial" w:hAnsi="Arial" w:cs="Arial"/>
          <w:sz w:val="24"/>
          <w:szCs w:val="24"/>
        </w:rPr>
        <w:t xml:space="preserve"> </w:t>
      </w:r>
      <w:r w:rsidR="00F9391C" w:rsidRPr="00196162">
        <w:rPr>
          <w:rFonts w:ascii="Arial" w:eastAsia="Arial" w:hAnsi="Arial" w:cs="Arial"/>
          <w:i/>
          <w:iCs/>
          <w:sz w:val="24"/>
          <w:szCs w:val="24"/>
        </w:rPr>
        <w:t xml:space="preserve">(Accessed: </w:t>
      </w:r>
      <w:r w:rsidR="00F9391C" w:rsidRPr="00196162">
        <w:rPr>
          <w:rFonts w:ascii="Arial" w:eastAsia="Arial" w:hAnsi="Arial" w:cs="Arial"/>
          <w:i/>
          <w:iCs/>
          <w:sz w:val="24"/>
          <w:szCs w:val="24"/>
        </w:rPr>
        <w:t>10</w:t>
      </w:r>
      <w:r w:rsidR="00A34CEA" w:rsidRPr="00196162">
        <w:rPr>
          <w:rFonts w:ascii="Arial" w:eastAsia="Arial" w:hAnsi="Arial" w:cs="Arial"/>
          <w:i/>
          <w:iCs/>
          <w:sz w:val="24"/>
          <w:szCs w:val="24"/>
        </w:rPr>
        <w:t xml:space="preserve"> November </w:t>
      </w:r>
      <w:r w:rsidR="00F9391C" w:rsidRPr="00196162">
        <w:rPr>
          <w:rFonts w:ascii="Arial" w:eastAsia="Arial" w:hAnsi="Arial" w:cs="Arial"/>
          <w:i/>
          <w:iCs/>
          <w:sz w:val="24"/>
          <w:szCs w:val="24"/>
        </w:rPr>
        <w:t>2025</w:t>
      </w:r>
      <w:r w:rsidR="00F9391C" w:rsidRPr="00196162">
        <w:rPr>
          <w:rFonts w:ascii="Arial" w:eastAsia="Arial" w:hAnsi="Arial" w:cs="Arial"/>
          <w:i/>
          <w:iCs/>
          <w:sz w:val="24"/>
          <w:szCs w:val="24"/>
        </w:rPr>
        <w:t>)</w:t>
      </w:r>
    </w:p>
    <w:p w14:paraId="73EF9384" w14:textId="0F52F9A1"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rPr>
        <w:t xml:space="preserve">Hailstone, L. (2013) ‘Widening the female talent pool’, </w:t>
      </w:r>
      <w:r w:rsidRPr="00196162">
        <w:rPr>
          <w:rFonts w:ascii="Arial" w:eastAsia="Arial" w:hAnsi="Arial" w:cs="Arial"/>
          <w:i/>
          <w:iCs/>
          <w:sz w:val="24"/>
          <w:szCs w:val="24"/>
        </w:rPr>
        <w:t>Motor Transport</w:t>
      </w:r>
      <w:r w:rsidRPr="00196162">
        <w:rPr>
          <w:rFonts w:ascii="Arial" w:eastAsia="Arial" w:hAnsi="Arial" w:cs="Arial"/>
          <w:sz w:val="24"/>
          <w:szCs w:val="24"/>
        </w:rPr>
        <w:t>, p. 24.</w:t>
      </w:r>
      <w:r w:rsidR="007505EF" w:rsidRPr="00196162">
        <w:rPr>
          <w:rFonts w:ascii="Arial" w:hAnsi="Arial" w:cs="Arial"/>
          <w:sz w:val="24"/>
          <w:szCs w:val="24"/>
        </w:rPr>
        <w:t xml:space="preserve"> </w:t>
      </w:r>
      <w:r w:rsidR="007505EF" w:rsidRPr="00196162">
        <w:rPr>
          <w:rFonts w:ascii="Arial" w:eastAsia="Arial" w:hAnsi="Arial" w:cs="Arial"/>
          <w:sz w:val="24"/>
          <w:szCs w:val="24"/>
        </w:rPr>
        <w:t xml:space="preserve">Available at: https://www.motortransport.co.uk </w:t>
      </w:r>
      <w:r w:rsidR="007505EF" w:rsidRPr="00196162">
        <w:rPr>
          <w:rFonts w:ascii="Arial" w:eastAsia="Arial" w:hAnsi="Arial" w:cs="Arial"/>
          <w:i/>
          <w:iCs/>
          <w:sz w:val="24"/>
          <w:szCs w:val="24"/>
        </w:rPr>
        <w:t>(Accessed: 10</w:t>
      </w:r>
      <w:r w:rsidR="00A34CEA" w:rsidRPr="00196162">
        <w:rPr>
          <w:rFonts w:ascii="Arial" w:eastAsia="Arial" w:hAnsi="Arial" w:cs="Arial"/>
          <w:i/>
          <w:iCs/>
          <w:sz w:val="24"/>
          <w:szCs w:val="24"/>
        </w:rPr>
        <w:t xml:space="preserve"> November </w:t>
      </w:r>
      <w:r w:rsidR="007505EF" w:rsidRPr="00196162">
        <w:rPr>
          <w:rFonts w:ascii="Arial" w:eastAsia="Arial" w:hAnsi="Arial" w:cs="Arial"/>
          <w:i/>
          <w:iCs/>
          <w:sz w:val="24"/>
          <w:szCs w:val="24"/>
        </w:rPr>
        <w:t>2025)</w:t>
      </w:r>
    </w:p>
    <w:p w14:paraId="5CE2D562" w14:textId="03C88FE3" w:rsidR="5CA99B6C" w:rsidRPr="00196162" w:rsidRDefault="5CA99B6C" w:rsidP="00196162">
      <w:pPr>
        <w:spacing w:before="240" w:after="240"/>
        <w:rPr>
          <w:rFonts w:ascii="Arial" w:eastAsia="Arial" w:hAnsi="Arial" w:cs="Arial"/>
          <w:sz w:val="24"/>
          <w:szCs w:val="24"/>
        </w:rPr>
      </w:pPr>
      <w:r w:rsidRPr="00196162">
        <w:rPr>
          <w:rFonts w:ascii="Arial" w:eastAsia="Arial" w:hAnsi="Arial" w:cs="Arial"/>
          <w:sz w:val="24"/>
          <w:szCs w:val="24"/>
        </w:rPr>
        <w:t xml:space="preserve">HESA (2023) </w:t>
      </w:r>
      <w:r w:rsidRPr="00196162">
        <w:rPr>
          <w:rFonts w:ascii="Arial" w:eastAsia="Arial" w:hAnsi="Arial" w:cs="Arial"/>
          <w:i/>
          <w:iCs/>
          <w:sz w:val="24"/>
          <w:szCs w:val="24"/>
        </w:rPr>
        <w:t>Graduate Outcomes and STEM Participation</w:t>
      </w:r>
      <w:r w:rsidRPr="00196162">
        <w:rPr>
          <w:rFonts w:ascii="Arial" w:eastAsia="Arial" w:hAnsi="Arial" w:cs="Arial"/>
          <w:sz w:val="24"/>
          <w:szCs w:val="24"/>
        </w:rPr>
        <w:t xml:space="preserve">. Available at: </w:t>
      </w:r>
      <w:hyperlink r:id="rId31">
        <w:r w:rsidRPr="00196162">
          <w:rPr>
            <w:rStyle w:val="Hyperlink"/>
            <w:rFonts w:ascii="Arial" w:eastAsia="Arial" w:hAnsi="Arial" w:cs="Arial"/>
            <w:sz w:val="24"/>
            <w:szCs w:val="24"/>
          </w:rPr>
          <w:t>https://www.hesa.ac.uk</w:t>
        </w:r>
      </w:hyperlink>
      <w:r w:rsidRPr="00196162">
        <w:rPr>
          <w:rFonts w:ascii="Arial" w:eastAsia="Arial" w:hAnsi="Arial" w:cs="Arial"/>
          <w:sz w:val="24"/>
          <w:szCs w:val="24"/>
        </w:rPr>
        <w:t xml:space="preserve"> (Accessed: 20 February 2025).</w:t>
      </w:r>
    </w:p>
    <w:p w14:paraId="0A584659" w14:textId="2070C955" w:rsidR="00FB65C5" w:rsidRPr="00196162" w:rsidRDefault="00FB65C5" w:rsidP="00196162">
      <w:pPr>
        <w:spacing w:before="240" w:after="240"/>
        <w:rPr>
          <w:rFonts w:ascii="Arial" w:hAnsi="Arial" w:cs="Arial"/>
          <w:sz w:val="24"/>
          <w:szCs w:val="24"/>
        </w:rPr>
      </w:pPr>
      <w:r w:rsidRPr="00196162">
        <w:rPr>
          <w:rFonts w:ascii="Arial" w:eastAsia="Arial" w:hAnsi="Arial" w:cs="Arial"/>
          <w:sz w:val="24"/>
          <w:szCs w:val="24"/>
        </w:rPr>
        <w:lastRenderedPageBreak/>
        <w:t>Hirsh, W</w:t>
      </w:r>
      <w:r w:rsidR="00383528" w:rsidRPr="00196162">
        <w:rPr>
          <w:rFonts w:ascii="Arial" w:eastAsia="Arial" w:hAnsi="Arial" w:cs="Arial"/>
          <w:sz w:val="24"/>
          <w:szCs w:val="24"/>
        </w:rPr>
        <w:t xml:space="preserve">. (2000) </w:t>
      </w:r>
      <w:r w:rsidR="00383528" w:rsidRPr="00196162">
        <w:rPr>
          <w:rFonts w:ascii="Arial" w:eastAsia="Arial" w:hAnsi="Arial" w:cs="Arial"/>
          <w:i/>
          <w:iCs/>
          <w:sz w:val="24"/>
          <w:szCs w:val="24"/>
        </w:rPr>
        <w:t>Succession planning demystif</w:t>
      </w:r>
      <w:r w:rsidR="009E074C" w:rsidRPr="00196162">
        <w:rPr>
          <w:rFonts w:ascii="Arial" w:eastAsia="Arial" w:hAnsi="Arial" w:cs="Arial"/>
          <w:i/>
          <w:iCs/>
          <w:sz w:val="24"/>
          <w:szCs w:val="24"/>
        </w:rPr>
        <w:t xml:space="preserve">ied. </w:t>
      </w:r>
      <w:r w:rsidR="009E074C" w:rsidRPr="00196162">
        <w:rPr>
          <w:rFonts w:ascii="Arial" w:eastAsia="Arial" w:hAnsi="Arial" w:cs="Arial"/>
          <w:sz w:val="24"/>
          <w:szCs w:val="24"/>
        </w:rPr>
        <w:t xml:space="preserve">IES Report No 372. Brighton: </w:t>
      </w:r>
      <w:r w:rsidR="00332EEF" w:rsidRPr="00196162">
        <w:rPr>
          <w:rFonts w:ascii="Arial" w:eastAsia="Arial" w:hAnsi="Arial" w:cs="Arial"/>
          <w:sz w:val="24"/>
          <w:szCs w:val="24"/>
        </w:rPr>
        <w:t xml:space="preserve">Institute of Employment studies. </w:t>
      </w:r>
    </w:p>
    <w:p w14:paraId="488B9A96" w14:textId="0EF5A26E"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rPr>
        <w:t xml:space="preserve">Hongal, P. and Kinange, U. (2020) ‘A study on talent management and its impact on organization performance’, </w:t>
      </w:r>
      <w:r w:rsidRPr="00196162">
        <w:rPr>
          <w:rFonts w:ascii="Arial" w:eastAsia="Arial" w:hAnsi="Arial" w:cs="Arial"/>
          <w:i/>
          <w:iCs/>
          <w:sz w:val="24"/>
          <w:szCs w:val="24"/>
        </w:rPr>
        <w:t>International Journal of Engineering and Management Research</w:t>
      </w:r>
      <w:r w:rsidRPr="00196162">
        <w:rPr>
          <w:rFonts w:ascii="Arial" w:eastAsia="Arial" w:hAnsi="Arial" w:cs="Arial"/>
          <w:sz w:val="24"/>
          <w:szCs w:val="24"/>
        </w:rPr>
        <w:t>, 10(1), pp. 1–7.</w:t>
      </w:r>
      <w:r w:rsidR="002373F2" w:rsidRPr="00196162">
        <w:rPr>
          <w:rFonts w:ascii="Arial" w:hAnsi="Arial" w:cs="Arial"/>
          <w:b/>
          <w:bCs/>
          <w:sz w:val="24"/>
          <w:szCs w:val="24"/>
        </w:rPr>
        <w:t xml:space="preserve"> </w:t>
      </w:r>
      <w:r w:rsidR="002373F2" w:rsidRPr="00196162">
        <w:rPr>
          <w:rFonts w:ascii="Arial" w:eastAsia="Arial" w:hAnsi="Arial" w:cs="Arial"/>
          <w:sz w:val="24"/>
          <w:szCs w:val="24"/>
        </w:rPr>
        <w:t xml:space="preserve">Available at: </w:t>
      </w:r>
      <w:hyperlink r:id="rId32" w:tgtFrame="_new" w:history="1">
        <w:r w:rsidR="002373F2" w:rsidRPr="00196162">
          <w:rPr>
            <w:rStyle w:val="Hyperlink"/>
            <w:rFonts w:ascii="Arial" w:eastAsia="Arial" w:hAnsi="Arial" w:cs="Arial"/>
            <w:sz w:val="24"/>
            <w:szCs w:val="24"/>
          </w:rPr>
          <w:t>https://www.ijemr.net</w:t>
        </w:r>
      </w:hyperlink>
      <w:r w:rsidR="002373F2" w:rsidRPr="00196162">
        <w:rPr>
          <w:rFonts w:ascii="Arial" w:eastAsia="Arial" w:hAnsi="Arial" w:cs="Arial"/>
          <w:color w:val="FF0000"/>
          <w:sz w:val="24"/>
          <w:szCs w:val="24"/>
        </w:rPr>
        <w:t xml:space="preserve"> </w:t>
      </w:r>
      <w:r w:rsidR="002373F2" w:rsidRPr="00196162">
        <w:rPr>
          <w:rFonts w:ascii="Arial" w:eastAsia="Arial" w:hAnsi="Arial" w:cs="Arial"/>
          <w:i/>
          <w:iCs/>
          <w:sz w:val="24"/>
          <w:szCs w:val="24"/>
        </w:rPr>
        <w:t xml:space="preserve">(Accessed: </w:t>
      </w:r>
      <w:r w:rsidR="002373F2" w:rsidRPr="00196162">
        <w:rPr>
          <w:rFonts w:ascii="Arial" w:eastAsia="Arial" w:hAnsi="Arial" w:cs="Arial"/>
          <w:i/>
          <w:iCs/>
          <w:sz w:val="24"/>
          <w:szCs w:val="24"/>
        </w:rPr>
        <w:t>13</w:t>
      </w:r>
      <w:r w:rsidR="00A34CEA" w:rsidRPr="00196162">
        <w:rPr>
          <w:rFonts w:ascii="Arial" w:eastAsia="Arial" w:hAnsi="Arial" w:cs="Arial"/>
          <w:i/>
          <w:iCs/>
          <w:sz w:val="24"/>
          <w:szCs w:val="24"/>
        </w:rPr>
        <w:t xml:space="preserve"> October </w:t>
      </w:r>
      <w:r w:rsidR="002373F2" w:rsidRPr="00196162">
        <w:rPr>
          <w:rFonts w:ascii="Arial" w:eastAsia="Arial" w:hAnsi="Arial" w:cs="Arial"/>
          <w:i/>
          <w:iCs/>
          <w:sz w:val="24"/>
          <w:szCs w:val="24"/>
        </w:rPr>
        <w:t>2025</w:t>
      </w:r>
      <w:r w:rsidR="002373F2" w:rsidRPr="00196162">
        <w:rPr>
          <w:rFonts w:ascii="Arial" w:eastAsia="Arial" w:hAnsi="Arial" w:cs="Arial"/>
          <w:i/>
          <w:iCs/>
          <w:sz w:val="24"/>
          <w:szCs w:val="24"/>
        </w:rPr>
        <w:t>)</w:t>
      </w:r>
    </w:p>
    <w:p w14:paraId="683702D0" w14:textId="579E408F" w:rsidR="5CA99B6C" w:rsidRPr="00196162" w:rsidRDefault="009548FE" w:rsidP="00196162">
      <w:pPr>
        <w:spacing w:before="240" w:after="240"/>
        <w:rPr>
          <w:rFonts w:ascii="Arial" w:hAnsi="Arial" w:cs="Arial"/>
          <w:sz w:val="24"/>
          <w:szCs w:val="24"/>
        </w:rPr>
      </w:pPr>
      <w:r w:rsidRPr="00196162">
        <w:rPr>
          <w:rFonts w:ascii="Arial" w:eastAsia="Arial" w:hAnsi="Arial" w:cs="Arial"/>
          <w:sz w:val="24"/>
          <w:szCs w:val="24"/>
        </w:rPr>
        <w:t xml:space="preserve">House of Commons Library (2022) </w:t>
      </w:r>
      <w:r w:rsidRPr="00196162">
        <w:rPr>
          <w:rFonts w:ascii="Arial" w:eastAsia="Arial" w:hAnsi="Arial" w:cs="Arial"/>
          <w:i/>
          <w:iCs/>
          <w:sz w:val="24"/>
          <w:szCs w:val="24"/>
        </w:rPr>
        <w:t>Rural Economy and Labour Market Briefing</w:t>
      </w:r>
      <w:r w:rsidRPr="00196162">
        <w:rPr>
          <w:rFonts w:ascii="Arial" w:eastAsia="Arial" w:hAnsi="Arial" w:cs="Arial"/>
          <w:sz w:val="24"/>
          <w:szCs w:val="24"/>
        </w:rPr>
        <w:t xml:space="preserve">. Available at: </w:t>
      </w:r>
      <w:hyperlink r:id="rId33" w:tgtFrame="_new" w:history="1">
        <w:r w:rsidRPr="00196162">
          <w:rPr>
            <w:rStyle w:val="Hyperlink"/>
            <w:rFonts w:ascii="Arial" w:eastAsia="Arial" w:hAnsi="Arial" w:cs="Arial"/>
            <w:color w:val="auto"/>
            <w:sz w:val="24"/>
            <w:szCs w:val="24"/>
          </w:rPr>
          <w:t>https://commonslibrary.parliament.uk</w:t>
        </w:r>
      </w:hyperlink>
      <w:r w:rsidRPr="00196162">
        <w:rPr>
          <w:rFonts w:ascii="Arial" w:eastAsia="Arial" w:hAnsi="Arial" w:cs="Arial"/>
          <w:sz w:val="24"/>
          <w:szCs w:val="24"/>
        </w:rPr>
        <w:t xml:space="preserve"> (Accessed: 20 February 2025).</w:t>
      </w:r>
    </w:p>
    <w:p w14:paraId="3314145F" w14:textId="6D3453D8" w:rsidR="5CA99B6C" w:rsidRPr="00196162" w:rsidRDefault="5CA99B6C" w:rsidP="00196162">
      <w:pPr>
        <w:spacing w:before="240" w:after="240"/>
        <w:rPr>
          <w:rFonts w:ascii="Arial" w:hAnsi="Arial" w:cs="Arial"/>
          <w:color w:val="FF0000"/>
          <w:sz w:val="24"/>
          <w:szCs w:val="24"/>
        </w:rPr>
      </w:pPr>
      <w:r w:rsidRPr="00196162">
        <w:rPr>
          <w:rFonts w:ascii="Arial" w:eastAsia="Arial" w:hAnsi="Arial" w:cs="Arial"/>
          <w:sz w:val="24"/>
          <w:szCs w:val="24"/>
        </w:rPr>
        <w:t xml:space="preserve">Iles, P., Chuai, X. and Preece, D. (2020) ‘Talent management and HRM in multinational companies’, </w:t>
      </w:r>
      <w:r w:rsidRPr="00196162">
        <w:rPr>
          <w:rFonts w:ascii="Arial" w:eastAsia="Arial" w:hAnsi="Arial" w:cs="Arial"/>
          <w:i/>
          <w:iCs/>
          <w:sz w:val="24"/>
          <w:szCs w:val="24"/>
        </w:rPr>
        <w:t>Employee Relations</w:t>
      </w:r>
      <w:r w:rsidRPr="00196162">
        <w:rPr>
          <w:rFonts w:ascii="Arial" w:eastAsia="Arial" w:hAnsi="Arial" w:cs="Arial"/>
          <w:sz w:val="24"/>
          <w:szCs w:val="24"/>
        </w:rPr>
        <w:t>, 42(1), pp. 36–56.</w:t>
      </w:r>
      <w:r w:rsidR="00976965" w:rsidRPr="00196162">
        <w:rPr>
          <w:rFonts w:ascii="Arial" w:hAnsi="Arial" w:cs="Arial"/>
          <w:b/>
          <w:bCs/>
          <w:sz w:val="24"/>
          <w:szCs w:val="24"/>
        </w:rPr>
        <w:t xml:space="preserve"> </w:t>
      </w:r>
      <w:r w:rsidR="00976965" w:rsidRPr="00010D48">
        <w:rPr>
          <w:rFonts w:ascii="Arial" w:eastAsia="Arial" w:hAnsi="Arial" w:cs="Arial"/>
          <w:sz w:val="24"/>
          <w:szCs w:val="24"/>
        </w:rPr>
        <w:t>doi:</w:t>
      </w:r>
      <w:r w:rsidR="00976965" w:rsidRPr="00196162">
        <w:rPr>
          <w:rFonts w:ascii="Arial" w:eastAsia="Arial" w:hAnsi="Arial" w:cs="Arial"/>
          <w:sz w:val="24"/>
          <w:szCs w:val="24"/>
        </w:rPr>
        <w:t xml:space="preserve"> 10.1108/ER-11-2018-0294</w:t>
      </w:r>
    </w:p>
    <w:p w14:paraId="16E45AB6" w14:textId="1BC64736"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rPr>
        <w:t xml:space="preserve">Jackson, I. (2024) ‘Half of neurodivergent adults discriminated against in recruitment’, </w:t>
      </w:r>
      <w:r w:rsidRPr="00196162">
        <w:rPr>
          <w:rFonts w:ascii="Arial" w:eastAsia="Arial" w:hAnsi="Arial" w:cs="Arial"/>
          <w:i/>
          <w:iCs/>
          <w:sz w:val="24"/>
          <w:szCs w:val="24"/>
        </w:rPr>
        <w:t>People Management</w:t>
      </w:r>
      <w:r w:rsidRPr="00196162">
        <w:rPr>
          <w:rFonts w:ascii="Arial" w:eastAsia="Arial" w:hAnsi="Arial" w:cs="Arial"/>
          <w:sz w:val="24"/>
          <w:szCs w:val="24"/>
        </w:rPr>
        <w:t xml:space="preserve">. Available at: </w:t>
      </w:r>
      <w:hyperlink r:id="rId34">
        <w:r w:rsidRPr="00196162">
          <w:rPr>
            <w:rStyle w:val="Hyperlink"/>
            <w:rFonts w:ascii="Arial" w:eastAsia="Arial" w:hAnsi="Arial" w:cs="Arial"/>
            <w:sz w:val="24"/>
            <w:szCs w:val="24"/>
          </w:rPr>
          <w:t>https://www.peoplemanagement.co.uk</w:t>
        </w:r>
      </w:hyperlink>
      <w:r w:rsidRPr="00196162">
        <w:rPr>
          <w:rFonts w:ascii="Arial" w:eastAsia="Arial" w:hAnsi="Arial" w:cs="Arial"/>
          <w:sz w:val="24"/>
          <w:szCs w:val="24"/>
        </w:rPr>
        <w:t xml:space="preserve"> (Accessed: 14 November 2024).</w:t>
      </w:r>
    </w:p>
    <w:p w14:paraId="5CF4EAC3" w14:textId="39663F80"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rPr>
        <w:t xml:space="preserve">Jacobs, K. (2021) </w:t>
      </w:r>
      <w:r w:rsidRPr="00196162">
        <w:rPr>
          <w:rFonts w:ascii="Arial" w:eastAsia="Arial" w:hAnsi="Arial" w:cs="Arial"/>
          <w:i/>
          <w:iCs/>
          <w:sz w:val="24"/>
          <w:szCs w:val="24"/>
        </w:rPr>
        <w:t>How to be an employer of choice</w:t>
      </w:r>
      <w:r w:rsidRPr="00196162">
        <w:rPr>
          <w:rFonts w:ascii="Arial" w:eastAsia="Arial" w:hAnsi="Arial" w:cs="Arial"/>
          <w:sz w:val="24"/>
          <w:szCs w:val="24"/>
        </w:rPr>
        <w:t xml:space="preserve">. Available at: </w:t>
      </w:r>
      <w:hyperlink r:id="rId35">
        <w:r w:rsidRPr="00196162">
          <w:rPr>
            <w:rStyle w:val="Hyperlink"/>
            <w:rFonts w:ascii="Arial" w:eastAsia="Arial" w:hAnsi="Arial" w:cs="Arial"/>
            <w:sz w:val="24"/>
            <w:szCs w:val="24"/>
          </w:rPr>
          <w:t>https://www.peoplemanagement.co.uk</w:t>
        </w:r>
      </w:hyperlink>
      <w:r w:rsidRPr="00196162">
        <w:rPr>
          <w:rFonts w:ascii="Arial" w:eastAsia="Arial" w:hAnsi="Arial" w:cs="Arial"/>
          <w:sz w:val="24"/>
          <w:szCs w:val="24"/>
        </w:rPr>
        <w:t xml:space="preserve"> (Accessed: 4 November 2024).</w:t>
      </w:r>
    </w:p>
    <w:p w14:paraId="3D44A13B" w14:textId="75F1BFFD"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rPr>
        <w:t xml:space="preserve">Jones, E. (2024) ‘Talent retention remains the biggest challenge for UK employers’, </w:t>
      </w:r>
      <w:r w:rsidRPr="00196162">
        <w:rPr>
          <w:rFonts w:ascii="Arial" w:eastAsia="Arial" w:hAnsi="Arial" w:cs="Arial"/>
          <w:i/>
          <w:iCs/>
          <w:sz w:val="24"/>
          <w:szCs w:val="24"/>
        </w:rPr>
        <w:t>CIPHR</w:t>
      </w:r>
      <w:r w:rsidRPr="00196162">
        <w:rPr>
          <w:rFonts w:ascii="Arial" w:eastAsia="Arial" w:hAnsi="Arial" w:cs="Arial"/>
          <w:sz w:val="24"/>
          <w:szCs w:val="24"/>
        </w:rPr>
        <w:t xml:space="preserve">. Available at: </w:t>
      </w:r>
      <w:hyperlink r:id="rId36">
        <w:r w:rsidRPr="00196162">
          <w:rPr>
            <w:rStyle w:val="Hyperlink"/>
            <w:rFonts w:ascii="Arial" w:eastAsia="Arial" w:hAnsi="Arial" w:cs="Arial"/>
            <w:sz w:val="24"/>
            <w:szCs w:val="24"/>
          </w:rPr>
          <w:t>https://www.ciphr.com</w:t>
        </w:r>
      </w:hyperlink>
      <w:r w:rsidRPr="00196162">
        <w:rPr>
          <w:rFonts w:ascii="Arial" w:eastAsia="Arial" w:hAnsi="Arial" w:cs="Arial"/>
          <w:sz w:val="24"/>
          <w:szCs w:val="24"/>
        </w:rPr>
        <w:t xml:space="preserve"> (Accessed: 4 August 2024).</w:t>
      </w:r>
    </w:p>
    <w:p w14:paraId="4BB58544" w14:textId="77777777" w:rsidR="00C129C4" w:rsidRPr="00196162" w:rsidRDefault="5CA99B6C" w:rsidP="00196162">
      <w:pPr>
        <w:spacing w:before="240" w:after="240"/>
        <w:rPr>
          <w:rFonts w:ascii="Arial" w:eastAsia="Arial" w:hAnsi="Arial" w:cs="Arial"/>
          <w:sz w:val="24"/>
          <w:szCs w:val="24"/>
        </w:rPr>
      </w:pPr>
      <w:r w:rsidRPr="00196162">
        <w:rPr>
          <w:rFonts w:ascii="Arial" w:eastAsia="Arial" w:hAnsi="Arial" w:cs="Arial"/>
          <w:sz w:val="24"/>
          <w:szCs w:val="24"/>
        </w:rPr>
        <w:t xml:space="preserve">Kahn, W. (1990) ‘Psychological conditions of personal engagement at work’, </w:t>
      </w:r>
      <w:r w:rsidRPr="00196162">
        <w:rPr>
          <w:rFonts w:ascii="Arial" w:eastAsia="Arial" w:hAnsi="Arial" w:cs="Arial"/>
          <w:i/>
          <w:iCs/>
          <w:sz w:val="24"/>
          <w:szCs w:val="24"/>
        </w:rPr>
        <w:t>Academy of Management Journal</w:t>
      </w:r>
      <w:r w:rsidRPr="00196162">
        <w:rPr>
          <w:rFonts w:ascii="Arial" w:eastAsia="Arial" w:hAnsi="Arial" w:cs="Arial"/>
          <w:sz w:val="24"/>
          <w:szCs w:val="24"/>
        </w:rPr>
        <w:t>, 33(4), pp. 692–724</w:t>
      </w:r>
      <w:r w:rsidRPr="00010D48">
        <w:rPr>
          <w:rFonts w:ascii="Arial" w:eastAsia="Arial" w:hAnsi="Arial" w:cs="Arial"/>
          <w:sz w:val="24"/>
          <w:szCs w:val="24"/>
        </w:rPr>
        <w:t>.</w:t>
      </w:r>
      <w:r w:rsidR="00C129C4" w:rsidRPr="00010D48">
        <w:rPr>
          <w:rFonts w:ascii="Arial" w:hAnsi="Arial" w:cs="Arial"/>
          <w:sz w:val="24"/>
          <w:szCs w:val="24"/>
        </w:rPr>
        <w:t xml:space="preserve"> </w:t>
      </w:r>
      <w:r w:rsidR="00C129C4" w:rsidRPr="00010D48">
        <w:rPr>
          <w:rFonts w:ascii="Arial" w:eastAsia="Arial" w:hAnsi="Arial" w:cs="Arial"/>
          <w:sz w:val="24"/>
          <w:szCs w:val="24"/>
        </w:rPr>
        <w:t>doi: 10</w:t>
      </w:r>
      <w:r w:rsidR="00C129C4" w:rsidRPr="00196162">
        <w:rPr>
          <w:rFonts w:ascii="Arial" w:eastAsia="Arial" w:hAnsi="Arial" w:cs="Arial"/>
          <w:sz w:val="24"/>
          <w:szCs w:val="24"/>
        </w:rPr>
        <w:t>.5465/256287</w:t>
      </w:r>
    </w:p>
    <w:p w14:paraId="23F90958" w14:textId="621BDBC6"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rPr>
        <w:t xml:space="preserve">Kanwal, H. and Van Hoye, G. (2024) ‘Beyond employer brand content: The role of employer brand attributes’, </w:t>
      </w:r>
      <w:r w:rsidRPr="00196162">
        <w:rPr>
          <w:rFonts w:ascii="Arial" w:eastAsia="Arial" w:hAnsi="Arial" w:cs="Arial"/>
          <w:i/>
          <w:iCs/>
          <w:sz w:val="24"/>
          <w:szCs w:val="24"/>
        </w:rPr>
        <w:t>Human Resource Management</w:t>
      </w:r>
      <w:r w:rsidRPr="00196162">
        <w:rPr>
          <w:rFonts w:ascii="Arial" w:eastAsia="Arial" w:hAnsi="Arial" w:cs="Arial"/>
          <w:sz w:val="24"/>
          <w:szCs w:val="24"/>
        </w:rPr>
        <w:t>, 63(1), pp. 67–86.</w:t>
      </w:r>
      <w:r w:rsidR="00C92F3C" w:rsidRPr="00196162">
        <w:rPr>
          <w:rFonts w:ascii="Arial" w:hAnsi="Arial" w:cs="Arial"/>
          <w:b/>
          <w:bCs/>
          <w:sz w:val="24"/>
          <w:szCs w:val="24"/>
        </w:rPr>
        <w:t xml:space="preserve"> </w:t>
      </w:r>
      <w:r w:rsidR="00C92F3C" w:rsidRPr="00196162">
        <w:rPr>
          <w:rFonts w:ascii="Arial" w:eastAsia="Arial" w:hAnsi="Arial" w:cs="Arial"/>
          <w:sz w:val="24"/>
          <w:szCs w:val="24"/>
        </w:rPr>
        <w:t xml:space="preserve">Available at: https://www.jahrm.org </w:t>
      </w:r>
      <w:r w:rsidR="00C92F3C" w:rsidRPr="00196162">
        <w:rPr>
          <w:rFonts w:ascii="Arial" w:eastAsia="Arial" w:hAnsi="Arial" w:cs="Arial"/>
          <w:i/>
          <w:iCs/>
          <w:sz w:val="24"/>
          <w:szCs w:val="24"/>
        </w:rPr>
        <w:t xml:space="preserve">(Accessed: </w:t>
      </w:r>
      <w:r w:rsidR="00C92F3C" w:rsidRPr="00196162">
        <w:rPr>
          <w:rFonts w:ascii="Arial" w:eastAsia="Arial" w:hAnsi="Arial" w:cs="Arial"/>
          <w:i/>
          <w:iCs/>
          <w:sz w:val="24"/>
          <w:szCs w:val="24"/>
        </w:rPr>
        <w:t>20 November 2025)</w:t>
      </w:r>
    </w:p>
    <w:p w14:paraId="704542F4" w14:textId="03668980"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rPr>
        <w:t xml:space="preserve">Kanwal, S. and Van Hoye, G. (2024) ‘Employee perceptions of fairness and organisational advocacy’, </w:t>
      </w:r>
      <w:r w:rsidRPr="00196162">
        <w:rPr>
          <w:rFonts w:ascii="Arial" w:eastAsia="Arial" w:hAnsi="Arial" w:cs="Arial"/>
          <w:i/>
          <w:iCs/>
          <w:sz w:val="24"/>
          <w:szCs w:val="24"/>
        </w:rPr>
        <w:t>Journal of Applied HRM</w:t>
      </w:r>
      <w:r w:rsidRPr="00196162">
        <w:rPr>
          <w:rFonts w:ascii="Arial" w:eastAsia="Arial" w:hAnsi="Arial" w:cs="Arial"/>
          <w:sz w:val="24"/>
          <w:szCs w:val="24"/>
        </w:rPr>
        <w:t>, 12(1), pp. 45–62.</w:t>
      </w:r>
      <w:r w:rsidR="00C129C4" w:rsidRPr="00196162">
        <w:rPr>
          <w:rFonts w:ascii="Arial" w:hAnsi="Arial" w:cs="Arial"/>
          <w:sz w:val="24"/>
          <w:szCs w:val="24"/>
        </w:rPr>
        <w:t xml:space="preserve"> </w:t>
      </w:r>
      <w:r w:rsidR="00C129C4" w:rsidRPr="00196162">
        <w:rPr>
          <w:rFonts w:ascii="Arial" w:eastAsia="Arial" w:hAnsi="Arial" w:cs="Arial"/>
          <w:sz w:val="24"/>
          <w:szCs w:val="24"/>
        </w:rPr>
        <w:t>doi: 10.1002/hrm.22130</w:t>
      </w:r>
    </w:p>
    <w:p w14:paraId="6EEC90BF" w14:textId="3819F8AF" w:rsidR="5CA99B6C" w:rsidRDefault="5CA99B6C" w:rsidP="00196162">
      <w:pPr>
        <w:spacing w:before="240" w:after="240"/>
        <w:rPr>
          <w:rFonts w:ascii="Arial" w:eastAsia="Arial" w:hAnsi="Arial" w:cs="Arial"/>
          <w:sz w:val="24"/>
          <w:szCs w:val="24"/>
        </w:rPr>
      </w:pPr>
      <w:r w:rsidRPr="00196162">
        <w:rPr>
          <w:rFonts w:ascii="Arial" w:eastAsia="Arial" w:hAnsi="Arial" w:cs="Arial"/>
          <w:sz w:val="24"/>
          <w:szCs w:val="24"/>
        </w:rPr>
        <w:t xml:space="preserve">Kwon, K. and Jang, S. (2022) ‘There is no good war for talent’, </w:t>
      </w:r>
      <w:r w:rsidRPr="00196162">
        <w:rPr>
          <w:rFonts w:ascii="Arial" w:eastAsia="Arial" w:hAnsi="Arial" w:cs="Arial"/>
          <w:i/>
          <w:iCs/>
          <w:sz w:val="24"/>
          <w:szCs w:val="24"/>
        </w:rPr>
        <w:t>Employee Relations</w:t>
      </w:r>
      <w:r w:rsidRPr="00196162">
        <w:rPr>
          <w:rFonts w:ascii="Arial" w:eastAsia="Arial" w:hAnsi="Arial" w:cs="Arial"/>
          <w:sz w:val="24"/>
          <w:szCs w:val="24"/>
        </w:rPr>
        <w:t>, 44(1), pp. 94–120.</w:t>
      </w:r>
      <w:r w:rsidR="002D7456" w:rsidRPr="00196162">
        <w:rPr>
          <w:rFonts w:ascii="Arial" w:hAnsi="Arial" w:cs="Arial"/>
          <w:sz w:val="24"/>
          <w:szCs w:val="24"/>
        </w:rPr>
        <w:t xml:space="preserve"> </w:t>
      </w:r>
      <w:r w:rsidR="002D7456" w:rsidRPr="00196162">
        <w:rPr>
          <w:rFonts w:ascii="Arial" w:eastAsia="Arial" w:hAnsi="Arial" w:cs="Arial"/>
          <w:sz w:val="24"/>
          <w:szCs w:val="24"/>
        </w:rPr>
        <w:t>doi: 10.1108/ER-06-2020-0300</w:t>
      </w:r>
    </w:p>
    <w:p w14:paraId="70952257" w14:textId="73009F9F" w:rsidR="00010D48" w:rsidRPr="00010D48" w:rsidRDefault="00412A16" w:rsidP="00196162">
      <w:pPr>
        <w:spacing w:before="240" w:after="240"/>
        <w:rPr>
          <w:rFonts w:ascii="Arial" w:eastAsia="Arial" w:hAnsi="Arial" w:cs="Arial"/>
          <w:sz w:val="24"/>
          <w:szCs w:val="24"/>
        </w:rPr>
      </w:pPr>
      <w:r>
        <w:rPr>
          <w:rFonts w:ascii="Arial" w:eastAsia="Arial" w:hAnsi="Arial" w:cs="Arial"/>
          <w:sz w:val="24"/>
          <w:szCs w:val="24"/>
        </w:rPr>
        <w:t xml:space="preserve">Lacey, M. and Groves, K. (2022) </w:t>
      </w:r>
      <w:r w:rsidR="00114EFE">
        <w:rPr>
          <w:rFonts w:ascii="Arial" w:eastAsia="Arial" w:hAnsi="Arial" w:cs="Arial"/>
          <w:sz w:val="24"/>
          <w:szCs w:val="24"/>
        </w:rPr>
        <w:t xml:space="preserve">Approaches to developing high potential </w:t>
      </w:r>
      <w:r w:rsidR="00991AF8">
        <w:rPr>
          <w:rFonts w:ascii="Arial" w:eastAsia="Arial" w:hAnsi="Arial" w:cs="Arial"/>
          <w:sz w:val="24"/>
          <w:szCs w:val="24"/>
        </w:rPr>
        <w:t xml:space="preserve">talent: intended and unintended consequences. </w:t>
      </w:r>
      <w:r w:rsidR="00532315">
        <w:rPr>
          <w:rFonts w:ascii="Arial" w:eastAsia="Arial" w:hAnsi="Arial" w:cs="Arial"/>
          <w:sz w:val="24"/>
          <w:szCs w:val="24"/>
        </w:rPr>
        <w:t xml:space="preserve">In Tarique, I. (ed) </w:t>
      </w:r>
      <w:r w:rsidR="00532315">
        <w:rPr>
          <w:rFonts w:ascii="Arial" w:eastAsia="Arial" w:hAnsi="Arial" w:cs="Arial"/>
          <w:i/>
          <w:iCs/>
          <w:sz w:val="24"/>
          <w:szCs w:val="24"/>
        </w:rPr>
        <w:t xml:space="preserve">The </w:t>
      </w:r>
      <w:r w:rsidR="001007FC">
        <w:rPr>
          <w:rFonts w:ascii="Arial" w:eastAsia="Arial" w:hAnsi="Arial" w:cs="Arial"/>
          <w:i/>
          <w:iCs/>
          <w:sz w:val="24"/>
          <w:szCs w:val="24"/>
        </w:rPr>
        <w:t xml:space="preserve">Routledge companion to talent management. </w:t>
      </w:r>
      <w:r w:rsidR="001007FC">
        <w:rPr>
          <w:rFonts w:ascii="Arial" w:eastAsia="Arial" w:hAnsi="Arial" w:cs="Arial"/>
          <w:sz w:val="24"/>
          <w:szCs w:val="24"/>
        </w:rPr>
        <w:t>New York</w:t>
      </w:r>
      <w:r w:rsidR="00010D48">
        <w:rPr>
          <w:rFonts w:ascii="Arial" w:eastAsia="Arial" w:hAnsi="Arial" w:cs="Arial"/>
          <w:sz w:val="24"/>
          <w:szCs w:val="24"/>
        </w:rPr>
        <w:t xml:space="preserve">: Routledge. </w:t>
      </w:r>
    </w:p>
    <w:p w14:paraId="08EA223B" w14:textId="1A1157F2"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lang w:val="da-DK"/>
        </w:rPr>
        <w:t xml:space="preserve">Maley, J.F. et al. </w:t>
      </w:r>
      <w:r w:rsidRPr="00196162">
        <w:rPr>
          <w:rFonts w:ascii="Arial" w:eastAsia="Arial" w:hAnsi="Arial" w:cs="Arial"/>
          <w:sz w:val="24"/>
          <w:szCs w:val="24"/>
        </w:rPr>
        <w:t xml:space="preserve">(2024) ‘Performance management in a rapidly changing world’, </w:t>
      </w:r>
      <w:r w:rsidRPr="00196162">
        <w:rPr>
          <w:rFonts w:ascii="Arial" w:eastAsia="Arial" w:hAnsi="Arial" w:cs="Arial"/>
          <w:i/>
          <w:iCs/>
          <w:sz w:val="24"/>
          <w:szCs w:val="24"/>
        </w:rPr>
        <w:t>Management Decision</w:t>
      </w:r>
      <w:r w:rsidRPr="00196162">
        <w:rPr>
          <w:rFonts w:ascii="Arial" w:eastAsia="Arial" w:hAnsi="Arial" w:cs="Arial"/>
          <w:sz w:val="24"/>
          <w:szCs w:val="24"/>
        </w:rPr>
        <w:t>.</w:t>
      </w:r>
      <w:r w:rsidR="00C16A1D" w:rsidRPr="00196162">
        <w:rPr>
          <w:rFonts w:ascii="Arial" w:hAnsi="Arial" w:cs="Arial"/>
          <w:sz w:val="24"/>
          <w:szCs w:val="24"/>
        </w:rPr>
        <w:t xml:space="preserve"> </w:t>
      </w:r>
      <w:r w:rsidR="00C16A1D" w:rsidRPr="00196162">
        <w:rPr>
          <w:rFonts w:ascii="Arial" w:eastAsia="Arial" w:hAnsi="Arial" w:cs="Arial"/>
          <w:sz w:val="24"/>
          <w:szCs w:val="24"/>
        </w:rPr>
        <w:t xml:space="preserve">Available at: </w:t>
      </w:r>
      <w:hyperlink r:id="rId37" w:tgtFrame="_new" w:history="1">
        <w:r w:rsidR="00C16A1D" w:rsidRPr="00196162">
          <w:rPr>
            <w:rStyle w:val="Hyperlink"/>
            <w:rFonts w:ascii="Arial" w:eastAsia="Arial" w:hAnsi="Arial" w:cs="Arial"/>
            <w:sz w:val="24"/>
            <w:szCs w:val="24"/>
          </w:rPr>
          <w:t>https://www.emerald.com</w:t>
        </w:r>
      </w:hyperlink>
      <w:r w:rsidR="00C16A1D" w:rsidRPr="00196162">
        <w:rPr>
          <w:rFonts w:ascii="Arial" w:eastAsia="Arial" w:hAnsi="Arial" w:cs="Arial"/>
          <w:color w:val="FF0000"/>
          <w:sz w:val="24"/>
          <w:szCs w:val="24"/>
        </w:rPr>
        <w:t xml:space="preserve"> </w:t>
      </w:r>
      <w:r w:rsidR="00C16A1D" w:rsidRPr="00196162">
        <w:rPr>
          <w:rFonts w:ascii="Arial" w:eastAsia="Arial" w:hAnsi="Arial" w:cs="Arial"/>
          <w:sz w:val="24"/>
          <w:szCs w:val="24"/>
        </w:rPr>
        <w:t>(Accessed: 12 November 2024).</w:t>
      </w:r>
    </w:p>
    <w:p w14:paraId="0EB6D32F" w14:textId="62CB3E88"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rPr>
        <w:lastRenderedPageBreak/>
        <w:t xml:space="preserve">Markos, S. and Sridevi, M. (2010) ‘Employee engagement: The key to performance’, </w:t>
      </w:r>
      <w:r w:rsidRPr="00196162">
        <w:rPr>
          <w:rFonts w:ascii="Arial" w:eastAsia="Arial" w:hAnsi="Arial" w:cs="Arial"/>
          <w:i/>
          <w:iCs/>
          <w:sz w:val="24"/>
          <w:szCs w:val="24"/>
        </w:rPr>
        <w:t>International Journal of Business and Management</w:t>
      </w:r>
      <w:r w:rsidRPr="00196162">
        <w:rPr>
          <w:rFonts w:ascii="Arial" w:eastAsia="Arial" w:hAnsi="Arial" w:cs="Arial"/>
          <w:sz w:val="24"/>
          <w:szCs w:val="24"/>
        </w:rPr>
        <w:t>, 5(12), pp. 89–96.</w:t>
      </w:r>
      <w:r w:rsidR="00867A72" w:rsidRPr="00196162">
        <w:rPr>
          <w:rFonts w:ascii="Arial" w:eastAsia="Arial" w:hAnsi="Arial" w:cs="Arial"/>
          <w:sz w:val="24"/>
          <w:szCs w:val="24"/>
        </w:rPr>
        <w:t xml:space="preserve"> </w:t>
      </w:r>
      <w:r w:rsidR="00867A72" w:rsidRPr="00010D48">
        <w:rPr>
          <w:rFonts w:ascii="Arial" w:eastAsia="Arial" w:hAnsi="Arial" w:cs="Arial"/>
          <w:sz w:val="24"/>
          <w:szCs w:val="24"/>
        </w:rPr>
        <w:t>doi:</w:t>
      </w:r>
      <w:r w:rsidR="00867A72" w:rsidRPr="00196162">
        <w:rPr>
          <w:rFonts w:ascii="Arial" w:eastAsia="Arial" w:hAnsi="Arial" w:cs="Arial"/>
          <w:sz w:val="24"/>
          <w:szCs w:val="24"/>
        </w:rPr>
        <w:t xml:space="preserve"> 10.5539/ijbm.v5n12p89</w:t>
      </w:r>
    </w:p>
    <w:p w14:paraId="565A8438" w14:textId="0359C4EB"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rPr>
        <w:t xml:space="preserve">McKinsey &amp; Company (2022) </w:t>
      </w:r>
      <w:r w:rsidRPr="00196162">
        <w:rPr>
          <w:rFonts w:ascii="Arial" w:eastAsia="Arial" w:hAnsi="Arial" w:cs="Arial"/>
          <w:i/>
          <w:iCs/>
          <w:sz w:val="24"/>
          <w:szCs w:val="24"/>
        </w:rPr>
        <w:t>What is the Metaverse?</w:t>
      </w:r>
      <w:r w:rsidRPr="00196162">
        <w:rPr>
          <w:rFonts w:ascii="Arial" w:eastAsia="Arial" w:hAnsi="Arial" w:cs="Arial"/>
          <w:sz w:val="24"/>
          <w:szCs w:val="24"/>
        </w:rPr>
        <w:t xml:space="preserve"> Available at: </w:t>
      </w:r>
      <w:hyperlink r:id="rId38">
        <w:r w:rsidRPr="00196162">
          <w:rPr>
            <w:rStyle w:val="Hyperlink"/>
            <w:rFonts w:ascii="Arial" w:eastAsia="Arial" w:hAnsi="Arial" w:cs="Arial"/>
            <w:sz w:val="24"/>
            <w:szCs w:val="24"/>
          </w:rPr>
          <w:t>https://www.mckinsey.com</w:t>
        </w:r>
      </w:hyperlink>
      <w:r w:rsidRPr="00196162">
        <w:rPr>
          <w:rFonts w:ascii="Arial" w:eastAsia="Arial" w:hAnsi="Arial" w:cs="Arial"/>
          <w:sz w:val="24"/>
          <w:szCs w:val="24"/>
        </w:rPr>
        <w:t xml:space="preserve"> (Accessed: 16 October 2024).</w:t>
      </w:r>
    </w:p>
    <w:p w14:paraId="2DFB5CD3" w14:textId="617359A7" w:rsidR="5CA99B6C" w:rsidRPr="00196162" w:rsidRDefault="5CA99B6C" w:rsidP="00196162">
      <w:pPr>
        <w:spacing w:before="240" w:after="240"/>
        <w:rPr>
          <w:rFonts w:ascii="Arial" w:eastAsia="Arial" w:hAnsi="Arial" w:cs="Arial"/>
          <w:sz w:val="24"/>
          <w:szCs w:val="24"/>
        </w:rPr>
      </w:pPr>
      <w:r w:rsidRPr="00196162">
        <w:rPr>
          <w:rFonts w:ascii="Arial" w:eastAsia="Arial" w:hAnsi="Arial" w:cs="Arial"/>
          <w:sz w:val="24"/>
          <w:szCs w:val="24"/>
        </w:rPr>
        <w:t xml:space="preserve">McKinsey &amp; Company (2023) </w:t>
      </w:r>
      <w:r w:rsidRPr="00196162">
        <w:rPr>
          <w:rFonts w:ascii="Arial" w:eastAsia="Arial" w:hAnsi="Arial" w:cs="Arial"/>
          <w:i/>
          <w:iCs/>
          <w:sz w:val="24"/>
          <w:szCs w:val="24"/>
        </w:rPr>
        <w:t>What is talent management?</w:t>
      </w:r>
      <w:r w:rsidRPr="00196162">
        <w:rPr>
          <w:rFonts w:ascii="Arial" w:eastAsia="Arial" w:hAnsi="Arial" w:cs="Arial"/>
          <w:sz w:val="24"/>
          <w:szCs w:val="24"/>
        </w:rPr>
        <w:t xml:space="preserve"> Available at: </w:t>
      </w:r>
      <w:hyperlink r:id="rId39">
        <w:r w:rsidRPr="00196162">
          <w:rPr>
            <w:rStyle w:val="Hyperlink"/>
            <w:rFonts w:ascii="Arial" w:eastAsia="Arial" w:hAnsi="Arial" w:cs="Arial"/>
            <w:sz w:val="24"/>
            <w:szCs w:val="24"/>
          </w:rPr>
          <w:t>https://www.mckinsey.com</w:t>
        </w:r>
      </w:hyperlink>
      <w:r w:rsidRPr="00196162">
        <w:rPr>
          <w:rFonts w:ascii="Arial" w:eastAsia="Arial" w:hAnsi="Arial" w:cs="Arial"/>
          <w:sz w:val="24"/>
          <w:szCs w:val="24"/>
        </w:rPr>
        <w:t xml:space="preserve"> (Accessed: 7 October 2024).</w:t>
      </w:r>
    </w:p>
    <w:p w14:paraId="1F9D8F9B" w14:textId="1B950B24"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rPr>
        <w:t xml:space="preserve">Mohdzaini, H. (2021) </w:t>
      </w:r>
      <w:r w:rsidRPr="00196162">
        <w:rPr>
          <w:rFonts w:ascii="Arial" w:eastAsia="Arial" w:hAnsi="Arial" w:cs="Arial"/>
          <w:i/>
          <w:iCs/>
          <w:sz w:val="24"/>
          <w:szCs w:val="24"/>
        </w:rPr>
        <w:t>Using technology to improve hiring and onboarding</w:t>
      </w:r>
      <w:r w:rsidRPr="00196162">
        <w:rPr>
          <w:rFonts w:ascii="Arial" w:eastAsia="Arial" w:hAnsi="Arial" w:cs="Arial"/>
          <w:sz w:val="24"/>
          <w:szCs w:val="24"/>
        </w:rPr>
        <w:t>. London: CIPD.</w:t>
      </w:r>
    </w:p>
    <w:p w14:paraId="1301B76F" w14:textId="5A5A0262"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rPr>
        <w:t xml:space="preserve">Mohdzaini, H. (2023) </w:t>
      </w:r>
      <w:r w:rsidRPr="00196162">
        <w:rPr>
          <w:rFonts w:ascii="Arial" w:eastAsia="Arial" w:hAnsi="Arial" w:cs="Arial"/>
          <w:i/>
          <w:iCs/>
          <w:sz w:val="24"/>
          <w:szCs w:val="24"/>
        </w:rPr>
        <w:t>Technology and data use in HR functions</w:t>
      </w:r>
      <w:r w:rsidRPr="00196162">
        <w:rPr>
          <w:rFonts w:ascii="Arial" w:eastAsia="Arial" w:hAnsi="Arial" w:cs="Arial"/>
          <w:sz w:val="24"/>
          <w:szCs w:val="24"/>
        </w:rPr>
        <w:t xml:space="preserve">. Available at: </w:t>
      </w:r>
      <w:hyperlink r:id="rId40">
        <w:r w:rsidRPr="00196162">
          <w:rPr>
            <w:rStyle w:val="Hyperlink"/>
            <w:rFonts w:ascii="Arial" w:eastAsia="Arial" w:hAnsi="Arial" w:cs="Arial"/>
            <w:sz w:val="24"/>
            <w:szCs w:val="24"/>
          </w:rPr>
          <w:t>https://www.cipd.org/uk/views-and-insights</w:t>
        </w:r>
      </w:hyperlink>
      <w:r w:rsidRPr="00196162">
        <w:rPr>
          <w:rFonts w:ascii="Arial" w:eastAsia="Arial" w:hAnsi="Arial" w:cs="Arial"/>
          <w:sz w:val="24"/>
          <w:szCs w:val="24"/>
        </w:rPr>
        <w:t xml:space="preserve"> (Accessed: 16 October 2024).</w:t>
      </w:r>
    </w:p>
    <w:p w14:paraId="5EA10D86" w14:textId="07EDF65A"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rPr>
        <w:t xml:space="preserve">Morgan, B. (2019) ‘Companies that failed at digital transformation’, </w:t>
      </w:r>
      <w:r w:rsidRPr="00196162">
        <w:rPr>
          <w:rFonts w:ascii="Arial" w:eastAsia="Arial" w:hAnsi="Arial" w:cs="Arial"/>
          <w:i/>
          <w:iCs/>
          <w:sz w:val="24"/>
          <w:szCs w:val="24"/>
        </w:rPr>
        <w:t>Forbes</w:t>
      </w:r>
      <w:r w:rsidRPr="00196162">
        <w:rPr>
          <w:rFonts w:ascii="Arial" w:eastAsia="Arial" w:hAnsi="Arial" w:cs="Arial"/>
          <w:sz w:val="24"/>
          <w:szCs w:val="24"/>
        </w:rPr>
        <w:t xml:space="preserve">. Available at: </w:t>
      </w:r>
      <w:hyperlink r:id="rId41">
        <w:r w:rsidRPr="00196162">
          <w:rPr>
            <w:rStyle w:val="Hyperlink"/>
            <w:rFonts w:ascii="Arial" w:eastAsia="Arial" w:hAnsi="Arial" w:cs="Arial"/>
            <w:sz w:val="24"/>
            <w:szCs w:val="24"/>
          </w:rPr>
          <w:t>https://www.forbes.com</w:t>
        </w:r>
      </w:hyperlink>
      <w:r w:rsidRPr="00196162">
        <w:rPr>
          <w:rFonts w:ascii="Arial" w:eastAsia="Arial" w:hAnsi="Arial" w:cs="Arial"/>
          <w:sz w:val="24"/>
          <w:szCs w:val="24"/>
        </w:rPr>
        <w:t xml:space="preserve"> (Accessed: 30 September 2024).</w:t>
      </w:r>
    </w:p>
    <w:p w14:paraId="4C3BFE86" w14:textId="5A8EFBF7" w:rsidR="00F47C58" w:rsidRPr="00196162" w:rsidRDefault="00F47C58" w:rsidP="00196162">
      <w:pPr>
        <w:spacing w:before="240" w:after="240"/>
        <w:rPr>
          <w:rFonts w:ascii="Arial" w:eastAsia="Arial" w:hAnsi="Arial" w:cs="Arial"/>
          <w:sz w:val="24"/>
          <w:szCs w:val="24"/>
        </w:rPr>
      </w:pPr>
      <w:r w:rsidRPr="00196162">
        <w:rPr>
          <w:rFonts w:ascii="Arial" w:eastAsia="Arial" w:hAnsi="Arial" w:cs="Arial"/>
          <w:sz w:val="24"/>
          <w:szCs w:val="24"/>
        </w:rPr>
        <w:t>Murphey, N</w:t>
      </w:r>
      <w:r w:rsidR="00A652C5" w:rsidRPr="00196162">
        <w:rPr>
          <w:rFonts w:ascii="Arial" w:eastAsia="Arial" w:hAnsi="Arial" w:cs="Arial"/>
          <w:sz w:val="24"/>
          <w:szCs w:val="24"/>
        </w:rPr>
        <w:t>. (2009a) Survey: succession planning in practices</w:t>
      </w:r>
      <w:r w:rsidR="00953142" w:rsidRPr="00196162">
        <w:rPr>
          <w:rFonts w:ascii="Arial" w:eastAsia="Arial" w:hAnsi="Arial" w:cs="Arial"/>
          <w:sz w:val="24"/>
          <w:szCs w:val="24"/>
        </w:rPr>
        <w:t xml:space="preserve">. </w:t>
      </w:r>
      <w:r w:rsidR="00953142" w:rsidRPr="00196162">
        <w:rPr>
          <w:rFonts w:ascii="Arial" w:eastAsia="Arial" w:hAnsi="Arial" w:cs="Arial"/>
          <w:i/>
          <w:iCs/>
          <w:sz w:val="24"/>
          <w:szCs w:val="24"/>
        </w:rPr>
        <w:t xml:space="preserve">IRS Employment </w:t>
      </w:r>
      <w:r w:rsidR="007A16C5" w:rsidRPr="00196162">
        <w:rPr>
          <w:rFonts w:ascii="Arial" w:eastAsia="Arial" w:hAnsi="Arial" w:cs="Arial"/>
          <w:i/>
          <w:iCs/>
          <w:sz w:val="24"/>
          <w:szCs w:val="24"/>
        </w:rPr>
        <w:t>R</w:t>
      </w:r>
      <w:r w:rsidR="00953142" w:rsidRPr="00196162">
        <w:rPr>
          <w:rFonts w:ascii="Arial" w:eastAsia="Arial" w:hAnsi="Arial" w:cs="Arial"/>
          <w:i/>
          <w:iCs/>
          <w:sz w:val="24"/>
          <w:szCs w:val="24"/>
        </w:rPr>
        <w:t>eview</w:t>
      </w:r>
      <w:r w:rsidR="007A16C5" w:rsidRPr="00196162">
        <w:rPr>
          <w:rFonts w:ascii="Arial" w:eastAsia="Arial" w:hAnsi="Arial" w:cs="Arial"/>
          <w:sz w:val="24"/>
          <w:szCs w:val="24"/>
        </w:rPr>
        <w:t>.</w:t>
      </w:r>
      <w:r w:rsidR="00953142" w:rsidRPr="00196162">
        <w:rPr>
          <w:rFonts w:ascii="Arial" w:eastAsia="Arial" w:hAnsi="Arial" w:cs="Arial"/>
          <w:sz w:val="24"/>
          <w:szCs w:val="24"/>
        </w:rPr>
        <w:t xml:space="preserve"> No 917. March. </w:t>
      </w:r>
    </w:p>
    <w:p w14:paraId="738E5D5E" w14:textId="5A5A109B"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rPr>
        <w:t xml:space="preserve">Nikolaou, I. and Oostrom, J.K. (2015) </w:t>
      </w:r>
      <w:r w:rsidRPr="00196162">
        <w:rPr>
          <w:rFonts w:ascii="Arial" w:eastAsia="Arial" w:hAnsi="Arial" w:cs="Arial"/>
          <w:i/>
          <w:iCs/>
          <w:sz w:val="24"/>
          <w:szCs w:val="24"/>
        </w:rPr>
        <w:t>Employee recruitment, selection and assessment</w:t>
      </w:r>
      <w:r w:rsidRPr="00196162">
        <w:rPr>
          <w:rFonts w:ascii="Arial" w:eastAsia="Arial" w:hAnsi="Arial" w:cs="Arial"/>
          <w:sz w:val="24"/>
          <w:szCs w:val="24"/>
        </w:rPr>
        <w:t>. Hove: Psychology Press.</w:t>
      </w:r>
    </w:p>
    <w:p w14:paraId="1EB41372" w14:textId="50B0E509"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rPr>
        <w:t xml:space="preserve">Office for National Statistics (2021) </w:t>
      </w:r>
      <w:r w:rsidRPr="00196162">
        <w:rPr>
          <w:rFonts w:ascii="Arial" w:eastAsia="Arial" w:hAnsi="Arial" w:cs="Arial"/>
          <w:i/>
          <w:iCs/>
          <w:sz w:val="24"/>
          <w:szCs w:val="24"/>
        </w:rPr>
        <w:t>Census 2021 Population and Density Data</w:t>
      </w:r>
      <w:r w:rsidRPr="00196162">
        <w:rPr>
          <w:rFonts w:ascii="Arial" w:eastAsia="Arial" w:hAnsi="Arial" w:cs="Arial"/>
          <w:sz w:val="24"/>
          <w:szCs w:val="24"/>
        </w:rPr>
        <w:t xml:space="preserve">. Available at: </w:t>
      </w:r>
      <w:hyperlink r:id="rId42">
        <w:r w:rsidRPr="00196162">
          <w:rPr>
            <w:rStyle w:val="Hyperlink"/>
            <w:rFonts w:ascii="Arial" w:eastAsia="Arial" w:hAnsi="Arial" w:cs="Arial"/>
            <w:sz w:val="24"/>
            <w:szCs w:val="24"/>
          </w:rPr>
          <w:t>https://www.ons.gov.uk</w:t>
        </w:r>
      </w:hyperlink>
      <w:r w:rsidRPr="00196162">
        <w:rPr>
          <w:rFonts w:ascii="Arial" w:eastAsia="Arial" w:hAnsi="Arial" w:cs="Arial"/>
          <w:sz w:val="24"/>
          <w:szCs w:val="24"/>
        </w:rPr>
        <w:t xml:space="preserve"> (Accessed: 20 February 2025).</w:t>
      </w:r>
    </w:p>
    <w:p w14:paraId="71A8D971" w14:textId="77777777" w:rsidR="006225E9" w:rsidRPr="00196162" w:rsidRDefault="006225E9" w:rsidP="00196162">
      <w:pPr>
        <w:spacing w:before="240" w:after="240"/>
        <w:rPr>
          <w:rFonts w:ascii="Arial" w:eastAsia="Arial" w:hAnsi="Arial" w:cs="Arial"/>
          <w:sz w:val="24"/>
          <w:szCs w:val="24"/>
        </w:rPr>
      </w:pPr>
      <w:r w:rsidRPr="00196162">
        <w:rPr>
          <w:rFonts w:ascii="Arial" w:eastAsia="Arial" w:hAnsi="Arial" w:cs="Arial"/>
          <w:sz w:val="24"/>
          <w:szCs w:val="24"/>
        </w:rPr>
        <w:t xml:space="preserve">Office for National Statistics (2023) </w:t>
      </w:r>
      <w:r w:rsidRPr="00196162">
        <w:rPr>
          <w:rFonts w:ascii="Arial" w:eastAsia="Arial" w:hAnsi="Arial" w:cs="Arial"/>
          <w:i/>
          <w:iCs/>
          <w:sz w:val="24"/>
          <w:szCs w:val="24"/>
        </w:rPr>
        <w:t>Rural Population and Migration Statistics</w:t>
      </w:r>
      <w:r w:rsidRPr="00196162">
        <w:rPr>
          <w:rFonts w:ascii="Arial" w:eastAsia="Arial" w:hAnsi="Arial" w:cs="Arial"/>
          <w:sz w:val="24"/>
          <w:szCs w:val="24"/>
        </w:rPr>
        <w:t xml:space="preserve">. Available at: </w:t>
      </w:r>
      <w:hyperlink r:id="rId43" w:tgtFrame="_new" w:history="1">
        <w:r w:rsidRPr="00196162">
          <w:rPr>
            <w:rStyle w:val="Hyperlink"/>
            <w:rFonts w:ascii="Arial" w:eastAsia="Arial" w:hAnsi="Arial" w:cs="Arial"/>
            <w:sz w:val="24"/>
            <w:szCs w:val="24"/>
          </w:rPr>
          <w:t>https://www.ons.gov.uk</w:t>
        </w:r>
      </w:hyperlink>
      <w:r w:rsidRPr="00196162">
        <w:rPr>
          <w:rFonts w:ascii="Arial" w:eastAsia="Arial" w:hAnsi="Arial" w:cs="Arial"/>
          <w:sz w:val="24"/>
          <w:szCs w:val="24"/>
        </w:rPr>
        <w:t xml:space="preserve"> (Accessed: 20 February 2025).</w:t>
      </w:r>
    </w:p>
    <w:p w14:paraId="7A984118" w14:textId="4E536DD1"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rPr>
        <w:t xml:space="preserve">Parfitt, O. (2018) ‘Film London aims to expand London talent pool’, </w:t>
      </w:r>
      <w:r w:rsidRPr="00196162">
        <w:rPr>
          <w:rFonts w:ascii="Arial" w:eastAsia="Arial" w:hAnsi="Arial" w:cs="Arial"/>
          <w:i/>
          <w:iCs/>
          <w:sz w:val="24"/>
          <w:szCs w:val="24"/>
        </w:rPr>
        <w:t>Broadcast</w:t>
      </w:r>
      <w:r w:rsidRPr="00196162">
        <w:rPr>
          <w:rFonts w:ascii="Arial" w:eastAsia="Arial" w:hAnsi="Arial" w:cs="Arial"/>
          <w:sz w:val="24"/>
          <w:szCs w:val="24"/>
        </w:rPr>
        <w:t>.</w:t>
      </w:r>
    </w:p>
    <w:p w14:paraId="13144012" w14:textId="63D2412A" w:rsidR="5CA99B6C" w:rsidRPr="00196162" w:rsidRDefault="5CA99B6C" w:rsidP="00196162">
      <w:pPr>
        <w:spacing w:before="240" w:after="240"/>
        <w:rPr>
          <w:rFonts w:ascii="Arial" w:hAnsi="Arial" w:cs="Arial"/>
          <w:color w:val="FF0000"/>
          <w:sz w:val="24"/>
          <w:szCs w:val="24"/>
        </w:rPr>
      </w:pPr>
      <w:r w:rsidRPr="00196162">
        <w:rPr>
          <w:rFonts w:ascii="Arial" w:eastAsia="Arial" w:hAnsi="Arial" w:cs="Arial"/>
          <w:sz w:val="24"/>
          <w:szCs w:val="24"/>
        </w:rPr>
        <w:t xml:space="preserve">Parry, E. and Tyson, S. (2011) ‘Desired goals and actual outcomes of e-HRM’, </w:t>
      </w:r>
      <w:r w:rsidRPr="00196162">
        <w:rPr>
          <w:rFonts w:ascii="Arial" w:eastAsia="Arial" w:hAnsi="Arial" w:cs="Arial"/>
          <w:i/>
          <w:iCs/>
          <w:sz w:val="24"/>
          <w:szCs w:val="24"/>
        </w:rPr>
        <w:t>Human Resource Management Journal</w:t>
      </w:r>
      <w:r w:rsidRPr="00196162">
        <w:rPr>
          <w:rFonts w:ascii="Arial" w:eastAsia="Arial" w:hAnsi="Arial" w:cs="Arial"/>
          <w:sz w:val="24"/>
          <w:szCs w:val="24"/>
        </w:rPr>
        <w:t>, 21(3), pp. 335–354.</w:t>
      </w:r>
      <w:r w:rsidR="00347BFE" w:rsidRPr="00196162">
        <w:rPr>
          <w:rFonts w:ascii="Arial" w:hAnsi="Arial" w:cs="Arial"/>
          <w:sz w:val="24"/>
          <w:szCs w:val="24"/>
        </w:rPr>
        <w:t xml:space="preserve"> </w:t>
      </w:r>
      <w:r w:rsidR="00347BFE" w:rsidRPr="00196162">
        <w:rPr>
          <w:rFonts w:ascii="Arial" w:eastAsia="Arial" w:hAnsi="Arial" w:cs="Arial"/>
          <w:sz w:val="24"/>
          <w:szCs w:val="24"/>
        </w:rPr>
        <w:t>doi: 10.1111/j.1748-8583.2010.00149.x</w:t>
      </w:r>
    </w:p>
    <w:p w14:paraId="34F73516" w14:textId="08440008"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lang w:val="fr-FR"/>
        </w:rPr>
        <w:t xml:space="preserve">Quilliam, G. (2023) </w:t>
      </w:r>
      <w:r w:rsidRPr="00196162">
        <w:rPr>
          <w:rFonts w:ascii="Arial" w:eastAsia="Arial" w:hAnsi="Arial" w:cs="Arial"/>
          <w:i/>
          <w:iCs/>
          <w:sz w:val="24"/>
          <w:szCs w:val="24"/>
          <w:lang w:val="fr-FR"/>
        </w:rPr>
        <w:t>Talent Management</w:t>
      </w:r>
      <w:r w:rsidRPr="00196162">
        <w:rPr>
          <w:rFonts w:ascii="Arial" w:eastAsia="Arial" w:hAnsi="Arial" w:cs="Arial"/>
          <w:sz w:val="24"/>
          <w:szCs w:val="24"/>
          <w:lang w:val="fr-FR"/>
        </w:rPr>
        <w:t xml:space="preserve">. CIPD. </w:t>
      </w:r>
      <w:r w:rsidRPr="00196162">
        <w:rPr>
          <w:rFonts w:ascii="Arial" w:eastAsia="Arial" w:hAnsi="Arial" w:cs="Arial"/>
          <w:sz w:val="24"/>
          <w:szCs w:val="24"/>
        </w:rPr>
        <w:t xml:space="preserve">Available at: </w:t>
      </w:r>
      <w:hyperlink r:id="rId44">
        <w:r w:rsidRPr="00196162">
          <w:rPr>
            <w:rStyle w:val="Hyperlink"/>
            <w:rFonts w:ascii="Arial" w:eastAsia="Arial" w:hAnsi="Arial" w:cs="Arial"/>
            <w:sz w:val="24"/>
            <w:szCs w:val="24"/>
          </w:rPr>
          <w:t>https://www.cipd.org/uk</w:t>
        </w:r>
      </w:hyperlink>
      <w:r w:rsidRPr="00196162">
        <w:rPr>
          <w:rFonts w:ascii="Arial" w:eastAsia="Arial" w:hAnsi="Arial" w:cs="Arial"/>
          <w:sz w:val="24"/>
          <w:szCs w:val="24"/>
        </w:rPr>
        <w:t xml:space="preserve"> (Accessed: 16 October 2024).</w:t>
      </w:r>
    </w:p>
    <w:p w14:paraId="69A5C4AB" w14:textId="653AC429"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rPr>
        <w:t>Ramaditya, M. et al.</w:t>
      </w:r>
      <w:r w:rsidR="00044237" w:rsidRPr="00196162">
        <w:rPr>
          <w:rFonts w:ascii="Arial" w:eastAsia="Arial" w:hAnsi="Arial" w:cs="Arial"/>
          <w:sz w:val="24"/>
          <w:szCs w:val="24"/>
        </w:rPr>
        <w:t>,</w:t>
      </w:r>
      <w:r w:rsidRPr="00196162">
        <w:rPr>
          <w:rFonts w:ascii="Arial" w:eastAsia="Arial" w:hAnsi="Arial" w:cs="Arial"/>
          <w:sz w:val="24"/>
          <w:szCs w:val="24"/>
        </w:rPr>
        <w:t xml:space="preserve"> (2022) ‘Reinventing talent management’, </w:t>
      </w:r>
      <w:r w:rsidRPr="00196162">
        <w:rPr>
          <w:rFonts w:ascii="Arial" w:eastAsia="Arial" w:hAnsi="Arial" w:cs="Arial"/>
          <w:i/>
          <w:iCs/>
          <w:sz w:val="24"/>
          <w:szCs w:val="24"/>
        </w:rPr>
        <w:t>Frontiers in Education</w:t>
      </w:r>
      <w:r w:rsidRPr="00196162">
        <w:rPr>
          <w:rFonts w:ascii="Arial" w:eastAsia="Arial" w:hAnsi="Arial" w:cs="Arial"/>
          <w:sz w:val="24"/>
          <w:szCs w:val="24"/>
        </w:rPr>
        <w:t>, 7, pp. 1–12.</w:t>
      </w:r>
      <w:r w:rsidR="00347BFE" w:rsidRPr="00196162">
        <w:rPr>
          <w:rFonts w:ascii="Arial" w:hAnsi="Arial" w:cs="Arial"/>
          <w:sz w:val="24"/>
          <w:szCs w:val="24"/>
        </w:rPr>
        <w:t xml:space="preserve"> </w:t>
      </w:r>
      <w:r w:rsidR="00347BFE" w:rsidRPr="00196162">
        <w:rPr>
          <w:rFonts w:ascii="Arial" w:eastAsia="Arial" w:hAnsi="Arial" w:cs="Arial"/>
          <w:sz w:val="24"/>
          <w:szCs w:val="24"/>
        </w:rPr>
        <w:t>doi: 10.3389/feduc.2022.991047</w:t>
      </w:r>
    </w:p>
    <w:p w14:paraId="2EFA8AF0" w14:textId="1516D0F1"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rPr>
        <w:t xml:space="preserve">Rousseau, D. (1995) </w:t>
      </w:r>
      <w:r w:rsidRPr="00196162">
        <w:rPr>
          <w:rFonts w:ascii="Arial" w:eastAsia="Arial" w:hAnsi="Arial" w:cs="Arial"/>
          <w:i/>
          <w:iCs/>
          <w:sz w:val="24"/>
          <w:szCs w:val="24"/>
        </w:rPr>
        <w:t>Psychological contracts in organizations</w:t>
      </w:r>
      <w:r w:rsidRPr="00196162">
        <w:rPr>
          <w:rFonts w:ascii="Arial" w:eastAsia="Arial" w:hAnsi="Arial" w:cs="Arial"/>
          <w:sz w:val="24"/>
          <w:szCs w:val="24"/>
        </w:rPr>
        <w:t>. Thousand Oaks, CA: Sage.</w:t>
      </w:r>
    </w:p>
    <w:p w14:paraId="206C1691" w14:textId="381A1A61"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rPr>
        <w:t xml:space="preserve">Roy, G.S. and Devi, V.R. (2017) ‘Inclusive vs exclusive talent management’, </w:t>
      </w:r>
      <w:r w:rsidRPr="00196162">
        <w:rPr>
          <w:rFonts w:ascii="Arial" w:eastAsia="Arial" w:hAnsi="Arial" w:cs="Arial"/>
          <w:i/>
          <w:iCs/>
          <w:sz w:val="24"/>
          <w:szCs w:val="24"/>
        </w:rPr>
        <w:t>IPE Journal of Management</w:t>
      </w:r>
      <w:r w:rsidRPr="00196162">
        <w:rPr>
          <w:rFonts w:ascii="Arial" w:eastAsia="Arial" w:hAnsi="Arial" w:cs="Arial"/>
          <w:sz w:val="24"/>
          <w:szCs w:val="24"/>
        </w:rPr>
        <w:t>, 7(2), pp. 77–86.</w:t>
      </w:r>
      <w:r w:rsidR="00F829DE" w:rsidRPr="00196162">
        <w:rPr>
          <w:rFonts w:ascii="Arial" w:hAnsi="Arial" w:cs="Arial"/>
          <w:sz w:val="24"/>
          <w:szCs w:val="24"/>
        </w:rPr>
        <w:t xml:space="preserve"> </w:t>
      </w:r>
      <w:r w:rsidR="00F829DE" w:rsidRPr="00196162">
        <w:rPr>
          <w:rFonts w:ascii="Arial" w:eastAsia="Arial" w:hAnsi="Arial" w:cs="Arial"/>
          <w:sz w:val="24"/>
          <w:szCs w:val="24"/>
        </w:rPr>
        <w:t xml:space="preserve">Available at: https://www.ipeindia.org/journal </w:t>
      </w:r>
      <w:r w:rsidR="00F829DE" w:rsidRPr="00196162">
        <w:rPr>
          <w:rFonts w:ascii="Arial" w:eastAsia="Arial" w:hAnsi="Arial" w:cs="Arial"/>
          <w:i/>
          <w:iCs/>
          <w:sz w:val="24"/>
          <w:szCs w:val="24"/>
        </w:rPr>
        <w:t xml:space="preserve">(Accessed: </w:t>
      </w:r>
      <w:r w:rsidR="00F829DE" w:rsidRPr="00196162">
        <w:rPr>
          <w:rFonts w:ascii="Arial" w:eastAsia="Arial" w:hAnsi="Arial" w:cs="Arial"/>
          <w:i/>
          <w:iCs/>
          <w:sz w:val="24"/>
          <w:szCs w:val="24"/>
        </w:rPr>
        <w:t>20 October 2025</w:t>
      </w:r>
      <w:r w:rsidR="00F829DE" w:rsidRPr="00196162">
        <w:rPr>
          <w:rFonts w:ascii="Arial" w:eastAsia="Arial" w:hAnsi="Arial" w:cs="Arial"/>
          <w:i/>
          <w:iCs/>
          <w:sz w:val="24"/>
          <w:szCs w:val="24"/>
        </w:rPr>
        <w:t>)</w:t>
      </w:r>
    </w:p>
    <w:p w14:paraId="50FCA922" w14:textId="43E787CC"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rPr>
        <w:lastRenderedPageBreak/>
        <w:t xml:space="preserve">Samoliuk, N., Búnová, K. and Vojtovič, S. (2022) ‘Determinants of employee turnover in factories’, </w:t>
      </w:r>
      <w:r w:rsidRPr="00196162">
        <w:rPr>
          <w:rFonts w:ascii="Arial" w:eastAsia="Arial" w:hAnsi="Arial" w:cs="Arial"/>
          <w:i/>
          <w:iCs/>
          <w:sz w:val="24"/>
          <w:szCs w:val="24"/>
        </w:rPr>
        <w:t>Sustainability</w:t>
      </w:r>
      <w:r w:rsidRPr="00196162">
        <w:rPr>
          <w:rFonts w:ascii="Arial" w:eastAsia="Arial" w:hAnsi="Arial" w:cs="Arial"/>
          <w:sz w:val="24"/>
          <w:szCs w:val="24"/>
        </w:rPr>
        <w:t>, 14(3), pp. 1–17.</w:t>
      </w:r>
      <w:r w:rsidR="00072E8B" w:rsidRPr="00196162">
        <w:rPr>
          <w:rFonts w:ascii="Arial" w:hAnsi="Arial" w:cs="Arial"/>
          <w:sz w:val="24"/>
          <w:szCs w:val="24"/>
        </w:rPr>
        <w:t xml:space="preserve"> </w:t>
      </w:r>
      <w:r w:rsidR="00072E8B" w:rsidRPr="00196162">
        <w:rPr>
          <w:rFonts w:ascii="Arial" w:eastAsia="Arial" w:hAnsi="Arial" w:cs="Arial"/>
          <w:sz w:val="24"/>
          <w:szCs w:val="24"/>
        </w:rPr>
        <w:t>doi: 10.3390/su14031575</w:t>
      </w:r>
    </w:p>
    <w:p w14:paraId="70573758" w14:textId="77777777" w:rsidR="00544DAE" w:rsidRPr="00196162" w:rsidRDefault="00544DAE" w:rsidP="00196162">
      <w:pPr>
        <w:spacing w:before="240" w:after="240"/>
        <w:rPr>
          <w:rFonts w:ascii="Arial" w:eastAsia="Arial" w:hAnsi="Arial" w:cs="Arial"/>
          <w:sz w:val="24"/>
          <w:szCs w:val="24"/>
        </w:rPr>
      </w:pPr>
      <w:r w:rsidRPr="00196162">
        <w:rPr>
          <w:rFonts w:ascii="Arial" w:eastAsia="Arial" w:hAnsi="Arial" w:cs="Arial"/>
          <w:sz w:val="24"/>
          <w:szCs w:val="24"/>
        </w:rPr>
        <w:t xml:space="preserve">Samoliuk, N., Bilan, Y., Mishchuk, H. and Mishchuk, V. (2022) ‘Employer brand values influencing intention to join’, </w:t>
      </w:r>
      <w:r w:rsidRPr="00196162">
        <w:rPr>
          <w:rFonts w:ascii="Arial" w:eastAsia="Arial" w:hAnsi="Arial" w:cs="Arial"/>
          <w:i/>
          <w:iCs/>
          <w:sz w:val="24"/>
          <w:szCs w:val="24"/>
        </w:rPr>
        <w:t>Management &amp; Marketing</w:t>
      </w:r>
      <w:r w:rsidRPr="00196162">
        <w:rPr>
          <w:rFonts w:ascii="Arial" w:eastAsia="Arial" w:hAnsi="Arial" w:cs="Arial"/>
          <w:sz w:val="24"/>
          <w:szCs w:val="24"/>
        </w:rPr>
        <w:t>, 17(1), pp. 61–72.</w:t>
      </w:r>
      <w:r w:rsidRPr="00196162">
        <w:rPr>
          <w:rFonts w:ascii="Arial" w:eastAsia="Arial" w:hAnsi="Arial" w:cs="Arial"/>
          <w:sz w:val="24"/>
          <w:szCs w:val="24"/>
        </w:rPr>
        <w:br/>
      </w:r>
      <w:r w:rsidRPr="00010D48">
        <w:rPr>
          <w:rFonts w:ascii="Arial" w:eastAsia="Arial" w:hAnsi="Arial" w:cs="Arial"/>
          <w:sz w:val="24"/>
          <w:szCs w:val="24"/>
        </w:rPr>
        <w:t>doi:</w:t>
      </w:r>
      <w:r w:rsidRPr="00196162">
        <w:rPr>
          <w:rFonts w:ascii="Arial" w:eastAsia="Arial" w:hAnsi="Arial" w:cs="Arial"/>
          <w:sz w:val="24"/>
          <w:szCs w:val="24"/>
        </w:rPr>
        <w:t xml:space="preserve"> 10.2478/mmcks-2022-0004</w:t>
      </w:r>
    </w:p>
    <w:p w14:paraId="1FBE5489" w14:textId="252AA70C"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lang w:val="sv-SE"/>
        </w:rPr>
        <w:t xml:space="preserve">STEM UK (2023) </w:t>
      </w:r>
      <w:r w:rsidRPr="00196162">
        <w:rPr>
          <w:rFonts w:ascii="Arial" w:eastAsia="Arial" w:hAnsi="Arial" w:cs="Arial"/>
          <w:i/>
          <w:iCs/>
          <w:sz w:val="24"/>
          <w:szCs w:val="24"/>
          <w:lang w:val="sv-SE"/>
        </w:rPr>
        <w:t>STEM Skills Pipeline Report</w:t>
      </w:r>
      <w:r w:rsidRPr="00196162">
        <w:rPr>
          <w:rFonts w:ascii="Arial" w:eastAsia="Arial" w:hAnsi="Arial" w:cs="Arial"/>
          <w:sz w:val="24"/>
          <w:szCs w:val="24"/>
          <w:lang w:val="sv-SE"/>
        </w:rPr>
        <w:t xml:space="preserve">. </w:t>
      </w:r>
      <w:r w:rsidRPr="00196162">
        <w:rPr>
          <w:rFonts w:ascii="Arial" w:eastAsia="Arial" w:hAnsi="Arial" w:cs="Arial"/>
          <w:sz w:val="24"/>
          <w:szCs w:val="24"/>
        </w:rPr>
        <w:t xml:space="preserve">Available at: </w:t>
      </w:r>
      <w:hyperlink r:id="rId45">
        <w:r w:rsidRPr="00196162">
          <w:rPr>
            <w:rStyle w:val="Hyperlink"/>
            <w:rFonts w:ascii="Arial" w:eastAsia="Arial" w:hAnsi="Arial" w:cs="Arial"/>
            <w:sz w:val="24"/>
            <w:szCs w:val="24"/>
          </w:rPr>
          <w:t>https://www.stem.org.uk</w:t>
        </w:r>
      </w:hyperlink>
      <w:r w:rsidRPr="00196162">
        <w:rPr>
          <w:rFonts w:ascii="Arial" w:eastAsia="Arial" w:hAnsi="Arial" w:cs="Arial"/>
          <w:sz w:val="24"/>
          <w:szCs w:val="24"/>
        </w:rPr>
        <w:t xml:space="preserve"> (Accessed: 10 October 2024).</w:t>
      </w:r>
    </w:p>
    <w:p w14:paraId="1AAE4D8E" w14:textId="51F28838"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rPr>
        <w:t xml:space="preserve">Swailes, S. (2020) ‘Exclusive talent management: The new norm?’, </w:t>
      </w:r>
      <w:r w:rsidRPr="00196162">
        <w:rPr>
          <w:rFonts w:ascii="Arial" w:eastAsia="Arial" w:hAnsi="Arial" w:cs="Arial"/>
          <w:i/>
          <w:iCs/>
          <w:sz w:val="24"/>
          <w:szCs w:val="24"/>
        </w:rPr>
        <w:t>Human Resource Development International</w:t>
      </w:r>
      <w:r w:rsidRPr="00196162">
        <w:rPr>
          <w:rFonts w:ascii="Arial" w:eastAsia="Arial" w:hAnsi="Arial" w:cs="Arial"/>
          <w:sz w:val="24"/>
          <w:szCs w:val="24"/>
        </w:rPr>
        <w:t>, 23(1), pp. 1–11.</w:t>
      </w:r>
      <w:r w:rsidR="00010D48">
        <w:rPr>
          <w:rFonts w:ascii="Arial" w:hAnsi="Arial" w:cs="Arial"/>
          <w:b/>
          <w:bCs/>
          <w:sz w:val="24"/>
          <w:szCs w:val="24"/>
        </w:rPr>
        <w:t xml:space="preserve"> </w:t>
      </w:r>
      <w:r w:rsidR="002B7AC9" w:rsidRPr="00010D48">
        <w:rPr>
          <w:rFonts w:ascii="Arial" w:eastAsia="Arial" w:hAnsi="Arial" w:cs="Arial"/>
          <w:sz w:val="24"/>
          <w:szCs w:val="24"/>
        </w:rPr>
        <w:t>doi:</w:t>
      </w:r>
      <w:r w:rsidR="002B7AC9" w:rsidRPr="00196162">
        <w:rPr>
          <w:rFonts w:ascii="Arial" w:eastAsia="Arial" w:hAnsi="Arial" w:cs="Arial"/>
          <w:sz w:val="24"/>
          <w:szCs w:val="24"/>
        </w:rPr>
        <w:t>10.1080/13678868.2019.1578067</w:t>
      </w:r>
    </w:p>
    <w:p w14:paraId="121E25F9" w14:textId="3F6EBDA3"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rPr>
        <w:t xml:space="preserve">Talk Staff (2024) </w:t>
      </w:r>
      <w:r w:rsidRPr="00196162">
        <w:rPr>
          <w:rFonts w:ascii="Arial" w:eastAsia="Arial" w:hAnsi="Arial" w:cs="Arial"/>
          <w:i/>
          <w:iCs/>
          <w:sz w:val="24"/>
          <w:szCs w:val="24"/>
        </w:rPr>
        <w:t>CIPD Resourcing and Talent Planning Report 2024</w:t>
      </w:r>
      <w:r w:rsidRPr="00196162">
        <w:rPr>
          <w:rFonts w:ascii="Arial" w:eastAsia="Arial" w:hAnsi="Arial" w:cs="Arial"/>
          <w:sz w:val="24"/>
          <w:szCs w:val="24"/>
        </w:rPr>
        <w:t xml:space="preserve">. Available at: </w:t>
      </w:r>
      <w:hyperlink r:id="rId46">
        <w:r w:rsidRPr="00196162">
          <w:rPr>
            <w:rStyle w:val="Hyperlink"/>
            <w:rFonts w:ascii="Arial" w:eastAsia="Arial" w:hAnsi="Arial" w:cs="Arial"/>
            <w:sz w:val="24"/>
            <w:szCs w:val="24"/>
          </w:rPr>
          <w:t>https://www.talkstaff.co.uk</w:t>
        </w:r>
      </w:hyperlink>
      <w:r w:rsidRPr="00196162">
        <w:rPr>
          <w:rFonts w:ascii="Arial" w:eastAsia="Arial" w:hAnsi="Arial" w:cs="Arial"/>
          <w:sz w:val="24"/>
          <w:szCs w:val="24"/>
        </w:rPr>
        <w:t xml:space="preserve"> (Accessed: 3 October 2024).</w:t>
      </w:r>
    </w:p>
    <w:p w14:paraId="383EC7CC" w14:textId="1075A867"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rPr>
        <w:t xml:space="preserve">Talent Works (no date) </w:t>
      </w:r>
      <w:r w:rsidRPr="00196162">
        <w:rPr>
          <w:rFonts w:ascii="Arial" w:eastAsia="Arial" w:hAnsi="Arial" w:cs="Arial"/>
          <w:i/>
          <w:iCs/>
          <w:sz w:val="24"/>
          <w:szCs w:val="24"/>
        </w:rPr>
        <w:t>Improving employer brand with Glassdoor</w:t>
      </w:r>
      <w:r w:rsidRPr="00196162">
        <w:rPr>
          <w:rFonts w:ascii="Arial" w:eastAsia="Arial" w:hAnsi="Arial" w:cs="Arial"/>
          <w:sz w:val="24"/>
          <w:szCs w:val="24"/>
        </w:rPr>
        <w:t xml:space="preserve">. Available at: </w:t>
      </w:r>
      <w:hyperlink r:id="rId47">
        <w:r w:rsidRPr="00196162">
          <w:rPr>
            <w:rStyle w:val="Hyperlink"/>
            <w:rFonts w:ascii="Arial" w:eastAsia="Arial" w:hAnsi="Arial" w:cs="Arial"/>
            <w:sz w:val="24"/>
            <w:szCs w:val="24"/>
          </w:rPr>
          <w:t>https://www.talent-works.com</w:t>
        </w:r>
      </w:hyperlink>
      <w:r w:rsidRPr="00196162">
        <w:rPr>
          <w:rFonts w:ascii="Arial" w:eastAsia="Arial" w:hAnsi="Arial" w:cs="Arial"/>
          <w:sz w:val="24"/>
          <w:szCs w:val="24"/>
        </w:rPr>
        <w:t xml:space="preserve"> (Accessed: 4 November 2024).</w:t>
      </w:r>
    </w:p>
    <w:p w14:paraId="6CA68C15" w14:textId="38D4A68E"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rPr>
        <w:t>Talukdar, M. et al.</w:t>
      </w:r>
      <w:r w:rsidR="00044237" w:rsidRPr="00196162">
        <w:rPr>
          <w:rFonts w:ascii="Arial" w:eastAsia="Arial" w:hAnsi="Arial" w:cs="Arial"/>
          <w:sz w:val="24"/>
          <w:szCs w:val="24"/>
        </w:rPr>
        <w:t>,</w:t>
      </w:r>
      <w:r w:rsidRPr="00196162">
        <w:rPr>
          <w:rFonts w:ascii="Arial" w:eastAsia="Arial" w:hAnsi="Arial" w:cs="Arial"/>
          <w:sz w:val="24"/>
          <w:szCs w:val="24"/>
        </w:rPr>
        <w:t xml:space="preserve"> (2022) </w:t>
      </w:r>
      <w:r w:rsidRPr="00196162">
        <w:rPr>
          <w:rFonts w:ascii="Arial" w:eastAsia="Arial" w:hAnsi="Arial" w:cs="Arial"/>
          <w:i/>
          <w:iCs/>
          <w:sz w:val="24"/>
          <w:szCs w:val="24"/>
        </w:rPr>
        <w:t>Post-Pandemic Talent Management Models in Knowledge Organisations</w:t>
      </w:r>
      <w:r w:rsidRPr="00196162">
        <w:rPr>
          <w:rFonts w:ascii="Arial" w:eastAsia="Arial" w:hAnsi="Arial" w:cs="Arial"/>
          <w:sz w:val="24"/>
          <w:szCs w:val="24"/>
        </w:rPr>
        <w:t>. Hershey: IGI Global.</w:t>
      </w:r>
    </w:p>
    <w:p w14:paraId="56110747" w14:textId="05CB34D0" w:rsidR="5CA99B6C" w:rsidRPr="00196162" w:rsidRDefault="5CA99B6C" w:rsidP="00196162">
      <w:pPr>
        <w:spacing w:before="240" w:after="240"/>
        <w:rPr>
          <w:rFonts w:ascii="Arial" w:hAnsi="Arial" w:cs="Arial"/>
          <w:color w:val="FF0000"/>
          <w:sz w:val="24"/>
          <w:szCs w:val="24"/>
        </w:rPr>
      </w:pPr>
      <w:r w:rsidRPr="00196162">
        <w:rPr>
          <w:rFonts w:ascii="Arial" w:eastAsia="Arial" w:hAnsi="Arial" w:cs="Arial"/>
          <w:sz w:val="24"/>
          <w:szCs w:val="24"/>
        </w:rPr>
        <w:t xml:space="preserve">Tanwar, K. and Kumar, A. (2019) ‘Employer brand, person–organisation fit and employer of choice’, </w:t>
      </w:r>
      <w:r w:rsidRPr="00196162">
        <w:rPr>
          <w:rFonts w:ascii="Arial" w:eastAsia="Arial" w:hAnsi="Arial" w:cs="Arial"/>
          <w:i/>
          <w:iCs/>
          <w:sz w:val="24"/>
          <w:szCs w:val="24"/>
        </w:rPr>
        <w:t>Personnel Review</w:t>
      </w:r>
      <w:r w:rsidRPr="00196162">
        <w:rPr>
          <w:rFonts w:ascii="Arial" w:eastAsia="Arial" w:hAnsi="Arial" w:cs="Arial"/>
          <w:sz w:val="24"/>
          <w:szCs w:val="24"/>
        </w:rPr>
        <w:t>, 48(3), pp. 683–697.</w:t>
      </w:r>
      <w:r w:rsidR="00C92302" w:rsidRPr="00196162">
        <w:rPr>
          <w:rFonts w:ascii="Arial" w:hAnsi="Arial" w:cs="Arial"/>
          <w:b/>
          <w:bCs/>
          <w:sz w:val="24"/>
          <w:szCs w:val="24"/>
        </w:rPr>
        <w:t xml:space="preserve"> </w:t>
      </w:r>
      <w:r w:rsidR="00C92302" w:rsidRPr="00196162">
        <w:rPr>
          <w:rFonts w:ascii="Arial" w:eastAsia="Arial" w:hAnsi="Arial" w:cs="Arial"/>
          <w:sz w:val="24"/>
          <w:szCs w:val="24"/>
        </w:rPr>
        <w:t>doi: 10.1108/PR-10-2017-0299</w:t>
      </w:r>
    </w:p>
    <w:p w14:paraId="48FB6971" w14:textId="2FB19CB0"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rPr>
        <w:t xml:space="preserve">Taylor, S. (2021) </w:t>
      </w:r>
      <w:r w:rsidRPr="00196162">
        <w:rPr>
          <w:rFonts w:ascii="Arial" w:eastAsia="Arial" w:hAnsi="Arial" w:cs="Arial"/>
          <w:i/>
          <w:iCs/>
          <w:sz w:val="24"/>
          <w:szCs w:val="24"/>
        </w:rPr>
        <w:t>Resourcing and talent management: Theory and practice</w:t>
      </w:r>
      <w:r w:rsidRPr="00196162">
        <w:rPr>
          <w:rFonts w:ascii="Arial" w:eastAsia="Arial" w:hAnsi="Arial" w:cs="Arial"/>
          <w:sz w:val="24"/>
          <w:szCs w:val="24"/>
        </w:rPr>
        <w:t>. 7th edn. London: Kogan Page.</w:t>
      </w:r>
    </w:p>
    <w:p w14:paraId="3D208057" w14:textId="5AEAE53F"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rPr>
        <w:t xml:space="preserve">Taylor, S. (2022) </w:t>
      </w:r>
      <w:r w:rsidRPr="00196162">
        <w:rPr>
          <w:rFonts w:ascii="Arial" w:eastAsia="Arial" w:hAnsi="Arial" w:cs="Arial"/>
          <w:i/>
          <w:iCs/>
          <w:sz w:val="24"/>
          <w:szCs w:val="24"/>
        </w:rPr>
        <w:t>Resourcing and talent management</w:t>
      </w:r>
      <w:r w:rsidRPr="00196162">
        <w:rPr>
          <w:rFonts w:ascii="Arial" w:eastAsia="Arial" w:hAnsi="Arial" w:cs="Arial"/>
          <w:sz w:val="24"/>
          <w:szCs w:val="24"/>
        </w:rPr>
        <w:t>. 8th edn. London: Kogan Page.</w:t>
      </w:r>
    </w:p>
    <w:p w14:paraId="71AA04BE" w14:textId="676FD1A7"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rPr>
        <w:t xml:space="preserve">Taylor, S. and Woodhams, C. (2022) </w:t>
      </w:r>
      <w:r w:rsidRPr="00196162">
        <w:rPr>
          <w:rFonts w:ascii="Arial" w:eastAsia="Arial" w:hAnsi="Arial" w:cs="Arial"/>
          <w:i/>
          <w:iCs/>
          <w:sz w:val="24"/>
          <w:szCs w:val="24"/>
        </w:rPr>
        <w:t>Human resource management: People and organisations</w:t>
      </w:r>
      <w:r w:rsidRPr="00196162">
        <w:rPr>
          <w:rFonts w:ascii="Arial" w:eastAsia="Arial" w:hAnsi="Arial" w:cs="Arial"/>
          <w:sz w:val="24"/>
          <w:szCs w:val="24"/>
        </w:rPr>
        <w:t>. 3rd edn. London: Kogan Page.</w:t>
      </w:r>
    </w:p>
    <w:p w14:paraId="08EC1256" w14:textId="21F0A1D3" w:rsidR="5CA99B6C" w:rsidRPr="00196162" w:rsidRDefault="5CA99B6C" w:rsidP="00196162">
      <w:pPr>
        <w:spacing w:before="240" w:after="240"/>
        <w:rPr>
          <w:rFonts w:ascii="Arial" w:hAnsi="Arial" w:cs="Arial"/>
          <w:color w:val="FF0000"/>
          <w:sz w:val="24"/>
          <w:szCs w:val="24"/>
        </w:rPr>
      </w:pPr>
      <w:r w:rsidRPr="00196162">
        <w:rPr>
          <w:rFonts w:ascii="Arial" w:eastAsia="Arial" w:hAnsi="Arial" w:cs="Arial"/>
          <w:sz w:val="24"/>
          <w:szCs w:val="24"/>
        </w:rPr>
        <w:t xml:space="preserve">Tenekwah, E.S. (2024) ‘Winning the war for talent’, </w:t>
      </w:r>
      <w:r w:rsidRPr="00196162">
        <w:rPr>
          <w:rFonts w:ascii="Arial" w:eastAsia="Arial" w:hAnsi="Arial" w:cs="Arial"/>
          <w:i/>
          <w:iCs/>
          <w:sz w:val="24"/>
          <w:szCs w:val="24"/>
        </w:rPr>
        <w:t>Strategic HR Review</w:t>
      </w:r>
      <w:r w:rsidRPr="00196162">
        <w:rPr>
          <w:rFonts w:ascii="Arial" w:eastAsia="Arial" w:hAnsi="Arial" w:cs="Arial"/>
          <w:sz w:val="24"/>
          <w:szCs w:val="24"/>
        </w:rPr>
        <w:t>, 23(5), pp. 192–195.</w:t>
      </w:r>
      <w:r w:rsidR="005A7AB6" w:rsidRPr="00196162">
        <w:rPr>
          <w:rFonts w:ascii="Arial" w:hAnsi="Arial" w:cs="Arial"/>
          <w:sz w:val="24"/>
          <w:szCs w:val="24"/>
        </w:rPr>
        <w:t xml:space="preserve"> </w:t>
      </w:r>
      <w:r w:rsidR="005A7AB6" w:rsidRPr="00196162">
        <w:rPr>
          <w:rFonts w:ascii="Arial" w:eastAsia="Arial" w:hAnsi="Arial" w:cs="Arial"/>
          <w:sz w:val="24"/>
          <w:szCs w:val="24"/>
        </w:rPr>
        <w:t>doi: 10.1108/SHR-05-2023-0036</w:t>
      </w:r>
    </w:p>
    <w:p w14:paraId="00728167" w14:textId="4A02BEF9"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rPr>
        <w:t xml:space="preserve">The King’s Fund (2023) </w:t>
      </w:r>
      <w:r w:rsidRPr="00196162">
        <w:rPr>
          <w:rFonts w:ascii="Arial" w:eastAsia="Arial" w:hAnsi="Arial" w:cs="Arial"/>
          <w:i/>
          <w:iCs/>
          <w:sz w:val="24"/>
          <w:szCs w:val="24"/>
        </w:rPr>
        <w:t>The NHS Long Term Workforce Plan explained</w:t>
      </w:r>
      <w:r w:rsidRPr="00196162">
        <w:rPr>
          <w:rFonts w:ascii="Arial" w:eastAsia="Arial" w:hAnsi="Arial" w:cs="Arial"/>
          <w:sz w:val="24"/>
          <w:szCs w:val="24"/>
        </w:rPr>
        <w:t xml:space="preserve">. Available at: </w:t>
      </w:r>
      <w:hyperlink r:id="rId48">
        <w:r w:rsidRPr="00196162">
          <w:rPr>
            <w:rStyle w:val="Hyperlink"/>
            <w:rFonts w:ascii="Arial" w:eastAsia="Arial" w:hAnsi="Arial" w:cs="Arial"/>
            <w:sz w:val="24"/>
            <w:szCs w:val="24"/>
          </w:rPr>
          <w:t>https://www.kingsfund.org.uk</w:t>
        </w:r>
      </w:hyperlink>
      <w:r w:rsidRPr="00196162">
        <w:rPr>
          <w:rFonts w:ascii="Arial" w:eastAsia="Arial" w:hAnsi="Arial" w:cs="Arial"/>
          <w:sz w:val="24"/>
          <w:szCs w:val="24"/>
        </w:rPr>
        <w:t xml:space="preserve"> (Accessed: 25 October 2024).</w:t>
      </w:r>
    </w:p>
    <w:p w14:paraId="2480979A" w14:textId="33130B08"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rPr>
        <w:t xml:space="preserve">Troldan, I. (2024) ‘Five ways L&amp;D leaders can use AI in learning’, </w:t>
      </w:r>
      <w:r w:rsidRPr="00196162">
        <w:rPr>
          <w:rFonts w:ascii="Arial" w:eastAsia="Arial" w:hAnsi="Arial" w:cs="Arial"/>
          <w:i/>
          <w:iCs/>
          <w:sz w:val="24"/>
          <w:szCs w:val="24"/>
        </w:rPr>
        <w:t>People Management</w:t>
      </w:r>
      <w:r w:rsidRPr="00196162">
        <w:rPr>
          <w:rFonts w:ascii="Arial" w:eastAsia="Arial" w:hAnsi="Arial" w:cs="Arial"/>
          <w:sz w:val="24"/>
          <w:szCs w:val="24"/>
        </w:rPr>
        <w:t xml:space="preserve">. Available at: </w:t>
      </w:r>
      <w:hyperlink r:id="rId49">
        <w:r w:rsidRPr="00196162">
          <w:rPr>
            <w:rStyle w:val="Hyperlink"/>
            <w:rFonts w:ascii="Arial" w:eastAsia="Arial" w:hAnsi="Arial" w:cs="Arial"/>
            <w:sz w:val="24"/>
            <w:szCs w:val="24"/>
          </w:rPr>
          <w:t>https://www.peoplemanagement.co.uk</w:t>
        </w:r>
      </w:hyperlink>
      <w:r w:rsidRPr="00196162">
        <w:rPr>
          <w:rFonts w:ascii="Arial" w:eastAsia="Arial" w:hAnsi="Arial" w:cs="Arial"/>
          <w:sz w:val="24"/>
          <w:szCs w:val="24"/>
        </w:rPr>
        <w:t xml:space="preserve"> (Accessed: 17 October 2024).</w:t>
      </w:r>
    </w:p>
    <w:p w14:paraId="1B7373AE" w14:textId="77777777" w:rsidR="005A7AB6" w:rsidRPr="00196162" w:rsidRDefault="5CA99B6C" w:rsidP="00196162">
      <w:pPr>
        <w:spacing w:before="240" w:after="240"/>
        <w:rPr>
          <w:rFonts w:ascii="Arial" w:eastAsia="Arial" w:hAnsi="Arial" w:cs="Arial"/>
          <w:sz w:val="24"/>
          <w:szCs w:val="24"/>
        </w:rPr>
      </w:pPr>
      <w:r w:rsidRPr="00196162">
        <w:rPr>
          <w:rFonts w:ascii="Arial" w:eastAsia="Arial" w:hAnsi="Arial" w:cs="Arial"/>
          <w:sz w:val="24"/>
          <w:szCs w:val="24"/>
        </w:rPr>
        <w:t xml:space="preserve">Tshetshema, C. and Chan, K.Y. (2020) ‘Demographic diversity and innovation performance’, </w:t>
      </w:r>
      <w:r w:rsidRPr="00196162">
        <w:rPr>
          <w:rFonts w:ascii="Arial" w:eastAsia="Arial" w:hAnsi="Arial" w:cs="Arial"/>
          <w:i/>
          <w:iCs/>
          <w:sz w:val="24"/>
          <w:szCs w:val="24"/>
        </w:rPr>
        <w:t>Technology Analysis &amp; Strategic Management</w:t>
      </w:r>
      <w:r w:rsidRPr="00196162">
        <w:rPr>
          <w:rFonts w:ascii="Arial" w:eastAsia="Arial" w:hAnsi="Arial" w:cs="Arial"/>
          <w:sz w:val="24"/>
          <w:szCs w:val="24"/>
        </w:rPr>
        <w:t>, 32(8), pp. 955–967.</w:t>
      </w:r>
      <w:r w:rsidR="005A7AB6" w:rsidRPr="00196162">
        <w:rPr>
          <w:rFonts w:ascii="Arial" w:hAnsi="Arial" w:cs="Arial"/>
          <w:b/>
          <w:bCs/>
          <w:sz w:val="24"/>
          <w:szCs w:val="24"/>
        </w:rPr>
        <w:t xml:space="preserve"> </w:t>
      </w:r>
      <w:r w:rsidR="005A7AB6" w:rsidRPr="00010D48">
        <w:rPr>
          <w:rFonts w:ascii="Arial" w:eastAsia="Arial" w:hAnsi="Arial" w:cs="Arial"/>
          <w:sz w:val="24"/>
          <w:szCs w:val="24"/>
        </w:rPr>
        <w:t>doi:</w:t>
      </w:r>
      <w:r w:rsidR="005A7AB6" w:rsidRPr="00196162">
        <w:rPr>
          <w:rFonts w:ascii="Arial" w:eastAsia="Arial" w:hAnsi="Arial" w:cs="Arial"/>
          <w:sz w:val="24"/>
          <w:szCs w:val="24"/>
        </w:rPr>
        <w:t xml:space="preserve"> 10.1080/09537325.2019.1676883</w:t>
      </w:r>
    </w:p>
    <w:p w14:paraId="2C0C564B" w14:textId="1C87A937"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rPr>
        <w:lastRenderedPageBreak/>
        <w:t xml:space="preserve">Wakefield, J. (2022) ‘Meta moves to tackle behaviour in the metaverse’, </w:t>
      </w:r>
      <w:r w:rsidRPr="00196162">
        <w:rPr>
          <w:rFonts w:ascii="Arial" w:eastAsia="Arial" w:hAnsi="Arial" w:cs="Arial"/>
          <w:i/>
          <w:iCs/>
          <w:sz w:val="24"/>
          <w:szCs w:val="24"/>
        </w:rPr>
        <w:t>BBC News</w:t>
      </w:r>
      <w:r w:rsidRPr="00196162">
        <w:rPr>
          <w:rFonts w:ascii="Arial" w:eastAsia="Arial" w:hAnsi="Arial" w:cs="Arial"/>
          <w:sz w:val="24"/>
          <w:szCs w:val="24"/>
        </w:rPr>
        <w:t xml:space="preserve">. Available at: </w:t>
      </w:r>
      <w:hyperlink r:id="rId50">
        <w:r w:rsidRPr="00196162">
          <w:rPr>
            <w:rStyle w:val="Hyperlink"/>
            <w:rFonts w:ascii="Arial" w:eastAsia="Arial" w:hAnsi="Arial" w:cs="Arial"/>
            <w:sz w:val="24"/>
            <w:szCs w:val="24"/>
          </w:rPr>
          <w:t>https://www.bbc.co.uk/news/technology</w:t>
        </w:r>
      </w:hyperlink>
      <w:r w:rsidRPr="00196162">
        <w:rPr>
          <w:rFonts w:ascii="Arial" w:eastAsia="Arial" w:hAnsi="Arial" w:cs="Arial"/>
          <w:sz w:val="24"/>
          <w:szCs w:val="24"/>
        </w:rPr>
        <w:t xml:space="preserve"> (Accessed: 16 October 2024).</w:t>
      </w:r>
    </w:p>
    <w:p w14:paraId="05FCD71F" w14:textId="220C31B6" w:rsidR="5CA99B6C" w:rsidRPr="00196162" w:rsidRDefault="5CA99B6C" w:rsidP="00196162">
      <w:pPr>
        <w:spacing w:before="240" w:after="240"/>
        <w:rPr>
          <w:rFonts w:ascii="Arial" w:hAnsi="Arial" w:cs="Arial"/>
          <w:sz w:val="24"/>
          <w:szCs w:val="24"/>
        </w:rPr>
      </w:pPr>
      <w:r w:rsidRPr="00196162">
        <w:rPr>
          <w:rFonts w:ascii="Arial" w:eastAsia="Arial" w:hAnsi="Arial" w:cs="Arial"/>
          <w:sz w:val="24"/>
          <w:szCs w:val="24"/>
        </w:rPr>
        <w:t xml:space="preserve">Welsh Government (2024) </w:t>
      </w:r>
      <w:r w:rsidRPr="00196162">
        <w:rPr>
          <w:rFonts w:ascii="Arial" w:eastAsia="Arial" w:hAnsi="Arial" w:cs="Arial"/>
          <w:i/>
          <w:iCs/>
          <w:sz w:val="24"/>
          <w:szCs w:val="24"/>
        </w:rPr>
        <w:t>Rurality Classification and Labour Market Profiles</w:t>
      </w:r>
      <w:r w:rsidRPr="00196162">
        <w:rPr>
          <w:rFonts w:ascii="Arial" w:eastAsia="Arial" w:hAnsi="Arial" w:cs="Arial"/>
          <w:sz w:val="24"/>
          <w:szCs w:val="24"/>
        </w:rPr>
        <w:t xml:space="preserve">. Available at: </w:t>
      </w:r>
      <w:hyperlink r:id="rId51">
        <w:r w:rsidRPr="00196162">
          <w:rPr>
            <w:rStyle w:val="Hyperlink"/>
            <w:rFonts w:ascii="Arial" w:eastAsia="Arial" w:hAnsi="Arial" w:cs="Arial"/>
            <w:sz w:val="24"/>
            <w:szCs w:val="24"/>
          </w:rPr>
          <w:t>https://www.gov.wales</w:t>
        </w:r>
      </w:hyperlink>
      <w:r w:rsidRPr="00196162">
        <w:rPr>
          <w:rFonts w:ascii="Arial" w:eastAsia="Arial" w:hAnsi="Arial" w:cs="Arial"/>
          <w:sz w:val="24"/>
          <w:szCs w:val="24"/>
        </w:rPr>
        <w:t xml:space="preserve"> (Accessed: 20 February 2025).</w:t>
      </w:r>
    </w:p>
    <w:p w14:paraId="424C9E73" w14:textId="5BEB938A" w:rsidR="283FD3C0" w:rsidRPr="00196162" w:rsidRDefault="283FD3C0" w:rsidP="00196162">
      <w:pPr>
        <w:spacing w:before="240" w:after="240"/>
        <w:rPr>
          <w:rFonts w:ascii="Arial" w:eastAsia="Arial" w:hAnsi="Arial" w:cs="Arial"/>
          <w:sz w:val="24"/>
          <w:szCs w:val="24"/>
        </w:rPr>
      </w:pPr>
    </w:p>
    <w:p w14:paraId="78EBE0B3" w14:textId="523B009A" w:rsidR="283FD3C0" w:rsidRPr="00196162" w:rsidRDefault="283FD3C0" w:rsidP="00196162">
      <w:pPr>
        <w:spacing w:before="240" w:after="240"/>
        <w:rPr>
          <w:rFonts w:ascii="Arial" w:eastAsia="Arial" w:hAnsi="Arial" w:cs="Arial"/>
          <w:sz w:val="24"/>
          <w:szCs w:val="24"/>
        </w:rPr>
      </w:pPr>
    </w:p>
    <w:p w14:paraId="1E9F23EA" w14:textId="4401D327" w:rsidR="283FD3C0" w:rsidRPr="00196162" w:rsidRDefault="283FD3C0" w:rsidP="00196162">
      <w:pPr>
        <w:spacing w:before="240" w:after="240"/>
        <w:rPr>
          <w:rFonts w:ascii="Arial" w:eastAsia="Arial" w:hAnsi="Arial" w:cs="Arial"/>
          <w:sz w:val="24"/>
          <w:szCs w:val="24"/>
        </w:rPr>
      </w:pPr>
    </w:p>
    <w:p w14:paraId="46B04D1B" w14:textId="5608F39B" w:rsidR="00372A4C" w:rsidRPr="00196162" w:rsidRDefault="00372A4C" w:rsidP="00196162">
      <w:pPr>
        <w:rPr>
          <w:rFonts w:ascii="Arial" w:eastAsia="Arial" w:hAnsi="Arial" w:cs="Arial"/>
          <w:sz w:val="24"/>
          <w:szCs w:val="24"/>
        </w:rPr>
      </w:pPr>
      <w:r w:rsidRPr="00196162">
        <w:rPr>
          <w:rFonts w:ascii="Arial" w:eastAsia="Arial" w:hAnsi="Arial" w:cs="Arial"/>
          <w:sz w:val="24"/>
          <w:szCs w:val="24"/>
        </w:rPr>
        <w:br w:type="page"/>
      </w:r>
    </w:p>
    <w:p w14:paraId="30766CD5" w14:textId="77777777" w:rsidR="283FD3C0" w:rsidRPr="001836AD" w:rsidRDefault="283FD3C0" w:rsidP="001836AD">
      <w:pPr>
        <w:spacing w:before="240" w:after="240"/>
        <w:jc w:val="both"/>
        <w:rPr>
          <w:rFonts w:ascii="Arial" w:eastAsia="Arial" w:hAnsi="Arial" w:cs="Arial"/>
          <w:sz w:val="24"/>
          <w:szCs w:val="24"/>
        </w:rPr>
      </w:pPr>
    </w:p>
    <w:p w14:paraId="00B62752" w14:textId="04FA0A85" w:rsidR="5CA99B6C" w:rsidRPr="001836AD" w:rsidRDefault="5CA99B6C" w:rsidP="001836AD">
      <w:pPr>
        <w:pStyle w:val="Heading1"/>
        <w:jc w:val="both"/>
        <w:rPr>
          <w:rFonts w:ascii="Arial" w:eastAsia="Arial" w:hAnsi="Arial" w:cs="Arial"/>
          <w:sz w:val="24"/>
          <w:szCs w:val="24"/>
        </w:rPr>
      </w:pPr>
      <w:bookmarkStart w:id="24" w:name="_Toc216002775"/>
      <w:r w:rsidRPr="001836AD">
        <w:rPr>
          <w:rFonts w:ascii="Arial" w:eastAsia="Arial" w:hAnsi="Arial" w:cs="Arial"/>
          <w:sz w:val="24"/>
          <w:szCs w:val="24"/>
        </w:rPr>
        <w:t>8.0 Appendix</w:t>
      </w:r>
      <w:bookmarkEnd w:id="24"/>
    </w:p>
    <w:p w14:paraId="22011BB8" w14:textId="5E77F403" w:rsidR="283FD3C0" w:rsidRDefault="283FD3C0" w:rsidP="001836AD">
      <w:pPr>
        <w:pStyle w:val="ListParagraph"/>
        <w:ind w:left="360"/>
        <w:jc w:val="both"/>
        <w:rPr>
          <w:rFonts w:ascii="Arial" w:eastAsia="Arial" w:hAnsi="Arial" w:cs="Arial"/>
          <w:sz w:val="24"/>
          <w:szCs w:val="24"/>
        </w:rPr>
      </w:pPr>
    </w:p>
    <w:p w14:paraId="3E5C968B" w14:textId="12C8F522" w:rsidR="005F7BB0" w:rsidRPr="000A04F7" w:rsidRDefault="005F7BB0" w:rsidP="000A04F7">
      <w:pPr>
        <w:pStyle w:val="Heading2"/>
        <w:rPr>
          <w:rFonts w:ascii="Arial" w:hAnsi="Arial" w:cs="Arial"/>
          <w:sz w:val="24"/>
          <w:szCs w:val="24"/>
        </w:rPr>
      </w:pPr>
      <w:bookmarkStart w:id="25" w:name="_Toc216002776"/>
      <w:r w:rsidRPr="000A04F7">
        <w:rPr>
          <w:rFonts w:ascii="Arial" w:hAnsi="Arial" w:cs="Arial"/>
          <w:sz w:val="24"/>
          <w:szCs w:val="24"/>
        </w:rPr>
        <w:t>Appendix 1</w:t>
      </w:r>
      <w:bookmarkEnd w:id="25"/>
      <w:r w:rsidRPr="000A04F7">
        <w:rPr>
          <w:rFonts w:ascii="Arial" w:hAnsi="Arial" w:cs="Arial"/>
          <w:sz w:val="24"/>
          <w:szCs w:val="24"/>
        </w:rPr>
        <w:t xml:space="preserve"> </w:t>
      </w:r>
    </w:p>
    <w:tbl>
      <w:tblPr>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6A0" w:firstRow="1" w:lastRow="0" w:firstColumn="1" w:lastColumn="0" w:noHBand="1" w:noVBand="1"/>
      </w:tblPr>
      <w:tblGrid>
        <w:gridCol w:w="1998"/>
        <w:gridCol w:w="1765"/>
        <w:gridCol w:w="1601"/>
        <w:gridCol w:w="1751"/>
        <w:gridCol w:w="1881"/>
      </w:tblGrid>
      <w:tr w:rsidR="283FD3C0" w:rsidRPr="001836AD" w14:paraId="04CE09EF" w14:textId="77777777" w:rsidTr="283FD3C0">
        <w:trPr>
          <w:trHeight w:val="300"/>
        </w:trPr>
        <w:tc>
          <w:tcPr>
            <w:tcW w:w="2106" w:type="dxa"/>
            <w:vAlign w:val="center"/>
          </w:tcPr>
          <w:p w14:paraId="3B039177" w14:textId="04AA5646" w:rsidR="283FD3C0" w:rsidRPr="001836AD" w:rsidRDefault="283FD3C0" w:rsidP="001836AD">
            <w:pPr>
              <w:spacing w:after="0"/>
              <w:jc w:val="both"/>
              <w:rPr>
                <w:rFonts w:ascii="Arial" w:eastAsia="Arial" w:hAnsi="Arial" w:cs="Arial"/>
                <w:b/>
                <w:bCs/>
                <w:sz w:val="24"/>
                <w:szCs w:val="24"/>
              </w:rPr>
            </w:pPr>
            <w:r w:rsidRPr="001836AD">
              <w:rPr>
                <w:rFonts w:ascii="Arial" w:eastAsia="Arial" w:hAnsi="Arial" w:cs="Arial"/>
                <w:b/>
                <w:bCs/>
                <w:sz w:val="24"/>
                <w:szCs w:val="24"/>
              </w:rPr>
              <w:t>Indicator</w:t>
            </w:r>
          </w:p>
        </w:tc>
        <w:tc>
          <w:tcPr>
            <w:tcW w:w="1772" w:type="dxa"/>
            <w:vAlign w:val="center"/>
          </w:tcPr>
          <w:p w14:paraId="2EE250FA" w14:textId="4002D054" w:rsidR="283FD3C0" w:rsidRPr="001836AD" w:rsidRDefault="283FD3C0" w:rsidP="001836AD">
            <w:pPr>
              <w:spacing w:after="0"/>
              <w:jc w:val="both"/>
              <w:rPr>
                <w:rFonts w:ascii="Arial" w:eastAsia="Arial" w:hAnsi="Arial" w:cs="Arial"/>
                <w:b/>
                <w:bCs/>
                <w:sz w:val="24"/>
                <w:szCs w:val="24"/>
              </w:rPr>
            </w:pPr>
            <w:r w:rsidRPr="001836AD">
              <w:rPr>
                <w:rFonts w:ascii="Arial" w:eastAsia="Arial" w:hAnsi="Arial" w:cs="Arial"/>
                <w:b/>
                <w:bCs/>
                <w:sz w:val="24"/>
                <w:szCs w:val="24"/>
              </w:rPr>
              <w:t>Ceredigion</w:t>
            </w:r>
          </w:p>
        </w:tc>
        <w:tc>
          <w:tcPr>
            <w:tcW w:w="1699" w:type="dxa"/>
            <w:vAlign w:val="center"/>
          </w:tcPr>
          <w:p w14:paraId="3F836F25" w14:textId="14F34CEF" w:rsidR="283FD3C0" w:rsidRPr="001836AD" w:rsidRDefault="283FD3C0" w:rsidP="001836AD">
            <w:pPr>
              <w:spacing w:after="0"/>
              <w:jc w:val="both"/>
              <w:rPr>
                <w:rFonts w:ascii="Arial" w:eastAsia="Arial" w:hAnsi="Arial" w:cs="Arial"/>
                <w:b/>
                <w:bCs/>
                <w:sz w:val="24"/>
                <w:szCs w:val="24"/>
              </w:rPr>
            </w:pPr>
            <w:r w:rsidRPr="001836AD">
              <w:rPr>
                <w:rFonts w:ascii="Arial" w:eastAsia="Arial" w:hAnsi="Arial" w:cs="Arial"/>
                <w:b/>
                <w:bCs/>
                <w:sz w:val="24"/>
                <w:szCs w:val="24"/>
              </w:rPr>
              <w:t>Wales (Average)</w:t>
            </w:r>
          </w:p>
        </w:tc>
        <w:tc>
          <w:tcPr>
            <w:tcW w:w="1307" w:type="dxa"/>
            <w:vAlign w:val="center"/>
          </w:tcPr>
          <w:p w14:paraId="0B089FD1" w14:textId="55776CD2" w:rsidR="283FD3C0" w:rsidRPr="001836AD" w:rsidRDefault="283FD3C0" w:rsidP="001836AD">
            <w:pPr>
              <w:spacing w:after="0"/>
              <w:jc w:val="both"/>
              <w:rPr>
                <w:rFonts w:ascii="Arial" w:eastAsia="Arial" w:hAnsi="Arial" w:cs="Arial"/>
                <w:b/>
                <w:bCs/>
                <w:sz w:val="24"/>
                <w:szCs w:val="24"/>
              </w:rPr>
            </w:pPr>
            <w:r w:rsidRPr="001836AD">
              <w:rPr>
                <w:rFonts w:ascii="Arial" w:eastAsia="Arial" w:hAnsi="Arial" w:cs="Arial"/>
                <w:b/>
                <w:bCs/>
                <w:sz w:val="24"/>
                <w:szCs w:val="24"/>
              </w:rPr>
              <w:t>England (Average)</w:t>
            </w:r>
          </w:p>
        </w:tc>
        <w:tc>
          <w:tcPr>
            <w:tcW w:w="2131" w:type="dxa"/>
            <w:vAlign w:val="center"/>
          </w:tcPr>
          <w:p w14:paraId="10B1E321" w14:textId="1AB6E281" w:rsidR="283FD3C0" w:rsidRPr="001836AD" w:rsidRDefault="283FD3C0" w:rsidP="001836AD">
            <w:pPr>
              <w:spacing w:after="0"/>
              <w:jc w:val="both"/>
              <w:rPr>
                <w:rFonts w:ascii="Arial" w:eastAsia="Arial" w:hAnsi="Arial" w:cs="Arial"/>
                <w:b/>
                <w:bCs/>
                <w:sz w:val="24"/>
                <w:szCs w:val="24"/>
              </w:rPr>
            </w:pPr>
            <w:r w:rsidRPr="001836AD">
              <w:rPr>
                <w:rFonts w:ascii="Arial" w:eastAsia="Arial" w:hAnsi="Arial" w:cs="Arial"/>
                <w:b/>
                <w:bCs/>
                <w:sz w:val="24"/>
                <w:szCs w:val="24"/>
              </w:rPr>
              <w:t>Source</w:t>
            </w:r>
          </w:p>
        </w:tc>
      </w:tr>
      <w:tr w:rsidR="283FD3C0" w:rsidRPr="001836AD" w14:paraId="77CF3F9A" w14:textId="77777777" w:rsidTr="283FD3C0">
        <w:trPr>
          <w:trHeight w:val="300"/>
        </w:trPr>
        <w:tc>
          <w:tcPr>
            <w:tcW w:w="2106" w:type="dxa"/>
            <w:vAlign w:val="center"/>
          </w:tcPr>
          <w:p w14:paraId="4B2C971D" w14:textId="6FF2646B" w:rsidR="283FD3C0" w:rsidRPr="001836AD" w:rsidRDefault="283FD3C0" w:rsidP="001836AD">
            <w:pPr>
              <w:spacing w:after="0"/>
              <w:jc w:val="both"/>
              <w:rPr>
                <w:rFonts w:ascii="Arial" w:eastAsia="Arial" w:hAnsi="Arial" w:cs="Arial"/>
                <w:b/>
                <w:bCs/>
                <w:sz w:val="24"/>
                <w:szCs w:val="24"/>
              </w:rPr>
            </w:pPr>
            <w:r w:rsidRPr="001836AD">
              <w:rPr>
                <w:rFonts w:ascii="Arial" w:eastAsia="Arial" w:hAnsi="Arial" w:cs="Arial"/>
                <w:b/>
                <w:bCs/>
                <w:sz w:val="24"/>
                <w:szCs w:val="24"/>
              </w:rPr>
              <w:t>Population (2021)</w:t>
            </w:r>
          </w:p>
        </w:tc>
        <w:tc>
          <w:tcPr>
            <w:tcW w:w="1772" w:type="dxa"/>
            <w:vAlign w:val="center"/>
          </w:tcPr>
          <w:p w14:paraId="492BC443" w14:textId="27DEBB98" w:rsidR="283FD3C0" w:rsidRPr="001836AD" w:rsidRDefault="283FD3C0" w:rsidP="001836AD">
            <w:pPr>
              <w:spacing w:after="0"/>
              <w:jc w:val="both"/>
              <w:rPr>
                <w:rFonts w:ascii="Arial" w:eastAsia="Arial" w:hAnsi="Arial" w:cs="Arial"/>
                <w:sz w:val="24"/>
                <w:szCs w:val="24"/>
              </w:rPr>
            </w:pPr>
            <w:r w:rsidRPr="001836AD">
              <w:rPr>
                <w:rFonts w:ascii="Arial" w:eastAsia="Arial" w:hAnsi="Arial" w:cs="Arial"/>
                <w:sz w:val="24"/>
                <w:szCs w:val="24"/>
              </w:rPr>
              <w:t>71,475</w:t>
            </w:r>
          </w:p>
        </w:tc>
        <w:tc>
          <w:tcPr>
            <w:tcW w:w="1699" w:type="dxa"/>
            <w:vAlign w:val="center"/>
          </w:tcPr>
          <w:p w14:paraId="28912EDE" w14:textId="02F185B2" w:rsidR="283FD3C0" w:rsidRPr="001836AD" w:rsidRDefault="283FD3C0" w:rsidP="001836AD">
            <w:pPr>
              <w:spacing w:after="0"/>
              <w:jc w:val="both"/>
              <w:rPr>
                <w:rFonts w:ascii="Arial" w:eastAsia="Arial" w:hAnsi="Arial" w:cs="Arial"/>
                <w:sz w:val="24"/>
                <w:szCs w:val="24"/>
              </w:rPr>
            </w:pPr>
            <w:r w:rsidRPr="001836AD">
              <w:rPr>
                <w:rFonts w:ascii="Arial" w:eastAsia="Arial" w:hAnsi="Arial" w:cs="Arial"/>
                <w:sz w:val="24"/>
                <w:szCs w:val="24"/>
              </w:rPr>
              <w:t>3.1 million</w:t>
            </w:r>
          </w:p>
        </w:tc>
        <w:tc>
          <w:tcPr>
            <w:tcW w:w="1307" w:type="dxa"/>
            <w:vAlign w:val="center"/>
          </w:tcPr>
          <w:p w14:paraId="6D003F0F" w14:textId="3EBFD042" w:rsidR="283FD3C0" w:rsidRPr="001836AD" w:rsidRDefault="283FD3C0" w:rsidP="001836AD">
            <w:pPr>
              <w:spacing w:after="0"/>
              <w:jc w:val="both"/>
              <w:rPr>
                <w:rFonts w:ascii="Arial" w:eastAsia="Arial" w:hAnsi="Arial" w:cs="Arial"/>
                <w:sz w:val="24"/>
                <w:szCs w:val="24"/>
              </w:rPr>
            </w:pPr>
            <w:r w:rsidRPr="001836AD">
              <w:rPr>
                <w:rFonts w:ascii="Arial" w:eastAsia="Arial" w:hAnsi="Arial" w:cs="Arial"/>
                <w:sz w:val="24"/>
                <w:szCs w:val="24"/>
              </w:rPr>
              <w:t>56.5 million</w:t>
            </w:r>
          </w:p>
        </w:tc>
        <w:tc>
          <w:tcPr>
            <w:tcW w:w="2131" w:type="dxa"/>
            <w:vAlign w:val="center"/>
          </w:tcPr>
          <w:p w14:paraId="7E4892A8" w14:textId="15CC38E6" w:rsidR="283FD3C0" w:rsidRPr="001836AD" w:rsidRDefault="283FD3C0" w:rsidP="001836AD">
            <w:pPr>
              <w:spacing w:after="0"/>
              <w:jc w:val="both"/>
              <w:rPr>
                <w:rFonts w:ascii="Arial" w:eastAsia="Arial" w:hAnsi="Arial" w:cs="Arial"/>
                <w:sz w:val="24"/>
                <w:szCs w:val="24"/>
              </w:rPr>
            </w:pPr>
            <w:r w:rsidRPr="001836AD">
              <w:rPr>
                <w:rFonts w:ascii="Arial" w:eastAsia="Arial" w:hAnsi="Arial" w:cs="Arial"/>
                <w:sz w:val="24"/>
                <w:szCs w:val="24"/>
              </w:rPr>
              <w:t>ONS Census (2021)</w:t>
            </w:r>
          </w:p>
        </w:tc>
      </w:tr>
      <w:tr w:rsidR="283FD3C0" w:rsidRPr="001836AD" w14:paraId="7BDF2511" w14:textId="77777777" w:rsidTr="283FD3C0">
        <w:trPr>
          <w:trHeight w:val="300"/>
        </w:trPr>
        <w:tc>
          <w:tcPr>
            <w:tcW w:w="2106" w:type="dxa"/>
            <w:vAlign w:val="center"/>
          </w:tcPr>
          <w:p w14:paraId="7C247A5F" w14:textId="27FA3BBC" w:rsidR="283FD3C0" w:rsidRPr="001836AD" w:rsidRDefault="283FD3C0" w:rsidP="001836AD">
            <w:pPr>
              <w:spacing w:after="0"/>
              <w:jc w:val="both"/>
              <w:rPr>
                <w:rFonts w:ascii="Arial" w:eastAsia="Arial" w:hAnsi="Arial" w:cs="Arial"/>
                <w:b/>
                <w:bCs/>
                <w:sz w:val="24"/>
                <w:szCs w:val="24"/>
              </w:rPr>
            </w:pPr>
            <w:r w:rsidRPr="001836AD">
              <w:rPr>
                <w:rFonts w:ascii="Arial" w:eastAsia="Arial" w:hAnsi="Arial" w:cs="Arial"/>
                <w:b/>
                <w:bCs/>
                <w:sz w:val="24"/>
                <w:szCs w:val="24"/>
              </w:rPr>
              <w:t>Population Change (2011–2021)</w:t>
            </w:r>
          </w:p>
        </w:tc>
        <w:tc>
          <w:tcPr>
            <w:tcW w:w="1772" w:type="dxa"/>
            <w:vAlign w:val="center"/>
          </w:tcPr>
          <w:p w14:paraId="4A208056" w14:textId="565AD04C" w:rsidR="283FD3C0" w:rsidRPr="001836AD" w:rsidRDefault="283FD3C0" w:rsidP="001836AD">
            <w:pPr>
              <w:spacing w:after="0"/>
              <w:jc w:val="both"/>
              <w:rPr>
                <w:rFonts w:ascii="Arial" w:eastAsia="Arial" w:hAnsi="Arial" w:cs="Arial"/>
                <w:b/>
                <w:bCs/>
                <w:sz w:val="24"/>
                <w:szCs w:val="24"/>
              </w:rPr>
            </w:pPr>
            <w:r w:rsidRPr="001836AD">
              <w:rPr>
                <w:rFonts w:ascii="Arial" w:eastAsia="Arial" w:hAnsi="Arial" w:cs="Arial"/>
                <w:b/>
                <w:bCs/>
                <w:sz w:val="24"/>
                <w:szCs w:val="24"/>
              </w:rPr>
              <w:t>–5.8%</w:t>
            </w:r>
          </w:p>
        </w:tc>
        <w:tc>
          <w:tcPr>
            <w:tcW w:w="1699" w:type="dxa"/>
            <w:vAlign w:val="center"/>
          </w:tcPr>
          <w:p w14:paraId="5295F4D1" w14:textId="1D0AE72A" w:rsidR="283FD3C0" w:rsidRPr="001836AD" w:rsidRDefault="283FD3C0" w:rsidP="001836AD">
            <w:pPr>
              <w:spacing w:after="0"/>
              <w:jc w:val="both"/>
              <w:rPr>
                <w:rFonts w:ascii="Arial" w:eastAsia="Arial" w:hAnsi="Arial" w:cs="Arial"/>
                <w:sz w:val="24"/>
                <w:szCs w:val="24"/>
              </w:rPr>
            </w:pPr>
            <w:r w:rsidRPr="001836AD">
              <w:rPr>
                <w:rFonts w:ascii="Arial" w:eastAsia="Arial" w:hAnsi="Arial" w:cs="Arial"/>
                <w:sz w:val="24"/>
                <w:szCs w:val="24"/>
              </w:rPr>
              <w:t>+1.4%</w:t>
            </w:r>
          </w:p>
        </w:tc>
        <w:tc>
          <w:tcPr>
            <w:tcW w:w="1307" w:type="dxa"/>
            <w:vAlign w:val="center"/>
          </w:tcPr>
          <w:p w14:paraId="3D023EBA" w14:textId="5DC84EAA" w:rsidR="283FD3C0" w:rsidRPr="001836AD" w:rsidRDefault="283FD3C0" w:rsidP="001836AD">
            <w:pPr>
              <w:spacing w:after="0"/>
              <w:jc w:val="both"/>
              <w:rPr>
                <w:rFonts w:ascii="Arial" w:eastAsia="Arial" w:hAnsi="Arial" w:cs="Arial"/>
                <w:sz w:val="24"/>
                <w:szCs w:val="24"/>
              </w:rPr>
            </w:pPr>
            <w:r w:rsidRPr="001836AD">
              <w:rPr>
                <w:rFonts w:ascii="Arial" w:eastAsia="Arial" w:hAnsi="Arial" w:cs="Arial"/>
                <w:sz w:val="24"/>
                <w:szCs w:val="24"/>
              </w:rPr>
              <w:t>+6.6%</w:t>
            </w:r>
          </w:p>
        </w:tc>
        <w:tc>
          <w:tcPr>
            <w:tcW w:w="2131" w:type="dxa"/>
            <w:vAlign w:val="center"/>
          </w:tcPr>
          <w:p w14:paraId="6C3586F2" w14:textId="403ED711" w:rsidR="283FD3C0" w:rsidRPr="001836AD" w:rsidRDefault="283FD3C0" w:rsidP="001836AD">
            <w:pPr>
              <w:spacing w:after="0"/>
              <w:jc w:val="both"/>
              <w:rPr>
                <w:rFonts w:ascii="Arial" w:eastAsia="Arial" w:hAnsi="Arial" w:cs="Arial"/>
                <w:sz w:val="24"/>
                <w:szCs w:val="24"/>
              </w:rPr>
            </w:pPr>
            <w:r w:rsidRPr="001836AD">
              <w:rPr>
                <w:rFonts w:ascii="Arial" w:eastAsia="Arial" w:hAnsi="Arial" w:cs="Arial"/>
                <w:sz w:val="24"/>
                <w:szCs w:val="24"/>
              </w:rPr>
              <w:t>ONS Census (2021)</w:t>
            </w:r>
          </w:p>
        </w:tc>
      </w:tr>
      <w:tr w:rsidR="283FD3C0" w:rsidRPr="001836AD" w14:paraId="6A8C92CD" w14:textId="77777777" w:rsidTr="283FD3C0">
        <w:trPr>
          <w:trHeight w:val="300"/>
        </w:trPr>
        <w:tc>
          <w:tcPr>
            <w:tcW w:w="2106" w:type="dxa"/>
            <w:vAlign w:val="center"/>
          </w:tcPr>
          <w:p w14:paraId="76E0EB4D" w14:textId="20225414" w:rsidR="283FD3C0" w:rsidRPr="001836AD" w:rsidRDefault="283FD3C0" w:rsidP="001836AD">
            <w:pPr>
              <w:spacing w:after="0"/>
              <w:jc w:val="both"/>
              <w:rPr>
                <w:rFonts w:ascii="Arial" w:eastAsia="Arial" w:hAnsi="Arial" w:cs="Arial"/>
                <w:b/>
                <w:bCs/>
                <w:sz w:val="24"/>
                <w:szCs w:val="24"/>
              </w:rPr>
            </w:pPr>
            <w:r w:rsidRPr="001836AD">
              <w:rPr>
                <w:rFonts w:ascii="Arial" w:eastAsia="Arial" w:hAnsi="Arial" w:cs="Arial"/>
                <w:b/>
                <w:bCs/>
                <w:sz w:val="24"/>
                <w:szCs w:val="24"/>
              </w:rPr>
              <w:t>Population Density</w:t>
            </w:r>
          </w:p>
        </w:tc>
        <w:tc>
          <w:tcPr>
            <w:tcW w:w="1772" w:type="dxa"/>
            <w:vAlign w:val="center"/>
          </w:tcPr>
          <w:p w14:paraId="636DA9B7" w14:textId="3681CA86" w:rsidR="283FD3C0" w:rsidRPr="001836AD" w:rsidRDefault="283FD3C0" w:rsidP="001836AD">
            <w:pPr>
              <w:spacing w:after="0"/>
              <w:jc w:val="both"/>
              <w:rPr>
                <w:rFonts w:ascii="Arial" w:eastAsia="Arial" w:hAnsi="Arial" w:cs="Arial"/>
                <w:b/>
                <w:bCs/>
                <w:sz w:val="24"/>
                <w:szCs w:val="24"/>
              </w:rPr>
            </w:pPr>
            <w:r w:rsidRPr="001836AD">
              <w:rPr>
                <w:rFonts w:ascii="Arial" w:eastAsia="Arial" w:hAnsi="Arial" w:cs="Arial"/>
                <w:b/>
                <w:bCs/>
                <w:sz w:val="24"/>
                <w:szCs w:val="24"/>
              </w:rPr>
              <w:t>~41 people/km²</w:t>
            </w:r>
          </w:p>
        </w:tc>
        <w:tc>
          <w:tcPr>
            <w:tcW w:w="1699" w:type="dxa"/>
            <w:vAlign w:val="center"/>
          </w:tcPr>
          <w:p w14:paraId="786F9900" w14:textId="03A419EC" w:rsidR="283FD3C0" w:rsidRPr="001836AD" w:rsidRDefault="283FD3C0" w:rsidP="001836AD">
            <w:pPr>
              <w:spacing w:after="0"/>
              <w:jc w:val="both"/>
              <w:rPr>
                <w:rFonts w:ascii="Arial" w:eastAsia="Arial" w:hAnsi="Arial" w:cs="Arial"/>
                <w:sz w:val="24"/>
                <w:szCs w:val="24"/>
              </w:rPr>
            </w:pPr>
            <w:r w:rsidRPr="001836AD">
              <w:rPr>
                <w:rFonts w:ascii="Arial" w:eastAsia="Arial" w:hAnsi="Arial" w:cs="Arial"/>
                <w:sz w:val="24"/>
                <w:szCs w:val="24"/>
              </w:rPr>
              <w:t>~150 people/km²</w:t>
            </w:r>
          </w:p>
        </w:tc>
        <w:tc>
          <w:tcPr>
            <w:tcW w:w="1307" w:type="dxa"/>
            <w:vAlign w:val="center"/>
          </w:tcPr>
          <w:p w14:paraId="1C372A51" w14:textId="3288D8D4" w:rsidR="283FD3C0" w:rsidRPr="001836AD" w:rsidRDefault="283FD3C0" w:rsidP="001836AD">
            <w:pPr>
              <w:spacing w:after="0"/>
              <w:jc w:val="both"/>
              <w:rPr>
                <w:rFonts w:ascii="Arial" w:eastAsia="Arial" w:hAnsi="Arial" w:cs="Arial"/>
                <w:sz w:val="24"/>
                <w:szCs w:val="24"/>
              </w:rPr>
            </w:pPr>
            <w:r w:rsidRPr="001836AD">
              <w:rPr>
                <w:rFonts w:ascii="Arial" w:eastAsia="Arial" w:hAnsi="Arial" w:cs="Arial"/>
                <w:sz w:val="24"/>
                <w:szCs w:val="24"/>
              </w:rPr>
              <w:t>~434 people/km²</w:t>
            </w:r>
          </w:p>
        </w:tc>
        <w:tc>
          <w:tcPr>
            <w:tcW w:w="2131" w:type="dxa"/>
            <w:vAlign w:val="center"/>
          </w:tcPr>
          <w:p w14:paraId="39BA748F" w14:textId="2A05DB31" w:rsidR="283FD3C0" w:rsidRPr="001836AD" w:rsidRDefault="283FD3C0" w:rsidP="001836AD">
            <w:pPr>
              <w:spacing w:after="0"/>
              <w:jc w:val="both"/>
              <w:rPr>
                <w:rFonts w:ascii="Arial" w:eastAsia="Arial" w:hAnsi="Arial" w:cs="Arial"/>
                <w:sz w:val="24"/>
                <w:szCs w:val="24"/>
              </w:rPr>
            </w:pPr>
            <w:r w:rsidRPr="001836AD">
              <w:rPr>
                <w:rFonts w:ascii="Arial" w:eastAsia="Arial" w:hAnsi="Arial" w:cs="Arial"/>
                <w:sz w:val="24"/>
                <w:szCs w:val="24"/>
              </w:rPr>
              <w:t>ONS / Ceredigion LA data</w:t>
            </w:r>
          </w:p>
        </w:tc>
      </w:tr>
      <w:tr w:rsidR="283FD3C0" w:rsidRPr="001836AD" w14:paraId="214B7260" w14:textId="77777777" w:rsidTr="283FD3C0">
        <w:trPr>
          <w:trHeight w:val="300"/>
        </w:trPr>
        <w:tc>
          <w:tcPr>
            <w:tcW w:w="2106" w:type="dxa"/>
            <w:vAlign w:val="center"/>
          </w:tcPr>
          <w:p w14:paraId="32E735FB" w14:textId="3DC787D6" w:rsidR="283FD3C0" w:rsidRPr="001836AD" w:rsidRDefault="283FD3C0" w:rsidP="001836AD">
            <w:pPr>
              <w:spacing w:after="0"/>
              <w:jc w:val="both"/>
              <w:rPr>
                <w:rFonts w:ascii="Arial" w:eastAsia="Arial" w:hAnsi="Arial" w:cs="Arial"/>
                <w:b/>
                <w:bCs/>
                <w:sz w:val="24"/>
                <w:szCs w:val="24"/>
              </w:rPr>
            </w:pPr>
            <w:r w:rsidRPr="001836AD">
              <w:rPr>
                <w:rFonts w:ascii="Arial" w:eastAsia="Arial" w:hAnsi="Arial" w:cs="Arial"/>
                <w:b/>
                <w:bCs/>
                <w:sz w:val="24"/>
                <w:szCs w:val="24"/>
              </w:rPr>
              <w:t>Rurality Classification</w:t>
            </w:r>
          </w:p>
        </w:tc>
        <w:tc>
          <w:tcPr>
            <w:tcW w:w="1772" w:type="dxa"/>
            <w:vAlign w:val="center"/>
          </w:tcPr>
          <w:p w14:paraId="667D8F73" w14:textId="65EB317A" w:rsidR="283FD3C0" w:rsidRPr="001836AD" w:rsidRDefault="283FD3C0" w:rsidP="001836AD">
            <w:pPr>
              <w:spacing w:after="0"/>
              <w:jc w:val="both"/>
              <w:rPr>
                <w:rFonts w:ascii="Arial" w:eastAsia="Arial" w:hAnsi="Arial" w:cs="Arial"/>
                <w:sz w:val="24"/>
                <w:szCs w:val="24"/>
              </w:rPr>
            </w:pPr>
            <w:r w:rsidRPr="001836AD">
              <w:rPr>
                <w:rFonts w:ascii="Arial" w:eastAsia="Arial" w:hAnsi="Arial" w:cs="Arial"/>
                <w:sz w:val="24"/>
                <w:szCs w:val="24"/>
              </w:rPr>
              <w:t>Predominantly rural</w:t>
            </w:r>
          </w:p>
        </w:tc>
        <w:tc>
          <w:tcPr>
            <w:tcW w:w="1699" w:type="dxa"/>
            <w:vAlign w:val="center"/>
          </w:tcPr>
          <w:p w14:paraId="285F8AD4" w14:textId="27B577D2" w:rsidR="283FD3C0" w:rsidRPr="001836AD" w:rsidRDefault="283FD3C0" w:rsidP="001836AD">
            <w:pPr>
              <w:spacing w:after="0"/>
              <w:jc w:val="both"/>
              <w:rPr>
                <w:rFonts w:ascii="Arial" w:eastAsia="Arial" w:hAnsi="Arial" w:cs="Arial"/>
                <w:sz w:val="24"/>
                <w:szCs w:val="24"/>
              </w:rPr>
            </w:pPr>
            <w:r w:rsidRPr="001836AD">
              <w:rPr>
                <w:rFonts w:ascii="Arial" w:eastAsia="Arial" w:hAnsi="Arial" w:cs="Arial"/>
                <w:sz w:val="24"/>
                <w:szCs w:val="24"/>
              </w:rPr>
              <w:t>Mixed</w:t>
            </w:r>
          </w:p>
        </w:tc>
        <w:tc>
          <w:tcPr>
            <w:tcW w:w="1307" w:type="dxa"/>
            <w:vAlign w:val="center"/>
          </w:tcPr>
          <w:p w14:paraId="494D4EBA" w14:textId="3049A67C" w:rsidR="283FD3C0" w:rsidRPr="001836AD" w:rsidRDefault="283FD3C0" w:rsidP="001836AD">
            <w:pPr>
              <w:spacing w:after="0"/>
              <w:jc w:val="both"/>
              <w:rPr>
                <w:rFonts w:ascii="Arial" w:eastAsia="Arial" w:hAnsi="Arial" w:cs="Arial"/>
                <w:sz w:val="24"/>
                <w:szCs w:val="24"/>
              </w:rPr>
            </w:pPr>
            <w:r w:rsidRPr="001836AD">
              <w:rPr>
                <w:rFonts w:ascii="Arial" w:eastAsia="Arial" w:hAnsi="Arial" w:cs="Arial"/>
                <w:sz w:val="24"/>
                <w:szCs w:val="24"/>
              </w:rPr>
              <w:t>Predominantly urban</w:t>
            </w:r>
          </w:p>
        </w:tc>
        <w:tc>
          <w:tcPr>
            <w:tcW w:w="2131" w:type="dxa"/>
            <w:vAlign w:val="center"/>
          </w:tcPr>
          <w:p w14:paraId="72982AA6" w14:textId="4E23677A" w:rsidR="283FD3C0" w:rsidRPr="001836AD" w:rsidRDefault="283FD3C0" w:rsidP="001836AD">
            <w:pPr>
              <w:spacing w:after="0"/>
              <w:jc w:val="both"/>
              <w:rPr>
                <w:rFonts w:ascii="Arial" w:eastAsia="Arial" w:hAnsi="Arial" w:cs="Arial"/>
                <w:sz w:val="24"/>
                <w:szCs w:val="24"/>
              </w:rPr>
            </w:pPr>
            <w:r w:rsidRPr="001836AD">
              <w:rPr>
                <w:rFonts w:ascii="Arial" w:eastAsia="Arial" w:hAnsi="Arial" w:cs="Arial"/>
                <w:sz w:val="24"/>
                <w:szCs w:val="24"/>
              </w:rPr>
              <w:t>Welsh Govt / DEFRA</w:t>
            </w:r>
          </w:p>
        </w:tc>
      </w:tr>
      <w:tr w:rsidR="283FD3C0" w:rsidRPr="001836AD" w14:paraId="3618F9FC" w14:textId="77777777" w:rsidTr="283FD3C0">
        <w:trPr>
          <w:trHeight w:val="300"/>
        </w:trPr>
        <w:tc>
          <w:tcPr>
            <w:tcW w:w="2106" w:type="dxa"/>
            <w:vAlign w:val="center"/>
          </w:tcPr>
          <w:p w14:paraId="16020E12" w14:textId="1527640E" w:rsidR="283FD3C0" w:rsidRPr="001836AD" w:rsidRDefault="283FD3C0" w:rsidP="001836AD">
            <w:pPr>
              <w:spacing w:after="0"/>
              <w:jc w:val="both"/>
              <w:rPr>
                <w:rFonts w:ascii="Arial" w:eastAsia="Arial" w:hAnsi="Arial" w:cs="Arial"/>
                <w:b/>
                <w:bCs/>
                <w:sz w:val="24"/>
                <w:szCs w:val="24"/>
              </w:rPr>
            </w:pPr>
            <w:r w:rsidRPr="001836AD">
              <w:rPr>
                <w:rFonts w:ascii="Arial" w:eastAsia="Arial" w:hAnsi="Arial" w:cs="Arial"/>
                <w:b/>
                <w:bCs/>
                <w:sz w:val="24"/>
                <w:szCs w:val="24"/>
              </w:rPr>
              <w:t>STEM graduate availability</w:t>
            </w:r>
          </w:p>
        </w:tc>
        <w:tc>
          <w:tcPr>
            <w:tcW w:w="1772" w:type="dxa"/>
            <w:vAlign w:val="center"/>
          </w:tcPr>
          <w:p w14:paraId="1A300EBB" w14:textId="7F23D459" w:rsidR="283FD3C0" w:rsidRPr="001836AD" w:rsidRDefault="283FD3C0" w:rsidP="001836AD">
            <w:pPr>
              <w:spacing w:after="0"/>
              <w:jc w:val="both"/>
              <w:rPr>
                <w:rFonts w:ascii="Arial" w:eastAsia="Arial" w:hAnsi="Arial" w:cs="Arial"/>
                <w:sz w:val="24"/>
                <w:szCs w:val="24"/>
              </w:rPr>
            </w:pPr>
            <w:r w:rsidRPr="001836AD">
              <w:rPr>
                <w:rFonts w:ascii="Arial" w:eastAsia="Arial" w:hAnsi="Arial" w:cs="Arial"/>
                <w:sz w:val="24"/>
                <w:szCs w:val="24"/>
              </w:rPr>
              <w:t>Lower than national average</w:t>
            </w:r>
          </w:p>
        </w:tc>
        <w:tc>
          <w:tcPr>
            <w:tcW w:w="1699" w:type="dxa"/>
            <w:vAlign w:val="center"/>
          </w:tcPr>
          <w:p w14:paraId="3735359A" w14:textId="40EAE47E" w:rsidR="283FD3C0" w:rsidRPr="001836AD" w:rsidRDefault="283FD3C0" w:rsidP="001836AD">
            <w:pPr>
              <w:spacing w:after="0"/>
              <w:jc w:val="both"/>
              <w:rPr>
                <w:rFonts w:ascii="Arial" w:eastAsia="Arial" w:hAnsi="Arial" w:cs="Arial"/>
                <w:sz w:val="24"/>
                <w:szCs w:val="24"/>
              </w:rPr>
            </w:pPr>
            <w:r w:rsidRPr="001836AD">
              <w:rPr>
                <w:rFonts w:ascii="Arial" w:eastAsia="Arial" w:hAnsi="Arial" w:cs="Arial"/>
                <w:sz w:val="24"/>
                <w:szCs w:val="24"/>
              </w:rPr>
              <w:t>26% of graduates in STEM</w:t>
            </w:r>
          </w:p>
        </w:tc>
        <w:tc>
          <w:tcPr>
            <w:tcW w:w="1307" w:type="dxa"/>
            <w:vAlign w:val="center"/>
          </w:tcPr>
          <w:p w14:paraId="4570F485" w14:textId="49B7484C" w:rsidR="283FD3C0" w:rsidRPr="001836AD" w:rsidRDefault="283FD3C0" w:rsidP="001836AD">
            <w:pPr>
              <w:spacing w:after="0"/>
              <w:jc w:val="both"/>
              <w:rPr>
                <w:rFonts w:ascii="Arial" w:eastAsia="Arial" w:hAnsi="Arial" w:cs="Arial"/>
                <w:sz w:val="24"/>
                <w:szCs w:val="24"/>
              </w:rPr>
            </w:pPr>
            <w:r w:rsidRPr="001836AD">
              <w:rPr>
                <w:rFonts w:ascii="Arial" w:eastAsia="Arial" w:hAnsi="Arial" w:cs="Arial"/>
                <w:sz w:val="24"/>
                <w:szCs w:val="24"/>
              </w:rPr>
              <w:t>34% in England</w:t>
            </w:r>
          </w:p>
        </w:tc>
        <w:tc>
          <w:tcPr>
            <w:tcW w:w="2131" w:type="dxa"/>
            <w:vAlign w:val="center"/>
          </w:tcPr>
          <w:p w14:paraId="29B6B21F" w14:textId="7713964F" w:rsidR="283FD3C0" w:rsidRPr="001836AD" w:rsidRDefault="283FD3C0" w:rsidP="001836AD">
            <w:pPr>
              <w:spacing w:after="0"/>
              <w:jc w:val="both"/>
              <w:rPr>
                <w:rFonts w:ascii="Arial" w:eastAsia="Arial" w:hAnsi="Arial" w:cs="Arial"/>
                <w:sz w:val="24"/>
                <w:szCs w:val="24"/>
              </w:rPr>
            </w:pPr>
            <w:r w:rsidRPr="001836AD">
              <w:rPr>
                <w:rFonts w:ascii="Arial" w:eastAsia="Arial" w:hAnsi="Arial" w:cs="Arial"/>
                <w:sz w:val="24"/>
                <w:szCs w:val="24"/>
              </w:rPr>
              <w:t>HESA Graduate Outcomes (2023)</w:t>
            </w:r>
          </w:p>
        </w:tc>
      </w:tr>
      <w:tr w:rsidR="283FD3C0" w:rsidRPr="001836AD" w14:paraId="3753A140" w14:textId="77777777" w:rsidTr="283FD3C0">
        <w:trPr>
          <w:trHeight w:val="300"/>
        </w:trPr>
        <w:tc>
          <w:tcPr>
            <w:tcW w:w="2106" w:type="dxa"/>
            <w:vAlign w:val="center"/>
          </w:tcPr>
          <w:p w14:paraId="67B9D6E5" w14:textId="0F91C7A3" w:rsidR="283FD3C0" w:rsidRPr="001836AD" w:rsidRDefault="283FD3C0" w:rsidP="001836AD">
            <w:pPr>
              <w:spacing w:after="0"/>
              <w:jc w:val="both"/>
              <w:rPr>
                <w:rFonts w:ascii="Arial" w:eastAsia="Arial" w:hAnsi="Arial" w:cs="Arial"/>
                <w:b/>
                <w:bCs/>
                <w:sz w:val="24"/>
                <w:szCs w:val="24"/>
              </w:rPr>
            </w:pPr>
            <w:r w:rsidRPr="001836AD">
              <w:rPr>
                <w:rFonts w:ascii="Arial" w:eastAsia="Arial" w:hAnsi="Arial" w:cs="Arial"/>
                <w:b/>
                <w:bCs/>
                <w:sz w:val="24"/>
                <w:szCs w:val="24"/>
              </w:rPr>
              <w:t>Proximity to major city</w:t>
            </w:r>
          </w:p>
        </w:tc>
        <w:tc>
          <w:tcPr>
            <w:tcW w:w="1772" w:type="dxa"/>
            <w:vAlign w:val="center"/>
          </w:tcPr>
          <w:p w14:paraId="356DC9F1" w14:textId="3FCB7967" w:rsidR="283FD3C0" w:rsidRPr="001836AD" w:rsidRDefault="283FD3C0" w:rsidP="001836AD">
            <w:pPr>
              <w:spacing w:after="0"/>
              <w:jc w:val="both"/>
              <w:rPr>
                <w:rFonts w:ascii="Arial" w:eastAsia="Arial" w:hAnsi="Arial" w:cs="Arial"/>
                <w:sz w:val="24"/>
                <w:szCs w:val="24"/>
              </w:rPr>
            </w:pPr>
            <w:r w:rsidRPr="001836AD">
              <w:rPr>
                <w:rFonts w:ascii="Arial" w:eastAsia="Arial" w:hAnsi="Arial" w:cs="Arial"/>
                <w:sz w:val="24"/>
                <w:szCs w:val="24"/>
              </w:rPr>
              <w:t>~72 miles to Cardiff</w:t>
            </w:r>
          </w:p>
        </w:tc>
        <w:tc>
          <w:tcPr>
            <w:tcW w:w="1699" w:type="dxa"/>
            <w:vAlign w:val="center"/>
          </w:tcPr>
          <w:p w14:paraId="620DA299" w14:textId="50534E33" w:rsidR="283FD3C0" w:rsidRPr="001836AD" w:rsidRDefault="283FD3C0" w:rsidP="001836AD">
            <w:pPr>
              <w:spacing w:after="0"/>
              <w:jc w:val="both"/>
              <w:rPr>
                <w:rFonts w:ascii="Arial" w:eastAsia="Arial" w:hAnsi="Arial" w:cs="Arial"/>
                <w:sz w:val="24"/>
                <w:szCs w:val="24"/>
              </w:rPr>
            </w:pPr>
            <w:r w:rsidRPr="001836AD">
              <w:rPr>
                <w:rFonts w:ascii="Arial" w:eastAsia="Arial" w:hAnsi="Arial" w:cs="Arial"/>
                <w:sz w:val="24"/>
                <w:szCs w:val="24"/>
              </w:rPr>
              <w:t>—</w:t>
            </w:r>
          </w:p>
        </w:tc>
        <w:tc>
          <w:tcPr>
            <w:tcW w:w="1307" w:type="dxa"/>
            <w:vAlign w:val="center"/>
          </w:tcPr>
          <w:p w14:paraId="2679E453" w14:textId="4E63A49F" w:rsidR="283FD3C0" w:rsidRPr="001836AD" w:rsidRDefault="283FD3C0" w:rsidP="001836AD">
            <w:pPr>
              <w:spacing w:after="0"/>
              <w:jc w:val="both"/>
              <w:rPr>
                <w:rFonts w:ascii="Arial" w:eastAsia="Arial" w:hAnsi="Arial" w:cs="Arial"/>
                <w:sz w:val="24"/>
                <w:szCs w:val="24"/>
              </w:rPr>
            </w:pPr>
            <w:r w:rsidRPr="001836AD">
              <w:rPr>
                <w:rFonts w:ascii="Arial" w:eastAsia="Arial" w:hAnsi="Arial" w:cs="Arial"/>
                <w:sz w:val="24"/>
                <w:szCs w:val="24"/>
              </w:rPr>
              <w:t>—</w:t>
            </w:r>
          </w:p>
        </w:tc>
        <w:tc>
          <w:tcPr>
            <w:tcW w:w="2131" w:type="dxa"/>
            <w:vAlign w:val="center"/>
          </w:tcPr>
          <w:p w14:paraId="4ED0F9FE" w14:textId="5E2C7115" w:rsidR="283FD3C0" w:rsidRPr="001836AD" w:rsidRDefault="283FD3C0" w:rsidP="001836AD">
            <w:pPr>
              <w:spacing w:after="0"/>
              <w:jc w:val="both"/>
              <w:rPr>
                <w:rFonts w:ascii="Arial" w:eastAsia="Arial" w:hAnsi="Arial" w:cs="Arial"/>
                <w:sz w:val="24"/>
                <w:szCs w:val="24"/>
              </w:rPr>
            </w:pPr>
            <w:r w:rsidRPr="001836AD">
              <w:rPr>
                <w:rFonts w:ascii="Arial" w:eastAsia="Arial" w:hAnsi="Arial" w:cs="Arial"/>
                <w:sz w:val="24"/>
                <w:szCs w:val="24"/>
              </w:rPr>
              <w:t>Google distance / ONS geography</w:t>
            </w:r>
          </w:p>
        </w:tc>
      </w:tr>
    </w:tbl>
    <w:p w14:paraId="4F02611C" w14:textId="577043FC" w:rsidR="283FD3C0" w:rsidRDefault="283FD3C0" w:rsidP="001836AD">
      <w:pPr>
        <w:pStyle w:val="ListParagraph"/>
        <w:ind w:left="360"/>
        <w:jc w:val="both"/>
        <w:rPr>
          <w:rFonts w:ascii="Arial" w:eastAsia="Arial" w:hAnsi="Arial" w:cs="Arial"/>
          <w:sz w:val="24"/>
          <w:szCs w:val="24"/>
        </w:rPr>
      </w:pPr>
    </w:p>
    <w:p w14:paraId="596BBEC0" w14:textId="45863CE1" w:rsidR="00C41565" w:rsidRPr="001836AD" w:rsidRDefault="00C41565" w:rsidP="001836AD">
      <w:pPr>
        <w:pStyle w:val="ListParagraph"/>
        <w:ind w:left="360"/>
        <w:jc w:val="both"/>
        <w:rPr>
          <w:rFonts w:ascii="Arial" w:eastAsia="Arial" w:hAnsi="Arial" w:cs="Arial"/>
          <w:sz w:val="24"/>
          <w:szCs w:val="24"/>
        </w:rPr>
      </w:pPr>
      <w:r>
        <w:rPr>
          <w:rFonts w:ascii="Arial" w:eastAsia="Arial" w:hAnsi="Arial" w:cs="Arial"/>
          <w:sz w:val="24"/>
          <w:szCs w:val="24"/>
        </w:rPr>
        <w:t xml:space="preserve">Cardiff despite being </w:t>
      </w:r>
      <w:r w:rsidR="00F91519">
        <w:rPr>
          <w:rFonts w:ascii="Arial" w:eastAsia="Arial" w:hAnsi="Arial" w:cs="Arial"/>
          <w:sz w:val="24"/>
          <w:szCs w:val="24"/>
        </w:rPr>
        <w:t xml:space="preserve">72 miles away the rural infrastructure this journey can take up to 3 hours one way trip. </w:t>
      </w:r>
    </w:p>
    <w:sectPr w:rsidR="00C41565" w:rsidRPr="001836AD" w:rsidSect="00DD21AB">
      <w:headerReference w:type="default" r:id="rId52"/>
      <w:footerReference w:type="default" r:id="rId53"/>
      <w:headerReference w:type="first" r:id="rId54"/>
      <w:footerReference w:type="first" r:id="rId55"/>
      <w:pgSz w:w="11906" w:h="16838" w:code="9"/>
      <w:pgMar w:top="1440" w:right="1440" w:bottom="1440" w:left="1440" w:header="709" w:footer="397"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Rhiannon Akers" w:date="2025-12-03T11:13:00Z" w:initials="RA">
    <w:p w14:paraId="56DA4FD8" w14:textId="77777777" w:rsidR="009E4CB9" w:rsidRDefault="009E4CB9" w:rsidP="009E4CB9">
      <w:pPr>
        <w:pStyle w:val="CommentText"/>
      </w:pPr>
      <w:r>
        <w:rPr>
          <w:rStyle w:val="CommentReference"/>
        </w:rPr>
        <w:annotationRef/>
      </w:r>
      <w:r>
        <w:t xml:space="preserve">Great to include an executive summary but this is quite lengthy. Try to condense it to 2 paragraphs as it should be a concise, high level overview. </w:t>
      </w:r>
    </w:p>
  </w:comment>
  <w:comment w:id="4" w:author="Rhiannon Akers" w:date="2025-12-03T11:22:00Z" w:initials="RA">
    <w:p w14:paraId="73038655" w14:textId="77777777" w:rsidR="00FC4CDD" w:rsidRDefault="00FC4CDD" w:rsidP="00FC4CDD">
      <w:pPr>
        <w:pStyle w:val="CommentText"/>
      </w:pPr>
      <w:r>
        <w:rPr>
          <w:rStyle w:val="CommentReference"/>
        </w:rPr>
        <w:annotationRef/>
      </w:r>
      <w:r>
        <w:t xml:space="preserve">You have incorporated detailed discussion of a range of relevant factors impacting your organisation. Due to word count limitations, it could be useful to refer to 2 external and 2 internal factors as opposed to 3 of each. When deciding this, you could consider which of the factors overlap with your critical analysis. </w:t>
      </w:r>
    </w:p>
  </w:comment>
  <w:comment w:id="5" w:author="Rhiannon Akers" w:date="2025-12-03T11:23:00Z" w:initials="RA">
    <w:p w14:paraId="03098302" w14:textId="77777777" w:rsidR="002C2E36" w:rsidRDefault="002C2E36" w:rsidP="002C2E36">
      <w:pPr>
        <w:pStyle w:val="CommentText"/>
      </w:pPr>
      <w:r>
        <w:rPr>
          <w:rStyle w:val="CommentReference"/>
        </w:rPr>
        <w:annotationRef/>
      </w:r>
      <w:r>
        <w:t xml:space="preserve">For example, you have discussed labour market conditions as an external factor and also discuss it in your critical analysis.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6DA4FD8" w15:done="0"/>
  <w15:commentEx w15:paraId="73038655" w15:done="0"/>
  <w15:commentEx w15:paraId="03098302" w15:paraIdParent="7303865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0537AC4" w16cex:dateUtc="2025-12-03T11:13:00Z"/>
  <w16cex:commentExtensible w16cex:durableId="38E651DE" w16cex:dateUtc="2025-12-03T11:22:00Z"/>
  <w16cex:commentExtensible w16cex:durableId="73733939" w16cex:dateUtc="2025-12-03T11: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6DA4FD8" w16cid:durableId="60537AC4"/>
  <w16cid:commentId w16cid:paraId="73038655" w16cid:durableId="38E651DE"/>
  <w16cid:commentId w16cid:paraId="03098302" w16cid:durableId="7373393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8A4156" w14:textId="77777777" w:rsidR="00D06CD1" w:rsidRDefault="00D06CD1" w:rsidP="00314E7B">
      <w:pPr>
        <w:spacing w:after="0" w:line="240" w:lineRule="auto"/>
      </w:pPr>
      <w:r>
        <w:separator/>
      </w:r>
    </w:p>
  </w:endnote>
  <w:endnote w:type="continuationSeparator" w:id="0">
    <w:p w14:paraId="0704E032" w14:textId="77777777" w:rsidR="00D06CD1" w:rsidRDefault="00D06CD1" w:rsidP="00314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7331601"/>
      <w:docPartObj>
        <w:docPartGallery w:val="Page Numbers (Bottom of Page)"/>
        <w:docPartUnique/>
      </w:docPartObj>
    </w:sdtPr>
    <w:sdtEndPr/>
    <w:sdtContent>
      <w:p w14:paraId="7D071FAB" w14:textId="618A187D" w:rsidR="009B3493" w:rsidRDefault="009B3493">
        <w:pPr>
          <w:pStyle w:val="Footer"/>
        </w:pPr>
        <w:r>
          <w:t xml:space="preserve">Page | </w:t>
        </w:r>
        <w:r>
          <w:fldChar w:fldCharType="begin"/>
        </w:r>
        <w:r>
          <w:instrText>PAGE   \* MERGEFORMAT</w:instrText>
        </w:r>
        <w:r>
          <w:fldChar w:fldCharType="separate"/>
        </w:r>
        <w:r>
          <w:t>2</w:t>
        </w:r>
        <w:r>
          <w:fldChar w:fldCharType="end"/>
        </w:r>
        <w:r>
          <w:t xml:space="preserve">                                                                            Talent Management in AFI</w:t>
        </w:r>
        <w:r w:rsidR="003523C4">
          <w:t xml:space="preserve"> by Nia Milcoy, Nov 2025</w:t>
        </w:r>
      </w:p>
    </w:sdtContent>
  </w:sdt>
  <w:p w14:paraId="65991BCC" w14:textId="4FD6C317" w:rsidR="00314E7B" w:rsidRDefault="00314E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83FD3C0" w14:paraId="54C72893" w14:textId="77777777" w:rsidTr="283FD3C0">
      <w:trPr>
        <w:trHeight w:val="300"/>
      </w:trPr>
      <w:tc>
        <w:tcPr>
          <w:tcW w:w="3005" w:type="dxa"/>
        </w:tcPr>
        <w:p w14:paraId="3DC5427B" w14:textId="7888E723" w:rsidR="283FD3C0" w:rsidRDefault="283FD3C0" w:rsidP="283FD3C0">
          <w:pPr>
            <w:pStyle w:val="Header"/>
            <w:ind w:left="-115"/>
          </w:pPr>
        </w:p>
      </w:tc>
      <w:tc>
        <w:tcPr>
          <w:tcW w:w="3005" w:type="dxa"/>
        </w:tcPr>
        <w:p w14:paraId="36FDB516" w14:textId="5A150D50" w:rsidR="283FD3C0" w:rsidRDefault="283FD3C0" w:rsidP="283FD3C0">
          <w:pPr>
            <w:pStyle w:val="Header"/>
            <w:jc w:val="center"/>
          </w:pPr>
        </w:p>
      </w:tc>
      <w:tc>
        <w:tcPr>
          <w:tcW w:w="3005" w:type="dxa"/>
        </w:tcPr>
        <w:p w14:paraId="35FE0E21" w14:textId="5A5BB120" w:rsidR="283FD3C0" w:rsidRDefault="283FD3C0" w:rsidP="283FD3C0">
          <w:pPr>
            <w:pStyle w:val="Header"/>
            <w:ind w:right="-115"/>
            <w:jc w:val="right"/>
          </w:pPr>
        </w:p>
      </w:tc>
    </w:tr>
  </w:tbl>
  <w:p w14:paraId="2E005874" w14:textId="0B0C96D2" w:rsidR="283FD3C0" w:rsidRDefault="283FD3C0" w:rsidP="283FD3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C2088" w14:textId="77777777" w:rsidR="00D06CD1" w:rsidRDefault="00D06CD1" w:rsidP="00314E7B">
      <w:pPr>
        <w:spacing w:after="0" w:line="240" w:lineRule="auto"/>
      </w:pPr>
      <w:r>
        <w:separator/>
      </w:r>
    </w:p>
  </w:footnote>
  <w:footnote w:type="continuationSeparator" w:id="0">
    <w:p w14:paraId="0DACEB9D" w14:textId="77777777" w:rsidR="00D06CD1" w:rsidRDefault="00D06CD1" w:rsidP="00314E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83FD3C0" w14:paraId="0E1AD745" w14:textId="77777777" w:rsidTr="283FD3C0">
      <w:trPr>
        <w:trHeight w:val="300"/>
      </w:trPr>
      <w:tc>
        <w:tcPr>
          <w:tcW w:w="3005" w:type="dxa"/>
        </w:tcPr>
        <w:p w14:paraId="2770140B" w14:textId="261E781F" w:rsidR="283FD3C0" w:rsidRDefault="283FD3C0" w:rsidP="283FD3C0">
          <w:pPr>
            <w:pStyle w:val="Header"/>
            <w:ind w:left="-115"/>
          </w:pPr>
        </w:p>
      </w:tc>
      <w:tc>
        <w:tcPr>
          <w:tcW w:w="3005" w:type="dxa"/>
        </w:tcPr>
        <w:p w14:paraId="060766B1" w14:textId="2558DDB6" w:rsidR="283FD3C0" w:rsidRDefault="283FD3C0" w:rsidP="283FD3C0">
          <w:pPr>
            <w:pStyle w:val="Header"/>
            <w:jc w:val="center"/>
          </w:pPr>
        </w:p>
      </w:tc>
      <w:tc>
        <w:tcPr>
          <w:tcW w:w="3005" w:type="dxa"/>
        </w:tcPr>
        <w:p w14:paraId="34378ECB" w14:textId="5CA29D39" w:rsidR="283FD3C0" w:rsidRDefault="283FD3C0" w:rsidP="283FD3C0">
          <w:pPr>
            <w:pStyle w:val="Header"/>
            <w:ind w:right="-115"/>
            <w:jc w:val="right"/>
          </w:pPr>
        </w:p>
      </w:tc>
    </w:tr>
  </w:tbl>
  <w:p w14:paraId="37DBDBB6" w14:textId="4E178991" w:rsidR="283FD3C0" w:rsidRDefault="283FD3C0" w:rsidP="283FD3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83FD3C0" w14:paraId="59F3D71C" w14:textId="77777777" w:rsidTr="283FD3C0">
      <w:trPr>
        <w:trHeight w:val="300"/>
      </w:trPr>
      <w:tc>
        <w:tcPr>
          <w:tcW w:w="3005" w:type="dxa"/>
        </w:tcPr>
        <w:p w14:paraId="7090CF61" w14:textId="2B61AC04" w:rsidR="283FD3C0" w:rsidRDefault="283FD3C0" w:rsidP="283FD3C0">
          <w:pPr>
            <w:pStyle w:val="Header"/>
            <w:ind w:left="-115"/>
          </w:pPr>
        </w:p>
      </w:tc>
      <w:tc>
        <w:tcPr>
          <w:tcW w:w="3005" w:type="dxa"/>
        </w:tcPr>
        <w:p w14:paraId="4B350CCA" w14:textId="7D841664" w:rsidR="283FD3C0" w:rsidRDefault="283FD3C0" w:rsidP="283FD3C0">
          <w:pPr>
            <w:pStyle w:val="Header"/>
            <w:jc w:val="center"/>
          </w:pPr>
        </w:p>
      </w:tc>
      <w:tc>
        <w:tcPr>
          <w:tcW w:w="3005" w:type="dxa"/>
        </w:tcPr>
        <w:p w14:paraId="240E152C" w14:textId="0F0933CF" w:rsidR="283FD3C0" w:rsidRDefault="283FD3C0" w:rsidP="283FD3C0">
          <w:pPr>
            <w:pStyle w:val="Header"/>
            <w:ind w:right="-115"/>
            <w:jc w:val="right"/>
          </w:pPr>
        </w:p>
      </w:tc>
    </w:tr>
  </w:tbl>
  <w:p w14:paraId="4D415DEC" w14:textId="49FD8466" w:rsidR="283FD3C0" w:rsidRDefault="283FD3C0" w:rsidP="283FD3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C284E"/>
    <w:multiLevelType w:val="multilevel"/>
    <w:tmpl w:val="DF44EA26"/>
    <w:lvl w:ilvl="0">
      <w:start w:val="1"/>
      <w:numFmt w:val="bullet"/>
      <w:lvlText w:val=""/>
      <w:lvlJc w:val="left"/>
      <w:pPr>
        <w:tabs>
          <w:tab w:val="num" w:pos="6456"/>
        </w:tabs>
        <w:ind w:left="6456" w:hanging="360"/>
      </w:pPr>
      <w:rPr>
        <w:rFonts w:ascii="Symbol" w:hAnsi="Symbol" w:hint="default"/>
        <w:sz w:val="20"/>
      </w:rPr>
    </w:lvl>
    <w:lvl w:ilvl="1" w:tentative="1">
      <w:start w:val="1"/>
      <w:numFmt w:val="bullet"/>
      <w:lvlText w:val="o"/>
      <w:lvlJc w:val="left"/>
      <w:pPr>
        <w:tabs>
          <w:tab w:val="num" w:pos="7176"/>
        </w:tabs>
        <w:ind w:left="7176" w:hanging="360"/>
      </w:pPr>
      <w:rPr>
        <w:rFonts w:ascii="Courier New" w:hAnsi="Courier New" w:hint="default"/>
        <w:sz w:val="20"/>
      </w:rPr>
    </w:lvl>
    <w:lvl w:ilvl="2" w:tentative="1">
      <w:start w:val="1"/>
      <w:numFmt w:val="bullet"/>
      <w:lvlText w:val=""/>
      <w:lvlJc w:val="left"/>
      <w:pPr>
        <w:tabs>
          <w:tab w:val="num" w:pos="7896"/>
        </w:tabs>
        <w:ind w:left="7896" w:hanging="360"/>
      </w:pPr>
      <w:rPr>
        <w:rFonts w:ascii="Wingdings" w:hAnsi="Wingdings" w:hint="default"/>
        <w:sz w:val="20"/>
      </w:rPr>
    </w:lvl>
    <w:lvl w:ilvl="3" w:tentative="1">
      <w:start w:val="1"/>
      <w:numFmt w:val="bullet"/>
      <w:lvlText w:val=""/>
      <w:lvlJc w:val="left"/>
      <w:pPr>
        <w:tabs>
          <w:tab w:val="num" w:pos="8616"/>
        </w:tabs>
        <w:ind w:left="8616" w:hanging="360"/>
      </w:pPr>
      <w:rPr>
        <w:rFonts w:ascii="Wingdings" w:hAnsi="Wingdings" w:hint="default"/>
        <w:sz w:val="20"/>
      </w:rPr>
    </w:lvl>
    <w:lvl w:ilvl="4" w:tentative="1">
      <w:start w:val="1"/>
      <w:numFmt w:val="bullet"/>
      <w:lvlText w:val=""/>
      <w:lvlJc w:val="left"/>
      <w:pPr>
        <w:tabs>
          <w:tab w:val="num" w:pos="9336"/>
        </w:tabs>
        <w:ind w:left="9336" w:hanging="360"/>
      </w:pPr>
      <w:rPr>
        <w:rFonts w:ascii="Wingdings" w:hAnsi="Wingdings" w:hint="default"/>
        <w:sz w:val="20"/>
      </w:rPr>
    </w:lvl>
    <w:lvl w:ilvl="5" w:tentative="1">
      <w:start w:val="1"/>
      <w:numFmt w:val="bullet"/>
      <w:lvlText w:val=""/>
      <w:lvlJc w:val="left"/>
      <w:pPr>
        <w:tabs>
          <w:tab w:val="num" w:pos="10056"/>
        </w:tabs>
        <w:ind w:left="10056" w:hanging="360"/>
      </w:pPr>
      <w:rPr>
        <w:rFonts w:ascii="Wingdings" w:hAnsi="Wingdings" w:hint="default"/>
        <w:sz w:val="20"/>
      </w:rPr>
    </w:lvl>
    <w:lvl w:ilvl="6" w:tentative="1">
      <w:start w:val="1"/>
      <w:numFmt w:val="bullet"/>
      <w:lvlText w:val=""/>
      <w:lvlJc w:val="left"/>
      <w:pPr>
        <w:tabs>
          <w:tab w:val="num" w:pos="10776"/>
        </w:tabs>
        <w:ind w:left="10776" w:hanging="360"/>
      </w:pPr>
      <w:rPr>
        <w:rFonts w:ascii="Wingdings" w:hAnsi="Wingdings" w:hint="default"/>
        <w:sz w:val="20"/>
      </w:rPr>
    </w:lvl>
    <w:lvl w:ilvl="7" w:tentative="1">
      <w:start w:val="1"/>
      <w:numFmt w:val="bullet"/>
      <w:lvlText w:val=""/>
      <w:lvlJc w:val="left"/>
      <w:pPr>
        <w:tabs>
          <w:tab w:val="num" w:pos="11496"/>
        </w:tabs>
        <w:ind w:left="11496" w:hanging="360"/>
      </w:pPr>
      <w:rPr>
        <w:rFonts w:ascii="Wingdings" w:hAnsi="Wingdings" w:hint="default"/>
        <w:sz w:val="20"/>
      </w:rPr>
    </w:lvl>
    <w:lvl w:ilvl="8" w:tentative="1">
      <w:start w:val="1"/>
      <w:numFmt w:val="bullet"/>
      <w:lvlText w:val=""/>
      <w:lvlJc w:val="left"/>
      <w:pPr>
        <w:tabs>
          <w:tab w:val="num" w:pos="12216"/>
        </w:tabs>
        <w:ind w:left="12216" w:hanging="360"/>
      </w:pPr>
      <w:rPr>
        <w:rFonts w:ascii="Wingdings" w:hAnsi="Wingdings" w:hint="default"/>
        <w:sz w:val="20"/>
      </w:rPr>
    </w:lvl>
  </w:abstractNum>
  <w:abstractNum w:abstractNumId="1" w15:restartNumberingAfterBreak="0">
    <w:nsid w:val="06603A33"/>
    <w:multiLevelType w:val="hybridMultilevel"/>
    <w:tmpl w:val="DC58C9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622A69"/>
    <w:multiLevelType w:val="hybridMultilevel"/>
    <w:tmpl w:val="5F2C7A5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D4C520B"/>
    <w:multiLevelType w:val="multilevel"/>
    <w:tmpl w:val="48A8D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154FFD"/>
    <w:multiLevelType w:val="hybridMultilevel"/>
    <w:tmpl w:val="1C485B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AA2807"/>
    <w:multiLevelType w:val="hybridMultilevel"/>
    <w:tmpl w:val="A76C6E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4EA7FB7"/>
    <w:multiLevelType w:val="multilevel"/>
    <w:tmpl w:val="6982264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DB1545"/>
    <w:multiLevelType w:val="multilevel"/>
    <w:tmpl w:val="6B7E2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2A5577"/>
    <w:multiLevelType w:val="hybridMultilevel"/>
    <w:tmpl w:val="18C81BA6"/>
    <w:lvl w:ilvl="0" w:tplc="1ED42A98">
      <w:start w:val="1"/>
      <w:numFmt w:val="decimal"/>
      <w:lvlText w:val="%1."/>
      <w:lvlJc w:val="left"/>
      <w:pPr>
        <w:ind w:left="720" w:hanging="360"/>
      </w:pPr>
    </w:lvl>
    <w:lvl w:ilvl="1" w:tplc="70C0F01E">
      <w:start w:val="1"/>
      <w:numFmt w:val="lowerLetter"/>
      <w:lvlText w:val="%2."/>
      <w:lvlJc w:val="left"/>
      <w:pPr>
        <w:ind w:left="1440" w:hanging="360"/>
      </w:pPr>
    </w:lvl>
    <w:lvl w:ilvl="2" w:tplc="416C4846">
      <w:start w:val="1"/>
      <w:numFmt w:val="lowerRoman"/>
      <w:lvlText w:val="%3."/>
      <w:lvlJc w:val="right"/>
      <w:pPr>
        <w:ind w:left="2160" w:hanging="180"/>
      </w:pPr>
    </w:lvl>
    <w:lvl w:ilvl="3" w:tplc="163C7968">
      <w:start w:val="1"/>
      <w:numFmt w:val="decimal"/>
      <w:lvlText w:val="%4."/>
      <w:lvlJc w:val="left"/>
      <w:pPr>
        <w:ind w:left="2880" w:hanging="360"/>
      </w:pPr>
    </w:lvl>
    <w:lvl w:ilvl="4" w:tplc="20CEFB80">
      <w:start w:val="1"/>
      <w:numFmt w:val="lowerLetter"/>
      <w:lvlText w:val="%5."/>
      <w:lvlJc w:val="left"/>
      <w:pPr>
        <w:ind w:left="3600" w:hanging="360"/>
      </w:pPr>
    </w:lvl>
    <w:lvl w:ilvl="5" w:tplc="FD763110">
      <w:start w:val="1"/>
      <w:numFmt w:val="lowerRoman"/>
      <w:lvlText w:val="%6."/>
      <w:lvlJc w:val="right"/>
      <w:pPr>
        <w:ind w:left="4320" w:hanging="180"/>
      </w:pPr>
    </w:lvl>
    <w:lvl w:ilvl="6" w:tplc="B7526084">
      <w:start w:val="1"/>
      <w:numFmt w:val="decimal"/>
      <w:lvlText w:val="%7."/>
      <w:lvlJc w:val="left"/>
      <w:pPr>
        <w:ind w:left="5040" w:hanging="360"/>
      </w:pPr>
    </w:lvl>
    <w:lvl w:ilvl="7" w:tplc="16A64B76">
      <w:start w:val="1"/>
      <w:numFmt w:val="lowerLetter"/>
      <w:lvlText w:val="%8."/>
      <w:lvlJc w:val="left"/>
      <w:pPr>
        <w:ind w:left="5760" w:hanging="360"/>
      </w:pPr>
    </w:lvl>
    <w:lvl w:ilvl="8" w:tplc="4B6CCB8E">
      <w:start w:val="1"/>
      <w:numFmt w:val="lowerRoman"/>
      <w:lvlText w:val="%9."/>
      <w:lvlJc w:val="right"/>
      <w:pPr>
        <w:ind w:left="6480" w:hanging="180"/>
      </w:pPr>
    </w:lvl>
  </w:abstractNum>
  <w:abstractNum w:abstractNumId="10" w15:restartNumberingAfterBreak="0">
    <w:nsid w:val="2D0F5953"/>
    <w:multiLevelType w:val="multilevel"/>
    <w:tmpl w:val="3656D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67384E"/>
    <w:multiLevelType w:val="multilevel"/>
    <w:tmpl w:val="8FD8F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EC5C6A"/>
    <w:multiLevelType w:val="multilevel"/>
    <w:tmpl w:val="4FE6B63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336C7167"/>
    <w:multiLevelType w:val="multilevel"/>
    <w:tmpl w:val="9E42F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E03C2B"/>
    <w:multiLevelType w:val="multilevel"/>
    <w:tmpl w:val="1B1A1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950EC4"/>
    <w:multiLevelType w:val="hybridMultilevel"/>
    <w:tmpl w:val="0E2C2360"/>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45EB1E1A"/>
    <w:multiLevelType w:val="multilevel"/>
    <w:tmpl w:val="245AE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89F4647"/>
    <w:multiLevelType w:val="multilevel"/>
    <w:tmpl w:val="A9605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9A5082"/>
    <w:multiLevelType w:val="multilevel"/>
    <w:tmpl w:val="B330E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015E7F"/>
    <w:multiLevelType w:val="multilevel"/>
    <w:tmpl w:val="5BB8FE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72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233479"/>
    <w:multiLevelType w:val="hybridMultilevel"/>
    <w:tmpl w:val="1EF28E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06E507E"/>
    <w:multiLevelType w:val="hybridMultilevel"/>
    <w:tmpl w:val="8722974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10A3C96"/>
    <w:multiLevelType w:val="hybridMultilevel"/>
    <w:tmpl w:val="6B6218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32D1A59"/>
    <w:multiLevelType w:val="hybridMultilevel"/>
    <w:tmpl w:val="038A44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8BD0E62"/>
    <w:multiLevelType w:val="multilevel"/>
    <w:tmpl w:val="DC041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9D6FD6"/>
    <w:multiLevelType w:val="multilevel"/>
    <w:tmpl w:val="69822642"/>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5B116C98"/>
    <w:multiLevelType w:val="multilevel"/>
    <w:tmpl w:val="8EFE3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75089F"/>
    <w:multiLevelType w:val="multilevel"/>
    <w:tmpl w:val="E57E8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C2C2FEF"/>
    <w:multiLevelType w:val="multilevel"/>
    <w:tmpl w:val="5DC25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5311014">
    <w:abstractNumId w:val="9"/>
  </w:num>
  <w:num w:numId="2" w16cid:durableId="388041282">
    <w:abstractNumId w:val="14"/>
  </w:num>
  <w:num w:numId="3" w16cid:durableId="2079742173">
    <w:abstractNumId w:val="17"/>
  </w:num>
  <w:num w:numId="4" w16cid:durableId="744186656">
    <w:abstractNumId w:val="28"/>
  </w:num>
  <w:num w:numId="5" w16cid:durableId="653529143">
    <w:abstractNumId w:val="0"/>
  </w:num>
  <w:num w:numId="6" w16cid:durableId="261110901">
    <w:abstractNumId w:val="19"/>
  </w:num>
  <w:num w:numId="7" w16cid:durableId="1955167972">
    <w:abstractNumId w:val="6"/>
  </w:num>
  <w:num w:numId="8" w16cid:durableId="1581326930">
    <w:abstractNumId w:val="12"/>
  </w:num>
  <w:num w:numId="9" w16cid:durableId="921644822">
    <w:abstractNumId w:val="18"/>
  </w:num>
  <w:num w:numId="10" w16cid:durableId="710154211">
    <w:abstractNumId w:val="10"/>
  </w:num>
  <w:num w:numId="11" w16cid:durableId="907154154">
    <w:abstractNumId w:val="21"/>
  </w:num>
  <w:num w:numId="12" w16cid:durableId="991567129">
    <w:abstractNumId w:val="5"/>
  </w:num>
  <w:num w:numId="13" w16cid:durableId="956178560">
    <w:abstractNumId w:val="15"/>
  </w:num>
  <w:num w:numId="14" w16cid:durableId="683241191">
    <w:abstractNumId w:val="25"/>
  </w:num>
  <w:num w:numId="15" w16cid:durableId="459108416">
    <w:abstractNumId w:val="27"/>
  </w:num>
  <w:num w:numId="16" w16cid:durableId="1804885690">
    <w:abstractNumId w:val="8"/>
  </w:num>
  <w:num w:numId="17" w16cid:durableId="332146620">
    <w:abstractNumId w:val="26"/>
  </w:num>
  <w:num w:numId="18" w16cid:durableId="436101969">
    <w:abstractNumId w:val="3"/>
  </w:num>
  <w:num w:numId="19" w16cid:durableId="902250945">
    <w:abstractNumId w:val="24"/>
  </w:num>
  <w:num w:numId="20" w16cid:durableId="1353066033">
    <w:abstractNumId w:val="16"/>
  </w:num>
  <w:num w:numId="21" w16cid:durableId="457723041">
    <w:abstractNumId w:val="2"/>
  </w:num>
  <w:num w:numId="22" w16cid:durableId="1092120381">
    <w:abstractNumId w:val="23"/>
  </w:num>
  <w:num w:numId="23" w16cid:durableId="1452896089">
    <w:abstractNumId w:val="1"/>
  </w:num>
  <w:num w:numId="24" w16cid:durableId="1750075716">
    <w:abstractNumId w:val="22"/>
  </w:num>
  <w:num w:numId="25" w16cid:durableId="705252874">
    <w:abstractNumId w:val="11"/>
  </w:num>
  <w:num w:numId="26" w16cid:durableId="148832384">
    <w:abstractNumId w:val="13"/>
  </w:num>
  <w:num w:numId="27" w16cid:durableId="1171876467">
    <w:abstractNumId w:val="7"/>
  </w:num>
  <w:num w:numId="28" w16cid:durableId="417480778">
    <w:abstractNumId w:val="4"/>
  </w:num>
  <w:num w:numId="29" w16cid:durableId="1878345469">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hiannon Akers">
    <w15:presenceInfo w15:providerId="AD" w15:userId="S::r.akers@uwtsd.ac.uk::fb3c9d12-5c8c-42d7-8dc7-d872d7a3d20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64B"/>
    <w:rsid w:val="0000292D"/>
    <w:rsid w:val="00003A3F"/>
    <w:rsid w:val="00005382"/>
    <w:rsid w:val="0000724D"/>
    <w:rsid w:val="00007DB5"/>
    <w:rsid w:val="00010D48"/>
    <w:rsid w:val="000163B2"/>
    <w:rsid w:val="00017B0B"/>
    <w:rsid w:val="00027B4F"/>
    <w:rsid w:val="00031697"/>
    <w:rsid w:val="00034F76"/>
    <w:rsid w:val="00037001"/>
    <w:rsid w:val="00043FEB"/>
    <w:rsid w:val="00044237"/>
    <w:rsid w:val="00056C75"/>
    <w:rsid w:val="00060E2C"/>
    <w:rsid w:val="00062BAE"/>
    <w:rsid w:val="000636D7"/>
    <w:rsid w:val="00064A5B"/>
    <w:rsid w:val="00070485"/>
    <w:rsid w:val="00071752"/>
    <w:rsid w:val="00072E8B"/>
    <w:rsid w:val="00074D30"/>
    <w:rsid w:val="000758E1"/>
    <w:rsid w:val="000764B0"/>
    <w:rsid w:val="00076E6F"/>
    <w:rsid w:val="00077BE8"/>
    <w:rsid w:val="000933BD"/>
    <w:rsid w:val="000950F5"/>
    <w:rsid w:val="0009583B"/>
    <w:rsid w:val="000A04F7"/>
    <w:rsid w:val="000A46B7"/>
    <w:rsid w:val="000A599A"/>
    <w:rsid w:val="000B2C0B"/>
    <w:rsid w:val="000C100D"/>
    <w:rsid w:val="000C3E94"/>
    <w:rsid w:val="000C6158"/>
    <w:rsid w:val="000D0CFE"/>
    <w:rsid w:val="000E2C53"/>
    <w:rsid w:val="000E477E"/>
    <w:rsid w:val="000F23ED"/>
    <w:rsid w:val="000F2E28"/>
    <w:rsid w:val="001007FC"/>
    <w:rsid w:val="00100A43"/>
    <w:rsid w:val="00104275"/>
    <w:rsid w:val="0010578E"/>
    <w:rsid w:val="00110E15"/>
    <w:rsid w:val="00114EFE"/>
    <w:rsid w:val="001175C7"/>
    <w:rsid w:val="00130E00"/>
    <w:rsid w:val="001349ED"/>
    <w:rsid w:val="00140D2A"/>
    <w:rsid w:val="0014143E"/>
    <w:rsid w:val="00147565"/>
    <w:rsid w:val="001528EE"/>
    <w:rsid w:val="001547EF"/>
    <w:rsid w:val="0016010F"/>
    <w:rsid w:val="001610C4"/>
    <w:rsid w:val="001625FE"/>
    <w:rsid w:val="001626C9"/>
    <w:rsid w:val="00167B68"/>
    <w:rsid w:val="001732F3"/>
    <w:rsid w:val="00173522"/>
    <w:rsid w:val="00173AAB"/>
    <w:rsid w:val="001808A9"/>
    <w:rsid w:val="0018343A"/>
    <w:rsid w:val="001836AD"/>
    <w:rsid w:val="00191B46"/>
    <w:rsid w:val="0019599B"/>
    <w:rsid w:val="00196162"/>
    <w:rsid w:val="001A1264"/>
    <w:rsid w:val="001C240A"/>
    <w:rsid w:val="001C279E"/>
    <w:rsid w:val="001C44CB"/>
    <w:rsid w:val="001C7598"/>
    <w:rsid w:val="001E1128"/>
    <w:rsid w:val="001E24D9"/>
    <w:rsid w:val="001E3641"/>
    <w:rsid w:val="001E4B92"/>
    <w:rsid w:val="001F13B1"/>
    <w:rsid w:val="001F32DD"/>
    <w:rsid w:val="001F4B1C"/>
    <w:rsid w:val="002014D4"/>
    <w:rsid w:val="00204D70"/>
    <w:rsid w:val="00205C36"/>
    <w:rsid w:val="00213E6C"/>
    <w:rsid w:val="00213EBC"/>
    <w:rsid w:val="00213F67"/>
    <w:rsid w:val="00213FE9"/>
    <w:rsid w:val="0021682F"/>
    <w:rsid w:val="00217420"/>
    <w:rsid w:val="0022180F"/>
    <w:rsid w:val="00230866"/>
    <w:rsid w:val="00232996"/>
    <w:rsid w:val="002360A4"/>
    <w:rsid w:val="00236DE1"/>
    <w:rsid w:val="002373F2"/>
    <w:rsid w:val="002407C5"/>
    <w:rsid w:val="00243DED"/>
    <w:rsid w:val="002552CD"/>
    <w:rsid w:val="002563EA"/>
    <w:rsid w:val="002578EE"/>
    <w:rsid w:val="0026475A"/>
    <w:rsid w:val="00266BCE"/>
    <w:rsid w:val="00271C1C"/>
    <w:rsid w:val="0027330A"/>
    <w:rsid w:val="00274D94"/>
    <w:rsid w:val="0028713D"/>
    <w:rsid w:val="002916BD"/>
    <w:rsid w:val="00291B01"/>
    <w:rsid w:val="002A1323"/>
    <w:rsid w:val="002B07A1"/>
    <w:rsid w:val="002B1744"/>
    <w:rsid w:val="002B7AC9"/>
    <w:rsid w:val="002C12E8"/>
    <w:rsid w:val="002C2E36"/>
    <w:rsid w:val="002C33DB"/>
    <w:rsid w:val="002C3599"/>
    <w:rsid w:val="002C3DEA"/>
    <w:rsid w:val="002D2514"/>
    <w:rsid w:val="002D7456"/>
    <w:rsid w:val="002E0AB4"/>
    <w:rsid w:val="002E39C5"/>
    <w:rsid w:val="002E3F49"/>
    <w:rsid w:val="002F02A5"/>
    <w:rsid w:val="002F07E8"/>
    <w:rsid w:val="002F08E2"/>
    <w:rsid w:val="003005C2"/>
    <w:rsid w:val="00302E85"/>
    <w:rsid w:val="00303C93"/>
    <w:rsid w:val="003076AD"/>
    <w:rsid w:val="00310C9B"/>
    <w:rsid w:val="00314E7B"/>
    <w:rsid w:val="003203BD"/>
    <w:rsid w:val="00330166"/>
    <w:rsid w:val="00332EEF"/>
    <w:rsid w:val="003424A6"/>
    <w:rsid w:val="00343749"/>
    <w:rsid w:val="00347BFE"/>
    <w:rsid w:val="003523C4"/>
    <w:rsid w:val="00352E54"/>
    <w:rsid w:val="0035415B"/>
    <w:rsid w:val="003603F9"/>
    <w:rsid w:val="00361E3F"/>
    <w:rsid w:val="00362539"/>
    <w:rsid w:val="0036269D"/>
    <w:rsid w:val="00371955"/>
    <w:rsid w:val="00372A4C"/>
    <w:rsid w:val="00374C34"/>
    <w:rsid w:val="003765B9"/>
    <w:rsid w:val="00377BC0"/>
    <w:rsid w:val="00383528"/>
    <w:rsid w:val="0038416D"/>
    <w:rsid w:val="00385C5D"/>
    <w:rsid w:val="00385DED"/>
    <w:rsid w:val="00392FDA"/>
    <w:rsid w:val="00395EE7"/>
    <w:rsid w:val="00396027"/>
    <w:rsid w:val="003976E1"/>
    <w:rsid w:val="00397FB8"/>
    <w:rsid w:val="003A01EE"/>
    <w:rsid w:val="003A46B6"/>
    <w:rsid w:val="003A4DF4"/>
    <w:rsid w:val="003A69F5"/>
    <w:rsid w:val="003B2CCE"/>
    <w:rsid w:val="003B432D"/>
    <w:rsid w:val="003C14D8"/>
    <w:rsid w:val="003C56EA"/>
    <w:rsid w:val="003C7E35"/>
    <w:rsid w:val="003D4F2A"/>
    <w:rsid w:val="003D5DA3"/>
    <w:rsid w:val="003D60B3"/>
    <w:rsid w:val="003D7C3B"/>
    <w:rsid w:val="003E2C67"/>
    <w:rsid w:val="003E467C"/>
    <w:rsid w:val="003E7C17"/>
    <w:rsid w:val="004012AF"/>
    <w:rsid w:val="004013C2"/>
    <w:rsid w:val="00403F73"/>
    <w:rsid w:val="00412A16"/>
    <w:rsid w:val="00416C8B"/>
    <w:rsid w:val="00417D68"/>
    <w:rsid w:val="004245DB"/>
    <w:rsid w:val="00424805"/>
    <w:rsid w:val="004260DF"/>
    <w:rsid w:val="0042739B"/>
    <w:rsid w:val="004311C4"/>
    <w:rsid w:val="00431CA2"/>
    <w:rsid w:val="0043345E"/>
    <w:rsid w:val="00435847"/>
    <w:rsid w:val="004360C6"/>
    <w:rsid w:val="004367C3"/>
    <w:rsid w:val="00440AB7"/>
    <w:rsid w:val="004422DC"/>
    <w:rsid w:val="00444E5A"/>
    <w:rsid w:val="0044503D"/>
    <w:rsid w:val="0045471D"/>
    <w:rsid w:val="004564CA"/>
    <w:rsid w:val="00460D70"/>
    <w:rsid w:val="00462A16"/>
    <w:rsid w:val="00464591"/>
    <w:rsid w:val="00464A8F"/>
    <w:rsid w:val="00467DDF"/>
    <w:rsid w:val="00470C82"/>
    <w:rsid w:val="00475CCD"/>
    <w:rsid w:val="004778AB"/>
    <w:rsid w:val="00481336"/>
    <w:rsid w:val="0049261E"/>
    <w:rsid w:val="004942BF"/>
    <w:rsid w:val="004948A2"/>
    <w:rsid w:val="004A0EA7"/>
    <w:rsid w:val="004A348F"/>
    <w:rsid w:val="004A4617"/>
    <w:rsid w:val="004A7671"/>
    <w:rsid w:val="004B49CB"/>
    <w:rsid w:val="004B799E"/>
    <w:rsid w:val="004C50DF"/>
    <w:rsid w:val="004C725D"/>
    <w:rsid w:val="004C7763"/>
    <w:rsid w:val="004C7FFA"/>
    <w:rsid w:val="004D3D97"/>
    <w:rsid w:val="004D645D"/>
    <w:rsid w:val="004E4D51"/>
    <w:rsid w:val="004F6040"/>
    <w:rsid w:val="004F7993"/>
    <w:rsid w:val="004F7ADC"/>
    <w:rsid w:val="00500F45"/>
    <w:rsid w:val="005012FA"/>
    <w:rsid w:val="00502226"/>
    <w:rsid w:val="00510E4A"/>
    <w:rsid w:val="00510FFF"/>
    <w:rsid w:val="0051267A"/>
    <w:rsid w:val="00515168"/>
    <w:rsid w:val="00516221"/>
    <w:rsid w:val="005226D1"/>
    <w:rsid w:val="00523E65"/>
    <w:rsid w:val="0053105A"/>
    <w:rsid w:val="00532315"/>
    <w:rsid w:val="00537616"/>
    <w:rsid w:val="005425A5"/>
    <w:rsid w:val="00544DAE"/>
    <w:rsid w:val="00546ABA"/>
    <w:rsid w:val="00547CDB"/>
    <w:rsid w:val="00555DCC"/>
    <w:rsid w:val="005642D6"/>
    <w:rsid w:val="00566863"/>
    <w:rsid w:val="00583F98"/>
    <w:rsid w:val="005856B2"/>
    <w:rsid w:val="005870C8"/>
    <w:rsid w:val="00587B4E"/>
    <w:rsid w:val="0059147A"/>
    <w:rsid w:val="005926E5"/>
    <w:rsid w:val="0059317F"/>
    <w:rsid w:val="005A1D5A"/>
    <w:rsid w:val="005A4604"/>
    <w:rsid w:val="005A7AB6"/>
    <w:rsid w:val="005C0257"/>
    <w:rsid w:val="005C24C9"/>
    <w:rsid w:val="005C6392"/>
    <w:rsid w:val="005C6E6F"/>
    <w:rsid w:val="005C73BC"/>
    <w:rsid w:val="005C78DE"/>
    <w:rsid w:val="005D03F4"/>
    <w:rsid w:val="005D4FF5"/>
    <w:rsid w:val="005E533F"/>
    <w:rsid w:val="005E5F75"/>
    <w:rsid w:val="005E616F"/>
    <w:rsid w:val="005E6FDC"/>
    <w:rsid w:val="005F00FD"/>
    <w:rsid w:val="005F1E2C"/>
    <w:rsid w:val="005F33F4"/>
    <w:rsid w:val="005F711C"/>
    <w:rsid w:val="005F7BB0"/>
    <w:rsid w:val="0060057B"/>
    <w:rsid w:val="00600799"/>
    <w:rsid w:val="006042B5"/>
    <w:rsid w:val="00615606"/>
    <w:rsid w:val="00616A7D"/>
    <w:rsid w:val="00617520"/>
    <w:rsid w:val="00621F1C"/>
    <w:rsid w:val="006225E9"/>
    <w:rsid w:val="00623DB6"/>
    <w:rsid w:val="00634564"/>
    <w:rsid w:val="0063463E"/>
    <w:rsid w:val="006357D2"/>
    <w:rsid w:val="0063780D"/>
    <w:rsid w:val="00637E70"/>
    <w:rsid w:val="00641417"/>
    <w:rsid w:val="00642E82"/>
    <w:rsid w:val="00655BAC"/>
    <w:rsid w:val="006621D2"/>
    <w:rsid w:val="00662C3D"/>
    <w:rsid w:val="00666219"/>
    <w:rsid w:val="006669B5"/>
    <w:rsid w:val="00670DF2"/>
    <w:rsid w:val="00674A63"/>
    <w:rsid w:val="00675A7A"/>
    <w:rsid w:val="00680264"/>
    <w:rsid w:val="00680699"/>
    <w:rsid w:val="00685932"/>
    <w:rsid w:val="006913DF"/>
    <w:rsid w:val="00692609"/>
    <w:rsid w:val="00695310"/>
    <w:rsid w:val="006A2806"/>
    <w:rsid w:val="006B1131"/>
    <w:rsid w:val="006B1C66"/>
    <w:rsid w:val="006B3993"/>
    <w:rsid w:val="006B5E19"/>
    <w:rsid w:val="006D0037"/>
    <w:rsid w:val="006D15B2"/>
    <w:rsid w:val="006D50EC"/>
    <w:rsid w:val="006E3094"/>
    <w:rsid w:val="006E7A83"/>
    <w:rsid w:val="00715BC6"/>
    <w:rsid w:val="00720324"/>
    <w:rsid w:val="0072172B"/>
    <w:rsid w:val="00722C66"/>
    <w:rsid w:val="00727583"/>
    <w:rsid w:val="00730DB4"/>
    <w:rsid w:val="00734FC9"/>
    <w:rsid w:val="00736CE1"/>
    <w:rsid w:val="00736DD7"/>
    <w:rsid w:val="00737B61"/>
    <w:rsid w:val="00742500"/>
    <w:rsid w:val="007505EF"/>
    <w:rsid w:val="00750F6E"/>
    <w:rsid w:val="00754F03"/>
    <w:rsid w:val="00772194"/>
    <w:rsid w:val="00775084"/>
    <w:rsid w:val="00781FE7"/>
    <w:rsid w:val="0078511E"/>
    <w:rsid w:val="0078566E"/>
    <w:rsid w:val="00786503"/>
    <w:rsid w:val="00790724"/>
    <w:rsid w:val="00793BF8"/>
    <w:rsid w:val="00795BAB"/>
    <w:rsid w:val="00797A48"/>
    <w:rsid w:val="007A16C5"/>
    <w:rsid w:val="007A1744"/>
    <w:rsid w:val="007A774A"/>
    <w:rsid w:val="007B1DD6"/>
    <w:rsid w:val="007B1E74"/>
    <w:rsid w:val="007B5335"/>
    <w:rsid w:val="007B584B"/>
    <w:rsid w:val="007B6189"/>
    <w:rsid w:val="007C1E84"/>
    <w:rsid w:val="007C49A8"/>
    <w:rsid w:val="007D0023"/>
    <w:rsid w:val="007D16EC"/>
    <w:rsid w:val="007D7D7C"/>
    <w:rsid w:val="007E6B8F"/>
    <w:rsid w:val="007F13F9"/>
    <w:rsid w:val="007F1D9F"/>
    <w:rsid w:val="007F3EAF"/>
    <w:rsid w:val="007F599D"/>
    <w:rsid w:val="007F654D"/>
    <w:rsid w:val="00803BEC"/>
    <w:rsid w:val="00815DF1"/>
    <w:rsid w:val="008179D3"/>
    <w:rsid w:val="00817BF7"/>
    <w:rsid w:val="008218A4"/>
    <w:rsid w:val="008249BB"/>
    <w:rsid w:val="00827F6A"/>
    <w:rsid w:val="008318FB"/>
    <w:rsid w:val="008326BA"/>
    <w:rsid w:val="008346FF"/>
    <w:rsid w:val="0084098C"/>
    <w:rsid w:val="00841E3F"/>
    <w:rsid w:val="00842D5E"/>
    <w:rsid w:val="0084644B"/>
    <w:rsid w:val="0085247E"/>
    <w:rsid w:val="00854B09"/>
    <w:rsid w:val="008551C6"/>
    <w:rsid w:val="008610BC"/>
    <w:rsid w:val="008642E7"/>
    <w:rsid w:val="008651D7"/>
    <w:rsid w:val="00867105"/>
    <w:rsid w:val="00867A72"/>
    <w:rsid w:val="00867E19"/>
    <w:rsid w:val="008725BE"/>
    <w:rsid w:val="00877EA3"/>
    <w:rsid w:val="0088053C"/>
    <w:rsid w:val="00893C8B"/>
    <w:rsid w:val="0089787E"/>
    <w:rsid w:val="008A0106"/>
    <w:rsid w:val="008A552E"/>
    <w:rsid w:val="008A78B2"/>
    <w:rsid w:val="008B12C2"/>
    <w:rsid w:val="008B6F15"/>
    <w:rsid w:val="008C5081"/>
    <w:rsid w:val="008D3A99"/>
    <w:rsid w:val="008D3D69"/>
    <w:rsid w:val="008D47CF"/>
    <w:rsid w:val="008D4917"/>
    <w:rsid w:val="008E7011"/>
    <w:rsid w:val="008F10B9"/>
    <w:rsid w:val="008F1377"/>
    <w:rsid w:val="008F48CA"/>
    <w:rsid w:val="00903E58"/>
    <w:rsid w:val="009116AD"/>
    <w:rsid w:val="0091226F"/>
    <w:rsid w:val="00912FF0"/>
    <w:rsid w:val="00914571"/>
    <w:rsid w:val="00921186"/>
    <w:rsid w:val="0092484E"/>
    <w:rsid w:val="00933D86"/>
    <w:rsid w:val="009341D9"/>
    <w:rsid w:val="009450E4"/>
    <w:rsid w:val="00947FAF"/>
    <w:rsid w:val="00952396"/>
    <w:rsid w:val="00953142"/>
    <w:rsid w:val="009548FE"/>
    <w:rsid w:val="00963BAB"/>
    <w:rsid w:val="0096521A"/>
    <w:rsid w:val="00967EF6"/>
    <w:rsid w:val="0097296E"/>
    <w:rsid w:val="00974E31"/>
    <w:rsid w:val="009760A7"/>
    <w:rsid w:val="00976831"/>
    <w:rsid w:val="00976965"/>
    <w:rsid w:val="00985D32"/>
    <w:rsid w:val="00991AF8"/>
    <w:rsid w:val="00991CC4"/>
    <w:rsid w:val="00994278"/>
    <w:rsid w:val="0099432D"/>
    <w:rsid w:val="00997413"/>
    <w:rsid w:val="009974D1"/>
    <w:rsid w:val="009A0D95"/>
    <w:rsid w:val="009B183B"/>
    <w:rsid w:val="009B20FE"/>
    <w:rsid w:val="009B2154"/>
    <w:rsid w:val="009B3493"/>
    <w:rsid w:val="009B3CF1"/>
    <w:rsid w:val="009B55C8"/>
    <w:rsid w:val="009B6E22"/>
    <w:rsid w:val="009C1DDC"/>
    <w:rsid w:val="009C2C46"/>
    <w:rsid w:val="009D071F"/>
    <w:rsid w:val="009D2F7C"/>
    <w:rsid w:val="009D4F75"/>
    <w:rsid w:val="009D653F"/>
    <w:rsid w:val="009D7386"/>
    <w:rsid w:val="009E074C"/>
    <w:rsid w:val="009E2287"/>
    <w:rsid w:val="009E2BCE"/>
    <w:rsid w:val="009E32BE"/>
    <w:rsid w:val="009E4C59"/>
    <w:rsid w:val="009E4CB9"/>
    <w:rsid w:val="009F09E5"/>
    <w:rsid w:val="009F1AB9"/>
    <w:rsid w:val="009F1E21"/>
    <w:rsid w:val="009F3ABA"/>
    <w:rsid w:val="009F5226"/>
    <w:rsid w:val="00A12632"/>
    <w:rsid w:val="00A13CF0"/>
    <w:rsid w:val="00A22128"/>
    <w:rsid w:val="00A22BC7"/>
    <w:rsid w:val="00A2428B"/>
    <w:rsid w:val="00A2652C"/>
    <w:rsid w:val="00A269D0"/>
    <w:rsid w:val="00A34CEA"/>
    <w:rsid w:val="00A403E6"/>
    <w:rsid w:val="00A541E7"/>
    <w:rsid w:val="00A54F3C"/>
    <w:rsid w:val="00A5701A"/>
    <w:rsid w:val="00A57178"/>
    <w:rsid w:val="00A60F68"/>
    <w:rsid w:val="00A634CD"/>
    <w:rsid w:val="00A64187"/>
    <w:rsid w:val="00A652C5"/>
    <w:rsid w:val="00A71F13"/>
    <w:rsid w:val="00A74B60"/>
    <w:rsid w:val="00A75EB9"/>
    <w:rsid w:val="00A8119C"/>
    <w:rsid w:val="00A82322"/>
    <w:rsid w:val="00A84636"/>
    <w:rsid w:val="00A9082F"/>
    <w:rsid w:val="00A935BE"/>
    <w:rsid w:val="00A9604A"/>
    <w:rsid w:val="00AA00BC"/>
    <w:rsid w:val="00AA054C"/>
    <w:rsid w:val="00AA5348"/>
    <w:rsid w:val="00AB5536"/>
    <w:rsid w:val="00AC6BA4"/>
    <w:rsid w:val="00AD1D1A"/>
    <w:rsid w:val="00AD3164"/>
    <w:rsid w:val="00AD77A2"/>
    <w:rsid w:val="00AE4263"/>
    <w:rsid w:val="00AF1384"/>
    <w:rsid w:val="00AF73A3"/>
    <w:rsid w:val="00B005D5"/>
    <w:rsid w:val="00B025F6"/>
    <w:rsid w:val="00B03806"/>
    <w:rsid w:val="00B11549"/>
    <w:rsid w:val="00B15F1D"/>
    <w:rsid w:val="00B23991"/>
    <w:rsid w:val="00B26079"/>
    <w:rsid w:val="00B30295"/>
    <w:rsid w:val="00B31157"/>
    <w:rsid w:val="00B33249"/>
    <w:rsid w:val="00B35060"/>
    <w:rsid w:val="00B40E0E"/>
    <w:rsid w:val="00B44AA1"/>
    <w:rsid w:val="00B4556C"/>
    <w:rsid w:val="00B47AEF"/>
    <w:rsid w:val="00B502CD"/>
    <w:rsid w:val="00B53D01"/>
    <w:rsid w:val="00B55579"/>
    <w:rsid w:val="00B61748"/>
    <w:rsid w:val="00B6411F"/>
    <w:rsid w:val="00B65AC3"/>
    <w:rsid w:val="00B724BC"/>
    <w:rsid w:val="00B72EB1"/>
    <w:rsid w:val="00B7715B"/>
    <w:rsid w:val="00B81088"/>
    <w:rsid w:val="00B81292"/>
    <w:rsid w:val="00B8468E"/>
    <w:rsid w:val="00B863DC"/>
    <w:rsid w:val="00BB5CB8"/>
    <w:rsid w:val="00BC50C7"/>
    <w:rsid w:val="00BC6E40"/>
    <w:rsid w:val="00BC6F39"/>
    <w:rsid w:val="00BD2D34"/>
    <w:rsid w:val="00BD5671"/>
    <w:rsid w:val="00BE15E8"/>
    <w:rsid w:val="00BE26C1"/>
    <w:rsid w:val="00BE2B2A"/>
    <w:rsid w:val="00BE3B67"/>
    <w:rsid w:val="00BE53D1"/>
    <w:rsid w:val="00BE6792"/>
    <w:rsid w:val="00BF233E"/>
    <w:rsid w:val="00BF53B6"/>
    <w:rsid w:val="00BF7BBF"/>
    <w:rsid w:val="00C05206"/>
    <w:rsid w:val="00C100CB"/>
    <w:rsid w:val="00C129C4"/>
    <w:rsid w:val="00C16A1D"/>
    <w:rsid w:val="00C17641"/>
    <w:rsid w:val="00C17B92"/>
    <w:rsid w:val="00C21478"/>
    <w:rsid w:val="00C226D6"/>
    <w:rsid w:val="00C232F8"/>
    <w:rsid w:val="00C31002"/>
    <w:rsid w:val="00C31B65"/>
    <w:rsid w:val="00C3378E"/>
    <w:rsid w:val="00C33969"/>
    <w:rsid w:val="00C3446B"/>
    <w:rsid w:val="00C34656"/>
    <w:rsid w:val="00C3485B"/>
    <w:rsid w:val="00C41565"/>
    <w:rsid w:val="00C43A87"/>
    <w:rsid w:val="00C45401"/>
    <w:rsid w:val="00C473D9"/>
    <w:rsid w:val="00C47EF9"/>
    <w:rsid w:val="00C53761"/>
    <w:rsid w:val="00C53C5E"/>
    <w:rsid w:val="00C57FA6"/>
    <w:rsid w:val="00C62FFB"/>
    <w:rsid w:val="00C6699F"/>
    <w:rsid w:val="00C72834"/>
    <w:rsid w:val="00C735E9"/>
    <w:rsid w:val="00C82002"/>
    <w:rsid w:val="00C8593E"/>
    <w:rsid w:val="00C877B5"/>
    <w:rsid w:val="00C92302"/>
    <w:rsid w:val="00C92F3C"/>
    <w:rsid w:val="00C94290"/>
    <w:rsid w:val="00C97A1F"/>
    <w:rsid w:val="00CA0F17"/>
    <w:rsid w:val="00CA7EAE"/>
    <w:rsid w:val="00CB16BB"/>
    <w:rsid w:val="00CB49F7"/>
    <w:rsid w:val="00CBA643"/>
    <w:rsid w:val="00CC10E4"/>
    <w:rsid w:val="00CC1EE7"/>
    <w:rsid w:val="00CC5947"/>
    <w:rsid w:val="00CC5C0C"/>
    <w:rsid w:val="00CC7FEA"/>
    <w:rsid w:val="00CD1933"/>
    <w:rsid w:val="00CD1AF4"/>
    <w:rsid w:val="00CD2ABF"/>
    <w:rsid w:val="00CE1AC8"/>
    <w:rsid w:val="00CE367A"/>
    <w:rsid w:val="00CE6C1A"/>
    <w:rsid w:val="00CF177A"/>
    <w:rsid w:val="00CF2799"/>
    <w:rsid w:val="00CF7B56"/>
    <w:rsid w:val="00D02C88"/>
    <w:rsid w:val="00D03862"/>
    <w:rsid w:val="00D06CD1"/>
    <w:rsid w:val="00D158FB"/>
    <w:rsid w:val="00D16BF3"/>
    <w:rsid w:val="00D17765"/>
    <w:rsid w:val="00D20925"/>
    <w:rsid w:val="00D20C79"/>
    <w:rsid w:val="00D2205B"/>
    <w:rsid w:val="00D246B7"/>
    <w:rsid w:val="00D25429"/>
    <w:rsid w:val="00D32705"/>
    <w:rsid w:val="00D32E7E"/>
    <w:rsid w:val="00D37054"/>
    <w:rsid w:val="00D45CB2"/>
    <w:rsid w:val="00D5304A"/>
    <w:rsid w:val="00D5318F"/>
    <w:rsid w:val="00D7251D"/>
    <w:rsid w:val="00D74D9F"/>
    <w:rsid w:val="00D779EB"/>
    <w:rsid w:val="00D82BC4"/>
    <w:rsid w:val="00D83727"/>
    <w:rsid w:val="00D83759"/>
    <w:rsid w:val="00D9244A"/>
    <w:rsid w:val="00D9285A"/>
    <w:rsid w:val="00D92C57"/>
    <w:rsid w:val="00D94E62"/>
    <w:rsid w:val="00DA027D"/>
    <w:rsid w:val="00DA2B6B"/>
    <w:rsid w:val="00DB5C23"/>
    <w:rsid w:val="00DD0635"/>
    <w:rsid w:val="00DD21AB"/>
    <w:rsid w:val="00DE3EE7"/>
    <w:rsid w:val="00DE71C3"/>
    <w:rsid w:val="00DF05CC"/>
    <w:rsid w:val="00DF07F0"/>
    <w:rsid w:val="00DF700D"/>
    <w:rsid w:val="00DF70F3"/>
    <w:rsid w:val="00E134EF"/>
    <w:rsid w:val="00E16858"/>
    <w:rsid w:val="00E21189"/>
    <w:rsid w:val="00E21CCA"/>
    <w:rsid w:val="00E2473D"/>
    <w:rsid w:val="00E27CBA"/>
    <w:rsid w:val="00E30DE6"/>
    <w:rsid w:val="00E40B28"/>
    <w:rsid w:val="00E45072"/>
    <w:rsid w:val="00E54C64"/>
    <w:rsid w:val="00E566A5"/>
    <w:rsid w:val="00E635EA"/>
    <w:rsid w:val="00E64D29"/>
    <w:rsid w:val="00E64E3A"/>
    <w:rsid w:val="00E6532B"/>
    <w:rsid w:val="00E65D64"/>
    <w:rsid w:val="00E729C6"/>
    <w:rsid w:val="00E73EF0"/>
    <w:rsid w:val="00E7628E"/>
    <w:rsid w:val="00E77529"/>
    <w:rsid w:val="00EB2A5C"/>
    <w:rsid w:val="00EB5412"/>
    <w:rsid w:val="00EB6ED1"/>
    <w:rsid w:val="00EC464B"/>
    <w:rsid w:val="00EC46CB"/>
    <w:rsid w:val="00EC5C1F"/>
    <w:rsid w:val="00EC5CC1"/>
    <w:rsid w:val="00ED0178"/>
    <w:rsid w:val="00ED5483"/>
    <w:rsid w:val="00ED724C"/>
    <w:rsid w:val="00ED7EF8"/>
    <w:rsid w:val="00EE1D5A"/>
    <w:rsid w:val="00EE5B3D"/>
    <w:rsid w:val="00EF4388"/>
    <w:rsid w:val="00EF5309"/>
    <w:rsid w:val="00EF5BD8"/>
    <w:rsid w:val="00EF7E62"/>
    <w:rsid w:val="00F02476"/>
    <w:rsid w:val="00F10D07"/>
    <w:rsid w:val="00F110F6"/>
    <w:rsid w:val="00F121A4"/>
    <w:rsid w:val="00F14EFA"/>
    <w:rsid w:val="00F15513"/>
    <w:rsid w:val="00F22947"/>
    <w:rsid w:val="00F23460"/>
    <w:rsid w:val="00F24209"/>
    <w:rsid w:val="00F32EA5"/>
    <w:rsid w:val="00F4498C"/>
    <w:rsid w:val="00F45FC7"/>
    <w:rsid w:val="00F47C58"/>
    <w:rsid w:val="00F62C10"/>
    <w:rsid w:val="00F636BE"/>
    <w:rsid w:val="00F65867"/>
    <w:rsid w:val="00F74668"/>
    <w:rsid w:val="00F769F9"/>
    <w:rsid w:val="00F82323"/>
    <w:rsid w:val="00F829DE"/>
    <w:rsid w:val="00F85894"/>
    <w:rsid w:val="00F86539"/>
    <w:rsid w:val="00F8781D"/>
    <w:rsid w:val="00F91519"/>
    <w:rsid w:val="00F9369D"/>
    <w:rsid w:val="00F9391C"/>
    <w:rsid w:val="00F939FB"/>
    <w:rsid w:val="00F94C0F"/>
    <w:rsid w:val="00F96917"/>
    <w:rsid w:val="00F97F7E"/>
    <w:rsid w:val="00FA0E33"/>
    <w:rsid w:val="00FA4C68"/>
    <w:rsid w:val="00FA6D79"/>
    <w:rsid w:val="00FB12B2"/>
    <w:rsid w:val="00FB4A55"/>
    <w:rsid w:val="00FB57D9"/>
    <w:rsid w:val="00FB65C5"/>
    <w:rsid w:val="00FB7102"/>
    <w:rsid w:val="00FC3E15"/>
    <w:rsid w:val="00FC4CDD"/>
    <w:rsid w:val="00FD0E81"/>
    <w:rsid w:val="00FD15DC"/>
    <w:rsid w:val="00FD2477"/>
    <w:rsid w:val="00FD3CD4"/>
    <w:rsid w:val="00FD68F3"/>
    <w:rsid w:val="00FE034E"/>
    <w:rsid w:val="00FE12B2"/>
    <w:rsid w:val="00FE4C72"/>
    <w:rsid w:val="00FE5F62"/>
    <w:rsid w:val="00FE76A8"/>
    <w:rsid w:val="00FF024E"/>
    <w:rsid w:val="01D3F40E"/>
    <w:rsid w:val="03A1795A"/>
    <w:rsid w:val="0572E982"/>
    <w:rsid w:val="070A00C3"/>
    <w:rsid w:val="0A5D2B3B"/>
    <w:rsid w:val="0B7D02FB"/>
    <w:rsid w:val="0C01B5DB"/>
    <w:rsid w:val="0CFF0C74"/>
    <w:rsid w:val="0DDC1259"/>
    <w:rsid w:val="0E7306C0"/>
    <w:rsid w:val="0F812A40"/>
    <w:rsid w:val="15E22673"/>
    <w:rsid w:val="16E6081A"/>
    <w:rsid w:val="1709C9DF"/>
    <w:rsid w:val="174E7DA9"/>
    <w:rsid w:val="19B40EDA"/>
    <w:rsid w:val="19E570AB"/>
    <w:rsid w:val="1A380236"/>
    <w:rsid w:val="1A742653"/>
    <w:rsid w:val="1D68752A"/>
    <w:rsid w:val="1D89E943"/>
    <w:rsid w:val="2081528B"/>
    <w:rsid w:val="20D5577C"/>
    <w:rsid w:val="21832EDF"/>
    <w:rsid w:val="21871013"/>
    <w:rsid w:val="23C6B939"/>
    <w:rsid w:val="23F1DCB7"/>
    <w:rsid w:val="25BFCB1B"/>
    <w:rsid w:val="260536F9"/>
    <w:rsid w:val="27553843"/>
    <w:rsid w:val="27E1CDFB"/>
    <w:rsid w:val="280C6FB7"/>
    <w:rsid w:val="283FD3C0"/>
    <w:rsid w:val="2AF2DD1A"/>
    <w:rsid w:val="2BCED676"/>
    <w:rsid w:val="2C176722"/>
    <w:rsid w:val="2CAA2165"/>
    <w:rsid w:val="31D4613E"/>
    <w:rsid w:val="328A4F75"/>
    <w:rsid w:val="32BBDBAA"/>
    <w:rsid w:val="32EC078D"/>
    <w:rsid w:val="339C4ED7"/>
    <w:rsid w:val="383D5705"/>
    <w:rsid w:val="393A7455"/>
    <w:rsid w:val="3BB52CDB"/>
    <w:rsid w:val="3D2E425C"/>
    <w:rsid w:val="3D5E332C"/>
    <w:rsid w:val="3FB6D729"/>
    <w:rsid w:val="41709242"/>
    <w:rsid w:val="429DAA78"/>
    <w:rsid w:val="42E0B52F"/>
    <w:rsid w:val="432818FD"/>
    <w:rsid w:val="4351996D"/>
    <w:rsid w:val="4445F9FE"/>
    <w:rsid w:val="453AE088"/>
    <w:rsid w:val="45A60BD7"/>
    <w:rsid w:val="467FFBEF"/>
    <w:rsid w:val="473FD5B0"/>
    <w:rsid w:val="49C2AC81"/>
    <w:rsid w:val="4A5D00F6"/>
    <w:rsid w:val="4B0376A9"/>
    <w:rsid w:val="4C856E25"/>
    <w:rsid w:val="4CCBC672"/>
    <w:rsid w:val="4F420CFA"/>
    <w:rsid w:val="51B42264"/>
    <w:rsid w:val="531EB1EB"/>
    <w:rsid w:val="559FFC47"/>
    <w:rsid w:val="57B8EDB7"/>
    <w:rsid w:val="59243963"/>
    <w:rsid w:val="5BCFCEB9"/>
    <w:rsid w:val="5CA5BEC6"/>
    <w:rsid w:val="5CA99B6C"/>
    <w:rsid w:val="5E113CEB"/>
    <w:rsid w:val="5E22B6B4"/>
    <w:rsid w:val="61F782EE"/>
    <w:rsid w:val="6367AA76"/>
    <w:rsid w:val="63F3D0E9"/>
    <w:rsid w:val="64AFDF2B"/>
    <w:rsid w:val="657747E4"/>
    <w:rsid w:val="67CB591C"/>
    <w:rsid w:val="67FC1FD8"/>
    <w:rsid w:val="696B430B"/>
    <w:rsid w:val="6CB74C1A"/>
    <w:rsid w:val="6D4DE2D8"/>
    <w:rsid w:val="6F093464"/>
    <w:rsid w:val="6FD67A6E"/>
    <w:rsid w:val="72E07A8E"/>
    <w:rsid w:val="73AF3945"/>
    <w:rsid w:val="7453C551"/>
    <w:rsid w:val="76AC7091"/>
    <w:rsid w:val="785DBDE5"/>
    <w:rsid w:val="7869BCEA"/>
    <w:rsid w:val="78807230"/>
    <w:rsid w:val="7A5F7F00"/>
    <w:rsid w:val="7A9BFE69"/>
    <w:rsid w:val="7AC382B1"/>
    <w:rsid w:val="7C56B722"/>
    <w:rsid w:val="7D01DBE3"/>
    <w:rsid w:val="7DF714E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852C88"/>
  <w15:chartTrackingRefBased/>
  <w15:docId w15:val="{EABF348B-0586-4528-8856-608FA9106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6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C46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C46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46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46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46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46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46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46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46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C46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C46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46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46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46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46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46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464B"/>
    <w:rPr>
      <w:rFonts w:eastAsiaTheme="majorEastAsia" w:cstheme="majorBidi"/>
      <w:color w:val="272727" w:themeColor="text1" w:themeTint="D8"/>
    </w:rPr>
  </w:style>
  <w:style w:type="paragraph" w:styleId="Title">
    <w:name w:val="Title"/>
    <w:basedOn w:val="Normal"/>
    <w:next w:val="Normal"/>
    <w:link w:val="TitleChar"/>
    <w:uiPriority w:val="10"/>
    <w:qFormat/>
    <w:rsid w:val="00EC46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46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46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46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464B"/>
    <w:pPr>
      <w:spacing w:before="160"/>
      <w:jc w:val="center"/>
    </w:pPr>
    <w:rPr>
      <w:i/>
      <w:iCs/>
      <w:color w:val="404040" w:themeColor="text1" w:themeTint="BF"/>
    </w:rPr>
  </w:style>
  <w:style w:type="character" w:customStyle="1" w:styleId="QuoteChar">
    <w:name w:val="Quote Char"/>
    <w:basedOn w:val="DefaultParagraphFont"/>
    <w:link w:val="Quote"/>
    <w:uiPriority w:val="29"/>
    <w:rsid w:val="00EC464B"/>
    <w:rPr>
      <w:i/>
      <w:iCs/>
      <w:color w:val="404040" w:themeColor="text1" w:themeTint="BF"/>
    </w:rPr>
  </w:style>
  <w:style w:type="paragraph" w:styleId="ListParagraph">
    <w:name w:val="List Paragraph"/>
    <w:basedOn w:val="Normal"/>
    <w:uiPriority w:val="34"/>
    <w:qFormat/>
    <w:rsid w:val="00EC464B"/>
    <w:pPr>
      <w:ind w:left="720"/>
      <w:contextualSpacing/>
    </w:pPr>
  </w:style>
  <w:style w:type="character" w:styleId="IntenseEmphasis">
    <w:name w:val="Intense Emphasis"/>
    <w:basedOn w:val="DefaultParagraphFont"/>
    <w:uiPriority w:val="21"/>
    <w:qFormat/>
    <w:rsid w:val="00EC464B"/>
    <w:rPr>
      <w:i/>
      <w:iCs/>
      <w:color w:val="0F4761" w:themeColor="accent1" w:themeShade="BF"/>
    </w:rPr>
  </w:style>
  <w:style w:type="paragraph" w:styleId="IntenseQuote">
    <w:name w:val="Intense Quote"/>
    <w:basedOn w:val="Normal"/>
    <w:next w:val="Normal"/>
    <w:link w:val="IntenseQuoteChar"/>
    <w:uiPriority w:val="30"/>
    <w:qFormat/>
    <w:rsid w:val="00EC46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464B"/>
    <w:rPr>
      <w:i/>
      <w:iCs/>
      <w:color w:val="0F4761" w:themeColor="accent1" w:themeShade="BF"/>
    </w:rPr>
  </w:style>
  <w:style w:type="character" w:styleId="IntenseReference">
    <w:name w:val="Intense Reference"/>
    <w:basedOn w:val="DefaultParagraphFont"/>
    <w:uiPriority w:val="32"/>
    <w:qFormat/>
    <w:rsid w:val="00EC464B"/>
    <w:rPr>
      <w:b/>
      <w:bCs/>
      <w:smallCaps/>
      <w:color w:val="0F4761" w:themeColor="accent1" w:themeShade="BF"/>
      <w:spacing w:val="5"/>
    </w:rPr>
  </w:style>
  <w:style w:type="paragraph" w:styleId="Header">
    <w:name w:val="header"/>
    <w:basedOn w:val="Normal"/>
    <w:link w:val="HeaderChar"/>
    <w:uiPriority w:val="99"/>
    <w:unhideWhenUsed/>
    <w:rsid w:val="00314E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4E7B"/>
  </w:style>
  <w:style w:type="paragraph" w:styleId="Footer">
    <w:name w:val="footer"/>
    <w:basedOn w:val="Normal"/>
    <w:link w:val="FooterChar"/>
    <w:uiPriority w:val="99"/>
    <w:unhideWhenUsed/>
    <w:rsid w:val="00314E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4E7B"/>
  </w:style>
  <w:style w:type="paragraph" w:styleId="TOCHeading">
    <w:name w:val="TOC Heading"/>
    <w:basedOn w:val="Heading1"/>
    <w:next w:val="Normal"/>
    <w:uiPriority w:val="39"/>
    <w:unhideWhenUsed/>
    <w:qFormat/>
    <w:rsid w:val="00D02C88"/>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60057B"/>
    <w:pPr>
      <w:spacing w:after="100"/>
    </w:pPr>
  </w:style>
  <w:style w:type="paragraph" w:styleId="TOC2">
    <w:name w:val="toc 2"/>
    <w:basedOn w:val="Normal"/>
    <w:next w:val="Normal"/>
    <w:autoRedefine/>
    <w:uiPriority w:val="39"/>
    <w:unhideWhenUsed/>
    <w:rsid w:val="0060057B"/>
    <w:pPr>
      <w:spacing w:after="100"/>
      <w:ind w:left="220"/>
    </w:pPr>
  </w:style>
  <w:style w:type="character" w:styleId="Hyperlink">
    <w:name w:val="Hyperlink"/>
    <w:basedOn w:val="DefaultParagraphFont"/>
    <w:uiPriority w:val="99"/>
    <w:unhideWhenUsed/>
    <w:rsid w:val="0060057B"/>
    <w:rPr>
      <w:color w:val="467886" w:themeColor="hyperlink"/>
      <w:u w:val="single"/>
    </w:rPr>
  </w:style>
  <w:style w:type="paragraph" w:styleId="TOC3">
    <w:name w:val="toc 3"/>
    <w:basedOn w:val="Normal"/>
    <w:next w:val="Normal"/>
    <w:autoRedefine/>
    <w:uiPriority w:val="39"/>
    <w:unhideWhenUsed/>
    <w:rsid w:val="000D0CFE"/>
    <w:pPr>
      <w:spacing w:after="100"/>
      <w:ind w:left="440"/>
    </w:pPr>
  </w:style>
  <w:style w:type="character" w:styleId="UnresolvedMention">
    <w:name w:val="Unresolved Mention"/>
    <w:basedOn w:val="DefaultParagraphFont"/>
    <w:uiPriority w:val="99"/>
    <w:semiHidden/>
    <w:unhideWhenUsed/>
    <w:rsid w:val="00F636BE"/>
    <w:rPr>
      <w:color w:val="605E5C"/>
      <w:shd w:val="clear" w:color="auto" w:fill="E1DFDD"/>
    </w:rPr>
  </w:style>
  <w:style w:type="paragraph" w:styleId="NormalWeb">
    <w:name w:val="Normal (Web)"/>
    <w:basedOn w:val="Normal"/>
    <w:uiPriority w:val="99"/>
    <w:semiHidden/>
    <w:unhideWhenUsed/>
    <w:rsid w:val="00815DF1"/>
    <w:rPr>
      <w:rFonts w:ascii="Times New Roman" w:hAnsi="Times New Roman" w:cs="Times New Roman"/>
      <w:sz w:val="24"/>
      <w:szCs w:val="24"/>
    </w:rPr>
  </w:style>
  <w:style w:type="paragraph" w:styleId="Caption">
    <w:name w:val="caption"/>
    <w:basedOn w:val="Normal"/>
    <w:next w:val="Normal"/>
    <w:uiPriority w:val="35"/>
    <w:unhideWhenUsed/>
    <w:qFormat/>
    <w:rsid w:val="00C6699F"/>
    <w:pPr>
      <w:spacing w:after="200" w:line="240" w:lineRule="auto"/>
    </w:pPr>
    <w:rPr>
      <w:i/>
      <w:iCs/>
      <w:color w:val="0E2841" w:themeColor="text2"/>
      <w:sz w:val="18"/>
      <w:szCs w:val="18"/>
    </w:rPr>
  </w:style>
  <w:style w:type="character" w:styleId="Strong">
    <w:name w:val="Strong"/>
    <w:basedOn w:val="DefaultParagraphFont"/>
    <w:uiPriority w:val="22"/>
    <w:qFormat/>
    <w:rsid w:val="00100A43"/>
    <w:rPr>
      <w:b/>
      <w:bCs/>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9E4CB9"/>
    <w:rPr>
      <w:sz w:val="16"/>
      <w:szCs w:val="16"/>
    </w:rPr>
  </w:style>
  <w:style w:type="paragraph" w:styleId="CommentText">
    <w:name w:val="annotation text"/>
    <w:basedOn w:val="Normal"/>
    <w:link w:val="CommentTextChar"/>
    <w:uiPriority w:val="99"/>
    <w:unhideWhenUsed/>
    <w:rsid w:val="009E4CB9"/>
    <w:pPr>
      <w:spacing w:line="240" w:lineRule="auto"/>
    </w:pPr>
    <w:rPr>
      <w:sz w:val="20"/>
      <w:szCs w:val="20"/>
    </w:rPr>
  </w:style>
  <w:style w:type="character" w:customStyle="1" w:styleId="CommentTextChar">
    <w:name w:val="Comment Text Char"/>
    <w:basedOn w:val="DefaultParagraphFont"/>
    <w:link w:val="CommentText"/>
    <w:uiPriority w:val="99"/>
    <w:rsid w:val="009E4CB9"/>
    <w:rPr>
      <w:sz w:val="20"/>
      <w:szCs w:val="20"/>
    </w:rPr>
  </w:style>
  <w:style w:type="paragraph" w:styleId="CommentSubject">
    <w:name w:val="annotation subject"/>
    <w:basedOn w:val="CommentText"/>
    <w:next w:val="CommentText"/>
    <w:link w:val="CommentSubjectChar"/>
    <w:uiPriority w:val="99"/>
    <w:semiHidden/>
    <w:unhideWhenUsed/>
    <w:rsid w:val="009E4CB9"/>
    <w:rPr>
      <w:b/>
      <w:bCs/>
    </w:rPr>
  </w:style>
  <w:style w:type="character" w:customStyle="1" w:styleId="CommentSubjectChar">
    <w:name w:val="Comment Subject Char"/>
    <w:basedOn w:val="CommentTextChar"/>
    <w:link w:val="CommentSubject"/>
    <w:uiPriority w:val="99"/>
    <w:semiHidden/>
    <w:rsid w:val="009E4CB9"/>
    <w:rPr>
      <w:b/>
      <w:bCs/>
      <w:sz w:val="20"/>
      <w:szCs w:val="20"/>
    </w:rPr>
  </w:style>
  <w:style w:type="character" w:styleId="Emphasis">
    <w:name w:val="Emphasis"/>
    <w:basedOn w:val="DefaultParagraphFont"/>
    <w:uiPriority w:val="20"/>
    <w:qFormat/>
    <w:rsid w:val="00460D7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hyperlink" Target="https://www.cipd.org/uk/knowledge/factsheets/resourcing/" TargetMode="External"/><Relationship Id="rId26" Type="http://schemas.openxmlformats.org/officeDocument/2006/relationships/hyperlink" Target="https://www.cipd.org/uk/knowledge/factsheets/workforce-planning/" TargetMode="External"/><Relationship Id="rId39" Type="http://schemas.openxmlformats.org/officeDocument/2006/relationships/hyperlink" Target="https://www.mckinsey.com/" TargetMode="External"/><Relationship Id="rId21" Type="http://schemas.openxmlformats.org/officeDocument/2006/relationships/hyperlink" Target="https://www.cipd.org/uk/knowledge/reports/gig-economy-insights/" TargetMode="External"/><Relationship Id="rId34" Type="http://schemas.openxmlformats.org/officeDocument/2006/relationships/hyperlink" Target="https://www.peoplemanagement.co.uk/" TargetMode="External"/><Relationship Id="rId42" Type="http://schemas.openxmlformats.org/officeDocument/2006/relationships/hyperlink" Target="https://www.ons.gov.uk/" TargetMode="External"/><Relationship Id="rId47" Type="http://schemas.openxmlformats.org/officeDocument/2006/relationships/hyperlink" Target="https://www.talent-works.com/" TargetMode="External"/><Relationship Id="rId50" Type="http://schemas.openxmlformats.org/officeDocument/2006/relationships/hyperlink" Target="https://www.bbc.co.uk/news/technology" TargetMode="External"/><Relationship Id="rId55"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diagramDrawing" Target="diagrams/drawing1.xml"/><Relationship Id="rId29" Type="http://schemas.openxmlformats.org/officeDocument/2006/relationships/hyperlink" Target="https://www.gov.uk/" TargetMode="External"/><Relationship Id="rId11" Type="http://schemas.microsoft.com/office/2018/08/relationships/commentsExtensible" Target="commentsExtensible.xml"/><Relationship Id="rId24" Type="http://schemas.openxmlformats.org/officeDocument/2006/relationships/hyperlink" Target="https://www.cipd.org/uk/knowledge/factsheets/employer-brand/" TargetMode="External"/><Relationship Id="rId32" Type="http://schemas.openxmlformats.org/officeDocument/2006/relationships/hyperlink" Target="https://www.ijemr.net" TargetMode="External"/><Relationship Id="rId37" Type="http://schemas.openxmlformats.org/officeDocument/2006/relationships/hyperlink" Target="https://www.emerald.com" TargetMode="External"/><Relationship Id="rId40" Type="http://schemas.openxmlformats.org/officeDocument/2006/relationships/hyperlink" Target="https://www.cipd.org/uk/views-and-insights" TargetMode="External"/><Relationship Id="rId45" Type="http://schemas.openxmlformats.org/officeDocument/2006/relationships/hyperlink" Target="https://www.stem.org.uk/" TargetMode="External"/><Relationship Id="rId53" Type="http://schemas.openxmlformats.org/officeDocument/2006/relationships/footer" Target="footer1.xm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www.cipd.org/uk/knowledge/factsheets/talent-factsheet/"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diagramQuickStyle" Target="diagrams/quickStyle1.xml"/><Relationship Id="rId22" Type="http://schemas.openxmlformats.org/officeDocument/2006/relationships/hyperlink" Target="https://www.cipd.org/uk/knowledge/factsheets/recruitment/" TargetMode="External"/><Relationship Id="rId27" Type="http://schemas.openxmlformats.org/officeDocument/2006/relationships/hyperlink" Target="https://www.engineeringuk.com/" TargetMode="External"/><Relationship Id="rId30" Type="http://schemas.openxmlformats.org/officeDocument/2006/relationships/hyperlink" Target="https://www.irjmets.com" TargetMode="External"/><Relationship Id="rId35" Type="http://schemas.openxmlformats.org/officeDocument/2006/relationships/hyperlink" Target="https://www.peoplemanagement.co.uk/" TargetMode="External"/><Relationship Id="rId43" Type="http://schemas.openxmlformats.org/officeDocument/2006/relationships/hyperlink" Target="https://www.ons.gov.uk" TargetMode="External"/><Relationship Id="rId48" Type="http://schemas.openxmlformats.org/officeDocument/2006/relationships/hyperlink" Target="https://www.kingsfund.org.uk/" TargetMode="External"/><Relationship Id="rId56" Type="http://schemas.openxmlformats.org/officeDocument/2006/relationships/fontTable" Target="fontTable.xml"/><Relationship Id="rId8" Type="http://schemas.openxmlformats.org/officeDocument/2006/relationships/comments" Target="comments.xml"/><Relationship Id="rId51" Type="http://schemas.openxmlformats.org/officeDocument/2006/relationships/hyperlink" Target="https://www.gov.wales/" TargetMode="External"/><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hyperlink" Target="https://www.ceredigion.gov.uk" TargetMode="External"/><Relationship Id="rId25" Type="http://schemas.openxmlformats.org/officeDocument/2006/relationships/hyperlink" Target="https://www.cipd.org/uk/knowledge/guides/strategic-workforce-planning/" TargetMode="External"/><Relationship Id="rId33" Type="http://schemas.openxmlformats.org/officeDocument/2006/relationships/hyperlink" Target="https://commonslibrary.parliament.uk" TargetMode="External"/><Relationship Id="rId38" Type="http://schemas.openxmlformats.org/officeDocument/2006/relationships/hyperlink" Target="https://www.mckinsey.com/" TargetMode="External"/><Relationship Id="rId46" Type="http://schemas.openxmlformats.org/officeDocument/2006/relationships/hyperlink" Target="https://www.talkstaff.co.uk/" TargetMode="External"/><Relationship Id="rId20" Type="http://schemas.openxmlformats.org/officeDocument/2006/relationships/hyperlink" Target="https://www.cipd.org/uk/knowledge/reports/true-story-gig-economy/" TargetMode="External"/><Relationship Id="rId41" Type="http://schemas.openxmlformats.org/officeDocument/2006/relationships/hyperlink" Target="https://www.forbes.com/"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Colors" Target="diagrams/colors1.xml"/><Relationship Id="rId23" Type="http://schemas.openxmlformats.org/officeDocument/2006/relationships/hyperlink" Target="https://www.cipd.org/uk/knowledge/factsheets/talent-factsheet/" TargetMode="External"/><Relationship Id="rId28" Type="http://schemas.openxmlformats.org/officeDocument/2006/relationships/hyperlink" Target="https://www.gov.uk/" TargetMode="External"/><Relationship Id="rId36" Type="http://schemas.openxmlformats.org/officeDocument/2006/relationships/hyperlink" Target="https://www.ciphr.com/" TargetMode="External"/><Relationship Id="rId49" Type="http://schemas.openxmlformats.org/officeDocument/2006/relationships/hyperlink" Target="https://www.peoplemanagement.co.uk/" TargetMode="External"/><Relationship Id="rId57" Type="http://schemas.microsoft.com/office/2011/relationships/people" Target="people.xml"/><Relationship Id="rId10" Type="http://schemas.microsoft.com/office/2016/09/relationships/commentsIds" Target="commentsIds.xml"/><Relationship Id="rId31" Type="http://schemas.openxmlformats.org/officeDocument/2006/relationships/hyperlink" Target="https://www.hesa.ac.uk/" TargetMode="External"/><Relationship Id="rId44" Type="http://schemas.openxmlformats.org/officeDocument/2006/relationships/hyperlink" Target="https://www.cipd.org/uk" TargetMode="External"/><Relationship Id="rId52"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B6ABC1A-4579-4170-A8A0-0C7B5BCD88CB}" type="doc">
      <dgm:prSet loTypeId="urn:microsoft.com/office/officeart/2005/8/layout/cycle2" loCatId="cycle" qsTypeId="urn:microsoft.com/office/officeart/2005/8/quickstyle/simple1" qsCatId="simple" csTypeId="urn:microsoft.com/office/officeart/2005/8/colors/accent1_3" csCatId="accent1" phldr="1"/>
      <dgm:spPr/>
      <dgm:t>
        <a:bodyPr/>
        <a:lstStyle/>
        <a:p>
          <a:endParaRPr lang="en-GB"/>
        </a:p>
      </dgm:t>
    </dgm:pt>
    <dgm:pt modelId="{0F1DFA55-1E3D-462B-BC26-1DD97BB79501}">
      <dgm:prSet phldrT="[Text]"/>
      <dgm:spPr/>
      <dgm:t>
        <a:bodyPr/>
        <a:lstStyle/>
        <a:p>
          <a:r>
            <a:rPr lang="en-GB"/>
            <a:t>Dialogue</a:t>
          </a:r>
        </a:p>
      </dgm:t>
    </dgm:pt>
    <dgm:pt modelId="{8ABDE645-D741-472A-A385-D60D064265E1}" type="parTrans" cxnId="{A4868674-316C-4DA6-9AA7-07E05C31086B}">
      <dgm:prSet/>
      <dgm:spPr/>
      <dgm:t>
        <a:bodyPr/>
        <a:lstStyle/>
        <a:p>
          <a:endParaRPr lang="en-GB"/>
        </a:p>
      </dgm:t>
    </dgm:pt>
    <dgm:pt modelId="{905ED1EC-1F35-433D-AEB5-7B35C428015F}" type="sibTrans" cxnId="{A4868674-316C-4DA6-9AA7-07E05C31086B}">
      <dgm:prSet/>
      <dgm:spPr/>
      <dgm:t>
        <a:bodyPr/>
        <a:lstStyle/>
        <a:p>
          <a:endParaRPr lang="en-GB"/>
        </a:p>
      </dgm:t>
    </dgm:pt>
    <dgm:pt modelId="{275F7176-1A23-4028-B572-3B81EE2EC087}">
      <dgm:prSet phldrT="[Text]"/>
      <dgm:spPr/>
      <dgm:t>
        <a:bodyPr/>
        <a:lstStyle/>
        <a:p>
          <a:r>
            <a:rPr lang="en-GB"/>
            <a:t>Salary Review &amp; Variable Pay</a:t>
          </a:r>
        </a:p>
      </dgm:t>
    </dgm:pt>
    <dgm:pt modelId="{D092584B-9541-4DA1-A1A8-2EAD34FA6DBA}" type="parTrans" cxnId="{E77DD0B6-4459-4B6B-928A-AEE5095F08A4}">
      <dgm:prSet/>
      <dgm:spPr/>
      <dgm:t>
        <a:bodyPr/>
        <a:lstStyle/>
        <a:p>
          <a:endParaRPr lang="en-GB"/>
        </a:p>
      </dgm:t>
    </dgm:pt>
    <dgm:pt modelId="{02222661-7E69-45E5-9921-D5E049EB225D}" type="sibTrans" cxnId="{E77DD0B6-4459-4B6B-928A-AEE5095F08A4}">
      <dgm:prSet/>
      <dgm:spPr/>
      <dgm:t>
        <a:bodyPr/>
        <a:lstStyle/>
        <a:p>
          <a:endParaRPr lang="en-GB"/>
        </a:p>
      </dgm:t>
    </dgm:pt>
    <dgm:pt modelId="{155A9FD9-3C49-4AAC-8FCE-DE43E0DA862B}">
      <dgm:prSet phldrT="[Text]"/>
      <dgm:spPr/>
      <dgm:t>
        <a:bodyPr/>
        <a:lstStyle/>
        <a:p>
          <a:r>
            <a:rPr lang="en-GB"/>
            <a:t>Our People</a:t>
          </a:r>
        </a:p>
      </dgm:t>
    </dgm:pt>
    <dgm:pt modelId="{7C68363F-1F59-4738-A448-C4B64370CB05}" type="parTrans" cxnId="{5FBD5D67-47D3-4558-B5AB-034C147F9294}">
      <dgm:prSet/>
      <dgm:spPr/>
      <dgm:t>
        <a:bodyPr/>
        <a:lstStyle/>
        <a:p>
          <a:endParaRPr lang="en-GB"/>
        </a:p>
      </dgm:t>
    </dgm:pt>
    <dgm:pt modelId="{00B80D01-0FB7-4E47-ADA4-C53B53AD5BE1}" type="sibTrans" cxnId="{5FBD5D67-47D3-4558-B5AB-034C147F9294}">
      <dgm:prSet/>
      <dgm:spPr/>
      <dgm:t>
        <a:bodyPr/>
        <a:lstStyle/>
        <a:p>
          <a:endParaRPr lang="en-GB"/>
        </a:p>
      </dgm:t>
    </dgm:pt>
    <dgm:pt modelId="{1817C3B8-2AF8-4E88-A3DE-B6FF220E0820}">
      <dgm:prSet phldrT="[Text]"/>
      <dgm:spPr/>
      <dgm:t>
        <a:bodyPr/>
        <a:lstStyle/>
        <a:p>
          <a:r>
            <a:rPr lang="en-GB"/>
            <a:t>LOTS</a:t>
          </a:r>
          <a:r>
            <a:rPr lang="en-GB" baseline="30000">
              <a:latin typeface="Times New Roman" panose="02020603050405020304" pitchFamily="18" charset="0"/>
              <a:cs typeface="Times New Roman" panose="02020603050405020304" pitchFamily="18" charset="0"/>
            </a:rPr>
            <a:t>® </a:t>
          </a:r>
          <a:r>
            <a:rPr lang="en-GB" baseline="0">
              <a:latin typeface="Times New Roman" panose="02020603050405020304" pitchFamily="18" charset="0"/>
              <a:cs typeface="Times New Roman" panose="02020603050405020304" pitchFamily="18" charset="0"/>
            </a:rPr>
            <a:t>Business Planning</a:t>
          </a:r>
          <a:endParaRPr lang="en-GB" baseline="0"/>
        </a:p>
      </dgm:t>
    </dgm:pt>
    <dgm:pt modelId="{6D684486-539F-4908-8878-35F943992F6A}" type="parTrans" cxnId="{15A6E91F-5B5A-4899-B7A1-C4BDAC61D45C}">
      <dgm:prSet/>
      <dgm:spPr/>
      <dgm:t>
        <a:bodyPr/>
        <a:lstStyle/>
        <a:p>
          <a:endParaRPr lang="en-GB"/>
        </a:p>
      </dgm:t>
    </dgm:pt>
    <dgm:pt modelId="{0BF8033B-8999-44A1-A4EC-911D9236E467}" type="sibTrans" cxnId="{15A6E91F-5B5A-4899-B7A1-C4BDAC61D45C}">
      <dgm:prSet/>
      <dgm:spPr/>
      <dgm:t>
        <a:bodyPr/>
        <a:lstStyle/>
        <a:p>
          <a:endParaRPr lang="en-GB"/>
        </a:p>
      </dgm:t>
    </dgm:pt>
    <dgm:pt modelId="{3D3D59AD-03B1-43F0-808B-9337693C060C}">
      <dgm:prSet phldrT="[Text]"/>
      <dgm:spPr/>
      <dgm:t>
        <a:bodyPr/>
        <a:lstStyle/>
        <a:p>
          <a:r>
            <a:rPr lang="en-GB"/>
            <a:t>Calibration</a:t>
          </a:r>
        </a:p>
      </dgm:t>
    </dgm:pt>
    <dgm:pt modelId="{21F29E9B-2406-4DEB-BF29-3B0DDD8EA15E}" type="parTrans" cxnId="{BB5005E4-5ACB-4394-9BBE-020E7B817BFA}">
      <dgm:prSet/>
      <dgm:spPr/>
      <dgm:t>
        <a:bodyPr/>
        <a:lstStyle/>
        <a:p>
          <a:endParaRPr lang="en-GB"/>
        </a:p>
      </dgm:t>
    </dgm:pt>
    <dgm:pt modelId="{C1D2C522-0F4D-418A-A607-4BD7B1837C79}" type="sibTrans" cxnId="{BB5005E4-5ACB-4394-9BBE-020E7B817BFA}">
      <dgm:prSet/>
      <dgm:spPr/>
      <dgm:t>
        <a:bodyPr/>
        <a:lstStyle/>
        <a:p>
          <a:endParaRPr lang="en-GB"/>
        </a:p>
      </dgm:t>
    </dgm:pt>
    <dgm:pt modelId="{8BC2329A-27F8-4387-AB2D-BEEF5C9C5468}">
      <dgm:prSet phldrT="[Text]"/>
      <dgm:spPr/>
      <dgm:t>
        <a:bodyPr/>
        <a:lstStyle/>
        <a:p>
          <a:r>
            <a:rPr lang="en-GB"/>
            <a:t>Barometer</a:t>
          </a:r>
        </a:p>
      </dgm:t>
    </dgm:pt>
    <dgm:pt modelId="{7061DDBE-EADD-4C8E-9E52-407EEB92E0FF}" type="parTrans" cxnId="{A256412F-C766-4903-BF3A-58A380B5EA96}">
      <dgm:prSet/>
      <dgm:spPr/>
      <dgm:t>
        <a:bodyPr/>
        <a:lstStyle/>
        <a:p>
          <a:endParaRPr lang="en-GB"/>
        </a:p>
      </dgm:t>
    </dgm:pt>
    <dgm:pt modelId="{1AB19245-F497-4EDE-8278-803DCF878423}" type="sibTrans" cxnId="{A256412F-C766-4903-BF3A-58A380B5EA96}">
      <dgm:prSet/>
      <dgm:spPr/>
      <dgm:t>
        <a:bodyPr/>
        <a:lstStyle/>
        <a:p>
          <a:endParaRPr lang="en-GB"/>
        </a:p>
      </dgm:t>
    </dgm:pt>
    <dgm:pt modelId="{787D078F-7E40-4430-9292-7FD5AB7DE016}" type="pres">
      <dgm:prSet presAssocID="{1B6ABC1A-4579-4170-A8A0-0C7B5BCD88CB}" presName="cycle" presStyleCnt="0">
        <dgm:presLayoutVars>
          <dgm:dir/>
          <dgm:resizeHandles val="exact"/>
        </dgm:presLayoutVars>
      </dgm:prSet>
      <dgm:spPr/>
    </dgm:pt>
    <dgm:pt modelId="{4D350EC8-6BD7-44A7-97D0-93D6AB94EC23}" type="pres">
      <dgm:prSet presAssocID="{0F1DFA55-1E3D-462B-BC26-1DD97BB79501}" presName="node" presStyleLbl="node1" presStyleIdx="0" presStyleCnt="6">
        <dgm:presLayoutVars>
          <dgm:bulletEnabled val="1"/>
        </dgm:presLayoutVars>
      </dgm:prSet>
      <dgm:spPr/>
    </dgm:pt>
    <dgm:pt modelId="{450A5FA6-921F-4B85-A561-6026A46A5E34}" type="pres">
      <dgm:prSet presAssocID="{905ED1EC-1F35-433D-AEB5-7B35C428015F}" presName="sibTrans" presStyleLbl="sibTrans2D1" presStyleIdx="0" presStyleCnt="6"/>
      <dgm:spPr/>
    </dgm:pt>
    <dgm:pt modelId="{DBFD74C9-DC96-4389-BDD7-48CA151F8C1A}" type="pres">
      <dgm:prSet presAssocID="{905ED1EC-1F35-433D-AEB5-7B35C428015F}" presName="connectorText" presStyleLbl="sibTrans2D1" presStyleIdx="0" presStyleCnt="6"/>
      <dgm:spPr/>
    </dgm:pt>
    <dgm:pt modelId="{FC3762B4-6D99-46F9-AC06-41B67A835577}" type="pres">
      <dgm:prSet presAssocID="{275F7176-1A23-4028-B572-3B81EE2EC087}" presName="node" presStyleLbl="node1" presStyleIdx="1" presStyleCnt="6">
        <dgm:presLayoutVars>
          <dgm:bulletEnabled val="1"/>
        </dgm:presLayoutVars>
      </dgm:prSet>
      <dgm:spPr/>
    </dgm:pt>
    <dgm:pt modelId="{EBB845ED-FCB3-419F-989E-F673F454DD7C}" type="pres">
      <dgm:prSet presAssocID="{02222661-7E69-45E5-9921-D5E049EB225D}" presName="sibTrans" presStyleLbl="sibTrans2D1" presStyleIdx="1" presStyleCnt="6"/>
      <dgm:spPr/>
    </dgm:pt>
    <dgm:pt modelId="{2A3E8D25-6C5C-43A8-816B-95F597E9B3DC}" type="pres">
      <dgm:prSet presAssocID="{02222661-7E69-45E5-9921-D5E049EB225D}" presName="connectorText" presStyleLbl="sibTrans2D1" presStyleIdx="1" presStyleCnt="6"/>
      <dgm:spPr/>
    </dgm:pt>
    <dgm:pt modelId="{C841FE0B-4E6E-4070-B53E-B7AF655C64EC}" type="pres">
      <dgm:prSet presAssocID="{155A9FD9-3C49-4AAC-8FCE-DE43E0DA862B}" presName="node" presStyleLbl="node1" presStyleIdx="2" presStyleCnt="6">
        <dgm:presLayoutVars>
          <dgm:bulletEnabled val="1"/>
        </dgm:presLayoutVars>
      </dgm:prSet>
      <dgm:spPr/>
    </dgm:pt>
    <dgm:pt modelId="{9B9D37A3-36B6-4C60-AF39-4842E7FE303F}" type="pres">
      <dgm:prSet presAssocID="{00B80D01-0FB7-4E47-ADA4-C53B53AD5BE1}" presName="sibTrans" presStyleLbl="sibTrans2D1" presStyleIdx="2" presStyleCnt="6"/>
      <dgm:spPr/>
    </dgm:pt>
    <dgm:pt modelId="{8A7D20CF-3FE9-4CD0-93F8-A185DEA2E63E}" type="pres">
      <dgm:prSet presAssocID="{00B80D01-0FB7-4E47-ADA4-C53B53AD5BE1}" presName="connectorText" presStyleLbl="sibTrans2D1" presStyleIdx="2" presStyleCnt="6"/>
      <dgm:spPr/>
    </dgm:pt>
    <dgm:pt modelId="{C58494E0-97E4-4753-B541-124D8C8D52DD}" type="pres">
      <dgm:prSet presAssocID="{1817C3B8-2AF8-4E88-A3DE-B6FF220E0820}" presName="node" presStyleLbl="node1" presStyleIdx="3" presStyleCnt="6" custRadScaleRad="100026" custRadScaleInc="-30">
        <dgm:presLayoutVars>
          <dgm:bulletEnabled val="1"/>
        </dgm:presLayoutVars>
      </dgm:prSet>
      <dgm:spPr/>
    </dgm:pt>
    <dgm:pt modelId="{0E3A6058-DE05-4AF0-90C4-E966DA4E874F}" type="pres">
      <dgm:prSet presAssocID="{0BF8033B-8999-44A1-A4EC-911D9236E467}" presName="sibTrans" presStyleLbl="sibTrans2D1" presStyleIdx="3" presStyleCnt="6"/>
      <dgm:spPr/>
    </dgm:pt>
    <dgm:pt modelId="{E319F400-4460-4D9D-A6CF-27D5CA10FEA9}" type="pres">
      <dgm:prSet presAssocID="{0BF8033B-8999-44A1-A4EC-911D9236E467}" presName="connectorText" presStyleLbl="sibTrans2D1" presStyleIdx="3" presStyleCnt="6"/>
      <dgm:spPr/>
    </dgm:pt>
    <dgm:pt modelId="{298527DA-56C6-44F6-9B14-605C2E798BA6}" type="pres">
      <dgm:prSet presAssocID="{8BC2329A-27F8-4387-AB2D-BEEF5C9C5468}" presName="node" presStyleLbl="node1" presStyleIdx="4" presStyleCnt="6">
        <dgm:presLayoutVars>
          <dgm:bulletEnabled val="1"/>
        </dgm:presLayoutVars>
      </dgm:prSet>
      <dgm:spPr/>
    </dgm:pt>
    <dgm:pt modelId="{D05E8A0F-E1F0-4213-99CF-48D97ED199BE}" type="pres">
      <dgm:prSet presAssocID="{1AB19245-F497-4EDE-8278-803DCF878423}" presName="sibTrans" presStyleLbl="sibTrans2D1" presStyleIdx="4" presStyleCnt="6"/>
      <dgm:spPr/>
    </dgm:pt>
    <dgm:pt modelId="{A55A8407-908A-42E7-AD54-073040F46BBE}" type="pres">
      <dgm:prSet presAssocID="{1AB19245-F497-4EDE-8278-803DCF878423}" presName="connectorText" presStyleLbl="sibTrans2D1" presStyleIdx="4" presStyleCnt="6"/>
      <dgm:spPr/>
    </dgm:pt>
    <dgm:pt modelId="{29EBE451-8F70-4577-A8E6-4EC9602B00BC}" type="pres">
      <dgm:prSet presAssocID="{3D3D59AD-03B1-43F0-808B-9337693C060C}" presName="node" presStyleLbl="node1" presStyleIdx="5" presStyleCnt="6">
        <dgm:presLayoutVars>
          <dgm:bulletEnabled val="1"/>
        </dgm:presLayoutVars>
      </dgm:prSet>
      <dgm:spPr/>
    </dgm:pt>
    <dgm:pt modelId="{F81B8D13-44AA-4E4D-8899-1108D48D272A}" type="pres">
      <dgm:prSet presAssocID="{C1D2C522-0F4D-418A-A607-4BD7B1837C79}" presName="sibTrans" presStyleLbl="sibTrans2D1" presStyleIdx="5" presStyleCnt="6"/>
      <dgm:spPr/>
    </dgm:pt>
    <dgm:pt modelId="{4559317B-7EC3-4B0D-9720-19BD009E4300}" type="pres">
      <dgm:prSet presAssocID="{C1D2C522-0F4D-418A-A607-4BD7B1837C79}" presName="connectorText" presStyleLbl="sibTrans2D1" presStyleIdx="5" presStyleCnt="6"/>
      <dgm:spPr/>
    </dgm:pt>
  </dgm:ptLst>
  <dgm:cxnLst>
    <dgm:cxn modelId="{EE790714-AECC-4E12-BF9F-E0C5CA44A567}" type="presOf" srcId="{0BF8033B-8999-44A1-A4EC-911D9236E467}" destId="{0E3A6058-DE05-4AF0-90C4-E966DA4E874F}" srcOrd="0" destOrd="0" presId="urn:microsoft.com/office/officeart/2005/8/layout/cycle2"/>
    <dgm:cxn modelId="{56789A17-5653-4D9E-8564-18DF820CC8AD}" type="presOf" srcId="{02222661-7E69-45E5-9921-D5E049EB225D}" destId="{2A3E8D25-6C5C-43A8-816B-95F597E9B3DC}" srcOrd="1" destOrd="0" presId="urn:microsoft.com/office/officeart/2005/8/layout/cycle2"/>
    <dgm:cxn modelId="{F1D71019-2F2B-46B4-87EB-07E166720A26}" type="presOf" srcId="{C1D2C522-0F4D-418A-A607-4BD7B1837C79}" destId="{F81B8D13-44AA-4E4D-8899-1108D48D272A}" srcOrd="0" destOrd="0" presId="urn:microsoft.com/office/officeart/2005/8/layout/cycle2"/>
    <dgm:cxn modelId="{15A6E91F-5B5A-4899-B7A1-C4BDAC61D45C}" srcId="{1B6ABC1A-4579-4170-A8A0-0C7B5BCD88CB}" destId="{1817C3B8-2AF8-4E88-A3DE-B6FF220E0820}" srcOrd="3" destOrd="0" parTransId="{6D684486-539F-4908-8878-35F943992F6A}" sibTransId="{0BF8033B-8999-44A1-A4EC-911D9236E467}"/>
    <dgm:cxn modelId="{C8C1E422-649B-4F6E-8DD4-1D64119FBE69}" type="presOf" srcId="{1AB19245-F497-4EDE-8278-803DCF878423}" destId="{D05E8A0F-E1F0-4213-99CF-48D97ED199BE}" srcOrd="0" destOrd="0" presId="urn:microsoft.com/office/officeart/2005/8/layout/cycle2"/>
    <dgm:cxn modelId="{D5CFD529-15ED-4E33-B26A-C73CBFE841C6}" type="presOf" srcId="{8BC2329A-27F8-4387-AB2D-BEEF5C9C5468}" destId="{298527DA-56C6-44F6-9B14-605C2E798BA6}" srcOrd="0" destOrd="0" presId="urn:microsoft.com/office/officeart/2005/8/layout/cycle2"/>
    <dgm:cxn modelId="{A256412F-C766-4903-BF3A-58A380B5EA96}" srcId="{1B6ABC1A-4579-4170-A8A0-0C7B5BCD88CB}" destId="{8BC2329A-27F8-4387-AB2D-BEEF5C9C5468}" srcOrd="4" destOrd="0" parTransId="{7061DDBE-EADD-4C8E-9E52-407EEB92E0FF}" sibTransId="{1AB19245-F497-4EDE-8278-803DCF878423}"/>
    <dgm:cxn modelId="{D5CDA631-CF3E-4878-8F71-ED74CF7A553E}" type="presOf" srcId="{C1D2C522-0F4D-418A-A607-4BD7B1837C79}" destId="{4559317B-7EC3-4B0D-9720-19BD009E4300}" srcOrd="1" destOrd="0" presId="urn:microsoft.com/office/officeart/2005/8/layout/cycle2"/>
    <dgm:cxn modelId="{B5B65435-13D0-4462-B547-054977BF8230}" type="presOf" srcId="{275F7176-1A23-4028-B572-3B81EE2EC087}" destId="{FC3762B4-6D99-46F9-AC06-41B67A835577}" srcOrd="0" destOrd="0" presId="urn:microsoft.com/office/officeart/2005/8/layout/cycle2"/>
    <dgm:cxn modelId="{AB37F43D-10E5-4912-BB1F-D453024BE5AD}" type="presOf" srcId="{1AB19245-F497-4EDE-8278-803DCF878423}" destId="{A55A8407-908A-42E7-AD54-073040F46BBE}" srcOrd="1" destOrd="0" presId="urn:microsoft.com/office/officeart/2005/8/layout/cycle2"/>
    <dgm:cxn modelId="{5FBD5D67-47D3-4558-B5AB-034C147F9294}" srcId="{1B6ABC1A-4579-4170-A8A0-0C7B5BCD88CB}" destId="{155A9FD9-3C49-4AAC-8FCE-DE43E0DA862B}" srcOrd="2" destOrd="0" parTransId="{7C68363F-1F59-4738-A448-C4B64370CB05}" sibTransId="{00B80D01-0FB7-4E47-ADA4-C53B53AD5BE1}"/>
    <dgm:cxn modelId="{80BA526B-021C-42DC-B38E-9AFC484BB2C9}" type="presOf" srcId="{905ED1EC-1F35-433D-AEB5-7B35C428015F}" destId="{450A5FA6-921F-4B85-A561-6026A46A5E34}" srcOrd="0" destOrd="0" presId="urn:microsoft.com/office/officeart/2005/8/layout/cycle2"/>
    <dgm:cxn modelId="{8BABB66F-7775-48CA-9B6D-753B338B7C99}" type="presOf" srcId="{155A9FD9-3C49-4AAC-8FCE-DE43E0DA862B}" destId="{C841FE0B-4E6E-4070-B53E-B7AF655C64EC}" srcOrd="0" destOrd="0" presId="urn:microsoft.com/office/officeart/2005/8/layout/cycle2"/>
    <dgm:cxn modelId="{12AD7770-718F-40B8-86D1-DD4D9E2A7623}" type="presOf" srcId="{905ED1EC-1F35-433D-AEB5-7B35C428015F}" destId="{DBFD74C9-DC96-4389-BDD7-48CA151F8C1A}" srcOrd="1" destOrd="0" presId="urn:microsoft.com/office/officeart/2005/8/layout/cycle2"/>
    <dgm:cxn modelId="{A4868674-316C-4DA6-9AA7-07E05C31086B}" srcId="{1B6ABC1A-4579-4170-A8A0-0C7B5BCD88CB}" destId="{0F1DFA55-1E3D-462B-BC26-1DD97BB79501}" srcOrd="0" destOrd="0" parTransId="{8ABDE645-D741-472A-A385-D60D064265E1}" sibTransId="{905ED1EC-1F35-433D-AEB5-7B35C428015F}"/>
    <dgm:cxn modelId="{DC344A8D-B9FA-4B86-BAD8-7853EE50BBAE}" type="presOf" srcId="{0F1DFA55-1E3D-462B-BC26-1DD97BB79501}" destId="{4D350EC8-6BD7-44A7-97D0-93D6AB94EC23}" srcOrd="0" destOrd="0" presId="urn:microsoft.com/office/officeart/2005/8/layout/cycle2"/>
    <dgm:cxn modelId="{C429A6A7-911B-4467-B0B7-D01EFE74CA95}" type="presOf" srcId="{00B80D01-0FB7-4E47-ADA4-C53B53AD5BE1}" destId="{9B9D37A3-36B6-4C60-AF39-4842E7FE303F}" srcOrd="0" destOrd="0" presId="urn:microsoft.com/office/officeart/2005/8/layout/cycle2"/>
    <dgm:cxn modelId="{088CF8AD-2DB1-4021-85CE-84506438BB8E}" type="presOf" srcId="{3D3D59AD-03B1-43F0-808B-9337693C060C}" destId="{29EBE451-8F70-4577-A8E6-4EC9602B00BC}" srcOrd="0" destOrd="0" presId="urn:microsoft.com/office/officeart/2005/8/layout/cycle2"/>
    <dgm:cxn modelId="{F4ECF1B1-3C90-4CE1-BA20-95BB307BD85F}" type="presOf" srcId="{1817C3B8-2AF8-4E88-A3DE-B6FF220E0820}" destId="{C58494E0-97E4-4753-B541-124D8C8D52DD}" srcOrd="0" destOrd="0" presId="urn:microsoft.com/office/officeart/2005/8/layout/cycle2"/>
    <dgm:cxn modelId="{EC85F3B4-15D5-4283-B5EE-8ACA17FBC142}" type="presOf" srcId="{02222661-7E69-45E5-9921-D5E049EB225D}" destId="{EBB845ED-FCB3-419F-989E-F673F454DD7C}" srcOrd="0" destOrd="0" presId="urn:microsoft.com/office/officeart/2005/8/layout/cycle2"/>
    <dgm:cxn modelId="{E77DD0B6-4459-4B6B-928A-AEE5095F08A4}" srcId="{1B6ABC1A-4579-4170-A8A0-0C7B5BCD88CB}" destId="{275F7176-1A23-4028-B572-3B81EE2EC087}" srcOrd="1" destOrd="0" parTransId="{D092584B-9541-4DA1-A1A8-2EAD34FA6DBA}" sibTransId="{02222661-7E69-45E5-9921-D5E049EB225D}"/>
    <dgm:cxn modelId="{BB5005E4-5ACB-4394-9BBE-020E7B817BFA}" srcId="{1B6ABC1A-4579-4170-A8A0-0C7B5BCD88CB}" destId="{3D3D59AD-03B1-43F0-808B-9337693C060C}" srcOrd="5" destOrd="0" parTransId="{21F29E9B-2406-4DEB-BF29-3B0DDD8EA15E}" sibTransId="{C1D2C522-0F4D-418A-A607-4BD7B1837C79}"/>
    <dgm:cxn modelId="{530F9AEE-BF3B-4370-A984-33239E04EA2A}" type="presOf" srcId="{1B6ABC1A-4579-4170-A8A0-0C7B5BCD88CB}" destId="{787D078F-7E40-4430-9292-7FD5AB7DE016}" srcOrd="0" destOrd="0" presId="urn:microsoft.com/office/officeart/2005/8/layout/cycle2"/>
    <dgm:cxn modelId="{B98271F3-EB48-427E-B87A-0E95CFBFA5B8}" type="presOf" srcId="{0BF8033B-8999-44A1-A4EC-911D9236E467}" destId="{E319F400-4460-4D9D-A6CF-27D5CA10FEA9}" srcOrd="1" destOrd="0" presId="urn:microsoft.com/office/officeart/2005/8/layout/cycle2"/>
    <dgm:cxn modelId="{03BF6DF7-C23D-496C-B898-9F7055CB8068}" type="presOf" srcId="{00B80D01-0FB7-4E47-ADA4-C53B53AD5BE1}" destId="{8A7D20CF-3FE9-4CD0-93F8-A185DEA2E63E}" srcOrd="1" destOrd="0" presId="urn:microsoft.com/office/officeart/2005/8/layout/cycle2"/>
    <dgm:cxn modelId="{14D13B4C-3DC5-4DC9-9AAB-34D5D61340FF}" type="presParOf" srcId="{787D078F-7E40-4430-9292-7FD5AB7DE016}" destId="{4D350EC8-6BD7-44A7-97D0-93D6AB94EC23}" srcOrd="0" destOrd="0" presId="urn:microsoft.com/office/officeart/2005/8/layout/cycle2"/>
    <dgm:cxn modelId="{BBBEDA29-949C-4B5E-845B-6DA774606EC3}" type="presParOf" srcId="{787D078F-7E40-4430-9292-7FD5AB7DE016}" destId="{450A5FA6-921F-4B85-A561-6026A46A5E34}" srcOrd="1" destOrd="0" presId="urn:microsoft.com/office/officeart/2005/8/layout/cycle2"/>
    <dgm:cxn modelId="{F2BD7CE5-12D1-4F52-9ABA-7935C9C42718}" type="presParOf" srcId="{450A5FA6-921F-4B85-A561-6026A46A5E34}" destId="{DBFD74C9-DC96-4389-BDD7-48CA151F8C1A}" srcOrd="0" destOrd="0" presId="urn:microsoft.com/office/officeart/2005/8/layout/cycle2"/>
    <dgm:cxn modelId="{A9B72C41-6A2F-4222-ABCA-8BC5DAD06081}" type="presParOf" srcId="{787D078F-7E40-4430-9292-7FD5AB7DE016}" destId="{FC3762B4-6D99-46F9-AC06-41B67A835577}" srcOrd="2" destOrd="0" presId="urn:microsoft.com/office/officeart/2005/8/layout/cycle2"/>
    <dgm:cxn modelId="{AA60EC88-19CB-46DE-8DE7-A3C433F5FFFE}" type="presParOf" srcId="{787D078F-7E40-4430-9292-7FD5AB7DE016}" destId="{EBB845ED-FCB3-419F-989E-F673F454DD7C}" srcOrd="3" destOrd="0" presId="urn:microsoft.com/office/officeart/2005/8/layout/cycle2"/>
    <dgm:cxn modelId="{9B4455D4-0B4F-42C3-B401-EA3894C7A6DB}" type="presParOf" srcId="{EBB845ED-FCB3-419F-989E-F673F454DD7C}" destId="{2A3E8D25-6C5C-43A8-816B-95F597E9B3DC}" srcOrd="0" destOrd="0" presId="urn:microsoft.com/office/officeart/2005/8/layout/cycle2"/>
    <dgm:cxn modelId="{BE0C648B-05F7-4F91-855F-6FAA8F67AE35}" type="presParOf" srcId="{787D078F-7E40-4430-9292-7FD5AB7DE016}" destId="{C841FE0B-4E6E-4070-B53E-B7AF655C64EC}" srcOrd="4" destOrd="0" presId="urn:microsoft.com/office/officeart/2005/8/layout/cycle2"/>
    <dgm:cxn modelId="{F57CD6A5-798C-4766-AECA-97A857A29C78}" type="presParOf" srcId="{787D078F-7E40-4430-9292-7FD5AB7DE016}" destId="{9B9D37A3-36B6-4C60-AF39-4842E7FE303F}" srcOrd="5" destOrd="0" presId="urn:microsoft.com/office/officeart/2005/8/layout/cycle2"/>
    <dgm:cxn modelId="{47496197-E954-47CA-A940-46E4677D4E2B}" type="presParOf" srcId="{9B9D37A3-36B6-4C60-AF39-4842E7FE303F}" destId="{8A7D20CF-3FE9-4CD0-93F8-A185DEA2E63E}" srcOrd="0" destOrd="0" presId="urn:microsoft.com/office/officeart/2005/8/layout/cycle2"/>
    <dgm:cxn modelId="{5AC13FAA-0ADD-449F-B061-4D4EF9D62843}" type="presParOf" srcId="{787D078F-7E40-4430-9292-7FD5AB7DE016}" destId="{C58494E0-97E4-4753-B541-124D8C8D52DD}" srcOrd="6" destOrd="0" presId="urn:microsoft.com/office/officeart/2005/8/layout/cycle2"/>
    <dgm:cxn modelId="{81A0F04D-7371-47EB-955E-1361BB55211C}" type="presParOf" srcId="{787D078F-7E40-4430-9292-7FD5AB7DE016}" destId="{0E3A6058-DE05-4AF0-90C4-E966DA4E874F}" srcOrd="7" destOrd="0" presId="urn:microsoft.com/office/officeart/2005/8/layout/cycle2"/>
    <dgm:cxn modelId="{06B670F3-7C58-44F1-B1B8-DA3CACCC3FE5}" type="presParOf" srcId="{0E3A6058-DE05-4AF0-90C4-E966DA4E874F}" destId="{E319F400-4460-4D9D-A6CF-27D5CA10FEA9}" srcOrd="0" destOrd="0" presId="urn:microsoft.com/office/officeart/2005/8/layout/cycle2"/>
    <dgm:cxn modelId="{58B6B178-4B55-4A47-B821-2E6B2EF51B3D}" type="presParOf" srcId="{787D078F-7E40-4430-9292-7FD5AB7DE016}" destId="{298527DA-56C6-44F6-9B14-605C2E798BA6}" srcOrd="8" destOrd="0" presId="urn:microsoft.com/office/officeart/2005/8/layout/cycle2"/>
    <dgm:cxn modelId="{0C0137FC-3D9B-461A-AC7B-E6AAC5AC8ACB}" type="presParOf" srcId="{787D078F-7E40-4430-9292-7FD5AB7DE016}" destId="{D05E8A0F-E1F0-4213-99CF-48D97ED199BE}" srcOrd="9" destOrd="0" presId="urn:microsoft.com/office/officeart/2005/8/layout/cycle2"/>
    <dgm:cxn modelId="{8B525F53-6E65-49AD-AC17-E91708DAB341}" type="presParOf" srcId="{D05E8A0F-E1F0-4213-99CF-48D97ED199BE}" destId="{A55A8407-908A-42E7-AD54-073040F46BBE}" srcOrd="0" destOrd="0" presId="urn:microsoft.com/office/officeart/2005/8/layout/cycle2"/>
    <dgm:cxn modelId="{2FB96370-51C4-4411-9311-DC0D2D275DB6}" type="presParOf" srcId="{787D078F-7E40-4430-9292-7FD5AB7DE016}" destId="{29EBE451-8F70-4577-A8E6-4EC9602B00BC}" srcOrd="10" destOrd="0" presId="urn:microsoft.com/office/officeart/2005/8/layout/cycle2"/>
    <dgm:cxn modelId="{C72C7A73-098E-48EF-9B53-DF6466AE45F4}" type="presParOf" srcId="{787D078F-7E40-4430-9292-7FD5AB7DE016}" destId="{F81B8D13-44AA-4E4D-8899-1108D48D272A}" srcOrd="11" destOrd="0" presId="urn:microsoft.com/office/officeart/2005/8/layout/cycle2"/>
    <dgm:cxn modelId="{186504A8-BCEB-4442-8115-EA20CA8F70CA}" type="presParOf" srcId="{F81B8D13-44AA-4E4D-8899-1108D48D272A}" destId="{4559317B-7EC3-4B0D-9720-19BD009E4300}" srcOrd="0" destOrd="0" presId="urn:microsoft.com/office/officeart/2005/8/layout/cycle2"/>
  </dgm:cxnLst>
  <dgm:bg/>
  <dgm:whole>
    <a:ln w="22225">
      <a:solidFill>
        <a:schemeClr val="dk2">
          <a:shade val="80000"/>
          <a:hueOff val="0"/>
          <a:satOff val="0"/>
          <a:lumOff val="0"/>
        </a:schemeClr>
      </a:solidFill>
    </a:ln>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D350EC8-6BD7-44A7-97D0-93D6AB94EC23}">
      <dsp:nvSpPr>
        <dsp:cNvPr id="0" name=""/>
        <dsp:cNvSpPr/>
      </dsp:nvSpPr>
      <dsp:spPr>
        <a:xfrm>
          <a:off x="2377401" y="560"/>
          <a:ext cx="976707" cy="976707"/>
        </a:xfrm>
        <a:prstGeom prst="ellipse">
          <a:avLst/>
        </a:prstGeom>
        <a:solidFill>
          <a:schemeClr val="accent1">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Dialogue</a:t>
          </a:r>
        </a:p>
      </dsp:txBody>
      <dsp:txXfrm>
        <a:off x="2520436" y="143595"/>
        <a:ext cx="690637" cy="690637"/>
      </dsp:txXfrm>
    </dsp:sp>
    <dsp:sp modelId="{450A5FA6-921F-4B85-A561-6026A46A5E34}">
      <dsp:nvSpPr>
        <dsp:cNvPr id="0" name=""/>
        <dsp:cNvSpPr/>
      </dsp:nvSpPr>
      <dsp:spPr>
        <a:xfrm rot="1800000">
          <a:off x="3364709" y="687200"/>
          <a:ext cx="259927" cy="329638"/>
        </a:xfrm>
        <a:prstGeom prst="rightArrow">
          <a:avLst>
            <a:gd name="adj1" fmla="val 60000"/>
            <a:gd name="adj2" fmla="val 50000"/>
          </a:avLst>
        </a:prstGeom>
        <a:solidFill>
          <a:schemeClr val="accent1">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3369933" y="733634"/>
        <a:ext cx="181949" cy="197782"/>
      </dsp:txXfrm>
    </dsp:sp>
    <dsp:sp modelId="{FC3762B4-6D99-46F9-AC06-41B67A835577}">
      <dsp:nvSpPr>
        <dsp:cNvPr id="0" name=""/>
        <dsp:cNvSpPr/>
      </dsp:nvSpPr>
      <dsp:spPr>
        <a:xfrm>
          <a:off x="3647978" y="734128"/>
          <a:ext cx="976707" cy="976707"/>
        </a:xfrm>
        <a:prstGeom prst="ellipse">
          <a:avLst/>
        </a:prstGeom>
        <a:solidFill>
          <a:schemeClr val="accent1">
            <a:shade val="80000"/>
            <a:hueOff val="109120"/>
            <a:satOff val="-11378"/>
            <a:lumOff val="764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Salary Review &amp; Variable Pay</a:t>
          </a:r>
        </a:p>
      </dsp:txBody>
      <dsp:txXfrm>
        <a:off x="3791013" y="877163"/>
        <a:ext cx="690637" cy="690637"/>
      </dsp:txXfrm>
    </dsp:sp>
    <dsp:sp modelId="{EBB845ED-FCB3-419F-989E-F673F454DD7C}">
      <dsp:nvSpPr>
        <dsp:cNvPr id="0" name=""/>
        <dsp:cNvSpPr/>
      </dsp:nvSpPr>
      <dsp:spPr>
        <a:xfrm rot="5400000">
          <a:off x="4006368" y="1783874"/>
          <a:ext cx="259927" cy="329638"/>
        </a:xfrm>
        <a:prstGeom prst="rightArrow">
          <a:avLst>
            <a:gd name="adj1" fmla="val 60000"/>
            <a:gd name="adj2" fmla="val 50000"/>
          </a:avLst>
        </a:prstGeom>
        <a:solidFill>
          <a:schemeClr val="accent1">
            <a:shade val="90000"/>
            <a:hueOff val="109088"/>
            <a:satOff val="-11234"/>
            <a:lumOff val="732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4045357" y="1810813"/>
        <a:ext cx="181949" cy="197782"/>
      </dsp:txXfrm>
    </dsp:sp>
    <dsp:sp modelId="{C841FE0B-4E6E-4070-B53E-B7AF655C64EC}">
      <dsp:nvSpPr>
        <dsp:cNvPr id="0" name=""/>
        <dsp:cNvSpPr/>
      </dsp:nvSpPr>
      <dsp:spPr>
        <a:xfrm>
          <a:off x="3647978" y="2201264"/>
          <a:ext cx="976707" cy="976707"/>
        </a:xfrm>
        <a:prstGeom prst="ellipse">
          <a:avLst/>
        </a:prstGeom>
        <a:solidFill>
          <a:schemeClr val="accent1">
            <a:shade val="80000"/>
            <a:hueOff val="218239"/>
            <a:satOff val="-22757"/>
            <a:lumOff val="1528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Our People</a:t>
          </a:r>
        </a:p>
      </dsp:txBody>
      <dsp:txXfrm>
        <a:off x="3791013" y="2344299"/>
        <a:ext cx="690637" cy="690637"/>
      </dsp:txXfrm>
    </dsp:sp>
    <dsp:sp modelId="{9B9D37A3-36B6-4C60-AF39-4842E7FE303F}">
      <dsp:nvSpPr>
        <dsp:cNvPr id="0" name=""/>
        <dsp:cNvSpPr/>
      </dsp:nvSpPr>
      <dsp:spPr>
        <a:xfrm rot="8998956">
          <a:off x="3377567" y="2888093"/>
          <a:ext cx="259922" cy="329638"/>
        </a:xfrm>
        <a:prstGeom prst="rightArrow">
          <a:avLst>
            <a:gd name="adj1" fmla="val 60000"/>
            <a:gd name="adj2" fmla="val 50000"/>
          </a:avLst>
        </a:prstGeom>
        <a:solidFill>
          <a:schemeClr val="accent1">
            <a:shade val="90000"/>
            <a:hueOff val="218176"/>
            <a:satOff val="-22467"/>
            <a:lumOff val="1464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3450315" y="2934516"/>
        <a:ext cx="181945" cy="197782"/>
      </dsp:txXfrm>
    </dsp:sp>
    <dsp:sp modelId="{C58494E0-97E4-4753-B541-124D8C8D52DD}">
      <dsp:nvSpPr>
        <dsp:cNvPr id="0" name=""/>
        <dsp:cNvSpPr/>
      </dsp:nvSpPr>
      <dsp:spPr>
        <a:xfrm>
          <a:off x="2377631" y="2935214"/>
          <a:ext cx="976707" cy="976707"/>
        </a:xfrm>
        <a:prstGeom prst="ellipse">
          <a:avLst/>
        </a:prstGeom>
        <a:solidFill>
          <a:schemeClr val="accent1">
            <a:shade val="80000"/>
            <a:hueOff val="327359"/>
            <a:satOff val="-34135"/>
            <a:lumOff val="2293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LOTS</a:t>
          </a:r>
          <a:r>
            <a:rPr lang="en-GB" sz="1000" kern="1200" baseline="30000">
              <a:latin typeface="Times New Roman" panose="02020603050405020304" pitchFamily="18" charset="0"/>
              <a:cs typeface="Times New Roman" panose="02020603050405020304" pitchFamily="18" charset="0"/>
            </a:rPr>
            <a:t>® </a:t>
          </a:r>
          <a:r>
            <a:rPr lang="en-GB" sz="1000" kern="1200" baseline="0">
              <a:latin typeface="Times New Roman" panose="02020603050405020304" pitchFamily="18" charset="0"/>
              <a:cs typeface="Times New Roman" panose="02020603050405020304" pitchFamily="18" charset="0"/>
            </a:rPr>
            <a:t>Business Planning</a:t>
          </a:r>
          <a:endParaRPr lang="en-GB" sz="1000" kern="1200" baseline="0"/>
        </a:p>
      </dsp:txBody>
      <dsp:txXfrm>
        <a:off x="2520666" y="3078249"/>
        <a:ext cx="690637" cy="690637"/>
      </dsp:txXfrm>
    </dsp:sp>
    <dsp:sp modelId="{0E3A6058-DE05-4AF0-90C4-E966DA4E874F}">
      <dsp:nvSpPr>
        <dsp:cNvPr id="0" name=""/>
        <dsp:cNvSpPr/>
      </dsp:nvSpPr>
      <dsp:spPr>
        <a:xfrm rot="12600504">
          <a:off x="2106890" y="2895455"/>
          <a:ext cx="260133" cy="329638"/>
        </a:xfrm>
        <a:prstGeom prst="rightArrow">
          <a:avLst>
            <a:gd name="adj1" fmla="val 60000"/>
            <a:gd name="adj2" fmla="val 50000"/>
          </a:avLst>
        </a:prstGeom>
        <a:solidFill>
          <a:schemeClr val="accent1">
            <a:shade val="90000"/>
            <a:hueOff val="327263"/>
            <a:satOff val="-33701"/>
            <a:lumOff val="21967"/>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2179699" y="2980898"/>
        <a:ext cx="182093" cy="197782"/>
      </dsp:txXfrm>
    </dsp:sp>
    <dsp:sp modelId="{298527DA-56C6-44F6-9B14-605C2E798BA6}">
      <dsp:nvSpPr>
        <dsp:cNvPr id="0" name=""/>
        <dsp:cNvSpPr/>
      </dsp:nvSpPr>
      <dsp:spPr>
        <a:xfrm>
          <a:off x="1106824" y="2201264"/>
          <a:ext cx="976707" cy="976707"/>
        </a:xfrm>
        <a:prstGeom prst="ellipse">
          <a:avLst/>
        </a:prstGeom>
        <a:solidFill>
          <a:schemeClr val="accent1">
            <a:shade val="80000"/>
            <a:hueOff val="436479"/>
            <a:satOff val="-45514"/>
            <a:lumOff val="305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Barometer</a:t>
          </a:r>
        </a:p>
      </dsp:txBody>
      <dsp:txXfrm>
        <a:off x="1249859" y="2344299"/>
        <a:ext cx="690637" cy="690637"/>
      </dsp:txXfrm>
    </dsp:sp>
    <dsp:sp modelId="{D05E8A0F-E1F0-4213-99CF-48D97ED199BE}">
      <dsp:nvSpPr>
        <dsp:cNvPr id="0" name=""/>
        <dsp:cNvSpPr/>
      </dsp:nvSpPr>
      <dsp:spPr>
        <a:xfrm rot="16200000">
          <a:off x="1465214" y="1798587"/>
          <a:ext cx="259927" cy="329638"/>
        </a:xfrm>
        <a:prstGeom prst="rightArrow">
          <a:avLst>
            <a:gd name="adj1" fmla="val 60000"/>
            <a:gd name="adj2" fmla="val 50000"/>
          </a:avLst>
        </a:prstGeom>
        <a:solidFill>
          <a:schemeClr val="accent1">
            <a:shade val="90000"/>
            <a:hueOff val="436351"/>
            <a:satOff val="-44934"/>
            <a:lumOff val="29289"/>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1504203" y="1903504"/>
        <a:ext cx="181949" cy="197782"/>
      </dsp:txXfrm>
    </dsp:sp>
    <dsp:sp modelId="{29EBE451-8F70-4577-A8E6-4EC9602B00BC}">
      <dsp:nvSpPr>
        <dsp:cNvPr id="0" name=""/>
        <dsp:cNvSpPr/>
      </dsp:nvSpPr>
      <dsp:spPr>
        <a:xfrm>
          <a:off x="1106824" y="734128"/>
          <a:ext cx="976707" cy="976707"/>
        </a:xfrm>
        <a:prstGeom prst="ellipse">
          <a:avLst/>
        </a:prstGeom>
        <a:solidFill>
          <a:schemeClr val="accent1">
            <a:shade val="80000"/>
            <a:hueOff val="545598"/>
            <a:satOff val="-56892"/>
            <a:lumOff val="3822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Calibration</a:t>
          </a:r>
        </a:p>
      </dsp:txBody>
      <dsp:txXfrm>
        <a:off x="1249859" y="877163"/>
        <a:ext cx="690637" cy="690637"/>
      </dsp:txXfrm>
    </dsp:sp>
    <dsp:sp modelId="{F81B8D13-44AA-4E4D-8899-1108D48D272A}">
      <dsp:nvSpPr>
        <dsp:cNvPr id="0" name=""/>
        <dsp:cNvSpPr/>
      </dsp:nvSpPr>
      <dsp:spPr>
        <a:xfrm rot="19800000">
          <a:off x="2094132" y="694557"/>
          <a:ext cx="259927" cy="329638"/>
        </a:xfrm>
        <a:prstGeom prst="rightArrow">
          <a:avLst>
            <a:gd name="adj1" fmla="val 60000"/>
            <a:gd name="adj2" fmla="val 50000"/>
          </a:avLst>
        </a:prstGeom>
        <a:solidFill>
          <a:schemeClr val="accent1">
            <a:shade val="90000"/>
            <a:hueOff val="545439"/>
            <a:satOff val="-56168"/>
            <a:lumOff val="36611"/>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2099356" y="779980"/>
        <a:ext cx="181949" cy="197782"/>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998EF5-F985-4E7D-8260-D2B468305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6455</Words>
  <Characters>43703</Characters>
  <Application>Microsoft Office Word</Application>
  <DocSecurity>0</DocSecurity>
  <Lines>766</Lines>
  <Paragraphs>277</Paragraphs>
  <ScaleCrop>false</ScaleCrop>
  <Company/>
  <LinksUpToDate>false</LinksUpToDate>
  <CharactersWithSpaces>49881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Kay</dc:creator>
  <cp:keywords/>
  <dc:description/>
  <cp:lastModifiedBy>joshua morris</cp:lastModifiedBy>
  <cp:revision>163</cp:revision>
  <dcterms:created xsi:type="dcterms:W3CDTF">2025-12-06T17:54:00Z</dcterms:created>
  <dcterms:modified xsi:type="dcterms:W3CDTF">2025-12-07T12:52:00Z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26fc27ac-f3e9-455d-ba23-80a3105e008e</vt:lpwstr>
  </property>
</Properties>
</file>