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1F38AB6" w:rsidR="00CC1671" w:rsidRDefault="09545078" w:rsidP="153BD7F9">
      <w:pPr>
        <w:ind w:left="720"/>
        <w:jc w:val="center"/>
        <w:rPr>
          <w:rFonts w:ascii="Arial" w:eastAsia="Arial" w:hAnsi="Arial" w:cs="Arial"/>
          <w:b/>
          <w:bCs/>
          <w:sz w:val="22"/>
          <w:szCs w:val="22"/>
        </w:rPr>
      </w:pPr>
      <w:r w:rsidRPr="153BD7F9">
        <w:rPr>
          <w:rFonts w:ascii="Arial" w:eastAsia="Arial" w:hAnsi="Arial" w:cs="Arial"/>
          <w:b/>
          <w:bCs/>
          <w:sz w:val="22"/>
          <w:szCs w:val="22"/>
        </w:rPr>
        <w:t>BMHP5019_BIRM- Introduction to Independent Research Skills</w:t>
      </w:r>
    </w:p>
    <w:p w14:paraId="6E842BC3" w14:textId="41DF703D" w:rsidR="09545078" w:rsidRDefault="09545078" w:rsidP="153BD7F9">
      <w:pPr>
        <w:ind w:left="720"/>
        <w:jc w:val="center"/>
        <w:rPr>
          <w:rFonts w:ascii="Arial" w:eastAsia="Arial" w:hAnsi="Arial" w:cs="Arial"/>
          <w:b/>
          <w:bCs/>
          <w:sz w:val="22"/>
          <w:szCs w:val="22"/>
        </w:rPr>
      </w:pPr>
      <w:r w:rsidRPr="153BD7F9">
        <w:rPr>
          <w:rFonts w:ascii="Arial" w:eastAsia="Arial" w:hAnsi="Arial" w:cs="Arial"/>
          <w:b/>
          <w:bCs/>
          <w:sz w:val="22"/>
          <w:szCs w:val="22"/>
        </w:rPr>
        <w:t>Component 1 Template</w:t>
      </w:r>
    </w:p>
    <w:p w14:paraId="0F470883" w14:textId="5C04606E" w:rsidR="09545078" w:rsidRDefault="09545078" w:rsidP="153BD7F9">
      <w:pPr>
        <w:ind w:left="720"/>
        <w:jc w:val="center"/>
        <w:rPr>
          <w:rFonts w:ascii="Arial" w:eastAsia="Arial" w:hAnsi="Arial" w:cs="Arial"/>
          <w:b/>
          <w:bCs/>
          <w:sz w:val="22"/>
          <w:szCs w:val="22"/>
        </w:rPr>
      </w:pPr>
      <w:r w:rsidRPr="153BD7F9">
        <w:rPr>
          <w:rFonts w:ascii="Arial" w:eastAsia="Arial" w:hAnsi="Arial" w:cs="Arial"/>
          <w:b/>
          <w:bCs/>
          <w:sz w:val="22"/>
          <w:szCs w:val="22"/>
        </w:rPr>
        <w:t xml:space="preserve">400-Word Scoping </w:t>
      </w:r>
      <w:r w:rsidR="18550D8B" w:rsidRPr="153BD7F9">
        <w:rPr>
          <w:rFonts w:ascii="Arial" w:eastAsia="Arial" w:hAnsi="Arial" w:cs="Arial"/>
          <w:b/>
          <w:bCs/>
          <w:sz w:val="22"/>
          <w:szCs w:val="22"/>
        </w:rPr>
        <w:t>R</w:t>
      </w:r>
      <w:r w:rsidRPr="153BD7F9">
        <w:rPr>
          <w:rFonts w:ascii="Arial" w:eastAsia="Arial" w:hAnsi="Arial" w:cs="Arial"/>
          <w:b/>
          <w:bCs/>
          <w:sz w:val="22"/>
          <w:szCs w:val="22"/>
        </w:rPr>
        <w:t xml:space="preserve">eview </w:t>
      </w:r>
      <w:r w:rsidR="6A19D96F" w:rsidRPr="153BD7F9">
        <w:rPr>
          <w:rFonts w:ascii="Arial" w:eastAsia="Arial" w:hAnsi="Arial" w:cs="Arial"/>
          <w:b/>
          <w:bCs/>
          <w:sz w:val="22"/>
          <w:szCs w:val="22"/>
        </w:rPr>
        <w:t>P</w:t>
      </w:r>
      <w:r w:rsidRPr="153BD7F9">
        <w:rPr>
          <w:rFonts w:ascii="Arial" w:eastAsia="Arial" w:hAnsi="Arial" w:cs="Arial"/>
          <w:b/>
          <w:bCs/>
          <w:sz w:val="22"/>
          <w:szCs w:val="22"/>
        </w:rPr>
        <w:t>roposal.</w:t>
      </w:r>
    </w:p>
    <w:p w14:paraId="1A0ED698" w14:textId="69ED9E1A" w:rsidR="153BD7F9" w:rsidRDefault="153BD7F9" w:rsidP="153BD7F9">
      <w:pPr>
        <w:ind w:left="720"/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7017FE59" w14:textId="4546BD07" w:rsidR="09545078" w:rsidRDefault="09545078" w:rsidP="153BD7F9">
      <w:pPr>
        <w:ind w:left="720"/>
        <w:jc w:val="center"/>
        <w:rPr>
          <w:rFonts w:ascii="Arial" w:eastAsia="Arial" w:hAnsi="Arial" w:cs="Arial"/>
          <w:b/>
          <w:bCs/>
          <w:sz w:val="22"/>
          <w:szCs w:val="22"/>
        </w:rPr>
      </w:pPr>
      <w:r w:rsidRPr="153BD7F9">
        <w:rPr>
          <w:rFonts w:ascii="Arial" w:eastAsia="Arial" w:hAnsi="Arial" w:cs="Arial"/>
          <w:b/>
          <w:bCs/>
          <w:sz w:val="22"/>
          <w:szCs w:val="22"/>
        </w:rPr>
        <w:t xml:space="preserve">Student Name: </w:t>
      </w:r>
      <w:proofErr w:type="spellStart"/>
      <w:r w:rsidRPr="153BD7F9">
        <w:rPr>
          <w:rFonts w:ascii="Arial" w:eastAsia="Arial" w:hAnsi="Arial" w:cs="Arial"/>
          <w:b/>
          <w:bCs/>
          <w:sz w:val="22"/>
          <w:szCs w:val="22"/>
        </w:rPr>
        <w:t>Tayyaba</w:t>
      </w:r>
      <w:proofErr w:type="spellEnd"/>
      <w:r w:rsidRPr="153BD7F9">
        <w:rPr>
          <w:rFonts w:ascii="Arial" w:eastAsia="Arial" w:hAnsi="Arial" w:cs="Arial"/>
          <w:b/>
          <w:bCs/>
          <w:sz w:val="22"/>
          <w:szCs w:val="22"/>
        </w:rPr>
        <w:t xml:space="preserve"> Shamim</w:t>
      </w:r>
    </w:p>
    <w:p w14:paraId="15B131D1" w14:textId="325C4EA0" w:rsidR="09545078" w:rsidRDefault="09545078" w:rsidP="153BD7F9">
      <w:pPr>
        <w:ind w:left="720"/>
        <w:jc w:val="center"/>
        <w:rPr>
          <w:rFonts w:ascii="Arial" w:eastAsia="Arial" w:hAnsi="Arial" w:cs="Arial"/>
          <w:b/>
          <w:bCs/>
          <w:sz w:val="22"/>
          <w:szCs w:val="22"/>
        </w:rPr>
      </w:pPr>
      <w:r w:rsidRPr="153BD7F9">
        <w:rPr>
          <w:rFonts w:ascii="Arial" w:eastAsia="Arial" w:hAnsi="Arial" w:cs="Arial"/>
          <w:b/>
          <w:bCs/>
          <w:sz w:val="22"/>
          <w:szCs w:val="22"/>
        </w:rPr>
        <w:t>Student Number: 2319019</w:t>
      </w:r>
    </w:p>
    <w:p w14:paraId="3A410731" w14:textId="53E8E9F8" w:rsidR="153BD7F9" w:rsidRDefault="153BD7F9"/>
    <w:p w14:paraId="43E14F37" w14:textId="3FA683EB" w:rsidR="09545078" w:rsidRDefault="09545078" w:rsidP="153BD7F9">
      <w:pPr>
        <w:jc w:val="center"/>
        <w:rPr>
          <w:rFonts w:ascii="Arial" w:eastAsia="Arial" w:hAnsi="Arial" w:cs="Arial"/>
          <w:b/>
          <w:bCs/>
          <w:sz w:val="22"/>
          <w:szCs w:val="22"/>
          <w:u w:val="single"/>
        </w:rPr>
      </w:pPr>
      <w:r w:rsidRPr="153BD7F9">
        <w:rPr>
          <w:rFonts w:ascii="Arial" w:eastAsia="Arial" w:hAnsi="Arial" w:cs="Arial"/>
          <w:b/>
          <w:bCs/>
          <w:sz w:val="22"/>
          <w:szCs w:val="22"/>
          <w:u w:val="single"/>
        </w:rPr>
        <w:t>Title</w:t>
      </w:r>
    </w:p>
    <w:p w14:paraId="6CADAD9F" w14:textId="05F7DDFB" w:rsidR="075CDF1D" w:rsidRDefault="075CDF1D" w:rsidP="153BD7F9">
      <w:pPr>
        <w:jc w:val="center"/>
        <w:rPr>
          <w:rFonts w:ascii="Arial" w:eastAsia="Arial" w:hAnsi="Arial" w:cs="Arial"/>
          <w:sz w:val="22"/>
          <w:szCs w:val="22"/>
        </w:rPr>
      </w:pPr>
      <w:r w:rsidRPr="153BD7F9">
        <w:rPr>
          <w:rFonts w:ascii="Arial" w:eastAsia="Arial" w:hAnsi="Arial" w:cs="Arial"/>
          <w:sz w:val="22"/>
          <w:szCs w:val="22"/>
        </w:rPr>
        <w:t xml:space="preserve">A Scoping Review of Dementia Care Practises in the UK: Identifying Themes Using </w:t>
      </w:r>
      <w:proofErr w:type="spellStart"/>
      <w:r w:rsidRPr="153BD7F9">
        <w:rPr>
          <w:rFonts w:ascii="Arial" w:eastAsia="Arial" w:hAnsi="Arial" w:cs="Arial"/>
          <w:sz w:val="22"/>
          <w:szCs w:val="22"/>
        </w:rPr>
        <w:t>Aveyards</w:t>
      </w:r>
      <w:proofErr w:type="spellEnd"/>
      <w:r w:rsidRPr="153BD7F9">
        <w:rPr>
          <w:rFonts w:ascii="Arial" w:eastAsia="Arial" w:hAnsi="Arial" w:cs="Arial"/>
          <w:sz w:val="22"/>
          <w:szCs w:val="22"/>
        </w:rPr>
        <w:t xml:space="preserve"> Simplified Thematic Analysis</w:t>
      </w:r>
    </w:p>
    <w:p w14:paraId="4F502896" w14:textId="75F001D0" w:rsidR="153BD7F9" w:rsidRDefault="153BD7F9" w:rsidP="153BD7F9">
      <w:pPr>
        <w:jc w:val="center"/>
        <w:rPr>
          <w:rFonts w:ascii="Arial" w:eastAsia="Arial" w:hAnsi="Arial" w:cs="Arial"/>
          <w:sz w:val="22"/>
          <w:szCs w:val="22"/>
        </w:rPr>
      </w:pPr>
    </w:p>
    <w:p w14:paraId="10D882E1" w14:textId="1DF74CCF" w:rsidR="3703737D" w:rsidRDefault="3703737D" w:rsidP="153BD7F9">
      <w:pPr>
        <w:jc w:val="center"/>
        <w:rPr>
          <w:rFonts w:ascii="Arial" w:eastAsia="Arial" w:hAnsi="Arial" w:cs="Arial"/>
          <w:b/>
          <w:bCs/>
          <w:sz w:val="22"/>
          <w:szCs w:val="22"/>
          <w:u w:val="single"/>
        </w:rPr>
      </w:pPr>
      <w:r w:rsidRPr="153BD7F9">
        <w:rPr>
          <w:rFonts w:ascii="Arial" w:eastAsia="Arial" w:hAnsi="Arial" w:cs="Arial"/>
          <w:b/>
          <w:bCs/>
          <w:sz w:val="22"/>
          <w:szCs w:val="22"/>
          <w:u w:val="single"/>
        </w:rPr>
        <w:t xml:space="preserve">Background and </w:t>
      </w:r>
      <w:r w:rsidR="4FBF73E4" w:rsidRPr="153BD7F9">
        <w:rPr>
          <w:rFonts w:ascii="Arial" w:eastAsia="Arial" w:hAnsi="Arial" w:cs="Arial"/>
          <w:b/>
          <w:bCs/>
          <w:sz w:val="22"/>
          <w:szCs w:val="22"/>
          <w:u w:val="single"/>
        </w:rPr>
        <w:t>Rationale</w:t>
      </w:r>
    </w:p>
    <w:p w14:paraId="75BCFA49" w14:textId="0DD87326" w:rsidR="3703737D" w:rsidRDefault="3703737D" w:rsidP="153BD7F9">
      <w:pPr>
        <w:jc w:val="center"/>
        <w:rPr>
          <w:rFonts w:ascii="Arial" w:eastAsia="Arial" w:hAnsi="Arial" w:cs="Arial"/>
          <w:sz w:val="22"/>
          <w:szCs w:val="22"/>
        </w:rPr>
      </w:pPr>
      <w:r w:rsidRPr="153BD7F9">
        <w:rPr>
          <w:rFonts w:ascii="Arial" w:eastAsia="Arial" w:hAnsi="Arial" w:cs="Arial"/>
          <w:sz w:val="22"/>
          <w:szCs w:val="22"/>
        </w:rPr>
        <w:t xml:space="preserve">Dementia, a progressive neurological condition affecting memory, thinking, </w:t>
      </w:r>
      <w:proofErr w:type="spellStart"/>
      <w:r w:rsidRPr="153BD7F9">
        <w:rPr>
          <w:rFonts w:ascii="Arial" w:eastAsia="Arial" w:hAnsi="Arial" w:cs="Arial"/>
          <w:sz w:val="22"/>
          <w:szCs w:val="22"/>
        </w:rPr>
        <w:t>behavior</w:t>
      </w:r>
      <w:proofErr w:type="spellEnd"/>
      <w:r w:rsidRPr="153BD7F9">
        <w:rPr>
          <w:rFonts w:ascii="Arial" w:eastAsia="Arial" w:hAnsi="Arial" w:cs="Arial"/>
          <w:sz w:val="22"/>
          <w:szCs w:val="22"/>
        </w:rPr>
        <w:t>, and daily functioning, impacts over 900</w:t>
      </w:r>
      <w:r w:rsidR="741D330E" w:rsidRPr="153BD7F9">
        <w:rPr>
          <w:rFonts w:ascii="Arial" w:eastAsia="Arial" w:hAnsi="Arial" w:cs="Arial"/>
          <w:sz w:val="22"/>
          <w:szCs w:val="22"/>
        </w:rPr>
        <w:t xml:space="preserve">,000 individuals in the UK, with numbers projected to </w:t>
      </w:r>
      <w:r w:rsidR="23EE0FB0" w:rsidRPr="153BD7F9">
        <w:rPr>
          <w:rFonts w:ascii="Arial" w:eastAsia="Arial" w:hAnsi="Arial" w:cs="Arial"/>
          <w:sz w:val="22"/>
          <w:szCs w:val="22"/>
        </w:rPr>
        <w:t>increase. Delivering</w:t>
      </w:r>
      <w:r w:rsidR="741D330E" w:rsidRPr="153BD7F9">
        <w:rPr>
          <w:rFonts w:ascii="Arial" w:eastAsia="Arial" w:hAnsi="Arial" w:cs="Arial"/>
          <w:sz w:val="22"/>
          <w:szCs w:val="22"/>
        </w:rPr>
        <w:t xml:space="preserve"> </w:t>
      </w:r>
      <w:r w:rsidR="59084D51" w:rsidRPr="153BD7F9">
        <w:rPr>
          <w:rFonts w:ascii="Arial" w:eastAsia="Arial" w:hAnsi="Arial" w:cs="Arial"/>
          <w:sz w:val="22"/>
          <w:szCs w:val="22"/>
        </w:rPr>
        <w:t>effective, person</w:t>
      </w:r>
      <w:r w:rsidR="741D330E" w:rsidRPr="153BD7F9">
        <w:rPr>
          <w:rFonts w:ascii="Arial" w:eastAsia="Arial" w:hAnsi="Arial" w:cs="Arial"/>
          <w:sz w:val="22"/>
          <w:szCs w:val="22"/>
        </w:rPr>
        <w:t>-c</w:t>
      </w:r>
      <w:r w:rsidR="627F02CA" w:rsidRPr="153BD7F9">
        <w:rPr>
          <w:rFonts w:ascii="Arial" w:eastAsia="Arial" w:hAnsi="Arial" w:cs="Arial"/>
          <w:sz w:val="22"/>
          <w:szCs w:val="22"/>
        </w:rPr>
        <w:t xml:space="preserve">entred care is therefore a national </w:t>
      </w:r>
      <w:r w:rsidR="337B4341" w:rsidRPr="153BD7F9">
        <w:rPr>
          <w:rFonts w:ascii="Arial" w:eastAsia="Arial" w:hAnsi="Arial" w:cs="Arial"/>
          <w:sz w:val="22"/>
          <w:szCs w:val="22"/>
        </w:rPr>
        <w:t>imperative. Given</w:t>
      </w:r>
      <w:r w:rsidR="627F02CA" w:rsidRPr="153BD7F9">
        <w:rPr>
          <w:rFonts w:ascii="Arial" w:eastAsia="Arial" w:hAnsi="Arial" w:cs="Arial"/>
          <w:sz w:val="22"/>
          <w:szCs w:val="22"/>
        </w:rPr>
        <w:t xml:space="preserve"> the complexity of dementia care, which spans both health and social care, a diverse</w:t>
      </w:r>
      <w:r w:rsidR="57BA4E5F" w:rsidRPr="153BD7F9">
        <w:rPr>
          <w:rFonts w:ascii="Arial" w:eastAsia="Arial" w:hAnsi="Arial" w:cs="Arial"/>
          <w:sz w:val="22"/>
          <w:szCs w:val="22"/>
        </w:rPr>
        <w:t xml:space="preserve"> range of interventions, models and policies have emerged. However, the research landscape is extensive and sometimes inconsistent, posing challenges</w:t>
      </w:r>
      <w:r w:rsidR="0A362E0D" w:rsidRPr="153BD7F9">
        <w:rPr>
          <w:rFonts w:ascii="Arial" w:eastAsia="Arial" w:hAnsi="Arial" w:cs="Arial"/>
          <w:sz w:val="22"/>
          <w:szCs w:val="22"/>
        </w:rPr>
        <w:t xml:space="preserve"> for practitioners seeking to identify best practises. A scoping review is essential to map the existing peer-reviewed literature on dementia care practises</w:t>
      </w:r>
      <w:r w:rsidR="1BAB4564" w:rsidRPr="153BD7F9">
        <w:rPr>
          <w:rFonts w:ascii="Arial" w:eastAsia="Arial" w:hAnsi="Arial" w:cs="Arial"/>
          <w:sz w:val="22"/>
          <w:szCs w:val="22"/>
        </w:rPr>
        <w:t xml:space="preserve"> in the UK, pinpoint key themes, and reveal gaps in the current evidence base.</w:t>
      </w:r>
    </w:p>
    <w:p w14:paraId="176AB355" w14:textId="4561ADF3" w:rsidR="1BAB4564" w:rsidRDefault="1BAB4564" w:rsidP="153BD7F9">
      <w:pPr>
        <w:jc w:val="center"/>
        <w:rPr>
          <w:rFonts w:ascii="Arial" w:eastAsia="Arial" w:hAnsi="Arial" w:cs="Arial"/>
          <w:b/>
          <w:bCs/>
          <w:sz w:val="22"/>
          <w:szCs w:val="22"/>
          <w:u w:val="single"/>
        </w:rPr>
      </w:pPr>
      <w:r w:rsidRPr="153BD7F9">
        <w:rPr>
          <w:rFonts w:ascii="Arial" w:eastAsia="Arial" w:hAnsi="Arial" w:cs="Arial"/>
          <w:b/>
          <w:bCs/>
          <w:sz w:val="22"/>
          <w:szCs w:val="22"/>
          <w:u w:val="single"/>
        </w:rPr>
        <w:t xml:space="preserve">Research </w:t>
      </w:r>
      <w:r w:rsidR="3F96191D" w:rsidRPr="153BD7F9">
        <w:rPr>
          <w:rFonts w:ascii="Arial" w:eastAsia="Arial" w:hAnsi="Arial" w:cs="Arial"/>
          <w:b/>
          <w:bCs/>
          <w:sz w:val="22"/>
          <w:szCs w:val="22"/>
          <w:u w:val="single"/>
        </w:rPr>
        <w:t>A</w:t>
      </w:r>
      <w:r w:rsidRPr="153BD7F9">
        <w:rPr>
          <w:rFonts w:ascii="Arial" w:eastAsia="Arial" w:hAnsi="Arial" w:cs="Arial"/>
          <w:b/>
          <w:bCs/>
          <w:sz w:val="22"/>
          <w:szCs w:val="22"/>
          <w:u w:val="single"/>
        </w:rPr>
        <w:t xml:space="preserve">ims and </w:t>
      </w:r>
      <w:r w:rsidR="1FA9C7F0" w:rsidRPr="153BD7F9">
        <w:rPr>
          <w:rFonts w:ascii="Arial" w:eastAsia="Arial" w:hAnsi="Arial" w:cs="Arial"/>
          <w:b/>
          <w:bCs/>
          <w:sz w:val="22"/>
          <w:szCs w:val="22"/>
          <w:u w:val="single"/>
        </w:rPr>
        <w:t>O</w:t>
      </w:r>
      <w:r w:rsidRPr="153BD7F9">
        <w:rPr>
          <w:rFonts w:ascii="Arial" w:eastAsia="Arial" w:hAnsi="Arial" w:cs="Arial"/>
          <w:b/>
          <w:bCs/>
          <w:sz w:val="22"/>
          <w:szCs w:val="22"/>
          <w:u w:val="single"/>
        </w:rPr>
        <w:t>bjectives</w:t>
      </w:r>
    </w:p>
    <w:p w14:paraId="54247C79" w14:textId="05310427" w:rsidR="57E9EC22" w:rsidRDefault="57E9EC22" w:rsidP="153BD7F9">
      <w:pPr>
        <w:jc w:val="center"/>
        <w:rPr>
          <w:rFonts w:ascii="Arial" w:eastAsia="Arial" w:hAnsi="Arial" w:cs="Arial"/>
          <w:sz w:val="22"/>
          <w:szCs w:val="22"/>
        </w:rPr>
      </w:pPr>
      <w:r w:rsidRPr="153BD7F9">
        <w:rPr>
          <w:rFonts w:ascii="Arial" w:eastAsia="Arial" w:hAnsi="Arial" w:cs="Arial"/>
          <w:sz w:val="22"/>
          <w:szCs w:val="22"/>
        </w:rPr>
        <w:t>This study aims to systematically map existing peer-reviewed research on dementia care practises in the UK through a scoping review. The objectives are to:</w:t>
      </w:r>
    </w:p>
    <w:p w14:paraId="58BEE443" w14:textId="64F19510" w:rsidR="5D7FD7EA" w:rsidRDefault="5D7FD7EA" w:rsidP="153BD7F9">
      <w:pPr>
        <w:jc w:val="center"/>
        <w:rPr>
          <w:rFonts w:ascii="Arial" w:eastAsia="Arial" w:hAnsi="Arial" w:cs="Arial"/>
          <w:sz w:val="22"/>
          <w:szCs w:val="22"/>
        </w:rPr>
      </w:pPr>
      <w:r w:rsidRPr="153BD7F9">
        <w:rPr>
          <w:rFonts w:ascii="Arial" w:eastAsia="Arial" w:hAnsi="Arial" w:cs="Arial"/>
          <w:sz w:val="22"/>
          <w:szCs w:val="22"/>
        </w:rPr>
        <w:t xml:space="preserve">Identify and </w:t>
      </w:r>
      <w:proofErr w:type="spellStart"/>
      <w:r w:rsidRPr="153BD7F9">
        <w:rPr>
          <w:rFonts w:ascii="Arial" w:eastAsia="Arial" w:hAnsi="Arial" w:cs="Arial"/>
          <w:sz w:val="22"/>
          <w:szCs w:val="22"/>
        </w:rPr>
        <w:t>categorize</w:t>
      </w:r>
      <w:proofErr w:type="spellEnd"/>
      <w:r w:rsidRPr="153BD7F9">
        <w:rPr>
          <w:rFonts w:ascii="Arial" w:eastAsia="Arial" w:hAnsi="Arial" w:cs="Arial"/>
          <w:sz w:val="22"/>
          <w:szCs w:val="22"/>
        </w:rPr>
        <w:t xml:space="preserve"> key themes within current dementia care literature.</w:t>
      </w:r>
    </w:p>
    <w:p w14:paraId="6AA62632" w14:textId="0D71FBCE" w:rsidR="5D7FD7EA" w:rsidRDefault="5D7FD7EA" w:rsidP="153BD7F9">
      <w:pPr>
        <w:jc w:val="center"/>
        <w:rPr>
          <w:rFonts w:ascii="Arial" w:eastAsia="Arial" w:hAnsi="Arial" w:cs="Arial"/>
          <w:sz w:val="22"/>
          <w:szCs w:val="22"/>
        </w:rPr>
      </w:pPr>
      <w:r w:rsidRPr="153BD7F9">
        <w:rPr>
          <w:rFonts w:ascii="Arial" w:eastAsia="Arial" w:hAnsi="Arial" w:cs="Arial"/>
          <w:sz w:val="22"/>
          <w:szCs w:val="22"/>
        </w:rPr>
        <w:t>Highlight evidence gaps to inform future research and practise.</w:t>
      </w:r>
    </w:p>
    <w:p w14:paraId="2E64DECC" w14:textId="4BE2224B" w:rsidR="5D7FD7EA" w:rsidRDefault="5D7FD7EA" w:rsidP="153BD7F9">
      <w:pPr>
        <w:jc w:val="center"/>
        <w:rPr>
          <w:rFonts w:ascii="Arial" w:eastAsia="Arial" w:hAnsi="Arial" w:cs="Arial"/>
          <w:sz w:val="22"/>
          <w:szCs w:val="22"/>
        </w:rPr>
      </w:pPr>
      <w:r w:rsidRPr="153BD7F9">
        <w:rPr>
          <w:rFonts w:ascii="Arial" w:eastAsia="Arial" w:hAnsi="Arial" w:cs="Arial"/>
          <w:sz w:val="22"/>
          <w:szCs w:val="22"/>
        </w:rPr>
        <w:t xml:space="preserve">Provide insights into effective, </w:t>
      </w:r>
      <w:proofErr w:type="spellStart"/>
      <w:r w:rsidRPr="153BD7F9">
        <w:rPr>
          <w:rFonts w:ascii="Arial" w:eastAsia="Arial" w:hAnsi="Arial" w:cs="Arial"/>
          <w:sz w:val="22"/>
          <w:szCs w:val="22"/>
        </w:rPr>
        <w:t>person-centered</w:t>
      </w:r>
      <w:proofErr w:type="spellEnd"/>
      <w:r w:rsidRPr="153BD7F9">
        <w:rPr>
          <w:rFonts w:ascii="Arial" w:eastAsia="Arial" w:hAnsi="Arial" w:cs="Arial"/>
          <w:sz w:val="22"/>
          <w:szCs w:val="22"/>
        </w:rPr>
        <w:t xml:space="preserve"> approaches for supporting individuals with dementia.</w:t>
      </w:r>
    </w:p>
    <w:p w14:paraId="03C0DEA5" w14:textId="258F73C4" w:rsidR="153BD7F9" w:rsidRDefault="153BD7F9" w:rsidP="153BD7F9">
      <w:pPr>
        <w:jc w:val="center"/>
        <w:rPr>
          <w:rFonts w:ascii="Arial" w:eastAsia="Arial" w:hAnsi="Arial" w:cs="Arial"/>
          <w:sz w:val="22"/>
          <w:szCs w:val="22"/>
        </w:rPr>
      </w:pPr>
    </w:p>
    <w:p w14:paraId="1A5DB88F" w14:textId="4C0BBC07" w:rsidR="5D7FD7EA" w:rsidRDefault="5D7FD7EA" w:rsidP="153BD7F9">
      <w:pPr>
        <w:jc w:val="center"/>
        <w:rPr>
          <w:rFonts w:ascii="Arial" w:eastAsia="Arial" w:hAnsi="Arial" w:cs="Arial"/>
          <w:b/>
          <w:bCs/>
          <w:sz w:val="22"/>
          <w:szCs w:val="22"/>
          <w:u w:val="single"/>
        </w:rPr>
      </w:pPr>
      <w:r w:rsidRPr="153BD7F9">
        <w:rPr>
          <w:rFonts w:ascii="Arial" w:eastAsia="Arial" w:hAnsi="Arial" w:cs="Arial"/>
          <w:b/>
          <w:bCs/>
          <w:sz w:val="22"/>
          <w:szCs w:val="22"/>
          <w:u w:val="single"/>
        </w:rPr>
        <w:t xml:space="preserve">Methodology </w:t>
      </w:r>
    </w:p>
    <w:p w14:paraId="76F75C6F" w14:textId="5642CEFB" w:rsidR="5D7FD7EA" w:rsidRDefault="5D7FD7EA" w:rsidP="153BD7F9">
      <w:pPr>
        <w:jc w:val="center"/>
        <w:rPr>
          <w:rFonts w:ascii="Arial" w:eastAsia="Arial" w:hAnsi="Arial" w:cs="Arial"/>
          <w:sz w:val="22"/>
          <w:szCs w:val="22"/>
        </w:rPr>
      </w:pPr>
      <w:r w:rsidRPr="153BD7F9">
        <w:rPr>
          <w:rFonts w:ascii="Arial" w:eastAsia="Arial" w:hAnsi="Arial" w:cs="Arial"/>
          <w:b/>
          <w:bCs/>
          <w:sz w:val="22"/>
          <w:szCs w:val="22"/>
        </w:rPr>
        <w:t>Scoping Review Framework:</w:t>
      </w:r>
      <w:r w:rsidRPr="153BD7F9">
        <w:rPr>
          <w:rFonts w:ascii="Arial" w:eastAsia="Arial" w:hAnsi="Arial" w:cs="Arial"/>
          <w:sz w:val="22"/>
          <w:szCs w:val="22"/>
        </w:rPr>
        <w:t xml:space="preserve"> This review will follow the </w:t>
      </w:r>
      <w:proofErr w:type="spellStart"/>
      <w:r w:rsidRPr="153BD7F9">
        <w:rPr>
          <w:rFonts w:ascii="Arial" w:eastAsia="Arial" w:hAnsi="Arial" w:cs="Arial"/>
          <w:sz w:val="22"/>
          <w:szCs w:val="22"/>
        </w:rPr>
        <w:t>Arksey</w:t>
      </w:r>
      <w:proofErr w:type="spellEnd"/>
      <w:r w:rsidRPr="153BD7F9">
        <w:rPr>
          <w:rFonts w:ascii="Arial" w:eastAsia="Arial" w:hAnsi="Arial" w:cs="Arial"/>
          <w:sz w:val="22"/>
          <w:szCs w:val="22"/>
        </w:rPr>
        <w:t xml:space="preserve"> and O’Malley (2005)</w:t>
      </w:r>
      <w:r w:rsidR="34953460" w:rsidRPr="153BD7F9">
        <w:rPr>
          <w:rFonts w:ascii="Arial" w:eastAsia="Arial" w:hAnsi="Arial" w:cs="Arial"/>
          <w:sz w:val="22"/>
          <w:szCs w:val="22"/>
        </w:rPr>
        <w:t xml:space="preserve"> framework, enhanced by </w:t>
      </w:r>
      <w:proofErr w:type="spellStart"/>
      <w:r w:rsidR="34953460" w:rsidRPr="153BD7F9">
        <w:rPr>
          <w:rFonts w:ascii="Arial" w:eastAsia="Arial" w:hAnsi="Arial" w:cs="Arial"/>
          <w:sz w:val="22"/>
          <w:szCs w:val="22"/>
        </w:rPr>
        <w:t>Levac</w:t>
      </w:r>
      <w:proofErr w:type="spellEnd"/>
      <w:r w:rsidR="34953460" w:rsidRPr="153BD7F9">
        <w:rPr>
          <w:rFonts w:ascii="Arial" w:eastAsia="Arial" w:hAnsi="Arial" w:cs="Arial"/>
          <w:sz w:val="22"/>
          <w:szCs w:val="22"/>
        </w:rPr>
        <w:t xml:space="preserve"> </w:t>
      </w:r>
      <w:r w:rsidR="76B2CF5E" w:rsidRPr="153BD7F9">
        <w:rPr>
          <w:rFonts w:ascii="Arial" w:eastAsia="Arial" w:hAnsi="Arial" w:cs="Arial"/>
          <w:sz w:val="22"/>
          <w:szCs w:val="22"/>
        </w:rPr>
        <w:t>et al. (</w:t>
      </w:r>
      <w:r w:rsidR="34953460" w:rsidRPr="153BD7F9">
        <w:rPr>
          <w:rFonts w:ascii="Arial" w:eastAsia="Arial" w:hAnsi="Arial" w:cs="Arial"/>
          <w:sz w:val="22"/>
          <w:szCs w:val="22"/>
        </w:rPr>
        <w:t>2010). Aveyard’s (2014) simplified them</w:t>
      </w:r>
      <w:r w:rsidR="48F50863" w:rsidRPr="153BD7F9">
        <w:rPr>
          <w:rFonts w:ascii="Arial" w:eastAsia="Arial" w:hAnsi="Arial" w:cs="Arial"/>
          <w:sz w:val="22"/>
          <w:szCs w:val="22"/>
        </w:rPr>
        <w:t>atic analysis will be used to analyse the findings.</w:t>
      </w:r>
    </w:p>
    <w:p w14:paraId="7A671B78" w14:textId="32FA0BF2" w:rsidR="48F50863" w:rsidRDefault="48F50863" w:rsidP="153BD7F9">
      <w:pPr>
        <w:jc w:val="center"/>
        <w:rPr>
          <w:rFonts w:ascii="Arial" w:eastAsia="Arial" w:hAnsi="Arial" w:cs="Arial"/>
          <w:sz w:val="22"/>
          <w:szCs w:val="22"/>
        </w:rPr>
      </w:pPr>
      <w:r w:rsidRPr="153BD7F9">
        <w:rPr>
          <w:rFonts w:ascii="Arial" w:eastAsia="Arial" w:hAnsi="Arial" w:cs="Arial"/>
          <w:b/>
          <w:bCs/>
          <w:sz w:val="22"/>
          <w:szCs w:val="22"/>
        </w:rPr>
        <w:t xml:space="preserve">*Research Question: * </w:t>
      </w:r>
      <w:r w:rsidR="2C7BD98E" w:rsidRPr="153BD7F9">
        <w:rPr>
          <w:rFonts w:ascii="Arial" w:eastAsia="Arial" w:hAnsi="Arial" w:cs="Arial"/>
          <w:sz w:val="22"/>
          <w:szCs w:val="22"/>
        </w:rPr>
        <w:t>W</w:t>
      </w:r>
      <w:r w:rsidRPr="153BD7F9">
        <w:rPr>
          <w:rFonts w:ascii="Arial" w:eastAsia="Arial" w:hAnsi="Arial" w:cs="Arial"/>
          <w:sz w:val="22"/>
          <w:szCs w:val="22"/>
        </w:rPr>
        <w:t>hat are the key themes in the UK- based peer</w:t>
      </w:r>
      <w:r w:rsidR="5ECE1C05" w:rsidRPr="153BD7F9">
        <w:rPr>
          <w:rFonts w:ascii="Arial" w:eastAsia="Arial" w:hAnsi="Arial" w:cs="Arial"/>
          <w:sz w:val="22"/>
          <w:szCs w:val="22"/>
        </w:rPr>
        <w:t>-reviewed literature on dementia care practises?</w:t>
      </w:r>
    </w:p>
    <w:p w14:paraId="5F4C8B82" w14:textId="420637FD" w:rsidR="153BD7F9" w:rsidRDefault="153BD7F9" w:rsidP="153BD7F9">
      <w:pPr>
        <w:jc w:val="center"/>
        <w:rPr>
          <w:rFonts w:ascii="Arial" w:eastAsia="Arial" w:hAnsi="Arial" w:cs="Arial"/>
          <w:sz w:val="22"/>
          <w:szCs w:val="22"/>
        </w:rPr>
      </w:pPr>
    </w:p>
    <w:p w14:paraId="1EF66E4D" w14:textId="52A0D528" w:rsidR="5ECE1C05" w:rsidRDefault="5ECE1C05" w:rsidP="153BD7F9">
      <w:pPr>
        <w:jc w:val="center"/>
        <w:rPr>
          <w:rFonts w:ascii="Arial" w:eastAsia="Arial" w:hAnsi="Arial" w:cs="Arial"/>
          <w:b/>
          <w:bCs/>
          <w:sz w:val="22"/>
          <w:szCs w:val="22"/>
          <w:u w:val="single"/>
        </w:rPr>
      </w:pPr>
      <w:r w:rsidRPr="153BD7F9">
        <w:rPr>
          <w:rFonts w:ascii="Arial" w:eastAsia="Arial" w:hAnsi="Arial" w:cs="Arial"/>
          <w:b/>
          <w:bCs/>
          <w:sz w:val="22"/>
          <w:szCs w:val="22"/>
          <w:u w:val="single"/>
        </w:rPr>
        <w:t>Inclusion and Exclusion Criteria</w:t>
      </w:r>
    </w:p>
    <w:p w14:paraId="0F9BFD91" w14:textId="680AFF99" w:rsidR="5ECE1C05" w:rsidRDefault="5ECE1C05" w:rsidP="153BD7F9">
      <w:pPr>
        <w:jc w:val="center"/>
        <w:rPr>
          <w:rFonts w:ascii="Arial" w:eastAsia="Arial" w:hAnsi="Arial" w:cs="Arial"/>
          <w:sz w:val="22"/>
          <w:szCs w:val="22"/>
        </w:rPr>
      </w:pPr>
      <w:r w:rsidRPr="153BD7F9">
        <w:rPr>
          <w:rFonts w:ascii="Arial" w:eastAsia="Arial" w:hAnsi="Arial" w:cs="Arial"/>
          <w:b/>
          <w:bCs/>
          <w:sz w:val="22"/>
          <w:szCs w:val="22"/>
        </w:rPr>
        <w:t>Inclusion:</w:t>
      </w:r>
      <w:r w:rsidRPr="153BD7F9">
        <w:rPr>
          <w:rFonts w:ascii="Arial" w:eastAsia="Arial" w:hAnsi="Arial" w:cs="Arial"/>
          <w:sz w:val="22"/>
          <w:szCs w:val="22"/>
        </w:rPr>
        <w:t xml:space="preserve"> Peer- reviewed studies published in English from 2014 onwards, focusing on dementia care in the UK sett</w:t>
      </w:r>
      <w:r w:rsidR="439B50B7" w:rsidRPr="153BD7F9">
        <w:rPr>
          <w:rFonts w:ascii="Arial" w:eastAsia="Arial" w:hAnsi="Arial" w:cs="Arial"/>
          <w:sz w:val="22"/>
          <w:szCs w:val="22"/>
        </w:rPr>
        <w:t>ings (including care homes, hospitals, and the community).</w:t>
      </w:r>
    </w:p>
    <w:p w14:paraId="4E7511BB" w14:textId="5A2105A6" w:rsidR="439B50B7" w:rsidRDefault="439B50B7" w:rsidP="153BD7F9">
      <w:pPr>
        <w:jc w:val="center"/>
        <w:rPr>
          <w:rFonts w:ascii="Arial" w:eastAsia="Arial" w:hAnsi="Arial" w:cs="Arial"/>
          <w:sz w:val="22"/>
          <w:szCs w:val="22"/>
        </w:rPr>
      </w:pPr>
      <w:r w:rsidRPr="153BD7F9">
        <w:rPr>
          <w:rFonts w:ascii="Arial" w:eastAsia="Arial" w:hAnsi="Arial" w:cs="Arial"/>
          <w:b/>
          <w:bCs/>
          <w:sz w:val="22"/>
          <w:szCs w:val="22"/>
        </w:rPr>
        <w:t>Exclusion:</w:t>
      </w:r>
      <w:r w:rsidRPr="153BD7F9">
        <w:rPr>
          <w:rFonts w:ascii="Arial" w:eastAsia="Arial" w:hAnsi="Arial" w:cs="Arial"/>
          <w:sz w:val="22"/>
          <w:szCs w:val="22"/>
        </w:rPr>
        <w:t xml:space="preserve"> Non-UK studies, </w:t>
      </w:r>
      <w:r w:rsidR="1A84A555" w:rsidRPr="153BD7F9">
        <w:rPr>
          <w:rFonts w:ascii="Arial" w:eastAsia="Arial" w:hAnsi="Arial" w:cs="Arial"/>
          <w:sz w:val="22"/>
          <w:szCs w:val="22"/>
        </w:rPr>
        <w:t>non-peer</w:t>
      </w:r>
      <w:r w:rsidRPr="153BD7F9">
        <w:rPr>
          <w:rFonts w:ascii="Arial" w:eastAsia="Arial" w:hAnsi="Arial" w:cs="Arial"/>
          <w:sz w:val="22"/>
          <w:szCs w:val="22"/>
        </w:rPr>
        <w:t>-reviewed sources, and research unrelated to care practises (e.g., ge</w:t>
      </w:r>
      <w:r w:rsidR="6A499543" w:rsidRPr="153BD7F9">
        <w:rPr>
          <w:rFonts w:ascii="Arial" w:eastAsia="Arial" w:hAnsi="Arial" w:cs="Arial"/>
          <w:sz w:val="22"/>
          <w:szCs w:val="22"/>
        </w:rPr>
        <w:t>netic studies or basic neuroscience).</w:t>
      </w:r>
    </w:p>
    <w:p w14:paraId="705905AE" w14:textId="66BEC2EF" w:rsidR="153BD7F9" w:rsidRDefault="153BD7F9" w:rsidP="153BD7F9">
      <w:pPr>
        <w:jc w:val="center"/>
        <w:rPr>
          <w:rFonts w:ascii="Arial" w:eastAsia="Arial" w:hAnsi="Arial" w:cs="Arial"/>
          <w:sz w:val="22"/>
          <w:szCs w:val="22"/>
        </w:rPr>
      </w:pPr>
    </w:p>
    <w:p w14:paraId="13A32679" w14:textId="1FA0C38C" w:rsidR="6A499543" w:rsidRDefault="6A499543" w:rsidP="153BD7F9">
      <w:pPr>
        <w:jc w:val="center"/>
        <w:rPr>
          <w:rFonts w:ascii="Arial" w:eastAsia="Arial" w:hAnsi="Arial" w:cs="Arial"/>
          <w:b/>
          <w:bCs/>
          <w:sz w:val="22"/>
          <w:szCs w:val="22"/>
          <w:u w:val="single"/>
        </w:rPr>
      </w:pPr>
      <w:r w:rsidRPr="153BD7F9">
        <w:rPr>
          <w:rFonts w:ascii="Arial" w:eastAsia="Arial" w:hAnsi="Arial" w:cs="Arial"/>
          <w:b/>
          <w:bCs/>
          <w:sz w:val="22"/>
          <w:szCs w:val="22"/>
          <w:u w:val="single"/>
        </w:rPr>
        <w:t>Data Collection and Analysis</w:t>
      </w:r>
    </w:p>
    <w:p w14:paraId="49BC93CB" w14:textId="47C462DB" w:rsidR="6A499543" w:rsidRDefault="6A499543" w:rsidP="153BD7F9">
      <w:pPr>
        <w:jc w:val="center"/>
        <w:rPr>
          <w:rFonts w:ascii="Arial" w:eastAsia="Arial" w:hAnsi="Arial" w:cs="Arial"/>
          <w:sz w:val="22"/>
          <w:szCs w:val="22"/>
        </w:rPr>
      </w:pPr>
      <w:r w:rsidRPr="153BD7F9">
        <w:rPr>
          <w:rFonts w:ascii="Arial" w:eastAsia="Arial" w:hAnsi="Arial" w:cs="Arial"/>
          <w:b/>
          <w:bCs/>
          <w:sz w:val="22"/>
          <w:szCs w:val="22"/>
        </w:rPr>
        <w:t>Search Strategy:</w:t>
      </w:r>
      <w:r w:rsidRPr="153BD7F9">
        <w:rPr>
          <w:rFonts w:ascii="Arial" w:eastAsia="Arial" w:hAnsi="Arial" w:cs="Arial"/>
          <w:sz w:val="22"/>
          <w:szCs w:val="22"/>
        </w:rPr>
        <w:t xml:space="preserve"> Databases such as CINAHL, </w:t>
      </w:r>
      <w:proofErr w:type="spellStart"/>
      <w:r w:rsidR="41C0E7EA" w:rsidRPr="153BD7F9">
        <w:rPr>
          <w:rFonts w:ascii="Arial" w:eastAsia="Arial" w:hAnsi="Arial" w:cs="Arial"/>
          <w:sz w:val="22"/>
          <w:szCs w:val="22"/>
        </w:rPr>
        <w:t>MEDLINE</w:t>
      </w:r>
      <w:proofErr w:type="spellEnd"/>
      <w:r w:rsidR="41C0E7EA" w:rsidRPr="153BD7F9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="41C0E7EA" w:rsidRPr="153BD7F9">
        <w:rPr>
          <w:rFonts w:ascii="Arial" w:eastAsia="Arial" w:hAnsi="Arial" w:cs="Arial"/>
          <w:sz w:val="22"/>
          <w:szCs w:val="22"/>
        </w:rPr>
        <w:t>Scopus</w:t>
      </w:r>
      <w:proofErr w:type="spellEnd"/>
      <w:r w:rsidRPr="153BD7F9">
        <w:rPr>
          <w:rFonts w:ascii="Arial" w:eastAsia="Arial" w:hAnsi="Arial" w:cs="Arial"/>
          <w:sz w:val="22"/>
          <w:szCs w:val="22"/>
        </w:rPr>
        <w:t>, and PubMed will be searched using keywords like “dementia care</w:t>
      </w:r>
      <w:r w:rsidR="6F455C9E" w:rsidRPr="153BD7F9">
        <w:rPr>
          <w:rFonts w:ascii="Arial" w:eastAsia="Arial" w:hAnsi="Arial" w:cs="Arial"/>
          <w:sz w:val="22"/>
          <w:szCs w:val="22"/>
        </w:rPr>
        <w:t>,” “UK”, “Alzheimer’s,” “</w:t>
      </w:r>
      <w:proofErr w:type="spellStart"/>
      <w:r w:rsidR="6F455C9E" w:rsidRPr="153BD7F9">
        <w:rPr>
          <w:rFonts w:ascii="Arial" w:eastAsia="Arial" w:hAnsi="Arial" w:cs="Arial"/>
          <w:sz w:val="22"/>
          <w:szCs w:val="22"/>
        </w:rPr>
        <w:t>person-centered</w:t>
      </w:r>
      <w:proofErr w:type="spellEnd"/>
      <w:r w:rsidR="6F455C9E" w:rsidRPr="153BD7F9">
        <w:rPr>
          <w:rFonts w:ascii="Arial" w:eastAsia="Arial" w:hAnsi="Arial" w:cs="Arial"/>
          <w:sz w:val="22"/>
          <w:szCs w:val="22"/>
        </w:rPr>
        <w:t xml:space="preserve"> care</w:t>
      </w:r>
      <w:r w:rsidR="21F2C61F" w:rsidRPr="153BD7F9">
        <w:rPr>
          <w:rFonts w:ascii="Arial" w:eastAsia="Arial" w:hAnsi="Arial" w:cs="Arial"/>
          <w:sz w:val="22"/>
          <w:szCs w:val="22"/>
        </w:rPr>
        <w:t>,” and “care practises.”</w:t>
      </w:r>
    </w:p>
    <w:p w14:paraId="2C4AB537" w14:textId="7C8A5577" w:rsidR="21F2C61F" w:rsidRDefault="21F2C61F" w:rsidP="153BD7F9">
      <w:pPr>
        <w:jc w:val="center"/>
        <w:rPr>
          <w:rFonts w:ascii="Arial" w:eastAsia="Arial" w:hAnsi="Arial" w:cs="Arial"/>
          <w:sz w:val="22"/>
          <w:szCs w:val="22"/>
        </w:rPr>
      </w:pPr>
      <w:r w:rsidRPr="153BD7F9">
        <w:rPr>
          <w:rFonts w:ascii="Arial" w:eastAsia="Arial" w:hAnsi="Arial" w:cs="Arial"/>
          <w:b/>
          <w:bCs/>
          <w:sz w:val="22"/>
          <w:szCs w:val="22"/>
        </w:rPr>
        <w:t>Analysis:</w:t>
      </w:r>
      <w:r w:rsidRPr="153BD7F9">
        <w:rPr>
          <w:rFonts w:ascii="Arial" w:eastAsia="Arial" w:hAnsi="Arial" w:cs="Arial"/>
          <w:sz w:val="22"/>
          <w:szCs w:val="22"/>
        </w:rPr>
        <w:t xml:space="preserve"> Aveyard’s simplified thematic analysis will be applied, involving:</w:t>
      </w:r>
    </w:p>
    <w:p w14:paraId="5A541F09" w14:textId="46FB3496" w:rsidR="21F2C61F" w:rsidRDefault="21F2C61F" w:rsidP="153BD7F9">
      <w:pPr>
        <w:pStyle w:val="ListParagraph"/>
        <w:numPr>
          <w:ilvl w:val="0"/>
          <w:numId w:val="1"/>
        </w:numPr>
        <w:jc w:val="center"/>
        <w:rPr>
          <w:rFonts w:ascii="Arial" w:eastAsia="Arial" w:hAnsi="Arial" w:cs="Arial"/>
          <w:sz w:val="22"/>
          <w:szCs w:val="22"/>
        </w:rPr>
      </w:pPr>
      <w:proofErr w:type="spellStart"/>
      <w:r w:rsidRPr="153BD7F9">
        <w:rPr>
          <w:rFonts w:ascii="Arial" w:eastAsia="Arial" w:hAnsi="Arial" w:cs="Arial"/>
          <w:sz w:val="22"/>
          <w:szCs w:val="22"/>
        </w:rPr>
        <w:t>Familiarization</w:t>
      </w:r>
      <w:proofErr w:type="spellEnd"/>
      <w:r w:rsidRPr="153BD7F9">
        <w:rPr>
          <w:rFonts w:ascii="Arial" w:eastAsia="Arial" w:hAnsi="Arial" w:cs="Arial"/>
          <w:sz w:val="22"/>
          <w:szCs w:val="22"/>
        </w:rPr>
        <w:t xml:space="preserve"> with selected studies.</w:t>
      </w:r>
    </w:p>
    <w:p w14:paraId="6D1F9CEF" w14:textId="4949A32E" w:rsidR="21F2C61F" w:rsidRDefault="21F2C61F" w:rsidP="153BD7F9">
      <w:pPr>
        <w:pStyle w:val="ListParagraph"/>
        <w:numPr>
          <w:ilvl w:val="0"/>
          <w:numId w:val="1"/>
        </w:numPr>
        <w:jc w:val="center"/>
        <w:rPr>
          <w:rFonts w:ascii="Arial" w:eastAsia="Arial" w:hAnsi="Arial" w:cs="Arial"/>
          <w:sz w:val="22"/>
          <w:szCs w:val="22"/>
        </w:rPr>
      </w:pPr>
      <w:r w:rsidRPr="153BD7F9">
        <w:rPr>
          <w:rFonts w:ascii="Arial" w:eastAsia="Arial" w:hAnsi="Arial" w:cs="Arial"/>
          <w:sz w:val="22"/>
          <w:szCs w:val="22"/>
        </w:rPr>
        <w:t>Coding of relevant data.</w:t>
      </w:r>
    </w:p>
    <w:p w14:paraId="533DD952" w14:textId="7D275B7A" w:rsidR="21F2C61F" w:rsidRDefault="21F2C61F" w:rsidP="153BD7F9">
      <w:pPr>
        <w:pStyle w:val="ListParagraph"/>
        <w:numPr>
          <w:ilvl w:val="0"/>
          <w:numId w:val="1"/>
        </w:numPr>
        <w:jc w:val="center"/>
        <w:rPr>
          <w:rFonts w:ascii="Arial" w:eastAsia="Arial" w:hAnsi="Arial" w:cs="Arial"/>
          <w:sz w:val="22"/>
          <w:szCs w:val="22"/>
        </w:rPr>
      </w:pPr>
      <w:r w:rsidRPr="153BD7F9">
        <w:rPr>
          <w:rFonts w:ascii="Arial" w:eastAsia="Arial" w:hAnsi="Arial" w:cs="Arial"/>
          <w:sz w:val="22"/>
          <w:szCs w:val="22"/>
        </w:rPr>
        <w:t>Identification of recurring themes across studies.</w:t>
      </w:r>
    </w:p>
    <w:p w14:paraId="548190FD" w14:textId="316CD383" w:rsidR="153BD7F9" w:rsidRDefault="153BD7F9" w:rsidP="153BD7F9">
      <w:pPr>
        <w:pStyle w:val="ListParagraph"/>
        <w:jc w:val="center"/>
        <w:rPr>
          <w:rFonts w:ascii="Arial" w:eastAsia="Arial" w:hAnsi="Arial" w:cs="Arial"/>
          <w:sz w:val="22"/>
          <w:szCs w:val="22"/>
        </w:rPr>
      </w:pPr>
    </w:p>
    <w:p w14:paraId="489F4988" w14:textId="0672921E" w:rsidR="1A13213A" w:rsidRDefault="1A13213A" w:rsidP="153BD7F9">
      <w:pPr>
        <w:pStyle w:val="ListParagraph"/>
        <w:jc w:val="center"/>
        <w:rPr>
          <w:rFonts w:ascii="Arial" w:eastAsia="Arial" w:hAnsi="Arial" w:cs="Arial"/>
          <w:b/>
          <w:bCs/>
          <w:sz w:val="22"/>
          <w:szCs w:val="22"/>
          <w:u w:val="single"/>
        </w:rPr>
      </w:pPr>
      <w:r w:rsidRPr="153BD7F9">
        <w:rPr>
          <w:rFonts w:ascii="Arial" w:eastAsia="Arial" w:hAnsi="Arial" w:cs="Arial"/>
          <w:b/>
          <w:bCs/>
          <w:sz w:val="22"/>
          <w:szCs w:val="22"/>
          <w:u w:val="single"/>
        </w:rPr>
        <w:t>Expected Outcomes</w:t>
      </w:r>
    </w:p>
    <w:p w14:paraId="2DB55122" w14:textId="728C3496" w:rsidR="1A13213A" w:rsidRDefault="1A13213A" w:rsidP="153BD7F9">
      <w:pPr>
        <w:pStyle w:val="ListParagraph"/>
        <w:jc w:val="center"/>
        <w:rPr>
          <w:rFonts w:ascii="Arial" w:eastAsia="Arial" w:hAnsi="Arial" w:cs="Arial"/>
          <w:sz w:val="22"/>
          <w:szCs w:val="22"/>
        </w:rPr>
      </w:pPr>
      <w:r w:rsidRPr="153BD7F9">
        <w:rPr>
          <w:rFonts w:ascii="Arial" w:eastAsia="Arial" w:hAnsi="Arial" w:cs="Arial"/>
          <w:sz w:val="22"/>
          <w:szCs w:val="22"/>
        </w:rPr>
        <w:t xml:space="preserve">The scoping review will provide a thematic map of current dementia care practises in the UK, informing </w:t>
      </w:r>
      <w:proofErr w:type="spellStart"/>
      <w:r w:rsidRPr="153BD7F9">
        <w:rPr>
          <w:rFonts w:ascii="Arial" w:eastAsia="Arial" w:hAnsi="Arial" w:cs="Arial"/>
          <w:sz w:val="22"/>
          <w:szCs w:val="22"/>
        </w:rPr>
        <w:t>practioners</w:t>
      </w:r>
      <w:proofErr w:type="spellEnd"/>
      <w:r w:rsidRPr="153BD7F9">
        <w:rPr>
          <w:rFonts w:ascii="Arial" w:eastAsia="Arial" w:hAnsi="Arial" w:cs="Arial"/>
          <w:sz w:val="22"/>
          <w:szCs w:val="22"/>
        </w:rPr>
        <w:t xml:space="preserve">, policy makers, and researchers, and </w:t>
      </w:r>
      <w:r w:rsidR="1776D020" w:rsidRPr="153BD7F9">
        <w:rPr>
          <w:rFonts w:ascii="Arial" w:eastAsia="Arial" w:hAnsi="Arial" w:cs="Arial"/>
          <w:sz w:val="22"/>
          <w:szCs w:val="22"/>
        </w:rPr>
        <w:t>guiding improvements in care delivery.</w:t>
      </w:r>
    </w:p>
    <w:p w14:paraId="74019BE2" w14:textId="2E95D4C3" w:rsidR="153BD7F9" w:rsidRDefault="153BD7F9" w:rsidP="153BD7F9">
      <w:pPr>
        <w:pStyle w:val="ListParagraph"/>
        <w:jc w:val="center"/>
        <w:rPr>
          <w:rFonts w:ascii="Arial" w:eastAsia="Arial" w:hAnsi="Arial" w:cs="Arial"/>
          <w:sz w:val="22"/>
          <w:szCs w:val="22"/>
        </w:rPr>
      </w:pPr>
    </w:p>
    <w:p w14:paraId="1973C54D" w14:textId="02535AFB" w:rsidR="1776D020" w:rsidRDefault="1776D020" w:rsidP="153BD7F9">
      <w:pPr>
        <w:pStyle w:val="ListParagraph"/>
        <w:jc w:val="center"/>
        <w:rPr>
          <w:rFonts w:ascii="Arial" w:eastAsia="Arial" w:hAnsi="Arial" w:cs="Arial"/>
          <w:b/>
          <w:bCs/>
          <w:sz w:val="22"/>
          <w:szCs w:val="22"/>
          <w:u w:val="single"/>
        </w:rPr>
      </w:pPr>
      <w:r w:rsidRPr="153BD7F9">
        <w:rPr>
          <w:rFonts w:ascii="Arial" w:eastAsia="Arial" w:hAnsi="Arial" w:cs="Arial"/>
          <w:b/>
          <w:bCs/>
          <w:sz w:val="22"/>
          <w:szCs w:val="22"/>
          <w:u w:val="single"/>
        </w:rPr>
        <w:t xml:space="preserve">Ethical </w:t>
      </w:r>
      <w:r w:rsidR="1445A7D5" w:rsidRPr="153BD7F9">
        <w:rPr>
          <w:rFonts w:ascii="Arial" w:eastAsia="Arial" w:hAnsi="Arial" w:cs="Arial"/>
          <w:b/>
          <w:bCs/>
          <w:sz w:val="22"/>
          <w:szCs w:val="22"/>
          <w:u w:val="single"/>
        </w:rPr>
        <w:t>C</w:t>
      </w:r>
      <w:r w:rsidRPr="153BD7F9">
        <w:rPr>
          <w:rFonts w:ascii="Arial" w:eastAsia="Arial" w:hAnsi="Arial" w:cs="Arial"/>
          <w:b/>
          <w:bCs/>
          <w:sz w:val="22"/>
          <w:szCs w:val="22"/>
          <w:u w:val="single"/>
        </w:rPr>
        <w:t>onsiderations</w:t>
      </w:r>
    </w:p>
    <w:p w14:paraId="12C9555A" w14:textId="09B3EBDE" w:rsidR="1776D020" w:rsidRDefault="1776D020" w:rsidP="153BD7F9">
      <w:pPr>
        <w:pStyle w:val="ListParagraph"/>
        <w:jc w:val="center"/>
        <w:rPr>
          <w:rFonts w:ascii="Arial" w:eastAsia="Arial" w:hAnsi="Arial" w:cs="Arial"/>
          <w:sz w:val="22"/>
          <w:szCs w:val="22"/>
        </w:rPr>
      </w:pPr>
      <w:r w:rsidRPr="153BD7F9">
        <w:rPr>
          <w:rFonts w:ascii="Arial" w:eastAsia="Arial" w:hAnsi="Arial" w:cs="Arial"/>
          <w:sz w:val="22"/>
          <w:szCs w:val="22"/>
        </w:rPr>
        <w:t>As this study uses secondary data from publicly available peer-reviewed literature, ethical approval is not required. All sources will be accurately</w:t>
      </w:r>
      <w:r w:rsidR="11C29EA6" w:rsidRPr="153BD7F9">
        <w:rPr>
          <w:rFonts w:ascii="Arial" w:eastAsia="Arial" w:hAnsi="Arial" w:cs="Arial"/>
          <w:sz w:val="22"/>
          <w:szCs w:val="22"/>
        </w:rPr>
        <w:t xml:space="preserve"> cited to ensure ethical academic practise.</w:t>
      </w:r>
      <w:r w:rsidRPr="153BD7F9">
        <w:rPr>
          <w:rFonts w:ascii="Arial" w:eastAsia="Arial" w:hAnsi="Arial" w:cs="Arial"/>
          <w:sz w:val="22"/>
          <w:szCs w:val="22"/>
        </w:rPr>
        <w:t xml:space="preserve"> </w:t>
      </w:r>
    </w:p>
    <w:p w14:paraId="139FA469" w14:textId="350882BA" w:rsidR="153BD7F9" w:rsidRDefault="153BD7F9" w:rsidP="153BD7F9">
      <w:pPr>
        <w:pStyle w:val="ListParagraph"/>
        <w:jc w:val="center"/>
        <w:rPr>
          <w:rFonts w:ascii="Arial" w:eastAsia="Arial" w:hAnsi="Arial" w:cs="Arial"/>
          <w:sz w:val="22"/>
          <w:szCs w:val="22"/>
        </w:rPr>
      </w:pPr>
    </w:p>
    <w:p w14:paraId="6AD9B35C" w14:textId="7BAA1182" w:rsidR="183EFAFA" w:rsidRDefault="183EFAFA" w:rsidP="153BD7F9">
      <w:pPr>
        <w:pStyle w:val="ListParagraph"/>
        <w:jc w:val="center"/>
        <w:rPr>
          <w:rFonts w:ascii="Arial" w:eastAsia="Arial" w:hAnsi="Arial" w:cs="Arial"/>
          <w:b/>
          <w:bCs/>
          <w:sz w:val="22"/>
          <w:szCs w:val="22"/>
          <w:u w:val="single"/>
        </w:rPr>
      </w:pPr>
      <w:r w:rsidRPr="153BD7F9">
        <w:rPr>
          <w:rFonts w:ascii="Arial" w:eastAsia="Arial" w:hAnsi="Arial" w:cs="Arial"/>
          <w:b/>
          <w:bCs/>
          <w:sz w:val="22"/>
          <w:szCs w:val="22"/>
          <w:u w:val="single"/>
        </w:rPr>
        <w:t>References</w:t>
      </w:r>
    </w:p>
    <w:p w14:paraId="78171D5D" w14:textId="5CF513E4" w:rsidR="153BD7F9" w:rsidRDefault="153BD7F9" w:rsidP="153BD7F9">
      <w:pPr>
        <w:pStyle w:val="ListParagraph"/>
        <w:jc w:val="center"/>
        <w:rPr>
          <w:rFonts w:ascii="Arial" w:eastAsia="Arial" w:hAnsi="Arial" w:cs="Arial"/>
          <w:sz w:val="22"/>
          <w:szCs w:val="22"/>
        </w:rPr>
      </w:pPr>
    </w:p>
    <w:p w14:paraId="7E1909ED" w14:textId="643A963C" w:rsidR="153BD7F9" w:rsidRDefault="153BD7F9" w:rsidP="153BD7F9">
      <w:pPr>
        <w:pStyle w:val="ListParagraph"/>
        <w:jc w:val="center"/>
        <w:rPr>
          <w:rFonts w:ascii="Times New Roman" w:eastAsia="Times New Roman" w:hAnsi="Times New Roman" w:cs="Times New Roman"/>
          <w:sz w:val="22"/>
          <w:szCs w:val="22"/>
        </w:rPr>
      </w:pPr>
    </w:p>
    <w:p w14:paraId="12334686" w14:textId="496EC870" w:rsidR="2235C536" w:rsidRPr="008D18AE" w:rsidRDefault="2235C536" w:rsidP="153BD7F9">
      <w:pPr>
        <w:pStyle w:val="ListParagraph"/>
        <w:jc w:val="center"/>
        <w:rPr>
          <w:rFonts w:ascii="Times New Roman" w:eastAsia="Times New Roman" w:hAnsi="Times New Roman" w:cs="Times New Roman"/>
          <w:sz w:val="22"/>
          <w:szCs w:val="22"/>
        </w:rPr>
      </w:pPr>
      <w:r w:rsidRPr="008D18AE">
        <w:rPr>
          <w:rFonts w:ascii="Times New Roman" w:eastAsia="Times New Roman" w:hAnsi="Times New Roman" w:cs="Times New Roman"/>
          <w:sz w:val="22"/>
          <w:szCs w:val="22"/>
        </w:rPr>
        <w:t>Aveyard, H., 2014. Doing a Literature Review in Health and Social Care: A Practical Guide. 3</w:t>
      </w:r>
      <w:r w:rsidRPr="008D18AE">
        <w:rPr>
          <w:rFonts w:ascii="Times New Roman" w:eastAsia="Times New Roman" w:hAnsi="Times New Roman" w:cs="Times New Roman"/>
          <w:sz w:val="22"/>
          <w:szCs w:val="22"/>
          <w:vertAlign w:val="superscript"/>
        </w:rPr>
        <w:t>rd</w:t>
      </w:r>
      <w:r w:rsidRPr="008D18AE">
        <w:rPr>
          <w:rFonts w:ascii="Times New Roman" w:eastAsia="Times New Roman" w:hAnsi="Times New Roman" w:cs="Times New Roman"/>
          <w:sz w:val="22"/>
          <w:szCs w:val="22"/>
        </w:rPr>
        <w:t xml:space="preserve"> ed</w:t>
      </w:r>
      <w:r w:rsidR="22214E5D" w:rsidRPr="008D18AE">
        <w:rPr>
          <w:rFonts w:ascii="Times New Roman" w:eastAsia="Times New Roman" w:hAnsi="Times New Roman" w:cs="Times New Roman"/>
          <w:sz w:val="22"/>
          <w:szCs w:val="22"/>
        </w:rPr>
        <w:t>. Maidenhead: Open University Press.</w:t>
      </w:r>
    </w:p>
    <w:p w14:paraId="51F204DB" w14:textId="77777777" w:rsidR="00C12622" w:rsidRPr="008D18AE" w:rsidRDefault="00C12622" w:rsidP="153BD7F9">
      <w:pPr>
        <w:pStyle w:val="ListParagraph"/>
        <w:jc w:val="center"/>
        <w:rPr>
          <w:rFonts w:ascii="Times New Roman" w:eastAsia="Times New Roman" w:hAnsi="Times New Roman" w:cs="Times New Roman"/>
          <w:sz w:val="22"/>
          <w:szCs w:val="22"/>
        </w:rPr>
      </w:pPr>
    </w:p>
    <w:p w14:paraId="464C87D0" w14:textId="77777777" w:rsidR="00C12622" w:rsidRPr="008D18AE" w:rsidRDefault="00C12622" w:rsidP="00896190">
      <w:pPr>
        <w:pStyle w:val="ListParagraph"/>
        <w:jc w:val="center"/>
        <w:rPr>
          <w:rFonts w:ascii="Times New Roman" w:eastAsia="Times New Roman" w:hAnsi="Times New Roman" w:cs="Times New Roman"/>
          <w:sz w:val="22"/>
          <w:szCs w:val="22"/>
        </w:rPr>
      </w:pPr>
      <w:proofErr w:type="spellStart"/>
      <w:r w:rsidRPr="008D18AE">
        <w:rPr>
          <w:rFonts w:ascii="Times New Roman" w:eastAsia="Times New Roman" w:hAnsi="Times New Roman" w:cs="Times New Roman"/>
          <w:sz w:val="22"/>
          <w:szCs w:val="22"/>
        </w:rPr>
        <w:t>Brooker</w:t>
      </w:r>
      <w:proofErr w:type="spellEnd"/>
      <w:r w:rsidRPr="008D18AE">
        <w:rPr>
          <w:rFonts w:ascii="Times New Roman" w:eastAsia="Times New Roman" w:hAnsi="Times New Roman" w:cs="Times New Roman"/>
          <w:sz w:val="22"/>
          <w:szCs w:val="22"/>
        </w:rPr>
        <w:t xml:space="preserve">, D. and Latham, I., 2016. </w:t>
      </w:r>
      <w:proofErr w:type="spellStart"/>
      <w:r w:rsidRPr="008D18AE">
        <w:rPr>
          <w:rFonts w:ascii="Times New Roman" w:eastAsia="Times New Roman" w:hAnsi="Times New Roman" w:cs="Times New Roman"/>
          <w:sz w:val="22"/>
          <w:szCs w:val="22"/>
        </w:rPr>
        <w:t>Person-Centered</w:t>
      </w:r>
      <w:proofErr w:type="spellEnd"/>
      <w:r w:rsidRPr="008D18AE">
        <w:rPr>
          <w:rFonts w:ascii="Times New Roman" w:eastAsia="Times New Roman" w:hAnsi="Times New Roman" w:cs="Times New Roman"/>
          <w:sz w:val="22"/>
          <w:szCs w:val="22"/>
        </w:rPr>
        <w:t xml:space="preserve"> Dementia Care: Making Services Better with the VIPS Framework. 2</w:t>
      </w:r>
      <w:r w:rsidRPr="008D18AE">
        <w:rPr>
          <w:rFonts w:ascii="Times New Roman" w:eastAsia="Times New Roman" w:hAnsi="Times New Roman" w:cs="Times New Roman"/>
          <w:sz w:val="22"/>
          <w:szCs w:val="22"/>
          <w:vertAlign w:val="superscript"/>
        </w:rPr>
        <w:t>nd</w:t>
      </w:r>
      <w:r w:rsidRPr="008D18AE">
        <w:rPr>
          <w:rFonts w:ascii="Times New Roman" w:eastAsia="Times New Roman" w:hAnsi="Times New Roman" w:cs="Times New Roman"/>
          <w:sz w:val="22"/>
          <w:szCs w:val="22"/>
        </w:rPr>
        <w:t xml:space="preserve"> ed. London: Jessica Kingsley Publishers.</w:t>
      </w:r>
    </w:p>
    <w:p w14:paraId="574947F4" w14:textId="77777777" w:rsidR="00EC7A9B" w:rsidRPr="008D18AE" w:rsidRDefault="00EC7A9B" w:rsidP="00896190">
      <w:pPr>
        <w:pStyle w:val="ListParagraph"/>
        <w:jc w:val="center"/>
        <w:rPr>
          <w:rFonts w:ascii="Times New Roman" w:eastAsia="Times New Roman" w:hAnsi="Times New Roman" w:cs="Times New Roman"/>
          <w:sz w:val="22"/>
          <w:szCs w:val="22"/>
        </w:rPr>
      </w:pPr>
    </w:p>
    <w:p w14:paraId="37CAC7F8" w14:textId="77777777" w:rsidR="00EC7A9B" w:rsidRPr="008D18AE" w:rsidRDefault="00EC7A9B" w:rsidP="00896190">
      <w:pPr>
        <w:pStyle w:val="ListParagraph"/>
        <w:jc w:val="center"/>
        <w:rPr>
          <w:rFonts w:ascii="Times New Roman" w:eastAsia="Times New Roman" w:hAnsi="Times New Roman" w:cs="Times New Roman"/>
          <w:sz w:val="22"/>
          <w:szCs w:val="22"/>
        </w:rPr>
      </w:pPr>
      <w:r w:rsidRPr="008D18AE">
        <w:rPr>
          <w:rStyle w:val="Strong"/>
          <w:rFonts w:ascii="Times New Roman" w:eastAsia="Times New Roman" w:hAnsi="Times New Roman" w:cs="Times New Roman"/>
          <w:b w:val="0"/>
          <w:bCs w:val="0"/>
          <w:color w:val="000000"/>
        </w:rPr>
        <w:t>National Institute for Health and Care Excellence (NICE)</w:t>
      </w:r>
      <w:r w:rsidRPr="008D18AE">
        <w:rPr>
          <w:rStyle w:val="apple-converted-space"/>
          <w:rFonts w:ascii="Times New Roman" w:eastAsia="Times New Roman" w:hAnsi="Times New Roman" w:cs="Times New Roman"/>
          <w:color w:val="000000"/>
          <w:sz w:val="27"/>
          <w:szCs w:val="27"/>
        </w:rPr>
        <w:t> </w:t>
      </w:r>
      <w:r w:rsidRPr="008D18AE">
        <w:rPr>
          <w:rFonts w:ascii="Times New Roman" w:eastAsia="Times New Roman" w:hAnsi="Times New Roman" w:cs="Times New Roman"/>
          <w:color w:val="000000"/>
          <w:sz w:val="27"/>
          <w:szCs w:val="27"/>
        </w:rPr>
        <w:t>(2018)</w:t>
      </w:r>
      <w:r w:rsidRPr="008D18AE">
        <w:rPr>
          <w:rStyle w:val="apple-converted-space"/>
          <w:rFonts w:ascii="Times New Roman" w:eastAsia="Times New Roman" w:hAnsi="Times New Roman" w:cs="Times New Roman"/>
          <w:color w:val="000000"/>
          <w:sz w:val="27"/>
          <w:szCs w:val="27"/>
        </w:rPr>
        <w:t> </w:t>
      </w:r>
      <w:r w:rsidRPr="008D18AE">
        <w:rPr>
          <w:rStyle w:val="Emphasis"/>
          <w:rFonts w:ascii="Times New Roman" w:eastAsia="Times New Roman" w:hAnsi="Times New Roman" w:cs="Times New Roman"/>
          <w:color w:val="000000"/>
        </w:rPr>
        <w:t>Dementia: assessment, management and support for people living with dementia and their carers (NG97)</w:t>
      </w:r>
      <w:r w:rsidRPr="008D18AE">
        <w:rPr>
          <w:rStyle w:val="apple-converted-space"/>
          <w:rFonts w:ascii="Times New Roman" w:eastAsia="Times New Roman" w:hAnsi="Times New Roman" w:cs="Times New Roman"/>
          <w:color w:val="000000"/>
          <w:sz w:val="27"/>
          <w:szCs w:val="27"/>
        </w:rPr>
        <w:t> </w:t>
      </w:r>
      <w:r w:rsidRPr="008D18AE">
        <w:rPr>
          <w:rFonts w:ascii="Times New Roman" w:eastAsia="Times New Roman" w:hAnsi="Times New Roman" w:cs="Times New Roman"/>
          <w:color w:val="000000"/>
          <w:sz w:val="27"/>
          <w:szCs w:val="27"/>
        </w:rPr>
        <w:t>[online]. London: NICE. Available at:</w:t>
      </w:r>
      <w:r w:rsidRPr="008D18AE">
        <w:rPr>
          <w:rStyle w:val="apple-converted-space"/>
          <w:rFonts w:ascii="Times New Roman" w:eastAsia="Times New Roman" w:hAnsi="Times New Roman" w:cs="Times New Roman"/>
          <w:color w:val="000000"/>
          <w:sz w:val="27"/>
          <w:szCs w:val="27"/>
        </w:rPr>
        <w:t> </w:t>
      </w:r>
      <w:r w:rsidRPr="008D18AE">
        <w:rPr>
          <w:rFonts w:ascii="Times New Roman" w:eastAsia="Times New Roman" w:hAnsi="Times New Roman" w:cs="Times New Roman"/>
        </w:rPr>
        <w:t>https://www.nice.org.uk/guidance/</w:t>
      </w:r>
      <w:proofErr w:type="spellStart"/>
      <w:r w:rsidRPr="008D18AE">
        <w:rPr>
          <w:rFonts w:ascii="Times New Roman" w:eastAsia="Times New Roman" w:hAnsi="Times New Roman" w:cs="Times New Roman"/>
        </w:rPr>
        <w:t>ng97</w:t>
      </w:r>
      <w:proofErr w:type="spellEnd"/>
    </w:p>
    <w:p w14:paraId="6DF053C6" w14:textId="77777777" w:rsidR="00EC7A9B" w:rsidRPr="008D18AE" w:rsidRDefault="00EC7A9B" w:rsidP="00896190">
      <w:pPr>
        <w:pStyle w:val="ListParagraph"/>
        <w:jc w:val="center"/>
        <w:rPr>
          <w:rFonts w:ascii="Times New Roman" w:eastAsia="Times New Roman" w:hAnsi="Times New Roman" w:cs="Times New Roman"/>
          <w:sz w:val="22"/>
          <w:szCs w:val="22"/>
        </w:rPr>
      </w:pPr>
    </w:p>
    <w:p w14:paraId="01031B32" w14:textId="77777777" w:rsidR="00C12622" w:rsidRPr="008D18AE" w:rsidRDefault="00C12622" w:rsidP="00896190">
      <w:pPr>
        <w:pStyle w:val="ListParagraph"/>
        <w:jc w:val="center"/>
        <w:rPr>
          <w:rFonts w:ascii="Times New Roman" w:eastAsia="Times New Roman" w:hAnsi="Times New Roman" w:cs="Times New Roman"/>
          <w:sz w:val="22"/>
          <w:szCs w:val="22"/>
        </w:rPr>
      </w:pPr>
    </w:p>
    <w:p w14:paraId="30197755" w14:textId="44135885" w:rsidR="22214E5D" w:rsidRPr="008D18AE" w:rsidRDefault="22214E5D" w:rsidP="00EC7A9B">
      <w:pPr>
        <w:rPr>
          <w:rFonts w:ascii="Times New Roman" w:eastAsia="Times New Roman" w:hAnsi="Times New Roman" w:cs="Times New Roman"/>
          <w:sz w:val="22"/>
          <w:szCs w:val="22"/>
        </w:rPr>
      </w:pPr>
      <w:proofErr w:type="spellStart"/>
      <w:r w:rsidRPr="008D18AE">
        <w:rPr>
          <w:rFonts w:ascii="Times New Roman" w:eastAsia="Times New Roman" w:hAnsi="Times New Roman" w:cs="Times New Roman"/>
          <w:sz w:val="22"/>
          <w:szCs w:val="22"/>
        </w:rPr>
        <w:t>Rahman,S.and</w:t>
      </w:r>
      <w:proofErr w:type="spellEnd"/>
      <w:r w:rsidRPr="008D18AE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proofErr w:type="spellStart"/>
      <w:r w:rsidRPr="008D18AE">
        <w:rPr>
          <w:rFonts w:ascii="Times New Roman" w:eastAsia="Times New Roman" w:hAnsi="Times New Roman" w:cs="Times New Roman"/>
          <w:sz w:val="22"/>
          <w:szCs w:val="22"/>
        </w:rPr>
        <w:t>Swaffer</w:t>
      </w:r>
      <w:proofErr w:type="spellEnd"/>
      <w:r w:rsidRPr="008D18AE">
        <w:rPr>
          <w:rFonts w:ascii="Times New Roman" w:eastAsia="Times New Roman" w:hAnsi="Times New Roman" w:cs="Times New Roman"/>
          <w:sz w:val="22"/>
          <w:szCs w:val="22"/>
        </w:rPr>
        <w:t>, K., 2018. Assets-based approaches and dementia- friendly communities. Dementia,</w:t>
      </w:r>
      <w:r w:rsidR="4D503075" w:rsidRPr="008D18AE">
        <w:rPr>
          <w:rFonts w:ascii="Times New Roman" w:eastAsia="Times New Roman" w:hAnsi="Times New Roman" w:cs="Times New Roman"/>
          <w:sz w:val="22"/>
          <w:szCs w:val="22"/>
        </w:rPr>
        <w:t xml:space="preserve"> 17 (2), pp.131-137.</w:t>
      </w:r>
    </w:p>
    <w:p w14:paraId="59A6E8EE" w14:textId="77777777" w:rsidR="00EC7A9B" w:rsidRPr="008D18AE" w:rsidRDefault="00EC7A9B" w:rsidP="00EC7A9B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6EF683D5" w14:textId="77777777" w:rsidR="00EC7A9B" w:rsidRPr="008D18AE" w:rsidRDefault="00EC7A9B" w:rsidP="00896190">
      <w:pPr>
        <w:pStyle w:val="ListParagraph"/>
        <w:jc w:val="center"/>
        <w:rPr>
          <w:rFonts w:ascii="Times New Roman" w:eastAsia="Times New Roman" w:hAnsi="Times New Roman" w:cs="Times New Roman"/>
          <w:sz w:val="22"/>
          <w:szCs w:val="22"/>
        </w:rPr>
      </w:pPr>
      <w:r w:rsidRPr="008D18AE">
        <w:rPr>
          <w:rFonts w:ascii="Times New Roman" w:eastAsia="Times New Roman" w:hAnsi="Times New Roman" w:cs="Times New Roman"/>
          <w:color w:val="000000"/>
          <w:lang w:eastAsia="en-GB"/>
        </w:rPr>
        <w:t xml:space="preserve">World Health </w:t>
      </w:r>
      <w:proofErr w:type="spellStart"/>
      <w:r w:rsidRPr="008D18AE">
        <w:rPr>
          <w:rFonts w:ascii="Times New Roman" w:eastAsia="Times New Roman" w:hAnsi="Times New Roman" w:cs="Times New Roman"/>
          <w:color w:val="000000"/>
          <w:lang w:eastAsia="en-GB"/>
        </w:rPr>
        <w:t>Organization</w:t>
      </w:r>
      <w:proofErr w:type="spellEnd"/>
      <w:r w:rsidRPr="008D18AE">
        <w:rPr>
          <w:rFonts w:ascii="Times New Roman" w:eastAsia="Times New Roman" w:hAnsi="Times New Roman" w:cs="Times New Roman"/>
          <w:color w:val="000000"/>
          <w:lang w:eastAsia="en-GB"/>
        </w:rPr>
        <w:t xml:space="preserve"> (WHO)</w:t>
      </w:r>
      <w:r w:rsidRPr="008D18AE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 (2021) </w:t>
      </w:r>
      <w:r w:rsidRPr="008D18AE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Global status report on the public health response to dementia</w:t>
      </w:r>
      <w:r w:rsidRPr="008D18AE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 [online]. Geneva: WHO. Available at: </w:t>
      </w:r>
      <w:hyperlink r:id="rId5" w:tgtFrame="_new" w:history="1">
        <w:r w:rsidRPr="008D18AE">
          <w:rPr>
            <w:rFonts w:ascii="Times New Roman" w:eastAsia="Times New Roman" w:hAnsi="Times New Roman" w:cs="Times New Roman"/>
            <w:color w:val="0000FF"/>
            <w:u w:val="single"/>
            <w:lang w:eastAsia="en-GB"/>
          </w:rPr>
          <w:t>https://www.who.int/publications/i/item/9789240033245</w:t>
        </w:r>
      </w:hyperlink>
    </w:p>
    <w:p w14:paraId="65B86B3A" w14:textId="77777777" w:rsidR="00EC7A9B" w:rsidRPr="008D18AE" w:rsidRDefault="00EC7A9B" w:rsidP="00EC7A9B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05A134B7" w14:textId="3DA229A8" w:rsidR="153BD7F9" w:rsidRPr="008D18AE" w:rsidRDefault="153BD7F9" w:rsidP="153BD7F9">
      <w:pPr>
        <w:pStyle w:val="ListParagraph"/>
        <w:jc w:val="center"/>
        <w:rPr>
          <w:rFonts w:ascii="Times New Roman" w:eastAsia="Times New Roman" w:hAnsi="Times New Roman" w:cs="Times New Roman"/>
          <w:sz w:val="22"/>
          <w:szCs w:val="22"/>
        </w:rPr>
      </w:pPr>
    </w:p>
    <w:p w14:paraId="03E3E3C9" w14:textId="1E8A5BF2" w:rsidR="7D9A1DFD" w:rsidRDefault="7D9A1DFD" w:rsidP="153BD7F9">
      <w:pPr>
        <w:pStyle w:val="ListParagraph"/>
        <w:jc w:val="center"/>
        <w:rPr>
          <w:rFonts w:ascii="Times New Roman" w:eastAsia="Times New Roman" w:hAnsi="Times New Roman" w:cs="Times New Roman"/>
          <w:sz w:val="22"/>
          <w:szCs w:val="22"/>
        </w:rPr>
      </w:pPr>
    </w:p>
    <w:sectPr w:rsidR="7D9A1DF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3blqIpgUOf5GaD" int2:id="wL5j3Dbv">
      <int2:state int2:value="Rejected" int2:type="spell"/>
    </int2:textHash>
    <int2:textHash int2:hashCode="SYZBor4JgeR9cp" int2:id="x4Kex9Sk">
      <int2:state int2:value="Rejected" int2:type="spell"/>
    </int2:textHash>
    <int2:textHash int2:hashCode="Ef53+qmgAlV5pi" int2:id="ogAkSmdH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469E81"/>
    <w:multiLevelType w:val="hybridMultilevel"/>
    <w:tmpl w:val="FFFFFFFF"/>
    <w:lvl w:ilvl="0" w:tplc="10C24F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5D299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E9A02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90D1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D2A5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0BC95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B6DA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90AF7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AF6EA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72414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716EFE4"/>
    <w:rsid w:val="000A4522"/>
    <w:rsid w:val="00397286"/>
    <w:rsid w:val="008D18AE"/>
    <w:rsid w:val="00972307"/>
    <w:rsid w:val="00B94E46"/>
    <w:rsid w:val="00C06D17"/>
    <w:rsid w:val="00C12622"/>
    <w:rsid w:val="00CC1671"/>
    <w:rsid w:val="00EC7A9B"/>
    <w:rsid w:val="010689EA"/>
    <w:rsid w:val="0142F1C5"/>
    <w:rsid w:val="02C6DD22"/>
    <w:rsid w:val="075CDF1D"/>
    <w:rsid w:val="09545078"/>
    <w:rsid w:val="0A0A7AA1"/>
    <w:rsid w:val="0A362E0D"/>
    <w:rsid w:val="0C2400AD"/>
    <w:rsid w:val="0C4AB8EB"/>
    <w:rsid w:val="0C742640"/>
    <w:rsid w:val="0D060541"/>
    <w:rsid w:val="0D069CD4"/>
    <w:rsid w:val="0D7A18E9"/>
    <w:rsid w:val="0ED9E0CE"/>
    <w:rsid w:val="0F20CD18"/>
    <w:rsid w:val="10467CA2"/>
    <w:rsid w:val="10D8C5DE"/>
    <w:rsid w:val="11129E06"/>
    <w:rsid w:val="11C29EA6"/>
    <w:rsid w:val="1391A11C"/>
    <w:rsid w:val="1445A7D5"/>
    <w:rsid w:val="14608DD6"/>
    <w:rsid w:val="14CAC5BF"/>
    <w:rsid w:val="153BD7F9"/>
    <w:rsid w:val="15860AF2"/>
    <w:rsid w:val="1776D020"/>
    <w:rsid w:val="183EFAFA"/>
    <w:rsid w:val="18550D8B"/>
    <w:rsid w:val="18F56CBD"/>
    <w:rsid w:val="194028BD"/>
    <w:rsid w:val="1A13213A"/>
    <w:rsid w:val="1A84A555"/>
    <w:rsid w:val="1AEA0932"/>
    <w:rsid w:val="1BAB4564"/>
    <w:rsid w:val="1BB93E05"/>
    <w:rsid w:val="1C9309D5"/>
    <w:rsid w:val="1CE323AA"/>
    <w:rsid w:val="1EC279F3"/>
    <w:rsid w:val="1EE7683A"/>
    <w:rsid w:val="1FA9C7F0"/>
    <w:rsid w:val="21F2C61F"/>
    <w:rsid w:val="22214E5D"/>
    <w:rsid w:val="2235C536"/>
    <w:rsid w:val="22F93D37"/>
    <w:rsid w:val="238AA1C7"/>
    <w:rsid w:val="239DAF48"/>
    <w:rsid w:val="23EE0FB0"/>
    <w:rsid w:val="25FB6BD6"/>
    <w:rsid w:val="266B5407"/>
    <w:rsid w:val="2716EFE4"/>
    <w:rsid w:val="281E2C8D"/>
    <w:rsid w:val="2A491C4A"/>
    <w:rsid w:val="2BFF4C07"/>
    <w:rsid w:val="2C51EF9C"/>
    <w:rsid w:val="2C7BD98E"/>
    <w:rsid w:val="2EBAEB5E"/>
    <w:rsid w:val="336F9C02"/>
    <w:rsid w:val="337B4341"/>
    <w:rsid w:val="34953460"/>
    <w:rsid w:val="3703737D"/>
    <w:rsid w:val="39FC5AD9"/>
    <w:rsid w:val="3B8289DC"/>
    <w:rsid w:val="3DFB6E10"/>
    <w:rsid w:val="3F96191D"/>
    <w:rsid w:val="4129F7B7"/>
    <w:rsid w:val="41AB2EE7"/>
    <w:rsid w:val="41C0E7EA"/>
    <w:rsid w:val="439B50B7"/>
    <w:rsid w:val="4548A0C8"/>
    <w:rsid w:val="45A5A4EB"/>
    <w:rsid w:val="4715052B"/>
    <w:rsid w:val="473ED09F"/>
    <w:rsid w:val="4760F09E"/>
    <w:rsid w:val="48F50863"/>
    <w:rsid w:val="4AD5F07D"/>
    <w:rsid w:val="4BEF6D78"/>
    <w:rsid w:val="4D503075"/>
    <w:rsid w:val="4EA02A7F"/>
    <w:rsid w:val="4FBF73E4"/>
    <w:rsid w:val="50C2FD8F"/>
    <w:rsid w:val="524FD16B"/>
    <w:rsid w:val="5458D45A"/>
    <w:rsid w:val="56A93CD1"/>
    <w:rsid w:val="5777B19F"/>
    <w:rsid w:val="57BA4E5F"/>
    <w:rsid w:val="57E9EC22"/>
    <w:rsid w:val="589DDFAB"/>
    <w:rsid w:val="59084D51"/>
    <w:rsid w:val="5CC04305"/>
    <w:rsid w:val="5D546FF7"/>
    <w:rsid w:val="5D7FD7EA"/>
    <w:rsid w:val="5DC43C56"/>
    <w:rsid w:val="5E4E0C21"/>
    <w:rsid w:val="5ECE1C05"/>
    <w:rsid w:val="5F378112"/>
    <w:rsid w:val="609FE540"/>
    <w:rsid w:val="627F02CA"/>
    <w:rsid w:val="628D29BC"/>
    <w:rsid w:val="661A08BA"/>
    <w:rsid w:val="66F3D676"/>
    <w:rsid w:val="6A19D96F"/>
    <w:rsid w:val="6A499543"/>
    <w:rsid w:val="6BD28005"/>
    <w:rsid w:val="6BF95B77"/>
    <w:rsid w:val="6C6BF364"/>
    <w:rsid w:val="6D13CA7D"/>
    <w:rsid w:val="6F455C9E"/>
    <w:rsid w:val="6FCD7171"/>
    <w:rsid w:val="70B3A636"/>
    <w:rsid w:val="71D1C7FE"/>
    <w:rsid w:val="73C8D030"/>
    <w:rsid w:val="73D86283"/>
    <w:rsid w:val="741D330E"/>
    <w:rsid w:val="7481977C"/>
    <w:rsid w:val="7516A126"/>
    <w:rsid w:val="76B2CF5E"/>
    <w:rsid w:val="7838D324"/>
    <w:rsid w:val="79420D16"/>
    <w:rsid w:val="7B79A1A6"/>
    <w:rsid w:val="7C428DCD"/>
    <w:rsid w:val="7D9A1DFD"/>
    <w:rsid w:val="7E13B21D"/>
    <w:rsid w:val="7E1A6E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6EFE4"/>
  <w15:chartTrackingRefBased/>
  <w15:docId w15:val="{0C6D030F-AAA4-4435-B97E-7F17E4FE99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153BD7F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153BD7F9"/>
    <w:rPr>
      <w:color w:val="467886"/>
      <w:u w:val="single"/>
    </w:rPr>
  </w:style>
  <w:style w:type="character" w:styleId="Strong">
    <w:name w:val="Strong"/>
    <w:basedOn w:val="DefaultParagraphFont"/>
    <w:uiPriority w:val="22"/>
    <w:qFormat/>
    <w:rsid w:val="00972307"/>
    <w:rPr>
      <w:b/>
      <w:bCs/>
    </w:rPr>
  </w:style>
  <w:style w:type="character" w:customStyle="1" w:styleId="apple-converted-space">
    <w:name w:val="apple-converted-space"/>
    <w:basedOn w:val="DefaultParagraphFont"/>
    <w:rsid w:val="00972307"/>
  </w:style>
  <w:style w:type="character" w:styleId="Emphasis">
    <w:name w:val="Emphasis"/>
    <w:basedOn w:val="DefaultParagraphFont"/>
    <w:uiPriority w:val="20"/>
    <w:qFormat/>
    <w:rsid w:val="0097230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who.int/publications/i/item/9789240033245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591</Words>
  <Characters>3372</Characters>
  <Application>Microsoft Office Word</Application>
  <DocSecurity>0</DocSecurity>
  <Lines>28</Lines>
  <Paragraphs>7</Paragraphs>
  <ScaleCrop>false</ScaleCrop>
  <Company/>
  <LinksUpToDate>false</LinksUpToDate>
  <CharactersWithSpaces>3956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Tayyaba Shamim (2319019)</dc:creator>
  <cp:keywords/>
  <dc:description/>
  <cp:lastModifiedBy>Tayyaba Shamim (2319019)</cp:lastModifiedBy>
  <cp:revision>2</cp:revision>
  <dcterms:created xsi:type="dcterms:W3CDTF">2025-10-05T21:28:00Z</dcterms:created>
  <dcterms:modified xsi:type="dcterms:W3CDTF">2025-10-05T21:28:00Z</dcterms:modified>
</cp:coreProperties>
</file>