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CD6E329" w14:textId="77777777" w:rsidR="00A5369E" w:rsidRPr="000C46CD" w:rsidRDefault="00A5369E">
      <w:pPr>
        <w:jc w:val="center"/>
        <w:rPr>
          <w:b/>
          <w:bCs/>
        </w:rPr>
      </w:pPr>
    </w:p>
    <w:p w14:paraId="5AD5931B" w14:textId="77777777" w:rsidR="00A5369E" w:rsidRPr="000C46CD" w:rsidRDefault="00A5369E">
      <w:pPr>
        <w:jc w:val="center"/>
        <w:rPr>
          <w:b/>
          <w:bCs/>
        </w:rPr>
      </w:pPr>
    </w:p>
    <w:p w14:paraId="4E794C59" w14:textId="77777777" w:rsidR="00A5369E" w:rsidRPr="000C46CD" w:rsidRDefault="00A5369E">
      <w:pPr>
        <w:jc w:val="center"/>
        <w:rPr>
          <w:b/>
          <w:bCs/>
        </w:rPr>
      </w:pPr>
    </w:p>
    <w:p w14:paraId="1E72CE7F" w14:textId="77777777" w:rsidR="00A5369E" w:rsidRPr="000C46CD" w:rsidRDefault="00A5369E">
      <w:pPr>
        <w:jc w:val="center"/>
        <w:rPr>
          <w:b/>
          <w:bCs/>
        </w:rPr>
      </w:pPr>
    </w:p>
    <w:p w14:paraId="3568A1A6" w14:textId="77777777" w:rsidR="00A5369E" w:rsidRPr="000C46CD" w:rsidRDefault="00A5369E">
      <w:pPr>
        <w:jc w:val="center"/>
        <w:rPr>
          <w:b/>
          <w:bCs/>
        </w:rPr>
      </w:pPr>
    </w:p>
    <w:p w14:paraId="0A0E2A09" w14:textId="77777777" w:rsidR="00A5369E" w:rsidRPr="000C46CD" w:rsidRDefault="00A5369E">
      <w:pPr>
        <w:jc w:val="center"/>
        <w:rPr>
          <w:b/>
          <w:bCs/>
        </w:rPr>
      </w:pPr>
    </w:p>
    <w:p w14:paraId="5C6F4EBE" w14:textId="77777777" w:rsidR="00A5369E" w:rsidRPr="000C46CD" w:rsidRDefault="00A5369E">
      <w:pPr>
        <w:jc w:val="center"/>
        <w:rPr>
          <w:b/>
          <w:bCs/>
        </w:rPr>
      </w:pPr>
    </w:p>
    <w:p w14:paraId="352CC70F" w14:textId="77777777" w:rsidR="00A5369E" w:rsidRPr="000C46CD" w:rsidRDefault="00000000" w:rsidP="00880F7A">
      <w:pPr>
        <w:pStyle w:val="Title"/>
        <w:jc w:val="center"/>
        <w:rPr>
          <w:b/>
          <w:bCs/>
        </w:rPr>
      </w:pPr>
      <w:r w:rsidRPr="000C46CD">
        <w:rPr>
          <w:b/>
          <w:bCs/>
          <w:sz w:val="48"/>
          <w:szCs w:val="48"/>
        </w:rPr>
        <w:t xml:space="preserve">Data Security, Governance and Compliance Strategy for </w:t>
      </w:r>
      <w:proofErr w:type="spellStart"/>
      <w:r w:rsidRPr="000C46CD">
        <w:rPr>
          <w:b/>
          <w:bCs/>
          <w:sz w:val="48"/>
          <w:szCs w:val="48"/>
        </w:rPr>
        <w:t>AeroLink</w:t>
      </w:r>
      <w:proofErr w:type="spellEnd"/>
      <w:r w:rsidRPr="000C46CD">
        <w:rPr>
          <w:b/>
          <w:bCs/>
          <w:sz w:val="48"/>
          <w:szCs w:val="48"/>
        </w:rPr>
        <w:t xml:space="preserve"> Logistics (ALL): A Framework-Based Approach</w:t>
      </w:r>
    </w:p>
    <w:p w14:paraId="11DD63D8" w14:textId="77777777" w:rsidR="00A5369E" w:rsidRPr="000C46CD" w:rsidRDefault="00000000">
      <w:pPr>
        <w:jc w:val="center"/>
        <w:rPr>
          <w:b/>
          <w:bCs/>
        </w:rPr>
      </w:pPr>
      <w:r w:rsidRPr="000C46CD">
        <w:rPr>
          <w:b/>
          <w:bCs/>
        </w:rPr>
        <w:t>ACCA7028 - Data Security, Governance and Compliance</w:t>
      </w:r>
    </w:p>
    <w:p w14:paraId="7F4271A1" w14:textId="55E1AEB6" w:rsidR="00A5369E" w:rsidRPr="000C46CD" w:rsidRDefault="00000000">
      <w:pPr>
        <w:jc w:val="center"/>
        <w:rPr>
          <w:b/>
          <w:bCs/>
        </w:rPr>
      </w:pPr>
      <w:r w:rsidRPr="000C46CD">
        <w:rPr>
          <w:b/>
          <w:bCs/>
        </w:rPr>
        <w:t>Student ID:</w:t>
      </w:r>
      <w:r w:rsidR="00880F7A" w:rsidRPr="000C46CD">
        <w:rPr>
          <w:b/>
          <w:bCs/>
        </w:rPr>
        <w:t xml:space="preserve"> </w:t>
      </w:r>
      <w:r w:rsidR="00880F7A" w:rsidRPr="000C46CD">
        <w:t>2532979</w:t>
      </w:r>
      <w:r w:rsidRPr="000C46CD">
        <w:br w:type="page"/>
      </w:r>
    </w:p>
    <w:p w14:paraId="330E1FE8" w14:textId="77777777" w:rsidR="00A5369E" w:rsidRPr="000C46CD" w:rsidRDefault="00000000">
      <w:pPr>
        <w:pStyle w:val="Heading1"/>
      </w:pPr>
      <w:bookmarkStart w:id="0" w:name="_hrxsy9n2yzb3" w:colFirst="0" w:colLast="0"/>
      <w:bookmarkEnd w:id="0"/>
      <w:r w:rsidRPr="000C46CD">
        <w:lastRenderedPageBreak/>
        <w:t>Abstract</w:t>
      </w:r>
    </w:p>
    <w:p w14:paraId="3FEAC8D8" w14:textId="77777777" w:rsidR="00A5369E" w:rsidRPr="000C46CD" w:rsidRDefault="00000000">
      <w:r w:rsidRPr="000C46CD">
        <w:t xml:space="preserve">The expansion of the attack surface for logistics companies all over the world due to digital transformation has left them open to data breaches, regulatory violations and damage to their reputations. In this report, </w:t>
      </w:r>
      <w:proofErr w:type="spellStart"/>
      <w:r w:rsidRPr="000C46CD">
        <w:t>AeroLink</w:t>
      </w:r>
      <w:proofErr w:type="spellEnd"/>
      <w:r w:rsidRPr="000C46CD">
        <w:t xml:space="preserve"> Logistics (ALL) is </w:t>
      </w:r>
      <w:proofErr w:type="spellStart"/>
      <w:r w:rsidRPr="000C46CD">
        <w:t>analyzed</w:t>
      </w:r>
      <w:proofErr w:type="spellEnd"/>
      <w:r w:rsidRPr="000C46CD">
        <w:t xml:space="preserve">. Because of its excessive reliance on IaaS and SaaS solutions, unmanaged remote access devices and immature governance architecture, ALL has experienced several breaches of its customers’ shipping data and personally identifiable information. The NIST Cybersecurity Framework (CSF) 2.0, ISO/IEC 27001:2022, COBIT 2019 and ITIL 4 are used in this report to </w:t>
      </w:r>
      <w:proofErr w:type="spellStart"/>
      <w:r w:rsidRPr="000C46CD">
        <w:t>analyze</w:t>
      </w:r>
      <w:proofErr w:type="spellEnd"/>
      <w:r w:rsidRPr="000C46CD">
        <w:t xml:space="preserve"> various existing governance models in the field of cybersecurity and develop an integrated, risk-based approach relevant to </w:t>
      </w:r>
      <w:proofErr w:type="spellStart"/>
      <w:r w:rsidRPr="000C46CD">
        <w:t>AeroLink</w:t>
      </w:r>
      <w:proofErr w:type="spellEnd"/>
      <w:r w:rsidRPr="000C46CD">
        <w:t xml:space="preserve"> Logistics.  The framework covers governance and strategic planning, legal and ethical compliance, design of security policies, risk assessments, continuity planning, access control and involvement of suppliers/SLA management. The report concludes by arguing that continuous regulatory and standards updating is not an administrative burden but a strategic necessity given the pace of technological and threat evolution. All assumptions concerning ALL's size, maturity and regulatory exposure are explicitly stated to contextualise the recommendations.</w:t>
      </w:r>
    </w:p>
    <w:p w14:paraId="2D27DDD6" w14:textId="77777777" w:rsidR="00A5369E" w:rsidRPr="000C46CD" w:rsidRDefault="00000000">
      <w:pPr>
        <w:rPr>
          <w:b/>
          <w:bCs/>
        </w:rPr>
      </w:pPr>
      <w:r w:rsidRPr="000C46CD">
        <w:br w:type="page"/>
      </w:r>
    </w:p>
    <w:p w14:paraId="6D762CA3" w14:textId="77777777" w:rsidR="00A5369E" w:rsidRPr="000C46CD" w:rsidRDefault="00000000">
      <w:pPr>
        <w:rPr>
          <w:b/>
          <w:bCs/>
        </w:rPr>
      </w:pPr>
      <w:r w:rsidRPr="000C46CD">
        <w:rPr>
          <w:b/>
          <w:bCs/>
        </w:rPr>
        <w:lastRenderedPageBreak/>
        <w:t>Table of Contents</w:t>
      </w:r>
    </w:p>
    <w:sdt>
      <w:sdtPr>
        <w:id w:val="2024488660"/>
        <w:docPartObj>
          <w:docPartGallery w:val="Table of Contents"/>
          <w:docPartUnique/>
        </w:docPartObj>
      </w:sdtPr>
      <w:sdtContent>
        <w:p w14:paraId="699B5782" w14:textId="77777777" w:rsidR="00A5369E" w:rsidRPr="000C46CD" w:rsidRDefault="00000000">
          <w:pPr>
            <w:widowControl w:val="0"/>
            <w:tabs>
              <w:tab w:val="right" w:pos="9025"/>
            </w:tabs>
            <w:spacing w:before="60" w:line="240" w:lineRule="auto"/>
            <w:jc w:val="left"/>
            <w:rPr>
              <w:b/>
              <w:bCs/>
              <w:color w:val="000000"/>
            </w:rPr>
          </w:pPr>
          <w:r w:rsidRPr="000C46CD">
            <w:fldChar w:fldCharType="begin"/>
          </w:r>
          <w:r w:rsidRPr="000C46CD">
            <w:instrText xml:space="preserve"> TOC \h \u \z \t "Heading 1,1,Heading 2,2,Heading 3,3,Heading 4,4,Heading 5,5,Heading 6,6,"</w:instrText>
          </w:r>
          <w:r w:rsidRPr="000C46CD">
            <w:fldChar w:fldCharType="separate"/>
          </w:r>
          <w:hyperlink w:anchor="_olzz6t7w4u9j">
            <w:r w:rsidRPr="000C46CD">
              <w:rPr>
                <w:b/>
                <w:bCs/>
                <w:color w:val="000000"/>
              </w:rPr>
              <w:t>1. Introduction</w:t>
            </w:r>
            <w:r w:rsidRPr="000C46CD">
              <w:rPr>
                <w:b/>
                <w:bCs/>
                <w:color w:val="000000"/>
              </w:rPr>
              <w:tab/>
            </w:r>
          </w:hyperlink>
          <w:r w:rsidRPr="000C46CD">
            <w:fldChar w:fldCharType="begin"/>
          </w:r>
          <w:r w:rsidRPr="000C46CD">
            <w:instrText xml:space="preserve"> PAGEREF _olzz6t7w4u9j \h </w:instrText>
          </w:r>
          <w:r w:rsidRPr="000C46CD">
            <w:fldChar w:fldCharType="separate"/>
          </w:r>
          <w:r w:rsidRPr="000C46CD">
            <w:rPr>
              <w:b/>
              <w:bCs/>
            </w:rPr>
            <w:t>3</w:t>
          </w:r>
          <w:r w:rsidRPr="000C46CD">
            <w:fldChar w:fldCharType="end"/>
          </w:r>
        </w:p>
        <w:p w14:paraId="0778FE75" w14:textId="77777777" w:rsidR="00A5369E" w:rsidRPr="000C46CD" w:rsidRDefault="00000000">
          <w:pPr>
            <w:widowControl w:val="0"/>
            <w:tabs>
              <w:tab w:val="right" w:pos="9025"/>
            </w:tabs>
            <w:spacing w:before="60" w:line="240" w:lineRule="auto"/>
            <w:jc w:val="left"/>
            <w:rPr>
              <w:b/>
              <w:bCs/>
              <w:color w:val="000000"/>
            </w:rPr>
          </w:pPr>
          <w:hyperlink w:anchor="_of96ayewgmpw">
            <w:r w:rsidRPr="000C46CD">
              <w:rPr>
                <w:b/>
                <w:bCs/>
                <w:color w:val="000000"/>
              </w:rPr>
              <w:t>2. Research into Security Frameworks and Models</w:t>
            </w:r>
            <w:r w:rsidRPr="000C46CD">
              <w:rPr>
                <w:b/>
                <w:bCs/>
                <w:color w:val="000000"/>
              </w:rPr>
              <w:tab/>
            </w:r>
          </w:hyperlink>
          <w:r w:rsidRPr="000C46CD">
            <w:fldChar w:fldCharType="begin"/>
          </w:r>
          <w:r w:rsidRPr="000C46CD">
            <w:instrText xml:space="preserve"> PAGEREF _of96ayewgmpw \h </w:instrText>
          </w:r>
          <w:r w:rsidRPr="000C46CD">
            <w:fldChar w:fldCharType="separate"/>
          </w:r>
          <w:r w:rsidRPr="000C46CD">
            <w:rPr>
              <w:b/>
              <w:bCs/>
            </w:rPr>
            <w:t>3</w:t>
          </w:r>
          <w:r w:rsidRPr="000C46CD">
            <w:fldChar w:fldCharType="end"/>
          </w:r>
        </w:p>
        <w:p w14:paraId="47C67504" w14:textId="77777777" w:rsidR="00A5369E" w:rsidRPr="000C46CD" w:rsidRDefault="00000000">
          <w:pPr>
            <w:widowControl w:val="0"/>
            <w:tabs>
              <w:tab w:val="right" w:pos="9025"/>
            </w:tabs>
            <w:spacing w:before="60" w:line="240" w:lineRule="auto"/>
            <w:ind w:left="360"/>
            <w:jc w:val="left"/>
            <w:rPr>
              <w:color w:val="000000"/>
            </w:rPr>
          </w:pPr>
          <w:hyperlink w:anchor="_p416qsv1jw0h">
            <w:r w:rsidRPr="000C46CD">
              <w:rPr>
                <w:color w:val="000000"/>
              </w:rPr>
              <w:t>2.1 NIST Cybersecurity Framework (CSF) 2.0</w:t>
            </w:r>
            <w:r w:rsidRPr="000C46CD">
              <w:rPr>
                <w:color w:val="000000"/>
              </w:rPr>
              <w:tab/>
            </w:r>
          </w:hyperlink>
          <w:r w:rsidRPr="000C46CD">
            <w:fldChar w:fldCharType="begin"/>
          </w:r>
          <w:r w:rsidRPr="000C46CD">
            <w:instrText xml:space="preserve"> PAGEREF _p416qsv1jw0h \h </w:instrText>
          </w:r>
          <w:r w:rsidRPr="000C46CD">
            <w:fldChar w:fldCharType="separate"/>
          </w:r>
          <w:r w:rsidRPr="000C46CD">
            <w:t>3</w:t>
          </w:r>
          <w:r w:rsidRPr="000C46CD">
            <w:fldChar w:fldCharType="end"/>
          </w:r>
        </w:p>
        <w:p w14:paraId="2384023B" w14:textId="77777777" w:rsidR="00A5369E" w:rsidRPr="000C46CD" w:rsidRDefault="00000000">
          <w:pPr>
            <w:widowControl w:val="0"/>
            <w:tabs>
              <w:tab w:val="right" w:pos="9025"/>
            </w:tabs>
            <w:spacing w:before="60" w:line="240" w:lineRule="auto"/>
            <w:ind w:left="360"/>
            <w:jc w:val="left"/>
            <w:rPr>
              <w:color w:val="000000"/>
            </w:rPr>
          </w:pPr>
          <w:hyperlink w:anchor="_2dxsu9bt84q9">
            <w:r w:rsidRPr="000C46CD">
              <w:rPr>
                <w:color w:val="000000"/>
              </w:rPr>
              <w:t>2.2 ISO/IEC 27001:2022 and the ISO/IEC 27000 Series</w:t>
            </w:r>
            <w:r w:rsidRPr="000C46CD">
              <w:rPr>
                <w:color w:val="000000"/>
              </w:rPr>
              <w:tab/>
            </w:r>
          </w:hyperlink>
          <w:r w:rsidRPr="000C46CD">
            <w:fldChar w:fldCharType="begin"/>
          </w:r>
          <w:r w:rsidRPr="000C46CD">
            <w:instrText xml:space="preserve"> PAGEREF _2dxsu9bt84q9 \h </w:instrText>
          </w:r>
          <w:r w:rsidRPr="000C46CD">
            <w:fldChar w:fldCharType="separate"/>
          </w:r>
          <w:r w:rsidRPr="000C46CD">
            <w:t>3</w:t>
          </w:r>
          <w:r w:rsidRPr="000C46CD">
            <w:fldChar w:fldCharType="end"/>
          </w:r>
        </w:p>
        <w:p w14:paraId="1A565ADE" w14:textId="77777777" w:rsidR="00A5369E" w:rsidRPr="000C46CD" w:rsidRDefault="00000000">
          <w:pPr>
            <w:widowControl w:val="0"/>
            <w:tabs>
              <w:tab w:val="right" w:pos="9025"/>
            </w:tabs>
            <w:spacing w:before="60" w:line="240" w:lineRule="auto"/>
            <w:ind w:left="360"/>
            <w:jc w:val="left"/>
            <w:rPr>
              <w:color w:val="000000"/>
            </w:rPr>
          </w:pPr>
          <w:hyperlink w:anchor="_z43uekep8yub">
            <w:r w:rsidRPr="000C46CD">
              <w:rPr>
                <w:color w:val="000000"/>
              </w:rPr>
              <w:t>2.3 COBIT 2019</w:t>
            </w:r>
            <w:r w:rsidRPr="000C46CD">
              <w:rPr>
                <w:color w:val="000000"/>
              </w:rPr>
              <w:tab/>
            </w:r>
          </w:hyperlink>
          <w:r w:rsidRPr="000C46CD">
            <w:fldChar w:fldCharType="begin"/>
          </w:r>
          <w:r w:rsidRPr="000C46CD">
            <w:instrText xml:space="preserve"> PAGEREF _z43uekep8yub \h </w:instrText>
          </w:r>
          <w:r w:rsidRPr="000C46CD">
            <w:fldChar w:fldCharType="separate"/>
          </w:r>
          <w:r w:rsidRPr="000C46CD">
            <w:t>4</w:t>
          </w:r>
          <w:r w:rsidRPr="000C46CD">
            <w:fldChar w:fldCharType="end"/>
          </w:r>
        </w:p>
        <w:p w14:paraId="7DE8AA6C" w14:textId="77777777" w:rsidR="00A5369E" w:rsidRPr="000C46CD" w:rsidRDefault="00000000">
          <w:pPr>
            <w:widowControl w:val="0"/>
            <w:tabs>
              <w:tab w:val="right" w:pos="9025"/>
            </w:tabs>
            <w:spacing w:before="60" w:line="240" w:lineRule="auto"/>
            <w:ind w:left="360"/>
            <w:jc w:val="left"/>
            <w:rPr>
              <w:color w:val="000000"/>
            </w:rPr>
          </w:pPr>
          <w:hyperlink w:anchor="_3rnyg6h7ycoh">
            <w:r w:rsidRPr="000C46CD">
              <w:rPr>
                <w:color w:val="000000"/>
              </w:rPr>
              <w:t>2.4 ITIL 4</w:t>
            </w:r>
            <w:r w:rsidRPr="000C46CD">
              <w:rPr>
                <w:color w:val="000000"/>
              </w:rPr>
              <w:tab/>
            </w:r>
          </w:hyperlink>
          <w:r w:rsidRPr="000C46CD">
            <w:fldChar w:fldCharType="begin"/>
          </w:r>
          <w:r w:rsidRPr="000C46CD">
            <w:instrText xml:space="preserve"> PAGEREF _3rnyg6h7ycoh \h </w:instrText>
          </w:r>
          <w:r w:rsidRPr="000C46CD">
            <w:fldChar w:fldCharType="separate"/>
          </w:r>
          <w:r w:rsidRPr="000C46CD">
            <w:t>4</w:t>
          </w:r>
          <w:r w:rsidRPr="000C46CD">
            <w:fldChar w:fldCharType="end"/>
          </w:r>
        </w:p>
        <w:p w14:paraId="61DEDEC7" w14:textId="77777777" w:rsidR="00A5369E" w:rsidRPr="000C46CD" w:rsidRDefault="00000000">
          <w:pPr>
            <w:widowControl w:val="0"/>
            <w:tabs>
              <w:tab w:val="right" w:pos="9025"/>
            </w:tabs>
            <w:spacing w:before="60" w:line="240" w:lineRule="auto"/>
            <w:ind w:left="360"/>
            <w:jc w:val="left"/>
            <w:rPr>
              <w:color w:val="000000"/>
            </w:rPr>
          </w:pPr>
          <w:hyperlink w:anchor="_oxlpelooqadx">
            <w:r w:rsidRPr="000C46CD">
              <w:rPr>
                <w:color w:val="000000"/>
              </w:rPr>
              <w:t>2.5 Comparative Assessment</w:t>
            </w:r>
            <w:r w:rsidRPr="000C46CD">
              <w:rPr>
                <w:color w:val="000000"/>
              </w:rPr>
              <w:tab/>
            </w:r>
          </w:hyperlink>
          <w:r w:rsidRPr="000C46CD">
            <w:fldChar w:fldCharType="begin"/>
          </w:r>
          <w:r w:rsidRPr="000C46CD">
            <w:instrText xml:space="preserve"> PAGEREF _oxlpelooqadx \h </w:instrText>
          </w:r>
          <w:r w:rsidRPr="000C46CD">
            <w:fldChar w:fldCharType="separate"/>
          </w:r>
          <w:r w:rsidRPr="000C46CD">
            <w:t>4</w:t>
          </w:r>
          <w:r w:rsidRPr="000C46CD">
            <w:fldChar w:fldCharType="end"/>
          </w:r>
        </w:p>
        <w:p w14:paraId="3E1567B6" w14:textId="77777777" w:rsidR="00A5369E" w:rsidRPr="000C46CD" w:rsidRDefault="00000000">
          <w:pPr>
            <w:widowControl w:val="0"/>
            <w:tabs>
              <w:tab w:val="right" w:pos="9025"/>
            </w:tabs>
            <w:spacing w:before="60" w:line="240" w:lineRule="auto"/>
            <w:jc w:val="left"/>
            <w:rPr>
              <w:b/>
              <w:bCs/>
              <w:color w:val="000000"/>
            </w:rPr>
          </w:pPr>
          <w:hyperlink w:anchor="_t1l1g37az98a">
            <w:r w:rsidRPr="000C46CD">
              <w:rPr>
                <w:b/>
                <w:bCs/>
                <w:color w:val="000000"/>
              </w:rPr>
              <w:t>3. Assumptions</w:t>
            </w:r>
            <w:r w:rsidRPr="000C46CD">
              <w:rPr>
                <w:b/>
                <w:bCs/>
                <w:color w:val="000000"/>
              </w:rPr>
              <w:tab/>
            </w:r>
          </w:hyperlink>
          <w:r w:rsidRPr="000C46CD">
            <w:fldChar w:fldCharType="begin"/>
          </w:r>
          <w:r w:rsidRPr="000C46CD">
            <w:instrText xml:space="preserve"> PAGEREF _t1l1g37az98a \h </w:instrText>
          </w:r>
          <w:r w:rsidRPr="000C46CD">
            <w:fldChar w:fldCharType="separate"/>
          </w:r>
          <w:r w:rsidRPr="000C46CD">
            <w:rPr>
              <w:b/>
              <w:bCs/>
            </w:rPr>
            <w:t>5</w:t>
          </w:r>
          <w:r w:rsidRPr="000C46CD">
            <w:fldChar w:fldCharType="end"/>
          </w:r>
        </w:p>
        <w:p w14:paraId="56388EC7" w14:textId="77777777" w:rsidR="00A5369E" w:rsidRPr="000C46CD" w:rsidRDefault="00000000">
          <w:pPr>
            <w:widowControl w:val="0"/>
            <w:tabs>
              <w:tab w:val="right" w:pos="9025"/>
            </w:tabs>
            <w:spacing w:before="60" w:line="240" w:lineRule="auto"/>
            <w:jc w:val="left"/>
            <w:rPr>
              <w:b/>
              <w:bCs/>
              <w:color w:val="000000"/>
            </w:rPr>
          </w:pPr>
          <w:hyperlink w:anchor="_78vuer2q7tvn">
            <w:r w:rsidRPr="000C46CD">
              <w:rPr>
                <w:b/>
                <w:bCs/>
                <w:color w:val="000000"/>
              </w:rPr>
              <w:t>4. Proposed Security, Governance and Compliance Framework for ALL</w:t>
            </w:r>
            <w:r w:rsidRPr="000C46CD">
              <w:rPr>
                <w:b/>
                <w:bCs/>
                <w:color w:val="000000"/>
              </w:rPr>
              <w:tab/>
            </w:r>
          </w:hyperlink>
          <w:r w:rsidRPr="000C46CD">
            <w:fldChar w:fldCharType="begin"/>
          </w:r>
          <w:r w:rsidRPr="000C46CD">
            <w:instrText xml:space="preserve"> PAGEREF _78vuer2q7tvn \h </w:instrText>
          </w:r>
          <w:r w:rsidRPr="000C46CD">
            <w:fldChar w:fldCharType="separate"/>
          </w:r>
          <w:r w:rsidRPr="000C46CD">
            <w:rPr>
              <w:b/>
              <w:bCs/>
            </w:rPr>
            <w:t>6</w:t>
          </w:r>
          <w:r w:rsidRPr="000C46CD">
            <w:fldChar w:fldCharType="end"/>
          </w:r>
        </w:p>
        <w:p w14:paraId="52CA4414" w14:textId="77777777" w:rsidR="00A5369E" w:rsidRPr="000C46CD" w:rsidRDefault="00000000">
          <w:pPr>
            <w:widowControl w:val="0"/>
            <w:tabs>
              <w:tab w:val="right" w:pos="9025"/>
            </w:tabs>
            <w:spacing w:before="60" w:line="240" w:lineRule="auto"/>
            <w:ind w:left="360"/>
            <w:jc w:val="left"/>
            <w:rPr>
              <w:color w:val="000000"/>
            </w:rPr>
          </w:pPr>
          <w:hyperlink w:anchor="_u7fsln1af1yz">
            <w:r w:rsidRPr="000C46CD">
              <w:rPr>
                <w:color w:val="000000"/>
              </w:rPr>
              <w:t>4.1 Governance and Strategic Planning for Security</w:t>
            </w:r>
            <w:r w:rsidRPr="000C46CD">
              <w:rPr>
                <w:color w:val="000000"/>
              </w:rPr>
              <w:tab/>
            </w:r>
          </w:hyperlink>
          <w:r w:rsidRPr="000C46CD">
            <w:fldChar w:fldCharType="begin"/>
          </w:r>
          <w:r w:rsidRPr="000C46CD">
            <w:instrText xml:space="preserve"> PAGEREF _u7fsln1af1yz \h </w:instrText>
          </w:r>
          <w:r w:rsidRPr="000C46CD">
            <w:fldChar w:fldCharType="separate"/>
          </w:r>
          <w:r w:rsidRPr="000C46CD">
            <w:t>6</w:t>
          </w:r>
          <w:r w:rsidRPr="000C46CD">
            <w:fldChar w:fldCharType="end"/>
          </w:r>
        </w:p>
        <w:p w14:paraId="34A2A0A9" w14:textId="77777777" w:rsidR="00A5369E" w:rsidRPr="000C46CD" w:rsidRDefault="00000000">
          <w:pPr>
            <w:widowControl w:val="0"/>
            <w:tabs>
              <w:tab w:val="right" w:pos="9025"/>
            </w:tabs>
            <w:spacing w:before="60" w:line="240" w:lineRule="auto"/>
            <w:ind w:left="360"/>
            <w:jc w:val="left"/>
            <w:rPr>
              <w:color w:val="000000"/>
            </w:rPr>
          </w:pPr>
          <w:hyperlink w:anchor="_9m1w05nqz6gx">
            <w:r w:rsidRPr="000C46CD">
              <w:rPr>
                <w:color w:val="000000"/>
              </w:rPr>
              <w:t>4.2 Compliance: Laws and Ethics</w:t>
            </w:r>
            <w:r w:rsidRPr="000C46CD">
              <w:rPr>
                <w:color w:val="000000"/>
              </w:rPr>
              <w:tab/>
            </w:r>
          </w:hyperlink>
          <w:r w:rsidRPr="000C46CD">
            <w:fldChar w:fldCharType="begin"/>
          </w:r>
          <w:r w:rsidRPr="000C46CD">
            <w:instrText xml:space="preserve"> PAGEREF _9m1w05nqz6gx \h </w:instrText>
          </w:r>
          <w:r w:rsidRPr="000C46CD">
            <w:fldChar w:fldCharType="separate"/>
          </w:r>
          <w:r w:rsidRPr="000C46CD">
            <w:t>6</w:t>
          </w:r>
          <w:r w:rsidRPr="000C46CD">
            <w:fldChar w:fldCharType="end"/>
          </w:r>
        </w:p>
        <w:p w14:paraId="5DFA54BA" w14:textId="77777777" w:rsidR="00A5369E" w:rsidRPr="000C46CD" w:rsidRDefault="00000000">
          <w:pPr>
            <w:widowControl w:val="0"/>
            <w:tabs>
              <w:tab w:val="right" w:pos="9025"/>
            </w:tabs>
            <w:spacing w:before="60" w:line="240" w:lineRule="auto"/>
            <w:ind w:left="360"/>
            <w:jc w:val="left"/>
            <w:rPr>
              <w:color w:val="000000"/>
            </w:rPr>
          </w:pPr>
          <w:hyperlink w:anchor="_8krxw6rbogdt">
            <w:r w:rsidRPr="000C46CD">
              <w:rPr>
                <w:color w:val="000000"/>
              </w:rPr>
              <w:t>4.3 Security Policies and Procedures</w:t>
            </w:r>
            <w:r w:rsidRPr="000C46CD">
              <w:rPr>
                <w:color w:val="000000"/>
              </w:rPr>
              <w:tab/>
            </w:r>
          </w:hyperlink>
          <w:r w:rsidRPr="000C46CD">
            <w:fldChar w:fldCharType="begin"/>
          </w:r>
          <w:r w:rsidRPr="000C46CD">
            <w:instrText xml:space="preserve"> PAGEREF _8krxw6rbogdt \h </w:instrText>
          </w:r>
          <w:r w:rsidRPr="000C46CD">
            <w:fldChar w:fldCharType="separate"/>
          </w:r>
          <w:r w:rsidRPr="000C46CD">
            <w:t>7</w:t>
          </w:r>
          <w:r w:rsidRPr="000C46CD">
            <w:fldChar w:fldCharType="end"/>
          </w:r>
        </w:p>
        <w:p w14:paraId="67913B89" w14:textId="77777777" w:rsidR="00A5369E" w:rsidRPr="000C46CD" w:rsidRDefault="00000000">
          <w:pPr>
            <w:widowControl w:val="0"/>
            <w:tabs>
              <w:tab w:val="right" w:pos="9025"/>
            </w:tabs>
            <w:spacing w:before="60" w:line="240" w:lineRule="auto"/>
            <w:ind w:left="360"/>
            <w:jc w:val="left"/>
            <w:rPr>
              <w:color w:val="000000"/>
            </w:rPr>
          </w:pPr>
          <w:hyperlink w:anchor="_3h1w8zknoi5k">
            <w:r w:rsidRPr="000C46CD">
              <w:rPr>
                <w:color w:val="000000"/>
              </w:rPr>
              <w:t>4.4 Risk Management and Assessment</w:t>
            </w:r>
            <w:r w:rsidRPr="000C46CD">
              <w:rPr>
                <w:color w:val="000000"/>
              </w:rPr>
              <w:tab/>
            </w:r>
          </w:hyperlink>
          <w:r w:rsidRPr="000C46CD">
            <w:fldChar w:fldCharType="begin"/>
          </w:r>
          <w:r w:rsidRPr="000C46CD">
            <w:instrText xml:space="preserve"> PAGEREF _3h1w8zknoi5k \h </w:instrText>
          </w:r>
          <w:r w:rsidRPr="000C46CD">
            <w:fldChar w:fldCharType="separate"/>
          </w:r>
          <w:r w:rsidRPr="000C46CD">
            <w:t>7</w:t>
          </w:r>
          <w:r w:rsidRPr="000C46CD">
            <w:fldChar w:fldCharType="end"/>
          </w:r>
        </w:p>
        <w:p w14:paraId="49A5DA0D" w14:textId="77777777" w:rsidR="00A5369E" w:rsidRPr="000C46CD" w:rsidRDefault="00000000">
          <w:pPr>
            <w:widowControl w:val="0"/>
            <w:tabs>
              <w:tab w:val="right" w:pos="9025"/>
            </w:tabs>
            <w:spacing w:before="60" w:line="240" w:lineRule="auto"/>
            <w:ind w:left="360"/>
            <w:jc w:val="left"/>
            <w:rPr>
              <w:color w:val="000000"/>
            </w:rPr>
          </w:pPr>
          <w:hyperlink w:anchor="_h8137mon7mmq">
            <w:r w:rsidRPr="000C46CD">
              <w:rPr>
                <w:color w:val="000000"/>
              </w:rPr>
              <w:t>4.5 Security Management Models and Practices</w:t>
            </w:r>
            <w:r w:rsidRPr="000C46CD">
              <w:rPr>
                <w:color w:val="000000"/>
              </w:rPr>
              <w:tab/>
            </w:r>
          </w:hyperlink>
          <w:r w:rsidRPr="000C46CD">
            <w:fldChar w:fldCharType="begin"/>
          </w:r>
          <w:r w:rsidRPr="000C46CD">
            <w:instrText xml:space="preserve"> PAGEREF _h8137mon7mmq \h </w:instrText>
          </w:r>
          <w:r w:rsidRPr="000C46CD">
            <w:fldChar w:fldCharType="separate"/>
          </w:r>
          <w:r w:rsidRPr="000C46CD">
            <w:t>7</w:t>
          </w:r>
          <w:r w:rsidRPr="000C46CD">
            <w:fldChar w:fldCharType="end"/>
          </w:r>
        </w:p>
        <w:p w14:paraId="7AAAF20C" w14:textId="77777777" w:rsidR="00A5369E" w:rsidRPr="000C46CD" w:rsidRDefault="00000000">
          <w:pPr>
            <w:widowControl w:val="0"/>
            <w:tabs>
              <w:tab w:val="right" w:pos="9025"/>
            </w:tabs>
            <w:spacing w:before="60" w:line="240" w:lineRule="auto"/>
            <w:ind w:left="360"/>
            <w:jc w:val="left"/>
            <w:rPr>
              <w:color w:val="000000"/>
            </w:rPr>
          </w:pPr>
          <w:hyperlink w:anchor="_86zp6hdhzspz">
            <w:r w:rsidRPr="000C46CD">
              <w:rPr>
                <w:color w:val="000000"/>
              </w:rPr>
              <w:t>4.6 Contingency Planning and Business Continuity Planning</w:t>
            </w:r>
            <w:r w:rsidRPr="000C46CD">
              <w:rPr>
                <w:color w:val="000000"/>
              </w:rPr>
              <w:tab/>
            </w:r>
          </w:hyperlink>
          <w:r w:rsidRPr="000C46CD">
            <w:fldChar w:fldCharType="begin"/>
          </w:r>
          <w:r w:rsidRPr="000C46CD">
            <w:instrText xml:space="preserve"> PAGEREF _86zp6hdhzspz \h </w:instrText>
          </w:r>
          <w:r w:rsidRPr="000C46CD">
            <w:fldChar w:fldCharType="separate"/>
          </w:r>
          <w:r w:rsidRPr="000C46CD">
            <w:t>8</w:t>
          </w:r>
          <w:r w:rsidRPr="000C46CD">
            <w:fldChar w:fldCharType="end"/>
          </w:r>
        </w:p>
        <w:p w14:paraId="0B14A196" w14:textId="77777777" w:rsidR="00A5369E" w:rsidRPr="000C46CD" w:rsidRDefault="00000000">
          <w:pPr>
            <w:widowControl w:val="0"/>
            <w:tabs>
              <w:tab w:val="right" w:pos="9025"/>
            </w:tabs>
            <w:spacing w:before="60" w:line="240" w:lineRule="auto"/>
            <w:ind w:left="360"/>
            <w:jc w:val="left"/>
            <w:rPr>
              <w:color w:val="000000"/>
            </w:rPr>
          </w:pPr>
          <w:hyperlink w:anchor="_vf8ztlbyj2mw">
            <w:r w:rsidRPr="000C46CD">
              <w:rPr>
                <w:color w:val="000000"/>
              </w:rPr>
              <w:t>4.7 Protection Mechanisms and Access Control</w:t>
            </w:r>
            <w:r w:rsidRPr="000C46CD">
              <w:rPr>
                <w:color w:val="000000"/>
              </w:rPr>
              <w:tab/>
            </w:r>
          </w:hyperlink>
          <w:r w:rsidRPr="000C46CD">
            <w:fldChar w:fldCharType="begin"/>
          </w:r>
          <w:r w:rsidRPr="000C46CD">
            <w:instrText xml:space="preserve"> PAGEREF _vf8ztlbyj2mw \h </w:instrText>
          </w:r>
          <w:r w:rsidRPr="000C46CD">
            <w:fldChar w:fldCharType="separate"/>
          </w:r>
          <w:r w:rsidRPr="000C46CD">
            <w:t>8</w:t>
          </w:r>
          <w:r w:rsidRPr="000C46CD">
            <w:fldChar w:fldCharType="end"/>
          </w:r>
        </w:p>
        <w:p w14:paraId="3187A846" w14:textId="77777777" w:rsidR="00A5369E" w:rsidRPr="000C46CD" w:rsidRDefault="00000000">
          <w:pPr>
            <w:widowControl w:val="0"/>
            <w:tabs>
              <w:tab w:val="right" w:pos="9025"/>
            </w:tabs>
            <w:spacing w:before="60" w:line="240" w:lineRule="auto"/>
            <w:ind w:left="360"/>
            <w:jc w:val="left"/>
            <w:rPr>
              <w:color w:val="000000"/>
            </w:rPr>
          </w:pPr>
          <w:hyperlink w:anchor="_874lbpkdc32p">
            <w:r w:rsidRPr="000C46CD">
              <w:rPr>
                <w:color w:val="000000"/>
              </w:rPr>
              <w:t>4.8 Vendor and Service Level Agreement (SLA) Management</w:t>
            </w:r>
            <w:r w:rsidRPr="000C46CD">
              <w:rPr>
                <w:color w:val="000000"/>
              </w:rPr>
              <w:tab/>
            </w:r>
          </w:hyperlink>
          <w:r w:rsidRPr="000C46CD">
            <w:fldChar w:fldCharType="begin"/>
          </w:r>
          <w:r w:rsidRPr="000C46CD">
            <w:instrText xml:space="preserve"> PAGEREF _874lbpkdc32p \h </w:instrText>
          </w:r>
          <w:r w:rsidRPr="000C46CD">
            <w:fldChar w:fldCharType="separate"/>
          </w:r>
          <w:r w:rsidRPr="000C46CD">
            <w:t>8</w:t>
          </w:r>
          <w:r w:rsidRPr="000C46CD">
            <w:fldChar w:fldCharType="end"/>
          </w:r>
        </w:p>
        <w:p w14:paraId="3C4F426C" w14:textId="77777777" w:rsidR="00A5369E" w:rsidRPr="000C46CD" w:rsidRDefault="00000000">
          <w:pPr>
            <w:widowControl w:val="0"/>
            <w:tabs>
              <w:tab w:val="right" w:pos="9025"/>
            </w:tabs>
            <w:spacing w:before="60" w:line="240" w:lineRule="auto"/>
            <w:jc w:val="left"/>
            <w:rPr>
              <w:b/>
              <w:bCs/>
              <w:color w:val="000000"/>
            </w:rPr>
          </w:pPr>
          <w:hyperlink w:anchor="_37vc1z22po4y">
            <w:r w:rsidRPr="000C46CD">
              <w:rPr>
                <w:b/>
                <w:bCs/>
                <w:color w:val="000000"/>
              </w:rPr>
              <w:t>5. Critical Discussion</w:t>
            </w:r>
            <w:r w:rsidRPr="000C46CD">
              <w:rPr>
                <w:b/>
                <w:bCs/>
                <w:color w:val="000000"/>
              </w:rPr>
              <w:tab/>
            </w:r>
          </w:hyperlink>
          <w:r w:rsidRPr="000C46CD">
            <w:fldChar w:fldCharType="begin"/>
          </w:r>
          <w:r w:rsidRPr="000C46CD">
            <w:instrText xml:space="preserve"> PAGEREF _37vc1z22po4y \h </w:instrText>
          </w:r>
          <w:r w:rsidRPr="000C46CD">
            <w:fldChar w:fldCharType="separate"/>
          </w:r>
          <w:r w:rsidRPr="000C46CD">
            <w:rPr>
              <w:b/>
              <w:bCs/>
            </w:rPr>
            <w:t>8</w:t>
          </w:r>
          <w:r w:rsidRPr="000C46CD">
            <w:fldChar w:fldCharType="end"/>
          </w:r>
        </w:p>
        <w:p w14:paraId="47B3FD87" w14:textId="77777777" w:rsidR="00A5369E" w:rsidRPr="000C46CD" w:rsidRDefault="00000000">
          <w:pPr>
            <w:widowControl w:val="0"/>
            <w:tabs>
              <w:tab w:val="right" w:pos="9025"/>
            </w:tabs>
            <w:spacing w:before="60" w:line="240" w:lineRule="auto"/>
            <w:jc w:val="left"/>
            <w:rPr>
              <w:b/>
              <w:bCs/>
              <w:color w:val="000000"/>
            </w:rPr>
          </w:pPr>
          <w:hyperlink w:anchor="_6zd3la7hmnzf">
            <w:r w:rsidRPr="000C46CD">
              <w:rPr>
                <w:b/>
                <w:bCs/>
                <w:color w:val="000000"/>
              </w:rPr>
              <w:t>6. Conclusion</w:t>
            </w:r>
            <w:r w:rsidRPr="000C46CD">
              <w:rPr>
                <w:b/>
                <w:bCs/>
                <w:color w:val="000000"/>
              </w:rPr>
              <w:tab/>
            </w:r>
          </w:hyperlink>
          <w:r w:rsidRPr="000C46CD">
            <w:fldChar w:fldCharType="begin"/>
          </w:r>
          <w:r w:rsidRPr="000C46CD">
            <w:instrText xml:space="preserve"> PAGEREF _6zd3la7hmnzf \h </w:instrText>
          </w:r>
          <w:r w:rsidRPr="000C46CD">
            <w:fldChar w:fldCharType="separate"/>
          </w:r>
          <w:r w:rsidRPr="000C46CD">
            <w:rPr>
              <w:b/>
              <w:bCs/>
            </w:rPr>
            <w:t>10</w:t>
          </w:r>
          <w:r w:rsidRPr="000C46CD">
            <w:fldChar w:fldCharType="end"/>
          </w:r>
        </w:p>
        <w:p w14:paraId="5F120B25" w14:textId="77777777" w:rsidR="00A5369E" w:rsidRPr="000C46CD" w:rsidRDefault="00000000">
          <w:pPr>
            <w:widowControl w:val="0"/>
            <w:tabs>
              <w:tab w:val="right" w:pos="9025"/>
            </w:tabs>
            <w:spacing w:before="60" w:line="240" w:lineRule="auto"/>
            <w:jc w:val="left"/>
            <w:rPr>
              <w:b/>
              <w:bCs/>
              <w:color w:val="000000"/>
            </w:rPr>
          </w:pPr>
          <w:hyperlink w:anchor="_37gjn88mwkz1">
            <w:r w:rsidRPr="000C46CD">
              <w:rPr>
                <w:b/>
                <w:bCs/>
                <w:color w:val="000000"/>
              </w:rPr>
              <w:t>7. References</w:t>
            </w:r>
            <w:r w:rsidRPr="000C46CD">
              <w:rPr>
                <w:b/>
                <w:bCs/>
                <w:color w:val="000000"/>
              </w:rPr>
              <w:tab/>
            </w:r>
          </w:hyperlink>
          <w:r w:rsidRPr="000C46CD">
            <w:fldChar w:fldCharType="begin"/>
          </w:r>
          <w:r w:rsidRPr="000C46CD">
            <w:instrText xml:space="preserve"> PAGEREF _37gjn88mwkz1 \h </w:instrText>
          </w:r>
          <w:r w:rsidRPr="000C46CD">
            <w:fldChar w:fldCharType="separate"/>
          </w:r>
          <w:r w:rsidRPr="000C46CD">
            <w:rPr>
              <w:b/>
              <w:bCs/>
            </w:rPr>
            <w:t>11</w:t>
          </w:r>
          <w:r w:rsidRPr="000C46CD">
            <w:fldChar w:fldCharType="end"/>
          </w:r>
          <w:r w:rsidRPr="000C46CD">
            <w:fldChar w:fldCharType="end"/>
          </w:r>
        </w:p>
      </w:sdtContent>
    </w:sdt>
    <w:p w14:paraId="524261E2" w14:textId="77777777" w:rsidR="00A5369E" w:rsidRPr="000C46CD" w:rsidRDefault="00A5369E">
      <w:pPr>
        <w:rPr>
          <w:b/>
          <w:bCs/>
        </w:rPr>
      </w:pPr>
    </w:p>
    <w:p w14:paraId="57B1F3F7" w14:textId="77777777" w:rsidR="00A5369E" w:rsidRPr="000C46CD" w:rsidRDefault="00000000">
      <w:r w:rsidRPr="000C46CD">
        <w:br w:type="page"/>
      </w:r>
    </w:p>
    <w:p w14:paraId="60E934E7" w14:textId="77777777" w:rsidR="00A5369E" w:rsidRPr="000C46CD" w:rsidRDefault="00000000">
      <w:pPr>
        <w:pStyle w:val="Heading1"/>
      </w:pPr>
      <w:bookmarkStart w:id="1" w:name="_olzz6t7w4u9j" w:colFirst="0" w:colLast="0"/>
      <w:bookmarkEnd w:id="1"/>
      <w:r w:rsidRPr="000C46CD">
        <w:lastRenderedPageBreak/>
        <w:t>1. Introduction</w:t>
      </w:r>
    </w:p>
    <w:p w14:paraId="6D9F6A84" w14:textId="77777777" w:rsidR="00A5369E" w:rsidRPr="000C46CD" w:rsidRDefault="00000000">
      <w:pPr>
        <w:ind w:firstLine="720"/>
      </w:pPr>
      <w:r w:rsidRPr="000C46CD">
        <w:t xml:space="preserve">Cloud computing, the Internet of Things (IoT) and artificial intelligence (AI) have reshaped how logistics organisations operate, but they have simultaneously multiplied the pathways through which data can be exposed [2]. For </w:t>
      </w:r>
      <w:proofErr w:type="spellStart"/>
      <w:r w:rsidRPr="000C46CD">
        <w:t>AeroLink</w:t>
      </w:r>
      <w:proofErr w:type="spellEnd"/>
      <w:r w:rsidRPr="000C46CD">
        <w:t xml:space="preserve"> Logistics (ALL), a company that outsources approximately 88% of its IT infrastructure and permits remote access from unmanaged devices across multiple time zones, this expanded attack surface has already materialised as repeated breaches of client shipment data and customer PII. The absence of a unified security framework, a centralised risk management process and a formal compliance audit regime against standards such as the General Data Protection Regulation (GDPR) or ISO/IEC 27001 indicates a low security governance maturity level.</w:t>
      </w:r>
    </w:p>
    <w:p w14:paraId="17C639AD" w14:textId="77777777" w:rsidR="00A5369E" w:rsidRPr="000C46CD" w:rsidRDefault="00000000">
      <w:pPr>
        <w:ind w:firstLine="720"/>
      </w:pPr>
      <w:r w:rsidRPr="000C46CD">
        <w:t>This report responds to the assignment brief in two parts. First, it researches and critically compares established IT security frameworks and models: ITIL, the NIST Cybersecurity Framework, COBIT 2019 and the ISO/IEC 27000 series, evaluating their applicability to a distributed, vendor-dependent logistics environment. Second, it uses these insights to design a bespoke security, governance and compliance approach for ALL, before critically discussing why continuous regulatory and standards updating constitutes good practice in the context of emerging technology, evolving threats and global compliance demands.</w:t>
      </w:r>
    </w:p>
    <w:p w14:paraId="2A9F4EBB" w14:textId="77777777" w:rsidR="00A5369E" w:rsidRPr="000C46CD" w:rsidRDefault="00000000">
      <w:pPr>
        <w:pStyle w:val="Heading1"/>
        <w:rPr>
          <w:i/>
          <w:iCs/>
        </w:rPr>
      </w:pPr>
      <w:bookmarkStart w:id="2" w:name="_of96ayewgmpw" w:colFirst="0" w:colLast="0"/>
      <w:bookmarkEnd w:id="2"/>
      <w:r w:rsidRPr="000C46CD">
        <w:t>2. Research into Security Frameworks and Models</w:t>
      </w:r>
    </w:p>
    <w:p w14:paraId="3C9C2E35" w14:textId="77777777" w:rsidR="00A5369E" w:rsidRPr="000C46CD" w:rsidRDefault="00000000">
      <w:pPr>
        <w:pStyle w:val="Heading2"/>
      </w:pPr>
      <w:bookmarkStart w:id="3" w:name="_p416qsv1jw0h" w:colFirst="0" w:colLast="0"/>
      <w:bookmarkEnd w:id="3"/>
      <w:r w:rsidRPr="000C46CD">
        <w:t>2.1 NIST Cybersecurity Framework (CSF) 2.0</w:t>
      </w:r>
    </w:p>
    <w:p w14:paraId="4EA56BAA" w14:textId="77777777" w:rsidR="00A5369E" w:rsidRPr="000C46CD" w:rsidRDefault="00000000">
      <w:pPr>
        <w:ind w:firstLine="720"/>
      </w:pPr>
      <w:r w:rsidRPr="000C46CD">
        <w:t>NIST CSF 2.0 defines a classification of security results that can be utilized across industries and maturity phases. The new “Govern” function stands alongside Identify, Protect, Detect, Respond and Recover [3]. This function addresses the fundamental problem of ALL - lack of governance coordination, and not just a technical issue. However, the approach of CSF also has its major shortcoming: its outcome-based format is that while it lists the desired results, it does not provide a roadmap for the implementation of the strategy and gives little guidance on the accountability of suppliers [3].</w:t>
      </w:r>
    </w:p>
    <w:p w14:paraId="3B202C61" w14:textId="77777777" w:rsidR="00A5369E" w:rsidRPr="000C46CD" w:rsidRDefault="00000000">
      <w:pPr>
        <w:pStyle w:val="Heading2"/>
      </w:pPr>
      <w:bookmarkStart w:id="4" w:name="_2dxsu9bt84q9" w:colFirst="0" w:colLast="0"/>
      <w:bookmarkEnd w:id="4"/>
      <w:r w:rsidRPr="000C46CD">
        <w:t>2.2 ISO/IEC 27001:2022 and the ISO/IEC 27000 Series</w:t>
      </w:r>
    </w:p>
    <w:p w14:paraId="5C5353FD" w14:textId="77777777" w:rsidR="00A5369E" w:rsidRPr="000C46CD" w:rsidRDefault="00000000">
      <w:pPr>
        <w:ind w:firstLine="720"/>
      </w:pPr>
      <w:r w:rsidRPr="000C46CD">
        <w:t xml:space="preserve">ISO/IEC 27001:2022 specifies the requirement for having a formal Information Security Management System (ISMS) that is implemented through 93 Annex A controls that </w:t>
      </w:r>
      <w:r w:rsidRPr="000C46CD">
        <w:lastRenderedPageBreak/>
        <w:t>cut across organizational, staff, physical and technical domains, and have the systematic means of conducting risk assessments [4]. The core advantage of ISO/IEC 27001:2022 is certifiability, as it provides clients of ALL and regulators with auditable assurance after the reputation loss already incurred. Its disadvantage is inflexibility, as a compliance-oriented standard management system is rather slow in issuing updates, thus offering only general risk recommendations rather than technology-specific controls that are necessary for a cloud or IoT-focused company [5]. ISO/IEC 27036 is needed in this connection because of ALL’s 88% outsourced footprint [6].</w:t>
      </w:r>
    </w:p>
    <w:p w14:paraId="03C9E715" w14:textId="77777777" w:rsidR="00A5369E" w:rsidRPr="000C46CD" w:rsidRDefault="00000000">
      <w:pPr>
        <w:pStyle w:val="Heading2"/>
      </w:pPr>
      <w:bookmarkStart w:id="5" w:name="_z43uekep8yub" w:colFirst="0" w:colLast="0"/>
      <w:bookmarkEnd w:id="5"/>
      <w:r w:rsidRPr="000C46CD">
        <w:t>2.3 COBIT 2019</w:t>
      </w:r>
    </w:p>
    <w:p w14:paraId="73B2BFC2" w14:textId="77777777" w:rsidR="00A5369E" w:rsidRPr="000C46CD" w:rsidRDefault="00000000">
      <w:pPr>
        <w:ind w:firstLine="720"/>
      </w:pPr>
      <w:r w:rsidRPr="000C46CD">
        <w:t>COBIT 2019 is a governance-of-enterprise-IT framework built on five principles, including strict separation of governance from management, configured through 40 objectives and 11 organisation-specific design factors, notably “sourcing model” and “threat landscape” [8]. This makes COBIT uniquely capable of formally allocating governance accountability between ALL and its IaaS/SaaS vendors. Its limitation is operational: COBIT deliberately avoids prescribing technical controls, meaning it cannot by itself reduce ALL's exposure to unmanaged-device or IoT vulnerabilities [5].</w:t>
      </w:r>
    </w:p>
    <w:p w14:paraId="2B7358FC" w14:textId="77777777" w:rsidR="00A5369E" w:rsidRPr="000C46CD" w:rsidRDefault="00000000">
      <w:pPr>
        <w:pStyle w:val="Heading2"/>
      </w:pPr>
      <w:bookmarkStart w:id="6" w:name="_3rnyg6h7ycoh" w:colFirst="0" w:colLast="0"/>
      <w:bookmarkEnd w:id="6"/>
      <w:r w:rsidRPr="000C46CD">
        <w:t>2.4 ITIL 4</w:t>
      </w:r>
    </w:p>
    <w:p w14:paraId="0329776B" w14:textId="77777777" w:rsidR="00A5369E" w:rsidRPr="000C46CD" w:rsidRDefault="00000000">
      <w:pPr>
        <w:ind w:firstLine="720"/>
      </w:pPr>
      <w:r w:rsidRPr="000C46CD">
        <w:t>ITIL 4 reorganises IT service management around a Service Value System encompassing 34 practices, including Information Security, Availability, Continuity and Supplier Management [9]. Its strength is service-delivery integration it is the only framework of the four that natively manages day-to-day supplier and SLA performance. Its limitation is that it is not a security or governance framework in the strict sense; ITIL treats security as one service practice among many, with no independent risk-assessment methodology or compliance certification.</w:t>
      </w:r>
    </w:p>
    <w:p w14:paraId="68D6FC5D" w14:textId="77777777" w:rsidR="00A5369E" w:rsidRPr="000C46CD" w:rsidRDefault="00000000">
      <w:pPr>
        <w:pStyle w:val="Heading2"/>
      </w:pPr>
      <w:bookmarkStart w:id="7" w:name="_oxlpelooqadx" w:colFirst="0" w:colLast="0"/>
      <w:bookmarkEnd w:id="7"/>
      <w:r w:rsidRPr="000C46CD">
        <w:t>2.5 Comparative Assessment</w:t>
      </w:r>
    </w:p>
    <w:p w14:paraId="1A9C7A58" w14:textId="77777777" w:rsidR="00A5369E" w:rsidRPr="000C46CD" w:rsidRDefault="00000000">
      <w:pPr>
        <w:ind w:firstLine="720"/>
      </w:pPr>
      <w:r w:rsidRPr="000C46CD">
        <w:t xml:space="preserve">No single framework satisfies ALL's combined governance, compliance and outsourcing requirements, because each was designed to solve a different layer of the same problem. COBIT answers the governance question of who is accountable and how sourcing risk is formally owned but cannot itself specify controls. ISO/IEC 27001 answers the assurance question: what certifiable management system proves due diligence to regulators and clients </w:t>
      </w:r>
      <w:r w:rsidRPr="000C46CD">
        <w:lastRenderedPageBreak/>
        <w:t>but updates slowly relative to emerging technology and offers limited operational granularity. NIST CSF 2.0 answers the operational risk question: how are outcomes continuously identified, protected, detected, responded to and recovered, but lacks a certification mechanism and independent authority to enforce governance decisions. ITIL 4 answers the service-delivery question of how are the numerous outsourced IaaS/SaaS relationships coordinated day-to-day but is not a security framework and cannot assess risk independently.</w:t>
      </w:r>
    </w:p>
    <w:p w14:paraId="000E446F" w14:textId="77777777" w:rsidR="00A5369E" w:rsidRPr="000C46CD" w:rsidRDefault="00000000">
      <w:pPr>
        <w:ind w:firstLine="720"/>
      </w:pPr>
      <w:r w:rsidRPr="000C46CD">
        <w:t>This complementary nature, rather than redundancy, is backed by research in comparison showing that companies are integrating governance, management systems, and operational risk frameworks rather than using just one of them [5]. In particular, if ALL relies only on ISO 27001, it can get certified but ignores specific risks due to AI/IoT implementation. If it relies on NIST CSF, it makes operational improvements but does not solve the vendor governance issue. If it works with COBIT, it clearly understands who is accountable but cannot get certified. If it implements only ITIL, it coordinates various suppliers, but has no risk/compliance basis. Thus, they create a non-substitutable layered system – COBIT (governance) – ISO/IEC 27001 (assurance) – NIST CSF (operational risk) – ITIL (service delivery), which allows restructuring for integrated design described in Section 4.</w:t>
      </w:r>
    </w:p>
    <w:p w14:paraId="3E640E39" w14:textId="77777777" w:rsidR="00A5369E" w:rsidRPr="000C46CD" w:rsidRDefault="00000000">
      <w:pPr>
        <w:spacing w:after="200"/>
        <w:rPr>
          <w:i/>
          <w:iCs/>
        </w:rPr>
      </w:pPr>
      <w:r w:rsidRPr="000C46CD">
        <w:rPr>
          <w:i/>
          <w:iCs/>
        </w:rPr>
        <w:t>Table 1: Framework Comparison (Source: Self-Illustrated)</w:t>
      </w:r>
    </w:p>
    <w:tbl>
      <w:tblPr>
        <w:tblStyle w:val="a"/>
        <w:tblW w:w="86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28"/>
        <w:gridCol w:w="1728"/>
        <w:gridCol w:w="1728"/>
        <w:gridCol w:w="1728"/>
        <w:gridCol w:w="1728"/>
      </w:tblGrid>
      <w:tr w:rsidR="00A5369E" w:rsidRPr="000C46CD" w14:paraId="1330F38A" w14:textId="77777777">
        <w:tc>
          <w:tcPr>
            <w:tcW w:w="1728" w:type="dxa"/>
            <w:shd w:val="clear" w:color="auto" w:fill="EAD1DC"/>
          </w:tcPr>
          <w:p w14:paraId="1F826785" w14:textId="77777777" w:rsidR="00A5369E" w:rsidRPr="000C46CD" w:rsidRDefault="00000000">
            <w:pPr>
              <w:spacing w:line="360" w:lineRule="auto"/>
              <w:rPr>
                <w:b/>
                <w:bCs/>
              </w:rPr>
            </w:pPr>
            <w:r w:rsidRPr="000C46CD">
              <w:rPr>
                <w:b/>
                <w:bCs/>
              </w:rPr>
              <w:t>Criterion</w:t>
            </w:r>
          </w:p>
        </w:tc>
        <w:tc>
          <w:tcPr>
            <w:tcW w:w="1728" w:type="dxa"/>
            <w:shd w:val="clear" w:color="auto" w:fill="EAD1DC"/>
          </w:tcPr>
          <w:p w14:paraId="68CA0D04" w14:textId="77777777" w:rsidR="00A5369E" w:rsidRPr="000C46CD" w:rsidRDefault="00000000">
            <w:pPr>
              <w:spacing w:line="360" w:lineRule="auto"/>
              <w:rPr>
                <w:b/>
                <w:bCs/>
              </w:rPr>
            </w:pPr>
            <w:r w:rsidRPr="000C46CD">
              <w:rPr>
                <w:b/>
                <w:bCs/>
              </w:rPr>
              <w:t>NIST CSF 2.0</w:t>
            </w:r>
          </w:p>
        </w:tc>
        <w:tc>
          <w:tcPr>
            <w:tcW w:w="1728" w:type="dxa"/>
            <w:shd w:val="clear" w:color="auto" w:fill="EAD1DC"/>
          </w:tcPr>
          <w:p w14:paraId="2A623908" w14:textId="77777777" w:rsidR="00A5369E" w:rsidRPr="000C46CD" w:rsidRDefault="00000000">
            <w:pPr>
              <w:spacing w:line="360" w:lineRule="auto"/>
              <w:rPr>
                <w:b/>
                <w:bCs/>
              </w:rPr>
            </w:pPr>
            <w:r w:rsidRPr="000C46CD">
              <w:rPr>
                <w:b/>
                <w:bCs/>
              </w:rPr>
              <w:t>ISO/IEC 27001:2022</w:t>
            </w:r>
          </w:p>
        </w:tc>
        <w:tc>
          <w:tcPr>
            <w:tcW w:w="1728" w:type="dxa"/>
            <w:shd w:val="clear" w:color="auto" w:fill="EAD1DC"/>
          </w:tcPr>
          <w:p w14:paraId="1532B4EF" w14:textId="77777777" w:rsidR="00A5369E" w:rsidRPr="000C46CD" w:rsidRDefault="00000000">
            <w:pPr>
              <w:spacing w:line="360" w:lineRule="auto"/>
              <w:rPr>
                <w:b/>
                <w:bCs/>
              </w:rPr>
            </w:pPr>
            <w:r w:rsidRPr="000C46CD">
              <w:rPr>
                <w:b/>
                <w:bCs/>
              </w:rPr>
              <w:t>COBIT 2019</w:t>
            </w:r>
          </w:p>
        </w:tc>
        <w:tc>
          <w:tcPr>
            <w:tcW w:w="1728" w:type="dxa"/>
            <w:shd w:val="clear" w:color="auto" w:fill="EAD1DC"/>
          </w:tcPr>
          <w:p w14:paraId="5554042C" w14:textId="77777777" w:rsidR="00A5369E" w:rsidRPr="000C46CD" w:rsidRDefault="00000000">
            <w:pPr>
              <w:spacing w:line="360" w:lineRule="auto"/>
              <w:rPr>
                <w:b/>
                <w:bCs/>
              </w:rPr>
            </w:pPr>
            <w:r w:rsidRPr="000C46CD">
              <w:rPr>
                <w:b/>
                <w:bCs/>
              </w:rPr>
              <w:t>ITIL 4</w:t>
            </w:r>
          </w:p>
        </w:tc>
      </w:tr>
      <w:tr w:rsidR="00A5369E" w:rsidRPr="000C46CD" w14:paraId="3B0FB002" w14:textId="77777777">
        <w:tc>
          <w:tcPr>
            <w:tcW w:w="1728" w:type="dxa"/>
          </w:tcPr>
          <w:p w14:paraId="57FBA9A8" w14:textId="77777777" w:rsidR="00A5369E" w:rsidRPr="000C46CD" w:rsidRDefault="00000000">
            <w:pPr>
              <w:spacing w:line="360" w:lineRule="auto"/>
            </w:pPr>
            <w:r w:rsidRPr="000C46CD">
              <w:t>Governance orientation</w:t>
            </w:r>
          </w:p>
        </w:tc>
        <w:tc>
          <w:tcPr>
            <w:tcW w:w="1728" w:type="dxa"/>
          </w:tcPr>
          <w:p w14:paraId="6CA87888" w14:textId="77777777" w:rsidR="00A5369E" w:rsidRPr="000C46CD" w:rsidRDefault="00000000">
            <w:pPr>
              <w:spacing w:line="360" w:lineRule="auto"/>
            </w:pPr>
            <w:r w:rsidRPr="000C46CD">
              <w:t>Strong (Govern function)</w:t>
            </w:r>
          </w:p>
        </w:tc>
        <w:tc>
          <w:tcPr>
            <w:tcW w:w="1728" w:type="dxa"/>
          </w:tcPr>
          <w:p w14:paraId="1624E5D5" w14:textId="77777777" w:rsidR="00A5369E" w:rsidRPr="000C46CD" w:rsidRDefault="00000000">
            <w:pPr>
              <w:spacing w:line="360" w:lineRule="auto"/>
            </w:pPr>
            <w:r w:rsidRPr="000C46CD">
              <w:t>Moderate</w:t>
            </w:r>
          </w:p>
        </w:tc>
        <w:tc>
          <w:tcPr>
            <w:tcW w:w="1728" w:type="dxa"/>
          </w:tcPr>
          <w:p w14:paraId="2091C990" w14:textId="77777777" w:rsidR="00A5369E" w:rsidRPr="000C46CD" w:rsidRDefault="00000000">
            <w:pPr>
              <w:spacing w:line="360" w:lineRule="auto"/>
            </w:pPr>
            <w:r w:rsidRPr="000C46CD">
              <w:t>Very strong</w:t>
            </w:r>
          </w:p>
        </w:tc>
        <w:tc>
          <w:tcPr>
            <w:tcW w:w="1728" w:type="dxa"/>
          </w:tcPr>
          <w:p w14:paraId="13EE6119" w14:textId="77777777" w:rsidR="00A5369E" w:rsidRPr="000C46CD" w:rsidRDefault="00000000">
            <w:pPr>
              <w:spacing w:line="360" w:lineRule="auto"/>
            </w:pPr>
            <w:r w:rsidRPr="000C46CD">
              <w:t>Weak</w:t>
            </w:r>
          </w:p>
        </w:tc>
      </w:tr>
      <w:tr w:rsidR="00A5369E" w:rsidRPr="000C46CD" w14:paraId="3AC6DE23" w14:textId="77777777">
        <w:tc>
          <w:tcPr>
            <w:tcW w:w="1728" w:type="dxa"/>
          </w:tcPr>
          <w:p w14:paraId="63E011D8" w14:textId="77777777" w:rsidR="00A5369E" w:rsidRPr="000C46CD" w:rsidRDefault="00000000">
            <w:pPr>
              <w:spacing w:line="360" w:lineRule="auto"/>
            </w:pPr>
            <w:r w:rsidRPr="000C46CD">
              <w:t>Operational prescriptiveness</w:t>
            </w:r>
          </w:p>
        </w:tc>
        <w:tc>
          <w:tcPr>
            <w:tcW w:w="1728" w:type="dxa"/>
          </w:tcPr>
          <w:p w14:paraId="2619727F" w14:textId="77777777" w:rsidR="00A5369E" w:rsidRPr="000C46CD" w:rsidRDefault="00000000">
            <w:pPr>
              <w:spacing w:line="360" w:lineRule="auto"/>
            </w:pPr>
            <w:r w:rsidRPr="000C46CD">
              <w:t>Moderate</w:t>
            </w:r>
          </w:p>
        </w:tc>
        <w:tc>
          <w:tcPr>
            <w:tcW w:w="1728" w:type="dxa"/>
          </w:tcPr>
          <w:p w14:paraId="394A429C" w14:textId="77777777" w:rsidR="00A5369E" w:rsidRPr="000C46CD" w:rsidRDefault="00000000">
            <w:pPr>
              <w:spacing w:line="360" w:lineRule="auto"/>
            </w:pPr>
            <w:r w:rsidRPr="000C46CD">
              <w:t>High (93 Annex A controls)</w:t>
            </w:r>
          </w:p>
        </w:tc>
        <w:tc>
          <w:tcPr>
            <w:tcW w:w="1728" w:type="dxa"/>
          </w:tcPr>
          <w:p w14:paraId="70EA37A8" w14:textId="77777777" w:rsidR="00A5369E" w:rsidRPr="000C46CD" w:rsidRDefault="00000000">
            <w:pPr>
              <w:spacing w:line="360" w:lineRule="auto"/>
            </w:pPr>
            <w:r w:rsidRPr="000C46CD">
              <w:t>Low</w:t>
            </w:r>
          </w:p>
        </w:tc>
        <w:tc>
          <w:tcPr>
            <w:tcW w:w="1728" w:type="dxa"/>
          </w:tcPr>
          <w:p w14:paraId="646611D4" w14:textId="77777777" w:rsidR="00A5369E" w:rsidRPr="000C46CD" w:rsidRDefault="00000000">
            <w:pPr>
              <w:spacing w:line="360" w:lineRule="auto"/>
            </w:pPr>
            <w:r w:rsidRPr="000C46CD">
              <w:t>High (service delivery)</w:t>
            </w:r>
          </w:p>
        </w:tc>
      </w:tr>
      <w:tr w:rsidR="00A5369E" w:rsidRPr="000C46CD" w14:paraId="2EB95686" w14:textId="77777777">
        <w:tc>
          <w:tcPr>
            <w:tcW w:w="1728" w:type="dxa"/>
          </w:tcPr>
          <w:p w14:paraId="7A44C2AC" w14:textId="77777777" w:rsidR="00A5369E" w:rsidRPr="000C46CD" w:rsidRDefault="00000000">
            <w:pPr>
              <w:spacing w:line="360" w:lineRule="auto"/>
            </w:pPr>
            <w:r w:rsidRPr="000C46CD">
              <w:t>Vendor/supply-chain applicability</w:t>
            </w:r>
          </w:p>
        </w:tc>
        <w:tc>
          <w:tcPr>
            <w:tcW w:w="1728" w:type="dxa"/>
          </w:tcPr>
          <w:p w14:paraId="3AED3825" w14:textId="77777777" w:rsidR="00A5369E" w:rsidRPr="000C46CD" w:rsidRDefault="00000000">
            <w:pPr>
              <w:spacing w:line="360" w:lineRule="auto"/>
            </w:pPr>
            <w:r w:rsidRPr="000C46CD">
              <w:t>Moderate</w:t>
            </w:r>
          </w:p>
        </w:tc>
        <w:tc>
          <w:tcPr>
            <w:tcW w:w="1728" w:type="dxa"/>
          </w:tcPr>
          <w:p w14:paraId="398FC06E" w14:textId="77777777" w:rsidR="00A5369E" w:rsidRPr="000C46CD" w:rsidRDefault="00000000">
            <w:pPr>
              <w:spacing w:line="360" w:lineRule="auto"/>
            </w:pPr>
            <w:r w:rsidRPr="000C46CD">
              <w:t>Strong (with ISO 27036)</w:t>
            </w:r>
          </w:p>
        </w:tc>
        <w:tc>
          <w:tcPr>
            <w:tcW w:w="1728" w:type="dxa"/>
          </w:tcPr>
          <w:p w14:paraId="5AD5FF65" w14:textId="77777777" w:rsidR="00A5369E" w:rsidRPr="000C46CD" w:rsidRDefault="00000000">
            <w:pPr>
              <w:spacing w:line="360" w:lineRule="auto"/>
            </w:pPr>
            <w:r w:rsidRPr="000C46CD">
              <w:t>Strong (sourcing design factor)</w:t>
            </w:r>
          </w:p>
        </w:tc>
        <w:tc>
          <w:tcPr>
            <w:tcW w:w="1728" w:type="dxa"/>
          </w:tcPr>
          <w:p w14:paraId="5EB3B1D0" w14:textId="77777777" w:rsidR="00A5369E" w:rsidRPr="000C46CD" w:rsidRDefault="00000000">
            <w:pPr>
              <w:spacing w:line="360" w:lineRule="auto"/>
            </w:pPr>
            <w:r w:rsidRPr="000C46CD">
              <w:t xml:space="preserve">Strongest (Supplier </w:t>
            </w:r>
            <w:proofErr w:type="spellStart"/>
            <w:r w:rsidRPr="000C46CD">
              <w:t>Mgmt</w:t>
            </w:r>
            <w:proofErr w:type="spellEnd"/>
            <w:r w:rsidRPr="000C46CD">
              <w:t xml:space="preserve"> practice)</w:t>
            </w:r>
          </w:p>
        </w:tc>
      </w:tr>
      <w:tr w:rsidR="00A5369E" w:rsidRPr="000C46CD" w14:paraId="23DDCC8B" w14:textId="77777777">
        <w:tc>
          <w:tcPr>
            <w:tcW w:w="1728" w:type="dxa"/>
          </w:tcPr>
          <w:p w14:paraId="173923FB" w14:textId="77777777" w:rsidR="00A5369E" w:rsidRPr="000C46CD" w:rsidRDefault="00000000">
            <w:pPr>
              <w:spacing w:line="360" w:lineRule="auto"/>
            </w:pPr>
            <w:r w:rsidRPr="000C46CD">
              <w:t>Certification value</w:t>
            </w:r>
          </w:p>
        </w:tc>
        <w:tc>
          <w:tcPr>
            <w:tcW w:w="1728" w:type="dxa"/>
          </w:tcPr>
          <w:p w14:paraId="06260ABC" w14:textId="77777777" w:rsidR="00A5369E" w:rsidRPr="000C46CD" w:rsidRDefault="00000000">
            <w:pPr>
              <w:spacing w:line="360" w:lineRule="auto"/>
            </w:pPr>
            <w:r w:rsidRPr="000C46CD">
              <w:t>None</w:t>
            </w:r>
          </w:p>
        </w:tc>
        <w:tc>
          <w:tcPr>
            <w:tcW w:w="1728" w:type="dxa"/>
          </w:tcPr>
          <w:p w14:paraId="7C768AC3" w14:textId="77777777" w:rsidR="00A5369E" w:rsidRPr="000C46CD" w:rsidRDefault="00000000">
            <w:pPr>
              <w:spacing w:line="360" w:lineRule="auto"/>
            </w:pPr>
            <w:r w:rsidRPr="000C46CD">
              <w:t>High (auditable)</w:t>
            </w:r>
          </w:p>
        </w:tc>
        <w:tc>
          <w:tcPr>
            <w:tcW w:w="1728" w:type="dxa"/>
          </w:tcPr>
          <w:p w14:paraId="6AB64B15" w14:textId="77777777" w:rsidR="00A5369E" w:rsidRPr="000C46CD" w:rsidRDefault="00000000">
            <w:pPr>
              <w:spacing w:line="360" w:lineRule="auto"/>
            </w:pPr>
            <w:r w:rsidRPr="000C46CD">
              <w:t>None (maturity only)</w:t>
            </w:r>
          </w:p>
        </w:tc>
        <w:tc>
          <w:tcPr>
            <w:tcW w:w="1728" w:type="dxa"/>
          </w:tcPr>
          <w:p w14:paraId="6E6B425D" w14:textId="77777777" w:rsidR="00A5369E" w:rsidRPr="000C46CD" w:rsidRDefault="00000000">
            <w:pPr>
              <w:spacing w:line="360" w:lineRule="auto"/>
            </w:pPr>
            <w:r w:rsidRPr="000C46CD">
              <w:t>None</w:t>
            </w:r>
          </w:p>
        </w:tc>
      </w:tr>
      <w:tr w:rsidR="00A5369E" w:rsidRPr="000C46CD" w14:paraId="44FEFB11" w14:textId="77777777">
        <w:tc>
          <w:tcPr>
            <w:tcW w:w="1728" w:type="dxa"/>
          </w:tcPr>
          <w:p w14:paraId="0EFCB38F" w14:textId="77777777" w:rsidR="00A5369E" w:rsidRPr="000C46CD" w:rsidRDefault="00000000">
            <w:pPr>
              <w:spacing w:line="360" w:lineRule="auto"/>
            </w:pPr>
            <w:r w:rsidRPr="000C46CD">
              <w:t>Role in ALL's architecture</w:t>
            </w:r>
          </w:p>
        </w:tc>
        <w:tc>
          <w:tcPr>
            <w:tcW w:w="1728" w:type="dxa"/>
          </w:tcPr>
          <w:p w14:paraId="0F813E3B" w14:textId="77777777" w:rsidR="00A5369E" w:rsidRPr="000C46CD" w:rsidRDefault="00000000">
            <w:pPr>
              <w:spacing w:line="360" w:lineRule="auto"/>
            </w:pPr>
            <w:r w:rsidRPr="000C46CD">
              <w:t xml:space="preserve">Operational </w:t>
            </w:r>
            <w:proofErr w:type="gramStart"/>
            <w:r w:rsidRPr="000C46CD">
              <w:t>risk  and</w:t>
            </w:r>
            <w:proofErr w:type="gramEnd"/>
            <w:r w:rsidRPr="000C46CD">
              <w:t xml:space="preserve"> monitoring</w:t>
            </w:r>
          </w:p>
        </w:tc>
        <w:tc>
          <w:tcPr>
            <w:tcW w:w="1728" w:type="dxa"/>
          </w:tcPr>
          <w:p w14:paraId="6C3D29A2" w14:textId="77777777" w:rsidR="00A5369E" w:rsidRPr="000C46CD" w:rsidRDefault="00000000">
            <w:pPr>
              <w:spacing w:line="360" w:lineRule="auto"/>
            </w:pPr>
            <w:r w:rsidRPr="000C46CD">
              <w:t>Certifiable assurance baseline</w:t>
            </w:r>
          </w:p>
        </w:tc>
        <w:tc>
          <w:tcPr>
            <w:tcW w:w="1728" w:type="dxa"/>
          </w:tcPr>
          <w:p w14:paraId="017321A5" w14:textId="77777777" w:rsidR="00A5369E" w:rsidRPr="000C46CD" w:rsidRDefault="00000000">
            <w:pPr>
              <w:spacing w:line="360" w:lineRule="auto"/>
            </w:pPr>
            <w:r w:rsidRPr="000C46CD">
              <w:t>Governance and accountability</w:t>
            </w:r>
          </w:p>
        </w:tc>
        <w:tc>
          <w:tcPr>
            <w:tcW w:w="1728" w:type="dxa"/>
          </w:tcPr>
          <w:p w14:paraId="38DE58BC" w14:textId="77777777" w:rsidR="00A5369E" w:rsidRPr="000C46CD" w:rsidRDefault="00000000">
            <w:pPr>
              <w:spacing w:line="360" w:lineRule="auto"/>
            </w:pPr>
            <w:r w:rsidRPr="000C46CD">
              <w:t>Vendor/service coordination</w:t>
            </w:r>
          </w:p>
        </w:tc>
      </w:tr>
    </w:tbl>
    <w:p w14:paraId="04F28728" w14:textId="77777777" w:rsidR="00A5369E" w:rsidRPr="000C46CD" w:rsidRDefault="00A5369E">
      <w:pPr>
        <w:spacing w:after="200"/>
      </w:pPr>
    </w:p>
    <w:p w14:paraId="6737C40C" w14:textId="77777777" w:rsidR="00A5369E" w:rsidRPr="000C46CD" w:rsidRDefault="00000000">
      <w:pPr>
        <w:pStyle w:val="Heading1"/>
      </w:pPr>
      <w:bookmarkStart w:id="8" w:name="_t1l1g37az98a" w:colFirst="0" w:colLast="0"/>
      <w:bookmarkEnd w:id="8"/>
      <w:r w:rsidRPr="000C46CD">
        <w:lastRenderedPageBreak/>
        <w:t>3. Assumptions</w:t>
      </w:r>
    </w:p>
    <w:p w14:paraId="6168FB3D" w14:textId="77777777" w:rsidR="00A5369E" w:rsidRPr="000C46CD" w:rsidRDefault="00000000">
      <w:r w:rsidRPr="000C46CD">
        <w:t>The following are stated as explicit planning assumptions, not empirical facts about ALL, to bound the scope of the design that follows:</w:t>
      </w:r>
    </w:p>
    <w:p w14:paraId="137B4F2B" w14:textId="77777777" w:rsidR="00A5369E" w:rsidRPr="000C46CD" w:rsidRDefault="00000000">
      <w:pPr>
        <w:numPr>
          <w:ilvl w:val="0"/>
          <w:numId w:val="1"/>
        </w:numPr>
      </w:pPr>
      <w:r w:rsidRPr="000C46CD">
        <w:t>ALL is assumed to be a medium-to-large multinational enterprise with sufficient budget for a dedicated security function but not unconstrained capital expenditure.</w:t>
      </w:r>
    </w:p>
    <w:p w14:paraId="7C98EFB2" w14:textId="77777777" w:rsidR="00A5369E" w:rsidRPr="000C46CD" w:rsidRDefault="00000000">
      <w:pPr>
        <w:numPr>
          <w:ilvl w:val="0"/>
          <w:numId w:val="1"/>
        </w:numPr>
      </w:pPr>
      <w:r w:rsidRPr="000C46CD">
        <w:t>ALL's security governance maturity is assumed, for planning purposes only, to be low (broadly consistent with an ad hoc/repeatable CMMI-style profile), reflecting the case scenario's description of an absent unified framework; this is a working assumption to size the recommended intervention, not a measured maturity score.</w:t>
      </w:r>
    </w:p>
    <w:p w14:paraId="12308005" w14:textId="77777777" w:rsidR="00A5369E" w:rsidRPr="000C46CD" w:rsidRDefault="00000000">
      <w:pPr>
        <w:numPr>
          <w:ilvl w:val="0"/>
          <w:numId w:val="1"/>
        </w:numPr>
      </w:pPr>
      <w:r w:rsidRPr="000C46CD">
        <w:t>ALL is assumed to operate across the UK/EU and other jurisdictions, creating potential exposure to the UK GDPR/DPA 2018, the EU GDPR, and the NIS2 Directive.</w:t>
      </w:r>
    </w:p>
    <w:p w14:paraId="69ABF922" w14:textId="77777777" w:rsidR="00A5369E" w:rsidRPr="000C46CD" w:rsidRDefault="00000000">
      <w:pPr>
        <w:numPr>
          <w:ilvl w:val="0"/>
          <w:numId w:val="1"/>
        </w:numPr>
      </w:pPr>
      <w:r w:rsidRPr="000C46CD">
        <w:t>Existing technology is assumed to be a heterogeneous, multi-cloud IaaS/SaaS estate with IoT and AI tools procured without formal security-by-design review.</w:t>
      </w:r>
    </w:p>
    <w:p w14:paraId="05818BD6" w14:textId="77777777" w:rsidR="00A5369E" w:rsidRPr="000C46CD" w:rsidRDefault="00000000">
      <w:pPr>
        <w:numPr>
          <w:ilvl w:val="0"/>
          <w:numId w:val="1"/>
        </w:numPr>
      </w:pPr>
      <w:r w:rsidRPr="000C46CD">
        <w:t>A phased 12-24-month transformation budget is assumed, rather than a single “big bang” implementation.</w:t>
      </w:r>
    </w:p>
    <w:p w14:paraId="55DE353B" w14:textId="77777777" w:rsidR="00A5369E" w:rsidRPr="000C46CD" w:rsidRDefault="00000000">
      <w:pPr>
        <w:numPr>
          <w:ilvl w:val="0"/>
          <w:numId w:val="1"/>
        </w:numPr>
      </w:pPr>
      <w:r w:rsidRPr="000C46CD">
        <w:t>No CISO or DPO is assumed to exist currently; both are proposed as new appointments.</w:t>
      </w:r>
    </w:p>
    <w:p w14:paraId="48AD03E1" w14:textId="77777777" w:rsidR="00A5369E" w:rsidRPr="000C46CD" w:rsidRDefault="00000000">
      <w:pPr>
        <w:pStyle w:val="Heading1"/>
      </w:pPr>
      <w:bookmarkStart w:id="9" w:name="_78vuer2q7tvn" w:colFirst="0" w:colLast="0"/>
      <w:bookmarkEnd w:id="9"/>
      <w:r w:rsidRPr="000C46CD">
        <w:t>4. Proposed Security, Governance and Compliance Framework for ALL</w:t>
      </w:r>
    </w:p>
    <w:p w14:paraId="307ABAB6" w14:textId="77777777" w:rsidR="00A5369E" w:rsidRPr="000C46CD" w:rsidRDefault="00000000">
      <w:pPr>
        <w:pStyle w:val="Heading2"/>
      </w:pPr>
      <w:bookmarkStart w:id="10" w:name="_u7fsln1af1yz" w:colFirst="0" w:colLast="0"/>
      <w:bookmarkEnd w:id="10"/>
      <w:r w:rsidRPr="000C46CD">
        <w:t>4.1 Governance and Strategic Planning for Security</w:t>
      </w:r>
    </w:p>
    <w:p w14:paraId="6F59A823" w14:textId="77777777" w:rsidR="00A5369E" w:rsidRPr="000C46CD" w:rsidRDefault="00000000">
      <w:pPr>
        <w:ind w:firstLine="720"/>
      </w:pPr>
      <w:r w:rsidRPr="000C46CD">
        <w:t>Governance failure is demonstrated in this case scenario, indicating that the problem is related to governance rather than technology. To be effective, governance should have responsibility at the board level, documented risk appetite, and a system to implement the strategy [10]. According to COBIT 2019 and its separation between governance and management, this model involves the creation of a Security Steering Committee headed by a new CISO who reports to the Board and has representatives from the IT department, legal/compliance and procurement departments, and regional operations. It operates under the governance function described in NIST CSF 2.0 [3]</w:t>
      </w:r>
    </w:p>
    <w:p w14:paraId="5D94469E" w14:textId="77777777" w:rsidR="00A5369E" w:rsidRPr="000C46CD" w:rsidRDefault="00000000">
      <w:pPr>
        <w:spacing w:after="200"/>
        <w:rPr>
          <w:i/>
          <w:iCs/>
        </w:rPr>
      </w:pPr>
      <w:r w:rsidRPr="000C46CD">
        <w:rPr>
          <w:i/>
          <w:iCs/>
        </w:rPr>
        <w:t>Table 2: Proposed Governance Structure (Source: Self-Illustrated)</w:t>
      </w:r>
    </w:p>
    <w:tbl>
      <w:tblPr>
        <w:tblStyle w:val="a0"/>
        <w:tblW w:w="86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60"/>
        <w:gridCol w:w="2160"/>
        <w:gridCol w:w="2160"/>
        <w:gridCol w:w="2160"/>
      </w:tblGrid>
      <w:tr w:rsidR="00A5369E" w:rsidRPr="000C46CD" w14:paraId="2777FC4F" w14:textId="77777777">
        <w:tc>
          <w:tcPr>
            <w:tcW w:w="2160" w:type="dxa"/>
            <w:shd w:val="clear" w:color="auto" w:fill="EAD1DC"/>
          </w:tcPr>
          <w:p w14:paraId="1C65F7A3" w14:textId="77777777" w:rsidR="00A5369E" w:rsidRPr="000C46CD" w:rsidRDefault="00000000">
            <w:pPr>
              <w:spacing w:line="360" w:lineRule="auto"/>
              <w:rPr>
                <w:b/>
                <w:bCs/>
              </w:rPr>
            </w:pPr>
            <w:r w:rsidRPr="000C46CD">
              <w:rPr>
                <w:b/>
                <w:bCs/>
              </w:rPr>
              <w:t>Level</w:t>
            </w:r>
          </w:p>
        </w:tc>
        <w:tc>
          <w:tcPr>
            <w:tcW w:w="2160" w:type="dxa"/>
            <w:shd w:val="clear" w:color="auto" w:fill="EAD1DC"/>
          </w:tcPr>
          <w:p w14:paraId="0ED9F2B2" w14:textId="77777777" w:rsidR="00A5369E" w:rsidRPr="000C46CD" w:rsidRDefault="00000000">
            <w:pPr>
              <w:spacing w:line="360" w:lineRule="auto"/>
              <w:rPr>
                <w:b/>
                <w:bCs/>
              </w:rPr>
            </w:pPr>
            <w:r w:rsidRPr="000C46CD">
              <w:rPr>
                <w:b/>
                <w:bCs/>
              </w:rPr>
              <w:t>Body</w:t>
            </w:r>
          </w:p>
        </w:tc>
        <w:tc>
          <w:tcPr>
            <w:tcW w:w="2160" w:type="dxa"/>
            <w:shd w:val="clear" w:color="auto" w:fill="EAD1DC"/>
          </w:tcPr>
          <w:p w14:paraId="5A405F45" w14:textId="77777777" w:rsidR="00A5369E" w:rsidRPr="000C46CD" w:rsidRDefault="00000000">
            <w:pPr>
              <w:spacing w:line="360" w:lineRule="auto"/>
              <w:rPr>
                <w:b/>
                <w:bCs/>
              </w:rPr>
            </w:pPr>
            <w:r w:rsidRPr="000C46CD">
              <w:rPr>
                <w:b/>
                <w:bCs/>
              </w:rPr>
              <w:t>Responsibility</w:t>
            </w:r>
          </w:p>
        </w:tc>
        <w:tc>
          <w:tcPr>
            <w:tcW w:w="2160" w:type="dxa"/>
            <w:shd w:val="clear" w:color="auto" w:fill="EAD1DC"/>
          </w:tcPr>
          <w:p w14:paraId="7293B447" w14:textId="77777777" w:rsidR="00A5369E" w:rsidRPr="000C46CD" w:rsidRDefault="00000000">
            <w:pPr>
              <w:spacing w:line="360" w:lineRule="auto"/>
              <w:rPr>
                <w:b/>
                <w:bCs/>
              </w:rPr>
            </w:pPr>
            <w:r w:rsidRPr="000C46CD">
              <w:rPr>
                <w:b/>
                <w:bCs/>
              </w:rPr>
              <w:t>KPI</w:t>
            </w:r>
          </w:p>
        </w:tc>
      </w:tr>
      <w:tr w:rsidR="00A5369E" w:rsidRPr="000C46CD" w14:paraId="23FCB20C" w14:textId="77777777">
        <w:tc>
          <w:tcPr>
            <w:tcW w:w="2160" w:type="dxa"/>
          </w:tcPr>
          <w:p w14:paraId="4117278F" w14:textId="77777777" w:rsidR="00A5369E" w:rsidRPr="000C46CD" w:rsidRDefault="00000000">
            <w:pPr>
              <w:spacing w:line="360" w:lineRule="auto"/>
            </w:pPr>
            <w:r w:rsidRPr="000C46CD">
              <w:t>Strategic</w:t>
            </w:r>
          </w:p>
        </w:tc>
        <w:tc>
          <w:tcPr>
            <w:tcW w:w="2160" w:type="dxa"/>
          </w:tcPr>
          <w:p w14:paraId="30557004" w14:textId="77777777" w:rsidR="00A5369E" w:rsidRPr="000C46CD" w:rsidRDefault="00000000">
            <w:pPr>
              <w:spacing w:line="360" w:lineRule="auto"/>
            </w:pPr>
            <w:r w:rsidRPr="000C46CD">
              <w:t>Board</w:t>
            </w:r>
          </w:p>
        </w:tc>
        <w:tc>
          <w:tcPr>
            <w:tcW w:w="2160" w:type="dxa"/>
          </w:tcPr>
          <w:p w14:paraId="58B725D7" w14:textId="77777777" w:rsidR="00A5369E" w:rsidRPr="000C46CD" w:rsidRDefault="00000000">
            <w:pPr>
              <w:spacing w:line="360" w:lineRule="auto"/>
            </w:pPr>
            <w:r w:rsidRPr="000C46CD">
              <w:t>Approves risk appetite</w:t>
            </w:r>
          </w:p>
        </w:tc>
        <w:tc>
          <w:tcPr>
            <w:tcW w:w="2160" w:type="dxa"/>
          </w:tcPr>
          <w:p w14:paraId="05338186" w14:textId="77777777" w:rsidR="00A5369E" w:rsidRPr="000C46CD" w:rsidRDefault="00000000">
            <w:pPr>
              <w:spacing w:line="360" w:lineRule="auto"/>
            </w:pPr>
            <w:r w:rsidRPr="000C46CD">
              <w:t>Quarterly risk review (Y/N)</w:t>
            </w:r>
          </w:p>
        </w:tc>
      </w:tr>
      <w:tr w:rsidR="00A5369E" w:rsidRPr="000C46CD" w14:paraId="456F2EF2" w14:textId="77777777">
        <w:tc>
          <w:tcPr>
            <w:tcW w:w="2160" w:type="dxa"/>
          </w:tcPr>
          <w:p w14:paraId="30472AF6" w14:textId="77777777" w:rsidR="00A5369E" w:rsidRPr="000C46CD" w:rsidRDefault="00000000">
            <w:pPr>
              <w:spacing w:line="360" w:lineRule="auto"/>
            </w:pPr>
            <w:r w:rsidRPr="000C46CD">
              <w:lastRenderedPageBreak/>
              <w:t>Governance</w:t>
            </w:r>
          </w:p>
        </w:tc>
        <w:tc>
          <w:tcPr>
            <w:tcW w:w="2160" w:type="dxa"/>
          </w:tcPr>
          <w:p w14:paraId="3547E67A" w14:textId="77777777" w:rsidR="00A5369E" w:rsidRPr="000C46CD" w:rsidRDefault="00000000">
            <w:pPr>
              <w:spacing w:line="360" w:lineRule="auto"/>
            </w:pPr>
            <w:r w:rsidRPr="000C46CD">
              <w:t>Security Steering Committee</w:t>
            </w:r>
          </w:p>
        </w:tc>
        <w:tc>
          <w:tcPr>
            <w:tcW w:w="2160" w:type="dxa"/>
          </w:tcPr>
          <w:p w14:paraId="22619842" w14:textId="77777777" w:rsidR="00A5369E" w:rsidRPr="000C46CD" w:rsidRDefault="00000000">
            <w:pPr>
              <w:spacing w:line="360" w:lineRule="auto"/>
            </w:pPr>
            <w:r w:rsidRPr="000C46CD">
              <w:t>Policy &amp; accountability</w:t>
            </w:r>
          </w:p>
        </w:tc>
        <w:tc>
          <w:tcPr>
            <w:tcW w:w="2160" w:type="dxa"/>
          </w:tcPr>
          <w:p w14:paraId="151AEFD3" w14:textId="77777777" w:rsidR="00A5369E" w:rsidRPr="000C46CD" w:rsidRDefault="00000000">
            <w:pPr>
              <w:spacing w:line="360" w:lineRule="auto"/>
            </w:pPr>
            <w:r w:rsidRPr="000C46CD">
              <w:t>% policies reviewed/12mo</w:t>
            </w:r>
          </w:p>
        </w:tc>
      </w:tr>
      <w:tr w:rsidR="00A5369E" w:rsidRPr="000C46CD" w14:paraId="6E47CD4C" w14:textId="77777777">
        <w:tc>
          <w:tcPr>
            <w:tcW w:w="2160" w:type="dxa"/>
          </w:tcPr>
          <w:p w14:paraId="5568C3B8" w14:textId="77777777" w:rsidR="00A5369E" w:rsidRPr="000C46CD" w:rsidRDefault="00000000">
            <w:pPr>
              <w:spacing w:line="360" w:lineRule="auto"/>
            </w:pPr>
            <w:r w:rsidRPr="000C46CD">
              <w:t>Operational</w:t>
            </w:r>
          </w:p>
        </w:tc>
        <w:tc>
          <w:tcPr>
            <w:tcW w:w="2160" w:type="dxa"/>
          </w:tcPr>
          <w:p w14:paraId="2F294076" w14:textId="77777777" w:rsidR="00A5369E" w:rsidRPr="000C46CD" w:rsidRDefault="00000000">
            <w:pPr>
              <w:spacing w:line="360" w:lineRule="auto"/>
            </w:pPr>
            <w:r w:rsidRPr="000C46CD">
              <w:t>DPO (subject to scoping)</w:t>
            </w:r>
          </w:p>
        </w:tc>
        <w:tc>
          <w:tcPr>
            <w:tcW w:w="2160" w:type="dxa"/>
          </w:tcPr>
          <w:p w14:paraId="5C9AC7CE" w14:textId="77777777" w:rsidR="00A5369E" w:rsidRPr="000C46CD" w:rsidRDefault="00000000">
            <w:pPr>
              <w:spacing w:line="360" w:lineRule="auto"/>
            </w:pPr>
            <w:r w:rsidRPr="000C46CD">
              <w:t>Data-protection compliance</w:t>
            </w:r>
          </w:p>
        </w:tc>
        <w:tc>
          <w:tcPr>
            <w:tcW w:w="2160" w:type="dxa"/>
          </w:tcPr>
          <w:p w14:paraId="38F01AFA" w14:textId="77777777" w:rsidR="00A5369E" w:rsidRPr="000C46CD" w:rsidRDefault="00000000">
            <w:pPr>
              <w:spacing w:line="360" w:lineRule="auto"/>
            </w:pPr>
            <w:r w:rsidRPr="000C46CD">
              <w:t>% DPIAs completed</w:t>
            </w:r>
          </w:p>
        </w:tc>
      </w:tr>
      <w:tr w:rsidR="00A5369E" w:rsidRPr="000C46CD" w14:paraId="0956642E" w14:textId="77777777">
        <w:tc>
          <w:tcPr>
            <w:tcW w:w="2160" w:type="dxa"/>
          </w:tcPr>
          <w:p w14:paraId="539BCCB4" w14:textId="77777777" w:rsidR="00A5369E" w:rsidRPr="000C46CD" w:rsidRDefault="00000000">
            <w:pPr>
              <w:spacing w:line="360" w:lineRule="auto"/>
            </w:pPr>
            <w:r w:rsidRPr="000C46CD">
              <w:t>Operational</w:t>
            </w:r>
          </w:p>
        </w:tc>
        <w:tc>
          <w:tcPr>
            <w:tcW w:w="2160" w:type="dxa"/>
          </w:tcPr>
          <w:p w14:paraId="1B08E50B" w14:textId="77777777" w:rsidR="00A5369E" w:rsidRPr="000C46CD" w:rsidRDefault="00000000">
            <w:pPr>
              <w:spacing w:line="360" w:lineRule="auto"/>
            </w:pPr>
            <w:r w:rsidRPr="000C46CD">
              <w:t>Vendor Risk Office</w:t>
            </w:r>
          </w:p>
        </w:tc>
        <w:tc>
          <w:tcPr>
            <w:tcW w:w="2160" w:type="dxa"/>
          </w:tcPr>
          <w:p w14:paraId="3F478DB2" w14:textId="77777777" w:rsidR="00A5369E" w:rsidRPr="000C46CD" w:rsidRDefault="00000000">
            <w:pPr>
              <w:spacing w:line="360" w:lineRule="auto"/>
            </w:pPr>
            <w:r w:rsidRPr="000C46CD">
              <w:t>Third-party governance</w:t>
            </w:r>
          </w:p>
        </w:tc>
        <w:tc>
          <w:tcPr>
            <w:tcW w:w="2160" w:type="dxa"/>
          </w:tcPr>
          <w:p w14:paraId="3713B012" w14:textId="77777777" w:rsidR="00A5369E" w:rsidRPr="000C46CD" w:rsidRDefault="00000000">
            <w:pPr>
              <w:spacing w:line="360" w:lineRule="auto"/>
            </w:pPr>
            <w:r w:rsidRPr="000C46CD">
              <w:t>% Tier 1 vendors audited</w:t>
            </w:r>
          </w:p>
        </w:tc>
      </w:tr>
    </w:tbl>
    <w:p w14:paraId="524DF0AE" w14:textId="77777777" w:rsidR="00A5369E" w:rsidRPr="000C46CD" w:rsidRDefault="00000000">
      <w:pPr>
        <w:pStyle w:val="Heading2"/>
      </w:pPr>
      <w:bookmarkStart w:id="11" w:name="_9m1w05nqz6gx" w:colFirst="0" w:colLast="0"/>
      <w:bookmarkEnd w:id="11"/>
      <w:r w:rsidRPr="000C46CD">
        <w:t>4.2 Compliance: Laws and Ethics</w:t>
      </w:r>
    </w:p>
    <w:p w14:paraId="1317375A" w14:textId="77777777" w:rsidR="00A5369E" w:rsidRPr="000C46CD" w:rsidRDefault="00000000">
      <w:pPr>
        <w:ind w:firstLine="720"/>
      </w:pPr>
      <w:r w:rsidRPr="000C46CD">
        <w:t>ALL's risk of being non-compliant is dictated by the type of data processing that it engages in rather than by its size as a business, with the need for compliance being conditional. The UK GDPR/DPA 2018 and the EU GDPR stipulate that a Data Protection Officer (DPO) is needed only when the entity deals with large-scale systematic monitoring of individuals or large-scale processing of personal data from sensitive categories [11]. Due to the IoT tracking that ALL undertakes as well as its processing of PII data, the recommendation for appointing a DPO is given, even if its use is not being mandated by law. Likewise, Data Protection Impact Assessment (DPIA) is obligatory only in relation to processing likely to cause a high risk to the individuals [11], which may be true for ALL regarding its AI-driven technologies, but each particular activity should be reviewed individually. Non-compliance with GDPR may lead to penalties of up to £17.5 million or €20 million or 4% of the total turnover of the business [13].</w:t>
      </w:r>
    </w:p>
    <w:p w14:paraId="7CB33FFF" w14:textId="77777777" w:rsidR="00A5369E" w:rsidRPr="000C46CD" w:rsidRDefault="00000000">
      <w:pPr>
        <w:ind w:firstLine="720"/>
      </w:pPr>
      <w:r w:rsidRPr="000C46CD">
        <w:t>Where ALL's digital infrastructure or logistics operations meet NIS2's sector and size thresholds, it may be classified as an “essential” or “important” entity, triggering risk-management, incident-reporting and board-accountability obligations, with penalties differentiated by classification (up to €10m/2% turnover for important entities; higher for essential entities) [15]; applicability requires a formal threshold review rather than assumption. ALL’s AI-driven logistics analytics should likewise not be presumed “high-risk” under the EU AI Act (Regulation (EU) 2024/1689); classification depends on matching the specific use case against Annex III criteria, and a documented AI-system classification exercise is recommended before compliance obligations are scoped [12].</w:t>
      </w:r>
    </w:p>
    <w:p w14:paraId="03AB24B5" w14:textId="77777777" w:rsidR="00A5369E" w:rsidRPr="000C46CD" w:rsidRDefault="00000000">
      <w:pPr>
        <w:ind w:firstLine="720"/>
      </w:pPr>
      <w:r w:rsidRPr="000C46CD">
        <w:t>Ethically, the (ISC)² Code of Ethics and the Computer Ethics Institute's principles provide a professional baseline emphasising honesty, competence and respect for data subjects. Legal compliance (the “floor”) should be distinguished from ethical stewardship (the “ceiling”), particularly regarding AI-driven customer profiling and any future data-monetisation decisions.</w:t>
      </w:r>
    </w:p>
    <w:p w14:paraId="57ABEC06" w14:textId="77777777" w:rsidR="00A5369E" w:rsidRPr="000C46CD" w:rsidRDefault="00000000">
      <w:pPr>
        <w:pStyle w:val="Heading2"/>
      </w:pPr>
      <w:bookmarkStart w:id="12" w:name="_8krxw6rbogdt" w:colFirst="0" w:colLast="0"/>
      <w:bookmarkEnd w:id="12"/>
      <w:r w:rsidRPr="000C46CD">
        <w:lastRenderedPageBreak/>
        <w:t>4.3 Security Policies and Procedures</w:t>
      </w:r>
    </w:p>
    <w:p w14:paraId="798A8BD3" w14:textId="77777777" w:rsidR="00A5369E" w:rsidRPr="000C46CD" w:rsidRDefault="00000000">
      <w:pPr>
        <w:ind w:firstLine="720"/>
      </w:pPr>
      <w:r w:rsidRPr="000C46CD">
        <w:t>A tiered architecture is proposed: (1) a Board-approved Information Security Policy; (2) domain standards for access control, encryption, acceptable use and vendor security; (3) operational procedures. Unmanaged remote devices should be brought under Mobile Device Management and an Acceptable Use Policy before network access is granted.</w:t>
      </w:r>
    </w:p>
    <w:p w14:paraId="53232233" w14:textId="77777777" w:rsidR="00A5369E" w:rsidRPr="000C46CD" w:rsidRDefault="00000000">
      <w:pPr>
        <w:pStyle w:val="Heading2"/>
      </w:pPr>
      <w:bookmarkStart w:id="13" w:name="_3h1w8zknoi5k" w:colFirst="0" w:colLast="0"/>
      <w:bookmarkEnd w:id="13"/>
      <w:r w:rsidRPr="000C46CD">
        <w:t>4.4 Risk Management and Assessment</w:t>
      </w:r>
    </w:p>
    <w:p w14:paraId="05E3E4CF" w14:textId="77777777" w:rsidR="00A5369E" w:rsidRPr="000C46CD" w:rsidRDefault="00000000">
      <w:r w:rsidRPr="000C46CD">
        <w:t>Using the NIST-aligned risk process, ALL should build a risk register from a Threats-Vulnerabilities-Assets worksheet, scoring risk as Likelihood x Impact [10].</w:t>
      </w:r>
    </w:p>
    <w:p w14:paraId="12CD8A5B" w14:textId="77777777" w:rsidR="00A5369E" w:rsidRPr="000C46CD" w:rsidRDefault="00000000">
      <w:pPr>
        <w:rPr>
          <w:i/>
          <w:iCs/>
        </w:rPr>
      </w:pPr>
      <w:r w:rsidRPr="000C46CD">
        <w:rPr>
          <w:i/>
          <w:iCs/>
        </w:rPr>
        <w:t>Table 3: ALL Risk Management Register (Source: Self-Illustrated)</w:t>
      </w:r>
    </w:p>
    <w:tbl>
      <w:tblPr>
        <w:tblStyle w:val="a1"/>
        <w:tblW w:w="10410" w:type="dxa"/>
        <w:tblInd w:w="-8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00"/>
        <w:gridCol w:w="885"/>
        <w:gridCol w:w="705"/>
        <w:gridCol w:w="450"/>
        <w:gridCol w:w="480"/>
        <w:gridCol w:w="345"/>
        <w:gridCol w:w="375"/>
        <w:gridCol w:w="540"/>
        <w:gridCol w:w="525"/>
        <w:gridCol w:w="735"/>
        <w:gridCol w:w="705"/>
        <w:gridCol w:w="660"/>
        <w:gridCol w:w="585"/>
        <w:gridCol w:w="420"/>
        <w:gridCol w:w="330"/>
        <w:gridCol w:w="570"/>
        <w:gridCol w:w="750"/>
        <w:gridCol w:w="750"/>
      </w:tblGrid>
      <w:tr w:rsidR="00A5369E" w:rsidRPr="000C46CD" w14:paraId="3C878434" w14:textId="77777777">
        <w:tc>
          <w:tcPr>
            <w:tcW w:w="600" w:type="dxa"/>
            <w:shd w:val="clear" w:color="auto" w:fill="EAD1DC"/>
          </w:tcPr>
          <w:p w14:paraId="72417E87" w14:textId="77777777" w:rsidR="00A5369E" w:rsidRPr="000C46CD" w:rsidRDefault="00000000">
            <w:pPr>
              <w:spacing w:line="360" w:lineRule="auto"/>
            </w:pPr>
            <w:r w:rsidRPr="000C46CD">
              <w:t>ID</w:t>
            </w:r>
          </w:p>
        </w:tc>
        <w:tc>
          <w:tcPr>
            <w:tcW w:w="885" w:type="dxa"/>
            <w:shd w:val="clear" w:color="auto" w:fill="EAD1DC"/>
          </w:tcPr>
          <w:p w14:paraId="559FE718" w14:textId="77777777" w:rsidR="00A5369E" w:rsidRPr="000C46CD" w:rsidRDefault="00000000">
            <w:pPr>
              <w:spacing w:line="360" w:lineRule="auto"/>
            </w:pPr>
            <w:r w:rsidRPr="000C46CD">
              <w:t>Hazard</w:t>
            </w:r>
          </w:p>
        </w:tc>
        <w:tc>
          <w:tcPr>
            <w:tcW w:w="705" w:type="dxa"/>
            <w:shd w:val="clear" w:color="auto" w:fill="EAD1DC"/>
          </w:tcPr>
          <w:p w14:paraId="72716CD7" w14:textId="77777777" w:rsidR="00A5369E" w:rsidRPr="000C46CD" w:rsidRDefault="00000000">
            <w:pPr>
              <w:spacing w:line="360" w:lineRule="auto"/>
            </w:pPr>
            <w:r w:rsidRPr="000C46CD">
              <w:t>At Risk</w:t>
            </w:r>
          </w:p>
        </w:tc>
        <w:tc>
          <w:tcPr>
            <w:tcW w:w="450" w:type="dxa"/>
            <w:shd w:val="clear" w:color="auto" w:fill="EAD1DC"/>
          </w:tcPr>
          <w:p w14:paraId="04696E3E" w14:textId="77777777" w:rsidR="00A5369E" w:rsidRPr="000C46CD" w:rsidRDefault="00000000">
            <w:pPr>
              <w:spacing w:line="360" w:lineRule="auto"/>
            </w:pPr>
            <w:r w:rsidRPr="000C46CD">
              <w:t>Category</w:t>
            </w:r>
          </w:p>
        </w:tc>
        <w:tc>
          <w:tcPr>
            <w:tcW w:w="480" w:type="dxa"/>
            <w:shd w:val="clear" w:color="auto" w:fill="EAD1DC"/>
          </w:tcPr>
          <w:p w14:paraId="5BB6F6FF" w14:textId="77777777" w:rsidR="00A5369E" w:rsidRPr="000C46CD" w:rsidRDefault="00000000">
            <w:pPr>
              <w:spacing w:line="360" w:lineRule="auto"/>
            </w:pPr>
            <w:r w:rsidRPr="000C46CD">
              <w:t>Sub-Cat</w:t>
            </w:r>
          </w:p>
        </w:tc>
        <w:tc>
          <w:tcPr>
            <w:tcW w:w="345" w:type="dxa"/>
            <w:shd w:val="clear" w:color="auto" w:fill="EAD1DC"/>
          </w:tcPr>
          <w:p w14:paraId="152E7080" w14:textId="77777777" w:rsidR="00A5369E" w:rsidRPr="000C46CD" w:rsidRDefault="00000000">
            <w:pPr>
              <w:spacing w:line="360" w:lineRule="auto"/>
            </w:pPr>
            <w:r w:rsidRPr="000C46CD">
              <w:t>L</w:t>
            </w:r>
          </w:p>
        </w:tc>
        <w:tc>
          <w:tcPr>
            <w:tcW w:w="375" w:type="dxa"/>
            <w:shd w:val="clear" w:color="auto" w:fill="EAD1DC"/>
          </w:tcPr>
          <w:p w14:paraId="319EAC80" w14:textId="77777777" w:rsidR="00A5369E" w:rsidRPr="000C46CD" w:rsidRDefault="00000000">
            <w:pPr>
              <w:spacing w:line="360" w:lineRule="auto"/>
            </w:pPr>
            <w:r w:rsidRPr="000C46CD">
              <w:t>S</w:t>
            </w:r>
          </w:p>
        </w:tc>
        <w:tc>
          <w:tcPr>
            <w:tcW w:w="540" w:type="dxa"/>
            <w:shd w:val="clear" w:color="auto" w:fill="EAD1DC"/>
          </w:tcPr>
          <w:p w14:paraId="2F4C87B6" w14:textId="77777777" w:rsidR="00A5369E" w:rsidRPr="000C46CD" w:rsidRDefault="00000000">
            <w:pPr>
              <w:spacing w:line="360" w:lineRule="auto"/>
            </w:pPr>
            <w:r w:rsidRPr="000C46CD">
              <w:t>Score</w:t>
            </w:r>
          </w:p>
        </w:tc>
        <w:tc>
          <w:tcPr>
            <w:tcW w:w="525" w:type="dxa"/>
            <w:shd w:val="clear" w:color="auto" w:fill="EAD1DC"/>
          </w:tcPr>
          <w:p w14:paraId="25FF2976" w14:textId="77777777" w:rsidR="00A5369E" w:rsidRPr="000C46CD" w:rsidRDefault="00000000">
            <w:pPr>
              <w:spacing w:line="360" w:lineRule="auto"/>
            </w:pPr>
            <w:r w:rsidRPr="000C46CD">
              <w:t>Level</w:t>
            </w:r>
          </w:p>
        </w:tc>
        <w:tc>
          <w:tcPr>
            <w:tcW w:w="735" w:type="dxa"/>
            <w:shd w:val="clear" w:color="auto" w:fill="EAD1DC"/>
          </w:tcPr>
          <w:p w14:paraId="48E64D43" w14:textId="77777777" w:rsidR="00A5369E" w:rsidRPr="000C46CD" w:rsidRDefault="00000000">
            <w:pPr>
              <w:spacing w:line="360" w:lineRule="auto"/>
            </w:pPr>
            <w:r w:rsidRPr="000C46CD">
              <w:t>Existing Controls</w:t>
            </w:r>
          </w:p>
        </w:tc>
        <w:tc>
          <w:tcPr>
            <w:tcW w:w="705" w:type="dxa"/>
            <w:shd w:val="clear" w:color="auto" w:fill="EAD1DC"/>
          </w:tcPr>
          <w:p w14:paraId="462EE26C" w14:textId="77777777" w:rsidR="00A5369E" w:rsidRPr="000C46CD" w:rsidRDefault="00000000">
            <w:pPr>
              <w:spacing w:line="360" w:lineRule="auto"/>
            </w:pPr>
            <w:r w:rsidRPr="000C46CD">
              <w:t>Additional Controls</w:t>
            </w:r>
          </w:p>
        </w:tc>
        <w:tc>
          <w:tcPr>
            <w:tcW w:w="660" w:type="dxa"/>
            <w:shd w:val="clear" w:color="auto" w:fill="EAD1DC"/>
          </w:tcPr>
          <w:p w14:paraId="0FB13655" w14:textId="77777777" w:rsidR="00A5369E" w:rsidRPr="000C46CD" w:rsidRDefault="00000000">
            <w:pPr>
              <w:spacing w:line="360" w:lineRule="auto"/>
            </w:pPr>
            <w:r w:rsidRPr="000C46CD">
              <w:t>Owner</w:t>
            </w:r>
          </w:p>
        </w:tc>
        <w:tc>
          <w:tcPr>
            <w:tcW w:w="585" w:type="dxa"/>
            <w:shd w:val="clear" w:color="auto" w:fill="EAD1DC"/>
          </w:tcPr>
          <w:p w14:paraId="1C7E2057" w14:textId="77777777" w:rsidR="00A5369E" w:rsidRPr="000C46CD" w:rsidRDefault="00000000">
            <w:pPr>
              <w:spacing w:line="360" w:lineRule="auto"/>
            </w:pPr>
            <w:r w:rsidRPr="000C46CD">
              <w:t>Target</w:t>
            </w:r>
          </w:p>
        </w:tc>
        <w:tc>
          <w:tcPr>
            <w:tcW w:w="420" w:type="dxa"/>
            <w:shd w:val="clear" w:color="auto" w:fill="EAD1DC"/>
          </w:tcPr>
          <w:p w14:paraId="2DAB6BB2" w14:textId="77777777" w:rsidR="00A5369E" w:rsidRPr="000C46CD" w:rsidRDefault="00000000">
            <w:pPr>
              <w:spacing w:line="360" w:lineRule="auto"/>
            </w:pPr>
            <w:r w:rsidRPr="000C46CD">
              <w:t>Res. L</w:t>
            </w:r>
          </w:p>
        </w:tc>
        <w:tc>
          <w:tcPr>
            <w:tcW w:w="330" w:type="dxa"/>
            <w:shd w:val="clear" w:color="auto" w:fill="EAD1DC"/>
          </w:tcPr>
          <w:p w14:paraId="244F4716" w14:textId="77777777" w:rsidR="00A5369E" w:rsidRPr="000C46CD" w:rsidRDefault="00000000">
            <w:pPr>
              <w:spacing w:line="360" w:lineRule="auto"/>
            </w:pPr>
            <w:r w:rsidRPr="000C46CD">
              <w:t>Res. S</w:t>
            </w:r>
          </w:p>
        </w:tc>
        <w:tc>
          <w:tcPr>
            <w:tcW w:w="570" w:type="dxa"/>
            <w:shd w:val="clear" w:color="auto" w:fill="EAD1DC"/>
          </w:tcPr>
          <w:p w14:paraId="1066CC0B" w14:textId="77777777" w:rsidR="00A5369E" w:rsidRPr="000C46CD" w:rsidRDefault="00000000">
            <w:pPr>
              <w:spacing w:line="360" w:lineRule="auto"/>
            </w:pPr>
            <w:r w:rsidRPr="000C46CD">
              <w:t>Res. Score</w:t>
            </w:r>
          </w:p>
        </w:tc>
        <w:tc>
          <w:tcPr>
            <w:tcW w:w="750" w:type="dxa"/>
            <w:shd w:val="clear" w:color="auto" w:fill="EAD1DC"/>
          </w:tcPr>
          <w:p w14:paraId="52AE8C8D" w14:textId="77777777" w:rsidR="00A5369E" w:rsidRPr="000C46CD" w:rsidRDefault="00000000">
            <w:pPr>
              <w:spacing w:line="360" w:lineRule="auto"/>
            </w:pPr>
            <w:r w:rsidRPr="000C46CD">
              <w:t>Res. Level</w:t>
            </w:r>
          </w:p>
        </w:tc>
        <w:tc>
          <w:tcPr>
            <w:tcW w:w="750" w:type="dxa"/>
            <w:shd w:val="clear" w:color="auto" w:fill="EAD1DC"/>
          </w:tcPr>
          <w:p w14:paraId="0D52CCCD" w14:textId="77777777" w:rsidR="00A5369E" w:rsidRPr="000C46CD" w:rsidRDefault="00000000">
            <w:pPr>
              <w:spacing w:line="360" w:lineRule="auto"/>
            </w:pPr>
            <w:r w:rsidRPr="000C46CD">
              <w:t>Status</w:t>
            </w:r>
          </w:p>
        </w:tc>
      </w:tr>
      <w:tr w:rsidR="00A5369E" w:rsidRPr="000C46CD" w14:paraId="0A7FE5CC" w14:textId="77777777">
        <w:tc>
          <w:tcPr>
            <w:tcW w:w="600" w:type="dxa"/>
          </w:tcPr>
          <w:p w14:paraId="35E78D6B" w14:textId="77777777" w:rsidR="00A5369E" w:rsidRPr="000C46CD" w:rsidRDefault="00000000">
            <w:pPr>
              <w:spacing w:line="360" w:lineRule="auto"/>
            </w:pPr>
            <w:r w:rsidRPr="000C46CD">
              <w:t>R01</w:t>
            </w:r>
          </w:p>
        </w:tc>
        <w:tc>
          <w:tcPr>
            <w:tcW w:w="885" w:type="dxa"/>
          </w:tcPr>
          <w:p w14:paraId="0F290323" w14:textId="77777777" w:rsidR="00A5369E" w:rsidRPr="000C46CD" w:rsidRDefault="00000000">
            <w:pPr>
              <w:spacing w:line="360" w:lineRule="auto"/>
            </w:pPr>
            <w:r w:rsidRPr="000C46CD">
              <w:t>Unauthorised access to shipment data via unmanaged devices</w:t>
            </w:r>
          </w:p>
        </w:tc>
        <w:tc>
          <w:tcPr>
            <w:tcW w:w="705" w:type="dxa"/>
          </w:tcPr>
          <w:p w14:paraId="336A1136" w14:textId="77777777" w:rsidR="00A5369E" w:rsidRPr="000C46CD" w:rsidRDefault="00000000">
            <w:pPr>
              <w:spacing w:line="360" w:lineRule="auto"/>
            </w:pPr>
            <w:r w:rsidRPr="000C46CD">
              <w:t>Customers; ALL</w:t>
            </w:r>
          </w:p>
        </w:tc>
        <w:tc>
          <w:tcPr>
            <w:tcW w:w="450" w:type="dxa"/>
          </w:tcPr>
          <w:p w14:paraId="072300A3" w14:textId="77777777" w:rsidR="00A5369E" w:rsidRPr="000C46CD" w:rsidRDefault="00000000">
            <w:pPr>
              <w:spacing w:line="360" w:lineRule="auto"/>
            </w:pPr>
            <w:r w:rsidRPr="000C46CD">
              <w:t>Cyber &amp; Tech</w:t>
            </w:r>
          </w:p>
        </w:tc>
        <w:tc>
          <w:tcPr>
            <w:tcW w:w="480" w:type="dxa"/>
          </w:tcPr>
          <w:p w14:paraId="64DC33A5" w14:textId="77777777" w:rsidR="00A5369E" w:rsidRPr="000C46CD" w:rsidRDefault="00000000">
            <w:pPr>
              <w:spacing w:line="360" w:lineRule="auto"/>
            </w:pPr>
            <w:r w:rsidRPr="000C46CD">
              <w:t>Cyber Security</w:t>
            </w:r>
          </w:p>
        </w:tc>
        <w:tc>
          <w:tcPr>
            <w:tcW w:w="345" w:type="dxa"/>
          </w:tcPr>
          <w:p w14:paraId="6EB63740" w14:textId="77777777" w:rsidR="00A5369E" w:rsidRPr="000C46CD" w:rsidRDefault="00000000">
            <w:pPr>
              <w:spacing w:line="360" w:lineRule="auto"/>
            </w:pPr>
            <w:r w:rsidRPr="000C46CD">
              <w:t>4</w:t>
            </w:r>
          </w:p>
        </w:tc>
        <w:tc>
          <w:tcPr>
            <w:tcW w:w="375" w:type="dxa"/>
          </w:tcPr>
          <w:p w14:paraId="5F728B2F" w14:textId="77777777" w:rsidR="00A5369E" w:rsidRPr="000C46CD" w:rsidRDefault="00000000">
            <w:pPr>
              <w:spacing w:line="360" w:lineRule="auto"/>
            </w:pPr>
            <w:r w:rsidRPr="000C46CD">
              <w:t>5</w:t>
            </w:r>
          </w:p>
        </w:tc>
        <w:tc>
          <w:tcPr>
            <w:tcW w:w="540" w:type="dxa"/>
          </w:tcPr>
          <w:p w14:paraId="48526A82" w14:textId="77777777" w:rsidR="00A5369E" w:rsidRPr="000C46CD" w:rsidRDefault="00000000">
            <w:pPr>
              <w:spacing w:line="360" w:lineRule="auto"/>
            </w:pPr>
            <w:r w:rsidRPr="000C46CD">
              <w:t>20</w:t>
            </w:r>
          </w:p>
        </w:tc>
        <w:tc>
          <w:tcPr>
            <w:tcW w:w="525" w:type="dxa"/>
          </w:tcPr>
          <w:p w14:paraId="1CCCCE4D" w14:textId="77777777" w:rsidR="00A5369E" w:rsidRPr="000C46CD" w:rsidRDefault="00000000">
            <w:pPr>
              <w:spacing w:line="360" w:lineRule="auto"/>
            </w:pPr>
            <w:r w:rsidRPr="000C46CD">
              <w:t>Critical</w:t>
            </w:r>
          </w:p>
        </w:tc>
        <w:tc>
          <w:tcPr>
            <w:tcW w:w="735" w:type="dxa"/>
          </w:tcPr>
          <w:p w14:paraId="781327FA" w14:textId="77777777" w:rsidR="00A5369E" w:rsidRPr="000C46CD" w:rsidRDefault="00000000">
            <w:pPr>
              <w:spacing w:line="360" w:lineRule="auto"/>
            </w:pPr>
            <w:r w:rsidRPr="000C46CD">
              <w:t>Password-only remote access</w:t>
            </w:r>
          </w:p>
        </w:tc>
        <w:tc>
          <w:tcPr>
            <w:tcW w:w="705" w:type="dxa"/>
          </w:tcPr>
          <w:p w14:paraId="11F19104" w14:textId="77777777" w:rsidR="00A5369E" w:rsidRPr="000C46CD" w:rsidRDefault="00000000">
            <w:pPr>
              <w:spacing w:line="360" w:lineRule="auto"/>
            </w:pPr>
            <w:r w:rsidRPr="000C46CD">
              <w:t>Zero Trust (NIST SP 800-207); MFA; MDM</w:t>
            </w:r>
          </w:p>
        </w:tc>
        <w:tc>
          <w:tcPr>
            <w:tcW w:w="660" w:type="dxa"/>
          </w:tcPr>
          <w:p w14:paraId="7B550F35" w14:textId="77777777" w:rsidR="00A5369E" w:rsidRPr="000C46CD" w:rsidRDefault="00000000">
            <w:pPr>
              <w:spacing w:line="360" w:lineRule="auto"/>
            </w:pPr>
            <w:r w:rsidRPr="000C46CD">
              <w:t>CISO/IT Lead</w:t>
            </w:r>
          </w:p>
        </w:tc>
        <w:tc>
          <w:tcPr>
            <w:tcW w:w="585" w:type="dxa"/>
          </w:tcPr>
          <w:p w14:paraId="09354C68" w14:textId="77777777" w:rsidR="00A5369E" w:rsidRPr="000C46CD" w:rsidRDefault="00000000">
            <w:pPr>
              <w:spacing w:line="360" w:lineRule="auto"/>
            </w:pPr>
            <w:r w:rsidRPr="000C46CD">
              <w:t>+6mo</w:t>
            </w:r>
          </w:p>
        </w:tc>
        <w:tc>
          <w:tcPr>
            <w:tcW w:w="420" w:type="dxa"/>
          </w:tcPr>
          <w:p w14:paraId="5CC0F7D6" w14:textId="77777777" w:rsidR="00A5369E" w:rsidRPr="000C46CD" w:rsidRDefault="00000000">
            <w:pPr>
              <w:spacing w:line="360" w:lineRule="auto"/>
            </w:pPr>
            <w:r w:rsidRPr="000C46CD">
              <w:t>2</w:t>
            </w:r>
          </w:p>
        </w:tc>
        <w:tc>
          <w:tcPr>
            <w:tcW w:w="330" w:type="dxa"/>
          </w:tcPr>
          <w:p w14:paraId="71F0C693" w14:textId="77777777" w:rsidR="00A5369E" w:rsidRPr="000C46CD" w:rsidRDefault="00000000">
            <w:pPr>
              <w:spacing w:line="360" w:lineRule="auto"/>
            </w:pPr>
            <w:r w:rsidRPr="000C46CD">
              <w:t>5</w:t>
            </w:r>
          </w:p>
        </w:tc>
        <w:tc>
          <w:tcPr>
            <w:tcW w:w="570" w:type="dxa"/>
          </w:tcPr>
          <w:p w14:paraId="3CFEDC94" w14:textId="77777777" w:rsidR="00A5369E" w:rsidRPr="000C46CD" w:rsidRDefault="00000000">
            <w:pPr>
              <w:spacing w:line="360" w:lineRule="auto"/>
            </w:pPr>
            <w:r w:rsidRPr="000C46CD">
              <w:t>10</w:t>
            </w:r>
          </w:p>
        </w:tc>
        <w:tc>
          <w:tcPr>
            <w:tcW w:w="750" w:type="dxa"/>
          </w:tcPr>
          <w:p w14:paraId="1860F841" w14:textId="77777777" w:rsidR="00A5369E" w:rsidRPr="000C46CD" w:rsidRDefault="00000000">
            <w:pPr>
              <w:spacing w:line="360" w:lineRule="auto"/>
            </w:pPr>
            <w:r w:rsidRPr="000C46CD">
              <w:t>High</w:t>
            </w:r>
          </w:p>
        </w:tc>
        <w:tc>
          <w:tcPr>
            <w:tcW w:w="750" w:type="dxa"/>
          </w:tcPr>
          <w:p w14:paraId="5B208AF6" w14:textId="77777777" w:rsidR="00A5369E" w:rsidRPr="000C46CD" w:rsidRDefault="00000000">
            <w:pPr>
              <w:spacing w:line="360" w:lineRule="auto"/>
            </w:pPr>
            <w:r w:rsidRPr="000C46CD">
              <w:t>Open</w:t>
            </w:r>
          </w:p>
        </w:tc>
      </w:tr>
      <w:tr w:rsidR="00A5369E" w:rsidRPr="000C46CD" w14:paraId="0A267534" w14:textId="77777777">
        <w:tc>
          <w:tcPr>
            <w:tcW w:w="600" w:type="dxa"/>
          </w:tcPr>
          <w:p w14:paraId="679F8232" w14:textId="77777777" w:rsidR="00A5369E" w:rsidRPr="000C46CD" w:rsidRDefault="00000000">
            <w:pPr>
              <w:spacing w:line="360" w:lineRule="auto"/>
            </w:pPr>
            <w:r w:rsidRPr="000C46CD">
              <w:t>R02</w:t>
            </w:r>
          </w:p>
        </w:tc>
        <w:tc>
          <w:tcPr>
            <w:tcW w:w="885" w:type="dxa"/>
          </w:tcPr>
          <w:p w14:paraId="6D52B61E" w14:textId="77777777" w:rsidR="00A5369E" w:rsidRPr="000C46CD" w:rsidRDefault="00000000">
            <w:pPr>
              <w:spacing w:line="360" w:lineRule="auto"/>
            </w:pPr>
            <w:r w:rsidRPr="000C46CD">
              <w:t>Weak IoT sensor authenticatio</w:t>
            </w:r>
            <w:r w:rsidRPr="000C46CD">
              <w:lastRenderedPageBreak/>
              <w:t>n exploited</w:t>
            </w:r>
          </w:p>
        </w:tc>
        <w:tc>
          <w:tcPr>
            <w:tcW w:w="705" w:type="dxa"/>
          </w:tcPr>
          <w:p w14:paraId="192183B4" w14:textId="77777777" w:rsidR="00A5369E" w:rsidRPr="000C46CD" w:rsidRDefault="00000000">
            <w:pPr>
              <w:spacing w:line="360" w:lineRule="auto"/>
            </w:pPr>
            <w:r w:rsidRPr="000C46CD">
              <w:lastRenderedPageBreak/>
              <w:t>ALL; partners</w:t>
            </w:r>
          </w:p>
        </w:tc>
        <w:tc>
          <w:tcPr>
            <w:tcW w:w="450" w:type="dxa"/>
          </w:tcPr>
          <w:p w14:paraId="35C64BF6" w14:textId="77777777" w:rsidR="00A5369E" w:rsidRPr="000C46CD" w:rsidRDefault="00000000">
            <w:pPr>
              <w:spacing w:line="360" w:lineRule="auto"/>
            </w:pPr>
            <w:r w:rsidRPr="000C46CD">
              <w:t xml:space="preserve">Cyber &amp; </w:t>
            </w:r>
            <w:r w:rsidRPr="000C46CD">
              <w:lastRenderedPageBreak/>
              <w:t>Tech</w:t>
            </w:r>
          </w:p>
        </w:tc>
        <w:tc>
          <w:tcPr>
            <w:tcW w:w="480" w:type="dxa"/>
          </w:tcPr>
          <w:p w14:paraId="135CDF5B" w14:textId="77777777" w:rsidR="00A5369E" w:rsidRPr="000C46CD" w:rsidRDefault="00000000">
            <w:pPr>
              <w:spacing w:line="360" w:lineRule="auto"/>
            </w:pPr>
            <w:r w:rsidRPr="000C46CD">
              <w:lastRenderedPageBreak/>
              <w:t>System Fa</w:t>
            </w:r>
            <w:r w:rsidRPr="000C46CD">
              <w:lastRenderedPageBreak/>
              <w:t>ilure</w:t>
            </w:r>
          </w:p>
        </w:tc>
        <w:tc>
          <w:tcPr>
            <w:tcW w:w="345" w:type="dxa"/>
          </w:tcPr>
          <w:p w14:paraId="6CF1685E" w14:textId="77777777" w:rsidR="00A5369E" w:rsidRPr="000C46CD" w:rsidRDefault="00000000">
            <w:pPr>
              <w:spacing w:line="360" w:lineRule="auto"/>
            </w:pPr>
            <w:r w:rsidRPr="000C46CD">
              <w:lastRenderedPageBreak/>
              <w:t>4</w:t>
            </w:r>
          </w:p>
        </w:tc>
        <w:tc>
          <w:tcPr>
            <w:tcW w:w="375" w:type="dxa"/>
          </w:tcPr>
          <w:p w14:paraId="043DD4D7" w14:textId="77777777" w:rsidR="00A5369E" w:rsidRPr="000C46CD" w:rsidRDefault="00000000">
            <w:pPr>
              <w:spacing w:line="360" w:lineRule="auto"/>
            </w:pPr>
            <w:r w:rsidRPr="000C46CD">
              <w:t>3</w:t>
            </w:r>
          </w:p>
        </w:tc>
        <w:tc>
          <w:tcPr>
            <w:tcW w:w="540" w:type="dxa"/>
          </w:tcPr>
          <w:p w14:paraId="531AE4CA" w14:textId="77777777" w:rsidR="00A5369E" w:rsidRPr="000C46CD" w:rsidRDefault="00000000">
            <w:pPr>
              <w:spacing w:line="360" w:lineRule="auto"/>
            </w:pPr>
            <w:r w:rsidRPr="000C46CD">
              <w:t>12</w:t>
            </w:r>
          </w:p>
        </w:tc>
        <w:tc>
          <w:tcPr>
            <w:tcW w:w="525" w:type="dxa"/>
          </w:tcPr>
          <w:p w14:paraId="49C80B6C" w14:textId="77777777" w:rsidR="00A5369E" w:rsidRPr="000C46CD" w:rsidRDefault="00000000">
            <w:pPr>
              <w:spacing w:line="360" w:lineRule="auto"/>
            </w:pPr>
            <w:r w:rsidRPr="000C46CD">
              <w:t>High</w:t>
            </w:r>
          </w:p>
        </w:tc>
        <w:tc>
          <w:tcPr>
            <w:tcW w:w="735" w:type="dxa"/>
          </w:tcPr>
          <w:p w14:paraId="1A6B199C" w14:textId="77777777" w:rsidR="00A5369E" w:rsidRPr="000C46CD" w:rsidRDefault="00000000">
            <w:pPr>
              <w:spacing w:line="360" w:lineRule="auto"/>
            </w:pPr>
            <w:r w:rsidRPr="000C46CD">
              <w:t>Default device cred</w:t>
            </w:r>
            <w:r w:rsidRPr="000C46CD">
              <w:lastRenderedPageBreak/>
              <w:t>entials</w:t>
            </w:r>
          </w:p>
        </w:tc>
        <w:tc>
          <w:tcPr>
            <w:tcW w:w="705" w:type="dxa"/>
          </w:tcPr>
          <w:p w14:paraId="19C23451" w14:textId="77777777" w:rsidR="00A5369E" w:rsidRPr="000C46CD" w:rsidRDefault="00000000">
            <w:pPr>
              <w:spacing w:line="360" w:lineRule="auto"/>
              <w:rPr>
                <w:highlight w:val="yellow"/>
              </w:rPr>
            </w:pPr>
            <w:r w:rsidRPr="000C46CD">
              <w:lastRenderedPageBreak/>
              <w:t xml:space="preserve">Cert-based auth; </w:t>
            </w:r>
            <w:r w:rsidRPr="000C46CD">
              <w:lastRenderedPageBreak/>
              <w:t xml:space="preserve">micro-segmentation </w:t>
            </w:r>
          </w:p>
        </w:tc>
        <w:tc>
          <w:tcPr>
            <w:tcW w:w="660" w:type="dxa"/>
          </w:tcPr>
          <w:p w14:paraId="4A5DB535" w14:textId="77777777" w:rsidR="00A5369E" w:rsidRPr="000C46CD" w:rsidRDefault="00000000">
            <w:pPr>
              <w:spacing w:line="360" w:lineRule="auto"/>
            </w:pPr>
            <w:r w:rsidRPr="000C46CD">
              <w:lastRenderedPageBreak/>
              <w:t>IoT Manager</w:t>
            </w:r>
          </w:p>
        </w:tc>
        <w:tc>
          <w:tcPr>
            <w:tcW w:w="585" w:type="dxa"/>
          </w:tcPr>
          <w:p w14:paraId="07FD8B6C" w14:textId="77777777" w:rsidR="00A5369E" w:rsidRPr="000C46CD" w:rsidRDefault="00000000">
            <w:pPr>
              <w:spacing w:line="360" w:lineRule="auto"/>
            </w:pPr>
            <w:r w:rsidRPr="000C46CD">
              <w:t>+9mo</w:t>
            </w:r>
          </w:p>
        </w:tc>
        <w:tc>
          <w:tcPr>
            <w:tcW w:w="420" w:type="dxa"/>
          </w:tcPr>
          <w:p w14:paraId="24DA678E" w14:textId="77777777" w:rsidR="00A5369E" w:rsidRPr="000C46CD" w:rsidRDefault="00000000">
            <w:pPr>
              <w:spacing w:line="360" w:lineRule="auto"/>
            </w:pPr>
            <w:r w:rsidRPr="000C46CD">
              <w:t>2</w:t>
            </w:r>
          </w:p>
        </w:tc>
        <w:tc>
          <w:tcPr>
            <w:tcW w:w="330" w:type="dxa"/>
          </w:tcPr>
          <w:p w14:paraId="69C38AB3" w14:textId="77777777" w:rsidR="00A5369E" w:rsidRPr="000C46CD" w:rsidRDefault="00000000">
            <w:pPr>
              <w:spacing w:line="360" w:lineRule="auto"/>
            </w:pPr>
            <w:r w:rsidRPr="000C46CD">
              <w:t>3</w:t>
            </w:r>
          </w:p>
        </w:tc>
        <w:tc>
          <w:tcPr>
            <w:tcW w:w="570" w:type="dxa"/>
          </w:tcPr>
          <w:p w14:paraId="0DACE63F" w14:textId="77777777" w:rsidR="00A5369E" w:rsidRPr="000C46CD" w:rsidRDefault="00000000">
            <w:pPr>
              <w:spacing w:line="360" w:lineRule="auto"/>
            </w:pPr>
            <w:r w:rsidRPr="000C46CD">
              <w:t>6</w:t>
            </w:r>
          </w:p>
        </w:tc>
        <w:tc>
          <w:tcPr>
            <w:tcW w:w="750" w:type="dxa"/>
          </w:tcPr>
          <w:p w14:paraId="3D09C3F9" w14:textId="77777777" w:rsidR="00A5369E" w:rsidRPr="000C46CD" w:rsidRDefault="00000000">
            <w:pPr>
              <w:spacing w:line="360" w:lineRule="auto"/>
            </w:pPr>
            <w:r w:rsidRPr="000C46CD">
              <w:t>Medium</w:t>
            </w:r>
          </w:p>
        </w:tc>
        <w:tc>
          <w:tcPr>
            <w:tcW w:w="750" w:type="dxa"/>
          </w:tcPr>
          <w:p w14:paraId="3AAFED11" w14:textId="77777777" w:rsidR="00A5369E" w:rsidRPr="000C46CD" w:rsidRDefault="00000000">
            <w:pPr>
              <w:spacing w:line="360" w:lineRule="auto"/>
            </w:pPr>
            <w:r w:rsidRPr="000C46CD">
              <w:t>Open</w:t>
            </w:r>
          </w:p>
        </w:tc>
      </w:tr>
      <w:tr w:rsidR="00A5369E" w:rsidRPr="000C46CD" w14:paraId="09A2246C" w14:textId="77777777">
        <w:tc>
          <w:tcPr>
            <w:tcW w:w="600" w:type="dxa"/>
          </w:tcPr>
          <w:p w14:paraId="006AFF12" w14:textId="77777777" w:rsidR="00A5369E" w:rsidRPr="000C46CD" w:rsidRDefault="00000000">
            <w:pPr>
              <w:spacing w:line="360" w:lineRule="auto"/>
            </w:pPr>
            <w:r w:rsidRPr="000C46CD">
              <w:t>R03</w:t>
            </w:r>
          </w:p>
        </w:tc>
        <w:tc>
          <w:tcPr>
            <w:tcW w:w="885" w:type="dxa"/>
          </w:tcPr>
          <w:p w14:paraId="23C80B57" w14:textId="77777777" w:rsidR="00A5369E" w:rsidRPr="000C46CD" w:rsidRDefault="00000000">
            <w:pPr>
              <w:spacing w:line="360" w:lineRule="auto"/>
            </w:pPr>
            <w:r w:rsidRPr="000C46CD">
              <w:t>Vendor (IaaS/SaaS) security failure exposes PII</w:t>
            </w:r>
          </w:p>
        </w:tc>
        <w:tc>
          <w:tcPr>
            <w:tcW w:w="705" w:type="dxa"/>
          </w:tcPr>
          <w:p w14:paraId="4C67CC1E" w14:textId="77777777" w:rsidR="00A5369E" w:rsidRPr="000C46CD" w:rsidRDefault="00000000">
            <w:pPr>
              <w:spacing w:line="360" w:lineRule="auto"/>
            </w:pPr>
            <w:r w:rsidRPr="000C46CD">
              <w:t>Customers; ALL</w:t>
            </w:r>
          </w:p>
        </w:tc>
        <w:tc>
          <w:tcPr>
            <w:tcW w:w="450" w:type="dxa"/>
          </w:tcPr>
          <w:p w14:paraId="450E7320" w14:textId="77777777" w:rsidR="00A5369E" w:rsidRPr="000C46CD" w:rsidRDefault="00000000">
            <w:pPr>
              <w:spacing w:line="360" w:lineRule="auto"/>
            </w:pPr>
            <w:r w:rsidRPr="000C46CD">
              <w:t>Strategic</w:t>
            </w:r>
          </w:p>
        </w:tc>
        <w:tc>
          <w:tcPr>
            <w:tcW w:w="480" w:type="dxa"/>
          </w:tcPr>
          <w:p w14:paraId="56637B13" w14:textId="77777777" w:rsidR="00A5369E" w:rsidRPr="000C46CD" w:rsidRDefault="00000000">
            <w:pPr>
              <w:spacing w:line="360" w:lineRule="auto"/>
            </w:pPr>
            <w:r w:rsidRPr="000C46CD">
              <w:t>Third Party/Vendor</w:t>
            </w:r>
          </w:p>
        </w:tc>
        <w:tc>
          <w:tcPr>
            <w:tcW w:w="345" w:type="dxa"/>
          </w:tcPr>
          <w:p w14:paraId="417569AF" w14:textId="77777777" w:rsidR="00A5369E" w:rsidRPr="000C46CD" w:rsidRDefault="00000000">
            <w:pPr>
              <w:spacing w:line="360" w:lineRule="auto"/>
            </w:pPr>
            <w:r w:rsidRPr="000C46CD">
              <w:t>3</w:t>
            </w:r>
          </w:p>
        </w:tc>
        <w:tc>
          <w:tcPr>
            <w:tcW w:w="375" w:type="dxa"/>
          </w:tcPr>
          <w:p w14:paraId="506439FC" w14:textId="77777777" w:rsidR="00A5369E" w:rsidRPr="000C46CD" w:rsidRDefault="00000000">
            <w:pPr>
              <w:spacing w:line="360" w:lineRule="auto"/>
            </w:pPr>
            <w:r w:rsidRPr="000C46CD">
              <w:t>5</w:t>
            </w:r>
          </w:p>
        </w:tc>
        <w:tc>
          <w:tcPr>
            <w:tcW w:w="540" w:type="dxa"/>
          </w:tcPr>
          <w:p w14:paraId="30116977" w14:textId="77777777" w:rsidR="00A5369E" w:rsidRPr="000C46CD" w:rsidRDefault="00000000">
            <w:pPr>
              <w:spacing w:line="360" w:lineRule="auto"/>
            </w:pPr>
            <w:r w:rsidRPr="000C46CD">
              <w:t>15</w:t>
            </w:r>
          </w:p>
        </w:tc>
        <w:tc>
          <w:tcPr>
            <w:tcW w:w="525" w:type="dxa"/>
          </w:tcPr>
          <w:p w14:paraId="2707C9CE" w14:textId="77777777" w:rsidR="00A5369E" w:rsidRPr="000C46CD" w:rsidRDefault="00000000">
            <w:pPr>
              <w:spacing w:line="360" w:lineRule="auto"/>
            </w:pPr>
            <w:r w:rsidRPr="000C46CD">
              <w:t>Critical</w:t>
            </w:r>
          </w:p>
        </w:tc>
        <w:tc>
          <w:tcPr>
            <w:tcW w:w="735" w:type="dxa"/>
          </w:tcPr>
          <w:p w14:paraId="70D5B9ED" w14:textId="77777777" w:rsidR="00A5369E" w:rsidRPr="000C46CD" w:rsidRDefault="00000000">
            <w:pPr>
              <w:spacing w:line="360" w:lineRule="auto"/>
            </w:pPr>
            <w:r w:rsidRPr="000C46CD">
              <w:t>Standard contracts, no security SLA</w:t>
            </w:r>
          </w:p>
        </w:tc>
        <w:tc>
          <w:tcPr>
            <w:tcW w:w="705" w:type="dxa"/>
          </w:tcPr>
          <w:p w14:paraId="524AADFC" w14:textId="77777777" w:rsidR="00A5369E" w:rsidRPr="000C46CD" w:rsidRDefault="00000000">
            <w:pPr>
              <w:spacing w:line="360" w:lineRule="auto"/>
            </w:pPr>
            <w:r w:rsidRPr="000C46CD">
              <w:t>Tiered due diligence; RTO/breach-notice KPIs [6]</w:t>
            </w:r>
          </w:p>
        </w:tc>
        <w:tc>
          <w:tcPr>
            <w:tcW w:w="660" w:type="dxa"/>
          </w:tcPr>
          <w:p w14:paraId="1601842D" w14:textId="77777777" w:rsidR="00A5369E" w:rsidRPr="000C46CD" w:rsidRDefault="00000000">
            <w:pPr>
              <w:spacing w:line="360" w:lineRule="auto"/>
            </w:pPr>
            <w:r w:rsidRPr="000C46CD">
              <w:t>Vendor Risk Lead</w:t>
            </w:r>
          </w:p>
        </w:tc>
        <w:tc>
          <w:tcPr>
            <w:tcW w:w="585" w:type="dxa"/>
          </w:tcPr>
          <w:p w14:paraId="53386DD7" w14:textId="77777777" w:rsidR="00A5369E" w:rsidRPr="000C46CD" w:rsidRDefault="00000000">
            <w:pPr>
              <w:spacing w:line="360" w:lineRule="auto"/>
            </w:pPr>
            <w:r w:rsidRPr="000C46CD">
              <w:t>+6mo</w:t>
            </w:r>
          </w:p>
        </w:tc>
        <w:tc>
          <w:tcPr>
            <w:tcW w:w="420" w:type="dxa"/>
          </w:tcPr>
          <w:p w14:paraId="36DAB37D" w14:textId="77777777" w:rsidR="00A5369E" w:rsidRPr="000C46CD" w:rsidRDefault="00000000">
            <w:pPr>
              <w:spacing w:line="360" w:lineRule="auto"/>
            </w:pPr>
            <w:r w:rsidRPr="000C46CD">
              <w:t>2</w:t>
            </w:r>
          </w:p>
        </w:tc>
        <w:tc>
          <w:tcPr>
            <w:tcW w:w="330" w:type="dxa"/>
          </w:tcPr>
          <w:p w14:paraId="7F2488D7" w14:textId="77777777" w:rsidR="00A5369E" w:rsidRPr="000C46CD" w:rsidRDefault="00000000">
            <w:pPr>
              <w:spacing w:line="360" w:lineRule="auto"/>
            </w:pPr>
            <w:r w:rsidRPr="000C46CD">
              <w:t>4</w:t>
            </w:r>
          </w:p>
        </w:tc>
        <w:tc>
          <w:tcPr>
            <w:tcW w:w="570" w:type="dxa"/>
          </w:tcPr>
          <w:p w14:paraId="37A2966B" w14:textId="77777777" w:rsidR="00A5369E" w:rsidRPr="000C46CD" w:rsidRDefault="00000000">
            <w:pPr>
              <w:spacing w:line="360" w:lineRule="auto"/>
            </w:pPr>
            <w:r w:rsidRPr="000C46CD">
              <w:t>8</w:t>
            </w:r>
          </w:p>
        </w:tc>
        <w:tc>
          <w:tcPr>
            <w:tcW w:w="750" w:type="dxa"/>
          </w:tcPr>
          <w:p w14:paraId="73715984" w14:textId="77777777" w:rsidR="00A5369E" w:rsidRPr="000C46CD" w:rsidRDefault="00000000">
            <w:pPr>
              <w:spacing w:line="360" w:lineRule="auto"/>
            </w:pPr>
            <w:r w:rsidRPr="000C46CD">
              <w:t>Medium</w:t>
            </w:r>
          </w:p>
        </w:tc>
        <w:tc>
          <w:tcPr>
            <w:tcW w:w="750" w:type="dxa"/>
          </w:tcPr>
          <w:p w14:paraId="5E840434" w14:textId="77777777" w:rsidR="00A5369E" w:rsidRPr="000C46CD" w:rsidRDefault="00000000">
            <w:pPr>
              <w:spacing w:line="360" w:lineRule="auto"/>
            </w:pPr>
            <w:r w:rsidRPr="000C46CD">
              <w:t>Open</w:t>
            </w:r>
          </w:p>
        </w:tc>
      </w:tr>
      <w:tr w:rsidR="00A5369E" w:rsidRPr="000C46CD" w14:paraId="272CFD4B" w14:textId="77777777">
        <w:tc>
          <w:tcPr>
            <w:tcW w:w="600" w:type="dxa"/>
          </w:tcPr>
          <w:p w14:paraId="2C5BFB6F" w14:textId="77777777" w:rsidR="00A5369E" w:rsidRPr="000C46CD" w:rsidRDefault="00000000">
            <w:pPr>
              <w:spacing w:line="360" w:lineRule="auto"/>
            </w:pPr>
            <w:r w:rsidRPr="000C46CD">
              <w:t>R04</w:t>
            </w:r>
          </w:p>
        </w:tc>
        <w:tc>
          <w:tcPr>
            <w:tcW w:w="885" w:type="dxa"/>
          </w:tcPr>
          <w:p w14:paraId="5FC98DA4" w14:textId="77777777" w:rsidR="00A5369E" w:rsidRPr="000C46CD" w:rsidRDefault="00000000">
            <w:pPr>
              <w:spacing w:line="360" w:lineRule="auto"/>
            </w:pPr>
            <w:r w:rsidRPr="000C46CD">
              <w:t>Non-compliance: inadequate DPIA process</w:t>
            </w:r>
          </w:p>
        </w:tc>
        <w:tc>
          <w:tcPr>
            <w:tcW w:w="705" w:type="dxa"/>
          </w:tcPr>
          <w:p w14:paraId="524BAEE2" w14:textId="77777777" w:rsidR="00A5369E" w:rsidRPr="000C46CD" w:rsidRDefault="00000000">
            <w:pPr>
              <w:spacing w:line="360" w:lineRule="auto"/>
            </w:pPr>
            <w:r w:rsidRPr="000C46CD">
              <w:t>ALL; data subjects</w:t>
            </w:r>
          </w:p>
        </w:tc>
        <w:tc>
          <w:tcPr>
            <w:tcW w:w="450" w:type="dxa"/>
          </w:tcPr>
          <w:p w14:paraId="3C80F9EE" w14:textId="77777777" w:rsidR="00A5369E" w:rsidRPr="000C46CD" w:rsidRDefault="00000000">
            <w:pPr>
              <w:spacing w:line="360" w:lineRule="auto"/>
            </w:pPr>
            <w:r w:rsidRPr="000C46CD">
              <w:t>Operational</w:t>
            </w:r>
          </w:p>
        </w:tc>
        <w:tc>
          <w:tcPr>
            <w:tcW w:w="480" w:type="dxa"/>
          </w:tcPr>
          <w:p w14:paraId="3B00F388" w14:textId="77777777" w:rsidR="00A5369E" w:rsidRPr="000C46CD" w:rsidRDefault="00000000">
            <w:pPr>
              <w:spacing w:line="360" w:lineRule="auto"/>
            </w:pPr>
            <w:r w:rsidRPr="000C46CD">
              <w:t>Compliance/Legal</w:t>
            </w:r>
          </w:p>
        </w:tc>
        <w:tc>
          <w:tcPr>
            <w:tcW w:w="345" w:type="dxa"/>
          </w:tcPr>
          <w:p w14:paraId="2E8B7A9B" w14:textId="77777777" w:rsidR="00A5369E" w:rsidRPr="000C46CD" w:rsidRDefault="00000000">
            <w:pPr>
              <w:spacing w:line="360" w:lineRule="auto"/>
            </w:pPr>
            <w:r w:rsidRPr="000C46CD">
              <w:t>3</w:t>
            </w:r>
          </w:p>
        </w:tc>
        <w:tc>
          <w:tcPr>
            <w:tcW w:w="375" w:type="dxa"/>
          </w:tcPr>
          <w:p w14:paraId="37EB49C0" w14:textId="77777777" w:rsidR="00A5369E" w:rsidRPr="000C46CD" w:rsidRDefault="00000000">
            <w:pPr>
              <w:spacing w:line="360" w:lineRule="auto"/>
            </w:pPr>
            <w:r w:rsidRPr="000C46CD">
              <w:t>5</w:t>
            </w:r>
          </w:p>
        </w:tc>
        <w:tc>
          <w:tcPr>
            <w:tcW w:w="540" w:type="dxa"/>
          </w:tcPr>
          <w:p w14:paraId="5879227D" w14:textId="77777777" w:rsidR="00A5369E" w:rsidRPr="000C46CD" w:rsidRDefault="00000000">
            <w:pPr>
              <w:spacing w:line="360" w:lineRule="auto"/>
            </w:pPr>
            <w:r w:rsidRPr="000C46CD">
              <w:t>15</w:t>
            </w:r>
          </w:p>
        </w:tc>
        <w:tc>
          <w:tcPr>
            <w:tcW w:w="525" w:type="dxa"/>
          </w:tcPr>
          <w:p w14:paraId="3A2D0A26" w14:textId="77777777" w:rsidR="00A5369E" w:rsidRPr="000C46CD" w:rsidRDefault="00000000">
            <w:pPr>
              <w:spacing w:line="360" w:lineRule="auto"/>
            </w:pPr>
            <w:r w:rsidRPr="000C46CD">
              <w:t>Critical</w:t>
            </w:r>
          </w:p>
        </w:tc>
        <w:tc>
          <w:tcPr>
            <w:tcW w:w="735" w:type="dxa"/>
          </w:tcPr>
          <w:p w14:paraId="6CEB2D7E" w14:textId="77777777" w:rsidR="00A5369E" w:rsidRPr="000C46CD" w:rsidRDefault="00000000">
            <w:pPr>
              <w:spacing w:line="360" w:lineRule="auto"/>
            </w:pPr>
            <w:r w:rsidRPr="000C46CD">
              <w:t>Ad hoc data handling</w:t>
            </w:r>
          </w:p>
        </w:tc>
        <w:tc>
          <w:tcPr>
            <w:tcW w:w="705" w:type="dxa"/>
          </w:tcPr>
          <w:p w14:paraId="153D24E0" w14:textId="77777777" w:rsidR="00A5369E" w:rsidRPr="000C46CD" w:rsidRDefault="00000000">
            <w:pPr>
              <w:spacing w:line="360" w:lineRule="auto"/>
            </w:pPr>
            <w:r w:rsidRPr="000C46CD">
              <w:t>Formal DPIA process; DPO scoping [11]</w:t>
            </w:r>
          </w:p>
        </w:tc>
        <w:tc>
          <w:tcPr>
            <w:tcW w:w="660" w:type="dxa"/>
          </w:tcPr>
          <w:p w14:paraId="65BC60A4" w14:textId="77777777" w:rsidR="00A5369E" w:rsidRPr="000C46CD" w:rsidRDefault="00000000">
            <w:pPr>
              <w:spacing w:line="360" w:lineRule="auto"/>
            </w:pPr>
            <w:r w:rsidRPr="000C46CD">
              <w:t>DPO (proposed)</w:t>
            </w:r>
          </w:p>
        </w:tc>
        <w:tc>
          <w:tcPr>
            <w:tcW w:w="585" w:type="dxa"/>
          </w:tcPr>
          <w:p w14:paraId="06D4676C" w14:textId="77777777" w:rsidR="00A5369E" w:rsidRPr="000C46CD" w:rsidRDefault="00000000">
            <w:pPr>
              <w:spacing w:line="360" w:lineRule="auto"/>
            </w:pPr>
            <w:r w:rsidRPr="000C46CD">
              <w:t>+3mo</w:t>
            </w:r>
          </w:p>
        </w:tc>
        <w:tc>
          <w:tcPr>
            <w:tcW w:w="420" w:type="dxa"/>
          </w:tcPr>
          <w:p w14:paraId="1D9046AB" w14:textId="77777777" w:rsidR="00A5369E" w:rsidRPr="000C46CD" w:rsidRDefault="00000000">
            <w:pPr>
              <w:spacing w:line="360" w:lineRule="auto"/>
            </w:pPr>
            <w:r w:rsidRPr="000C46CD">
              <w:t>1</w:t>
            </w:r>
          </w:p>
        </w:tc>
        <w:tc>
          <w:tcPr>
            <w:tcW w:w="330" w:type="dxa"/>
          </w:tcPr>
          <w:p w14:paraId="42F3DCF2" w14:textId="77777777" w:rsidR="00A5369E" w:rsidRPr="000C46CD" w:rsidRDefault="00000000">
            <w:pPr>
              <w:spacing w:line="360" w:lineRule="auto"/>
            </w:pPr>
            <w:r w:rsidRPr="000C46CD">
              <w:t>5</w:t>
            </w:r>
          </w:p>
        </w:tc>
        <w:tc>
          <w:tcPr>
            <w:tcW w:w="570" w:type="dxa"/>
          </w:tcPr>
          <w:p w14:paraId="20700D0D" w14:textId="77777777" w:rsidR="00A5369E" w:rsidRPr="000C46CD" w:rsidRDefault="00000000">
            <w:pPr>
              <w:spacing w:line="360" w:lineRule="auto"/>
            </w:pPr>
            <w:r w:rsidRPr="000C46CD">
              <w:t>5</w:t>
            </w:r>
          </w:p>
        </w:tc>
        <w:tc>
          <w:tcPr>
            <w:tcW w:w="750" w:type="dxa"/>
          </w:tcPr>
          <w:p w14:paraId="05B17D19" w14:textId="77777777" w:rsidR="00A5369E" w:rsidRPr="000C46CD" w:rsidRDefault="00000000">
            <w:pPr>
              <w:spacing w:line="360" w:lineRule="auto"/>
            </w:pPr>
            <w:r w:rsidRPr="000C46CD">
              <w:t>Medium</w:t>
            </w:r>
          </w:p>
        </w:tc>
        <w:tc>
          <w:tcPr>
            <w:tcW w:w="750" w:type="dxa"/>
          </w:tcPr>
          <w:p w14:paraId="0518E59A" w14:textId="77777777" w:rsidR="00A5369E" w:rsidRPr="000C46CD" w:rsidRDefault="00000000">
            <w:pPr>
              <w:spacing w:line="360" w:lineRule="auto"/>
            </w:pPr>
            <w:r w:rsidRPr="000C46CD">
              <w:t>Open</w:t>
            </w:r>
          </w:p>
        </w:tc>
      </w:tr>
      <w:tr w:rsidR="00A5369E" w:rsidRPr="000C46CD" w14:paraId="10A14903" w14:textId="77777777">
        <w:tc>
          <w:tcPr>
            <w:tcW w:w="600" w:type="dxa"/>
          </w:tcPr>
          <w:p w14:paraId="03FDF081" w14:textId="77777777" w:rsidR="00A5369E" w:rsidRPr="000C46CD" w:rsidRDefault="00000000">
            <w:pPr>
              <w:spacing w:line="360" w:lineRule="auto"/>
            </w:pPr>
            <w:r w:rsidRPr="000C46CD">
              <w:t>R05</w:t>
            </w:r>
          </w:p>
        </w:tc>
        <w:tc>
          <w:tcPr>
            <w:tcW w:w="885" w:type="dxa"/>
          </w:tcPr>
          <w:p w14:paraId="40003890" w14:textId="77777777" w:rsidR="00A5369E" w:rsidRPr="000C46CD" w:rsidRDefault="00000000">
            <w:pPr>
              <w:spacing w:line="360" w:lineRule="auto"/>
            </w:pPr>
            <w:r w:rsidRPr="000C46CD">
              <w:t xml:space="preserve">NIS2 applicability not </w:t>
            </w:r>
            <w:r w:rsidRPr="000C46CD">
              <w:lastRenderedPageBreak/>
              <w:t>assessed</w:t>
            </w:r>
          </w:p>
        </w:tc>
        <w:tc>
          <w:tcPr>
            <w:tcW w:w="705" w:type="dxa"/>
          </w:tcPr>
          <w:p w14:paraId="6386D2E3" w14:textId="77777777" w:rsidR="00A5369E" w:rsidRPr="000C46CD" w:rsidRDefault="00000000">
            <w:pPr>
              <w:spacing w:line="360" w:lineRule="auto"/>
            </w:pPr>
            <w:r w:rsidRPr="000C46CD">
              <w:lastRenderedPageBreak/>
              <w:t>ALL; Board</w:t>
            </w:r>
          </w:p>
        </w:tc>
        <w:tc>
          <w:tcPr>
            <w:tcW w:w="450" w:type="dxa"/>
          </w:tcPr>
          <w:p w14:paraId="465541DB" w14:textId="77777777" w:rsidR="00A5369E" w:rsidRPr="000C46CD" w:rsidRDefault="00000000">
            <w:pPr>
              <w:spacing w:line="360" w:lineRule="auto"/>
            </w:pPr>
            <w:r w:rsidRPr="000C46CD">
              <w:t>Strategic</w:t>
            </w:r>
          </w:p>
        </w:tc>
        <w:tc>
          <w:tcPr>
            <w:tcW w:w="480" w:type="dxa"/>
          </w:tcPr>
          <w:p w14:paraId="4FCC3DE8" w14:textId="77777777" w:rsidR="00A5369E" w:rsidRPr="000C46CD" w:rsidRDefault="00000000">
            <w:pPr>
              <w:spacing w:line="360" w:lineRule="auto"/>
            </w:pPr>
            <w:r w:rsidRPr="000C46CD">
              <w:t>Political/R</w:t>
            </w:r>
            <w:r w:rsidRPr="000C46CD">
              <w:lastRenderedPageBreak/>
              <w:t>egulatory</w:t>
            </w:r>
          </w:p>
        </w:tc>
        <w:tc>
          <w:tcPr>
            <w:tcW w:w="345" w:type="dxa"/>
          </w:tcPr>
          <w:p w14:paraId="696FD4D4" w14:textId="77777777" w:rsidR="00A5369E" w:rsidRPr="000C46CD" w:rsidRDefault="00000000">
            <w:pPr>
              <w:spacing w:line="360" w:lineRule="auto"/>
            </w:pPr>
            <w:r w:rsidRPr="000C46CD">
              <w:lastRenderedPageBreak/>
              <w:t>3</w:t>
            </w:r>
          </w:p>
        </w:tc>
        <w:tc>
          <w:tcPr>
            <w:tcW w:w="375" w:type="dxa"/>
          </w:tcPr>
          <w:p w14:paraId="0244CA45" w14:textId="77777777" w:rsidR="00A5369E" w:rsidRPr="000C46CD" w:rsidRDefault="00000000">
            <w:pPr>
              <w:spacing w:line="360" w:lineRule="auto"/>
            </w:pPr>
            <w:r w:rsidRPr="000C46CD">
              <w:t>4</w:t>
            </w:r>
          </w:p>
        </w:tc>
        <w:tc>
          <w:tcPr>
            <w:tcW w:w="540" w:type="dxa"/>
          </w:tcPr>
          <w:p w14:paraId="24107935" w14:textId="77777777" w:rsidR="00A5369E" w:rsidRPr="000C46CD" w:rsidRDefault="00000000">
            <w:pPr>
              <w:spacing w:line="360" w:lineRule="auto"/>
            </w:pPr>
            <w:r w:rsidRPr="000C46CD">
              <w:t>12</w:t>
            </w:r>
          </w:p>
        </w:tc>
        <w:tc>
          <w:tcPr>
            <w:tcW w:w="525" w:type="dxa"/>
          </w:tcPr>
          <w:p w14:paraId="2706AC51" w14:textId="77777777" w:rsidR="00A5369E" w:rsidRPr="000C46CD" w:rsidRDefault="00000000">
            <w:pPr>
              <w:spacing w:line="360" w:lineRule="auto"/>
            </w:pPr>
            <w:r w:rsidRPr="000C46CD">
              <w:t>High</w:t>
            </w:r>
          </w:p>
        </w:tc>
        <w:tc>
          <w:tcPr>
            <w:tcW w:w="735" w:type="dxa"/>
          </w:tcPr>
          <w:p w14:paraId="460D6389" w14:textId="77777777" w:rsidR="00A5369E" w:rsidRPr="000C46CD" w:rsidRDefault="00000000">
            <w:pPr>
              <w:spacing w:line="360" w:lineRule="auto"/>
            </w:pPr>
            <w:r w:rsidRPr="000C46CD">
              <w:t xml:space="preserve">No horizon-scanning </w:t>
            </w:r>
            <w:r w:rsidRPr="000C46CD">
              <w:lastRenderedPageBreak/>
              <w:t>function</w:t>
            </w:r>
          </w:p>
        </w:tc>
        <w:tc>
          <w:tcPr>
            <w:tcW w:w="705" w:type="dxa"/>
          </w:tcPr>
          <w:p w14:paraId="0AB05CE2" w14:textId="77777777" w:rsidR="00A5369E" w:rsidRPr="000C46CD" w:rsidRDefault="00000000">
            <w:pPr>
              <w:spacing w:line="360" w:lineRule="auto"/>
            </w:pPr>
            <w:r w:rsidRPr="000C46CD">
              <w:lastRenderedPageBreak/>
              <w:t xml:space="preserve">Quarterly regulatory </w:t>
            </w:r>
            <w:r w:rsidRPr="000C46CD">
              <w:lastRenderedPageBreak/>
              <w:t>mapping (Sec. 5)</w:t>
            </w:r>
          </w:p>
        </w:tc>
        <w:tc>
          <w:tcPr>
            <w:tcW w:w="660" w:type="dxa"/>
          </w:tcPr>
          <w:p w14:paraId="2AE802F9" w14:textId="77777777" w:rsidR="00A5369E" w:rsidRPr="000C46CD" w:rsidRDefault="00000000">
            <w:pPr>
              <w:spacing w:line="360" w:lineRule="auto"/>
            </w:pPr>
            <w:r w:rsidRPr="000C46CD">
              <w:lastRenderedPageBreak/>
              <w:t>CISO/Legal</w:t>
            </w:r>
          </w:p>
        </w:tc>
        <w:tc>
          <w:tcPr>
            <w:tcW w:w="585" w:type="dxa"/>
          </w:tcPr>
          <w:p w14:paraId="21C6DF21" w14:textId="77777777" w:rsidR="00A5369E" w:rsidRPr="000C46CD" w:rsidRDefault="00000000">
            <w:pPr>
              <w:spacing w:line="360" w:lineRule="auto"/>
            </w:pPr>
            <w:r w:rsidRPr="000C46CD">
              <w:t>+3mo</w:t>
            </w:r>
          </w:p>
        </w:tc>
        <w:tc>
          <w:tcPr>
            <w:tcW w:w="420" w:type="dxa"/>
          </w:tcPr>
          <w:p w14:paraId="656AB234" w14:textId="77777777" w:rsidR="00A5369E" w:rsidRPr="000C46CD" w:rsidRDefault="00000000">
            <w:pPr>
              <w:spacing w:line="360" w:lineRule="auto"/>
            </w:pPr>
            <w:r w:rsidRPr="000C46CD">
              <w:t>1</w:t>
            </w:r>
          </w:p>
        </w:tc>
        <w:tc>
          <w:tcPr>
            <w:tcW w:w="330" w:type="dxa"/>
          </w:tcPr>
          <w:p w14:paraId="49435E17" w14:textId="77777777" w:rsidR="00A5369E" w:rsidRPr="000C46CD" w:rsidRDefault="00000000">
            <w:pPr>
              <w:spacing w:line="360" w:lineRule="auto"/>
            </w:pPr>
            <w:r w:rsidRPr="000C46CD">
              <w:t>4</w:t>
            </w:r>
          </w:p>
        </w:tc>
        <w:tc>
          <w:tcPr>
            <w:tcW w:w="570" w:type="dxa"/>
          </w:tcPr>
          <w:p w14:paraId="387D7318" w14:textId="77777777" w:rsidR="00A5369E" w:rsidRPr="000C46CD" w:rsidRDefault="00000000">
            <w:pPr>
              <w:spacing w:line="360" w:lineRule="auto"/>
            </w:pPr>
            <w:r w:rsidRPr="000C46CD">
              <w:t>4</w:t>
            </w:r>
          </w:p>
        </w:tc>
        <w:tc>
          <w:tcPr>
            <w:tcW w:w="750" w:type="dxa"/>
          </w:tcPr>
          <w:p w14:paraId="3FB53849" w14:textId="77777777" w:rsidR="00A5369E" w:rsidRPr="000C46CD" w:rsidRDefault="00000000">
            <w:pPr>
              <w:spacing w:line="360" w:lineRule="auto"/>
            </w:pPr>
            <w:r w:rsidRPr="000C46CD">
              <w:t>Low</w:t>
            </w:r>
          </w:p>
        </w:tc>
        <w:tc>
          <w:tcPr>
            <w:tcW w:w="750" w:type="dxa"/>
          </w:tcPr>
          <w:p w14:paraId="263D16D2" w14:textId="77777777" w:rsidR="00A5369E" w:rsidRPr="000C46CD" w:rsidRDefault="00000000">
            <w:pPr>
              <w:spacing w:line="360" w:lineRule="auto"/>
            </w:pPr>
            <w:r w:rsidRPr="000C46CD">
              <w:t>Open</w:t>
            </w:r>
          </w:p>
        </w:tc>
      </w:tr>
      <w:tr w:rsidR="00A5369E" w:rsidRPr="000C46CD" w14:paraId="264D8182" w14:textId="77777777">
        <w:tc>
          <w:tcPr>
            <w:tcW w:w="600" w:type="dxa"/>
          </w:tcPr>
          <w:p w14:paraId="167ABFF3" w14:textId="77777777" w:rsidR="00A5369E" w:rsidRPr="000C46CD" w:rsidRDefault="00000000">
            <w:pPr>
              <w:spacing w:line="360" w:lineRule="auto"/>
            </w:pPr>
            <w:r w:rsidRPr="000C46CD">
              <w:t>R06</w:t>
            </w:r>
          </w:p>
        </w:tc>
        <w:tc>
          <w:tcPr>
            <w:tcW w:w="885" w:type="dxa"/>
          </w:tcPr>
          <w:p w14:paraId="7E22882B" w14:textId="77777777" w:rsidR="00A5369E" w:rsidRPr="000C46CD" w:rsidRDefault="00000000">
            <w:pPr>
              <w:spacing w:line="360" w:lineRule="auto"/>
            </w:pPr>
            <w:r w:rsidRPr="000C46CD">
              <w:t>Outage – no formal BCP</w:t>
            </w:r>
          </w:p>
        </w:tc>
        <w:tc>
          <w:tcPr>
            <w:tcW w:w="705" w:type="dxa"/>
          </w:tcPr>
          <w:p w14:paraId="0DCED0FC" w14:textId="77777777" w:rsidR="00A5369E" w:rsidRPr="000C46CD" w:rsidRDefault="00000000">
            <w:pPr>
              <w:spacing w:line="360" w:lineRule="auto"/>
            </w:pPr>
            <w:r w:rsidRPr="000C46CD">
              <w:t>ALL; customers; suppliers</w:t>
            </w:r>
          </w:p>
        </w:tc>
        <w:tc>
          <w:tcPr>
            <w:tcW w:w="450" w:type="dxa"/>
          </w:tcPr>
          <w:p w14:paraId="523414A9" w14:textId="77777777" w:rsidR="00A5369E" w:rsidRPr="000C46CD" w:rsidRDefault="00000000">
            <w:pPr>
              <w:spacing w:line="360" w:lineRule="auto"/>
            </w:pPr>
            <w:r w:rsidRPr="000C46CD">
              <w:t>Operational</w:t>
            </w:r>
          </w:p>
        </w:tc>
        <w:tc>
          <w:tcPr>
            <w:tcW w:w="480" w:type="dxa"/>
          </w:tcPr>
          <w:p w14:paraId="33096B51" w14:textId="77777777" w:rsidR="00A5369E" w:rsidRPr="000C46CD" w:rsidRDefault="00000000">
            <w:pPr>
              <w:spacing w:line="360" w:lineRule="auto"/>
            </w:pPr>
            <w:r w:rsidRPr="000C46CD">
              <w:t>Business Continuity</w:t>
            </w:r>
          </w:p>
        </w:tc>
        <w:tc>
          <w:tcPr>
            <w:tcW w:w="345" w:type="dxa"/>
          </w:tcPr>
          <w:p w14:paraId="0B66C6B0" w14:textId="77777777" w:rsidR="00A5369E" w:rsidRPr="000C46CD" w:rsidRDefault="00000000">
            <w:pPr>
              <w:spacing w:line="360" w:lineRule="auto"/>
            </w:pPr>
            <w:r w:rsidRPr="000C46CD">
              <w:t>3</w:t>
            </w:r>
          </w:p>
        </w:tc>
        <w:tc>
          <w:tcPr>
            <w:tcW w:w="375" w:type="dxa"/>
          </w:tcPr>
          <w:p w14:paraId="00E113A0" w14:textId="77777777" w:rsidR="00A5369E" w:rsidRPr="000C46CD" w:rsidRDefault="00000000">
            <w:pPr>
              <w:spacing w:line="360" w:lineRule="auto"/>
            </w:pPr>
            <w:r w:rsidRPr="000C46CD">
              <w:t>5</w:t>
            </w:r>
          </w:p>
        </w:tc>
        <w:tc>
          <w:tcPr>
            <w:tcW w:w="540" w:type="dxa"/>
          </w:tcPr>
          <w:p w14:paraId="55BA91C1" w14:textId="77777777" w:rsidR="00A5369E" w:rsidRPr="000C46CD" w:rsidRDefault="00000000">
            <w:pPr>
              <w:spacing w:line="360" w:lineRule="auto"/>
            </w:pPr>
            <w:r w:rsidRPr="000C46CD">
              <w:t>15</w:t>
            </w:r>
          </w:p>
        </w:tc>
        <w:tc>
          <w:tcPr>
            <w:tcW w:w="525" w:type="dxa"/>
          </w:tcPr>
          <w:p w14:paraId="71766E88" w14:textId="77777777" w:rsidR="00A5369E" w:rsidRPr="000C46CD" w:rsidRDefault="00000000">
            <w:pPr>
              <w:spacing w:line="360" w:lineRule="auto"/>
            </w:pPr>
            <w:r w:rsidRPr="000C46CD">
              <w:t>Critical</w:t>
            </w:r>
          </w:p>
        </w:tc>
        <w:tc>
          <w:tcPr>
            <w:tcW w:w="735" w:type="dxa"/>
          </w:tcPr>
          <w:p w14:paraId="677B3F68" w14:textId="77777777" w:rsidR="00A5369E" w:rsidRPr="000C46CD" w:rsidRDefault="00000000">
            <w:pPr>
              <w:spacing w:line="360" w:lineRule="auto"/>
            </w:pPr>
            <w:r w:rsidRPr="000C46CD">
              <w:t>Informal recovery arrangements</w:t>
            </w:r>
          </w:p>
        </w:tc>
        <w:tc>
          <w:tcPr>
            <w:tcW w:w="705" w:type="dxa"/>
          </w:tcPr>
          <w:p w14:paraId="7E3C571D" w14:textId="77777777" w:rsidR="00A5369E" w:rsidRPr="000C46CD" w:rsidRDefault="00000000">
            <w:pPr>
              <w:spacing w:line="360" w:lineRule="auto"/>
            </w:pPr>
            <w:r w:rsidRPr="000C46CD">
              <w:t>ISO 22301 BCMS; BIA; vendor RTO/RPO</w:t>
            </w:r>
          </w:p>
        </w:tc>
        <w:tc>
          <w:tcPr>
            <w:tcW w:w="660" w:type="dxa"/>
          </w:tcPr>
          <w:p w14:paraId="6BE6E7AC" w14:textId="77777777" w:rsidR="00A5369E" w:rsidRPr="000C46CD" w:rsidRDefault="00000000">
            <w:pPr>
              <w:spacing w:line="360" w:lineRule="auto"/>
            </w:pPr>
            <w:r w:rsidRPr="000C46CD">
              <w:t>COO/BCM</w:t>
            </w:r>
          </w:p>
        </w:tc>
        <w:tc>
          <w:tcPr>
            <w:tcW w:w="585" w:type="dxa"/>
          </w:tcPr>
          <w:p w14:paraId="1452A04E" w14:textId="77777777" w:rsidR="00A5369E" w:rsidRPr="000C46CD" w:rsidRDefault="00000000">
            <w:pPr>
              <w:spacing w:line="360" w:lineRule="auto"/>
            </w:pPr>
            <w:r w:rsidRPr="000C46CD">
              <w:t>+12mo</w:t>
            </w:r>
          </w:p>
        </w:tc>
        <w:tc>
          <w:tcPr>
            <w:tcW w:w="420" w:type="dxa"/>
          </w:tcPr>
          <w:p w14:paraId="40DC9CB0" w14:textId="77777777" w:rsidR="00A5369E" w:rsidRPr="000C46CD" w:rsidRDefault="00000000">
            <w:pPr>
              <w:spacing w:line="360" w:lineRule="auto"/>
            </w:pPr>
            <w:r w:rsidRPr="000C46CD">
              <w:t>2</w:t>
            </w:r>
          </w:p>
        </w:tc>
        <w:tc>
          <w:tcPr>
            <w:tcW w:w="330" w:type="dxa"/>
          </w:tcPr>
          <w:p w14:paraId="6A73E94C" w14:textId="77777777" w:rsidR="00A5369E" w:rsidRPr="000C46CD" w:rsidRDefault="00000000">
            <w:pPr>
              <w:spacing w:line="360" w:lineRule="auto"/>
            </w:pPr>
            <w:r w:rsidRPr="000C46CD">
              <w:t>4</w:t>
            </w:r>
          </w:p>
        </w:tc>
        <w:tc>
          <w:tcPr>
            <w:tcW w:w="570" w:type="dxa"/>
          </w:tcPr>
          <w:p w14:paraId="7BC9EEE2" w14:textId="77777777" w:rsidR="00A5369E" w:rsidRPr="000C46CD" w:rsidRDefault="00000000">
            <w:pPr>
              <w:spacing w:line="360" w:lineRule="auto"/>
            </w:pPr>
            <w:r w:rsidRPr="000C46CD">
              <w:t>8</w:t>
            </w:r>
          </w:p>
        </w:tc>
        <w:tc>
          <w:tcPr>
            <w:tcW w:w="750" w:type="dxa"/>
          </w:tcPr>
          <w:p w14:paraId="0CDE51FC" w14:textId="77777777" w:rsidR="00A5369E" w:rsidRPr="000C46CD" w:rsidRDefault="00000000">
            <w:pPr>
              <w:spacing w:line="360" w:lineRule="auto"/>
            </w:pPr>
            <w:r w:rsidRPr="000C46CD">
              <w:t>Medium</w:t>
            </w:r>
          </w:p>
        </w:tc>
        <w:tc>
          <w:tcPr>
            <w:tcW w:w="750" w:type="dxa"/>
          </w:tcPr>
          <w:p w14:paraId="47FBEA04" w14:textId="77777777" w:rsidR="00A5369E" w:rsidRPr="000C46CD" w:rsidRDefault="00000000">
            <w:pPr>
              <w:spacing w:line="360" w:lineRule="auto"/>
            </w:pPr>
            <w:r w:rsidRPr="000C46CD">
              <w:t>Open</w:t>
            </w:r>
          </w:p>
        </w:tc>
      </w:tr>
      <w:tr w:rsidR="00A5369E" w:rsidRPr="000C46CD" w14:paraId="7A0E132F" w14:textId="77777777">
        <w:tc>
          <w:tcPr>
            <w:tcW w:w="600" w:type="dxa"/>
          </w:tcPr>
          <w:p w14:paraId="066E1AD7" w14:textId="77777777" w:rsidR="00A5369E" w:rsidRPr="000C46CD" w:rsidRDefault="00000000">
            <w:pPr>
              <w:spacing w:line="360" w:lineRule="auto"/>
            </w:pPr>
            <w:r w:rsidRPr="000C46CD">
              <w:t>R07</w:t>
            </w:r>
          </w:p>
        </w:tc>
        <w:tc>
          <w:tcPr>
            <w:tcW w:w="885" w:type="dxa"/>
          </w:tcPr>
          <w:p w14:paraId="49086FF0" w14:textId="77777777" w:rsidR="00A5369E" w:rsidRPr="000C46CD" w:rsidRDefault="00000000">
            <w:pPr>
              <w:spacing w:line="360" w:lineRule="auto"/>
            </w:pPr>
            <w:r w:rsidRPr="000C46CD">
              <w:t>Human error/insider data mishandling</w:t>
            </w:r>
          </w:p>
        </w:tc>
        <w:tc>
          <w:tcPr>
            <w:tcW w:w="705" w:type="dxa"/>
          </w:tcPr>
          <w:p w14:paraId="63BB2F1D" w14:textId="77777777" w:rsidR="00A5369E" w:rsidRPr="000C46CD" w:rsidRDefault="00000000">
            <w:pPr>
              <w:spacing w:line="360" w:lineRule="auto"/>
            </w:pPr>
            <w:r w:rsidRPr="000C46CD">
              <w:t>Staff; customers</w:t>
            </w:r>
          </w:p>
        </w:tc>
        <w:tc>
          <w:tcPr>
            <w:tcW w:w="450" w:type="dxa"/>
          </w:tcPr>
          <w:p w14:paraId="1F0B5F14" w14:textId="77777777" w:rsidR="00A5369E" w:rsidRPr="000C46CD" w:rsidRDefault="00000000">
            <w:pPr>
              <w:spacing w:line="360" w:lineRule="auto"/>
            </w:pPr>
            <w:r w:rsidRPr="000C46CD">
              <w:t>People &amp; Behaviour</w:t>
            </w:r>
          </w:p>
        </w:tc>
        <w:tc>
          <w:tcPr>
            <w:tcW w:w="480" w:type="dxa"/>
          </w:tcPr>
          <w:p w14:paraId="124B3931" w14:textId="77777777" w:rsidR="00A5369E" w:rsidRPr="000C46CD" w:rsidRDefault="00000000">
            <w:pPr>
              <w:spacing w:line="360" w:lineRule="auto"/>
            </w:pPr>
            <w:r w:rsidRPr="000C46CD">
              <w:t>Human Error</w:t>
            </w:r>
          </w:p>
        </w:tc>
        <w:tc>
          <w:tcPr>
            <w:tcW w:w="345" w:type="dxa"/>
          </w:tcPr>
          <w:p w14:paraId="6ADDC5BE" w14:textId="77777777" w:rsidR="00A5369E" w:rsidRPr="000C46CD" w:rsidRDefault="00000000">
            <w:pPr>
              <w:spacing w:line="360" w:lineRule="auto"/>
            </w:pPr>
            <w:r w:rsidRPr="000C46CD">
              <w:t>3</w:t>
            </w:r>
          </w:p>
        </w:tc>
        <w:tc>
          <w:tcPr>
            <w:tcW w:w="375" w:type="dxa"/>
          </w:tcPr>
          <w:p w14:paraId="58F80C06" w14:textId="77777777" w:rsidR="00A5369E" w:rsidRPr="000C46CD" w:rsidRDefault="00000000">
            <w:pPr>
              <w:spacing w:line="360" w:lineRule="auto"/>
            </w:pPr>
            <w:r w:rsidRPr="000C46CD">
              <w:t>3</w:t>
            </w:r>
          </w:p>
        </w:tc>
        <w:tc>
          <w:tcPr>
            <w:tcW w:w="540" w:type="dxa"/>
          </w:tcPr>
          <w:p w14:paraId="3EF221B7" w14:textId="77777777" w:rsidR="00A5369E" w:rsidRPr="000C46CD" w:rsidRDefault="00000000">
            <w:pPr>
              <w:spacing w:line="360" w:lineRule="auto"/>
            </w:pPr>
            <w:r w:rsidRPr="000C46CD">
              <w:t>9</w:t>
            </w:r>
          </w:p>
        </w:tc>
        <w:tc>
          <w:tcPr>
            <w:tcW w:w="525" w:type="dxa"/>
          </w:tcPr>
          <w:p w14:paraId="6A0433A8" w14:textId="77777777" w:rsidR="00A5369E" w:rsidRPr="000C46CD" w:rsidRDefault="00000000">
            <w:pPr>
              <w:spacing w:line="360" w:lineRule="auto"/>
            </w:pPr>
            <w:r w:rsidRPr="000C46CD">
              <w:t>Medium</w:t>
            </w:r>
          </w:p>
        </w:tc>
        <w:tc>
          <w:tcPr>
            <w:tcW w:w="735" w:type="dxa"/>
          </w:tcPr>
          <w:p w14:paraId="3E3EAD7E" w14:textId="77777777" w:rsidR="00A5369E" w:rsidRPr="000C46CD" w:rsidRDefault="00000000">
            <w:pPr>
              <w:spacing w:line="360" w:lineRule="auto"/>
            </w:pPr>
            <w:r w:rsidRPr="000C46CD">
              <w:t>No awareness programme</w:t>
            </w:r>
          </w:p>
        </w:tc>
        <w:tc>
          <w:tcPr>
            <w:tcW w:w="705" w:type="dxa"/>
          </w:tcPr>
          <w:p w14:paraId="05927F1D" w14:textId="77777777" w:rsidR="00A5369E" w:rsidRPr="000C46CD" w:rsidRDefault="00000000">
            <w:pPr>
              <w:spacing w:line="360" w:lineRule="auto"/>
            </w:pPr>
            <w:r w:rsidRPr="000C46CD">
              <w:t>Induction + annual refresher training</w:t>
            </w:r>
          </w:p>
        </w:tc>
        <w:tc>
          <w:tcPr>
            <w:tcW w:w="660" w:type="dxa"/>
          </w:tcPr>
          <w:p w14:paraId="602321D2" w14:textId="77777777" w:rsidR="00A5369E" w:rsidRPr="000C46CD" w:rsidRDefault="00000000">
            <w:pPr>
              <w:spacing w:line="360" w:lineRule="auto"/>
            </w:pPr>
            <w:r w:rsidRPr="000C46CD">
              <w:t>HR/CISO</w:t>
            </w:r>
          </w:p>
        </w:tc>
        <w:tc>
          <w:tcPr>
            <w:tcW w:w="585" w:type="dxa"/>
          </w:tcPr>
          <w:p w14:paraId="3ED56E86" w14:textId="77777777" w:rsidR="00A5369E" w:rsidRPr="000C46CD" w:rsidRDefault="00000000">
            <w:pPr>
              <w:spacing w:line="360" w:lineRule="auto"/>
            </w:pPr>
            <w:r w:rsidRPr="000C46CD">
              <w:t>+6mo</w:t>
            </w:r>
          </w:p>
        </w:tc>
        <w:tc>
          <w:tcPr>
            <w:tcW w:w="420" w:type="dxa"/>
          </w:tcPr>
          <w:p w14:paraId="1CFDE07A" w14:textId="77777777" w:rsidR="00A5369E" w:rsidRPr="000C46CD" w:rsidRDefault="00000000">
            <w:pPr>
              <w:spacing w:line="360" w:lineRule="auto"/>
            </w:pPr>
            <w:r w:rsidRPr="000C46CD">
              <w:t>2</w:t>
            </w:r>
          </w:p>
        </w:tc>
        <w:tc>
          <w:tcPr>
            <w:tcW w:w="330" w:type="dxa"/>
          </w:tcPr>
          <w:p w14:paraId="52995AF9" w14:textId="77777777" w:rsidR="00A5369E" w:rsidRPr="000C46CD" w:rsidRDefault="00000000">
            <w:pPr>
              <w:spacing w:line="360" w:lineRule="auto"/>
            </w:pPr>
            <w:r w:rsidRPr="000C46CD">
              <w:t>3</w:t>
            </w:r>
          </w:p>
        </w:tc>
        <w:tc>
          <w:tcPr>
            <w:tcW w:w="570" w:type="dxa"/>
          </w:tcPr>
          <w:p w14:paraId="6043D434" w14:textId="77777777" w:rsidR="00A5369E" w:rsidRPr="000C46CD" w:rsidRDefault="00000000">
            <w:pPr>
              <w:spacing w:line="360" w:lineRule="auto"/>
            </w:pPr>
            <w:r w:rsidRPr="000C46CD">
              <w:t>6</w:t>
            </w:r>
          </w:p>
        </w:tc>
        <w:tc>
          <w:tcPr>
            <w:tcW w:w="750" w:type="dxa"/>
          </w:tcPr>
          <w:p w14:paraId="2530AF40" w14:textId="77777777" w:rsidR="00A5369E" w:rsidRPr="000C46CD" w:rsidRDefault="00000000">
            <w:pPr>
              <w:spacing w:line="360" w:lineRule="auto"/>
            </w:pPr>
            <w:r w:rsidRPr="000C46CD">
              <w:t>Medium</w:t>
            </w:r>
          </w:p>
        </w:tc>
        <w:tc>
          <w:tcPr>
            <w:tcW w:w="750" w:type="dxa"/>
          </w:tcPr>
          <w:p w14:paraId="57BFF45A" w14:textId="77777777" w:rsidR="00A5369E" w:rsidRPr="000C46CD" w:rsidRDefault="00000000">
            <w:pPr>
              <w:spacing w:line="360" w:lineRule="auto"/>
            </w:pPr>
            <w:r w:rsidRPr="000C46CD">
              <w:t>Open</w:t>
            </w:r>
          </w:p>
        </w:tc>
      </w:tr>
      <w:tr w:rsidR="00A5369E" w:rsidRPr="000C46CD" w14:paraId="4F0C2DB8" w14:textId="77777777">
        <w:tc>
          <w:tcPr>
            <w:tcW w:w="600" w:type="dxa"/>
          </w:tcPr>
          <w:p w14:paraId="0902E0E6" w14:textId="77777777" w:rsidR="00A5369E" w:rsidRPr="000C46CD" w:rsidRDefault="00000000">
            <w:pPr>
              <w:spacing w:line="360" w:lineRule="auto"/>
            </w:pPr>
            <w:r w:rsidRPr="000C46CD">
              <w:t>R08</w:t>
            </w:r>
          </w:p>
        </w:tc>
        <w:tc>
          <w:tcPr>
            <w:tcW w:w="885" w:type="dxa"/>
          </w:tcPr>
          <w:p w14:paraId="4E7A7D8B" w14:textId="77777777" w:rsidR="00A5369E" w:rsidRPr="000C46CD" w:rsidRDefault="00000000">
            <w:pPr>
              <w:spacing w:line="360" w:lineRule="auto"/>
            </w:pPr>
            <w:r w:rsidRPr="000C46CD">
              <w:t>Reputational damage from publicised breach</w:t>
            </w:r>
          </w:p>
        </w:tc>
        <w:tc>
          <w:tcPr>
            <w:tcW w:w="705" w:type="dxa"/>
          </w:tcPr>
          <w:p w14:paraId="4C2F1ADB" w14:textId="77777777" w:rsidR="00A5369E" w:rsidRPr="000C46CD" w:rsidRDefault="00000000">
            <w:pPr>
              <w:spacing w:line="360" w:lineRule="auto"/>
            </w:pPr>
            <w:r w:rsidRPr="000C46CD">
              <w:t>ALL; customers; investors</w:t>
            </w:r>
          </w:p>
        </w:tc>
        <w:tc>
          <w:tcPr>
            <w:tcW w:w="450" w:type="dxa"/>
          </w:tcPr>
          <w:p w14:paraId="462629D6" w14:textId="77777777" w:rsidR="00A5369E" w:rsidRPr="000C46CD" w:rsidRDefault="00000000">
            <w:pPr>
              <w:spacing w:line="360" w:lineRule="auto"/>
            </w:pPr>
            <w:r w:rsidRPr="000C46CD">
              <w:t>People &amp; Beh</w:t>
            </w:r>
            <w:r w:rsidRPr="000C46CD">
              <w:lastRenderedPageBreak/>
              <w:t>aviour</w:t>
            </w:r>
          </w:p>
        </w:tc>
        <w:tc>
          <w:tcPr>
            <w:tcW w:w="480" w:type="dxa"/>
          </w:tcPr>
          <w:p w14:paraId="411FCE42" w14:textId="77777777" w:rsidR="00A5369E" w:rsidRPr="000C46CD" w:rsidRDefault="00000000">
            <w:pPr>
              <w:spacing w:line="360" w:lineRule="auto"/>
            </w:pPr>
            <w:r w:rsidRPr="000C46CD">
              <w:lastRenderedPageBreak/>
              <w:t>Reputational</w:t>
            </w:r>
          </w:p>
        </w:tc>
        <w:tc>
          <w:tcPr>
            <w:tcW w:w="345" w:type="dxa"/>
          </w:tcPr>
          <w:p w14:paraId="7C3899CE" w14:textId="77777777" w:rsidR="00A5369E" w:rsidRPr="000C46CD" w:rsidRDefault="00000000">
            <w:pPr>
              <w:spacing w:line="360" w:lineRule="auto"/>
            </w:pPr>
            <w:r w:rsidRPr="000C46CD">
              <w:t>3</w:t>
            </w:r>
          </w:p>
        </w:tc>
        <w:tc>
          <w:tcPr>
            <w:tcW w:w="375" w:type="dxa"/>
          </w:tcPr>
          <w:p w14:paraId="22718041" w14:textId="77777777" w:rsidR="00A5369E" w:rsidRPr="000C46CD" w:rsidRDefault="00000000">
            <w:pPr>
              <w:spacing w:line="360" w:lineRule="auto"/>
            </w:pPr>
            <w:r w:rsidRPr="000C46CD">
              <w:t>4</w:t>
            </w:r>
          </w:p>
        </w:tc>
        <w:tc>
          <w:tcPr>
            <w:tcW w:w="540" w:type="dxa"/>
          </w:tcPr>
          <w:p w14:paraId="7752005F" w14:textId="77777777" w:rsidR="00A5369E" w:rsidRPr="000C46CD" w:rsidRDefault="00000000">
            <w:pPr>
              <w:spacing w:line="360" w:lineRule="auto"/>
            </w:pPr>
            <w:r w:rsidRPr="000C46CD">
              <w:t>12</w:t>
            </w:r>
          </w:p>
        </w:tc>
        <w:tc>
          <w:tcPr>
            <w:tcW w:w="525" w:type="dxa"/>
          </w:tcPr>
          <w:p w14:paraId="1FE536A6" w14:textId="77777777" w:rsidR="00A5369E" w:rsidRPr="000C46CD" w:rsidRDefault="00000000">
            <w:pPr>
              <w:spacing w:line="360" w:lineRule="auto"/>
            </w:pPr>
            <w:r w:rsidRPr="000C46CD">
              <w:t>High</w:t>
            </w:r>
          </w:p>
        </w:tc>
        <w:tc>
          <w:tcPr>
            <w:tcW w:w="735" w:type="dxa"/>
          </w:tcPr>
          <w:p w14:paraId="376E34C7" w14:textId="77777777" w:rsidR="00A5369E" w:rsidRPr="000C46CD" w:rsidRDefault="00000000">
            <w:pPr>
              <w:spacing w:line="360" w:lineRule="auto"/>
            </w:pPr>
            <w:r w:rsidRPr="000C46CD">
              <w:t>No comms plan</w:t>
            </w:r>
          </w:p>
        </w:tc>
        <w:tc>
          <w:tcPr>
            <w:tcW w:w="705" w:type="dxa"/>
          </w:tcPr>
          <w:p w14:paraId="19EB9228" w14:textId="77777777" w:rsidR="00A5369E" w:rsidRPr="000C46CD" w:rsidRDefault="00000000">
            <w:pPr>
              <w:spacing w:line="360" w:lineRule="auto"/>
            </w:pPr>
            <w:r w:rsidRPr="000C46CD">
              <w:t>Board-approved crisis com</w:t>
            </w:r>
            <w:r w:rsidRPr="000C46CD">
              <w:lastRenderedPageBreak/>
              <w:t>ms protocol</w:t>
            </w:r>
          </w:p>
        </w:tc>
        <w:tc>
          <w:tcPr>
            <w:tcW w:w="660" w:type="dxa"/>
          </w:tcPr>
          <w:p w14:paraId="7D52D687" w14:textId="77777777" w:rsidR="00A5369E" w:rsidRPr="000C46CD" w:rsidRDefault="00000000">
            <w:pPr>
              <w:spacing w:line="360" w:lineRule="auto"/>
            </w:pPr>
            <w:r w:rsidRPr="000C46CD">
              <w:lastRenderedPageBreak/>
              <w:t>Comms Lead/CISO</w:t>
            </w:r>
          </w:p>
        </w:tc>
        <w:tc>
          <w:tcPr>
            <w:tcW w:w="585" w:type="dxa"/>
          </w:tcPr>
          <w:p w14:paraId="6DFCFC9D" w14:textId="77777777" w:rsidR="00A5369E" w:rsidRPr="000C46CD" w:rsidRDefault="00000000">
            <w:pPr>
              <w:spacing w:line="360" w:lineRule="auto"/>
            </w:pPr>
            <w:r w:rsidRPr="000C46CD">
              <w:t>+6mo</w:t>
            </w:r>
          </w:p>
        </w:tc>
        <w:tc>
          <w:tcPr>
            <w:tcW w:w="420" w:type="dxa"/>
          </w:tcPr>
          <w:p w14:paraId="1D7411BE" w14:textId="77777777" w:rsidR="00A5369E" w:rsidRPr="000C46CD" w:rsidRDefault="00000000">
            <w:pPr>
              <w:spacing w:line="360" w:lineRule="auto"/>
            </w:pPr>
            <w:r w:rsidRPr="000C46CD">
              <w:t>2</w:t>
            </w:r>
          </w:p>
        </w:tc>
        <w:tc>
          <w:tcPr>
            <w:tcW w:w="330" w:type="dxa"/>
          </w:tcPr>
          <w:p w14:paraId="08D95F7F" w14:textId="77777777" w:rsidR="00A5369E" w:rsidRPr="000C46CD" w:rsidRDefault="00000000">
            <w:pPr>
              <w:spacing w:line="360" w:lineRule="auto"/>
            </w:pPr>
            <w:r w:rsidRPr="000C46CD">
              <w:t>4</w:t>
            </w:r>
          </w:p>
        </w:tc>
        <w:tc>
          <w:tcPr>
            <w:tcW w:w="570" w:type="dxa"/>
          </w:tcPr>
          <w:p w14:paraId="16314AD4" w14:textId="77777777" w:rsidR="00A5369E" w:rsidRPr="000C46CD" w:rsidRDefault="00000000">
            <w:pPr>
              <w:spacing w:line="360" w:lineRule="auto"/>
            </w:pPr>
            <w:r w:rsidRPr="000C46CD">
              <w:t>8</w:t>
            </w:r>
          </w:p>
        </w:tc>
        <w:tc>
          <w:tcPr>
            <w:tcW w:w="750" w:type="dxa"/>
          </w:tcPr>
          <w:p w14:paraId="7C1069A0" w14:textId="77777777" w:rsidR="00A5369E" w:rsidRPr="000C46CD" w:rsidRDefault="00000000">
            <w:pPr>
              <w:spacing w:line="360" w:lineRule="auto"/>
            </w:pPr>
            <w:r w:rsidRPr="000C46CD">
              <w:t>Medium</w:t>
            </w:r>
          </w:p>
        </w:tc>
        <w:tc>
          <w:tcPr>
            <w:tcW w:w="750" w:type="dxa"/>
          </w:tcPr>
          <w:p w14:paraId="1CB10B53" w14:textId="77777777" w:rsidR="00A5369E" w:rsidRPr="000C46CD" w:rsidRDefault="00000000">
            <w:pPr>
              <w:spacing w:line="360" w:lineRule="auto"/>
            </w:pPr>
            <w:r w:rsidRPr="000C46CD">
              <w:t>Open</w:t>
            </w:r>
          </w:p>
        </w:tc>
      </w:tr>
    </w:tbl>
    <w:p w14:paraId="2142B906" w14:textId="77777777" w:rsidR="00A5369E" w:rsidRPr="000C46CD" w:rsidRDefault="00A5369E"/>
    <w:p w14:paraId="17C0D21B" w14:textId="77777777" w:rsidR="00A5369E" w:rsidRPr="000C46CD" w:rsidRDefault="00000000">
      <w:pPr>
        <w:ind w:firstLine="720"/>
      </w:pPr>
      <w:r w:rsidRPr="000C46CD">
        <w:t>Third-party and supply-chain-related incidents are consistently reported among the more costly and slower-to-resolve breach categories in industry benchmarking; precise figures vary by methodology, sample and year, and should be treated as indicative of directional risk rather than a fixed cost forecast for ALL [16].</w:t>
      </w:r>
    </w:p>
    <w:p w14:paraId="5B490EC1" w14:textId="77777777" w:rsidR="00A5369E" w:rsidRPr="000C46CD" w:rsidRDefault="00000000">
      <w:pPr>
        <w:rPr>
          <w:i/>
          <w:iCs/>
        </w:rPr>
      </w:pPr>
      <w:r w:rsidRPr="000C46CD">
        <w:rPr>
          <w:noProof/>
        </w:rPr>
        <w:drawing>
          <wp:inline distT="114300" distB="114300" distL="114300" distR="114300" wp14:anchorId="164F4F15" wp14:editId="7B99892E">
            <wp:extent cx="5731200" cy="3390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3390900"/>
                    </a:xfrm>
                    <a:prstGeom prst="rect">
                      <a:avLst/>
                    </a:prstGeom>
                    <a:ln/>
                  </pic:spPr>
                </pic:pic>
              </a:graphicData>
            </a:graphic>
          </wp:inline>
        </w:drawing>
      </w:r>
      <w:r w:rsidRPr="000C46CD">
        <w:br/>
      </w:r>
      <w:r w:rsidRPr="000C46CD">
        <w:rPr>
          <w:i/>
          <w:iCs/>
        </w:rPr>
        <w:t>Figure 1: ALL Risk Rating Matrix (Source: Self-Illustrated)</w:t>
      </w:r>
    </w:p>
    <w:p w14:paraId="1CC7DDC1" w14:textId="77777777" w:rsidR="00A5369E" w:rsidRPr="000C46CD" w:rsidRDefault="00000000">
      <w:pPr>
        <w:pStyle w:val="Heading2"/>
      </w:pPr>
      <w:bookmarkStart w:id="14" w:name="_h8137mon7mmq" w:colFirst="0" w:colLast="0"/>
      <w:bookmarkEnd w:id="14"/>
      <w:r w:rsidRPr="000C46CD">
        <w:t>4.5 Security Management Models and Practices</w:t>
      </w:r>
    </w:p>
    <w:p w14:paraId="3A92EE36" w14:textId="77777777" w:rsidR="00A5369E" w:rsidRPr="000C46CD" w:rsidRDefault="00000000">
      <w:pPr>
        <w:ind w:firstLine="720"/>
      </w:pPr>
      <w:r w:rsidRPr="000C46CD">
        <w:t>Rather than one framework, ALL requires a differentiated stack: COBIT 2019 for governance and sourcing accountability; ISO/IEC 27001:2022 for the certifiable ISMS; NIST CSF 2.0 for continuous operational risk assessment; and ITIL 4, deliberately included to operationalise day-to-day Supplier, Availability and Continuity Management practices across ALL's numerous IaaS/SaaS relationships, a coordination function the other three frameworks do not natively perform. Excluding ITIL would leave governance and assurance well-defined but service delivery uncoordinated [9].</w:t>
      </w:r>
    </w:p>
    <w:p w14:paraId="31C950D4" w14:textId="77777777" w:rsidR="00A5369E" w:rsidRPr="000C46CD" w:rsidRDefault="00000000">
      <w:pPr>
        <w:pStyle w:val="Heading2"/>
      </w:pPr>
      <w:bookmarkStart w:id="15" w:name="_86zp6hdhzspz" w:colFirst="0" w:colLast="0"/>
      <w:bookmarkEnd w:id="15"/>
      <w:r w:rsidRPr="000C46CD">
        <w:lastRenderedPageBreak/>
        <w:t xml:space="preserve">4.6 Contingency Planning and Business Continuity Planning </w:t>
      </w:r>
    </w:p>
    <w:p w14:paraId="132EAC3C" w14:textId="77777777" w:rsidR="00A5369E" w:rsidRPr="000C46CD" w:rsidRDefault="00000000">
      <w:pPr>
        <w:ind w:firstLine="720"/>
      </w:pPr>
      <w:r w:rsidRPr="000C46CD">
        <w:t>The ISO 22301: 2019 and its later revisions in 2024, as regards the requirement enhancement regarding climate-related and other organizational resilience factors, provide the necessary framework for the BCMS, with the Business Impact Analysis being required, along with the necessary definition of the RTO and RPO values [17]. The recovery targets established externally rely upon the vendors’ guarantees in the form of contracts (4.8).</w:t>
      </w:r>
    </w:p>
    <w:p w14:paraId="00923DC3" w14:textId="77777777" w:rsidR="00A5369E" w:rsidRPr="000C46CD" w:rsidRDefault="00000000">
      <w:r w:rsidRPr="000C46CD">
        <w:rPr>
          <w:noProof/>
        </w:rPr>
        <w:drawing>
          <wp:inline distT="114300" distB="114300" distL="114300" distR="114300" wp14:anchorId="4C309E86" wp14:editId="003E5B6B">
            <wp:extent cx="5731200" cy="26670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2667000"/>
                    </a:xfrm>
                    <a:prstGeom prst="rect">
                      <a:avLst/>
                    </a:prstGeom>
                    <a:ln/>
                  </pic:spPr>
                </pic:pic>
              </a:graphicData>
            </a:graphic>
          </wp:inline>
        </w:drawing>
      </w:r>
    </w:p>
    <w:p w14:paraId="05580BA7" w14:textId="77777777" w:rsidR="00A5369E" w:rsidRPr="000C46CD" w:rsidRDefault="00000000">
      <w:pPr>
        <w:rPr>
          <w:i/>
          <w:iCs/>
        </w:rPr>
      </w:pPr>
      <w:r w:rsidRPr="000C46CD">
        <w:rPr>
          <w:i/>
          <w:iCs/>
        </w:rPr>
        <w:t>Figure 2: ISO 22301-aligned Business Continuity Management lifecycle (Source: Self-Illustrated)</w:t>
      </w:r>
    </w:p>
    <w:p w14:paraId="1DC3C6C9" w14:textId="77777777" w:rsidR="00A5369E" w:rsidRPr="000C46CD" w:rsidRDefault="00000000">
      <w:pPr>
        <w:pStyle w:val="Heading2"/>
      </w:pPr>
      <w:bookmarkStart w:id="16" w:name="_vf8ztlbyj2mw" w:colFirst="0" w:colLast="0"/>
      <w:bookmarkEnd w:id="16"/>
      <w:r w:rsidRPr="000C46CD">
        <w:t xml:space="preserve">4.7 Protection Mechanisms and Access Control </w:t>
      </w:r>
    </w:p>
    <w:p w14:paraId="7AADC612" w14:textId="77777777" w:rsidR="00A5369E" w:rsidRPr="000C46CD" w:rsidRDefault="00000000">
      <w:pPr>
        <w:ind w:firstLine="720"/>
      </w:pPr>
      <w:r w:rsidRPr="000C46CD">
        <w:t>The implementation of Zero Trust Architecture in accordance with NIST SP 800-207 is strongly recommended and requires continuous authentication of the users, devices and IoT sensors through the session [18].</w:t>
      </w:r>
    </w:p>
    <w:p w14:paraId="7794922A" w14:textId="77777777" w:rsidR="00A5369E" w:rsidRPr="000C46CD" w:rsidRDefault="00000000">
      <w:pPr>
        <w:pStyle w:val="Heading2"/>
      </w:pPr>
      <w:bookmarkStart w:id="17" w:name="_874lbpkdc32p" w:colFirst="0" w:colLast="0"/>
      <w:bookmarkEnd w:id="17"/>
      <w:r w:rsidRPr="000C46CD">
        <w:t>4.8 Vendor and Service Level Agreement (SLA) Management</w:t>
      </w:r>
    </w:p>
    <w:p w14:paraId="19B853F7" w14:textId="77777777" w:rsidR="00A5369E" w:rsidRPr="000C46CD" w:rsidRDefault="00000000">
      <w:pPr>
        <w:ind w:firstLine="720"/>
      </w:pPr>
      <w:r w:rsidRPr="000C46CD">
        <w:t>Given that 88% of infrastructure is outsourced, third-party arrangements represent a significant and disproportionate share of ALL's overall risk exposure [16]. Under regimes such as GDPR, accountability for compliant processing generally remains with the controlling organisation even where operational activity is subcontracted [13]; outsourcing transfers operational execution, not regulatory accountability.</w:t>
      </w:r>
    </w:p>
    <w:p w14:paraId="4F79E433" w14:textId="77777777" w:rsidR="00A5369E" w:rsidRPr="000C46CD" w:rsidRDefault="00000000">
      <w:pPr>
        <w:spacing w:after="200"/>
        <w:rPr>
          <w:i/>
          <w:iCs/>
        </w:rPr>
      </w:pPr>
      <w:r w:rsidRPr="000C46CD">
        <w:rPr>
          <w:i/>
          <w:iCs/>
        </w:rPr>
        <w:t>Table 4: Vendor Risk Tiering and KPIs (Source: Self-Illustrated)</w:t>
      </w:r>
    </w:p>
    <w:tbl>
      <w:tblPr>
        <w:tblStyle w:val="a2"/>
        <w:tblW w:w="86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60"/>
        <w:gridCol w:w="2160"/>
        <w:gridCol w:w="2160"/>
        <w:gridCol w:w="2160"/>
      </w:tblGrid>
      <w:tr w:rsidR="00A5369E" w:rsidRPr="000C46CD" w14:paraId="0D588097" w14:textId="77777777">
        <w:tc>
          <w:tcPr>
            <w:tcW w:w="2160" w:type="dxa"/>
            <w:shd w:val="clear" w:color="auto" w:fill="EAD1DC"/>
          </w:tcPr>
          <w:p w14:paraId="12345E95" w14:textId="77777777" w:rsidR="00A5369E" w:rsidRPr="000C46CD" w:rsidRDefault="00000000">
            <w:pPr>
              <w:spacing w:line="360" w:lineRule="auto"/>
              <w:rPr>
                <w:b/>
                <w:bCs/>
              </w:rPr>
            </w:pPr>
            <w:r w:rsidRPr="000C46CD">
              <w:rPr>
                <w:b/>
                <w:bCs/>
              </w:rPr>
              <w:t>Tier</w:t>
            </w:r>
          </w:p>
        </w:tc>
        <w:tc>
          <w:tcPr>
            <w:tcW w:w="2160" w:type="dxa"/>
            <w:shd w:val="clear" w:color="auto" w:fill="EAD1DC"/>
          </w:tcPr>
          <w:p w14:paraId="7E1D3CBD" w14:textId="77777777" w:rsidR="00A5369E" w:rsidRPr="000C46CD" w:rsidRDefault="00000000">
            <w:pPr>
              <w:spacing w:line="360" w:lineRule="auto"/>
              <w:rPr>
                <w:b/>
                <w:bCs/>
              </w:rPr>
            </w:pPr>
            <w:r w:rsidRPr="000C46CD">
              <w:rPr>
                <w:b/>
                <w:bCs/>
              </w:rPr>
              <w:t>Example</w:t>
            </w:r>
          </w:p>
        </w:tc>
        <w:tc>
          <w:tcPr>
            <w:tcW w:w="2160" w:type="dxa"/>
            <w:shd w:val="clear" w:color="auto" w:fill="EAD1DC"/>
          </w:tcPr>
          <w:p w14:paraId="42B00ADB" w14:textId="77777777" w:rsidR="00A5369E" w:rsidRPr="000C46CD" w:rsidRDefault="00000000">
            <w:pPr>
              <w:spacing w:line="360" w:lineRule="auto"/>
              <w:rPr>
                <w:b/>
                <w:bCs/>
              </w:rPr>
            </w:pPr>
            <w:r w:rsidRPr="000C46CD">
              <w:rPr>
                <w:b/>
                <w:bCs/>
              </w:rPr>
              <w:t>Due Diligence</w:t>
            </w:r>
          </w:p>
        </w:tc>
        <w:tc>
          <w:tcPr>
            <w:tcW w:w="2160" w:type="dxa"/>
            <w:shd w:val="clear" w:color="auto" w:fill="EAD1DC"/>
          </w:tcPr>
          <w:p w14:paraId="769D587C" w14:textId="77777777" w:rsidR="00A5369E" w:rsidRPr="000C46CD" w:rsidRDefault="00000000">
            <w:pPr>
              <w:spacing w:line="360" w:lineRule="auto"/>
              <w:rPr>
                <w:b/>
                <w:bCs/>
              </w:rPr>
            </w:pPr>
            <w:r w:rsidRPr="000C46CD">
              <w:rPr>
                <w:b/>
                <w:bCs/>
              </w:rPr>
              <w:t>KPI/KRI</w:t>
            </w:r>
          </w:p>
        </w:tc>
      </w:tr>
      <w:tr w:rsidR="00A5369E" w:rsidRPr="000C46CD" w14:paraId="43513CCE" w14:textId="77777777">
        <w:tc>
          <w:tcPr>
            <w:tcW w:w="2160" w:type="dxa"/>
          </w:tcPr>
          <w:p w14:paraId="1749D7EE" w14:textId="77777777" w:rsidR="00A5369E" w:rsidRPr="000C46CD" w:rsidRDefault="00000000">
            <w:pPr>
              <w:spacing w:line="360" w:lineRule="auto"/>
            </w:pPr>
            <w:r w:rsidRPr="000C46CD">
              <w:lastRenderedPageBreak/>
              <w:t>1 - Critical</w:t>
            </w:r>
          </w:p>
        </w:tc>
        <w:tc>
          <w:tcPr>
            <w:tcW w:w="2160" w:type="dxa"/>
          </w:tcPr>
          <w:p w14:paraId="06ED8C59" w14:textId="77777777" w:rsidR="00A5369E" w:rsidRPr="000C46CD" w:rsidRDefault="00000000">
            <w:pPr>
              <w:spacing w:line="360" w:lineRule="auto"/>
            </w:pPr>
            <w:r w:rsidRPr="000C46CD">
              <w:t>Core logistics IaaS</w:t>
            </w:r>
          </w:p>
        </w:tc>
        <w:tc>
          <w:tcPr>
            <w:tcW w:w="2160" w:type="dxa"/>
          </w:tcPr>
          <w:p w14:paraId="622DDF5D" w14:textId="77777777" w:rsidR="00A5369E" w:rsidRPr="000C46CD" w:rsidRDefault="00000000">
            <w:pPr>
              <w:spacing w:line="360" w:lineRule="auto"/>
            </w:pPr>
            <w:r w:rsidRPr="000C46CD">
              <w:t>Pre-contract audit, right-to-audit</w:t>
            </w:r>
          </w:p>
        </w:tc>
        <w:tc>
          <w:tcPr>
            <w:tcW w:w="2160" w:type="dxa"/>
          </w:tcPr>
          <w:p w14:paraId="14DED2FF" w14:textId="77777777" w:rsidR="00A5369E" w:rsidRPr="000C46CD" w:rsidRDefault="00000000">
            <w:pPr>
              <w:spacing w:line="360" w:lineRule="auto"/>
            </w:pPr>
            <w:r w:rsidRPr="000C46CD">
              <w:rPr>
                <w:rFonts w:ascii="Gungsuh" w:eastAsia="Gungsuh" w:hAnsi="Gungsuh" w:cs="Gungsuh"/>
              </w:rPr>
              <w:t>RTO ≤4hrs; breach notice ≤24hrs</w:t>
            </w:r>
          </w:p>
        </w:tc>
      </w:tr>
      <w:tr w:rsidR="00A5369E" w:rsidRPr="000C46CD" w14:paraId="68DAD0FF" w14:textId="77777777">
        <w:tc>
          <w:tcPr>
            <w:tcW w:w="2160" w:type="dxa"/>
          </w:tcPr>
          <w:p w14:paraId="1E967F35" w14:textId="77777777" w:rsidR="00A5369E" w:rsidRPr="000C46CD" w:rsidRDefault="00000000">
            <w:pPr>
              <w:spacing w:line="360" w:lineRule="auto"/>
            </w:pPr>
            <w:r w:rsidRPr="000C46CD">
              <w:t>2 - Significant</w:t>
            </w:r>
          </w:p>
        </w:tc>
        <w:tc>
          <w:tcPr>
            <w:tcW w:w="2160" w:type="dxa"/>
          </w:tcPr>
          <w:p w14:paraId="0E9ADBF7" w14:textId="77777777" w:rsidR="00A5369E" w:rsidRPr="000C46CD" w:rsidRDefault="00000000">
            <w:pPr>
              <w:spacing w:line="360" w:lineRule="auto"/>
            </w:pPr>
            <w:r w:rsidRPr="000C46CD">
              <w:t>Regional SaaS tools</w:t>
            </w:r>
          </w:p>
        </w:tc>
        <w:tc>
          <w:tcPr>
            <w:tcW w:w="2160" w:type="dxa"/>
          </w:tcPr>
          <w:p w14:paraId="65F53FAF" w14:textId="77777777" w:rsidR="00A5369E" w:rsidRPr="000C46CD" w:rsidRDefault="00000000">
            <w:pPr>
              <w:spacing w:line="360" w:lineRule="auto"/>
            </w:pPr>
            <w:r w:rsidRPr="000C46CD">
              <w:t>Security questionnaire</w:t>
            </w:r>
          </w:p>
        </w:tc>
        <w:tc>
          <w:tcPr>
            <w:tcW w:w="2160" w:type="dxa"/>
          </w:tcPr>
          <w:p w14:paraId="0C991C2E" w14:textId="77777777" w:rsidR="00A5369E" w:rsidRPr="000C46CD" w:rsidRDefault="00000000">
            <w:pPr>
              <w:spacing w:line="360" w:lineRule="auto"/>
            </w:pPr>
            <w:r w:rsidRPr="000C46CD">
              <w:rPr>
                <w:rFonts w:ascii="Gungsuh" w:eastAsia="Gungsuh" w:hAnsi="Gungsuh" w:cs="Gungsuh"/>
              </w:rPr>
              <w:t>Patch SLA ≤30 days</w:t>
            </w:r>
          </w:p>
        </w:tc>
      </w:tr>
      <w:tr w:rsidR="00A5369E" w:rsidRPr="000C46CD" w14:paraId="7CE58697" w14:textId="77777777">
        <w:tc>
          <w:tcPr>
            <w:tcW w:w="2160" w:type="dxa"/>
          </w:tcPr>
          <w:p w14:paraId="2D90C0FF" w14:textId="77777777" w:rsidR="00A5369E" w:rsidRPr="000C46CD" w:rsidRDefault="00000000">
            <w:pPr>
              <w:spacing w:line="360" w:lineRule="auto"/>
            </w:pPr>
            <w:r w:rsidRPr="000C46CD">
              <w:t>3 - Peripheral</w:t>
            </w:r>
          </w:p>
        </w:tc>
        <w:tc>
          <w:tcPr>
            <w:tcW w:w="2160" w:type="dxa"/>
          </w:tcPr>
          <w:p w14:paraId="2548C1DE" w14:textId="77777777" w:rsidR="00A5369E" w:rsidRPr="000C46CD" w:rsidRDefault="00000000">
            <w:pPr>
              <w:spacing w:line="360" w:lineRule="auto"/>
            </w:pPr>
            <w:r w:rsidRPr="000C46CD">
              <w:t>Non-data vendors</w:t>
            </w:r>
          </w:p>
        </w:tc>
        <w:tc>
          <w:tcPr>
            <w:tcW w:w="2160" w:type="dxa"/>
          </w:tcPr>
          <w:p w14:paraId="73422335" w14:textId="77777777" w:rsidR="00A5369E" w:rsidRPr="000C46CD" w:rsidRDefault="00000000">
            <w:pPr>
              <w:spacing w:line="360" w:lineRule="auto"/>
            </w:pPr>
            <w:r w:rsidRPr="000C46CD">
              <w:t>Annual self-attestation</w:t>
            </w:r>
          </w:p>
        </w:tc>
        <w:tc>
          <w:tcPr>
            <w:tcW w:w="2160" w:type="dxa"/>
          </w:tcPr>
          <w:p w14:paraId="4B4DA5FC" w14:textId="77777777" w:rsidR="00A5369E" w:rsidRPr="000C46CD" w:rsidRDefault="00000000">
            <w:pPr>
              <w:spacing w:line="360" w:lineRule="auto"/>
            </w:pPr>
            <w:r w:rsidRPr="000C46CD">
              <w:t>Signed compliance declaration</w:t>
            </w:r>
          </w:p>
        </w:tc>
      </w:tr>
    </w:tbl>
    <w:p w14:paraId="0C694B17" w14:textId="77777777" w:rsidR="00A5369E" w:rsidRPr="000C46CD" w:rsidRDefault="00000000">
      <w:pPr>
        <w:spacing w:after="200"/>
      </w:pPr>
      <w:r w:rsidRPr="000C46CD">
        <w:rPr>
          <w:noProof/>
        </w:rPr>
        <w:drawing>
          <wp:inline distT="114300" distB="114300" distL="114300" distR="114300" wp14:anchorId="7345B816" wp14:editId="54B4283E">
            <wp:extent cx="5731200" cy="52451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5245100"/>
                    </a:xfrm>
                    <a:prstGeom prst="rect">
                      <a:avLst/>
                    </a:prstGeom>
                    <a:ln/>
                  </pic:spPr>
                </pic:pic>
              </a:graphicData>
            </a:graphic>
          </wp:inline>
        </w:drawing>
      </w:r>
    </w:p>
    <w:p w14:paraId="3E726B20" w14:textId="77777777" w:rsidR="00A5369E" w:rsidRPr="000C46CD" w:rsidRDefault="00000000">
      <w:pPr>
        <w:spacing w:after="200"/>
        <w:rPr>
          <w:i/>
          <w:iCs/>
        </w:rPr>
      </w:pPr>
      <w:r w:rsidRPr="000C46CD">
        <w:rPr>
          <w:i/>
          <w:iCs/>
        </w:rPr>
        <w:t xml:space="preserve">Figure 3: Proposed Integrated Security, Governance and Compliance Architecture for </w:t>
      </w:r>
      <w:proofErr w:type="spellStart"/>
      <w:r w:rsidRPr="000C46CD">
        <w:rPr>
          <w:i/>
          <w:iCs/>
        </w:rPr>
        <w:t>AeroLink</w:t>
      </w:r>
      <w:proofErr w:type="spellEnd"/>
      <w:r w:rsidRPr="000C46CD">
        <w:rPr>
          <w:i/>
          <w:iCs/>
        </w:rPr>
        <w:t xml:space="preserve"> Logistics (Source: Self-Illustrated)</w:t>
      </w:r>
    </w:p>
    <w:p w14:paraId="46848630" w14:textId="77777777" w:rsidR="00A5369E" w:rsidRPr="000C46CD" w:rsidRDefault="00000000">
      <w:pPr>
        <w:pStyle w:val="Heading1"/>
      </w:pPr>
      <w:bookmarkStart w:id="18" w:name="_37vc1z22po4y" w:colFirst="0" w:colLast="0"/>
      <w:bookmarkEnd w:id="18"/>
      <w:r w:rsidRPr="000C46CD">
        <w:lastRenderedPageBreak/>
        <w:t>5. Critical Discussion</w:t>
      </w:r>
    </w:p>
    <w:p w14:paraId="651CB7ED" w14:textId="77777777" w:rsidR="00A5369E" w:rsidRPr="000C46CD" w:rsidRDefault="00000000">
      <w:pPr>
        <w:ind w:firstLine="720"/>
      </w:pPr>
      <w:r w:rsidRPr="000C46CD">
        <w:t>Static compliance postures are increasingly untenable. Three converging pressures justify continuous updating of regulations and standards, and a fourth operationalisation determines whether this principle translates into practice at ALL.</w:t>
      </w:r>
    </w:p>
    <w:p w14:paraId="19C8ECCC" w14:textId="77777777" w:rsidR="00A5369E" w:rsidRPr="000C46CD" w:rsidRDefault="00000000">
      <w:r w:rsidRPr="000C46CD">
        <w:rPr>
          <w:b/>
          <w:bCs/>
        </w:rPr>
        <w:t>Emerging Technology:</w:t>
      </w:r>
      <w:r w:rsidRPr="000C46CD">
        <w:t xml:space="preserve"> The swift and mostly un-overseen implementation of generative artificial intelligence has changed the safety landscape. According to research done globally by International Business Machines Corporation in 2025, companies that suffered from AI-related thefts had insufficient AI control in 97% of cases and experienced costs of breaches higher than average due to unauthorized use of AI. Regulation (EU) 2024/1689, which has been in place since August 2024 with obligations gradually coming into effect until 2026-2028, is an example of how fast compliance problems related to technology appear; a compliance system developed even three years ago would not cover AI logistics analytics [12].</w:t>
      </w:r>
    </w:p>
    <w:p w14:paraId="4C30FE96" w14:textId="77777777" w:rsidR="00A5369E" w:rsidRPr="000C46CD" w:rsidRDefault="00000000">
      <w:r w:rsidRPr="000C46CD">
        <w:rPr>
          <w:b/>
          <w:bCs/>
        </w:rPr>
        <w:t xml:space="preserve">Evolving Threats: </w:t>
      </w:r>
      <w:r w:rsidRPr="000C46CD">
        <w:t>Frameworks themselves evolve in response to observed governance and control gaps rather than in isolation. NIST CSF 2.0's addition of a “Govern” function reflects a broader recognised shift in the discipline toward treating governance as a first-order cybersecurity outcome, not merely a technical afterthought [3]. Similarly, ISO/IEC 27001:2022’s Annex A revisions introduced controls addressing cloud services and information security for use of cloud services, areas not explicitly separated in the 2013 edition, reflecting the growth of IaaS/SaaS-dependent operating models such as ALL’s [4].</w:t>
      </w:r>
    </w:p>
    <w:p w14:paraId="0EA3AE57" w14:textId="77777777" w:rsidR="00A5369E" w:rsidRPr="000C46CD" w:rsidRDefault="00000000">
      <w:r w:rsidRPr="000C46CD">
        <w:rPr>
          <w:b/>
          <w:bCs/>
        </w:rPr>
        <w:t>Global Compliance Demands:</w:t>
      </w:r>
      <w:r w:rsidRPr="000C46CD">
        <w:t xml:space="preserve"> Enterprises operating internationally are struggling with complying with numerous regulations – GDPR, NIS2, the EU AI Act, national laws in selected industries, law governing cross-border data transfers [14]. Recent regulations such as NIS2 cover a range of nine sectors and specifically indicate the accountability of an organization’s governing body in granting permission for and overseeing cybersecurity risk management [19]. Past incidents highlight the importance of compliance. In particular, the 2017 </w:t>
      </w:r>
      <w:proofErr w:type="spellStart"/>
      <w:r w:rsidRPr="000C46CD">
        <w:t>NotPetya</w:t>
      </w:r>
      <w:proofErr w:type="spellEnd"/>
      <w:r w:rsidRPr="000C46CD">
        <w:t xml:space="preserve"> attack on Maersk destroyed more than 45 thousand devices and cost around $300 million to the company [20]. While it cannot be claimed that the introduction of certain regulatory measures will effectively reduce risks, it made the legislator reconsider the existing rules for companies in logistics.</w:t>
      </w:r>
    </w:p>
    <w:p w14:paraId="3863FE06" w14:textId="77777777" w:rsidR="00A5369E" w:rsidRPr="000C46CD" w:rsidRDefault="00000000">
      <w:r w:rsidRPr="000C46CD">
        <w:rPr>
          <w:b/>
          <w:bCs/>
        </w:rPr>
        <w:t>Operationalising Continuous Updating at ALL:</w:t>
      </w:r>
      <w:r w:rsidRPr="000C46CD">
        <w:t xml:space="preserve"> Requires transformation from an abstract idea to actual implementation realised through a feed-back governance cycle introduced by the Security Steering Committee (4.1): (1) quarterly horizon-scanning of changes in regulations and standards (ICO, ENISA, NIST, ISO); (2) matching new requirements against the existing </w:t>
      </w:r>
      <w:r w:rsidRPr="000C46CD">
        <w:lastRenderedPageBreak/>
        <w:t>risk register and control framework; (3) gap analysis and prioritisation; (4) updating policies and controls; (5) board reporting. The transformation from mere regulatory monitoring as a reactive “housekeeping” activity to continuous input for risk management helps to fix the coordination gap detected by the case study and illustrated by examples such as the £20 million fine imposed by the ICO on British Airways because of poor security measures [21].</w:t>
      </w:r>
    </w:p>
    <w:p w14:paraId="6F14EB6B" w14:textId="77777777" w:rsidR="00A5369E" w:rsidRPr="000C46CD" w:rsidRDefault="00000000">
      <w:pPr>
        <w:pStyle w:val="Heading1"/>
      </w:pPr>
      <w:bookmarkStart w:id="19" w:name="_6zd3la7hmnzf" w:colFirst="0" w:colLast="0"/>
      <w:bookmarkEnd w:id="19"/>
      <w:r w:rsidRPr="000C46CD">
        <w:t>6. Conclusion</w:t>
      </w:r>
    </w:p>
    <w:p w14:paraId="10984D67" w14:textId="77777777" w:rsidR="00A5369E" w:rsidRPr="000C46CD" w:rsidRDefault="00000000">
      <w:pPr>
        <w:ind w:firstLine="720"/>
      </w:pPr>
      <w:r w:rsidRPr="000C46CD">
        <w:t xml:space="preserve">The problems of the data breaches experienced by </w:t>
      </w:r>
      <w:proofErr w:type="spellStart"/>
      <w:r w:rsidRPr="000C46CD">
        <w:t>AeroLink</w:t>
      </w:r>
      <w:proofErr w:type="spellEnd"/>
      <w:r w:rsidRPr="000C46CD">
        <w:t xml:space="preserve"> Logistics arise fundamentally from immaturity in governance, the non-existence of an integrated security framework, centralized risk management, and a well-defined assignment of responsibilities; rather than from some specific technology-related problem. The analysis undertaken showed that none of the frameworks (NIST CSF, ISO/IEC 27001, COBIT, or ITIL) may be considered sufficient in isolation for the company of ALL’s profile, and that instead, the combination of the criteria for the governance concept provided by COBIT, certification possibilities offered by ISO/IEC 27001, and assessment of operational risk cycle introduced by NIST CSF, together with ISO 22301 business continuity and Zero Trust access control, as well as strict vendor/SLA governance, represents a highly effective way to reduce business risks while remaining compliant with GDPR, NIS2, and recent regulations on the application of artificial intelligence. The company needs to rely on establishing the capability for governance, monitoring, and review processes as opposed to the inter-implementation of all technological solutions.</w:t>
      </w:r>
      <w:r w:rsidRPr="000C46CD">
        <w:br w:type="page"/>
      </w:r>
    </w:p>
    <w:p w14:paraId="3DDE20B1" w14:textId="77777777" w:rsidR="00A5369E" w:rsidRPr="000C46CD" w:rsidRDefault="00000000">
      <w:pPr>
        <w:pStyle w:val="Heading1"/>
        <w:spacing w:before="280"/>
      </w:pPr>
      <w:bookmarkStart w:id="20" w:name="_37gjn88mwkz1" w:colFirst="0" w:colLast="0"/>
      <w:bookmarkEnd w:id="20"/>
      <w:r w:rsidRPr="000C46CD">
        <w:lastRenderedPageBreak/>
        <w:t xml:space="preserve">7. References </w:t>
      </w:r>
    </w:p>
    <w:p w14:paraId="0D98E997" w14:textId="77777777" w:rsidR="00A5369E" w:rsidRPr="000C46CD" w:rsidRDefault="00000000">
      <w:pPr>
        <w:spacing w:before="240" w:after="240"/>
      </w:pPr>
      <w:r w:rsidRPr="000C46CD">
        <w:t xml:space="preserve">[1] M. </w:t>
      </w:r>
      <w:proofErr w:type="spellStart"/>
      <w:r w:rsidRPr="000C46CD">
        <w:t>Benaroch</w:t>
      </w:r>
      <w:proofErr w:type="spellEnd"/>
      <w:r w:rsidRPr="000C46CD">
        <w:t xml:space="preserve">, “Third-party induced cyber incidents—Much ado about </w:t>
      </w:r>
      <w:proofErr w:type="gramStart"/>
      <w:r w:rsidRPr="000C46CD">
        <w:t>nothing?,</w:t>
      </w:r>
      <w:proofErr w:type="gramEnd"/>
      <w:r w:rsidRPr="000C46CD">
        <w:t xml:space="preserve">” </w:t>
      </w:r>
      <w:r w:rsidRPr="000C46CD">
        <w:rPr>
          <w:i/>
          <w:iCs/>
        </w:rPr>
        <w:t>Journal of Cybersecurity</w:t>
      </w:r>
      <w:r w:rsidRPr="000C46CD">
        <w:t xml:space="preserve">, vol. 7, no. 1, Art. no. tyab020, 2021, </w:t>
      </w:r>
      <w:proofErr w:type="spellStart"/>
      <w:r w:rsidRPr="000C46CD">
        <w:t>doi</w:t>
      </w:r>
      <w:proofErr w:type="spellEnd"/>
      <w:r w:rsidRPr="000C46CD">
        <w:t>: 10.1093/</w:t>
      </w:r>
      <w:proofErr w:type="spellStart"/>
      <w:r w:rsidRPr="000C46CD">
        <w:t>cybsec</w:t>
      </w:r>
      <w:proofErr w:type="spellEnd"/>
      <w:r w:rsidRPr="000C46CD">
        <w:t>/tyab020.</w:t>
      </w:r>
    </w:p>
    <w:p w14:paraId="3E45FDAD" w14:textId="77777777" w:rsidR="00A5369E" w:rsidRPr="000C46CD" w:rsidRDefault="00000000">
      <w:pPr>
        <w:spacing w:before="240" w:after="240"/>
      </w:pPr>
      <w:r w:rsidRPr="000C46CD">
        <w:t xml:space="preserve">[2] J. Ran, H. Ma, and R. Ran, “The role of big data and IoT in logistics supply chain management of e-commerce,” </w:t>
      </w:r>
      <w:r w:rsidRPr="000C46CD">
        <w:rPr>
          <w:i/>
          <w:iCs/>
        </w:rPr>
        <w:t>Journal of Computational Methods in Sciences and Engineering</w:t>
      </w:r>
      <w:r w:rsidRPr="000C46CD">
        <w:t xml:space="preserve">, 2024, </w:t>
      </w:r>
      <w:proofErr w:type="spellStart"/>
      <w:r w:rsidRPr="000C46CD">
        <w:t>doi</w:t>
      </w:r>
      <w:proofErr w:type="spellEnd"/>
      <w:r w:rsidRPr="000C46CD">
        <w:t>: 10.3233/JCM-237067. [Online]. Available:</w:t>
      </w:r>
      <w:hyperlink r:id="rId10">
        <w:r w:rsidRPr="000C46CD">
          <w:t xml:space="preserve"> </w:t>
        </w:r>
      </w:hyperlink>
      <w:hyperlink r:id="rId11">
        <w:r w:rsidRPr="000C46CD">
          <w:rPr>
            <w:color w:val="1155CC"/>
            <w:u w:val="single"/>
          </w:rPr>
          <w:t>https://journals.sagepub.com/doi/10.3233/JCM-237067</w:t>
        </w:r>
      </w:hyperlink>
      <w:r w:rsidRPr="000C46CD">
        <w:t>. Accessed: Aug. 1, 2026.</w:t>
      </w:r>
    </w:p>
    <w:p w14:paraId="1E21BC0D" w14:textId="77777777" w:rsidR="00A5369E" w:rsidRPr="000C46CD" w:rsidRDefault="00000000">
      <w:pPr>
        <w:spacing w:before="240" w:after="240"/>
      </w:pPr>
      <w:r w:rsidRPr="000C46CD">
        <w:t xml:space="preserve">[3] National Institute of Standards and Technology, </w:t>
      </w:r>
      <w:r w:rsidRPr="000C46CD">
        <w:rPr>
          <w:i/>
          <w:iCs/>
        </w:rPr>
        <w:t>The NIST Cybersecurity Framework (CSF) 2.0</w:t>
      </w:r>
      <w:r w:rsidRPr="000C46CD">
        <w:t xml:space="preserve">, NIST Cybersecurity White Paper 29. Gaithersburg, MD, USA: National Institute of Standards and Technology, 2024. </w:t>
      </w:r>
      <w:proofErr w:type="spellStart"/>
      <w:r w:rsidRPr="000C46CD">
        <w:t>doi</w:t>
      </w:r>
      <w:proofErr w:type="spellEnd"/>
      <w:r w:rsidRPr="000C46CD">
        <w:t>: 10.6028/NIST.CSWP.29.</w:t>
      </w:r>
    </w:p>
    <w:p w14:paraId="0F380F46" w14:textId="77777777" w:rsidR="00A5369E" w:rsidRPr="000C46CD" w:rsidRDefault="00000000">
      <w:pPr>
        <w:spacing w:before="240" w:after="240"/>
      </w:pPr>
      <w:r w:rsidRPr="000C46CD">
        <w:t xml:space="preserve">[4] International Organization for Standardization, </w:t>
      </w:r>
      <w:r w:rsidRPr="000C46CD">
        <w:rPr>
          <w:i/>
          <w:iCs/>
        </w:rPr>
        <w:t>ISO/IEC 27001:2022—Information Security, Cybersecurity and Privacy Protection—Information Security Management Systems—Requirements</w:t>
      </w:r>
      <w:r w:rsidRPr="000C46CD">
        <w:t>. Geneva, Switzerland: ISO, 2022. [Online]. Available:</w:t>
      </w:r>
      <w:hyperlink r:id="rId12">
        <w:r w:rsidRPr="000C46CD">
          <w:t xml:space="preserve"> </w:t>
        </w:r>
      </w:hyperlink>
      <w:hyperlink r:id="rId13">
        <w:r w:rsidRPr="000C46CD">
          <w:rPr>
            <w:color w:val="1155CC"/>
            <w:u w:val="single"/>
          </w:rPr>
          <w:t>https://www.iso.org/standard/27001</w:t>
        </w:r>
      </w:hyperlink>
      <w:r w:rsidRPr="000C46CD">
        <w:t>. Accessed: Aug. 1, 2026.</w:t>
      </w:r>
    </w:p>
    <w:p w14:paraId="74AEAE05" w14:textId="77777777" w:rsidR="00A5369E" w:rsidRPr="000C46CD" w:rsidRDefault="00000000">
      <w:pPr>
        <w:spacing w:before="240" w:after="240"/>
      </w:pPr>
      <w:r w:rsidRPr="000C46CD">
        <w:t xml:space="preserve">[5] T. M. Rambau, W. </w:t>
      </w:r>
      <w:proofErr w:type="spellStart"/>
      <w:r w:rsidRPr="000C46CD">
        <w:t>Munyoka</w:t>
      </w:r>
      <w:proofErr w:type="spellEnd"/>
      <w:r w:rsidRPr="000C46CD">
        <w:t xml:space="preserve">, L. J. </w:t>
      </w:r>
      <w:proofErr w:type="spellStart"/>
      <w:r w:rsidRPr="000C46CD">
        <w:t>Phahlamohlaka</w:t>
      </w:r>
      <w:proofErr w:type="spellEnd"/>
      <w:r w:rsidRPr="000C46CD">
        <w:t xml:space="preserve">, and A. </w:t>
      </w:r>
      <w:proofErr w:type="spellStart"/>
      <w:r w:rsidRPr="000C46CD">
        <w:t>Kadyamatimba</w:t>
      </w:r>
      <w:proofErr w:type="spellEnd"/>
      <w:r w:rsidRPr="000C46CD">
        <w:t xml:space="preserve">, “Evaluating cyber resilience frameworks for e-government: Applicability of NIST CSF, ISO/IEC 27001 and COBIT 2019 in developing country contexts,” </w:t>
      </w:r>
      <w:r w:rsidRPr="000C46CD">
        <w:rPr>
          <w:i/>
          <w:iCs/>
        </w:rPr>
        <w:t>Information and Computer Security</w:t>
      </w:r>
      <w:r w:rsidRPr="000C46CD">
        <w:t xml:space="preserve">, pp. 1–22, 2025, </w:t>
      </w:r>
      <w:proofErr w:type="spellStart"/>
      <w:r w:rsidRPr="000C46CD">
        <w:t>doi</w:t>
      </w:r>
      <w:proofErr w:type="spellEnd"/>
      <w:r w:rsidRPr="000C46CD">
        <w:t>: 10.1108/ICS-09-2025-0376.</w:t>
      </w:r>
    </w:p>
    <w:p w14:paraId="6C56DB7E" w14:textId="77777777" w:rsidR="00A5369E" w:rsidRPr="000C46CD" w:rsidRDefault="00000000">
      <w:pPr>
        <w:spacing w:before="240" w:after="240"/>
      </w:pPr>
      <w:r w:rsidRPr="000C46CD">
        <w:t xml:space="preserve">[6] I. A. Essien, E. Cadet, J. O. Ajayi, E. D. </w:t>
      </w:r>
      <w:proofErr w:type="spellStart"/>
      <w:r w:rsidRPr="000C46CD">
        <w:t>Erigha</w:t>
      </w:r>
      <w:proofErr w:type="spellEnd"/>
      <w:r w:rsidRPr="000C46CD">
        <w:t xml:space="preserve">, and E. </w:t>
      </w:r>
      <w:proofErr w:type="spellStart"/>
      <w:r w:rsidRPr="000C46CD">
        <w:t>Obuse</w:t>
      </w:r>
      <w:proofErr w:type="spellEnd"/>
      <w:r w:rsidRPr="000C46CD">
        <w:t xml:space="preserve">, “Third-party vendor risk assessment and compliance monitoring framework for highly regulated industries,” </w:t>
      </w:r>
      <w:r w:rsidRPr="000C46CD">
        <w:rPr>
          <w:i/>
          <w:iCs/>
        </w:rPr>
        <w:t>International Journal of Multidisciplinary Research and Growth Evaluation</w:t>
      </w:r>
      <w:r w:rsidRPr="000C46CD">
        <w:t xml:space="preserve">, vol. 2, no. 5, pp. 569–580, 2021, </w:t>
      </w:r>
      <w:proofErr w:type="spellStart"/>
      <w:r w:rsidRPr="000C46CD">
        <w:t>doi</w:t>
      </w:r>
      <w:proofErr w:type="spellEnd"/>
      <w:r w:rsidRPr="000C46CD">
        <w:t>: 10.54660/IJMRGE.2021.2.5.569-580.</w:t>
      </w:r>
    </w:p>
    <w:p w14:paraId="5B2F5D58" w14:textId="77777777" w:rsidR="00A5369E" w:rsidRPr="000C46CD" w:rsidRDefault="00000000">
      <w:pPr>
        <w:spacing w:before="240" w:after="240"/>
      </w:pPr>
      <w:r w:rsidRPr="000C46CD">
        <w:t>[7] CIO, “What is COBIT? A framework for alignment and governance,” 2023. [Online]. Available:</w:t>
      </w:r>
      <w:hyperlink r:id="rId14">
        <w:r w:rsidRPr="000C46CD">
          <w:t xml:space="preserve"> </w:t>
        </w:r>
      </w:hyperlink>
      <w:hyperlink r:id="rId15">
        <w:r w:rsidRPr="000C46CD">
          <w:rPr>
            <w:color w:val="1155CC"/>
            <w:u w:val="single"/>
          </w:rPr>
          <w:t>https://www.cio.com/article/228151/what-is-cobit-a-framework-for-alignment-and-governance.html</w:t>
        </w:r>
      </w:hyperlink>
      <w:r w:rsidRPr="000C46CD">
        <w:t>. Accessed: Aug. 1, 2026.</w:t>
      </w:r>
    </w:p>
    <w:p w14:paraId="431CDA73" w14:textId="77777777" w:rsidR="00A5369E" w:rsidRPr="000C46CD" w:rsidRDefault="00000000">
      <w:pPr>
        <w:spacing w:before="240" w:after="240"/>
      </w:pPr>
      <w:r w:rsidRPr="000C46CD">
        <w:t xml:space="preserve">[8] ISACA, </w:t>
      </w:r>
      <w:r w:rsidRPr="000C46CD">
        <w:rPr>
          <w:i/>
          <w:iCs/>
        </w:rPr>
        <w:t>COBIT 2019 Framework: Governance and Management Objectives</w:t>
      </w:r>
      <w:r w:rsidRPr="000C46CD">
        <w:t>. Schaumburg, IL, USA: ISACA, 2019. [Online]. Available:</w:t>
      </w:r>
      <w:hyperlink r:id="rId16">
        <w:r w:rsidRPr="000C46CD">
          <w:t xml:space="preserve"> </w:t>
        </w:r>
      </w:hyperlink>
      <w:hyperlink r:id="rId17">
        <w:r w:rsidRPr="000C46CD">
          <w:rPr>
            <w:color w:val="1155CC"/>
            <w:u w:val="single"/>
          </w:rPr>
          <w:t>https://www.isaca.org/resources/news-and-trends/industry-news/2019/employing-cobit-2019-for-enterprise-governance-strategy</w:t>
        </w:r>
      </w:hyperlink>
      <w:r w:rsidRPr="000C46CD">
        <w:t>. Accessed: Aug. 1, 2026.</w:t>
      </w:r>
    </w:p>
    <w:p w14:paraId="44F553AE" w14:textId="77777777" w:rsidR="00A5369E" w:rsidRPr="000C46CD" w:rsidRDefault="00000000">
      <w:pPr>
        <w:spacing w:before="240" w:after="240"/>
      </w:pPr>
      <w:r w:rsidRPr="000C46CD">
        <w:lastRenderedPageBreak/>
        <w:t xml:space="preserve">[9] AXELOS, </w:t>
      </w:r>
      <w:r w:rsidRPr="000C46CD">
        <w:rPr>
          <w:i/>
          <w:iCs/>
        </w:rPr>
        <w:t>ITIL Foundation: ITIL 4 Edition</w:t>
      </w:r>
      <w:r w:rsidRPr="000C46CD">
        <w:t>. London, U.K.: TSO, 2019. [Online]. Available:</w:t>
      </w:r>
      <w:hyperlink r:id="rId18">
        <w:r w:rsidRPr="000C46CD">
          <w:t xml:space="preserve"> </w:t>
        </w:r>
      </w:hyperlink>
      <w:hyperlink r:id="rId19">
        <w:r w:rsidRPr="000C46CD">
          <w:rPr>
            <w:color w:val="1155CC"/>
            <w:u w:val="single"/>
          </w:rPr>
          <w:t>https://abim.go.ug/sites/files/%28ITIL%29%20Axelos%20-%20ITIL%20Foundation%204%20edition-Axelos%20%282019%29%5B1%5D.pdf</w:t>
        </w:r>
      </w:hyperlink>
      <w:r w:rsidRPr="000C46CD">
        <w:t>. Accessed: Aug. 1, 2026.</w:t>
      </w:r>
    </w:p>
    <w:p w14:paraId="12981540" w14:textId="77777777" w:rsidR="00A5369E" w:rsidRPr="000C46CD" w:rsidRDefault="00000000">
      <w:pPr>
        <w:spacing w:before="240" w:after="240"/>
      </w:pPr>
      <w:r w:rsidRPr="000C46CD">
        <w:t xml:space="preserve">[10] M. E. Whitman and H. J. </w:t>
      </w:r>
      <w:proofErr w:type="spellStart"/>
      <w:r w:rsidRPr="000C46CD">
        <w:t>Mattord</w:t>
      </w:r>
      <w:proofErr w:type="spellEnd"/>
      <w:r w:rsidRPr="000C46CD">
        <w:t xml:space="preserve">, </w:t>
      </w:r>
      <w:r w:rsidRPr="000C46CD">
        <w:rPr>
          <w:i/>
          <w:iCs/>
        </w:rPr>
        <w:t>Principles of Information Security</w:t>
      </w:r>
      <w:r w:rsidRPr="000C46CD">
        <w:t>, 7th ed. Boston, MA, USA: Cengage Learning, 2022.</w:t>
      </w:r>
    </w:p>
    <w:p w14:paraId="6F740653" w14:textId="77777777" w:rsidR="00A5369E" w:rsidRPr="000C46CD" w:rsidRDefault="00000000">
      <w:pPr>
        <w:spacing w:before="240" w:after="240"/>
      </w:pPr>
      <w:r w:rsidRPr="000C46CD">
        <w:t>[11] Information Commissioner's Office, “Data protection impact assessments (DPIAs),” 2023. [Online]. Available:</w:t>
      </w:r>
      <w:hyperlink r:id="rId20">
        <w:r w:rsidRPr="000C46CD">
          <w:t xml:space="preserve"> </w:t>
        </w:r>
      </w:hyperlink>
      <w:hyperlink r:id="rId21">
        <w:r w:rsidRPr="000C46CD">
          <w:rPr>
            <w:color w:val="1155CC"/>
            <w:u w:val="single"/>
          </w:rPr>
          <w:t>https://ico.org.uk/for-organisations/uk-gdpr-guidance-and-resources/accountability-and-governance/data-protection-impact-assessments-dpias/</w:t>
        </w:r>
      </w:hyperlink>
      <w:r w:rsidRPr="000C46CD">
        <w:t>. Accessed: Aug. 1, 2026.</w:t>
      </w:r>
    </w:p>
    <w:p w14:paraId="51238255" w14:textId="77777777" w:rsidR="00A5369E" w:rsidRPr="000C46CD" w:rsidRDefault="00000000">
      <w:pPr>
        <w:spacing w:before="240" w:after="240"/>
      </w:pPr>
      <w:r w:rsidRPr="000C46CD">
        <w:t>[12] European Commission, “AI Act enters into force,” 2024. [Online]. Available:</w:t>
      </w:r>
      <w:hyperlink r:id="rId22">
        <w:r w:rsidRPr="000C46CD">
          <w:t xml:space="preserve"> </w:t>
        </w:r>
      </w:hyperlink>
      <w:hyperlink r:id="rId23">
        <w:r w:rsidRPr="000C46CD">
          <w:rPr>
            <w:color w:val="1155CC"/>
            <w:u w:val="single"/>
          </w:rPr>
          <w:t>https://commission.europa.eu/news-and-media/news/ai-act-enters-force-2024-08-01_en</w:t>
        </w:r>
      </w:hyperlink>
      <w:r w:rsidRPr="000C46CD">
        <w:t>. Accessed: Aug. 1, 2026.</w:t>
      </w:r>
    </w:p>
    <w:p w14:paraId="5A4BCB2C" w14:textId="77777777" w:rsidR="00A5369E" w:rsidRPr="000C46CD" w:rsidRDefault="00000000">
      <w:pPr>
        <w:spacing w:before="240" w:after="240"/>
      </w:pPr>
      <w:r w:rsidRPr="000C46CD">
        <w:t>[13] European Commission, “Legal framework of EU data protection,” 2024. [Online]. Available:</w:t>
      </w:r>
      <w:hyperlink r:id="rId24">
        <w:r w:rsidRPr="000C46CD">
          <w:t xml:space="preserve"> </w:t>
        </w:r>
      </w:hyperlink>
      <w:hyperlink r:id="rId25">
        <w:r w:rsidRPr="000C46CD">
          <w:rPr>
            <w:color w:val="1155CC"/>
            <w:u w:val="single"/>
          </w:rPr>
          <w:t>https://commission.europa.eu/law/law-topic/data-protection/legal-framework-eu-data-protection_en</w:t>
        </w:r>
      </w:hyperlink>
      <w:r w:rsidRPr="000C46CD">
        <w:t>. Accessed: Aug. 1, 2026.</w:t>
      </w:r>
    </w:p>
    <w:p w14:paraId="28BE3E16" w14:textId="77777777" w:rsidR="00A5369E" w:rsidRPr="000C46CD" w:rsidRDefault="00000000">
      <w:pPr>
        <w:spacing w:before="240" w:after="240"/>
      </w:pPr>
      <w:r w:rsidRPr="000C46CD">
        <w:t>[14] GDPR Local, “EU AI Act summary 2026: Risk categories and compliance checklist,” 2026. [Online]. Available:</w:t>
      </w:r>
      <w:hyperlink r:id="rId26">
        <w:r w:rsidRPr="000C46CD">
          <w:t xml:space="preserve"> </w:t>
        </w:r>
      </w:hyperlink>
      <w:hyperlink r:id="rId27">
        <w:r w:rsidRPr="000C46CD">
          <w:rPr>
            <w:color w:val="1155CC"/>
            <w:u w:val="single"/>
          </w:rPr>
          <w:t>https://gdprlocal.com/eu-ai-act-summary/</w:t>
        </w:r>
      </w:hyperlink>
      <w:r w:rsidRPr="000C46CD">
        <w:t>. Accessed: Aug. 1, 2026.</w:t>
      </w:r>
    </w:p>
    <w:p w14:paraId="2560A96F" w14:textId="77777777" w:rsidR="00A5369E" w:rsidRPr="000C46CD" w:rsidRDefault="00000000">
      <w:pPr>
        <w:spacing w:before="240" w:after="240"/>
      </w:pPr>
      <w:r w:rsidRPr="000C46CD">
        <w:t xml:space="preserve">[15] BSI Group, “What is the NIS2 </w:t>
      </w:r>
      <w:proofErr w:type="gramStart"/>
      <w:r w:rsidRPr="000C46CD">
        <w:t>Directive?,</w:t>
      </w:r>
      <w:proofErr w:type="gramEnd"/>
      <w:r w:rsidRPr="000C46CD">
        <w:t>” 2024. [Online]. Available:</w:t>
      </w:r>
      <w:hyperlink r:id="rId28">
        <w:r w:rsidRPr="000C46CD">
          <w:t xml:space="preserve"> </w:t>
        </w:r>
      </w:hyperlink>
      <w:hyperlink r:id="rId29">
        <w:r w:rsidRPr="000C46CD">
          <w:rPr>
            <w:color w:val="1155CC"/>
            <w:u w:val="single"/>
          </w:rPr>
          <w:t>https://www.bsigroup.com/siteassets/pdf/en/products-and-services/en-nl-as-scert-dgt-nss-dt-mpd-mp-nis2brochure-0025.pdf</w:t>
        </w:r>
      </w:hyperlink>
      <w:r w:rsidRPr="000C46CD">
        <w:t>. Accessed: Aug. 1, 2026.</w:t>
      </w:r>
    </w:p>
    <w:p w14:paraId="0850E031" w14:textId="77777777" w:rsidR="00A5369E" w:rsidRPr="000C46CD" w:rsidRDefault="00000000">
      <w:pPr>
        <w:spacing w:before="240" w:after="240"/>
      </w:pPr>
      <w:r w:rsidRPr="000C46CD">
        <w:t xml:space="preserve">[16] IBM, </w:t>
      </w:r>
      <w:r w:rsidRPr="000C46CD">
        <w:rPr>
          <w:i/>
          <w:iCs/>
        </w:rPr>
        <w:t>2025 Cost of a Data Breach Report: Navigating the AI Rush Without Sidelining Security</w:t>
      </w:r>
      <w:r w:rsidRPr="000C46CD">
        <w:t>, 2025. [Online]. Available:</w:t>
      </w:r>
      <w:hyperlink r:id="rId30">
        <w:r w:rsidRPr="000C46CD">
          <w:t xml:space="preserve"> </w:t>
        </w:r>
      </w:hyperlink>
      <w:hyperlink r:id="rId31">
        <w:r w:rsidRPr="000C46CD">
          <w:rPr>
            <w:color w:val="1155CC"/>
            <w:u w:val="single"/>
          </w:rPr>
          <w:t>https://www.ibm.com/think/x-force/2025-cost-of-a-data-breach-navigating-ai</w:t>
        </w:r>
      </w:hyperlink>
      <w:r w:rsidRPr="000C46CD">
        <w:t>. Accessed: Aug. 1, 2026.</w:t>
      </w:r>
    </w:p>
    <w:p w14:paraId="21B57B9D" w14:textId="77777777" w:rsidR="00A5369E" w:rsidRPr="000C46CD" w:rsidRDefault="00000000">
      <w:pPr>
        <w:spacing w:before="240" w:after="240"/>
      </w:pPr>
      <w:r w:rsidRPr="000C46CD">
        <w:t xml:space="preserve">[17] International Organization for Standardization, </w:t>
      </w:r>
      <w:r w:rsidRPr="000C46CD">
        <w:rPr>
          <w:i/>
          <w:iCs/>
        </w:rPr>
        <w:t>ISO 22301:2019—Security and Resilience—Business Continuity Management Systems—Requirements</w:t>
      </w:r>
      <w:r w:rsidRPr="000C46CD">
        <w:t>. Geneva, Switzerland: ISO, 2019. [Online]. Available:</w:t>
      </w:r>
      <w:hyperlink r:id="rId32">
        <w:r w:rsidRPr="000C46CD">
          <w:t xml:space="preserve"> </w:t>
        </w:r>
      </w:hyperlink>
      <w:hyperlink r:id="rId33">
        <w:r w:rsidRPr="000C46CD">
          <w:rPr>
            <w:color w:val="1155CC"/>
            <w:u w:val="single"/>
          </w:rPr>
          <w:t>https://www.iso.org/standard/75106.html</w:t>
        </w:r>
      </w:hyperlink>
      <w:r w:rsidRPr="000C46CD">
        <w:t>. Accessed: Aug. 1, 2026.</w:t>
      </w:r>
    </w:p>
    <w:p w14:paraId="4A53F845" w14:textId="77777777" w:rsidR="00A5369E" w:rsidRPr="000C46CD" w:rsidRDefault="00000000">
      <w:pPr>
        <w:spacing w:before="240" w:after="240"/>
      </w:pPr>
      <w:r w:rsidRPr="000C46CD">
        <w:lastRenderedPageBreak/>
        <w:t xml:space="preserve">[18] S. Rose, O. Borchert, S. Mitchell, and S. Connelly, </w:t>
      </w:r>
      <w:r w:rsidRPr="000C46CD">
        <w:rPr>
          <w:i/>
          <w:iCs/>
        </w:rPr>
        <w:t>Zero Trust Architecture</w:t>
      </w:r>
      <w:r w:rsidRPr="000C46CD">
        <w:t>, NIST Special Publication 800-207. Gaithersburg, MD, USA: National Institute of Standards and Technology, 2020. [Online]. Available:</w:t>
      </w:r>
      <w:hyperlink r:id="rId34">
        <w:r w:rsidRPr="000C46CD">
          <w:t xml:space="preserve"> </w:t>
        </w:r>
      </w:hyperlink>
      <w:hyperlink r:id="rId35">
        <w:r w:rsidRPr="000C46CD">
          <w:rPr>
            <w:color w:val="1155CC"/>
            <w:u w:val="single"/>
          </w:rPr>
          <w:t>https://nvlpubs.nist.gov/nistpubs/specialpublications/NIST.SP.800-207.pdf</w:t>
        </w:r>
      </w:hyperlink>
      <w:r w:rsidRPr="000C46CD">
        <w:t>. Accessed: Aug. 1, 2026.</w:t>
      </w:r>
    </w:p>
    <w:p w14:paraId="12685ECA" w14:textId="77777777" w:rsidR="00A5369E" w:rsidRPr="000C46CD" w:rsidRDefault="00000000">
      <w:pPr>
        <w:spacing w:before="240" w:after="240"/>
      </w:pPr>
      <w:r w:rsidRPr="000C46CD">
        <w:t>[19] Greenberg Traurig LLP, “EU NIS 2 Directive: Expanded cybersecurity obligations for key sectors,” 2025. [Online]. Available:</w:t>
      </w:r>
      <w:hyperlink r:id="rId36">
        <w:r w:rsidRPr="000C46CD">
          <w:t xml:space="preserve"> </w:t>
        </w:r>
      </w:hyperlink>
      <w:hyperlink r:id="rId37">
        <w:r w:rsidRPr="000C46CD">
          <w:rPr>
            <w:color w:val="1155CC"/>
            <w:u w:val="single"/>
          </w:rPr>
          <w:t>https://www.gtlaw.com/en/insights/2025/8/eu-nis-2-directive-expanded-cybersecurity-obligations-for-key-sectors</w:t>
        </w:r>
      </w:hyperlink>
      <w:r w:rsidRPr="000C46CD">
        <w:t>. Accessed: Aug. 1, 2026.</w:t>
      </w:r>
    </w:p>
    <w:p w14:paraId="49091831" w14:textId="77777777" w:rsidR="00A5369E" w:rsidRPr="000C46CD" w:rsidRDefault="00000000">
      <w:pPr>
        <w:spacing w:before="240" w:after="240"/>
      </w:pPr>
      <w:r w:rsidRPr="000C46CD">
        <w:t xml:space="preserve">[20] </w:t>
      </w:r>
      <w:proofErr w:type="spellStart"/>
      <w:r w:rsidRPr="000C46CD">
        <w:t>SentinelOne</w:t>
      </w:r>
      <w:proofErr w:type="spellEnd"/>
      <w:r w:rsidRPr="000C46CD">
        <w:t>, “What is NIS2? EU cybersecurity directive explained,” 2026. [Online]. Available:</w:t>
      </w:r>
      <w:hyperlink r:id="rId38">
        <w:r w:rsidRPr="000C46CD">
          <w:t xml:space="preserve"> </w:t>
        </w:r>
      </w:hyperlink>
      <w:hyperlink r:id="rId39">
        <w:r w:rsidRPr="000C46CD">
          <w:rPr>
            <w:color w:val="1155CC"/>
            <w:u w:val="single"/>
          </w:rPr>
          <w:t>https://www.sentinelone.com/cybersecurity-101/cybersecurity/what-is-nis2/</w:t>
        </w:r>
      </w:hyperlink>
      <w:r w:rsidRPr="000C46CD">
        <w:t>. Accessed: Aug. 1, 2026.</w:t>
      </w:r>
    </w:p>
    <w:p w14:paraId="7CF1DB1A" w14:textId="77777777" w:rsidR="00A5369E" w:rsidRPr="000C46CD" w:rsidRDefault="00000000">
      <w:pPr>
        <w:spacing w:before="240" w:after="240"/>
      </w:pPr>
      <w:r w:rsidRPr="000C46CD">
        <w:t>[21] Information Commissioner's Office, “Monetary penalty notice: British Airways plc,” Oct. 16, 2020. [Online]. Available:</w:t>
      </w:r>
      <w:hyperlink r:id="rId40">
        <w:r w:rsidRPr="000C46CD">
          <w:t xml:space="preserve"> </w:t>
        </w:r>
      </w:hyperlink>
      <w:hyperlink r:id="rId41">
        <w:r w:rsidRPr="000C46CD">
          <w:rPr>
            <w:color w:val="1155CC"/>
            <w:u w:val="single"/>
          </w:rPr>
          <w:t>https://ico.org.uk/media2/migrated/2618421/ba-penalty-20201016.pdf</w:t>
        </w:r>
      </w:hyperlink>
      <w:r w:rsidRPr="000C46CD">
        <w:t>. Accessed: Aug. 1, 2026.</w:t>
      </w:r>
    </w:p>
    <w:p w14:paraId="656F6356" w14:textId="77777777" w:rsidR="00A5369E" w:rsidRPr="000C46CD" w:rsidRDefault="00000000">
      <w:pPr>
        <w:spacing w:before="240" w:after="240"/>
      </w:pPr>
      <w:r w:rsidRPr="000C46CD">
        <w:t>[22] URM Consulting, “ISO 27001:2022—A.5 organisational controls (information security management),” 2025. [Online]. Available:</w:t>
      </w:r>
      <w:hyperlink r:id="rId42">
        <w:r w:rsidRPr="000C46CD">
          <w:t xml:space="preserve"> </w:t>
        </w:r>
      </w:hyperlink>
      <w:hyperlink r:id="rId43">
        <w:r w:rsidRPr="000C46CD">
          <w:rPr>
            <w:color w:val="1155CC"/>
            <w:u w:val="single"/>
          </w:rPr>
          <w:t>https://www.urmconsulting.com/blog/iso-27001-2022-a-5-organisational-controls-information-security-management</w:t>
        </w:r>
      </w:hyperlink>
      <w:r w:rsidRPr="000C46CD">
        <w:t>. Accessed: Aug. 1, 2026.</w:t>
      </w:r>
    </w:p>
    <w:p w14:paraId="7D42D3D9" w14:textId="77777777" w:rsidR="00A5369E" w:rsidRPr="000C46CD" w:rsidRDefault="00000000">
      <w:pPr>
        <w:spacing w:before="240" w:after="240"/>
      </w:pPr>
      <w:r w:rsidRPr="000C46CD">
        <w:t xml:space="preserve">[23] O. Ilori, N. Nwosu, and H. N. N. </w:t>
      </w:r>
      <w:proofErr w:type="spellStart"/>
      <w:r w:rsidRPr="000C46CD">
        <w:t>Naiho</w:t>
      </w:r>
      <w:proofErr w:type="spellEnd"/>
      <w:r w:rsidRPr="000C46CD">
        <w:t xml:space="preserve">, “Third-party vendor risks in IT security: A comprehensive audit review and mitigation strategies,” </w:t>
      </w:r>
      <w:r w:rsidRPr="000C46CD">
        <w:rPr>
          <w:i/>
          <w:iCs/>
        </w:rPr>
        <w:t>World Journal of Advanced Research and Reviews</w:t>
      </w:r>
      <w:r w:rsidRPr="000C46CD">
        <w:t xml:space="preserve">, vol. 22, no. 3, pp. 213–224, 2024, </w:t>
      </w:r>
      <w:proofErr w:type="spellStart"/>
      <w:r w:rsidRPr="000C46CD">
        <w:t>doi</w:t>
      </w:r>
      <w:proofErr w:type="spellEnd"/>
      <w:r w:rsidRPr="000C46CD">
        <w:t>: 10.30574/wjarr.2024.22.3.1727.</w:t>
      </w:r>
    </w:p>
    <w:p w14:paraId="07C62478" w14:textId="77777777" w:rsidR="00A5369E" w:rsidRPr="000C46CD" w:rsidRDefault="00000000">
      <w:pPr>
        <w:spacing w:before="240" w:after="240"/>
      </w:pPr>
      <w:r w:rsidRPr="000C46CD">
        <w:t xml:space="preserve">[24] D. Kim and M. G. Solomon, </w:t>
      </w:r>
      <w:r w:rsidRPr="000C46CD">
        <w:rPr>
          <w:i/>
          <w:iCs/>
        </w:rPr>
        <w:t>Fundamentals of Information Systems Security</w:t>
      </w:r>
      <w:r w:rsidRPr="000C46CD">
        <w:t>, 2nd ed. Burlington, MA, USA: Jones &amp; Bartlett Learning, 2013. [Online]. Available:</w:t>
      </w:r>
      <w:hyperlink r:id="rId44">
        <w:r w:rsidRPr="000C46CD">
          <w:t xml:space="preserve"> </w:t>
        </w:r>
      </w:hyperlink>
      <w:hyperlink r:id="rId45">
        <w:r w:rsidRPr="000C46CD">
          <w:rPr>
            <w:color w:val="1155CC"/>
            <w:u w:val="single"/>
          </w:rPr>
          <w:t>https://books.google.com/books?id=me0QAAAAQBAJ</w:t>
        </w:r>
      </w:hyperlink>
      <w:r w:rsidRPr="000C46CD">
        <w:t>. Accessed: Aug. 1, 2026.</w:t>
      </w:r>
    </w:p>
    <w:p w14:paraId="5771D427" w14:textId="77777777" w:rsidR="00A5369E" w:rsidRPr="000C46CD" w:rsidRDefault="00A5369E">
      <w:pPr>
        <w:spacing w:before="240" w:after="240"/>
      </w:pPr>
    </w:p>
    <w:p w14:paraId="44E4BDBA" w14:textId="77777777" w:rsidR="00A5369E" w:rsidRPr="000C46CD" w:rsidRDefault="00A5369E">
      <w:pPr>
        <w:spacing w:before="240" w:after="240"/>
      </w:pPr>
    </w:p>
    <w:sectPr w:rsidR="00A5369E" w:rsidRPr="000C46CD">
      <w:headerReference w:type="default" r:id="rId46"/>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243EEF" w14:textId="77777777" w:rsidR="0069227F" w:rsidRDefault="0069227F">
      <w:pPr>
        <w:spacing w:line="240" w:lineRule="auto"/>
      </w:pPr>
      <w:r>
        <w:separator/>
      </w:r>
    </w:p>
  </w:endnote>
  <w:endnote w:type="continuationSeparator" w:id="0">
    <w:p w14:paraId="4BD4072E" w14:textId="77777777" w:rsidR="0069227F" w:rsidRDefault="006922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ungsuh">
    <w:charset w:val="81"/>
    <w:family w:val="roman"/>
    <w:pitch w:val="variable"/>
    <w:sig w:usb0="B00002AF" w:usb1="69D77CFB" w:usb2="00000030" w:usb3="00000000" w:csb0="0008009F" w:csb1="00000000"/>
    <w:embedRegular r:id="rId1" w:subsetted="1" w:fontKey="{6E1354B5-4AC1-4D59-BA57-F2B6E38F0582}"/>
  </w:font>
  <w:font w:name="Calibri">
    <w:panose1 w:val="020F0502020204030204"/>
    <w:charset w:val="00"/>
    <w:family w:val="swiss"/>
    <w:pitch w:val="variable"/>
    <w:sig w:usb0="E4002EFF" w:usb1="C200247B" w:usb2="00000009" w:usb3="00000000" w:csb0="000001FF" w:csb1="00000000"/>
    <w:embedRegular r:id="rId2" w:fontKey="{EA8B4F74-ECBA-42E0-9D57-E2DAFC163845}"/>
  </w:font>
  <w:font w:name="Cambria">
    <w:panose1 w:val="02040503050406030204"/>
    <w:charset w:val="00"/>
    <w:family w:val="roman"/>
    <w:pitch w:val="variable"/>
    <w:sig w:usb0="E00006FF" w:usb1="420024FF" w:usb2="02000000" w:usb3="00000000" w:csb0="0000019F" w:csb1="00000000"/>
    <w:embedRegular r:id="rId3" w:fontKey="{4F80C860-8FA6-4996-BB04-C25B6176C0BD}"/>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2E4863" w14:textId="77777777" w:rsidR="0069227F" w:rsidRDefault="0069227F">
      <w:pPr>
        <w:spacing w:line="240" w:lineRule="auto"/>
      </w:pPr>
      <w:r>
        <w:separator/>
      </w:r>
    </w:p>
  </w:footnote>
  <w:footnote w:type="continuationSeparator" w:id="0">
    <w:p w14:paraId="49B8E245" w14:textId="77777777" w:rsidR="0069227F" w:rsidRDefault="0069227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E4461F" w14:textId="77777777" w:rsidR="00A5369E" w:rsidRDefault="00000000">
    <w:pPr>
      <w:jc w:val="right"/>
    </w:pPr>
    <w:r>
      <w:fldChar w:fldCharType="begin"/>
    </w:r>
    <w:r>
      <w:instrText>PAGE</w:instrText>
    </w:r>
    <w:r>
      <w:fldChar w:fldCharType="separate"/>
    </w:r>
    <w:r w:rsidR="00880F7A">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1850C0"/>
    <w:multiLevelType w:val="multilevel"/>
    <w:tmpl w:val="A6F807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81780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removePersonalInformation/>
  <w:removeDateAndTime/>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369E"/>
    <w:rsid w:val="000C46CD"/>
    <w:rsid w:val="0069227F"/>
    <w:rsid w:val="00880F7A"/>
    <w:rsid w:val="00A5369E"/>
    <w:rsid w:val="00BB4F8F"/>
    <w:rsid w:val="00E569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856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pPr>
      <w:keepNext/>
      <w:keepLines/>
      <w:spacing w:before="360" w:after="12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line="240" w:lineRule="auto"/>
    </w:pPr>
    <w:tblPr>
      <w:tblStyleRowBandSize w:val="1"/>
      <w:tblStyleColBandSize w:val="1"/>
      <w:tblCellMar>
        <w:top w:w="0" w:type="dxa"/>
        <w:left w:w="108" w:type="dxa"/>
        <w:bottom w:w="0" w:type="dxa"/>
        <w:right w:w="108" w:type="dxa"/>
      </w:tblCellMar>
    </w:tblPr>
  </w:style>
  <w:style w:type="paragraph" w:styleId="Header">
    <w:name w:val="header"/>
    <w:basedOn w:val="Normal"/>
    <w:link w:val="HeaderChar"/>
    <w:uiPriority w:val="99"/>
    <w:unhideWhenUsed/>
    <w:rsid w:val="00BB4F8F"/>
    <w:pPr>
      <w:tabs>
        <w:tab w:val="center" w:pos="4513"/>
        <w:tab w:val="right" w:pos="9026"/>
      </w:tabs>
      <w:spacing w:line="240" w:lineRule="auto"/>
    </w:pPr>
  </w:style>
  <w:style w:type="character" w:customStyle="1" w:styleId="HeaderChar">
    <w:name w:val="Header Char"/>
    <w:basedOn w:val="DefaultParagraphFont"/>
    <w:link w:val="Header"/>
    <w:uiPriority w:val="99"/>
    <w:rsid w:val="00BB4F8F"/>
    <w:rPr>
      <w:lang w:val="en-GB"/>
    </w:rPr>
  </w:style>
  <w:style w:type="paragraph" w:styleId="Footer">
    <w:name w:val="footer"/>
    <w:basedOn w:val="Normal"/>
    <w:link w:val="FooterChar"/>
    <w:uiPriority w:val="99"/>
    <w:unhideWhenUsed/>
    <w:rsid w:val="00BB4F8F"/>
    <w:pPr>
      <w:tabs>
        <w:tab w:val="center" w:pos="4513"/>
        <w:tab w:val="right" w:pos="9026"/>
      </w:tabs>
      <w:spacing w:line="240" w:lineRule="auto"/>
    </w:pPr>
  </w:style>
  <w:style w:type="character" w:customStyle="1" w:styleId="FooterChar">
    <w:name w:val="Footer Char"/>
    <w:basedOn w:val="DefaultParagraphFont"/>
    <w:link w:val="Footer"/>
    <w:uiPriority w:val="99"/>
    <w:rsid w:val="00BB4F8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iso.org/standard/27001" TargetMode="External"/><Relationship Id="rId18" Type="http://schemas.openxmlformats.org/officeDocument/2006/relationships/hyperlink" Target="https://abim.go.ug/sites/files/%28ITIL%29%20Axelos%20-%20ITIL%20Foundation%204%20edition-Axelos%20%282019%29%5B1%5D.pdf" TargetMode="External"/><Relationship Id="rId26" Type="http://schemas.openxmlformats.org/officeDocument/2006/relationships/hyperlink" Target="https://gdprlocal.com/eu-ai-act-summary/" TargetMode="External"/><Relationship Id="rId39" Type="http://schemas.openxmlformats.org/officeDocument/2006/relationships/hyperlink" Target="https://www.sentinelone.com/cybersecurity-101/cybersecurity/what-is-nis2/" TargetMode="External"/><Relationship Id="rId21" Type="http://schemas.openxmlformats.org/officeDocument/2006/relationships/hyperlink" Target="https://ico.org.uk/for-organisations/uk-gdpr-guidance-and-resources/accountability-and-governance/data-protection-impact-assessments-dpias/" TargetMode="External"/><Relationship Id="rId34" Type="http://schemas.openxmlformats.org/officeDocument/2006/relationships/hyperlink" Target="https://nvlpubs.nist.gov/nistpubs/specialpublications/NIST.SP.800-207.pdf" TargetMode="External"/><Relationship Id="rId42" Type="http://schemas.openxmlformats.org/officeDocument/2006/relationships/hyperlink" Target="https://www.urmconsulting.com/blog/iso-27001-2022-a-5-organisational-controls-information-security-management"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isaca.org/resources/news-and-trends/industry-news/2019/employing-cobit-2019-for-enterprise-governance-strategy" TargetMode="External"/><Relationship Id="rId29" Type="http://schemas.openxmlformats.org/officeDocument/2006/relationships/hyperlink" Target="https://www.bsigroup.com/siteassets/pdf/en/products-and-services/en-nl-as-scert-dgt-nss-dt-mpd-mp-nis2brochure-002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10.3233/JCM-237067" TargetMode="External"/><Relationship Id="rId24" Type="http://schemas.openxmlformats.org/officeDocument/2006/relationships/hyperlink" Target="https://commission.europa.eu/law/law-topic/data-protection/legal-framework-eu-data-protection_en" TargetMode="External"/><Relationship Id="rId32" Type="http://schemas.openxmlformats.org/officeDocument/2006/relationships/hyperlink" Target="https://www.iso.org/standard/75106.html" TargetMode="External"/><Relationship Id="rId37" Type="http://schemas.openxmlformats.org/officeDocument/2006/relationships/hyperlink" Target="https://www.gtlaw.com/en/insights/2025/8/eu-nis-2-directive-expanded-cybersecurity-obligations-for-key-sectors" TargetMode="External"/><Relationship Id="rId40" Type="http://schemas.openxmlformats.org/officeDocument/2006/relationships/hyperlink" Target="https://ico.org.uk/media2/migrated/2618421/ba-penalty-20201016.pdf" TargetMode="External"/><Relationship Id="rId45" Type="http://schemas.openxmlformats.org/officeDocument/2006/relationships/hyperlink" Target="https://books.google.com/books?id=me0QAAAAQBAJ" TargetMode="External"/><Relationship Id="rId5" Type="http://schemas.openxmlformats.org/officeDocument/2006/relationships/footnotes" Target="footnotes.xml"/><Relationship Id="rId15" Type="http://schemas.openxmlformats.org/officeDocument/2006/relationships/hyperlink" Target="https://www.cio.com/article/228151/what-is-cobit-a-framework-for-alignment-and-governance.html" TargetMode="External"/><Relationship Id="rId23" Type="http://schemas.openxmlformats.org/officeDocument/2006/relationships/hyperlink" Target="https://commission.europa.eu/news-and-media/news/ai-act-enters-force-2024-08-01_en" TargetMode="External"/><Relationship Id="rId28" Type="http://schemas.openxmlformats.org/officeDocument/2006/relationships/hyperlink" Target="https://www.bsigroup.com/siteassets/pdf/en/products-and-services/en-nl-as-scert-dgt-nss-dt-mpd-mp-nis2brochure-0025.pdf" TargetMode="External"/><Relationship Id="rId36" Type="http://schemas.openxmlformats.org/officeDocument/2006/relationships/hyperlink" Target="https://www.gtlaw.com/en/insights/2025/8/eu-nis-2-directive-expanded-cybersecurity-obligations-for-key-sectors" TargetMode="External"/><Relationship Id="rId10" Type="http://schemas.openxmlformats.org/officeDocument/2006/relationships/hyperlink" Target="https://journals.sagepub.com/doi/10.3233/JCM-237067" TargetMode="External"/><Relationship Id="rId19" Type="http://schemas.openxmlformats.org/officeDocument/2006/relationships/hyperlink" Target="https://abim.go.ug/sites/files/%28ITIL%29%20Axelos%20-%20ITIL%20Foundation%204%20edition-Axelos%20%282019%29%5B1%5D.pdf" TargetMode="External"/><Relationship Id="rId31" Type="http://schemas.openxmlformats.org/officeDocument/2006/relationships/hyperlink" Target="https://www.ibm.com/think/x-force/2025-cost-of-a-data-breach-navigating-ai" TargetMode="External"/><Relationship Id="rId44" Type="http://schemas.openxmlformats.org/officeDocument/2006/relationships/hyperlink" Target="https://books.google.com/books?id=me0QAAAAQBAJ"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io.com/article/228151/what-is-cobit-a-framework-for-alignment-and-governance.html" TargetMode="External"/><Relationship Id="rId22" Type="http://schemas.openxmlformats.org/officeDocument/2006/relationships/hyperlink" Target="https://commission.europa.eu/news-and-media/news/ai-act-enters-force-2024-08-01_en" TargetMode="External"/><Relationship Id="rId27" Type="http://schemas.openxmlformats.org/officeDocument/2006/relationships/hyperlink" Target="https://gdprlocal.com/eu-ai-act-summary/" TargetMode="External"/><Relationship Id="rId30" Type="http://schemas.openxmlformats.org/officeDocument/2006/relationships/hyperlink" Target="https://www.ibm.com/think/x-force/2025-cost-of-a-data-breach-navigating-ai" TargetMode="External"/><Relationship Id="rId35" Type="http://schemas.openxmlformats.org/officeDocument/2006/relationships/hyperlink" Target="https://nvlpubs.nist.gov/nistpubs/specialpublications/NIST.SP.800-207.pdf" TargetMode="External"/><Relationship Id="rId43" Type="http://schemas.openxmlformats.org/officeDocument/2006/relationships/hyperlink" Target="https://www.urmconsulting.com/blog/iso-27001-2022-a-5-organisational-controls-information-security-management"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iso.org/standard/27001" TargetMode="External"/><Relationship Id="rId17" Type="http://schemas.openxmlformats.org/officeDocument/2006/relationships/hyperlink" Target="https://www.isaca.org/resources/news-and-trends/industry-news/2019/employing-cobit-2019-for-enterprise-governance-strategy" TargetMode="External"/><Relationship Id="rId25" Type="http://schemas.openxmlformats.org/officeDocument/2006/relationships/hyperlink" Target="https://commission.europa.eu/law/law-topic/data-protection/legal-framework-eu-data-protection_en" TargetMode="External"/><Relationship Id="rId33" Type="http://schemas.openxmlformats.org/officeDocument/2006/relationships/hyperlink" Target="https://www.iso.org/standard/75106.html" TargetMode="External"/><Relationship Id="rId38" Type="http://schemas.openxmlformats.org/officeDocument/2006/relationships/hyperlink" Target="https://www.sentinelone.com/cybersecurity-101/cybersecurity/what-is-nis2/" TargetMode="External"/><Relationship Id="rId46" Type="http://schemas.openxmlformats.org/officeDocument/2006/relationships/header" Target="header1.xml"/><Relationship Id="rId20" Type="http://schemas.openxmlformats.org/officeDocument/2006/relationships/hyperlink" Target="https://ico.org.uk/for-organisations/uk-gdpr-guidance-and-resources/accountability-and-governance/data-protection-impact-assessments-dpias/" TargetMode="External"/><Relationship Id="rId41" Type="http://schemas.openxmlformats.org/officeDocument/2006/relationships/hyperlink" Target="https://ico.org.uk/media2/migrated/2618421/ba-penalty-20201016.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19</Pages>
  <Words>5079</Words>
  <Characters>28953</Characters>
  <Application>Microsoft Office Word</Application>
  <DocSecurity>0</DocSecurity>
  <Lines>241</Lines>
  <Paragraphs>67</Paragraphs>
  <ScaleCrop>false</ScaleCrop>
  <Company/>
  <LinksUpToDate>false</LinksUpToDate>
  <CharactersWithSpaces>33965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2026-08-12T12:53:00Z</dcterms:created>
  <dcterms:modified xsi:type="dcterms:W3CDTF">2026-08-12T12:53:00Z</dcterms:modified>
</cp:coreProperties>
</file>