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98870775"/>
        <w:docPartObj>
          <w:docPartGallery w:val="Cover Pages"/>
          <w:docPartUnique/>
        </w:docPartObj>
      </w:sdtPr>
      <w:sdtEndPr>
        <w:rPr>
          <w:rFonts w:ascii="Arial" w:hAnsi="Arial" w:cs="Arial"/>
          <w:sz w:val="24"/>
          <w:szCs w:val="24"/>
        </w:rPr>
      </w:sdtEndPr>
      <w:sdtContent>
        <w:p w14:paraId="17DFAB11" w14:textId="35F8861C" w:rsidR="00DF74EE" w:rsidRDefault="00DF74EE">
          <w:r>
            <w:rPr>
              <w:noProof/>
            </w:rPr>
            <mc:AlternateContent>
              <mc:Choice Requires="wpg">
                <w:drawing>
                  <wp:anchor distT="0" distB="0" distL="114300" distR="114300" simplePos="0" relativeHeight="251661824" behindDoc="0" locked="0" layoutInCell="1" allowOverlap="1" wp14:anchorId="7AB263BE" wp14:editId="28A9758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6B9324F" id="Group 51" o:spid="_x0000_s1026" style="position:absolute;margin-left:0;margin-top:0;width:8in;height:95.7pt;z-index:25166182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56704" behindDoc="0" locked="0" layoutInCell="1" allowOverlap="1" wp14:anchorId="080F49B7" wp14:editId="4D8B9A6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5AE9F5" w14:textId="78752EF1" w:rsidR="00DF74EE" w:rsidRDefault="00DF74EE">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80F49B7" id="_x0000_t202" coordsize="21600,21600" o:spt="202" path="m,l,21600r21600,l21600,xe">
                    <v:stroke joinstyle="miter"/>
                    <v:path gradientshapeok="t" o:connecttype="rect"/>
                  </v:shapetype>
                  <v:shape id="Text Box 52" o:spid="_x0000_s1026" type="#_x0000_t202" style="position:absolute;margin-left:0;margin-top:0;width:8in;height:1in;z-index:2516567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05AE9F5" w14:textId="78752EF1" w:rsidR="00DF74EE" w:rsidRDefault="00DF74EE">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5680" behindDoc="0" locked="0" layoutInCell="1" allowOverlap="1" wp14:anchorId="13ADAFCC" wp14:editId="4B93FEE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625B01" w14:textId="1DE0013C" w:rsidR="00DF74EE" w:rsidRPr="00DF74EE" w:rsidRDefault="00000000" w:rsidP="00DF74EE">
                                <w:pPr>
                                  <w:jc w:val="right"/>
                                  <w:rPr>
                                    <w:rFonts w:ascii="Arial" w:hAnsi="Arial" w:cs="Arial"/>
                                    <w:color w:val="156082" w:themeColor="accent1"/>
                                    <w:sz w:val="40"/>
                                    <w:szCs w:val="40"/>
                                  </w:rPr>
                                </w:pPr>
                                <w:sdt>
                                  <w:sdtPr>
                                    <w:rPr>
                                      <w:rFonts w:ascii="Arial" w:hAnsi="Arial" w:cs="Arial"/>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F74EE" w:rsidRPr="00DF74EE">
                                      <w:rPr>
                                        <w:rFonts w:ascii="Arial" w:hAnsi="Arial" w:cs="Arial"/>
                                        <w:sz w:val="40"/>
                                        <w:szCs w:val="40"/>
                                      </w:rPr>
                                      <w:t>Essay: Discuss how the evolution</w:t>
                                    </w:r>
                                    <w:r w:rsidR="00DF74EE" w:rsidRPr="00DF74EE">
                                      <w:rPr>
                                        <w:rFonts w:ascii="Arial" w:hAnsi="Arial" w:cs="Arial"/>
                                        <w:sz w:val="40"/>
                                        <w:szCs w:val="40"/>
                                      </w:rPr>
                                      <w:br/>
                                      <w:t>of HRM facilitates the strategic</w:t>
                                    </w:r>
                                    <w:r w:rsidR="00DF74EE" w:rsidRPr="00DF74EE">
                                      <w:rPr>
                                        <w:rFonts w:ascii="Arial" w:hAnsi="Arial" w:cs="Arial"/>
                                        <w:sz w:val="40"/>
                                        <w:szCs w:val="40"/>
                                      </w:rPr>
                                      <w:br/>
                                      <w:t>development of an international</w:t>
                                    </w:r>
                                    <w:r w:rsidR="00DF74EE" w:rsidRPr="00DF74EE">
                                      <w:rPr>
                                        <w:rFonts w:ascii="Arial" w:hAnsi="Arial" w:cs="Arial"/>
                                        <w:sz w:val="40"/>
                                        <w:szCs w:val="40"/>
                                      </w:rPr>
                                      <w:br/>
                                      <w:t xml:space="preserve">hotel brand through </w:t>
                                    </w:r>
                                    <w:r w:rsidR="00DF74EE">
                                      <w:rPr>
                                        <w:rFonts w:ascii="Arial" w:hAnsi="Arial" w:cs="Arial"/>
                                        <w:sz w:val="40"/>
                                        <w:szCs w:val="40"/>
                                      </w:rPr>
                                      <w:t xml:space="preserve">the </w:t>
                                    </w:r>
                                    <w:r w:rsidR="00DF74EE" w:rsidRPr="00DF74EE">
                                      <w:rPr>
                                        <w:rFonts w:ascii="Arial" w:hAnsi="Arial" w:cs="Arial"/>
                                        <w:sz w:val="40"/>
                                        <w:szCs w:val="40"/>
                                      </w:rPr>
                                      <w:t>workforce</w:t>
                                    </w:r>
                                    <w:r w:rsidR="00DF74EE" w:rsidRPr="00DF74EE">
                                      <w:rPr>
                                        <w:rFonts w:ascii="Arial" w:hAnsi="Arial" w:cs="Arial"/>
                                        <w:sz w:val="40"/>
                                        <w:szCs w:val="40"/>
                                      </w:rPr>
                                      <w:br/>
                                      <w:t>planning, recruitment and</w:t>
                                    </w:r>
                                    <w:r w:rsidR="00DF74EE" w:rsidRPr="00DF74EE">
                                      <w:rPr>
                                        <w:rFonts w:ascii="Arial" w:hAnsi="Arial" w:cs="Arial"/>
                                        <w:sz w:val="40"/>
                                        <w:szCs w:val="40"/>
                                      </w:rPr>
                                      <w:br/>
                                      <w:t>selection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E4A3137" w14:textId="434BD205" w:rsidR="00DF74EE" w:rsidRDefault="00DF74EE">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3ADAFCC" id="Text Box 54" o:spid="_x0000_s1027" type="#_x0000_t202" style="position:absolute;margin-left:0;margin-top:0;width:8in;height:286.5pt;z-index:251655680;visibility:visible;mso-wrap-style:square;mso-width-percent:0;mso-height-percent:0;mso-top-percent:300;mso-wrap-distance-left:9pt;mso-wrap-distance-top:0;mso-wrap-distance-right:9pt;mso-wrap-distance-bottom:0;mso-position-horizontal:center;mso-position-horizontal-relative:page;mso-position-vertical-relative:page;mso-width-percent:0;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" filled="f" stroked="f" strokeweight=".5pt">
                    <v:textbox inset="126pt,0,54pt,0">
                      <w:txbxContent>
                        <w:p w14:paraId="5E625B01" w14:textId="1DE0013C" w:rsidR="00DF74EE" w:rsidRPr="00DF74EE" w:rsidRDefault="00000000" w:rsidP="00DF74EE">
                          <w:pPr>
                            <w:jc w:val="right"/>
                            <w:rPr>
                              <w:rFonts w:ascii="Arial" w:hAnsi="Arial" w:cs="Arial"/>
                              <w:color w:val="156082" w:themeColor="accent1"/>
                              <w:sz w:val="40"/>
                              <w:szCs w:val="40"/>
                            </w:rPr>
                          </w:pPr>
                          <w:sdt>
                            <w:sdtPr>
                              <w:rPr>
                                <w:rFonts w:ascii="Arial" w:hAnsi="Arial" w:cs="Arial"/>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F74EE" w:rsidRPr="00DF74EE">
                                <w:rPr>
                                  <w:rFonts w:ascii="Arial" w:hAnsi="Arial" w:cs="Arial"/>
                                  <w:sz w:val="40"/>
                                  <w:szCs w:val="40"/>
                                </w:rPr>
                                <w:t>Essay: Discuss how the evolution</w:t>
                              </w:r>
                              <w:r w:rsidR="00DF74EE" w:rsidRPr="00DF74EE">
                                <w:rPr>
                                  <w:rFonts w:ascii="Arial" w:hAnsi="Arial" w:cs="Arial"/>
                                  <w:sz w:val="40"/>
                                  <w:szCs w:val="40"/>
                                </w:rPr>
                                <w:br/>
                                <w:t>of HRM facilitates the strategic</w:t>
                              </w:r>
                              <w:r w:rsidR="00DF74EE" w:rsidRPr="00DF74EE">
                                <w:rPr>
                                  <w:rFonts w:ascii="Arial" w:hAnsi="Arial" w:cs="Arial"/>
                                  <w:sz w:val="40"/>
                                  <w:szCs w:val="40"/>
                                </w:rPr>
                                <w:br/>
                                <w:t>development of an international</w:t>
                              </w:r>
                              <w:r w:rsidR="00DF74EE" w:rsidRPr="00DF74EE">
                                <w:rPr>
                                  <w:rFonts w:ascii="Arial" w:hAnsi="Arial" w:cs="Arial"/>
                                  <w:sz w:val="40"/>
                                  <w:szCs w:val="40"/>
                                </w:rPr>
                                <w:br/>
                                <w:t xml:space="preserve">hotel brand through </w:t>
                              </w:r>
                              <w:r w:rsidR="00DF74EE">
                                <w:rPr>
                                  <w:rFonts w:ascii="Arial" w:hAnsi="Arial" w:cs="Arial"/>
                                  <w:sz w:val="40"/>
                                  <w:szCs w:val="40"/>
                                </w:rPr>
                                <w:t xml:space="preserve">the </w:t>
                              </w:r>
                              <w:r w:rsidR="00DF74EE" w:rsidRPr="00DF74EE">
                                <w:rPr>
                                  <w:rFonts w:ascii="Arial" w:hAnsi="Arial" w:cs="Arial"/>
                                  <w:sz w:val="40"/>
                                  <w:szCs w:val="40"/>
                                </w:rPr>
                                <w:t>workforce</w:t>
                              </w:r>
                              <w:r w:rsidR="00DF74EE" w:rsidRPr="00DF74EE">
                                <w:rPr>
                                  <w:rFonts w:ascii="Arial" w:hAnsi="Arial" w:cs="Arial"/>
                                  <w:sz w:val="40"/>
                                  <w:szCs w:val="40"/>
                                </w:rPr>
                                <w:br/>
                                <w:t>planning, recruitment and</w:t>
                              </w:r>
                              <w:r w:rsidR="00DF74EE" w:rsidRPr="00DF74EE">
                                <w:rPr>
                                  <w:rFonts w:ascii="Arial" w:hAnsi="Arial" w:cs="Arial"/>
                                  <w:sz w:val="40"/>
                                  <w:szCs w:val="40"/>
                                </w:rPr>
                                <w:br/>
                                <w:t>selection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E4A3137" w14:textId="434BD205" w:rsidR="00DF74EE" w:rsidRDefault="00DF74E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36400936" w14:textId="3D01ACE5" w:rsidR="00DF74EE" w:rsidRDefault="00DF74EE">
          <w:pPr>
            <w:rPr>
              <w:rFonts w:ascii="Arial" w:hAnsi="Arial" w:cs="Arial"/>
              <w:sz w:val="24"/>
              <w:szCs w:val="24"/>
            </w:rPr>
          </w:pPr>
          <w:r>
            <w:rPr>
              <w:noProof/>
            </w:rPr>
            <mc:AlternateContent>
              <mc:Choice Requires="wps">
                <w:drawing>
                  <wp:anchor distT="0" distB="0" distL="114300" distR="114300" simplePos="0" relativeHeight="251660800" behindDoc="0" locked="0" layoutInCell="1" allowOverlap="1" wp14:anchorId="7FAECEE8" wp14:editId="48248B52">
                    <wp:simplePos x="0" y="0"/>
                    <wp:positionH relativeFrom="page">
                      <wp:posOffset>297180</wp:posOffset>
                    </wp:positionH>
                    <wp:positionV relativeFrom="page">
                      <wp:posOffset>8389620</wp:posOffset>
                    </wp:positionV>
                    <wp:extent cx="7315200" cy="1234440"/>
                    <wp:effectExtent l="0" t="0" r="0" b="381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2344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4A183B" w14:textId="41721F83" w:rsidR="00DF74EE" w:rsidRDefault="00DF74EE" w:rsidP="00DF74EE">
                                <w:pPr>
                                  <w:pStyle w:val="NoSpacing"/>
                                  <w:jc w:val="center"/>
                                  <w:rPr>
                                    <w:rFonts w:ascii="Arial" w:hAnsi="Arial" w:cs="Arial"/>
                                    <w:b/>
                                    <w:bCs/>
                                    <w:sz w:val="32"/>
                                    <w:szCs w:val="32"/>
                                  </w:rPr>
                                </w:pPr>
                                <w:r>
                                  <w:rPr>
                                    <w:rFonts w:ascii="Arial" w:hAnsi="Arial" w:cs="Arial"/>
                                    <w:b/>
                                    <w:bCs/>
                                    <w:sz w:val="32"/>
                                    <w:szCs w:val="32"/>
                                  </w:rPr>
                                  <w:t xml:space="preserve">Student name: Velislava </w:t>
                                </w:r>
                                <w:proofErr w:type="spellStart"/>
                                <w:r>
                                  <w:rPr>
                                    <w:rFonts w:ascii="Arial" w:hAnsi="Arial" w:cs="Arial"/>
                                    <w:b/>
                                    <w:bCs/>
                                    <w:sz w:val="32"/>
                                    <w:szCs w:val="32"/>
                                  </w:rPr>
                                  <w:t>Stoycheva</w:t>
                                </w:r>
                                <w:proofErr w:type="spellEnd"/>
                                <w:r>
                                  <w:rPr>
                                    <w:rFonts w:ascii="Arial" w:hAnsi="Arial" w:cs="Arial"/>
                                    <w:b/>
                                    <w:bCs/>
                                    <w:sz w:val="32"/>
                                    <w:szCs w:val="32"/>
                                  </w:rPr>
                                  <w:t xml:space="preserve"> Hristova</w:t>
                                </w:r>
                              </w:p>
                              <w:p w14:paraId="535F4EDB" w14:textId="21FDA048" w:rsidR="00DF74EE" w:rsidRDefault="00DF74EE" w:rsidP="00DF74EE">
                                <w:pPr>
                                  <w:pStyle w:val="NoSpacing"/>
                                  <w:jc w:val="center"/>
                                  <w:rPr>
                                    <w:rFonts w:ascii="Arial" w:hAnsi="Arial" w:cs="Arial"/>
                                    <w:b/>
                                    <w:bCs/>
                                    <w:sz w:val="32"/>
                                    <w:szCs w:val="32"/>
                                  </w:rPr>
                                </w:pPr>
                                <w:r>
                                  <w:rPr>
                                    <w:rFonts w:ascii="Arial" w:hAnsi="Arial" w:cs="Arial"/>
                                    <w:b/>
                                    <w:bCs/>
                                    <w:sz w:val="32"/>
                                    <w:szCs w:val="32"/>
                                  </w:rPr>
                                  <w:t>Student ID :2233502</w:t>
                                </w:r>
                              </w:p>
                              <w:p w14:paraId="37BD7170" w14:textId="1C67AC4F" w:rsidR="00DF74EE" w:rsidRPr="00DF74EE" w:rsidRDefault="00DF74EE" w:rsidP="00DF74EE">
                                <w:pPr>
                                  <w:pStyle w:val="NoSpacing"/>
                                  <w:jc w:val="center"/>
                                  <w:rPr>
                                    <w:rFonts w:ascii="Arial" w:hAnsi="Arial" w:cs="Arial"/>
                                    <w:b/>
                                    <w:bCs/>
                                    <w:sz w:val="32"/>
                                    <w:szCs w:val="32"/>
                                  </w:rPr>
                                </w:pPr>
                                <w:r w:rsidRPr="00DF74EE">
                                  <w:rPr>
                                    <w:rFonts w:ascii="Arial" w:hAnsi="Arial" w:cs="Arial"/>
                                    <w:b/>
                                    <w:bCs/>
                                    <w:sz w:val="32"/>
                                    <w:szCs w:val="32"/>
                                  </w:rPr>
                                  <w:t xml:space="preserve">Module: Personnel Resourcing and Development </w:t>
                                </w:r>
                              </w:p>
                              <w:p w14:paraId="603A5FDE" w14:textId="7B60482A" w:rsidR="00DF74EE" w:rsidRDefault="00DF74EE" w:rsidP="00DF74EE">
                                <w:pPr>
                                  <w:pStyle w:val="NoSpacing"/>
                                  <w:jc w:val="center"/>
                                  <w:rPr>
                                    <w:rFonts w:ascii="Arial" w:hAnsi="Arial" w:cs="Arial"/>
                                    <w:b/>
                                    <w:bCs/>
                                    <w:sz w:val="32"/>
                                    <w:szCs w:val="32"/>
                                  </w:rPr>
                                </w:pPr>
                                <w:r w:rsidRPr="00DF74EE">
                                  <w:rPr>
                                    <w:rFonts w:ascii="Arial" w:hAnsi="Arial" w:cs="Arial"/>
                                    <w:b/>
                                    <w:bCs/>
                                    <w:sz w:val="32"/>
                                    <w:szCs w:val="32"/>
                                  </w:rPr>
                                  <w:t>Module code: BMIH5005</w:t>
                                </w:r>
                              </w:p>
                              <w:p w14:paraId="3F6AB554" w14:textId="522FB450" w:rsidR="00DF74EE" w:rsidRDefault="00DF74EE" w:rsidP="00DF74EE">
                                <w:pPr>
                                  <w:pStyle w:val="NoSpacing"/>
                                  <w:jc w:val="center"/>
                                  <w:rPr>
                                    <w:rFonts w:ascii="Arial" w:hAnsi="Arial" w:cs="Arial"/>
                                    <w:b/>
                                    <w:bCs/>
                                    <w:sz w:val="32"/>
                                    <w:szCs w:val="32"/>
                                  </w:rPr>
                                </w:pPr>
                                <w:r>
                                  <w:rPr>
                                    <w:rFonts w:ascii="Arial" w:hAnsi="Arial" w:cs="Arial"/>
                                    <w:b/>
                                    <w:bCs/>
                                    <w:sz w:val="32"/>
                                    <w:szCs w:val="32"/>
                                  </w:rPr>
                                  <w:t>Lecturer: Helen Lee</w:t>
                                </w:r>
                              </w:p>
                              <w:p w14:paraId="30715769" w14:textId="77777777" w:rsidR="00DF74EE" w:rsidRPr="00DF74EE" w:rsidRDefault="00DF74EE" w:rsidP="00DF74EE">
                                <w:pPr>
                                  <w:pStyle w:val="NoSpacing"/>
                                  <w:jc w:val="center"/>
                                  <w:rPr>
                                    <w:rFonts w:ascii="Arial" w:hAnsi="Arial" w:cs="Arial"/>
                                    <w:b/>
                                    <w:bCs/>
                                    <w:color w:val="595959" w:themeColor="text1" w:themeTint="A6"/>
                                    <w:sz w:val="32"/>
                                    <w:szCs w:val="32"/>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FAECEE8" id="Text Box 53" o:spid="_x0000_s1028" type="#_x0000_t202" style="position:absolute;margin-left:23.4pt;margin-top:660.6pt;width:8in;height:97.2pt;z-index:25166080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" filled="f" stroked="f" strokeweight=".5pt">
                    <v:textbox inset="126pt,0,54pt,0">
                      <w:txbxContent>
                        <w:p w14:paraId="504A183B" w14:textId="41721F83" w:rsidR="00DF74EE" w:rsidRDefault="00DF74EE" w:rsidP="00DF74EE">
                          <w:pPr>
                            <w:pStyle w:val="NoSpacing"/>
                            <w:jc w:val="center"/>
                            <w:rPr>
                              <w:rFonts w:ascii="Arial" w:hAnsi="Arial" w:cs="Arial"/>
                              <w:b/>
                              <w:bCs/>
                              <w:sz w:val="32"/>
                              <w:szCs w:val="32"/>
                            </w:rPr>
                          </w:pPr>
                          <w:r>
                            <w:rPr>
                              <w:rFonts w:ascii="Arial" w:hAnsi="Arial" w:cs="Arial"/>
                              <w:b/>
                              <w:bCs/>
                              <w:sz w:val="32"/>
                              <w:szCs w:val="32"/>
                            </w:rPr>
                            <w:t xml:space="preserve">Student name: Velislava </w:t>
                          </w:r>
                          <w:proofErr w:type="spellStart"/>
                          <w:r>
                            <w:rPr>
                              <w:rFonts w:ascii="Arial" w:hAnsi="Arial" w:cs="Arial"/>
                              <w:b/>
                              <w:bCs/>
                              <w:sz w:val="32"/>
                              <w:szCs w:val="32"/>
                            </w:rPr>
                            <w:t>Stoycheva</w:t>
                          </w:r>
                          <w:proofErr w:type="spellEnd"/>
                          <w:r>
                            <w:rPr>
                              <w:rFonts w:ascii="Arial" w:hAnsi="Arial" w:cs="Arial"/>
                              <w:b/>
                              <w:bCs/>
                              <w:sz w:val="32"/>
                              <w:szCs w:val="32"/>
                            </w:rPr>
                            <w:t xml:space="preserve"> Hristova</w:t>
                          </w:r>
                        </w:p>
                        <w:p w14:paraId="535F4EDB" w14:textId="21FDA048" w:rsidR="00DF74EE" w:rsidRDefault="00DF74EE" w:rsidP="00DF74EE">
                          <w:pPr>
                            <w:pStyle w:val="NoSpacing"/>
                            <w:jc w:val="center"/>
                            <w:rPr>
                              <w:rFonts w:ascii="Arial" w:hAnsi="Arial" w:cs="Arial"/>
                              <w:b/>
                              <w:bCs/>
                              <w:sz w:val="32"/>
                              <w:szCs w:val="32"/>
                            </w:rPr>
                          </w:pPr>
                          <w:r>
                            <w:rPr>
                              <w:rFonts w:ascii="Arial" w:hAnsi="Arial" w:cs="Arial"/>
                              <w:b/>
                              <w:bCs/>
                              <w:sz w:val="32"/>
                              <w:szCs w:val="32"/>
                            </w:rPr>
                            <w:t>Student ID :2233502</w:t>
                          </w:r>
                        </w:p>
                        <w:p w14:paraId="37BD7170" w14:textId="1C67AC4F" w:rsidR="00DF74EE" w:rsidRPr="00DF74EE" w:rsidRDefault="00DF74EE" w:rsidP="00DF74EE">
                          <w:pPr>
                            <w:pStyle w:val="NoSpacing"/>
                            <w:jc w:val="center"/>
                            <w:rPr>
                              <w:rFonts w:ascii="Arial" w:hAnsi="Arial" w:cs="Arial"/>
                              <w:b/>
                              <w:bCs/>
                              <w:sz w:val="32"/>
                              <w:szCs w:val="32"/>
                            </w:rPr>
                          </w:pPr>
                          <w:r w:rsidRPr="00DF74EE">
                            <w:rPr>
                              <w:rFonts w:ascii="Arial" w:hAnsi="Arial" w:cs="Arial"/>
                              <w:b/>
                              <w:bCs/>
                              <w:sz w:val="32"/>
                              <w:szCs w:val="32"/>
                            </w:rPr>
                            <w:t xml:space="preserve">Module: Personnel Resourcing and Development </w:t>
                          </w:r>
                        </w:p>
                        <w:p w14:paraId="603A5FDE" w14:textId="7B60482A" w:rsidR="00DF74EE" w:rsidRDefault="00DF74EE" w:rsidP="00DF74EE">
                          <w:pPr>
                            <w:pStyle w:val="NoSpacing"/>
                            <w:jc w:val="center"/>
                            <w:rPr>
                              <w:rFonts w:ascii="Arial" w:hAnsi="Arial" w:cs="Arial"/>
                              <w:b/>
                              <w:bCs/>
                              <w:sz w:val="32"/>
                              <w:szCs w:val="32"/>
                            </w:rPr>
                          </w:pPr>
                          <w:r w:rsidRPr="00DF74EE">
                            <w:rPr>
                              <w:rFonts w:ascii="Arial" w:hAnsi="Arial" w:cs="Arial"/>
                              <w:b/>
                              <w:bCs/>
                              <w:sz w:val="32"/>
                              <w:szCs w:val="32"/>
                            </w:rPr>
                            <w:t>Module code: BMIH5005</w:t>
                          </w:r>
                        </w:p>
                        <w:p w14:paraId="3F6AB554" w14:textId="522FB450" w:rsidR="00DF74EE" w:rsidRDefault="00DF74EE" w:rsidP="00DF74EE">
                          <w:pPr>
                            <w:pStyle w:val="NoSpacing"/>
                            <w:jc w:val="center"/>
                            <w:rPr>
                              <w:rFonts w:ascii="Arial" w:hAnsi="Arial" w:cs="Arial"/>
                              <w:b/>
                              <w:bCs/>
                              <w:sz w:val="32"/>
                              <w:szCs w:val="32"/>
                            </w:rPr>
                          </w:pPr>
                          <w:r>
                            <w:rPr>
                              <w:rFonts w:ascii="Arial" w:hAnsi="Arial" w:cs="Arial"/>
                              <w:b/>
                              <w:bCs/>
                              <w:sz w:val="32"/>
                              <w:szCs w:val="32"/>
                            </w:rPr>
                            <w:t>Lecturer: Helen Lee</w:t>
                          </w:r>
                        </w:p>
                        <w:p w14:paraId="30715769" w14:textId="77777777" w:rsidR="00DF74EE" w:rsidRPr="00DF74EE" w:rsidRDefault="00DF74EE" w:rsidP="00DF74EE">
                          <w:pPr>
                            <w:pStyle w:val="NoSpacing"/>
                            <w:jc w:val="center"/>
                            <w:rPr>
                              <w:rFonts w:ascii="Arial" w:hAnsi="Arial" w:cs="Arial"/>
                              <w:b/>
                              <w:bCs/>
                              <w:color w:val="595959" w:themeColor="text1" w:themeTint="A6"/>
                              <w:sz w:val="32"/>
                              <w:szCs w:val="32"/>
                            </w:rPr>
                          </w:pPr>
                        </w:p>
                      </w:txbxContent>
                    </v:textbox>
                    <w10:wrap type="square" anchorx="page" anchory="page"/>
                  </v:shape>
                </w:pict>
              </mc:Fallback>
            </mc:AlternateContent>
          </w:r>
          <w:r>
            <w:rPr>
              <w:rFonts w:ascii="Arial" w:hAnsi="Arial" w:cs="Arial"/>
              <w:noProof/>
              <w:sz w:val="24"/>
              <w:szCs w:val="24"/>
            </w:rPr>
            <w:drawing>
              <wp:inline distT="0" distB="0" distL="0" distR="0" wp14:anchorId="2E1EF006" wp14:editId="19F979E8">
                <wp:extent cx="2621280" cy="1743710"/>
                <wp:effectExtent l="0" t="0" r="7620" b="8890"/>
                <wp:docPr id="206475997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1280" cy="1743710"/>
                        </a:xfrm>
                        <a:prstGeom prst="rect">
                          <a:avLst/>
                        </a:prstGeom>
                        <a:noFill/>
                      </pic:spPr>
                    </pic:pic>
                  </a:graphicData>
                </a:graphic>
              </wp:inline>
            </w:drawing>
          </w:r>
          <w:r>
            <w:rPr>
              <w:rFonts w:ascii="Arial" w:hAnsi="Arial" w:cs="Arial"/>
              <w:sz w:val="24"/>
              <w:szCs w:val="24"/>
            </w:rPr>
            <w:br w:type="page"/>
          </w:r>
        </w:p>
      </w:sdtContent>
    </w:sdt>
    <w:p w14:paraId="4D98406B" w14:textId="44EF9550" w:rsidR="001554F2" w:rsidRDefault="001554F2" w:rsidP="001554F2">
      <w:pPr>
        <w:spacing w:line="360" w:lineRule="auto"/>
        <w:jc w:val="both"/>
        <w:rPr>
          <w:rFonts w:ascii="Arial" w:hAnsi="Arial" w:cs="Arial"/>
          <w:b/>
          <w:bCs/>
          <w:sz w:val="24"/>
          <w:szCs w:val="24"/>
        </w:rPr>
      </w:pPr>
      <w:r w:rsidRPr="001554F2">
        <w:rPr>
          <w:rFonts w:ascii="Arial" w:hAnsi="Arial" w:cs="Arial"/>
          <w:b/>
          <w:bCs/>
          <w:sz w:val="24"/>
          <w:szCs w:val="24"/>
        </w:rPr>
        <w:lastRenderedPageBreak/>
        <w:t>Title: The Evolution of HRM in Hilton: A Catalyst for Strategic Development</w:t>
      </w:r>
    </w:p>
    <w:p w14:paraId="2A44C7D5" w14:textId="77777777" w:rsidR="006249BF" w:rsidRDefault="006249BF" w:rsidP="001554F2">
      <w:pPr>
        <w:spacing w:line="360" w:lineRule="auto"/>
        <w:jc w:val="both"/>
        <w:rPr>
          <w:rFonts w:ascii="Arial" w:hAnsi="Arial" w:cs="Arial"/>
          <w:b/>
          <w:bCs/>
          <w:sz w:val="24"/>
          <w:szCs w:val="24"/>
        </w:rPr>
      </w:pPr>
    </w:p>
    <w:p w14:paraId="755C7B9F" w14:textId="5490B6A9" w:rsidR="006249BF" w:rsidRPr="001554F2" w:rsidRDefault="001554F2" w:rsidP="001554F2">
      <w:pPr>
        <w:spacing w:line="360" w:lineRule="auto"/>
        <w:jc w:val="both"/>
        <w:rPr>
          <w:rFonts w:ascii="Arial" w:hAnsi="Arial" w:cs="Arial"/>
          <w:sz w:val="24"/>
          <w:szCs w:val="24"/>
        </w:rPr>
      </w:pPr>
      <w:r w:rsidRPr="001554F2">
        <w:rPr>
          <w:rFonts w:ascii="Arial" w:hAnsi="Arial" w:cs="Arial"/>
          <w:sz w:val="24"/>
          <w:szCs w:val="24"/>
        </w:rPr>
        <w:t>In the ever-evolving landscape of the global hospitality industry, international hotel brands like Hilton must strategically manage their human resources to stay ahead. This essay delves into how the evolution of Human Resources Management (HRM) in Hilton contributes to strategic development through efficient workforce planning, recruitment, and selection processes. By exploring the shifting roles of HRM, the strategic functions of HR, and the intricacies of HR planning and recruitment, we gain insights into Hilton's unique approach to sustaining a competitive edge in the international hotel sector.</w:t>
      </w:r>
    </w:p>
    <w:p w14:paraId="1F6FD991" w14:textId="4EBC5C8B" w:rsidR="006249BF" w:rsidRPr="001554F2" w:rsidRDefault="001554F2" w:rsidP="001554F2">
      <w:pPr>
        <w:spacing w:line="360" w:lineRule="auto"/>
        <w:jc w:val="both"/>
        <w:rPr>
          <w:rFonts w:ascii="Arial" w:hAnsi="Arial" w:cs="Arial"/>
          <w:sz w:val="24"/>
          <w:szCs w:val="24"/>
        </w:rPr>
      </w:pPr>
      <w:r w:rsidRPr="001554F2">
        <w:rPr>
          <w:rFonts w:ascii="Arial" w:hAnsi="Arial" w:cs="Arial"/>
          <w:sz w:val="24"/>
          <w:szCs w:val="24"/>
        </w:rPr>
        <w:t>The evolution of HRM signifies a transition from a traditional administrative role to a strategic partner within organizations (Armstrong &amp; Taylor, 2020). The 15th edition of "Armstrong’s Handbook of Human Resource Management Practice" accentuates this transformation, emphasizing the alignment of HR practices with overarching business objectives. Historically, HR departments were viewed as entities responsible for administrative tasks such as payroll and benefits management. However, with globalization and increased competition, HRM has evolved to become a strategic enabler for organizational success.</w:t>
      </w:r>
    </w:p>
    <w:p w14:paraId="1E323EAF" w14:textId="77777777" w:rsidR="001554F2" w:rsidRDefault="001554F2" w:rsidP="001554F2">
      <w:pPr>
        <w:spacing w:line="360" w:lineRule="auto"/>
        <w:jc w:val="both"/>
        <w:rPr>
          <w:rFonts w:ascii="Arial" w:hAnsi="Arial" w:cs="Arial"/>
          <w:sz w:val="24"/>
          <w:szCs w:val="24"/>
        </w:rPr>
      </w:pPr>
      <w:r w:rsidRPr="001554F2">
        <w:rPr>
          <w:rFonts w:ascii="Arial" w:hAnsi="Arial" w:cs="Arial"/>
          <w:sz w:val="24"/>
          <w:szCs w:val="24"/>
        </w:rPr>
        <w:t>The strategic role of HR functions within Hilton is integral to the brand's success. Torrington et al. (2020) highlight that HR functions extend beyond personnel administration to actively shape organizational strategies. In Hilton, HR functions are strategic partners actively involved in aligning the workforce with the brand's overall goals and objectives. This strategic alignment is evident in Hilton's commitment to developing a diverse and talented workforce capable of delivering exceptional service globally.</w:t>
      </w:r>
    </w:p>
    <w:p w14:paraId="4FE13CA7" w14:textId="78B7B81E" w:rsidR="001554F2" w:rsidRPr="001554F2" w:rsidRDefault="001554F2" w:rsidP="001554F2">
      <w:pPr>
        <w:spacing w:line="360" w:lineRule="auto"/>
        <w:jc w:val="both"/>
        <w:rPr>
          <w:rFonts w:ascii="Arial" w:hAnsi="Arial" w:cs="Arial"/>
          <w:sz w:val="24"/>
          <w:szCs w:val="24"/>
        </w:rPr>
      </w:pPr>
      <w:r w:rsidRPr="001554F2">
        <w:rPr>
          <w:rFonts w:ascii="Arial" w:hAnsi="Arial" w:cs="Arial"/>
          <w:sz w:val="24"/>
          <w:szCs w:val="24"/>
        </w:rPr>
        <w:t xml:space="preserve">Strategic HR planning at Hilton involves forecasting </w:t>
      </w:r>
      <w:proofErr w:type="spellStart"/>
      <w:r w:rsidR="00502423">
        <w:rPr>
          <w:rFonts w:ascii="Arial" w:hAnsi="Arial" w:cs="Arial"/>
          <w:sz w:val="24"/>
          <w:szCs w:val="24"/>
        </w:rPr>
        <w:t>labor</w:t>
      </w:r>
      <w:proofErr w:type="spellEnd"/>
      <w:r w:rsidRPr="001554F2">
        <w:rPr>
          <w:rFonts w:ascii="Arial" w:hAnsi="Arial" w:cs="Arial"/>
          <w:sz w:val="24"/>
          <w:szCs w:val="24"/>
        </w:rPr>
        <w:t xml:space="preserve"> demand and supply, goal setting, and strategic planning (Marchington &amp; Wilkinson, 2016). Forecasting </w:t>
      </w:r>
      <w:proofErr w:type="spellStart"/>
      <w:r w:rsidR="00502423">
        <w:rPr>
          <w:rFonts w:ascii="Arial" w:hAnsi="Arial" w:cs="Arial"/>
          <w:sz w:val="24"/>
          <w:szCs w:val="24"/>
        </w:rPr>
        <w:t>labor</w:t>
      </w:r>
      <w:proofErr w:type="spellEnd"/>
      <w:r w:rsidRPr="001554F2">
        <w:rPr>
          <w:rFonts w:ascii="Arial" w:hAnsi="Arial" w:cs="Arial"/>
          <w:sz w:val="24"/>
          <w:szCs w:val="24"/>
        </w:rPr>
        <w:t xml:space="preserve"> demand necessitates anticipating staffing needs based on factors such as seasonal variations, market trends, and organizational growth. Goal setting ensures that HR initiatives align with Hilton's overarching business strategy. For example, Hilton's commitment to sustainability is reflected in its HR planning, where efforts are made to </w:t>
      </w:r>
      <w:r w:rsidRPr="001554F2">
        <w:rPr>
          <w:rFonts w:ascii="Arial" w:hAnsi="Arial" w:cs="Arial"/>
          <w:sz w:val="24"/>
          <w:szCs w:val="24"/>
        </w:rPr>
        <w:lastRenderedPageBreak/>
        <w:t>hire individuals with expertise in eco-friendly practices, contributing to the brand's environmental objectives.</w:t>
      </w:r>
    </w:p>
    <w:p w14:paraId="0EE0A29F" w14:textId="77777777" w:rsidR="001554F2" w:rsidRPr="001554F2" w:rsidRDefault="001554F2" w:rsidP="001554F2">
      <w:pPr>
        <w:spacing w:line="360" w:lineRule="auto"/>
        <w:jc w:val="both"/>
        <w:rPr>
          <w:rFonts w:ascii="Arial" w:hAnsi="Arial" w:cs="Arial"/>
          <w:sz w:val="24"/>
          <w:szCs w:val="24"/>
        </w:rPr>
      </w:pPr>
      <w:r w:rsidRPr="001554F2">
        <w:rPr>
          <w:rFonts w:ascii="Arial" w:hAnsi="Arial" w:cs="Arial"/>
          <w:sz w:val="24"/>
          <w:szCs w:val="24"/>
        </w:rPr>
        <w:t>The implementation and evaluation of HR programs in Hilton are essential for continuous improvement and adaptability in the competitive hotel industry. Regular assessments of training programs, employee engagement initiatives, and performance management systems allow Hilton to fine-tune its HR strategies. This adaptability is crucial in an industry where customer preferences and market dynamics are constantly changing.</w:t>
      </w:r>
    </w:p>
    <w:p w14:paraId="46475F60" w14:textId="77777777" w:rsidR="001554F2" w:rsidRPr="001554F2" w:rsidRDefault="001554F2" w:rsidP="001554F2">
      <w:pPr>
        <w:spacing w:line="360" w:lineRule="auto"/>
        <w:jc w:val="both"/>
        <w:rPr>
          <w:rFonts w:ascii="Arial" w:hAnsi="Arial" w:cs="Arial"/>
          <w:sz w:val="24"/>
          <w:szCs w:val="24"/>
        </w:rPr>
      </w:pPr>
      <w:r w:rsidRPr="001554F2">
        <w:rPr>
          <w:rFonts w:ascii="Arial" w:hAnsi="Arial" w:cs="Arial"/>
          <w:sz w:val="24"/>
          <w:szCs w:val="24"/>
        </w:rPr>
        <w:t>Hilton's recruitment and selection processes are meticulously designed to attract and retain top talent. The eBook "Human Resource Management" by Torrington et al. (2020) underscores the importance of effective recruitment processes in securing a skilled and motivated workforce. Hilton's recruitment stages involve sourcing candidates with specific skills and attributes tailored to the hospitality sector. For instance, the emphasis on cultural competence and language skills in recruitment ensures that Hilton's employees can effectively communicate and connect with diverse guests.</w:t>
      </w:r>
    </w:p>
    <w:p w14:paraId="3B22CF60" w14:textId="0CB808D2" w:rsidR="001554F2" w:rsidRPr="001554F2" w:rsidRDefault="001554F2" w:rsidP="001554F2">
      <w:pPr>
        <w:spacing w:line="360" w:lineRule="auto"/>
        <w:jc w:val="both"/>
        <w:rPr>
          <w:rFonts w:ascii="Arial" w:hAnsi="Arial" w:cs="Arial"/>
          <w:sz w:val="24"/>
          <w:szCs w:val="24"/>
        </w:rPr>
      </w:pPr>
      <w:r w:rsidRPr="001554F2">
        <w:rPr>
          <w:rFonts w:ascii="Arial" w:hAnsi="Arial" w:cs="Arial"/>
          <w:sz w:val="24"/>
          <w:szCs w:val="24"/>
        </w:rPr>
        <w:t xml:space="preserve">The selection process at Hilton is thorough, ensuring candidates not only meet job requirements but also align with Hilton's values and service standards. </w:t>
      </w:r>
      <w:proofErr w:type="spellStart"/>
      <w:r w:rsidR="00502423">
        <w:rPr>
          <w:rFonts w:ascii="Arial" w:hAnsi="Arial" w:cs="Arial"/>
          <w:sz w:val="24"/>
          <w:szCs w:val="24"/>
        </w:rPr>
        <w:t>Behavioral</w:t>
      </w:r>
      <w:proofErr w:type="spellEnd"/>
      <w:r w:rsidRPr="001554F2">
        <w:rPr>
          <w:rFonts w:ascii="Arial" w:hAnsi="Arial" w:cs="Arial"/>
          <w:sz w:val="24"/>
          <w:szCs w:val="24"/>
        </w:rPr>
        <w:t xml:space="preserve"> interviews and skills assessments are integral components of Hilton's selection process, ensuring that selected candidates not only possess the technical skills required for the job but also embody the brand's ethos. This meticulous selection process contributes to the creation of a workforce that is not only skilled but also aligned with Hilton's commitment to exceptional customer service.</w:t>
      </w:r>
    </w:p>
    <w:p w14:paraId="0FACA1B6" w14:textId="58AFA3F9" w:rsidR="001554F2" w:rsidRPr="001554F2" w:rsidRDefault="001554F2" w:rsidP="001554F2">
      <w:pPr>
        <w:spacing w:line="360" w:lineRule="auto"/>
        <w:jc w:val="both"/>
        <w:rPr>
          <w:rFonts w:ascii="Arial" w:hAnsi="Arial" w:cs="Arial"/>
          <w:sz w:val="24"/>
          <w:szCs w:val="24"/>
        </w:rPr>
      </w:pPr>
      <w:r w:rsidRPr="001554F2">
        <w:rPr>
          <w:rFonts w:ascii="Arial" w:hAnsi="Arial" w:cs="Arial"/>
          <w:sz w:val="24"/>
          <w:szCs w:val="24"/>
        </w:rPr>
        <w:t xml:space="preserve">Hilton's commitment to strategic HRM is exemplified in its workforce planning, recruitment, and selection processes. For instance, Hilton engages in comprehensive workforce planning to accommodate seasonal demand fluctuations, optimizing staffing levels to ensure operational efficiency. This involves forecasting peak periods and adjusting staffing </w:t>
      </w:r>
      <w:r w:rsidR="00502423" w:rsidRPr="001554F2">
        <w:rPr>
          <w:rFonts w:ascii="Arial" w:hAnsi="Arial" w:cs="Arial"/>
          <w:sz w:val="24"/>
          <w:szCs w:val="24"/>
        </w:rPr>
        <w:t>levels,</w:t>
      </w:r>
      <w:r w:rsidRPr="001554F2">
        <w:rPr>
          <w:rFonts w:ascii="Arial" w:hAnsi="Arial" w:cs="Arial"/>
          <w:sz w:val="24"/>
          <w:szCs w:val="24"/>
        </w:rPr>
        <w:t xml:space="preserve"> accordingly, ensuring that Hilton can provide a seamless and exceptional guest experience during high-demand periods.</w:t>
      </w:r>
    </w:p>
    <w:p w14:paraId="6CC46C8D" w14:textId="77777777" w:rsidR="001554F2" w:rsidRPr="001554F2" w:rsidRDefault="001554F2" w:rsidP="001554F2">
      <w:pPr>
        <w:spacing w:line="360" w:lineRule="auto"/>
        <w:jc w:val="both"/>
        <w:rPr>
          <w:rFonts w:ascii="Arial" w:hAnsi="Arial" w:cs="Arial"/>
          <w:sz w:val="24"/>
          <w:szCs w:val="24"/>
        </w:rPr>
      </w:pPr>
      <w:r w:rsidRPr="001554F2">
        <w:rPr>
          <w:rFonts w:ascii="Arial" w:hAnsi="Arial" w:cs="Arial"/>
          <w:sz w:val="24"/>
          <w:szCs w:val="24"/>
        </w:rPr>
        <w:t xml:space="preserve">In recruitment, Hilton actively seeks individuals with cultural competence and language skills suitable for diverse markets, contributing to the brand's global success. The emphasis on diversity and inclusion in recruitment is aligned with contemporary </w:t>
      </w:r>
      <w:r w:rsidRPr="001554F2">
        <w:rPr>
          <w:rFonts w:ascii="Arial" w:hAnsi="Arial" w:cs="Arial"/>
          <w:sz w:val="24"/>
          <w:szCs w:val="24"/>
        </w:rPr>
        <w:lastRenderedPageBreak/>
        <w:t>research that emphasizes the positive impact of diverse teams on organizational performance (Cox &amp; Blake, 1991). By actively seeking individuals with diverse perspectives and backgrounds, Hilton enhances its ability to adapt to different market nuances and deliver tailored services to a global clientele.</w:t>
      </w:r>
    </w:p>
    <w:p w14:paraId="46854838" w14:textId="040A8A18" w:rsidR="001554F2" w:rsidRPr="001554F2" w:rsidRDefault="001554F2" w:rsidP="001554F2">
      <w:pPr>
        <w:spacing w:line="360" w:lineRule="auto"/>
        <w:jc w:val="both"/>
        <w:rPr>
          <w:rFonts w:ascii="Arial" w:hAnsi="Arial" w:cs="Arial"/>
          <w:sz w:val="24"/>
          <w:szCs w:val="24"/>
        </w:rPr>
      </w:pPr>
      <w:r w:rsidRPr="001554F2">
        <w:rPr>
          <w:rFonts w:ascii="Arial" w:hAnsi="Arial" w:cs="Arial"/>
          <w:sz w:val="24"/>
          <w:szCs w:val="24"/>
        </w:rPr>
        <w:t xml:space="preserve">The selection process at Hilton involves </w:t>
      </w:r>
      <w:proofErr w:type="spellStart"/>
      <w:r w:rsidR="000A560B">
        <w:rPr>
          <w:rFonts w:ascii="Arial" w:hAnsi="Arial" w:cs="Arial"/>
          <w:sz w:val="24"/>
          <w:szCs w:val="24"/>
        </w:rPr>
        <w:t>behavioral</w:t>
      </w:r>
      <w:proofErr w:type="spellEnd"/>
      <w:r w:rsidRPr="001554F2">
        <w:rPr>
          <w:rFonts w:ascii="Arial" w:hAnsi="Arial" w:cs="Arial"/>
          <w:sz w:val="24"/>
          <w:szCs w:val="24"/>
        </w:rPr>
        <w:t xml:space="preserve"> interviews and skills assessments, ensuring that selected candidates not only possess the technical skills required for the job but also embody the brand's ethos. For instance, Hilton's commitment to sustainability is reflected in its selection process, where candidates with a demonstrated passion for environmental conservation may be given preference. This aligns with the contemporary trend of organizations incorporating environmental and social responsibility into their hiring criteria (Sharma &amp; Iyer, 2020).</w:t>
      </w:r>
    </w:p>
    <w:p w14:paraId="18005167" w14:textId="77777777" w:rsidR="001554F2" w:rsidRPr="001554F2" w:rsidRDefault="001554F2" w:rsidP="001554F2">
      <w:pPr>
        <w:spacing w:line="360" w:lineRule="auto"/>
        <w:jc w:val="both"/>
        <w:rPr>
          <w:rFonts w:ascii="Arial" w:hAnsi="Arial" w:cs="Arial"/>
          <w:sz w:val="24"/>
          <w:szCs w:val="24"/>
        </w:rPr>
      </w:pPr>
      <w:r w:rsidRPr="001554F2">
        <w:rPr>
          <w:rFonts w:ascii="Arial" w:hAnsi="Arial" w:cs="Arial"/>
          <w:sz w:val="24"/>
          <w:szCs w:val="24"/>
        </w:rPr>
        <w:t>The managerial and business environment within which Hilton's HR professionals operate is influenced by various internal and external factors (Friedman, 2012). Internally, organizational culture and structure shape HR strategies, while externally, factors such as economic conditions, regulatory changes, and industry trends impact decision-making. Hilton's HR professionals navigate these complexities, crafting HR strategies that align with the brand's overarching goals and ensure a competitive edge in the global hospitality market.</w:t>
      </w:r>
    </w:p>
    <w:p w14:paraId="5F3F8D59" w14:textId="23607A8F" w:rsidR="001554F2" w:rsidRPr="001554F2" w:rsidRDefault="001554F2" w:rsidP="001554F2">
      <w:pPr>
        <w:spacing w:line="360" w:lineRule="auto"/>
        <w:jc w:val="both"/>
        <w:rPr>
          <w:rFonts w:ascii="Arial" w:hAnsi="Arial" w:cs="Arial"/>
          <w:sz w:val="24"/>
          <w:szCs w:val="24"/>
        </w:rPr>
      </w:pPr>
      <w:r w:rsidRPr="001554F2">
        <w:rPr>
          <w:rFonts w:ascii="Arial" w:hAnsi="Arial" w:cs="Arial"/>
          <w:sz w:val="24"/>
          <w:szCs w:val="24"/>
        </w:rPr>
        <w:t>Internally, Hilton's organizational culture is characterized by a commitment to excellence, innovation, and customer satisfaction. HR strategies are crafted to reinforce and promote this culture, ensuring that employees at all levels embody the values that define the Hilton brand. For instance, training programs may emphasize customer-centric approaches and performance management systems may be designed to recognize and reward employees who consistently deliver exceptional service.</w:t>
      </w:r>
    </w:p>
    <w:p w14:paraId="241E7144" w14:textId="5B779380" w:rsidR="001554F2" w:rsidRPr="001554F2" w:rsidRDefault="001554F2" w:rsidP="001554F2">
      <w:pPr>
        <w:spacing w:line="360" w:lineRule="auto"/>
        <w:jc w:val="both"/>
        <w:rPr>
          <w:rFonts w:ascii="Arial" w:hAnsi="Arial" w:cs="Arial"/>
          <w:sz w:val="24"/>
          <w:szCs w:val="24"/>
        </w:rPr>
      </w:pPr>
      <w:r w:rsidRPr="001554F2">
        <w:rPr>
          <w:rFonts w:ascii="Arial" w:hAnsi="Arial" w:cs="Arial"/>
          <w:sz w:val="24"/>
          <w:szCs w:val="24"/>
        </w:rPr>
        <w:t xml:space="preserve">Externally, economic conditions, regulatory changes, and industry trends significantly impact HR decision-making. Economic downturns may necessitate cost-effective HR strategies, such as optimizing staffing levels and introducing flexible work arrangements. Regulatory changes, especially in the areas of </w:t>
      </w:r>
      <w:proofErr w:type="spellStart"/>
      <w:r w:rsidR="00502423">
        <w:rPr>
          <w:rFonts w:ascii="Arial" w:hAnsi="Arial" w:cs="Arial"/>
          <w:sz w:val="24"/>
          <w:szCs w:val="24"/>
        </w:rPr>
        <w:t>labor</w:t>
      </w:r>
      <w:proofErr w:type="spellEnd"/>
      <w:r w:rsidRPr="001554F2">
        <w:rPr>
          <w:rFonts w:ascii="Arial" w:hAnsi="Arial" w:cs="Arial"/>
          <w:sz w:val="24"/>
          <w:szCs w:val="24"/>
        </w:rPr>
        <w:t xml:space="preserve"> and environmental laws, may require Hilton to adapt its HR policies to remain compliant. Industry trends, such as the rise of technology in hospitality services, may influence HR strategies related to workforce skill development and training.</w:t>
      </w:r>
    </w:p>
    <w:p w14:paraId="7EE3489C" w14:textId="77777777" w:rsidR="001554F2" w:rsidRPr="001554F2" w:rsidRDefault="001554F2" w:rsidP="001554F2">
      <w:pPr>
        <w:spacing w:line="360" w:lineRule="auto"/>
        <w:jc w:val="both"/>
        <w:rPr>
          <w:rFonts w:ascii="Arial" w:hAnsi="Arial" w:cs="Arial"/>
          <w:sz w:val="24"/>
          <w:szCs w:val="24"/>
        </w:rPr>
      </w:pPr>
      <w:r w:rsidRPr="001554F2">
        <w:rPr>
          <w:rFonts w:ascii="Arial" w:hAnsi="Arial" w:cs="Arial"/>
          <w:sz w:val="24"/>
          <w:szCs w:val="24"/>
        </w:rPr>
        <w:lastRenderedPageBreak/>
        <w:t>Hilton's focus on personnel development contributes significantly to positive organizational outcomes. Continuing professional development, as emphasized by Friedman (2012), ensures that HR professionals at Hilton stay abreast of industry trends, enabling them to contribute effectively to organizational success. This commitment to ongoing learning extends beyond HR professionals to include all levels of employees within Hilton.</w:t>
      </w:r>
    </w:p>
    <w:p w14:paraId="70657F5B" w14:textId="7EC31257" w:rsidR="001554F2" w:rsidRPr="001554F2" w:rsidRDefault="001554F2" w:rsidP="001554F2">
      <w:pPr>
        <w:spacing w:line="360" w:lineRule="auto"/>
        <w:jc w:val="both"/>
        <w:rPr>
          <w:rFonts w:ascii="Arial" w:hAnsi="Arial" w:cs="Arial"/>
          <w:sz w:val="24"/>
          <w:szCs w:val="24"/>
        </w:rPr>
      </w:pPr>
      <w:r w:rsidRPr="001554F2">
        <w:rPr>
          <w:rFonts w:ascii="Arial" w:hAnsi="Arial" w:cs="Arial"/>
          <w:sz w:val="24"/>
          <w:szCs w:val="24"/>
        </w:rPr>
        <w:t xml:space="preserve">For HR professionals, continuous learning involves staying informed about emerging trends in HR technology, changes in </w:t>
      </w:r>
      <w:proofErr w:type="spellStart"/>
      <w:r w:rsidR="00502423">
        <w:rPr>
          <w:rFonts w:ascii="Arial" w:hAnsi="Arial" w:cs="Arial"/>
          <w:sz w:val="24"/>
          <w:szCs w:val="24"/>
        </w:rPr>
        <w:t>labor</w:t>
      </w:r>
      <w:proofErr w:type="spellEnd"/>
      <w:r w:rsidRPr="001554F2">
        <w:rPr>
          <w:rFonts w:ascii="Arial" w:hAnsi="Arial" w:cs="Arial"/>
          <w:sz w:val="24"/>
          <w:szCs w:val="24"/>
        </w:rPr>
        <w:t xml:space="preserve"> laws, and innovations in talent management. This ongoing development ensures that HR strategies remain agile and responsive to evolving industry standards. Additionally, HR professionals may participate in industry conferences, workshops, and webinars to exchange insights with peers and stay updated on best practices in the field.</w:t>
      </w:r>
    </w:p>
    <w:p w14:paraId="00D3BB7A" w14:textId="77777777" w:rsidR="001554F2" w:rsidRPr="001554F2" w:rsidRDefault="001554F2" w:rsidP="001554F2">
      <w:pPr>
        <w:spacing w:line="360" w:lineRule="auto"/>
        <w:jc w:val="both"/>
        <w:rPr>
          <w:rFonts w:ascii="Arial" w:hAnsi="Arial" w:cs="Arial"/>
          <w:sz w:val="24"/>
          <w:szCs w:val="24"/>
        </w:rPr>
      </w:pPr>
      <w:r w:rsidRPr="001554F2">
        <w:rPr>
          <w:rFonts w:ascii="Arial" w:hAnsi="Arial" w:cs="Arial"/>
          <w:sz w:val="24"/>
          <w:szCs w:val="24"/>
        </w:rPr>
        <w:t>At the operational level, Hilton invests in the continuous training and development of its frontline staff. Training programs focus on equipping employees with the skills and knowledge necessary to deliver exceptional service. For instance, employees may undergo regular training on the use of new technology in hospitality services, ensuring that they can efficiently navigate digital platforms and provide guests with a seamless experience.</w:t>
      </w:r>
    </w:p>
    <w:p w14:paraId="08DEFE19" w14:textId="251ED292" w:rsidR="001554F2" w:rsidRPr="001554F2" w:rsidRDefault="001554F2" w:rsidP="001554F2">
      <w:pPr>
        <w:spacing w:line="360" w:lineRule="auto"/>
        <w:jc w:val="both"/>
        <w:rPr>
          <w:rFonts w:ascii="Arial" w:hAnsi="Arial" w:cs="Arial"/>
          <w:sz w:val="24"/>
          <w:szCs w:val="24"/>
        </w:rPr>
      </w:pPr>
      <w:r w:rsidRPr="001554F2">
        <w:rPr>
          <w:rFonts w:ascii="Arial" w:hAnsi="Arial" w:cs="Arial"/>
          <w:sz w:val="24"/>
          <w:szCs w:val="24"/>
        </w:rPr>
        <w:t>The positive organizational outcomes resulting from personnel development are evident in various aspects of Hilton's performance. Employee satisfaction and engagement are likely to be higher among individuals who feel supported in their professional growth. Higher engagement levels contribute to lower turnover rates, creating a stable and experienced workforce that positively impacts the quality of service delivered to guests (Harter et al., 2002). Moreover, ongoing personnel development aligns with contemporary research indicating a positive correlation between employee development and organizational performance (</w:t>
      </w:r>
      <w:proofErr w:type="spellStart"/>
      <w:r w:rsidRPr="001554F2">
        <w:rPr>
          <w:rFonts w:ascii="Arial" w:hAnsi="Arial" w:cs="Arial"/>
          <w:sz w:val="24"/>
          <w:szCs w:val="24"/>
        </w:rPr>
        <w:t>Marsick</w:t>
      </w:r>
      <w:proofErr w:type="spellEnd"/>
      <w:r w:rsidRPr="001554F2">
        <w:rPr>
          <w:rFonts w:ascii="Arial" w:hAnsi="Arial" w:cs="Arial"/>
          <w:sz w:val="24"/>
          <w:szCs w:val="24"/>
        </w:rPr>
        <w:t xml:space="preserve"> &amp; Watkins, 2003).</w:t>
      </w:r>
    </w:p>
    <w:p w14:paraId="6DC6CB10" w14:textId="2B371099" w:rsidR="001554F2" w:rsidRDefault="001554F2" w:rsidP="001554F2">
      <w:pPr>
        <w:spacing w:line="360" w:lineRule="auto"/>
        <w:jc w:val="both"/>
        <w:rPr>
          <w:rFonts w:ascii="Arial" w:hAnsi="Arial" w:cs="Arial"/>
          <w:sz w:val="24"/>
          <w:szCs w:val="24"/>
        </w:rPr>
      </w:pPr>
      <w:r w:rsidRPr="001554F2">
        <w:rPr>
          <w:rFonts w:ascii="Arial" w:hAnsi="Arial" w:cs="Arial"/>
          <w:sz w:val="24"/>
          <w:szCs w:val="24"/>
        </w:rPr>
        <w:t xml:space="preserve">In conclusion, the evolution of HRM in </w:t>
      </w:r>
      <w:r w:rsidR="006249BF">
        <w:rPr>
          <w:rFonts w:ascii="Arial" w:hAnsi="Arial" w:cs="Arial"/>
          <w:sz w:val="24"/>
          <w:szCs w:val="24"/>
        </w:rPr>
        <w:t xml:space="preserve">the </w:t>
      </w:r>
      <w:r w:rsidRPr="001554F2">
        <w:rPr>
          <w:rFonts w:ascii="Arial" w:hAnsi="Arial" w:cs="Arial"/>
          <w:sz w:val="24"/>
          <w:szCs w:val="24"/>
        </w:rPr>
        <w:t xml:space="preserve">Hilton International Hotel Brand is a critical factor in facilitating strategic development through effective workforce planning, recruitment, and selection processes. Hilton's strategic approach to HR functions aligns with its overall business objectives, contributing to the brand's competitive advantage in the international hotel industry. The examination of the managerial and </w:t>
      </w:r>
      <w:r w:rsidRPr="001554F2">
        <w:rPr>
          <w:rFonts w:ascii="Arial" w:hAnsi="Arial" w:cs="Arial"/>
          <w:sz w:val="24"/>
          <w:szCs w:val="24"/>
        </w:rPr>
        <w:lastRenderedPageBreak/>
        <w:t>business environment highlights the challenges and opportunities faced by HR professionals in crafting HR strategies that address both internal and external factors. The personnel development initiatives at Hilton underscore the brand's commitment to sustaining a skilled and engaged workforce, positively impacting organizational outcomes.</w:t>
      </w:r>
    </w:p>
    <w:p w14:paraId="46F1F29C" w14:textId="77777777" w:rsidR="006249BF" w:rsidRDefault="006249BF" w:rsidP="001554F2">
      <w:pPr>
        <w:spacing w:line="360" w:lineRule="auto"/>
        <w:jc w:val="both"/>
        <w:rPr>
          <w:rFonts w:ascii="Arial" w:hAnsi="Arial" w:cs="Arial"/>
          <w:sz w:val="24"/>
          <w:szCs w:val="24"/>
        </w:rPr>
      </w:pPr>
    </w:p>
    <w:p w14:paraId="3BFEEAD0" w14:textId="77777777" w:rsidR="006249BF" w:rsidRDefault="006249BF" w:rsidP="001554F2">
      <w:pPr>
        <w:spacing w:line="360" w:lineRule="auto"/>
        <w:jc w:val="both"/>
        <w:rPr>
          <w:rFonts w:ascii="Arial" w:hAnsi="Arial" w:cs="Arial"/>
          <w:sz w:val="24"/>
          <w:szCs w:val="24"/>
        </w:rPr>
      </w:pPr>
    </w:p>
    <w:p w14:paraId="630B36C4" w14:textId="77777777" w:rsidR="006249BF" w:rsidRDefault="006249BF" w:rsidP="001554F2">
      <w:pPr>
        <w:spacing w:line="360" w:lineRule="auto"/>
        <w:jc w:val="both"/>
        <w:rPr>
          <w:rFonts w:ascii="Arial" w:hAnsi="Arial" w:cs="Arial"/>
          <w:sz w:val="24"/>
          <w:szCs w:val="24"/>
        </w:rPr>
      </w:pPr>
    </w:p>
    <w:p w14:paraId="150A75B4" w14:textId="77777777" w:rsidR="006249BF" w:rsidRDefault="006249BF" w:rsidP="001554F2">
      <w:pPr>
        <w:spacing w:line="360" w:lineRule="auto"/>
        <w:jc w:val="both"/>
        <w:rPr>
          <w:rFonts w:ascii="Arial" w:hAnsi="Arial" w:cs="Arial"/>
          <w:sz w:val="24"/>
          <w:szCs w:val="24"/>
        </w:rPr>
      </w:pPr>
    </w:p>
    <w:p w14:paraId="6449343C" w14:textId="77777777" w:rsidR="006249BF" w:rsidRDefault="006249BF" w:rsidP="001554F2">
      <w:pPr>
        <w:spacing w:line="360" w:lineRule="auto"/>
        <w:jc w:val="both"/>
        <w:rPr>
          <w:rFonts w:ascii="Arial" w:hAnsi="Arial" w:cs="Arial"/>
          <w:sz w:val="24"/>
          <w:szCs w:val="24"/>
        </w:rPr>
      </w:pPr>
    </w:p>
    <w:p w14:paraId="4543A93B" w14:textId="77777777" w:rsidR="006249BF" w:rsidRDefault="006249BF" w:rsidP="001554F2">
      <w:pPr>
        <w:spacing w:line="360" w:lineRule="auto"/>
        <w:jc w:val="both"/>
        <w:rPr>
          <w:rFonts w:ascii="Arial" w:hAnsi="Arial" w:cs="Arial"/>
          <w:sz w:val="24"/>
          <w:szCs w:val="24"/>
        </w:rPr>
      </w:pPr>
    </w:p>
    <w:p w14:paraId="17D58516" w14:textId="77777777" w:rsidR="006249BF" w:rsidRDefault="006249BF" w:rsidP="001554F2">
      <w:pPr>
        <w:spacing w:line="360" w:lineRule="auto"/>
        <w:jc w:val="both"/>
        <w:rPr>
          <w:rFonts w:ascii="Arial" w:hAnsi="Arial" w:cs="Arial"/>
          <w:sz w:val="24"/>
          <w:szCs w:val="24"/>
        </w:rPr>
      </w:pPr>
    </w:p>
    <w:p w14:paraId="6681C789" w14:textId="77777777" w:rsidR="006249BF" w:rsidRDefault="006249BF" w:rsidP="001554F2">
      <w:pPr>
        <w:spacing w:line="360" w:lineRule="auto"/>
        <w:jc w:val="both"/>
        <w:rPr>
          <w:rFonts w:ascii="Arial" w:hAnsi="Arial" w:cs="Arial"/>
          <w:sz w:val="24"/>
          <w:szCs w:val="24"/>
        </w:rPr>
      </w:pPr>
    </w:p>
    <w:p w14:paraId="2BACD025" w14:textId="77777777" w:rsidR="006249BF" w:rsidRPr="001554F2" w:rsidRDefault="006249BF" w:rsidP="001554F2">
      <w:pPr>
        <w:spacing w:line="360" w:lineRule="auto"/>
        <w:jc w:val="both"/>
        <w:rPr>
          <w:rFonts w:ascii="Arial" w:hAnsi="Arial" w:cs="Arial"/>
          <w:sz w:val="24"/>
          <w:szCs w:val="24"/>
        </w:rPr>
      </w:pPr>
    </w:p>
    <w:p w14:paraId="2D97779C" w14:textId="77777777" w:rsidR="005B6E9F" w:rsidRDefault="005B6E9F" w:rsidP="001554F2">
      <w:pPr>
        <w:spacing w:line="360" w:lineRule="auto"/>
        <w:jc w:val="both"/>
        <w:rPr>
          <w:rFonts w:ascii="Arial" w:hAnsi="Arial" w:cs="Arial"/>
          <w:b/>
          <w:bCs/>
          <w:sz w:val="24"/>
          <w:szCs w:val="24"/>
        </w:rPr>
      </w:pPr>
    </w:p>
    <w:p w14:paraId="3BD020C0" w14:textId="77777777" w:rsidR="005B6E9F" w:rsidRDefault="005B6E9F" w:rsidP="001554F2">
      <w:pPr>
        <w:spacing w:line="360" w:lineRule="auto"/>
        <w:jc w:val="both"/>
        <w:rPr>
          <w:rFonts w:ascii="Arial" w:hAnsi="Arial" w:cs="Arial"/>
          <w:b/>
          <w:bCs/>
          <w:sz w:val="24"/>
          <w:szCs w:val="24"/>
        </w:rPr>
      </w:pPr>
    </w:p>
    <w:p w14:paraId="248F1969" w14:textId="77777777" w:rsidR="005B6E9F" w:rsidRDefault="005B6E9F" w:rsidP="001554F2">
      <w:pPr>
        <w:spacing w:line="360" w:lineRule="auto"/>
        <w:jc w:val="both"/>
        <w:rPr>
          <w:rFonts w:ascii="Arial" w:hAnsi="Arial" w:cs="Arial"/>
          <w:b/>
          <w:bCs/>
          <w:sz w:val="24"/>
          <w:szCs w:val="24"/>
        </w:rPr>
      </w:pPr>
    </w:p>
    <w:p w14:paraId="2EF90B78" w14:textId="77777777" w:rsidR="005B6E9F" w:rsidRDefault="005B6E9F" w:rsidP="001554F2">
      <w:pPr>
        <w:spacing w:line="360" w:lineRule="auto"/>
        <w:jc w:val="both"/>
        <w:rPr>
          <w:rFonts w:ascii="Arial" w:hAnsi="Arial" w:cs="Arial"/>
          <w:b/>
          <w:bCs/>
          <w:sz w:val="24"/>
          <w:szCs w:val="24"/>
        </w:rPr>
      </w:pPr>
    </w:p>
    <w:p w14:paraId="7910E09A" w14:textId="77777777" w:rsidR="005B6E9F" w:rsidRDefault="005B6E9F" w:rsidP="001554F2">
      <w:pPr>
        <w:spacing w:line="360" w:lineRule="auto"/>
        <w:jc w:val="both"/>
        <w:rPr>
          <w:rFonts w:ascii="Arial" w:hAnsi="Arial" w:cs="Arial"/>
          <w:b/>
          <w:bCs/>
          <w:sz w:val="24"/>
          <w:szCs w:val="24"/>
        </w:rPr>
      </w:pPr>
    </w:p>
    <w:p w14:paraId="7427BA2C" w14:textId="77777777" w:rsidR="005B6E9F" w:rsidRDefault="005B6E9F" w:rsidP="001554F2">
      <w:pPr>
        <w:spacing w:line="360" w:lineRule="auto"/>
        <w:jc w:val="both"/>
        <w:rPr>
          <w:rFonts w:ascii="Arial" w:hAnsi="Arial" w:cs="Arial"/>
          <w:b/>
          <w:bCs/>
          <w:sz w:val="24"/>
          <w:szCs w:val="24"/>
        </w:rPr>
      </w:pPr>
    </w:p>
    <w:p w14:paraId="25317D30" w14:textId="77777777" w:rsidR="005B6E9F" w:rsidRDefault="005B6E9F" w:rsidP="001554F2">
      <w:pPr>
        <w:spacing w:line="360" w:lineRule="auto"/>
        <w:jc w:val="both"/>
        <w:rPr>
          <w:rFonts w:ascii="Arial" w:hAnsi="Arial" w:cs="Arial"/>
          <w:b/>
          <w:bCs/>
          <w:sz w:val="24"/>
          <w:szCs w:val="24"/>
        </w:rPr>
      </w:pPr>
    </w:p>
    <w:p w14:paraId="66B06CCE" w14:textId="77777777" w:rsidR="005B6E9F" w:rsidRDefault="005B6E9F" w:rsidP="001554F2">
      <w:pPr>
        <w:spacing w:line="360" w:lineRule="auto"/>
        <w:jc w:val="both"/>
        <w:rPr>
          <w:rFonts w:ascii="Arial" w:hAnsi="Arial" w:cs="Arial"/>
          <w:b/>
          <w:bCs/>
          <w:sz w:val="24"/>
          <w:szCs w:val="24"/>
        </w:rPr>
      </w:pPr>
    </w:p>
    <w:p w14:paraId="6F42785B" w14:textId="77777777" w:rsidR="005B6E9F" w:rsidRDefault="005B6E9F" w:rsidP="001554F2">
      <w:pPr>
        <w:spacing w:line="360" w:lineRule="auto"/>
        <w:jc w:val="both"/>
        <w:rPr>
          <w:rFonts w:ascii="Arial" w:hAnsi="Arial" w:cs="Arial"/>
          <w:b/>
          <w:bCs/>
          <w:sz w:val="24"/>
          <w:szCs w:val="24"/>
        </w:rPr>
      </w:pPr>
    </w:p>
    <w:p w14:paraId="5D904D28" w14:textId="77777777" w:rsidR="005B6E9F" w:rsidRDefault="005B6E9F" w:rsidP="001554F2">
      <w:pPr>
        <w:spacing w:line="360" w:lineRule="auto"/>
        <w:jc w:val="both"/>
        <w:rPr>
          <w:rFonts w:ascii="Arial" w:hAnsi="Arial" w:cs="Arial"/>
          <w:b/>
          <w:bCs/>
          <w:sz w:val="24"/>
          <w:szCs w:val="24"/>
        </w:rPr>
      </w:pPr>
    </w:p>
    <w:p w14:paraId="6675711D" w14:textId="77777777" w:rsidR="005B6E9F" w:rsidRDefault="005B6E9F" w:rsidP="001554F2">
      <w:pPr>
        <w:spacing w:line="360" w:lineRule="auto"/>
        <w:jc w:val="both"/>
        <w:rPr>
          <w:rFonts w:ascii="Arial" w:hAnsi="Arial" w:cs="Arial"/>
          <w:b/>
          <w:bCs/>
          <w:sz w:val="24"/>
          <w:szCs w:val="24"/>
        </w:rPr>
      </w:pPr>
    </w:p>
    <w:p w14:paraId="7E6917AD" w14:textId="14FA6EB2" w:rsidR="001554F2" w:rsidRDefault="001554F2" w:rsidP="001554F2">
      <w:pPr>
        <w:spacing w:line="360" w:lineRule="auto"/>
        <w:jc w:val="both"/>
        <w:rPr>
          <w:rFonts w:ascii="Arial" w:hAnsi="Arial" w:cs="Arial"/>
          <w:b/>
          <w:bCs/>
          <w:sz w:val="24"/>
          <w:szCs w:val="24"/>
        </w:rPr>
      </w:pPr>
      <w:r w:rsidRPr="001554F2">
        <w:rPr>
          <w:rFonts w:ascii="Arial" w:hAnsi="Arial" w:cs="Arial"/>
          <w:b/>
          <w:bCs/>
          <w:sz w:val="24"/>
          <w:szCs w:val="24"/>
        </w:rPr>
        <w:lastRenderedPageBreak/>
        <w:t>Reference List</w:t>
      </w:r>
      <w:r w:rsidR="006249BF">
        <w:rPr>
          <w:rFonts w:ascii="Arial" w:hAnsi="Arial" w:cs="Arial"/>
          <w:b/>
          <w:bCs/>
          <w:sz w:val="24"/>
          <w:szCs w:val="24"/>
        </w:rPr>
        <w:t>:</w:t>
      </w:r>
    </w:p>
    <w:p w14:paraId="73C968AE" w14:textId="77777777" w:rsidR="006249BF" w:rsidRPr="001554F2" w:rsidRDefault="006249BF" w:rsidP="001554F2">
      <w:pPr>
        <w:spacing w:line="360" w:lineRule="auto"/>
        <w:jc w:val="both"/>
        <w:rPr>
          <w:rFonts w:ascii="Arial" w:hAnsi="Arial" w:cs="Arial"/>
          <w:b/>
          <w:bCs/>
          <w:sz w:val="24"/>
          <w:szCs w:val="24"/>
        </w:rPr>
      </w:pPr>
    </w:p>
    <w:p w14:paraId="20BE3339" w14:textId="78EAEDD3" w:rsidR="001554F2" w:rsidRPr="001554F2" w:rsidRDefault="001554F2" w:rsidP="001554F2">
      <w:pPr>
        <w:numPr>
          <w:ilvl w:val="0"/>
          <w:numId w:val="1"/>
        </w:numPr>
        <w:spacing w:line="360" w:lineRule="auto"/>
        <w:jc w:val="both"/>
        <w:rPr>
          <w:rFonts w:ascii="Arial" w:hAnsi="Arial" w:cs="Arial"/>
          <w:sz w:val="24"/>
          <w:szCs w:val="24"/>
        </w:rPr>
      </w:pPr>
      <w:r w:rsidRPr="001554F2">
        <w:rPr>
          <w:rFonts w:ascii="Arial" w:hAnsi="Arial" w:cs="Arial"/>
          <w:sz w:val="24"/>
          <w:szCs w:val="24"/>
        </w:rPr>
        <w:t xml:space="preserve">Armstrong, M., &amp; Taylor, S. (2020). </w:t>
      </w:r>
      <w:r w:rsidRPr="001554F2">
        <w:rPr>
          <w:rFonts w:ascii="Arial" w:hAnsi="Arial" w:cs="Arial"/>
          <w:i/>
          <w:iCs/>
          <w:sz w:val="24"/>
          <w:szCs w:val="24"/>
        </w:rPr>
        <w:t>Armstrong’s handbook of human resource management practice.</w:t>
      </w:r>
      <w:r w:rsidRPr="001554F2">
        <w:rPr>
          <w:rFonts w:ascii="Arial" w:hAnsi="Arial" w:cs="Arial"/>
          <w:sz w:val="24"/>
          <w:szCs w:val="24"/>
        </w:rPr>
        <w:t xml:space="preserve"> 15th edition. </w:t>
      </w:r>
      <w:r w:rsidR="000A560B" w:rsidRPr="001554F2">
        <w:rPr>
          <w:rFonts w:ascii="Arial" w:hAnsi="Arial" w:cs="Arial"/>
          <w:sz w:val="24"/>
          <w:szCs w:val="24"/>
        </w:rPr>
        <w:t>Kogan Page</w:t>
      </w:r>
      <w:r w:rsidRPr="001554F2">
        <w:rPr>
          <w:rFonts w:ascii="Arial" w:hAnsi="Arial" w:cs="Arial"/>
          <w:sz w:val="24"/>
          <w:szCs w:val="24"/>
        </w:rPr>
        <w:t>.</w:t>
      </w:r>
    </w:p>
    <w:p w14:paraId="3BBFD06C" w14:textId="77777777" w:rsidR="001554F2" w:rsidRPr="001554F2" w:rsidRDefault="001554F2" w:rsidP="001554F2">
      <w:pPr>
        <w:numPr>
          <w:ilvl w:val="0"/>
          <w:numId w:val="1"/>
        </w:numPr>
        <w:spacing w:line="360" w:lineRule="auto"/>
        <w:jc w:val="both"/>
        <w:rPr>
          <w:rFonts w:ascii="Arial" w:hAnsi="Arial" w:cs="Arial"/>
          <w:sz w:val="24"/>
          <w:szCs w:val="24"/>
        </w:rPr>
      </w:pPr>
      <w:r w:rsidRPr="001554F2">
        <w:rPr>
          <w:rFonts w:ascii="Arial" w:hAnsi="Arial" w:cs="Arial"/>
          <w:sz w:val="24"/>
          <w:szCs w:val="24"/>
        </w:rPr>
        <w:t xml:space="preserve">Torrington, D., Hall, L., Atkinson, C., &amp; Taylor, S. (2020). </w:t>
      </w:r>
      <w:r w:rsidRPr="001554F2">
        <w:rPr>
          <w:rFonts w:ascii="Arial" w:hAnsi="Arial" w:cs="Arial"/>
          <w:i/>
          <w:iCs/>
          <w:sz w:val="24"/>
          <w:szCs w:val="24"/>
        </w:rPr>
        <w:t>Human Resource Management.</w:t>
      </w:r>
      <w:r w:rsidRPr="001554F2">
        <w:rPr>
          <w:rFonts w:ascii="Arial" w:hAnsi="Arial" w:cs="Arial"/>
          <w:sz w:val="24"/>
          <w:szCs w:val="24"/>
        </w:rPr>
        <w:t xml:space="preserve"> Pearson Education, Limited, Harlow.</w:t>
      </w:r>
    </w:p>
    <w:p w14:paraId="48AB9A59" w14:textId="77777777" w:rsidR="001554F2" w:rsidRPr="001554F2" w:rsidRDefault="001554F2" w:rsidP="001554F2">
      <w:pPr>
        <w:numPr>
          <w:ilvl w:val="0"/>
          <w:numId w:val="1"/>
        </w:numPr>
        <w:spacing w:line="360" w:lineRule="auto"/>
        <w:jc w:val="both"/>
        <w:rPr>
          <w:rFonts w:ascii="Arial" w:hAnsi="Arial" w:cs="Arial"/>
          <w:sz w:val="24"/>
          <w:szCs w:val="24"/>
        </w:rPr>
      </w:pPr>
      <w:r w:rsidRPr="001554F2">
        <w:rPr>
          <w:rFonts w:ascii="Arial" w:hAnsi="Arial" w:cs="Arial"/>
          <w:sz w:val="24"/>
          <w:szCs w:val="24"/>
        </w:rPr>
        <w:t xml:space="preserve">Friedman, A. (2012). </w:t>
      </w:r>
      <w:r w:rsidRPr="001554F2">
        <w:rPr>
          <w:rFonts w:ascii="Arial" w:hAnsi="Arial" w:cs="Arial"/>
          <w:i/>
          <w:iCs/>
          <w:sz w:val="24"/>
          <w:szCs w:val="24"/>
        </w:rPr>
        <w:t>Continuing professional development: lifelong learning of millions.</w:t>
      </w:r>
      <w:r w:rsidRPr="001554F2">
        <w:rPr>
          <w:rFonts w:ascii="Arial" w:hAnsi="Arial" w:cs="Arial"/>
          <w:sz w:val="24"/>
          <w:szCs w:val="24"/>
        </w:rPr>
        <w:t xml:space="preserve"> Routledge.</w:t>
      </w:r>
    </w:p>
    <w:p w14:paraId="7A4D1D5F" w14:textId="77777777" w:rsidR="001554F2" w:rsidRPr="001554F2" w:rsidRDefault="001554F2" w:rsidP="001554F2">
      <w:pPr>
        <w:numPr>
          <w:ilvl w:val="0"/>
          <w:numId w:val="1"/>
        </w:numPr>
        <w:spacing w:line="360" w:lineRule="auto"/>
        <w:jc w:val="both"/>
        <w:rPr>
          <w:rFonts w:ascii="Arial" w:hAnsi="Arial" w:cs="Arial"/>
          <w:sz w:val="24"/>
          <w:szCs w:val="24"/>
        </w:rPr>
      </w:pPr>
      <w:r w:rsidRPr="001554F2">
        <w:rPr>
          <w:rFonts w:ascii="Arial" w:hAnsi="Arial" w:cs="Arial"/>
          <w:sz w:val="24"/>
          <w:szCs w:val="24"/>
        </w:rPr>
        <w:t xml:space="preserve">Marchington, M., &amp; Wilkinson, A. (2016). </w:t>
      </w:r>
      <w:r w:rsidRPr="001554F2">
        <w:rPr>
          <w:rFonts w:ascii="Arial" w:hAnsi="Arial" w:cs="Arial"/>
          <w:i/>
          <w:iCs/>
          <w:sz w:val="24"/>
          <w:szCs w:val="24"/>
        </w:rPr>
        <w:t>Human resource management at work.</w:t>
      </w:r>
      <w:r w:rsidRPr="001554F2">
        <w:rPr>
          <w:rFonts w:ascii="Arial" w:hAnsi="Arial" w:cs="Arial"/>
          <w:sz w:val="24"/>
          <w:szCs w:val="24"/>
        </w:rPr>
        <w:t xml:space="preserve"> 6th ed. Chartered Institute of Personnel and Development.</w:t>
      </w:r>
    </w:p>
    <w:p w14:paraId="7B6CCBEE" w14:textId="77777777" w:rsidR="001554F2" w:rsidRPr="001554F2" w:rsidRDefault="001554F2" w:rsidP="001554F2">
      <w:pPr>
        <w:numPr>
          <w:ilvl w:val="0"/>
          <w:numId w:val="1"/>
        </w:numPr>
        <w:spacing w:line="360" w:lineRule="auto"/>
        <w:jc w:val="both"/>
        <w:rPr>
          <w:rFonts w:ascii="Arial" w:hAnsi="Arial" w:cs="Arial"/>
          <w:sz w:val="24"/>
          <w:szCs w:val="24"/>
        </w:rPr>
      </w:pPr>
      <w:r w:rsidRPr="001554F2">
        <w:rPr>
          <w:rFonts w:ascii="Arial" w:hAnsi="Arial" w:cs="Arial"/>
          <w:sz w:val="24"/>
          <w:szCs w:val="24"/>
        </w:rPr>
        <w:t>Cox, T., &amp; Blake, S. (1991). Managing cultural diversity: Implications for organizational competitiveness. Academy of Management Executive, 5(3), 45-56.</w:t>
      </w:r>
    </w:p>
    <w:p w14:paraId="17D86492" w14:textId="77777777" w:rsidR="001554F2" w:rsidRPr="001554F2" w:rsidRDefault="001554F2" w:rsidP="001554F2">
      <w:pPr>
        <w:numPr>
          <w:ilvl w:val="0"/>
          <w:numId w:val="1"/>
        </w:numPr>
        <w:spacing w:line="360" w:lineRule="auto"/>
        <w:jc w:val="both"/>
        <w:rPr>
          <w:rFonts w:ascii="Arial" w:hAnsi="Arial" w:cs="Arial"/>
          <w:sz w:val="24"/>
          <w:szCs w:val="24"/>
        </w:rPr>
      </w:pPr>
      <w:r w:rsidRPr="001554F2">
        <w:rPr>
          <w:rFonts w:ascii="Arial" w:hAnsi="Arial" w:cs="Arial"/>
          <w:sz w:val="24"/>
          <w:szCs w:val="24"/>
        </w:rPr>
        <w:t>Sharma, S., &amp; Iyer, G. R. (2020). Corporate social responsibility and human resource management: A systematic review and conceptual analysis. Sustainability, 12(15), 6017.</w:t>
      </w:r>
    </w:p>
    <w:p w14:paraId="6396F94C" w14:textId="77777777" w:rsidR="001554F2" w:rsidRPr="001554F2" w:rsidRDefault="001554F2" w:rsidP="001554F2">
      <w:pPr>
        <w:numPr>
          <w:ilvl w:val="0"/>
          <w:numId w:val="1"/>
        </w:numPr>
        <w:spacing w:line="360" w:lineRule="auto"/>
        <w:jc w:val="both"/>
        <w:rPr>
          <w:rFonts w:ascii="Arial" w:hAnsi="Arial" w:cs="Arial"/>
          <w:sz w:val="24"/>
          <w:szCs w:val="24"/>
        </w:rPr>
      </w:pPr>
      <w:r w:rsidRPr="001554F2">
        <w:rPr>
          <w:rFonts w:ascii="Arial" w:hAnsi="Arial" w:cs="Arial"/>
          <w:sz w:val="24"/>
          <w:szCs w:val="24"/>
        </w:rPr>
        <w:t>Harter, J. K., Schmidt, F. L., &amp; Hayes, T. L. (2002). Business-unit-level relationship between employee satisfaction, employee engagement, and business outcomes: A meta-analysis. Journal of Applied Psychology, 87(2), 268.</w:t>
      </w:r>
    </w:p>
    <w:p w14:paraId="31E6C4A8" w14:textId="77777777" w:rsidR="001554F2" w:rsidRPr="001554F2" w:rsidRDefault="001554F2" w:rsidP="001554F2">
      <w:pPr>
        <w:numPr>
          <w:ilvl w:val="0"/>
          <w:numId w:val="1"/>
        </w:numPr>
        <w:spacing w:line="360" w:lineRule="auto"/>
        <w:jc w:val="both"/>
        <w:rPr>
          <w:rFonts w:ascii="Arial" w:hAnsi="Arial" w:cs="Arial"/>
          <w:sz w:val="24"/>
          <w:szCs w:val="24"/>
        </w:rPr>
      </w:pPr>
      <w:proofErr w:type="spellStart"/>
      <w:r w:rsidRPr="001554F2">
        <w:rPr>
          <w:rFonts w:ascii="Arial" w:hAnsi="Arial" w:cs="Arial"/>
          <w:sz w:val="24"/>
          <w:szCs w:val="24"/>
        </w:rPr>
        <w:t>Marsick</w:t>
      </w:r>
      <w:proofErr w:type="spellEnd"/>
      <w:r w:rsidRPr="001554F2">
        <w:rPr>
          <w:rFonts w:ascii="Arial" w:hAnsi="Arial" w:cs="Arial"/>
          <w:sz w:val="24"/>
          <w:szCs w:val="24"/>
        </w:rPr>
        <w:t>, V. J., &amp; Watkins, K. E. (2003). Demonstrating the value of an organization’s learning culture: The dimensions of the learning organization questionnaire. Advances in Developing Human Resources, 5(2), 132-151.</w:t>
      </w:r>
    </w:p>
    <w:p w14:paraId="7D133805" w14:textId="492E0C2C" w:rsidR="001554F2" w:rsidRPr="001554F2" w:rsidRDefault="001554F2" w:rsidP="001554F2">
      <w:pPr>
        <w:numPr>
          <w:ilvl w:val="0"/>
          <w:numId w:val="1"/>
        </w:numPr>
        <w:spacing w:line="360" w:lineRule="auto"/>
        <w:jc w:val="both"/>
        <w:rPr>
          <w:rFonts w:ascii="Arial" w:hAnsi="Arial" w:cs="Arial"/>
          <w:sz w:val="24"/>
          <w:szCs w:val="24"/>
        </w:rPr>
      </w:pPr>
      <w:r w:rsidRPr="001554F2">
        <w:rPr>
          <w:rFonts w:ascii="Arial" w:hAnsi="Arial" w:cs="Arial"/>
          <w:sz w:val="24"/>
          <w:szCs w:val="24"/>
        </w:rPr>
        <w:t xml:space="preserve">People Management. </w:t>
      </w:r>
      <w:r w:rsidR="00AF4313">
        <w:rPr>
          <w:rFonts w:ascii="Arial" w:hAnsi="Arial" w:cs="Arial"/>
          <w:sz w:val="24"/>
          <w:szCs w:val="24"/>
        </w:rPr>
        <w:t xml:space="preserve">Available at: </w:t>
      </w:r>
      <w:hyperlink r:id="rId8" w:history="1">
        <w:r w:rsidR="00AF4313" w:rsidRPr="00065B50">
          <w:rPr>
            <w:rStyle w:val="Hyperlink"/>
            <w:rFonts w:ascii="Arial" w:hAnsi="Arial" w:cs="Arial"/>
            <w:sz w:val="24"/>
            <w:szCs w:val="24"/>
          </w:rPr>
          <w:t>https://www.peoplemanagement.co.uk/</w:t>
        </w:r>
      </w:hyperlink>
      <w:r w:rsidR="00AF4313">
        <w:rPr>
          <w:rFonts w:ascii="Arial" w:hAnsi="Arial" w:cs="Arial"/>
          <w:sz w:val="24"/>
          <w:szCs w:val="24"/>
        </w:rPr>
        <w:t xml:space="preserve"> [</w:t>
      </w:r>
      <w:r w:rsidR="00502423">
        <w:rPr>
          <w:rFonts w:ascii="Arial" w:hAnsi="Arial" w:cs="Arial"/>
          <w:sz w:val="24"/>
          <w:szCs w:val="24"/>
        </w:rPr>
        <w:t>Accessed:</w:t>
      </w:r>
      <w:r w:rsidR="00AF4313">
        <w:rPr>
          <w:rFonts w:ascii="Arial" w:hAnsi="Arial" w:cs="Arial"/>
          <w:sz w:val="24"/>
          <w:szCs w:val="24"/>
        </w:rPr>
        <w:t xml:space="preserve"> 31/01/2024]</w:t>
      </w:r>
    </w:p>
    <w:p w14:paraId="65591399" w14:textId="3CBD50C5" w:rsidR="001554F2" w:rsidRPr="001554F2" w:rsidRDefault="001554F2" w:rsidP="001554F2">
      <w:pPr>
        <w:numPr>
          <w:ilvl w:val="0"/>
          <w:numId w:val="1"/>
        </w:numPr>
        <w:spacing w:line="360" w:lineRule="auto"/>
        <w:jc w:val="both"/>
        <w:rPr>
          <w:rFonts w:ascii="Arial" w:hAnsi="Arial" w:cs="Arial"/>
          <w:sz w:val="24"/>
          <w:szCs w:val="24"/>
        </w:rPr>
      </w:pPr>
      <w:r w:rsidRPr="001554F2">
        <w:rPr>
          <w:rFonts w:ascii="Arial" w:hAnsi="Arial" w:cs="Arial"/>
          <w:sz w:val="24"/>
          <w:szCs w:val="24"/>
        </w:rPr>
        <w:t>Personnel Today.</w:t>
      </w:r>
      <w:r w:rsidR="00AF4313">
        <w:rPr>
          <w:rFonts w:ascii="Arial" w:hAnsi="Arial" w:cs="Arial"/>
          <w:sz w:val="24"/>
          <w:szCs w:val="24"/>
        </w:rPr>
        <w:t xml:space="preserve"> Available </w:t>
      </w:r>
      <w:r w:rsidR="00502423">
        <w:rPr>
          <w:rFonts w:ascii="Arial" w:hAnsi="Arial" w:cs="Arial"/>
          <w:sz w:val="24"/>
          <w:szCs w:val="24"/>
        </w:rPr>
        <w:t>at:</w:t>
      </w:r>
      <w:r w:rsidR="00AF4313">
        <w:rPr>
          <w:rFonts w:ascii="Arial" w:hAnsi="Arial" w:cs="Arial"/>
          <w:sz w:val="24"/>
          <w:szCs w:val="24"/>
        </w:rPr>
        <w:t xml:space="preserve"> </w:t>
      </w:r>
      <w:hyperlink r:id="rId9" w:history="1">
        <w:r w:rsidR="00AF4313" w:rsidRPr="00065B50">
          <w:rPr>
            <w:rStyle w:val="Hyperlink"/>
            <w:rFonts w:ascii="Arial" w:hAnsi="Arial" w:cs="Arial"/>
            <w:sz w:val="24"/>
            <w:szCs w:val="24"/>
          </w:rPr>
          <w:t>https://www.personneltoday.com/</w:t>
        </w:r>
      </w:hyperlink>
      <w:r w:rsidR="00AF4313">
        <w:rPr>
          <w:rFonts w:ascii="Arial" w:hAnsi="Arial" w:cs="Arial"/>
          <w:sz w:val="24"/>
          <w:szCs w:val="24"/>
        </w:rPr>
        <w:t xml:space="preserve"> [</w:t>
      </w:r>
      <w:r w:rsidR="00502423">
        <w:rPr>
          <w:rFonts w:ascii="Arial" w:hAnsi="Arial" w:cs="Arial"/>
          <w:sz w:val="24"/>
          <w:szCs w:val="24"/>
        </w:rPr>
        <w:t>Accessed:</w:t>
      </w:r>
      <w:r w:rsidR="00AF4313">
        <w:rPr>
          <w:rFonts w:ascii="Arial" w:hAnsi="Arial" w:cs="Arial"/>
          <w:sz w:val="24"/>
          <w:szCs w:val="24"/>
        </w:rPr>
        <w:t xml:space="preserve"> 31/01/2024]</w:t>
      </w:r>
    </w:p>
    <w:p w14:paraId="2551B11F" w14:textId="03EB5961" w:rsidR="001554F2" w:rsidRPr="001554F2" w:rsidRDefault="001554F2" w:rsidP="001554F2">
      <w:pPr>
        <w:numPr>
          <w:ilvl w:val="0"/>
          <w:numId w:val="1"/>
        </w:numPr>
        <w:spacing w:line="360" w:lineRule="auto"/>
        <w:jc w:val="both"/>
        <w:rPr>
          <w:rFonts w:ascii="Arial" w:hAnsi="Arial" w:cs="Arial"/>
          <w:sz w:val="24"/>
          <w:szCs w:val="24"/>
        </w:rPr>
      </w:pPr>
      <w:r w:rsidRPr="001554F2">
        <w:rPr>
          <w:rFonts w:ascii="Arial" w:hAnsi="Arial" w:cs="Arial"/>
          <w:sz w:val="24"/>
          <w:szCs w:val="24"/>
        </w:rPr>
        <w:t>Human Resource Management Journal.</w:t>
      </w:r>
      <w:r w:rsidR="00AF4313">
        <w:rPr>
          <w:rFonts w:ascii="Arial" w:hAnsi="Arial" w:cs="Arial"/>
          <w:sz w:val="24"/>
          <w:szCs w:val="24"/>
        </w:rPr>
        <w:t xml:space="preserve"> Available at: </w:t>
      </w:r>
      <w:hyperlink r:id="rId10" w:history="1">
        <w:r w:rsidR="00AF4313" w:rsidRPr="00065B50">
          <w:rPr>
            <w:rStyle w:val="Hyperlink"/>
            <w:rFonts w:ascii="Arial" w:hAnsi="Arial" w:cs="Arial"/>
            <w:sz w:val="24"/>
            <w:szCs w:val="24"/>
          </w:rPr>
          <w:t>https://onlinelibrary.wiley.com/</w:t>
        </w:r>
      </w:hyperlink>
      <w:r w:rsidR="00AF4313">
        <w:rPr>
          <w:rFonts w:ascii="Arial" w:hAnsi="Arial" w:cs="Arial"/>
          <w:sz w:val="24"/>
          <w:szCs w:val="24"/>
        </w:rPr>
        <w:t xml:space="preserve"> [</w:t>
      </w:r>
      <w:r w:rsidR="00502423">
        <w:rPr>
          <w:rFonts w:ascii="Arial" w:hAnsi="Arial" w:cs="Arial"/>
          <w:sz w:val="24"/>
          <w:szCs w:val="24"/>
        </w:rPr>
        <w:t>Accessed:</w:t>
      </w:r>
      <w:r w:rsidR="00AF4313">
        <w:rPr>
          <w:rFonts w:ascii="Arial" w:hAnsi="Arial" w:cs="Arial"/>
          <w:sz w:val="24"/>
          <w:szCs w:val="24"/>
        </w:rPr>
        <w:t xml:space="preserve"> 31/01/2024] </w:t>
      </w:r>
    </w:p>
    <w:p w14:paraId="4A04B240" w14:textId="53F86F94" w:rsidR="001554F2" w:rsidRPr="001554F2" w:rsidRDefault="001554F2" w:rsidP="001554F2">
      <w:pPr>
        <w:numPr>
          <w:ilvl w:val="0"/>
          <w:numId w:val="1"/>
        </w:numPr>
        <w:spacing w:line="360" w:lineRule="auto"/>
        <w:jc w:val="both"/>
        <w:rPr>
          <w:rFonts w:ascii="Arial" w:hAnsi="Arial" w:cs="Arial"/>
          <w:sz w:val="24"/>
          <w:szCs w:val="24"/>
        </w:rPr>
      </w:pPr>
      <w:r w:rsidRPr="001554F2">
        <w:rPr>
          <w:rFonts w:ascii="Arial" w:hAnsi="Arial" w:cs="Arial"/>
          <w:sz w:val="24"/>
          <w:szCs w:val="24"/>
        </w:rPr>
        <w:lastRenderedPageBreak/>
        <w:t>International Journal of Human Resource Management</w:t>
      </w:r>
      <w:r w:rsidR="00BF6132">
        <w:rPr>
          <w:rFonts w:ascii="Arial" w:hAnsi="Arial" w:cs="Arial"/>
          <w:sz w:val="24"/>
          <w:szCs w:val="24"/>
        </w:rPr>
        <w:t>.</w:t>
      </w:r>
      <w:r w:rsidRPr="001554F2">
        <w:rPr>
          <w:rFonts w:ascii="Arial" w:hAnsi="Arial" w:cs="Arial"/>
          <w:sz w:val="24"/>
          <w:szCs w:val="24"/>
        </w:rPr>
        <w:t xml:space="preserve"> </w:t>
      </w:r>
      <w:r w:rsidR="00BF6132">
        <w:rPr>
          <w:rFonts w:ascii="Arial" w:hAnsi="Arial" w:cs="Arial"/>
          <w:sz w:val="24"/>
          <w:szCs w:val="24"/>
        </w:rPr>
        <w:t xml:space="preserve">Available at: </w:t>
      </w:r>
      <w:hyperlink r:id="rId11" w:history="1">
        <w:r w:rsidR="00BF6132" w:rsidRPr="00065B50">
          <w:rPr>
            <w:rStyle w:val="Hyperlink"/>
            <w:rFonts w:ascii="Arial" w:hAnsi="Arial" w:cs="Arial"/>
            <w:sz w:val="24"/>
            <w:szCs w:val="24"/>
          </w:rPr>
          <w:t>https://www.tandfonline.com/toc/rijh20/current</w:t>
        </w:r>
      </w:hyperlink>
      <w:r w:rsidR="00150815">
        <w:rPr>
          <w:rFonts w:ascii="Arial" w:hAnsi="Arial" w:cs="Arial"/>
          <w:sz w:val="24"/>
          <w:szCs w:val="24"/>
        </w:rPr>
        <w:t>.</w:t>
      </w:r>
      <w:r w:rsidR="00BF6132">
        <w:rPr>
          <w:rFonts w:ascii="Arial" w:hAnsi="Arial" w:cs="Arial"/>
          <w:sz w:val="24"/>
          <w:szCs w:val="24"/>
        </w:rPr>
        <w:t xml:space="preserve"> </w:t>
      </w:r>
      <w:r w:rsidR="00502423">
        <w:rPr>
          <w:rFonts w:ascii="Arial" w:hAnsi="Arial" w:cs="Arial"/>
          <w:sz w:val="24"/>
          <w:szCs w:val="24"/>
        </w:rPr>
        <w:t>[</w:t>
      </w:r>
      <w:r w:rsidR="00BF6132">
        <w:rPr>
          <w:rFonts w:ascii="Arial" w:hAnsi="Arial" w:cs="Arial"/>
          <w:sz w:val="24"/>
          <w:szCs w:val="24"/>
        </w:rPr>
        <w:t>Accessed: 01/02/2024</w:t>
      </w:r>
      <w:r w:rsidR="00502423">
        <w:rPr>
          <w:rFonts w:ascii="Arial" w:hAnsi="Arial" w:cs="Arial"/>
          <w:sz w:val="24"/>
          <w:szCs w:val="24"/>
        </w:rPr>
        <w:t>]</w:t>
      </w:r>
    </w:p>
    <w:p w14:paraId="31371FBC" w14:textId="6DCF19A5" w:rsidR="001554F2" w:rsidRPr="001554F2" w:rsidRDefault="001554F2" w:rsidP="001554F2">
      <w:pPr>
        <w:numPr>
          <w:ilvl w:val="0"/>
          <w:numId w:val="1"/>
        </w:numPr>
        <w:spacing w:line="360" w:lineRule="auto"/>
        <w:jc w:val="both"/>
        <w:rPr>
          <w:rFonts w:ascii="Arial" w:hAnsi="Arial" w:cs="Arial"/>
          <w:sz w:val="24"/>
          <w:szCs w:val="24"/>
        </w:rPr>
      </w:pPr>
      <w:r w:rsidRPr="001554F2">
        <w:rPr>
          <w:rFonts w:ascii="Arial" w:hAnsi="Arial" w:cs="Arial"/>
          <w:sz w:val="24"/>
          <w:szCs w:val="24"/>
        </w:rPr>
        <w:t>Journal</w:t>
      </w:r>
      <w:r w:rsidR="00150815">
        <w:rPr>
          <w:rFonts w:ascii="Arial" w:hAnsi="Arial" w:cs="Arial"/>
          <w:sz w:val="24"/>
          <w:szCs w:val="24"/>
        </w:rPr>
        <w:t xml:space="preserve"> </w:t>
      </w:r>
      <w:r w:rsidRPr="001554F2">
        <w:rPr>
          <w:rFonts w:ascii="Arial" w:hAnsi="Arial" w:cs="Arial"/>
          <w:sz w:val="24"/>
          <w:szCs w:val="24"/>
        </w:rPr>
        <w:t>of Human Resources</w:t>
      </w:r>
      <w:r w:rsidR="00BF6132">
        <w:rPr>
          <w:rFonts w:ascii="Arial" w:hAnsi="Arial" w:cs="Arial"/>
          <w:sz w:val="24"/>
          <w:szCs w:val="24"/>
        </w:rPr>
        <w:t xml:space="preserve">. Available at: </w:t>
      </w:r>
      <w:hyperlink r:id="rId12" w:history="1">
        <w:r w:rsidR="00150815" w:rsidRPr="00065B50">
          <w:rPr>
            <w:rStyle w:val="Hyperlink"/>
            <w:rFonts w:ascii="Arial" w:hAnsi="Arial" w:cs="Arial"/>
            <w:sz w:val="24"/>
            <w:szCs w:val="24"/>
          </w:rPr>
          <w:t>https://jhr.uwpress.org/content/early/recent</w:t>
        </w:r>
      </w:hyperlink>
      <w:r w:rsidR="00150815">
        <w:rPr>
          <w:rFonts w:ascii="Arial" w:hAnsi="Arial" w:cs="Arial"/>
          <w:sz w:val="24"/>
          <w:szCs w:val="24"/>
        </w:rPr>
        <w:t xml:space="preserve">. </w:t>
      </w:r>
      <w:bookmarkStart w:id="0" w:name="_Hlk157701221"/>
      <w:r w:rsidR="00502423">
        <w:rPr>
          <w:rFonts w:ascii="Arial" w:hAnsi="Arial" w:cs="Arial"/>
          <w:sz w:val="24"/>
          <w:szCs w:val="24"/>
        </w:rPr>
        <w:t>[</w:t>
      </w:r>
      <w:r w:rsidR="00150815">
        <w:rPr>
          <w:rFonts w:ascii="Arial" w:hAnsi="Arial" w:cs="Arial"/>
          <w:sz w:val="24"/>
          <w:szCs w:val="24"/>
        </w:rPr>
        <w:t>Accessed: 01/02/2024</w:t>
      </w:r>
      <w:bookmarkEnd w:id="0"/>
      <w:r w:rsidR="00502423">
        <w:rPr>
          <w:rFonts w:ascii="Arial" w:hAnsi="Arial" w:cs="Arial"/>
          <w:sz w:val="24"/>
          <w:szCs w:val="24"/>
        </w:rPr>
        <w:t>]</w:t>
      </w:r>
    </w:p>
    <w:p w14:paraId="2AC94B03" w14:textId="74B0BD17" w:rsidR="001554F2" w:rsidRPr="001554F2" w:rsidRDefault="001554F2" w:rsidP="001554F2">
      <w:pPr>
        <w:numPr>
          <w:ilvl w:val="0"/>
          <w:numId w:val="1"/>
        </w:numPr>
        <w:spacing w:line="360" w:lineRule="auto"/>
        <w:jc w:val="both"/>
        <w:rPr>
          <w:rFonts w:ascii="Arial" w:hAnsi="Arial" w:cs="Arial"/>
          <w:sz w:val="24"/>
          <w:szCs w:val="24"/>
        </w:rPr>
      </w:pPr>
      <w:r w:rsidRPr="001554F2">
        <w:rPr>
          <w:rFonts w:ascii="Arial" w:hAnsi="Arial" w:cs="Arial"/>
          <w:sz w:val="24"/>
          <w:szCs w:val="24"/>
        </w:rPr>
        <w:t xml:space="preserve">Journal of Human Resources in Hospitality and Tourism: </w:t>
      </w:r>
      <w:r w:rsidR="00150815">
        <w:rPr>
          <w:rFonts w:ascii="Arial" w:hAnsi="Arial" w:cs="Arial"/>
          <w:sz w:val="24"/>
          <w:szCs w:val="24"/>
        </w:rPr>
        <w:t xml:space="preserve">Available at: </w:t>
      </w:r>
      <w:hyperlink r:id="rId13" w:tgtFrame="_new" w:history="1">
        <w:r w:rsidRPr="001554F2">
          <w:rPr>
            <w:rStyle w:val="Hyperlink"/>
            <w:rFonts w:ascii="Arial" w:hAnsi="Arial" w:cs="Arial"/>
            <w:sz w:val="24"/>
            <w:szCs w:val="24"/>
          </w:rPr>
          <w:t>https://www.tandfonline.com/journals/whrh20</w:t>
        </w:r>
      </w:hyperlink>
      <w:r w:rsidR="00150815">
        <w:rPr>
          <w:rStyle w:val="Hyperlink"/>
          <w:rFonts w:ascii="Arial" w:hAnsi="Arial" w:cs="Arial"/>
          <w:sz w:val="24"/>
          <w:szCs w:val="24"/>
        </w:rPr>
        <w:t xml:space="preserve"> </w:t>
      </w:r>
      <w:r w:rsidR="00502423">
        <w:rPr>
          <w:rFonts w:ascii="Arial" w:hAnsi="Arial" w:cs="Arial"/>
          <w:sz w:val="24"/>
          <w:szCs w:val="24"/>
        </w:rPr>
        <w:t>[</w:t>
      </w:r>
      <w:r w:rsidR="00BB6A1C">
        <w:rPr>
          <w:rFonts w:ascii="Arial" w:hAnsi="Arial" w:cs="Arial"/>
          <w:sz w:val="24"/>
          <w:szCs w:val="24"/>
        </w:rPr>
        <w:t>Accessed: 01/02/2024</w:t>
      </w:r>
      <w:r w:rsidR="00502423">
        <w:rPr>
          <w:rFonts w:ascii="Arial" w:hAnsi="Arial" w:cs="Arial"/>
          <w:sz w:val="24"/>
          <w:szCs w:val="24"/>
        </w:rPr>
        <w:t>]</w:t>
      </w:r>
    </w:p>
    <w:p w14:paraId="074F7228" w14:textId="7BA4286F" w:rsidR="001554F2" w:rsidRPr="001554F2" w:rsidRDefault="001554F2" w:rsidP="001554F2">
      <w:pPr>
        <w:numPr>
          <w:ilvl w:val="0"/>
          <w:numId w:val="1"/>
        </w:numPr>
        <w:spacing w:line="360" w:lineRule="auto"/>
        <w:jc w:val="both"/>
        <w:rPr>
          <w:rFonts w:ascii="Arial" w:hAnsi="Arial" w:cs="Arial"/>
          <w:sz w:val="24"/>
          <w:szCs w:val="24"/>
        </w:rPr>
      </w:pPr>
      <w:r w:rsidRPr="001554F2">
        <w:rPr>
          <w:rFonts w:ascii="Arial" w:hAnsi="Arial" w:cs="Arial"/>
          <w:sz w:val="24"/>
          <w:szCs w:val="24"/>
        </w:rPr>
        <w:t>CIPD - Continuing professional development (CPD) information on the website of the Chartered Institute of Personnel and Development (CIPD).</w:t>
      </w:r>
      <w:r w:rsidR="00BB6A1C">
        <w:rPr>
          <w:rFonts w:ascii="Arial" w:hAnsi="Arial" w:cs="Arial"/>
          <w:sz w:val="24"/>
          <w:szCs w:val="24"/>
        </w:rPr>
        <w:t xml:space="preserve"> Available </w:t>
      </w:r>
      <w:r w:rsidR="00C50F8F">
        <w:rPr>
          <w:rFonts w:ascii="Arial" w:hAnsi="Arial" w:cs="Arial"/>
          <w:sz w:val="24"/>
          <w:szCs w:val="24"/>
        </w:rPr>
        <w:t>at:</w:t>
      </w:r>
      <w:r w:rsidR="00BB6A1C">
        <w:rPr>
          <w:rFonts w:ascii="Arial" w:hAnsi="Arial" w:cs="Arial"/>
          <w:sz w:val="24"/>
          <w:szCs w:val="24"/>
        </w:rPr>
        <w:t xml:space="preserve"> </w:t>
      </w:r>
      <w:r w:rsidR="00BB6A1C">
        <w:rPr>
          <w:rStyle w:val="Hyperlink"/>
          <w:rFonts w:ascii="Arial" w:hAnsi="Arial" w:cs="Arial"/>
          <w:sz w:val="24"/>
          <w:szCs w:val="24"/>
        </w:rPr>
        <w:t xml:space="preserve"> </w:t>
      </w:r>
      <w:hyperlink r:id="rId14" w:history="1">
        <w:r w:rsidR="00BB6A1C" w:rsidRPr="00065B50">
          <w:rPr>
            <w:rStyle w:val="Hyperlink"/>
            <w:rFonts w:ascii="Arial" w:hAnsi="Arial" w:cs="Arial"/>
            <w:sz w:val="24"/>
            <w:szCs w:val="24"/>
          </w:rPr>
          <w:t>https://www.cipd.org/uk/learning/cpd/</w:t>
        </w:r>
      </w:hyperlink>
      <w:r w:rsidR="00BB6A1C">
        <w:rPr>
          <w:rStyle w:val="Hyperlink"/>
          <w:rFonts w:ascii="Arial" w:hAnsi="Arial" w:cs="Arial"/>
          <w:sz w:val="24"/>
          <w:szCs w:val="24"/>
        </w:rPr>
        <w:t xml:space="preserve">  </w:t>
      </w:r>
      <w:r w:rsidR="00502423">
        <w:rPr>
          <w:rFonts w:ascii="Arial" w:hAnsi="Arial" w:cs="Arial"/>
          <w:sz w:val="24"/>
          <w:szCs w:val="24"/>
        </w:rPr>
        <w:t>[</w:t>
      </w:r>
      <w:r w:rsidR="00BB6A1C">
        <w:rPr>
          <w:rFonts w:ascii="Arial" w:hAnsi="Arial" w:cs="Arial"/>
          <w:sz w:val="24"/>
          <w:szCs w:val="24"/>
        </w:rPr>
        <w:t>Accessed: 01/02/2024</w:t>
      </w:r>
      <w:r w:rsidR="00502423">
        <w:rPr>
          <w:rFonts w:ascii="Arial" w:hAnsi="Arial" w:cs="Arial"/>
          <w:sz w:val="24"/>
          <w:szCs w:val="24"/>
        </w:rPr>
        <w:t>]</w:t>
      </w:r>
    </w:p>
    <w:p w14:paraId="76C671F1" w14:textId="559CC1B0" w:rsidR="006249BF" w:rsidRDefault="001554F2" w:rsidP="001554F2">
      <w:pPr>
        <w:numPr>
          <w:ilvl w:val="0"/>
          <w:numId w:val="1"/>
        </w:numPr>
        <w:spacing w:line="360" w:lineRule="auto"/>
        <w:jc w:val="both"/>
        <w:rPr>
          <w:rFonts w:ascii="Arial" w:hAnsi="Arial" w:cs="Arial"/>
          <w:sz w:val="24"/>
          <w:szCs w:val="24"/>
        </w:rPr>
      </w:pPr>
      <w:r w:rsidRPr="001554F2">
        <w:rPr>
          <w:rFonts w:ascii="Arial" w:hAnsi="Arial" w:cs="Arial"/>
          <w:sz w:val="24"/>
          <w:szCs w:val="24"/>
        </w:rPr>
        <w:t xml:space="preserve">CIPD - Performance Reviews | Factsheets | CIPD </w:t>
      </w:r>
      <w:r w:rsidR="006249BF">
        <w:rPr>
          <w:rFonts w:ascii="Arial" w:hAnsi="Arial" w:cs="Arial"/>
          <w:sz w:val="24"/>
          <w:szCs w:val="24"/>
        </w:rPr>
        <w:t>–</w:t>
      </w:r>
    </w:p>
    <w:p w14:paraId="0DDB27A0" w14:textId="6F496250" w:rsidR="001554F2" w:rsidRPr="001554F2" w:rsidRDefault="001554F2" w:rsidP="006249BF">
      <w:pPr>
        <w:spacing w:line="360" w:lineRule="auto"/>
        <w:ind w:left="720"/>
        <w:jc w:val="both"/>
        <w:rPr>
          <w:rFonts w:ascii="Arial" w:hAnsi="Arial" w:cs="Arial"/>
          <w:sz w:val="24"/>
          <w:szCs w:val="24"/>
        </w:rPr>
      </w:pPr>
      <w:r w:rsidRPr="001554F2">
        <w:rPr>
          <w:rFonts w:ascii="Arial" w:hAnsi="Arial" w:cs="Arial"/>
          <w:sz w:val="24"/>
          <w:szCs w:val="24"/>
        </w:rPr>
        <w:t xml:space="preserve"> Links to the CIPD’s top resources on performance appraisal and </w:t>
      </w:r>
      <w:r w:rsidR="00C50F8F" w:rsidRPr="001554F2">
        <w:rPr>
          <w:rFonts w:ascii="Arial" w:hAnsi="Arial" w:cs="Arial"/>
          <w:sz w:val="24"/>
          <w:szCs w:val="24"/>
        </w:rPr>
        <w:t>feedback</w:t>
      </w:r>
      <w:r w:rsidR="00C50F8F">
        <w:rPr>
          <w:rFonts w:ascii="Arial" w:hAnsi="Arial" w:cs="Arial"/>
          <w:sz w:val="24"/>
          <w:szCs w:val="24"/>
        </w:rPr>
        <w:t xml:space="preserve">. Available at: </w:t>
      </w:r>
      <w:hyperlink r:id="rId15" w:history="1">
        <w:r w:rsidR="00C50F8F" w:rsidRPr="00065B50">
          <w:rPr>
            <w:rStyle w:val="Hyperlink"/>
            <w:rFonts w:ascii="Arial" w:hAnsi="Arial" w:cs="Arial"/>
            <w:sz w:val="24"/>
            <w:szCs w:val="24"/>
          </w:rPr>
          <w:t>https://www.cipd.org/en/knowledge/factsheets/appraisals-factsheet/</w:t>
        </w:r>
      </w:hyperlink>
      <w:r w:rsidR="00C50F8F">
        <w:rPr>
          <w:rFonts w:ascii="Arial" w:hAnsi="Arial" w:cs="Arial"/>
          <w:sz w:val="24"/>
          <w:szCs w:val="24"/>
        </w:rPr>
        <w:t>.</w:t>
      </w:r>
      <w:r w:rsidR="00502423">
        <w:rPr>
          <w:rFonts w:ascii="Arial" w:hAnsi="Arial" w:cs="Arial"/>
          <w:sz w:val="24"/>
          <w:szCs w:val="24"/>
        </w:rPr>
        <w:t>[</w:t>
      </w:r>
      <w:r w:rsidR="00C50F8F">
        <w:rPr>
          <w:rFonts w:ascii="Arial" w:hAnsi="Arial" w:cs="Arial"/>
          <w:sz w:val="24"/>
          <w:szCs w:val="24"/>
        </w:rPr>
        <w:t>Accessed: 01/02/2024</w:t>
      </w:r>
      <w:r w:rsidR="00502423">
        <w:rPr>
          <w:rFonts w:ascii="Arial" w:hAnsi="Arial" w:cs="Arial"/>
          <w:sz w:val="24"/>
          <w:szCs w:val="24"/>
        </w:rPr>
        <w:t>]</w:t>
      </w:r>
    </w:p>
    <w:p w14:paraId="2B8BD65B" w14:textId="1FBF68AD" w:rsidR="001554F2" w:rsidRPr="001554F2" w:rsidRDefault="001554F2" w:rsidP="001554F2">
      <w:pPr>
        <w:numPr>
          <w:ilvl w:val="0"/>
          <w:numId w:val="1"/>
        </w:numPr>
        <w:spacing w:line="360" w:lineRule="auto"/>
        <w:jc w:val="both"/>
        <w:rPr>
          <w:rFonts w:ascii="Arial" w:hAnsi="Arial" w:cs="Arial"/>
          <w:sz w:val="24"/>
          <w:szCs w:val="24"/>
        </w:rPr>
      </w:pPr>
      <w:r w:rsidRPr="001554F2">
        <w:rPr>
          <w:rFonts w:ascii="Arial" w:hAnsi="Arial" w:cs="Arial"/>
          <w:sz w:val="24"/>
          <w:szCs w:val="24"/>
        </w:rPr>
        <w:t xml:space="preserve">Customer 1st </w:t>
      </w:r>
      <w:r w:rsidR="00F61A40" w:rsidRPr="001554F2">
        <w:rPr>
          <w:rFonts w:ascii="Arial" w:hAnsi="Arial" w:cs="Arial"/>
          <w:sz w:val="24"/>
          <w:szCs w:val="24"/>
        </w:rPr>
        <w:t>International.</w:t>
      </w:r>
      <w:r w:rsidR="00F61A40">
        <w:rPr>
          <w:rFonts w:ascii="Arial" w:hAnsi="Arial" w:cs="Arial"/>
          <w:sz w:val="24"/>
          <w:szCs w:val="24"/>
        </w:rPr>
        <w:t xml:space="preserve"> Available</w:t>
      </w:r>
      <w:r w:rsidR="00472948">
        <w:rPr>
          <w:rFonts w:ascii="Arial" w:hAnsi="Arial" w:cs="Arial"/>
          <w:sz w:val="24"/>
          <w:szCs w:val="24"/>
        </w:rPr>
        <w:t xml:space="preserve"> at:</w:t>
      </w:r>
      <w:r w:rsidRPr="001554F2">
        <w:rPr>
          <w:rFonts w:ascii="Arial" w:hAnsi="Arial" w:cs="Arial"/>
          <w:sz w:val="24"/>
          <w:szCs w:val="24"/>
        </w:rPr>
        <w:t xml:space="preserve"> </w:t>
      </w:r>
      <w:hyperlink r:id="rId16" w:history="1">
        <w:r w:rsidR="00472948" w:rsidRPr="00065B50">
          <w:rPr>
            <w:rStyle w:val="Hyperlink"/>
            <w:rFonts w:ascii="Arial" w:hAnsi="Arial" w:cs="Arial"/>
            <w:sz w:val="24"/>
            <w:szCs w:val="24"/>
          </w:rPr>
          <w:t>https://customer1st.com/</w:t>
        </w:r>
      </w:hyperlink>
      <w:r w:rsidR="00F61A40">
        <w:rPr>
          <w:rFonts w:ascii="Arial" w:hAnsi="Arial" w:cs="Arial"/>
          <w:sz w:val="24"/>
          <w:szCs w:val="24"/>
        </w:rPr>
        <w:t>.</w:t>
      </w:r>
      <w:r w:rsidR="00502423">
        <w:rPr>
          <w:rFonts w:ascii="Arial" w:hAnsi="Arial" w:cs="Arial"/>
          <w:sz w:val="24"/>
          <w:szCs w:val="24"/>
        </w:rPr>
        <w:t>[</w:t>
      </w:r>
      <w:r w:rsidR="00F61A40">
        <w:rPr>
          <w:rFonts w:ascii="Arial" w:hAnsi="Arial" w:cs="Arial"/>
          <w:sz w:val="24"/>
          <w:szCs w:val="24"/>
        </w:rPr>
        <w:t>Accessed:02/02/2024</w:t>
      </w:r>
      <w:r w:rsidR="00502423">
        <w:rPr>
          <w:rFonts w:ascii="Arial" w:hAnsi="Arial" w:cs="Arial"/>
          <w:sz w:val="24"/>
          <w:szCs w:val="24"/>
        </w:rPr>
        <w:t>]</w:t>
      </w:r>
    </w:p>
    <w:p w14:paraId="2EAB2180" w14:textId="07F64C4E" w:rsidR="001554F2" w:rsidRPr="001554F2" w:rsidRDefault="001554F2" w:rsidP="001554F2">
      <w:pPr>
        <w:numPr>
          <w:ilvl w:val="0"/>
          <w:numId w:val="1"/>
        </w:numPr>
        <w:spacing w:line="360" w:lineRule="auto"/>
        <w:jc w:val="both"/>
        <w:rPr>
          <w:rFonts w:ascii="Arial" w:hAnsi="Arial" w:cs="Arial"/>
          <w:sz w:val="24"/>
          <w:szCs w:val="24"/>
        </w:rPr>
      </w:pPr>
      <w:r w:rsidRPr="001554F2">
        <w:rPr>
          <w:rFonts w:ascii="Arial" w:hAnsi="Arial" w:cs="Arial"/>
          <w:sz w:val="24"/>
          <w:szCs w:val="24"/>
        </w:rPr>
        <w:t>Institute</w:t>
      </w:r>
      <w:r w:rsidR="00F61A40">
        <w:rPr>
          <w:rFonts w:ascii="Arial" w:hAnsi="Arial" w:cs="Arial"/>
          <w:sz w:val="24"/>
          <w:szCs w:val="24"/>
        </w:rPr>
        <w:t xml:space="preserve"> </w:t>
      </w:r>
      <w:r w:rsidRPr="001554F2">
        <w:rPr>
          <w:rFonts w:ascii="Arial" w:hAnsi="Arial" w:cs="Arial"/>
          <w:sz w:val="24"/>
          <w:szCs w:val="24"/>
        </w:rPr>
        <w:t xml:space="preserve">of Customer </w:t>
      </w:r>
      <w:r w:rsidR="00F61A40" w:rsidRPr="001554F2">
        <w:rPr>
          <w:rFonts w:ascii="Arial" w:hAnsi="Arial" w:cs="Arial"/>
          <w:sz w:val="24"/>
          <w:szCs w:val="24"/>
        </w:rPr>
        <w:t>Service.</w:t>
      </w:r>
      <w:r w:rsidR="00F61A40">
        <w:rPr>
          <w:rFonts w:ascii="Arial" w:hAnsi="Arial" w:cs="Arial"/>
          <w:sz w:val="24"/>
          <w:szCs w:val="24"/>
        </w:rPr>
        <w:t xml:space="preserve"> Available at:</w:t>
      </w:r>
      <w:r w:rsidRPr="001554F2">
        <w:rPr>
          <w:rFonts w:ascii="Arial" w:hAnsi="Arial" w:cs="Arial"/>
          <w:sz w:val="24"/>
          <w:szCs w:val="24"/>
        </w:rPr>
        <w:t xml:space="preserve"> </w:t>
      </w:r>
      <w:hyperlink r:id="rId17" w:tgtFrame="_new" w:history="1">
        <w:r w:rsidRPr="001554F2">
          <w:rPr>
            <w:rStyle w:val="Hyperlink"/>
            <w:rFonts w:ascii="Arial" w:hAnsi="Arial" w:cs="Arial"/>
            <w:sz w:val="24"/>
            <w:szCs w:val="24"/>
          </w:rPr>
          <w:t>https://www.instituteofcustomerservice.com</w:t>
        </w:r>
      </w:hyperlink>
      <w:r w:rsidR="00F61A40">
        <w:rPr>
          <w:rStyle w:val="Hyperlink"/>
          <w:rFonts w:ascii="Arial" w:hAnsi="Arial" w:cs="Arial"/>
          <w:sz w:val="24"/>
          <w:szCs w:val="24"/>
        </w:rPr>
        <w:t xml:space="preserve"> </w:t>
      </w:r>
      <w:r w:rsidR="00502423">
        <w:rPr>
          <w:rFonts w:ascii="Arial" w:hAnsi="Arial" w:cs="Arial"/>
          <w:sz w:val="24"/>
          <w:szCs w:val="24"/>
        </w:rPr>
        <w:t>[</w:t>
      </w:r>
      <w:r w:rsidR="00F61A40">
        <w:rPr>
          <w:rFonts w:ascii="Arial" w:hAnsi="Arial" w:cs="Arial"/>
          <w:sz w:val="24"/>
          <w:szCs w:val="24"/>
        </w:rPr>
        <w:t>Accessed:02/02/2024</w:t>
      </w:r>
      <w:r w:rsidR="00502423">
        <w:rPr>
          <w:rFonts w:ascii="Arial" w:hAnsi="Arial" w:cs="Arial"/>
          <w:sz w:val="24"/>
          <w:szCs w:val="24"/>
        </w:rPr>
        <w:t>]</w:t>
      </w:r>
    </w:p>
    <w:p w14:paraId="7630E711" w14:textId="46C5ABF9" w:rsidR="001554F2" w:rsidRPr="001554F2" w:rsidRDefault="001554F2" w:rsidP="001554F2">
      <w:pPr>
        <w:numPr>
          <w:ilvl w:val="0"/>
          <w:numId w:val="1"/>
        </w:numPr>
        <w:spacing w:line="360" w:lineRule="auto"/>
        <w:jc w:val="both"/>
        <w:rPr>
          <w:rFonts w:ascii="Arial" w:hAnsi="Arial" w:cs="Arial"/>
          <w:sz w:val="24"/>
          <w:szCs w:val="24"/>
        </w:rPr>
      </w:pPr>
      <w:r w:rsidRPr="001554F2">
        <w:rPr>
          <w:rFonts w:ascii="Arial" w:hAnsi="Arial" w:cs="Arial"/>
          <w:sz w:val="24"/>
          <w:szCs w:val="24"/>
        </w:rPr>
        <w:t xml:space="preserve">Department for Energy Security and Net </w:t>
      </w:r>
      <w:r w:rsidR="00502423" w:rsidRPr="001554F2">
        <w:rPr>
          <w:rFonts w:ascii="Arial" w:hAnsi="Arial" w:cs="Arial"/>
          <w:sz w:val="24"/>
          <w:szCs w:val="24"/>
        </w:rPr>
        <w:t>Zero</w:t>
      </w:r>
      <w:r w:rsidR="00502423">
        <w:rPr>
          <w:rFonts w:ascii="Arial" w:hAnsi="Arial" w:cs="Arial"/>
          <w:sz w:val="24"/>
          <w:szCs w:val="24"/>
        </w:rPr>
        <w:t>. Available</w:t>
      </w:r>
      <w:r w:rsidR="00F61A40">
        <w:rPr>
          <w:rFonts w:ascii="Arial" w:hAnsi="Arial" w:cs="Arial"/>
          <w:sz w:val="24"/>
          <w:szCs w:val="24"/>
        </w:rPr>
        <w:t xml:space="preserve"> at:</w:t>
      </w:r>
      <w:r w:rsidRPr="001554F2">
        <w:rPr>
          <w:rFonts w:ascii="Arial" w:hAnsi="Arial" w:cs="Arial"/>
          <w:sz w:val="24"/>
          <w:szCs w:val="24"/>
        </w:rPr>
        <w:t xml:space="preserve"> GOV.UK (</w:t>
      </w:r>
      <w:hyperlink r:id="rId18" w:tgtFrame="_new" w:history="1">
        <w:r w:rsidRPr="001554F2">
          <w:rPr>
            <w:rStyle w:val="Hyperlink"/>
            <w:rFonts w:ascii="Arial" w:hAnsi="Arial" w:cs="Arial"/>
            <w:sz w:val="24"/>
            <w:szCs w:val="24"/>
          </w:rPr>
          <w:t>www.gov.uk</w:t>
        </w:r>
      </w:hyperlink>
      <w:r w:rsidRPr="001554F2">
        <w:rPr>
          <w:rFonts w:ascii="Arial" w:hAnsi="Arial" w:cs="Arial"/>
          <w:sz w:val="24"/>
          <w:szCs w:val="24"/>
        </w:rPr>
        <w:t>) - Website for the UK government Department for Business, Energy &amp; Industrial Strategy.</w:t>
      </w:r>
      <w:r w:rsidR="00F61A40">
        <w:rPr>
          <w:rFonts w:ascii="Arial" w:hAnsi="Arial" w:cs="Arial"/>
          <w:sz w:val="24"/>
          <w:szCs w:val="24"/>
        </w:rPr>
        <w:t xml:space="preserve"> </w:t>
      </w:r>
      <w:r w:rsidR="00502423">
        <w:rPr>
          <w:rFonts w:ascii="Arial" w:hAnsi="Arial" w:cs="Arial"/>
          <w:sz w:val="24"/>
          <w:szCs w:val="24"/>
        </w:rPr>
        <w:t>[</w:t>
      </w:r>
      <w:r w:rsidR="00F61A40">
        <w:rPr>
          <w:rFonts w:ascii="Arial" w:hAnsi="Arial" w:cs="Arial"/>
          <w:sz w:val="24"/>
          <w:szCs w:val="24"/>
        </w:rPr>
        <w:t>Accessed:02/02/2024</w:t>
      </w:r>
      <w:r w:rsidR="00502423">
        <w:rPr>
          <w:rFonts w:ascii="Arial" w:hAnsi="Arial" w:cs="Arial"/>
          <w:sz w:val="24"/>
          <w:szCs w:val="24"/>
        </w:rPr>
        <w:t>]</w:t>
      </w:r>
    </w:p>
    <w:p w14:paraId="4D1D6086" w14:textId="77777777" w:rsidR="001554F2" w:rsidRPr="001554F2" w:rsidRDefault="001554F2" w:rsidP="001554F2">
      <w:pPr>
        <w:numPr>
          <w:ilvl w:val="0"/>
          <w:numId w:val="1"/>
        </w:numPr>
        <w:spacing w:line="360" w:lineRule="auto"/>
        <w:jc w:val="both"/>
        <w:rPr>
          <w:rFonts w:ascii="Arial" w:hAnsi="Arial" w:cs="Arial"/>
          <w:sz w:val="24"/>
          <w:szCs w:val="24"/>
        </w:rPr>
      </w:pPr>
      <w:r w:rsidRPr="001554F2">
        <w:rPr>
          <w:rFonts w:ascii="Arial" w:hAnsi="Arial" w:cs="Arial"/>
          <w:sz w:val="24"/>
          <w:szCs w:val="24"/>
        </w:rPr>
        <w:t xml:space="preserve">Johnston, R., Clark, G., </w:t>
      </w:r>
      <w:proofErr w:type="spellStart"/>
      <w:r w:rsidRPr="001554F2">
        <w:rPr>
          <w:rFonts w:ascii="Arial" w:hAnsi="Arial" w:cs="Arial"/>
          <w:sz w:val="24"/>
          <w:szCs w:val="24"/>
        </w:rPr>
        <w:t>Shulver</w:t>
      </w:r>
      <w:proofErr w:type="spellEnd"/>
      <w:r w:rsidRPr="001554F2">
        <w:rPr>
          <w:rFonts w:ascii="Arial" w:hAnsi="Arial" w:cs="Arial"/>
          <w:sz w:val="24"/>
          <w:szCs w:val="24"/>
        </w:rPr>
        <w:t xml:space="preserve">, M. (2012). </w:t>
      </w:r>
      <w:r w:rsidRPr="001554F2">
        <w:rPr>
          <w:rFonts w:ascii="Arial" w:hAnsi="Arial" w:cs="Arial"/>
          <w:i/>
          <w:iCs/>
          <w:sz w:val="24"/>
          <w:szCs w:val="24"/>
        </w:rPr>
        <w:t>Service Operations Management.</w:t>
      </w:r>
      <w:r w:rsidRPr="001554F2">
        <w:rPr>
          <w:rFonts w:ascii="Arial" w:hAnsi="Arial" w:cs="Arial"/>
          <w:sz w:val="24"/>
          <w:szCs w:val="24"/>
        </w:rPr>
        <w:t xml:space="preserve"> Pearson, London.</w:t>
      </w:r>
    </w:p>
    <w:p w14:paraId="4CB8B504" w14:textId="77777777" w:rsidR="00DB4C10" w:rsidRPr="001554F2" w:rsidRDefault="00DB4C10" w:rsidP="001554F2">
      <w:pPr>
        <w:spacing w:line="360" w:lineRule="auto"/>
        <w:jc w:val="both"/>
        <w:rPr>
          <w:rFonts w:ascii="Arial" w:hAnsi="Arial" w:cs="Arial"/>
          <w:sz w:val="24"/>
          <w:szCs w:val="24"/>
        </w:rPr>
      </w:pPr>
    </w:p>
    <w:sectPr w:rsidR="00DB4C10" w:rsidRPr="001554F2" w:rsidSect="00E2613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6B76D7"/>
    <w:multiLevelType w:val="multilevel"/>
    <w:tmpl w:val="D6D685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001100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4DE"/>
    <w:rsid w:val="000414DE"/>
    <w:rsid w:val="00060A3E"/>
    <w:rsid w:val="00071BA3"/>
    <w:rsid w:val="000A560B"/>
    <w:rsid w:val="000A6D08"/>
    <w:rsid w:val="00120BCB"/>
    <w:rsid w:val="00130920"/>
    <w:rsid w:val="00142CBF"/>
    <w:rsid w:val="00144FF5"/>
    <w:rsid w:val="00150815"/>
    <w:rsid w:val="001554F2"/>
    <w:rsid w:val="002427E3"/>
    <w:rsid w:val="00267D3B"/>
    <w:rsid w:val="00293EE0"/>
    <w:rsid w:val="002D041F"/>
    <w:rsid w:val="00341585"/>
    <w:rsid w:val="00341FE4"/>
    <w:rsid w:val="00391E7E"/>
    <w:rsid w:val="003E7344"/>
    <w:rsid w:val="00472948"/>
    <w:rsid w:val="004935D4"/>
    <w:rsid w:val="00502423"/>
    <w:rsid w:val="00514E23"/>
    <w:rsid w:val="00562F02"/>
    <w:rsid w:val="00590598"/>
    <w:rsid w:val="005B6E9F"/>
    <w:rsid w:val="005C2AEB"/>
    <w:rsid w:val="005C63FD"/>
    <w:rsid w:val="006057B1"/>
    <w:rsid w:val="006249BF"/>
    <w:rsid w:val="0067093B"/>
    <w:rsid w:val="00680B87"/>
    <w:rsid w:val="007360FA"/>
    <w:rsid w:val="007920F2"/>
    <w:rsid w:val="007B0EAC"/>
    <w:rsid w:val="007D1E61"/>
    <w:rsid w:val="008E6CA8"/>
    <w:rsid w:val="00906A25"/>
    <w:rsid w:val="00930C4E"/>
    <w:rsid w:val="009C3977"/>
    <w:rsid w:val="00A166C9"/>
    <w:rsid w:val="00A73563"/>
    <w:rsid w:val="00AF4313"/>
    <w:rsid w:val="00B5795E"/>
    <w:rsid w:val="00B65F0F"/>
    <w:rsid w:val="00BB6A1C"/>
    <w:rsid w:val="00BC0E83"/>
    <w:rsid w:val="00BF6132"/>
    <w:rsid w:val="00C104AE"/>
    <w:rsid w:val="00C50F8F"/>
    <w:rsid w:val="00C86D1F"/>
    <w:rsid w:val="00CD5109"/>
    <w:rsid w:val="00CF22FB"/>
    <w:rsid w:val="00D27585"/>
    <w:rsid w:val="00D86505"/>
    <w:rsid w:val="00DB4C10"/>
    <w:rsid w:val="00DB5D6B"/>
    <w:rsid w:val="00DD26AC"/>
    <w:rsid w:val="00DF74EE"/>
    <w:rsid w:val="00E13F3A"/>
    <w:rsid w:val="00E26130"/>
    <w:rsid w:val="00E77CBE"/>
    <w:rsid w:val="00F04AE3"/>
    <w:rsid w:val="00F61A40"/>
    <w:rsid w:val="00FC3318"/>
    <w:rsid w:val="00FE69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E30F32"/>
  <w15:chartTrackingRefBased/>
  <w15:docId w15:val="{44FCECB1-3B14-482C-BE1B-44D0855F3A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14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14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14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14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14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14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14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14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14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14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14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14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14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14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14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14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14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14DE"/>
    <w:rPr>
      <w:rFonts w:eastAsiaTheme="majorEastAsia" w:cstheme="majorBidi"/>
      <w:color w:val="272727" w:themeColor="text1" w:themeTint="D8"/>
    </w:rPr>
  </w:style>
  <w:style w:type="paragraph" w:styleId="Title">
    <w:name w:val="Title"/>
    <w:basedOn w:val="Normal"/>
    <w:next w:val="Normal"/>
    <w:link w:val="TitleChar"/>
    <w:uiPriority w:val="10"/>
    <w:qFormat/>
    <w:rsid w:val="000414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14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14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14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14DE"/>
    <w:pPr>
      <w:spacing w:before="160"/>
      <w:jc w:val="center"/>
    </w:pPr>
    <w:rPr>
      <w:i/>
      <w:iCs/>
      <w:color w:val="404040" w:themeColor="text1" w:themeTint="BF"/>
    </w:rPr>
  </w:style>
  <w:style w:type="character" w:customStyle="1" w:styleId="QuoteChar">
    <w:name w:val="Quote Char"/>
    <w:basedOn w:val="DefaultParagraphFont"/>
    <w:link w:val="Quote"/>
    <w:uiPriority w:val="29"/>
    <w:rsid w:val="000414DE"/>
    <w:rPr>
      <w:i/>
      <w:iCs/>
      <w:color w:val="404040" w:themeColor="text1" w:themeTint="BF"/>
    </w:rPr>
  </w:style>
  <w:style w:type="paragraph" w:styleId="ListParagraph">
    <w:name w:val="List Paragraph"/>
    <w:basedOn w:val="Normal"/>
    <w:uiPriority w:val="34"/>
    <w:qFormat/>
    <w:rsid w:val="000414DE"/>
    <w:pPr>
      <w:ind w:left="720"/>
      <w:contextualSpacing/>
    </w:pPr>
  </w:style>
  <w:style w:type="character" w:styleId="IntenseEmphasis">
    <w:name w:val="Intense Emphasis"/>
    <w:basedOn w:val="DefaultParagraphFont"/>
    <w:uiPriority w:val="21"/>
    <w:qFormat/>
    <w:rsid w:val="000414DE"/>
    <w:rPr>
      <w:i/>
      <w:iCs/>
      <w:color w:val="0F4761" w:themeColor="accent1" w:themeShade="BF"/>
    </w:rPr>
  </w:style>
  <w:style w:type="paragraph" w:styleId="IntenseQuote">
    <w:name w:val="Intense Quote"/>
    <w:basedOn w:val="Normal"/>
    <w:next w:val="Normal"/>
    <w:link w:val="IntenseQuoteChar"/>
    <w:uiPriority w:val="30"/>
    <w:qFormat/>
    <w:rsid w:val="000414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14DE"/>
    <w:rPr>
      <w:i/>
      <w:iCs/>
      <w:color w:val="0F4761" w:themeColor="accent1" w:themeShade="BF"/>
    </w:rPr>
  </w:style>
  <w:style w:type="character" w:styleId="IntenseReference">
    <w:name w:val="Intense Reference"/>
    <w:basedOn w:val="DefaultParagraphFont"/>
    <w:uiPriority w:val="32"/>
    <w:qFormat/>
    <w:rsid w:val="000414DE"/>
    <w:rPr>
      <w:b/>
      <w:bCs/>
      <w:smallCaps/>
      <w:color w:val="0F4761" w:themeColor="accent1" w:themeShade="BF"/>
      <w:spacing w:val="5"/>
    </w:rPr>
  </w:style>
  <w:style w:type="character" w:styleId="Hyperlink">
    <w:name w:val="Hyperlink"/>
    <w:basedOn w:val="DefaultParagraphFont"/>
    <w:uiPriority w:val="99"/>
    <w:unhideWhenUsed/>
    <w:rsid w:val="001554F2"/>
    <w:rPr>
      <w:color w:val="467886" w:themeColor="hyperlink"/>
      <w:u w:val="single"/>
    </w:rPr>
  </w:style>
  <w:style w:type="character" w:styleId="UnresolvedMention">
    <w:name w:val="Unresolved Mention"/>
    <w:basedOn w:val="DefaultParagraphFont"/>
    <w:uiPriority w:val="99"/>
    <w:semiHidden/>
    <w:unhideWhenUsed/>
    <w:rsid w:val="001554F2"/>
    <w:rPr>
      <w:color w:val="605E5C"/>
      <w:shd w:val="clear" w:color="auto" w:fill="E1DFDD"/>
    </w:rPr>
  </w:style>
  <w:style w:type="paragraph" w:styleId="NoSpacing">
    <w:name w:val="No Spacing"/>
    <w:link w:val="NoSpacingChar"/>
    <w:uiPriority w:val="1"/>
    <w:qFormat/>
    <w:rsid w:val="00DF74E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F74EE"/>
    <w:rPr>
      <w:rFonts w:eastAsiaTheme="minorEastAsia"/>
      <w:kern w:val="0"/>
      <w:lang w:val="en-US"/>
      <w14:ligatures w14:val="none"/>
    </w:rPr>
  </w:style>
  <w:style w:type="character" w:styleId="FollowedHyperlink">
    <w:name w:val="FollowedHyperlink"/>
    <w:basedOn w:val="DefaultParagraphFont"/>
    <w:uiPriority w:val="99"/>
    <w:semiHidden/>
    <w:unhideWhenUsed/>
    <w:rsid w:val="000A560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5617439">
      <w:bodyDiv w:val="1"/>
      <w:marLeft w:val="0"/>
      <w:marRight w:val="0"/>
      <w:marTop w:val="0"/>
      <w:marBottom w:val="0"/>
      <w:divBdr>
        <w:top w:val="none" w:sz="0" w:space="0" w:color="auto"/>
        <w:left w:val="none" w:sz="0" w:space="0" w:color="auto"/>
        <w:bottom w:val="none" w:sz="0" w:space="0" w:color="auto"/>
        <w:right w:val="none" w:sz="0" w:space="0" w:color="auto"/>
      </w:divBdr>
    </w:div>
    <w:div w:id="1425413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oplemanagement.co.uk/" TargetMode="External"/><Relationship Id="rId13" Type="http://schemas.openxmlformats.org/officeDocument/2006/relationships/hyperlink" Target="https://www.tandfonline.com/journals/whrh20" TargetMode="External"/><Relationship Id="rId18" Type="http://schemas.openxmlformats.org/officeDocument/2006/relationships/hyperlink" Target="http://www.gov.uk/"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jhr.uwpress.org/content/early/recent" TargetMode="External"/><Relationship Id="rId17" Type="http://schemas.openxmlformats.org/officeDocument/2006/relationships/hyperlink" Target="https://www.instituteofcustomerservice.com/" TargetMode="External"/><Relationship Id="rId2" Type="http://schemas.openxmlformats.org/officeDocument/2006/relationships/styles" Target="styles.xml"/><Relationship Id="rId16" Type="http://schemas.openxmlformats.org/officeDocument/2006/relationships/hyperlink" Target="https://customer1st.com/"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tandfonline.com/toc/rijh20/current" TargetMode="External"/><Relationship Id="rId5" Type="http://schemas.openxmlformats.org/officeDocument/2006/relationships/image" Target="media/image1.png"/><Relationship Id="rId15" Type="http://schemas.openxmlformats.org/officeDocument/2006/relationships/hyperlink" Target="https://www.cipd.org/en/knowledge/factsheets/appraisals-factsheet/" TargetMode="External"/><Relationship Id="rId10" Type="http://schemas.openxmlformats.org/officeDocument/2006/relationships/hyperlink" Target="https://onlinelibrary.wiley.co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ersonneltoday.com/" TargetMode="External"/><Relationship Id="rId14" Type="http://schemas.openxmlformats.org/officeDocument/2006/relationships/hyperlink" Target="https://www.cipd.org/uk/learning/cp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8</Pages>
  <Words>1749</Words>
  <Characters>11686</Characters>
  <Application>Microsoft Office Word</Application>
  <DocSecurity>0</DocSecurity>
  <Lines>216</Lines>
  <Paragraphs>49</Paragraphs>
  <ScaleCrop>false</ScaleCrop>
  <HeadingPairs>
    <vt:vector size="2" baseType="variant">
      <vt:variant>
        <vt:lpstr>Title</vt:lpstr>
      </vt:variant>
      <vt:variant>
        <vt:i4>1</vt:i4>
      </vt:variant>
    </vt:vector>
  </HeadingPairs>
  <TitlesOfParts>
    <vt:vector size="1" baseType="lpstr">
      <vt:lpstr>Essay: Discuss how the evolution
of HRM facilitates the strategic
development of an international
hotel brand through the workforce
planning, recruitment and
selection</vt:lpstr>
    </vt:vector>
  </TitlesOfParts>
  <Company/>
  <LinksUpToDate>false</LinksUpToDate>
  <CharactersWithSpaces>13386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Discuss how the evolution
of HRM facilitates the strategic
development of an international
hotel brand through the workforce
planning, recruitment and
selection</dc:title>
  <dc:subject/>
  <dc:creator>Velislava Hristova</dc:creator>
  <cp:keywords/>
  <dc:description/>
  <cp:lastModifiedBy>Velislava Hristova</cp:lastModifiedBy>
  <cp:revision>3</cp:revision>
  <dcterms:created xsi:type="dcterms:W3CDTF">2024-02-02T17:10:00Z</dcterms:created>
  <dcterms:modified xsi:type="dcterms:W3CDTF">2024-02-02T17:11:00Z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afc7f73b0a5f3abc1b5be82d0f933d1d1bc5f38bc54c1edca42fa2be2ccb5c06</vt:lpwstr>
  </property>
</Properties>
</file>