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D244E9" w14:textId="602384CB" w:rsidR="00A41810" w:rsidRDefault="002C37E6" w:rsidP="002C37E6">
      <w:pPr>
        <w:spacing w:line="360" w:lineRule="auto"/>
        <w:rPr>
          <w:rFonts w:ascii="Times New Roman" w:hAnsi="Times New Roman" w:cs="Times New Roman"/>
        </w:rPr>
      </w:pPr>
      <w:r>
        <w:rPr>
          <w:rFonts w:ascii="Times New Roman" w:hAnsi="Times New Roman" w:cs="Times New Roman"/>
        </w:rPr>
        <w:tab/>
        <w:t>This essay will discuss on how authenticity differs depending on different memorials, of when and where they are located, using case studies such as the memorial of the Korsbetningen Cross at Visby and how this medieval memorial compares to modern ones, such as that of the De Montfort Memorial, and the memorials of wars in the 20</w:t>
      </w:r>
      <w:r w:rsidRPr="002C37E6">
        <w:rPr>
          <w:rFonts w:ascii="Times New Roman" w:hAnsi="Times New Roman" w:cs="Times New Roman"/>
          <w:vertAlign w:val="superscript"/>
        </w:rPr>
        <w:t>th</w:t>
      </w:r>
      <w:r>
        <w:rPr>
          <w:rFonts w:ascii="Times New Roman" w:hAnsi="Times New Roman" w:cs="Times New Roman"/>
        </w:rPr>
        <w:t xml:space="preserve"> century. </w:t>
      </w:r>
      <w:r w:rsidR="001B5692">
        <w:rPr>
          <w:rFonts w:ascii="Times New Roman" w:hAnsi="Times New Roman" w:cs="Times New Roman"/>
        </w:rPr>
        <w:t xml:space="preserve">Comparing these monuments, authenticity shapes them to react differently, </w:t>
      </w:r>
      <w:r w:rsidR="00CD583D">
        <w:rPr>
          <w:rFonts w:ascii="Times New Roman" w:hAnsi="Times New Roman" w:cs="Times New Roman"/>
        </w:rPr>
        <w:t xml:space="preserve">and these reactions are constructed by the public perception and how they interact with the past. </w:t>
      </w:r>
      <w:r w:rsidR="001B5692">
        <w:rPr>
          <w:rFonts w:ascii="Times New Roman" w:hAnsi="Times New Roman" w:cs="Times New Roman"/>
        </w:rPr>
        <w:t xml:space="preserve"> </w:t>
      </w:r>
      <w:r w:rsidR="00EC6FE6">
        <w:rPr>
          <w:rFonts w:ascii="Times New Roman" w:hAnsi="Times New Roman" w:cs="Times New Roman"/>
        </w:rPr>
        <w:t xml:space="preserve">In order to understand the importance and issues of authenticity </w:t>
      </w:r>
      <w:r w:rsidR="00155004">
        <w:rPr>
          <w:rFonts w:ascii="Times New Roman" w:hAnsi="Times New Roman" w:cs="Times New Roman"/>
        </w:rPr>
        <w:t>regarding</w:t>
      </w:r>
      <w:r w:rsidR="00CC5BD2">
        <w:rPr>
          <w:rFonts w:ascii="Times New Roman" w:hAnsi="Times New Roman" w:cs="Times New Roman"/>
        </w:rPr>
        <w:t xml:space="preserve"> battlefield and military memorials, there </w:t>
      </w:r>
      <w:r w:rsidR="00D547D6">
        <w:rPr>
          <w:rFonts w:ascii="Times New Roman" w:hAnsi="Times New Roman" w:cs="Times New Roman"/>
        </w:rPr>
        <w:t>must</w:t>
      </w:r>
      <w:r w:rsidR="00CC5BD2">
        <w:rPr>
          <w:rFonts w:ascii="Times New Roman" w:hAnsi="Times New Roman" w:cs="Times New Roman"/>
        </w:rPr>
        <w:t xml:space="preserve"> be an understand</w:t>
      </w:r>
      <w:r w:rsidR="00B02E84">
        <w:rPr>
          <w:rFonts w:ascii="Times New Roman" w:hAnsi="Times New Roman" w:cs="Times New Roman"/>
        </w:rPr>
        <w:t>ing</w:t>
      </w:r>
      <w:r w:rsidR="00CC5BD2">
        <w:rPr>
          <w:rFonts w:ascii="Times New Roman" w:hAnsi="Times New Roman" w:cs="Times New Roman"/>
        </w:rPr>
        <w:t xml:space="preserve"> of authors such as Walter Benjamin and his works </w:t>
      </w:r>
      <w:r w:rsidR="00521E9F">
        <w:rPr>
          <w:rFonts w:ascii="Times New Roman" w:hAnsi="Times New Roman" w:cs="Times New Roman"/>
        </w:rPr>
        <w:t>on</w:t>
      </w:r>
      <w:r w:rsidR="00CC5BD2">
        <w:rPr>
          <w:rFonts w:ascii="Times New Roman" w:hAnsi="Times New Roman" w:cs="Times New Roman"/>
        </w:rPr>
        <w:t xml:space="preserve"> ‘aura’ </w:t>
      </w:r>
      <w:r w:rsidR="00BD6EC2">
        <w:rPr>
          <w:rFonts w:ascii="Times New Roman" w:hAnsi="Times New Roman" w:cs="Times New Roman"/>
        </w:rPr>
        <w:t>and authenticity,</w:t>
      </w:r>
      <w:r w:rsidR="002C0028">
        <w:rPr>
          <w:rStyle w:val="FootnoteReference"/>
          <w:rFonts w:ascii="Times New Roman" w:hAnsi="Times New Roman" w:cs="Times New Roman"/>
        </w:rPr>
        <w:footnoteReference w:id="1"/>
      </w:r>
      <w:r w:rsidR="00BD6EC2">
        <w:rPr>
          <w:rFonts w:ascii="Times New Roman" w:hAnsi="Times New Roman" w:cs="Times New Roman"/>
        </w:rPr>
        <w:t xml:space="preserve"> as well as pastness and how this can change the perspective and </w:t>
      </w:r>
      <w:r w:rsidR="004D3AE5">
        <w:rPr>
          <w:rFonts w:ascii="Times New Roman" w:hAnsi="Times New Roman" w:cs="Times New Roman"/>
        </w:rPr>
        <w:t>reception of the memorial</w:t>
      </w:r>
      <w:r w:rsidR="007F08C8">
        <w:rPr>
          <w:rFonts w:ascii="Times New Roman" w:hAnsi="Times New Roman" w:cs="Times New Roman"/>
        </w:rPr>
        <w:t>s</w:t>
      </w:r>
      <w:r w:rsidR="004D3AE5">
        <w:rPr>
          <w:rFonts w:ascii="Times New Roman" w:hAnsi="Times New Roman" w:cs="Times New Roman"/>
        </w:rPr>
        <w:t>.</w:t>
      </w:r>
      <w:r w:rsidR="00677DAF">
        <w:rPr>
          <w:rStyle w:val="FootnoteReference"/>
          <w:rFonts w:ascii="Times New Roman" w:hAnsi="Times New Roman" w:cs="Times New Roman"/>
        </w:rPr>
        <w:footnoteReference w:id="2"/>
      </w:r>
      <w:r w:rsidR="00344E49">
        <w:rPr>
          <w:rFonts w:ascii="Times New Roman" w:hAnsi="Times New Roman" w:cs="Times New Roman"/>
        </w:rPr>
        <w:t xml:space="preserve"> </w:t>
      </w:r>
    </w:p>
    <w:p w14:paraId="223D05FA" w14:textId="683CC770" w:rsidR="00344E49" w:rsidRDefault="00344E49" w:rsidP="002C37E6">
      <w:pPr>
        <w:spacing w:line="360" w:lineRule="auto"/>
        <w:rPr>
          <w:rFonts w:ascii="Times New Roman" w:hAnsi="Times New Roman" w:cs="Times New Roman"/>
        </w:rPr>
      </w:pPr>
      <w:r>
        <w:rPr>
          <w:rFonts w:ascii="Times New Roman" w:hAnsi="Times New Roman" w:cs="Times New Roman"/>
        </w:rPr>
        <w:tab/>
        <w:t>The idea o</w:t>
      </w:r>
      <w:r w:rsidR="000A2118">
        <w:rPr>
          <w:rFonts w:ascii="Times New Roman" w:hAnsi="Times New Roman" w:cs="Times New Roman"/>
        </w:rPr>
        <w:t xml:space="preserve">f authenticity is rooted in many other </w:t>
      </w:r>
      <w:r w:rsidR="00B664ED">
        <w:rPr>
          <w:rFonts w:ascii="Times New Roman" w:hAnsi="Times New Roman" w:cs="Times New Roman"/>
        </w:rPr>
        <w:t>concepts and</w:t>
      </w:r>
      <w:r w:rsidR="000A2118">
        <w:rPr>
          <w:rFonts w:ascii="Times New Roman" w:hAnsi="Times New Roman" w:cs="Times New Roman"/>
        </w:rPr>
        <w:t xml:space="preserve"> must be aided </w:t>
      </w:r>
      <w:r w:rsidR="00A61574">
        <w:rPr>
          <w:rFonts w:ascii="Times New Roman" w:hAnsi="Times New Roman" w:cs="Times New Roman"/>
        </w:rPr>
        <w:t>by</w:t>
      </w:r>
      <w:r w:rsidR="000A2118">
        <w:rPr>
          <w:rFonts w:ascii="Times New Roman" w:hAnsi="Times New Roman" w:cs="Times New Roman"/>
        </w:rPr>
        <w:t xml:space="preserve"> ideas of ‘aura’ and pastness </w:t>
      </w:r>
      <w:r w:rsidR="0022332D">
        <w:rPr>
          <w:rFonts w:ascii="Times New Roman" w:hAnsi="Times New Roman" w:cs="Times New Roman"/>
        </w:rPr>
        <w:t>to</w:t>
      </w:r>
      <w:r w:rsidR="000A2118">
        <w:rPr>
          <w:rFonts w:ascii="Times New Roman" w:hAnsi="Times New Roman" w:cs="Times New Roman"/>
        </w:rPr>
        <w:t xml:space="preserve"> truly understand and grasp the </w:t>
      </w:r>
      <w:r w:rsidR="00DB3E49">
        <w:rPr>
          <w:rFonts w:ascii="Times New Roman" w:hAnsi="Times New Roman" w:cs="Times New Roman"/>
        </w:rPr>
        <w:t>ideas of what authenticity is</w:t>
      </w:r>
      <w:r w:rsidR="007C5E42">
        <w:rPr>
          <w:rFonts w:ascii="Times New Roman" w:hAnsi="Times New Roman" w:cs="Times New Roman"/>
        </w:rPr>
        <w:t xml:space="preserve"> and how it can be used when regarding battlefield and military memorials</w:t>
      </w:r>
      <w:r w:rsidR="00DB3E49">
        <w:rPr>
          <w:rFonts w:ascii="Times New Roman" w:hAnsi="Times New Roman" w:cs="Times New Roman"/>
        </w:rPr>
        <w:t>.</w:t>
      </w:r>
      <w:r w:rsidR="007C5E42">
        <w:rPr>
          <w:rFonts w:ascii="Times New Roman" w:hAnsi="Times New Roman" w:cs="Times New Roman"/>
        </w:rPr>
        <w:t xml:space="preserve"> </w:t>
      </w:r>
      <w:r w:rsidR="00F6121B">
        <w:rPr>
          <w:rFonts w:ascii="Times New Roman" w:hAnsi="Times New Roman" w:cs="Times New Roman"/>
        </w:rPr>
        <w:t>T</w:t>
      </w:r>
      <w:r w:rsidR="00C250B8">
        <w:rPr>
          <w:rFonts w:ascii="Times New Roman" w:hAnsi="Times New Roman" w:cs="Times New Roman"/>
        </w:rPr>
        <w:t>h</w:t>
      </w:r>
      <w:r w:rsidR="00F67D6B">
        <w:rPr>
          <w:rFonts w:ascii="Times New Roman" w:hAnsi="Times New Roman" w:cs="Times New Roman"/>
        </w:rPr>
        <w:t>e</w:t>
      </w:r>
      <w:r w:rsidR="00C250B8">
        <w:rPr>
          <w:rFonts w:ascii="Times New Roman" w:hAnsi="Times New Roman" w:cs="Times New Roman"/>
        </w:rPr>
        <w:t xml:space="preserve"> paramount idea which arose from authenticity must be ‘aura’ which was spearheaded by Walter Benjamin in </w:t>
      </w:r>
      <w:r w:rsidR="0022332D">
        <w:rPr>
          <w:rFonts w:ascii="Times New Roman" w:hAnsi="Times New Roman" w:cs="Times New Roman"/>
        </w:rPr>
        <w:t>‘The work of art in the age of mechanical reproduction’.</w:t>
      </w:r>
      <w:r w:rsidR="0022332D">
        <w:rPr>
          <w:rStyle w:val="FootnoteReference"/>
          <w:rFonts w:ascii="Times New Roman" w:hAnsi="Times New Roman" w:cs="Times New Roman"/>
        </w:rPr>
        <w:footnoteReference w:id="3"/>
      </w:r>
      <w:r w:rsidR="00DB3E49">
        <w:rPr>
          <w:rFonts w:ascii="Times New Roman" w:hAnsi="Times New Roman" w:cs="Times New Roman"/>
        </w:rPr>
        <w:t xml:space="preserve"> </w:t>
      </w:r>
      <w:r w:rsidR="00D33284">
        <w:rPr>
          <w:rFonts w:ascii="Times New Roman" w:hAnsi="Times New Roman" w:cs="Times New Roman"/>
        </w:rPr>
        <w:t>Benjamin understood that authenticity was far to</w:t>
      </w:r>
      <w:r w:rsidR="00A64F20">
        <w:rPr>
          <w:rFonts w:ascii="Times New Roman" w:hAnsi="Times New Roman" w:cs="Times New Roman"/>
        </w:rPr>
        <w:t>o</w:t>
      </w:r>
      <w:r w:rsidR="00D33284">
        <w:rPr>
          <w:rFonts w:ascii="Times New Roman" w:hAnsi="Times New Roman" w:cs="Times New Roman"/>
        </w:rPr>
        <w:t xml:space="preserve"> complex to be defined on its own, and theorised</w:t>
      </w:r>
      <w:r w:rsidR="009559CC">
        <w:rPr>
          <w:rFonts w:ascii="Times New Roman" w:hAnsi="Times New Roman" w:cs="Times New Roman"/>
        </w:rPr>
        <w:t xml:space="preserve"> that authenticity would be </w:t>
      </w:r>
      <w:r w:rsidR="00B44A90">
        <w:rPr>
          <w:rFonts w:ascii="Times New Roman" w:hAnsi="Times New Roman" w:cs="Times New Roman"/>
        </w:rPr>
        <w:t>characterised in relation to the concept of ‘aura’.</w:t>
      </w:r>
      <w:r w:rsidR="00B44A90">
        <w:rPr>
          <w:rStyle w:val="FootnoteReference"/>
          <w:rFonts w:ascii="Times New Roman" w:hAnsi="Times New Roman" w:cs="Times New Roman"/>
        </w:rPr>
        <w:footnoteReference w:id="4"/>
      </w:r>
      <w:r w:rsidR="00B664ED">
        <w:rPr>
          <w:rFonts w:ascii="Times New Roman" w:hAnsi="Times New Roman" w:cs="Times New Roman"/>
        </w:rPr>
        <w:t xml:space="preserve"> </w:t>
      </w:r>
      <w:r w:rsidR="00435A13">
        <w:rPr>
          <w:rFonts w:ascii="Times New Roman" w:hAnsi="Times New Roman" w:cs="Times New Roman"/>
        </w:rPr>
        <w:t xml:space="preserve">Benjamin argued that </w:t>
      </w:r>
      <w:r w:rsidR="00AA7D68">
        <w:rPr>
          <w:rFonts w:ascii="Times New Roman" w:hAnsi="Times New Roman" w:cs="Times New Roman"/>
        </w:rPr>
        <w:t xml:space="preserve">the presence of the original object was the </w:t>
      </w:r>
      <w:r w:rsidR="00053B11">
        <w:rPr>
          <w:rFonts w:ascii="Times New Roman" w:hAnsi="Times New Roman" w:cs="Times New Roman"/>
        </w:rPr>
        <w:t xml:space="preserve">prerequisite </w:t>
      </w:r>
      <w:r w:rsidR="00D32930">
        <w:rPr>
          <w:rFonts w:ascii="Times New Roman" w:hAnsi="Times New Roman" w:cs="Times New Roman"/>
        </w:rPr>
        <w:t>to the concept of authenticity, and this is what the concept of ‘aura’ theorises.</w:t>
      </w:r>
      <w:r w:rsidR="00D32930">
        <w:rPr>
          <w:rStyle w:val="FootnoteReference"/>
          <w:rFonts w:ascii="Times New Roman" w:hAnsi="Times New Roman" w:cs="Times New Roman"/>
        </w:rPr>
        <w:footnoteReference w:id="5"/>
      </w:r>
      <w:r w:rsidR="00EA78E4">
        <w:rPr>
          <w:rFonts w:ascii="Times New Roman" w:hAnsi="Times New Roman" w:cs="Times New Roman"/>
        </w:rPr>
        <w:t xml:space="preserve"> </w:t>
      </w:r>
      <w:r w:rsidR="00F30B17">
        <w:rPr>
          <w:rFonts w:ascii="Times New Roman" w:hAnsi="Times New Roman" w:cs="Times New Roman"/>
        </w:rPr>
        <w:t xml:space="preserve">A more complex understanding is also explained in Benjamin’s work that </w:t>
      </w:r>
      <w:r w:rsidR="00A639C9">
        <w:rPr>
          <w:rFonts w:ascii="Times New Roman" w:hAnsi="Times New Roman" w:cs="Times New Roman"/>
        </w:rPr>
        <w:t xml:space="preserve">the physical duration to the historical testimony relating to the concept is </w:t>
      </w:r>
      <w:r w:rsidR="00E60AD7">
        <w:rPr>
          <w:rFonts w:ascii="Times New Roman" w:hAnsi="Times New Roman" w:cs="Times New Roman"/>
        </w:rPr>
        <w:t>what</w:t>
      </w:r>
      <w:r w:rsidR="008802DD">
        <w:rPr>
          <w:rFonts w:ascii="Times New Roman" w:hAnsi="Times New Roman" w:cs="Times New Roman"/>
        </w:rPr>
        <w:t xml:space="preserve"> i</w:t>
      </w:r>
      <w:r w:rsidR="00E60AD7">
        <w:rPr>
          <w:rFonts w:ascii="Times New Roman" w:hAnsi="Times New Roman" w:cs="Times New Roman"/>
        </w:rPr>
        <w:t>s best defined as ‘authenticity’.</w:t>
      </w:r>
      <w:r w:rsidR="00E60AD7">
        <w:rPr>
          <w:rStyle w:val="FootnoteReference"/>
          <w:rFonts w:ascii="Times New Roman" w:hAnsi="Times New Roman" w:cs="Times New Roman"/>
        </w:rPr>
        <w:footnoteReference w:id="6"/>
      </w:r>
      <w:r w:rsidR="00F82D11">
        <w:rPr>
          <w:rFonts w:ascii="Times New Roman" w:hAnsi="Times New Roman" w:cs="Times New Roman"/>
        </w:rPr>
        <w:t xml:space="preserve"> There is also an argument that the ritualistic ideas is what is quintessential to authenticity, </w:t>
      </w:r>
      <w:r w:rsidR="004A1482">
        <w:rPr>
          <w:rFonts w:ascii="Times New Roman" w:hAnsi="Times New Roman" w:cs="Times New Roman"/>
        </w:rPr>
        <w:t>and that the value of the work that is authenticity is the rooted to its ritual</w:t>
      </w:r>
      <w:r w:rsidR="00AB4135">
        <w:rPr>
          <w:rFonts w:ascii="Times New Roman" w:hAnsi="Times New Roman" w:cs="Times New Roman"/>
        </w:rPr>
        <w:t xml:space="preserve"> meanings</w:t>
      </w:r>
      <w:r w:rsidR="003C6775">
        <w:rPr>
          <w:rFonts w:ascii="Times New Roman" w:hAnsi="Times New Roman" w:cs="Times New Roman"/>
        </w:rPr>
        <w:t>.</w:t>
      </w:r>
      <w:r w:rsidR="003C6775">
        <w:rPr>
          <w:rStyle w:val="FootnoteReference"/>
          <w:rFonts w:ascii="Times New Roman" w:hAnsi="Times New Roman" w:cs="Times New Roman"/>
        </w:rPr>
        <w:footnoteReference w:id="7"/>
      </w:r>
      <w:r w:rsidR="003C6775">
        <w:rPr>
          <w:rFonts w:ascii="Times New Roman" w:hAnsi="Times New Roman" w:cs="Times New Roman"/>
        </w:rPr>
        <w:t xml:space="preserve"> </w:t>
      </w:r>
      <w:r w:rsidR="00DE5D7A">
        <w:rPr>
          <w:rFonts w:ascii="Times New Roman" w:hAnsi="Times New Roman" w:cs="Times New Roman"/>
        </w:rPr>
        <w:t>‘Aura’ is the desire to experience the objects uniqueness, to engage with it, and it is the “strange tissue of space and time</w:t>
      </w:r>
      <w:r w:rsidR="00B45AD9">
        <w:rPr>
          <w:rFonts w:ascii="Times New Roman" w:hAnsi="Times New Roman" w:cs="Times New Roman"/>
        </w:rPr>
        <w:t>”.</w:t>
      </w:r>
      <w:r w:rsidR="00B45AD9">
        <w:rPr>
          <w:rStyle w:val="FootnoteReference"/>
          <w:rFonts w:ascii="Times New Roman" w:hAnsi="Times New Roman" w:cs="Times New Roman"/>
        </w:rPr>
        <w:footnoteReference w:id="8"/>
      </w:r>
      <w:r w:rsidR="00B45AD9">
        <w:rPr>
          <w:rFonts w:ascii="Times New Roman" w:hAnsi="Times New Roman" w:cs="Times New Roman"/>
        </w:rPr>
        <w:t xml:space="preserve"> </w:t>
      </w:r>
      <w:r w:rsidR="0043275D">
        <w:rPr>
          <w:rFonts w:ascii="Times New Roman" w:hAnsi="Times New Roman" w:cs="Times New Roman"/>
        </w:rPr>
        <w:t xml:space="preserve">Authenticity is connected to the concept of ‘aura’, since they both </w:t>
      </w:r>
      <w:r w:rsidR="0046285D">
        <w:rPr>
          <w:rFonts w:ascii="Times New Roman" w:hAnsi="Times New Roman" w:cs="Times New Roman"/>
        </w:rPr>
        <w:t xml:space="preserve">come from and are grounded in the ritual and tradition, which are not static, and are dynamic </w:t>
      </w:r>
      <w:r w:rsidR="001B2BB2">
        <w:rPr>
          <w:rFonts w:ascii="Times New Roman" w:hAnsi="Times New Roman" w:cs="Times New Roman"/>
        </w:rPr>
        <w:t>as performative and communicative devices as a whole.</w:t>
      </w:r>
      <w:r w:rsidR="001B2BB2">
        <w:rPr>
          <w:rStyle w:val="FootnoteReference"/>
          <w:rFonts w:ascii="Times New Roman" w:hAnsi="Times New Roman" w:cs="Times New Roman"/>
        </w:rPr>
        <w:footnoteReference w:id="9"/>
      </w:r>
      <w:r w:rsidR="001B2BB2">
        <w:rPr>
          <w:rFonts w:ascii="Times New Roman" w:hAnsi="Times New Roman" w:cs="Times New Roman"/>
        </w:rPr>
        <w:t xml:space="preserve"> </w:t>
      </w:r>
      <w:r w:rsidR="00200C45">
        <w:rPr>
          <w:rFonts w:ascii="Times New Roman" w:hAnsi="Times New Roman" w:cs="Times New Roman"/>
        </w:rPr>
        <w:t xml:space="preserve">Other academics have their own </w:t>
      </w:r>
      <w:r w:rsidR="00200C45">
        <w:rPr>
          <w:rFonts w:ascii="Times New Roman" w:hAnsi="Times New Roman" w:cs="Times New Roman"/>
        </w:rPr>
        <w:lastRenderedPageBreak/>
        <w:t>takes on authenticity, for example, Boorstin</w:t>
      </w:r>
      <w:r w:rsidR="00276768">
        <w:rPr>
          <w:rFonts w:ascii="Times New Roman" w:hAnsi="Times New Roman" w:cs="Times New Roman"/>
        </w:rPr>
        <w:t xml:space="preserve">’s argument was that </w:t>
      </w:r>
      <w:r w:rsidR="0021130F">
        <w:rPr>
          <w:rFonts w:ascii="Times New Roman" w:hAnsi="Times New Roman" w:cs="Times New Roman"/>
        </w:rPr>
        <w:t>tourism</w:t>
      </w:r>
      <w:r w:rsidR="00276768">
        <w:rPr>
          <w:rFonts w:ascii="Times New Roman" w:hAnsi="Times New Roman" w:cs="Times New Roman"/>
        </w:rPr>
        <w:t xml:space="preserve"> is a pseudo-event whereby the tourists seek inauthenticity for their inauthentic lives, </w:t>
      </w:r>
      <w:r w:rsidR="0021130F">
        <w:rPr>
          <w:rFonts w:ascii="Times New Roman" w:hAnsi="Times New Roman" w:cs="Times New Roman"/>
        </w:rPr>
        <w:t xml:space="preserve">this can be argued for memorials, but memorials are not erected for the sole purpose of tourism and cannot be lead by this argument due </w:t>
      </w:r>
      <w:r w:rsidR="00E27A7E">
        <w:rPr>
          <w:rFonts w:ascii="Times New Roman" w:hAnsi="Times New Roman" w:cs="Times New Roman"/>
        </w:rPr>
        <w:t xml:space="preserve">to </w:t>
      </w:r>
      <w:r w:rsidR="0021130F">
        <w:rPr>
          <w:rFonts w:ascii="Times New Roman" w:hAnsi="Times New Roman" w:cs="Times New Roman"/>
        </w:rPr>
        <w:t>that.</w:t>
      </w:r>
      <w:r w:rsidR="0021130F">
        <w:rPr>
          <w:rStyle w:val="FootnoteReference"/>
          <w:rFonts w:ascii="Times New Roman" w:hAnsi="Times New Roman" w:cs="Times New Roman"/>
        </w:rPr>
        <w:footnoteReference w:id="10"/>
      </w:r>
      <w:r w:rsidR="0041655D">
        <w:rPr>
          <w:rFonts w:ascii="Times New Roman" w:hAnsi="Times New Roman" w:cs="Times New Roman"/>
        </w:rPr>
        <w:t xml:space="preserve"> Additionally for the most part objective authenticity is heavily focused on the </w:t>
      </w:r>
      <w:r w:rsidR="000442F3">
        <w:rPr>
          <w:rFonts w:ascii="Times New Roman" w:hAnsi="Times New Roman" w:cs="Times New Roman"/>
        </w:rPr>
        <w:t>genuineness</w:t>
      </w:r>
      <w:r w:rsidR="0041655D">
        <w:rPr>
          <w:rFonts w:ascii="Times New Roman" w:hAnsi="Times New Roman" w:cs="Times New Roman"/>
        </w:rPr>
        <w:t xml:space="preserve"> of objects, </w:t>
      </w:r>
      <w:r w:rsidR="000442F3">
        <w:rPr>
          <w:rFonts w:ascii="Times New Roman" w:hAnsi="Times New Roman" w:cs="Times New Roman"/>
        </w:rPr>
        <w:t>artefacts and</w:t>
      </w:r>
      <w:r w:rsidR="0041655D">
        <w:rPr>
          <w:rFonts w:ascii="Times New Roman" w:hAnsi="Times New Roman" w:cs="Times New Roman"/>
        </w:rPr>
        <w:t xml:space="preserve"> </w:t>
      </w:r>
      <w:r w:rsidR="000442F3">
        <w:rPr>
          <w:rFonts w:ascii="Times New Roman" w:hAnsi="Times New Roman" w:cs="Times New Roman"/>
        </w:rPr>
        <w:t>structures.</w:t>
      </w:r>
      <w:r w:rsidR="000442F3">
        <w:rPr>
          <w:rStyle w:val="FootnoteReference"/>
          <w:rFonts w:ascii="Times New Roman" w:hAnsi="Times New Roman" w:cs="Times New Roman"/>
        </w:rPr>
        <w:footnoteReference w:id="11"/>
      </w:r>
      <w:r w:rsidR="00EF0513">
        <w:rPr>
          <w:rFonts w:ascii="Times New Roman" w:hAnsi="Times New Roman" w:cs="Times New Roman"/>
        </w:rPr>
        <w:t xml:space="preserve"> Barthel uses the same approach of the objectivist perspective in her analys</w:t>
      </w:r>
      <w:r w:rsidR="00F05CCC">
        <w:rPr>
          <w:rFonts w:ascii="Times New Roman" w:hAnsi="Times New Roman" w:cs="Times New Roman"/>
        </w:rPr>
        <w:t>is of historic sites, determining authenticity based on the originality of the site, its structures and the social context of the place.</w:t>
      </w:r>
      <w:r w:rsidR="00F05CCC">
        <w:rPr>
          <w:rStyle w:val="FootnoteReference"/>
          <w:rFonts w:ascii="Times New Roman" w:hAnsi="Times New Roman" w:cs="Times New Roman"/>
        </w:rPr>
        <w:footnoteReference w:id="12"/>
      </w:r>
      <w:r w:rsidR="009A037A">
        <w:rPr>
          <w:rFonts w:ascii="Times New Roman" w:hAnsi="Times New Roman" w:cs="Times New Roman"/>
        </w:rPr>
        <w:t xml:space="preserve"> </w:t>
      </w:r>
      <w:r w:rsidR="00B5303F">
        <w:rPr>
          <w:rFonts w:ascii="Times New Roman" w:hAnsi="Times New Roman" w:cs="Times New Roman"/>
        </w:rPr>
        <w:t>The</w:t>
      </w:r>
      <w:r w:rsidR="001B2CA8">
        <w:rPr>
          <w:rFonts w:ascii="Times New Roman" w:hAnsi="Times New Roman" w:cs="Times New Roman"/>
        </w:rPr>
        <w:t xml:space="preserve"> main argument of Walter Benjamin is that the mechanical reproduction will and can degrade the ‘aura’ of an object or piece of art, and in this case this argument will be targeted towards the </w:t>
      </w:r>
      <w:r w:rsidR="00891129">
        <w:rPr>
          <w:rFonts w:ascii="Times New Roman" w:hAnsi="Times New Roman" w:cs="Times New Roman"/>
        </w:rPr>
        <w:t>battlefield and military memorials chosen for the essay.</w:t>
      </w:r>
      <w:r w:rsidR="00BD4154">
        <w:rPr>
          <w:rFonts w:ascii="Times New Roman" w:hAnsi="Times New Roman" w:cs="Times New Roman"/>
        </w:rPr>
        <w:t xml:space="preserve"> </w:t>
      </w:r>
      <w:r w:rsidR="00891129">
        <w:rPr>
          <w:rFonts w:ascii="Times New Roman" w:hAnsi="Times New Roman" w:cs="Times New Roman"/>
        </w:rPr>
        <w:t xml:space="preserve"> </w:t>
      </w:r>
      <w:r w:rsidR="0006742C">
        <w:rPr>
          <w:rFonts w:ascii="Times New Roman" w:hAnsi="Times New Roman" w:cs="Times New Roman"/>
        </w:rPr>
        <w:t>Moreover, pastness is a</w:t>
      </w:r>
      <w:r w:rsidR="00A201EC">
        <w:rPr>
          <w:rFonts w:ascii="Times New Roman" w:hAnsi="Times New Roman" w:cs="Times New Roman"/>
        </w:rPr>
        <w:t>nother concept that supports the further definitions of authenticity</w:t>
      </w:r>
      <w:r w:rsidR="002206CA">
        <w:rPr>
          <w:rFonts w:ascii="Times New Roman" w:hAnsi="Times New Roman" w:cs="Times New Roman"/>
        </w:rPr>
        <w:t>.</w:t>
      </w:r>
      <w:r w:rsidR="005C16AB">
        <w:rPr>
          <w:rFonts w:ascii="Times New Roman" w:hAnsi="Times New Roman" w:cs="Times New Roman"/>
        </w:rPr>
        <w:t xml:space="preserve"> </w:t>
      </w:r>
      <w:r w:rsidR="00BF20E1">
        <w:rPr>
          <w:rFonts w:ascii="Times New Roman" w:hAnsi="Times New Roman" w:cs="Times New Roman"/>
        </w:rPr>
        <w:t>Rather than pastness focusing on the ‘age’ of an object,</w:t>
      </w:r>
      <w:r w:rsidR="00236BED">
        <w:rPr>
          <w:rFonts w:ascii="Times New Roman" w:hAnsi="Times New Roman" w:cs="Times New Roman"/>
        </w:rPr>
        <w:t xml:space="preserve"> the focus must be on the quality of being from the past, as the physical quality of the past is what</w:t>
      </w:r>
      <w:r w:rsidR="001014EC">
        <w:rPr>
          <w:rFonts w:ascii="Times New Roman" w:hAnsi="Times New Roman" w:cs="Times New Roman"/>
        </w:rPr>
        <w:t xml:space="preserve"> matters about the objects age.</w:t>
      </w:r>
      <w:r w:rsidR="001014EC">
        <w:rPr>
          <w:rStyle w:val="FootnoteReference"/>
          <w:rFonts w:ascii="Times New Roman" w:hAnsi="Times New Roman" w:cs="Times New Roman"/>
        </w:rPr>
        <w:footnoteReference w:id="13"/>
      </w:r>
      <w:r w:rsidR="001A4F71">
        <w:rPr>
          <w:rFonts w:ascii="Times New Roman" w:hAnsi="Times New Roman" w:cs="Times New Roman"/>
        </w:rPr>
        <w:t xml:space="preserve"> </w:t>
      </w:r>
      <w:r w:rsidR="00C95A32">
        <w:rPr>
          <w:rFonts w:ascii="Times New Roman" w:hAnsi="Times New Roman" w:cs="Times New Roman"/>
        </w:rPr>
        <w:t xml:space="preserve">The authentic archaeological objects can for the most part be </w:t>
      </w:r>
      <w:r w:rsidR="00271248">
        <w:rPr>
          <w:rFonts w:ascii="Times New Roman" w:hAnsi="Times New Roman" w:cs="Times New Roman"/>
        </w:rPr>
        <w:t>effectively defined as objects that posses a sense of pastness.</w:t>
      </w:r>
      <w:r w:rsidR="00271248">
        <w:rPr>
          <w:rStyle w:val="FootnoteReference"/>
          <w:rFonts w:ascii="Times New Roman" w:hAnsi="Times New Roman" w:cs="Times New Roman"/>
        </w:rPr>
        <w:footnoteReference w:id="14"/>
      </w:r>
      <w:r w:rsidR="00271248">
        <w:rPr>
          <w:rFonts w:ascii="Times New Roman" w:hAnsi="Times New Roman" w:cs="Times New Roman"/>
        </w:rPr>
        <w:t xml:space="preserve"> </w:t>
      </w:r>
      <w:r w:rsidR="008D6839">
        <w:rPr>
          <w:rFonts w:ascii="Times New Roman" w:hAnsi="Times New Roman" w:cs="Times New Roman"/>
          <w:noProof/>
        </w:rPr>
        <w:drawing>
          <wp:anchor distT="0" distB="0" distL="114300" distR="114300" simplePos="0" relativeHeight="251658240" behindDoc="0" locked="0" layoutInCell="1" allowOverlap="1" wp14:anchorId="5B9DF2CD" wp14:editId="30E929CC">
            <wp:simplePos x="0" y="0"/>
            <wp:positionH relativeFrom="column">
              <wp:posOffset>-64770</wp:posOffset>
            </wp:positionH>
            <wp:positionV relativeFrom="paragraph">
              <wp:posOffset>3316605</wp:posOffset>
            </wp:positionV>
            <wp:extent cx="2251075" cy="3124200"/>
            <wp:effectExtent l="0" t="0" r="0" b="0"/>
            <wp:wrapThrough wrapText="bothSides">
              <wp:wrapPolygon edited="0">
                <wp:start x="0" y="0"/>
                <wp:lineTo x="0" y="21468"/>
                <wp:lineTo x="21387" y="21468"/>
                <wp:lineTo x="21387" y="0"/>
                <wp:lineTo x="0" y="0"/>
              </wp:wrapPolygon>
            </wp:wrapThrough>
            <wp:docPr id="660381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381191" name="Picture 660381191"/>
                    <pic:cNvPicPr/>
                  </pic:nvPicPr>
                  <pic:blipFill>
                    <a:blip r:embed="rId10">
                      <a:extLst>
                        <a:ext uri="{28A0092B-C50C-407E-A947-70E740481C1C}">
                          <a14:useLocalDpi xmlns:a14="http://schemas.microsoft.com/office/drawing/2010/main" val="0"/>
                        </a:ext>
                      </a:extLst>
                    </a:blip>
                    <a:stretch>
                      <a:fillRect/>
                    </a:stretch>
                  </pic:blipFill>
                  <pic:spPr>
                    <a:xfrm>
                      <a:off x="0" y="0"/>
                      <a:ext cx="2251075" cy="3124200"/>
                    </a:xfrm>
                    <a:prstGeom prst="rect">
                      <a:avLst/>
                    </a:prstGeom>
                  </pic:spPr>
                </pic:pic>
              </a:graphicData>
            </a:graphic>
          </wp:anchor>
        </w:drawing>
      </w:r>
      <w:r w:rsidR="00C9652E">
        <w:rPr>
          <w:rFonts w:ascii="Times New Roman" w:hAnsi="Times New Roman" w:cs="Times New Roman"/>
        </w:rPr>
        <w:t xml:space="preserve">Cornelius Holtorf writes that “pastness is the result of a particular perception or experience” for </w:t>
      </w:r>
      <w:r w:rsidR="007B189B">
        <w:rPr>
          <w:rFonts w:ascii="Times New Roman" w:hAnsi="Times New Roman" w:cs="Times New Roman"/>
        </w:rPr>
        <w:t>instances that are firmly situated in the cultural context of</w:t>
      </w:r>
      <w:r w:rsidR="00C05F78">
        <w:rPr>
          <w:rFonts w:ascii="Times New Roman" w:hAnsi="Times New Roman" w:cs="Times New Roman"/>
        </w:rPr>
        <w:t xml:space="preserve"> </w:t>
      </w:r>
      <w:r w:rsidR="007B189B">
        <w:rPr>
          <w:rFonts w:ascii="Times New Roman" w:hAnsi="Times New Roman" w:cs="Times New Roman"/>
        </w:rPr>
        <w:t>‘pastness’.</w:t>
      </w:r>
      <w:r w:rsidR="007B189B">
        <w:rPr>
          <w:rStyle w:val="FootnoteReference"/>
          <w:rFonts w:ascii="Times New Roman" w:hAnsi="Times New Roman" w:cs="Times New Roman"/>
        </w:rPr>
        <w:footnoteReference w:id="15"/>
      </w:r>
      <w:r w:rsidR="0082622A">
        <w:rPr>
          <w:rFonts w:ascii="Times New Roman" w:hAnsi="Times New Roman" w:cs="Times New Roman"/>
        </w:rPr>
        <w:t xml:space="preserve"> </w:t>
      </w:r>
      <w:r w:rsidR="00D80408">
        <w:rPr>
          <w:rFonts w:ascii="Times New Roman" w:hAnsi="Times New Roman" w:cs="Times New Roman"/>
        </w:rPr>
        <w:t>Jones mentions that pastness</w:t>
      </w:r>
      <w:r w:rsidR="00C44858">
        <w:rPr>
          <w:rFonts w:ascii="Times New Roman" w:hAnsi="Times New Roman" w:cs="Times New Roman"/>
        </w:rPr>
        <w:t xml:space="preserve"> </w:t>
      </w:r>
      <w:r w:rsidR="000A5956">
        <w:rPr>
          <w:rFonts w:ascii="Times New Roman" w:hAnsi="Times New Roman" w:cs="Times New Roman"/>
        </w:rPr>
        <w:t>is to focus on how people are to react and experience the historic environment in the heritage sector, and to address the viewers emotive and meaningful engagements with the historic environment.</w:t>
      </w:r>
      <w:r w:rsidR="000A5956">
        <w:rPr>
          <w:rStyle w:val="FootnoteReference"/>
          <w:rFonts w:ascii="Times New Roman" w:hAnsi="Times New Roman" w:cs="Times New Roman"/>
        </w:rPr>
        <w:footnoteReference w:id="16"/>
      </w:r>
      <w:r w:rsidR="005F5537">
        <w:rPr>
          <w:rFonts w:ascii="Times New Roman" w:hAnsi="Times New Roman" w:cs="Times New Roman"/>
        </w:rPr>
        <w:t xml:space="preserve"> </w:t>
      </w:r>
      <w:r w:rsidR="006F1406">
        <w:rPr>
          <w:rFonts w:ascii="Times New Roman" w:hAnsi="Times New Roman" w:cs="Times New Roman"/>
        </w:rPr>
        <w:t xml:space="preserve">Buildings can require pastness irrespective of whether they possessed the features of pastness when they were first erected, </w:t>
      </w:r>
      <w:r w:rsidR="00026E8B">
        <w:rPr>
          <w:rFonts w:ascii="Times New Roman" w:hAnsi="Times New Roman" w:cs="Times New Roman"/>
        </w:rPr>
        <w:t>pastness can be described as buildings having a particular architectural design or be ruined and in obvious states of decay</w:t>
      </w:r>
      <w:r w:rsidR="008327E9">
        <w:rPr>
          <w:rFonts w:ascii="Times New Roman" w:hAnsi="Times New Roman" w:cs="Times New Roman"/>
        </w:rPr>
        <w:t>.</w:t>
      </w:r>
      <w:r w:rsidR="008327E9">
        <w:rPr>
          <w:rStyle w:val="FootnoteReference"/>
          <w:rFonts w:ascii="Times New Roman" w:hAnsi="Times New Roman" w:cs="Times New Roman"/>
        </w:rPr>
        <w:footnoteReference w:id="17"/>
      </w:r>
      <w:r w:rsidR="008327E9">
        <w:rPr>
          <w:rFonts w:ascii="Times New Roman" w:hAnsi="Times New Roman" w:cs="Times New Roman"/>
        </w:rPr>
        <w:t xml:space="preserve"> An example of a memorial possessing a </w:t>
      </w:r>
      <w:r w:rsidR="00911235">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9BDC72B" wp14:editId="2B845F49">
                <wp:simplePos x="0" y="0"/>
                <wp:positionH relativeFrom="column">
                  <wp:posOffset>-82386</wp:posOffset>
                </wp:positionH>
                <wp:positionV relativeFrom="paragraph">
                  <wp:posOffset>5887789</wp:posOffset>
                </wp:positionV>
                <wp:extent cx="2314135" cy="618539"/>
                <wp:effectExtent l="0" t="0" r="10160" b="10160"/>
                <wp:wrapNone/>
                <wp:docPr id="343010638" name="Text Box 4"/>
                <wp:cNvGraphicFramePr/>
                <a:graphic xmlns:a="http://schemas.openxmlformats.org/drawingml/2006/main">
                  <a:graphicData uri="http://schemas.microsoft.com/office/word/2010/wordprocessingShape">
                    <wps:wsp>
                      <wps:cNvSpPr txBox="1"/>
                      <wps:spPr>
                        <a:xfrm>
                          <a:off x="0" y="0"/>
                          <a:ext cx="2314135" cy="618539"/>
                        </a:xfrm>
                        <a:prstGeom prst="rect">
                          <a:avLst/>
                        </a:prstGeom>
                        <a:solidFill>
                          <a:schemeClr val="lt1"/>
                        </a:solidFill>
                        <a:ln w="6350">
                          <a:solidFill>
                            <a:schemeClr val="bg1"/>
                          </a:solidFill>
                        </a:ln>
                      </wps:spPr>
                      <wps:txbx>
                        <w:txbxContent>
                          <w:p w14:paraId="4F9A6CB8" w14:textId="25915D78" w:rsidR="008D6839" w:rsidRPr="00911235" w:rsidRDefault="008D6839" w:rsidP="00911235">
                            <w:pPr>
                              <w:jc w:val="center"/>
                              <w:rPr>
                                <w:rFonts w:ascii="Times New Roman" w:hAnsi="Times New Roman" w:cs="Times New Roman"/>
                              </w:rPr>
                            </w:pPr>
                            <w:r w:rsidRPr="00911235">
                              <w:rPr>
                                <w:rFonts w:ascii="Times New Roman" w:hAnsi="Times New Roman" w:cs="Times New Roman"/>
                              </w:rPr>
                              <w:t xml:space="preserve">Figure 1, </w:t>
                            </w:r>
                            <w:r w:rsidRPr="00911235">
                              <w:rPr>
                                <w:rFonts w:ascii="Times New Roman" w:hAnsi="Times New Roman" w:cs="Times New Roman"/>
                              </w:rPr>
                              <w:t>Korsbetningen Cross</w:t>
                            </w:r>
                            <w:r w:rsidRPr="00911235">
                              <w:rPr>
                                <w:rFonts w:ascii="Times New Roman" w:hAnsi="Times New Roman" w:cs="Times New Roman"/>
                              </w:rPr>
                              <w:t xml:space="preserve"> (</w:t>
                            </w:r>
                            <w:r w:rsidR="00911235" w:rsidRPr="00911235">
                              <w:rPr>
                                <w:rFonts w:ascii="Times New Roman" w:hAnsi="Times New Roman" w:cs="Times New Roman"/>
                              </w:rPr>
                              <w:t>Fredrik Wilhelm Scholander</w:t>
                            </w:r>
                            <w:r w:rsidR="00911235" w:rsidRPr="00911235">
                              <w:rPr>
                                <w:rFonts w:ascii="Times New Roman" w:hAnsi="Times New Roman" w:cs="Times New Roman"/>
                              </w:rPr>
                              <w:t xml:space="preserve">, </w:t>
                            </w:r>
                            <w:r w:rsidR="00911235" w:rsidRPr="00911235">
                              <w:rPr>
                                <w:rFonts w:ascii="Times New Roman" w:hAnsi="Times New Roman" w:cs="Times New Roman"/>
                              </w:rPr>
                              <w:t>1816 - 1881)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BDC72B" id="_x0000_t202" coordsize="21600,21600" o:spt="202" path="m,l,21600r21600,l21600,xe">
                <v:stroke joinstyle="miter"/>
                <v:path gradientshapeok="t" o:connecttype="rect"/>
              </v:shapetype>
              <v:shape id="Text Box 4" o:spid="_x0000_s1026" type="#_x0000_t202" style="position:absolute;margin-left:-6.5pt;margin-top:463.6pt;width:182.2pt;height:4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pH9NAIAAHwEAAAOAAAAZHJzL2Uyb0RvYy54bWysVE1v2zAMvQ/YfxB0Xxzno2uNOEWWIsOA&#10;oC2QDj0rshQbkEVNUmJnv36U7Hy062nYRSFF+ol8fMzsvq0VOQjrKtA5TQdDSoTmUFR6l9OfL6sv&#10;t5Q4z3TBFGiR06Nw9H7++dOsMZkYQQmqEJYgiHZZY3Jaem+yJHG8FDVzAzBCY1CCrZlH1+6SwrIG&#10;0WuVjIbDm6QBWxgLXDiHtw9dkM4jvpSC+ycpnfBE5RRr8/G08dyGM5nPWLazzJQV78tg/1BFzSqN&#10;j56hHphnZG+rv6DqiltwIP2AQ52AlBUXsQfsJh2+62ZTMiNiL0iOM2ea3P+D5Y+HjXm2xLffoMUB&#10;BkIa4zKHl6GfVto6/GKlBONI4fFMm2g94Xg5GqeTdDylhGPsJr2dju8CTHL52ljnvwuoSTByanEs&#10;kS12WDvfpZ5SwmMOVFWsKqWiE6QglsqSA8MhKh9rRPA3WUqTBh8fT4cR+E0siumCsN19gIB4SmPN&#10;l96D5dtt2xOyheKIPFnoJOQMX1XYzJo5/8wsagapwT3wT3hIBVgM9BYlJdjfH92HfBwlRilpUIM5&#10;db/2zApK1A+NQ75LJ5Mg2uhMpl9H6NjryPY6ovf1EpChFDfO8GiGfK9OprRQv+K6LMKrGGKa49s5&#10;9Sdz6bvNwHXjYrGISShTw/xabwwP0GEiYVQv7Suzpp+nRyU8wkmtLHs31i43fKlhsfcgqzjzQHDH&#10;as87Sjyqpl/HsEPXfsy6/GnM/wAAAP//AwBQSwMEFAAGAAgAAAAhAAg9Gp7hAAAADAEAAA8AAABk&#10;cnMvZG93bnJldi54bWxMj01Lw0AQhu+C/2EZwVu7+bLWmE0JiggqiNWLt20yJsHsbMhO2/TfO570&#10;OMzD+z5vsZndoA44hd6TgXgZgUKqfdNTa+Dj/WGxBhXYUmMHT2jghAE25flZYfPGH+kND1tulYRQ&#10;yK2BjnnMtQ51h86GpR+R5PflJ2dZzqnVzWSPEu4GnUTRSjvbkzR0dsS7Duvv7d4ZeMo+7X3Kz3hi&#10;ml+r6nE9ZuHFmMuLuboFxTjzHwy/+qIOpTjt/J6aoAYDiziVLWzgJrlOQAmRXsUZqJ2gUZKtQJeF&#10;/j+i/AEAAP//AwBQSwECLQAUAAYACAAAACEAtoM4kv4AAADhAQAAEwAAAAAAAAAAAAAAAAAAAAAA&#10;W0NvbnRlbnRfVHlwZXNdLnhtbFBLAQItABQABgAIAAAAIQA4/SH/1gAAAJQBAAALAAAAAAAAAAAA&#10;AAAAAC8BAABfcmVscy8ucmVsc1BLAQItABQABgAIAAAAIQANmpH9NAIAAHwEAAAOAAAAAAAAAAAA&#10;AAAAAC4CAABkcnMvZTJvRG9jLnhtbFBLAQItABQABgAIAAAAIQAIPRqe4QAAAAwBAAAPAAAAAAAA&#10;AAAAAAAAAI4EAABkcnMvZG93bnJldi54bWxQSwUGAAAAAAQABADzAAAAnAUAAAAA&#10;" fillcolor="white [3201]" strokecolor="white [3212]" strokeweight=".5pt">
                <v:textbox>
                  <w:txbxContent>
                    <w:p w14:paraId="4F9A6CB8" w14:textId="25915D78" w:rsidR="008D6839" w:rsidRPr="00911235" w:rsidRDefault="008D6839" w:rsidP="00911235">
                      <w:pPr>
                        <w:jc w:val="center"/>
                        <w:rPr>
                          <w:rFonts w:ascii="Times New Roman" w:hAnsi="Times New Roman" w:cs="Times New Roman"/>
                        </w:rPr>
                      </w:pPr>
                      <w:r w:rsidRPr="00911235">
                        <w:rPr>
                          <w:rFonts w:ascii="Times New Roman" w:hAnsi="Times New Roman" w:cs="Times New Roman"/>
                        </w:rPr>
                        <w:t xml:space="preserve">Figure 1, </w:t>
                      </w:r>
                      <w:r w:rsidRPr="00911235">
                        <w:rPr>
                          <w:rFonts w:ascii="Times New Roman" w:hAnsi="Times New Roman" w:cs="Times New Roman"/>
                        </w:rPr>
                        <w:t>Korsbetningen Cross</w:t>
                      </w:r>
                      <w:r w:rsidRPr="00911235">
                        <w:rPr>
                          <w:rFonts w:ascii="Times New Roman" w:hAnsi="Times New Roman" w:cs="Times New Roman"/>
                        </w:rPr>
                        <w:t xml:space="preserve"> (</w:t>
                      </w:r>
                      <w:r w:rsidR="00911235" w:rsidRPr="00911235">
                        <w:rPr>
                          <w:rFonts w:ascii="Times New Roman" w:hAnsi="Times New Roman" w:cs="Times New Roman"/>
                        </w:rPr>
                        <w:t>Fredrik Wilhelm Scholander</w:t>
                      </w:r>
                      <w:r w:rsidR="00911235" w:rsidRPr="00911235">
                        <w:rPr>
                          <w:rFonts w:ascii="Times New Roman" w:hAnsi="Times New Roman" w:cs="Times New Roman"/>
                        </w:rPr>
                        <w:t xml:space="preserve">, </w:t>
                      </w:r>
                      <w:r w:rsidR="00911235" w:rsidRPr="00911235">
                        <w:rPr>
                          <w:rFonts w:ascii="Times New Roman" w:hAnsi="Times New Roman" w:cs="Times New Roman"/>
                        </w:rPr>
                        <w:t>1816 - 1881)</w:t>
                      </w:r>
                    </w:p>
                  </w:txbxContent>
                </v:textbox>
              </v:shape>
            </w:pict>
          </mc:Fallback>
        </mc:AlternateContent>
      </w:r>
      <w:r w:rsidR="008327E9">
        <w:rPr>
          <w:rFonts w:ascii="Times New Roman" w:hAnsi="Times New Roman" w:cs="Times New Roman"/>
        </w:rPr>
        <w:t xml:space="preserve">sense of pastness would be that of the </w:t>
      </w:r>
      <w:r w:rsidR="008327E9">
        <w:rPr>
          <w:rFonts w:ascii="Times New Roman" w:hAnsi="Times New Roman" w:cs="Times New Roman"/>
        </w:rPr>
        <w:t>Korsbetningen Cross</w:t>
      </w:r>
      <w:r w:rsidR="008327E9">
        <w:rPr>
          <w:rFonts w:ascii="Times New Roman" w:hAnsi="Times New Roman" w:cs="Times New Roman"/>
        </w:rPr>
        <w:t xml:space="preserve"> at Visby</w:t>
      </w:r>
      <w:r w:rsidR="00647A4B">
        <w:rPr>
          <w:rFonts w:ascii="Times New Roman" w:hAnsi="Times New Roman" w:cs="Times New Roman"/>
        </w:rPr>
        <w:t xml:space="preserve"> (see fig 1).</w:t>
      </w:r>
      <w:r w:rsidR="003C4837">
        <w:rPr>
          <w:rFonts w:ascii="Times New Roman" w:hAnsi="Times New Roman" w:cs="Times New Roman"/>
        </w:rPr>
        <w:t xml:space="preserve"> </w:t>
      </w:r>
      <w:r w:rsidR="00CA4978">
        <w:rPr>
          <w:rFonts w:ascii="Times New Roman" w:hAnsi="Times New Roman" w:cs="Times New Roman"/>
        </w:rPr>
        <w:t xml:space="preserve">The Cross in figure 1, possess an inherent </w:t>
      </w:r>
      <w:r w:rsidR="00764E25">
        <w:rPr>
          <w:rFonts w:ascii="Times New Roman" w:hAnsi="Times New Roman" w:cs="Times New Roman"/>
        </w:rPr>
        <w:t>sense of pastness</w:t>
      </w:r>
      <w:r w:rsidR="00D27A4D">
        <w:rPr>
          <w:rFonts w:ascii="Times New Roman" w:hAnsi="Times New Roman" w:cs="Times New Roman"/>
        </w:rPr>
        <w:t xml:space="preserve"> </w:t>
      </w:r>
      <w:r w:rsidR="00607528">
        <w:rPr>
          <w:rFonts w:ascii="Times New Roman" w:hAnsi="Times New Roman" w:cs="Times New Roman"/>
        </w:rPr>
        <w:t>and does not strive to be authentic.</w:t>
      </w:r>
    </w:p>
    <w:p w14:paraId="1A26615B" w14:textId="438E57F8" w:rsidR="00E96A37" w:rsidRDefault="00DC3030" w:rsidP="002C37E6">
      <w:pPr>
        <w:spacing w:line="360" w:lineRule="auto"/>
        <w:rPr>
          <w:rFonts w:ascii="Times New Roman" w:hAnsi="Times New Roman" w:cs="Times New Roman"/>
        </w:rPr>
      </w:pPr>
      <w:r>
        <w:rPr>
          <w:rFonts w:ascii="Times New Roman" w:hAnsi="Times New Roman" w:cs="Times New Roman"/>
        </w:rPr>
        <w:lastRenderedPageBreak/>
        <w:tab/>
      </w:r>
      <w:r w:rsidR="007C23E6">
        <w:rPr>
          <w:rFonts w:ascii="Times New Roman" w:hAnsi="Times New Roman" w:cs="Times New Roman"/>
        </w:rPr>
        <w:t xml:space="preserve">Objects are </w:t>
      </w:r>
      <w:r w:rsidR="009F6524">
        <w:rPr>
          <w:rFonts w:ascii="Times New Roman" w:hAnsi="Times New Roman" w:cs="Times New Roman"/>
        </w:rPr>
        <w:t xml:space="preserve">the physical and social products that push and shape the individual and collective identities </w:t>
      </w:r>
      <w:r w:rsidR="003049F0">
        <w:rPr>
          <w:rFonts w:ascii="Times New Roman" w:hAnsi="Times New Roman" w:cs="Times New Roman"/>
        </w:rPr>
        <w:t>which encode social suggestions and values, that also provide the individuals with signs for orientation and guidance.</w:t>
      </w:r>
      <w:r w:rsidR="003049F0">
        <w:rPr>
          <w:rStyle w:val="FootnoteReference"/>
          <w:rFonts w:ascii="Times New Roman" w:hAnsi="Times New Roman" w:cs="Times New Roman"/>
        </w:rPr>
        <w:footnoteReference w:id="18"/>
      </w:r>
      <w:r w:rsidR="0098796D">
        <w:rPr>
          <w:rFonts w:ascii="Times New Roman" w:hAnsi="Times New Roman" w:cs="Times New Roman"/>
        </w:rPr>
        <w:t xml:space="preserve"> </w:t>
      </w:r>
      <w:r w:rsidR="009420F5">
        <w:rPr>
          <w:rFonts w:ascii="Times New Roman" w:hAnsi="Times New Roman" w:cs="Times New Roman"/>
        </w:rPr>
        <w:t>War memorials inherit a phenomenon for the exploration on how people and the material world are mutually constitutive.</w:t>
      </w:r>
      <w:r w:rsidR="009420F5">
        <w:rPr>
          <w:rStyle w:val="FootnoteReference"/>
          <w:rFonts w:ascii="Times New Roman" w:hAnsi="Times New Roman" w:cs="Times New Roman"/>
        </w:rPr>
        <w:footnoteReference w:id="19"/>
      </w:r>
      <w:r w:rsidR="009420F5">
        <w:rPr>
          <w:rFonts w:ascii="Times New Roman" w:hAnsi="Times New Roman" w:cs="Times New Roman"/>
        </w:rPr>
        <w:t xml:space="preserve"> The war and battlefield memorials are abundant in the </w:t>
      </w:r>
      <w:r w:rsidR="0073488A">
        <w:rPr>
          <w:rFonts w:ascii="Times New Roman" w:hAnsi="Times New Roman" w:cs="Times New Roman"/>
        </w:rPr>
        <w:t>environments</w:t>
      </w:r>
      <w:r w:rsidR="009420F5">
        <w:rPr>
          <w:rFonts w:ascii="Times New Roman" w:hAnsi="Times New Roman" w:cs="Times New Roman"/>
        </w:rPr>
        <w:t xml:space="preserve"> which are made by humans, that anchor memories of the past events and present societal </w:t>
      </w:r>
      <w:r w:rsidR="0073488A">
        <w:rPr>
          <w:rFonts w:ascii="Times New Roman" w:hAnsi="Times New Roman" w:cs="Times New Roman"/>
        </w:rPr>
        <w:t>remembrance</w:t>
      </w:r>
      <w:r w:rsidR="009420F5">
        <w:rPr>
          <w:rFonts w:ascii="Times New Roman" w:hAnsi="Times New Roman" w:cs="Times New Roman"/>
        </w:rPr>
        <w:t xml:space="preserve"> </w:t>
      </w:r>
      <w:r w:rsidR="0073488A">
        <w:rPr>
          <w:rFonts w:ascii="Times New Roman" w:hAnsi="Times New Roman" w:cs="Times New Roman"/>
        </w:rPr>
        <w:t>on these events and the nation where the battlefield and war memorial are.</w:t>
      </w:r>
      <w:r w:rsidR="0073488A">
        <w:rPr>
          <w:rStyle w:val="FootnoteReference"/>
          <w:rFonts w:ascii="Times New Roman" w:hAnsi="Times New Roman" w:cs="Times New Roman"/>
        </w:rPr>
        <w:footnoteReference w:id="20"/>
      </w:r>
      <w:r w:rsidR="00906B3C">
        <w:rPr>
          <w:rFonts w:ascii="Times New Roman" w:hAnsi="Times New Roman" w:cs="Times New Roman"/>
        </w:rPr>
        <w:t xml:space="preserve"> In modern society there is a common movement whereby the society construct and create </w:t>
      </w:r>
      <w:r w:rsidR="00B944A9">
        <w:rPr>
          <w:rFonts w:ascii="Times New Roman" w:hAnsi="Times New Roman" w:cs="Times New Roman"/>
        </w:rPr>
        <w:t xml:space="preserve">films, books, monuments, </w:t>
      </w:r>
      <w:r w:rsidR="00F636D0">
        <w:rPr>
          <w:rFonts w:ascii="Times New Roman" w:hAnsi="Times New Roman" w:cs="Times New Roman"/>
        </w:rPr>
        <w:t>commemorations</w:t>
      </w:r>
      <w:r w:rsidR="00B944A9">
        <w:rPr>
          <w:rFonts w:ascii="Times New Roman" w:hAnsi="Times New Roman" w:cs="Times New Roman"/>
        </w:rPr>
        <w:t xml:space="preserve"> and rituals in order to remember the social events of the past or to remember modern events for the future.</w:t>
      </w:r>
      <w:r w:rsidR="00F636D0">
        <w:rPr>
          <w:rStyle w:val="FootnoteReference"/>
          <w:rFonts w:ascii="Times New Roman" w:hAnsi="Times New Roman" w:cs="Times New Roman"/>
        </w:rPr>
        <w:footnoteReference w:id="21"/>
      </w:r>
      <w:r w:rsidR="00897C61">
        <w:rPr>
          <w:rFonts w:ascii="Times New Roman" w:hAnsi="Times New Roman" w:cs="Times New Roman"/>
        </w:rPr>
        <w:t xml:space="preserve"> Frederic Bartlett and Maurice Halbwachs have </w:t>
      </w:r>
      <w:r w:rsidR="005D786D">
        <w:rPr>
          <w:rFonts w:ascii="Times New Roman" w:hAnsi="Times New Roman" w:cs="Times New Roman"/>
        </w:rPr>
        <w:t>written that memories are not only stored in the memory of our brain but are distributed through social artefacts and cultural tools.</w:t>
      </w:r>
      <w:r w:rsidR="005D786D">
        <w:rPr>
          <w:rStyle w:val="FootnoteReference"/>
          <w:rFonts w:ascii="Times New Roman" w:hAnsi="Times New Roman" w:cs="Times New Roman"/>
        </w:rPr>
        <w:footnoteReference w:id="22"/>
      </w:r>
      <w:r w:rsidR="00471053">
        <w:rPr>
          <w:rFonts w:ascii="Times New Roman" w:hAnsi="Times New Roman" w:cs="Times New Roman"/>
        </w:rPr>
        <w:t xml:space="preserve"> These tools are used in marking and ensuring these significant events throughout history are </w:t>
      </w:r>
      <w:r w:rsidR="00914E6C">
        <w:rPr>
          <w:rFonts w:ascii="Times New Roman" w:hAnsi="Times New Roman" w:cs="Times New Roman"/>
        </w:rPr>
        <w:t>kept and contribute to ways in which the past is understood and how the memories of these events impact both the individual and the society they l</w:t>
      </w:r>
      <w:r w:rsidR="00E950D2">
        <w:rPr>
          <w:rFonts w:ascii="Times New Roman" w:hAnsi="Times New Roman" w:cs="Times New Roman"/>
        </w:rPr>
        <w:t>ay</w:t>
      </w:r>
      <w:r w:rsidR="00914E6C">
        <w:rPr>
          <w:rFonts w:ascii="Times New Roman" w:hAnsi="Times New Roman" w:cs="Times New Roman"/>
        </w:rPr>
        <w:t xml:space="preserve"> within.</w:t>
      </w:r>
      <w:r w:rsidR="00914E6C">
        <w:rPr>
          <w:rStyle w:val="FootnoteReference"/>
          <w:rFonts w:ascii="Times New Roman" w:hAnsi="Times New Roman" w:cs="Times New Roman"/>
        </w:rPr>
        <w:footnoteReference w:id="23"/>
      </w:r>
      <w:r w:rsidR="00E950D2">
        <w:rPr>
          <w:rFonts w:ascii="Times New Roman" w:hAnsi="Times New Roman" w:cs="Times New Roman"/>
        </w:rPr>
        <w:t xml:space="preserve"> </w:t>
      </w:r>
      <w:r w:rsidR="00E645E4">
        <w:rPr>
          <w:rFonts w:ascii="Times New Roman" w:hAnsi="Times New Roman" w:cs="Times New Roman"/>
        </w:rPr>
        <w:t>W</w:t>
      </w:r>
      <w:r w:rsidR="00177A12">
        <w:rPr>
          <w:rFonts w:ascii="Times New Roman" w:hAnsi="Times New Roman" w:cs="Times New Roman"/>
        </w:rPr>
        <w:t>ar</w:t>
      </w:r>
      <w:r w:rsidR="00E645E4">
        <w:rPr>
          <w:rFonts w:ascii="Times New Roman" w:hAnsi="Times New Roman" w:cs="Times New Roman"/>
        </w:rPr>
        <w:t xml:space="preserve"> and battlefield</w:t>
      </w:r>
      <w:r w:rsidR="00177A12">
        <w:rPr>
          <w:rFonts w:ascii="Times New Roman" w:hAnsi="Times New Roman" w:cs="Times New Roman"/>
        </w:rPr>
        <w:t xml:space="preserve"> memorials offer a powerful vehicle where social institutions commemorate traumatic and triumphant </w:t>
      </w:r>
      <w:r w:rsidR="00CC01A7">
        <w:rPr>
          <w:rFonts w:ascii="Times New Roman" w:hAnsi="Times New Roman" w:cs="Times New Roman"/>
        </w:rPr>
        <w:t>events, that serve a compelling example of the memory through materiality.</w:t>
      </w:r>
      <w:r w:rsidR="00CC01A7">
        <w:rPr>
          <w:rStyle w:val="FootnoteReference"/>
          <w:rFonts w:ascii="Times New Roman" w:hAnsi="Times New Roman" w:cs="Times New Roman"/>
        </w:rPr>
        <w:footnoteReference w:id="24"/>
      </w:r>
      <w:r w:rsidR="00CC01A7">
        <w:rPr>
          <w:rFonts w:ascii="Times New Roman" w:hAnsi="Times New Roman" w:cs="Times New Roman"/>
        </w:rPr>
        <w:t xml:space="preserve"> </w:t>
      </w:r>
      <w:r w:rsidR="00377861">
        <w:rPr>
          <w:rFonts w:ascii="Times New Roman" w:hAnsi="Times New Roman" w:cs="Times New Roman"/>
        </w:rPr>
        <w:t>Since wars and other violent acts do results in loss and social stability within nations</w:t>
      </w:r>
      <w:r w:rsidR="002D1B39">
        <w:rPr>
          <w:rFonts w:ascii="Times New Roman" w:hAnsi="Times New Roman" w:cs="Times New Roman"/>
        </w:rPr>
        <w:t>, and the destruction of the physical environment, these physical traces</w:t>
      </w:r>
      <w:r w:rsidR="00F629F6">
        <w:rPr>
          <w:rFonts w:ascii="Times New Roman" w:hAnsi="Times New Roman" w:cs="Times New Roman"/>
        </w:rPr>
        <w:t xml:space="preserve"> can be erased from the historical and archaeological record</w:t>
      </w:r>
      <w:r w:rsidR="00333A3F">
        <w:rPr>
          <w:rFonts w:ascii="Times New Roman" w:hAnsi="Times New Roman" w:cs="Times New Roman"/>
        </w:rPr>
        <w:t xml:space="preserve"> but also be maintained to stand as witnesses and the consequences of the wars and destructive events.</w:t>
      </w:r>
      <w:r w:rsidR="00333A3F">
        <w:rPr>
          <w:rStyle w:val="FootnoteReference"/>
          <w:rFonts w:ascii="Times New Roman" w:hAnsi="Times New Roman" w:cs="Times New Roman"/>
        </w:rPr>
        <w:footnoteReference w:id="25"/>
      </w:r>
      <w:r w:rsidR="00333A3F">
        <w:rPr>
          <w:rFonts w:ascii="Times New Roman" w:hAnsi="Times New Roman" w:cs="Times New Roman"/>
        </w:rPr>
        <w:t xml:space="preserve"> </w:t>
      </w:r>
      <w:r w:rsidR="00284932">
        <w:rPr>
          <w:rFonts w:ascii="Times New Roman" w:hAnsi="Times New Roman" w:cs="Times New Roman"/>
        </w:rPr>
        <w:t>Furthermore, the memory and impact on events such as wars can extend beyond the battlefields in where they are</w:t>
      </w:r>
      <w:r w:rsidR="00F663BC">
        <w:rPr>
          <w:rFonts w:ascii="Times New Roman" w:hAnsi="Times New Roman" w:cs="Times New Roman"/>
        </w:rPr>
        <w:t>,</w:t>
      </w:r>
      <w:r w:rsidR="00284932">
        <w:rPr>
          <w:rFonts w:ascii="Times New Roman" w:hAnsi="Times New Roman" w:cs="Times New Roman"/>
        </w:rPr>
        <w:t xml:space="preserve"> and can be perpetuated at a ritualistic site for memory, such as a war memorial.</w:t>
      </w:r>
      <w:r w:rsidR="00284932">
        <w:rPr>
          <w:rStyle w:val="FootnoteReference"/>
          <w:rFonts w:ascii="Times New Roman" w:hAnsi="Times New Roman" w:cs="Times New Roman"/>
        </w:rPr>
        <w:footnoteReference w:id="26"/>
      </w:r>
      <w:r w:rsidR="00696D09">
        <w:rPr>
          <w:rFonts w:ascii="Times New Roman" w:hAnsi="Times New Roman" w:cs="Times New Roman"/>
        </w:rPr>
        <w:t xml:space="preserve"> </w:t>
      </w:r>
      <w:r w:rsidR="0016463B">
        <w:rPr>
          <w:rFonts w:ascii="Times New Roman" w:hAnsi="Times New Roman" w:cs="Times New Roman"/>
        </w:rPr>
        <w:t>Due to the abundance of events such as World War I and II as well as other wars within the 20</w:t>
      </w:r>
      <w:r w:rsidR="0016463B" w:rsidRPr="0016463B">
        <w:rPr>
          <w:rFonts w:ascii="Times New Roman" w:hAnsi="Times New Roman" w:cs="Times New Roman"/>
          <w:vertAlign w:val="superscript"/>
        </w:rPr>
        <w:t>th</w:t>
      </w:r>
      <w:r w:rsidR="0016463B">
        <w:rPr>
          <w:rFonts w:ascii="Times New Roman" w:hAnsi="Times New Roman" w:cs="Times New Roman"/>
        </w:rPr>
        <w:t xml:space="preserve"> century, many war and battlefield memorials have been erected, using materials such as concrete, brick and mortar, and these memorials</w:t>
      </w:r>
      <w:r w:rsidR="00535E2E">
        <w:rPr>
          <w:rFonts w:ascii="Times New Roman" w:hAnsi="Times New Roman" w:cs="Times New Roman"/>
        </w:rPr>
        <w:t xml:space="preserve"> –</w:t>
      </w:r>
      <w:r w:rsidR="0016463B">
        <w:rPr>
          <w:rFonts w:ascii="Times New Roman" w:hAnsi="Times New Roman" w:cs="Times New Roman"/>
        </w:rPr>
        <w:t xml:space="preserve"> because of the materials they are built in</w:t>
      </w:r>
      <w:r w:rsidR="00535E2E">
        <w:rPr>
          <w:rFonts w:ascii="Times New Roman" w:hAnsi="Times New Roman" w:cs="Times New Roman"/>
        </w:rPr>
        <w:t>,</w:t>
      </w:r>
      <w:r w:rsidR="0016463B">
        <w:rPr>
          <w:rFonts w:ascii="Times New Roman" w:hAnsi="Times New Roman" w:cs="Times New Roman"/>
        </w:rPr>
        <w:t xml:space="preserve"> </w:t>
      </w:r>
      <w:r w:rsidR="00AE07F1">
        <w:rPr>
          <w:rFonts w:ascii="Times New Roman" w:hAnsi="Times New Roman" w:cs="Times New Roman"/>
        </w:rPr>
        <w:t>forcefully push a narrative of social necessity of remembering the heritage through the materiality which speaks to the populace over time.</w:t>
      </w:r>
      <w:r w:rsidR="00AE07F1">
        <w:rPr>
          <w:rStyle w:val="FootnoteReference"/>
          <w:rFonts w:ascii="Times New Roman" w:hAnsi="Times New Roman" w:cs="Times New Roman"/>
        </w:rPr>
        <w:footnoteReference w:id="27"/>
      </w:r>
      <w:r w:rsidR="00AE07F1">
        <w:rPr>
          <w:rFonts w:ascii="Times New Roman" w:hAnsi="Times New Roman" w:cs="Times New Roman"/>
        </w:rPr>
        <w:t xml:space="preserve"> </w:t>
      </w:r>
      <w:r w:rsidR="00EF0607">
        <w:rPr>
          <w:rFonts w:ascii="Times New Roman" w:hAnsi="Times New Roman" w:cs="Times New Roman"/>
        </w:rPr>
        <w:t xml:space="preserve">These types of memorials are also inscribed in </w:t>
      </w:r>
      <w:r w:rsidR="00EE0222">
        <w:rPr>
          <w:rFonts w:ascii="Times New Roman" w:hAnsi="Times New Roman" w:cs="Times New Roman"/>
        </w:rPr>
        <w:t xml:space="preserve">with names and events to enhance the </w:t>
      </w:r>
      <w:r w:rsidR="00EE0222">
        <w:rPr>
          <w:rFonts w:ascii="Times New Roman" w:hAnsi="Times New Roman" w:cs="Times New Roman"/>
        </w:rPr>
        <w:lastRenderedPageBreak/>
        <w:t>meaning of the site, and these create and demonstrate a powerful movement which ensure the people in future do not forget these events.</w:t>
      </w:r>
      <w:r w:rsidR="00EE0222">
        <w:rPr>
          <w:rStyle w:val="FootnoteReference"/>
          <w:rFonts w:ascii="Times New Roman" w:hAnsi="Times New Roman" w:cs="Times New Roman"/>
        </w:rPr>
        <w:footnoteReference w:id="28"/>
      </w:r>
      <w:r w:rsidR="00EE0222">
        <w:rPr>
          <w:rFonts w:ascii="Times New Roman" w:hAnsi="Times New Roman" w:cs="Times New Roman"/>
        </w:rPr>
        <w:t xml:space="preserve"> </w:t>
      </w:r>
      <w:r w:rsidR="009465F9">
        <w:rPr>
          <w:rFonts w:ascii="Times New Roman" w:hAnsi="Times New Roman" w:cs="Times New Roman"/>
        </w:rPr>
        <w:t>Additionally</w:t>
      </w:r>
      <w:r w:rsidR="00B32E42">
        <w:rPr>
          <w:rFonts w:ascii="Times New Roman" w:hAnsi="Times New Roman" w:cs="Times New Roman"/>
        </w:rPr>
        <w:t>,</w:t>
      </w:r>
      <w:r w:rsidR="009465F9">
        <w:rPr>
          <w:rFonts w:ascii="Times New Roman" w:hAnsi="Times New Roman" w:cs="Times New Roman"/>
        </w:rPr>
        <w:t xml:space="preserve"> when these memorials fall into disrepair th</w:t>
      </w:r>
      <w:r w:rsidR="00C1546B">
        <w:rPr>
          <w:rFonts w:ascii="Times New Roman" w:hAnsi="Times New Roman" w:cs="Times New Roman"/>
        </w:rPr>
        <w:t>ere is a great effort to conserve and restore them so that they maintain their position in the socio-cultural markers of past events and of those who sacrificed their lives for their country and community, and to immortalise them in stone and concrete.</w:t>
      </w:r>
      <w:r w:rsidR="00C1546B">
        <w:rPr>
          <w:rStyle w:val="FootnoteReference"/>
          <w:rFonts w:ascii="Times New Roman" w:hAnsi="Times New Roman" w:cs="Times New Roman"/>
        </w:rPr>
        <w:footnoteReference w:id="29"/>
      </w:r>
    </w:p>
    <w:p w14:paraId="02AED2D7" w14:textId="6333E16B" w:rsidR="00AC3AC1" w:rsidRDefault="00AC3AC1" w:rsidP="002C37E6">
      <w:pPr>
        <w:spacing w:line="360" w:lineRule="auto"/>
        <w:rPr>
          <w:rFonts w:ascii="Times New Roman" w:hAnsi="Times New Roman" w:cs="Times New Roman"/>
        </w:rPr>
      </w:pPr>
      <w:r>
        <w:rPr>
          <w:rFonts w:ascii="Times New Roman" w:hAnsi="Times New Roman" w:cs="Times New Roman"/>
        </w:rPr>
        <w:tab/>
        <w:t xml:space="preserve">Memorials </w:t>
      </w:r>
      <w:r w:rsidR="004118EE">
        <w:rPr>
          <w:rFonts w:ascii="Times New Roman" w:hAnsi="Times New Roman" w:cs="Times New Roman"/>
        </w:rPr>
        <w:t xml:space="preserve">are sometimes </w:t>
      </w:r>
      <w:r w:rsidR="002F5AE7">
        <w:rPr>
          <w:rFonts w:ascii="Times New Roman" w:hAnsi="Times New Roman" w:cs="Times New Roman"/>
        </w:rPr>
        <w:t xml:space="preserve">considered </w:t>
      </w:r>
      <w:r w:rsidR="004118EE">
        <w:rPr>
          <w:rFonts w:ascii="Times New Roman" w:hAnsi="Times New Roman" w:cs="Times New Roman"/>
        </w:rPr>
        <w:t xml:space="preserve">as collective artefacts that are expression encoded in societal values, and they emphasise themes of honour, sacrifice and the common good </w:t>
      </w:r>
      <w:r w:rsidR="002F5AE7">
        <w:rPr>
          <w:rFonts w:ascii="Times New Roman" w:hAnsi="Times New Roman" w:cs="Times New Roman"/>
        </w:rPr>
        <w:t>–</w:t>
      </w:r>
      <w:r w:rsidR="004118EE">
        <w:rPr>
          <w:rFonts w:ascii="Times New Roman" w:hAnsi="Times New Roman" w:cs="Times New Roman"/>
        </w:rPr>
        <w:t xml:space="preserve"> </w:t>
      </w:r>
      <w:r w:rsidR="002F5AE7">
        <w:rPr>
          <w:rFonts w:ascii="Times New Roman" w:hAnsi="Times New Roman" w:cs="Times New Roman"/>
        </w:rPr>
        <w:t>imbuing the site with a redemptive quality which enhances the lives of those immortalised in the artefact.</w:t>
      </w:r>
      <w:r w:rsidR="002F5AE7">
        <w:rPr>
          <w:rStyle w:val="FootnoteReference"/>
          <w:rFonts w:ascii="Times New Roman" w:hAnsi="Times New Roman" w:cs="Times New Roman"/>
        </w:rPr>
        <w:footnoteReference w:id="30"/>
      </w:r>
      <w:r w:rsidR="002F5AE7">
        <w:rPr>
          <w:rFonts w:ascii="Times New Roman" w:hAnsi="Times New Roman" w:cs="Times New Roman"/>
        </w:rPr>
        <w:t xml:space="preserve"> </w:t>
      </w:r>
      <w:r w:rsidR="00A650B3">
        <w:rPr>
          <w:rFonts w:ascii="Times New Roman" w:hAnsi="Times New Roman" w:cs="Times New Roman"/>
        </w:rPr>
        <w:t xml:space="preserve">Memorials also serve as vital </w:t>
      </w:r>
      <w:r w:rsidR="00810248">
        <w:rPr>
          <w:rFonts w:ascii="Times New Roman" w:hAnsi="Times New Roman" w:cs="Times New Roman"/>
        </w:rPr>
        <w:t xml:space="preserve">constructs that link the past, present </w:t>
      </w:r>
      <w:r w:rsidR="0011484D">
        <w:rPr>
          <w:rFonts w:ascii="Times New Roman" w:hAnsi="Times New Roman" w:cs="Times New Roman"/>
        </w:rPr>
        <w:t>and future</w:t>
      </w:r>
      <w:r w:rsidR="000E29D5">
        <w:rPr>
          <w:rFonts w:ascii="Times New Roman" w:hAnsi="Times New Roman" w:cs="Times New Roman"/>
        </w:rPr>
        <w:t xml:space="preserve"> – the past is interpreted and represented through the artistic and institutional lenses with the lessons of war, whether that would be glory or a lament</w:t>
      </w:r>
      <w:r w:rsidR="00D92A66">
        <w:rPr>
          <w:rFonts w:ascii="Times New Roman" w:hAnsi="Times New Roman" w:cs="Times New Roman"/>
        </w:rPr>
        <w:t>.</w:t>
      </w:r>
      <w:r w:rsidR="00D92A66">
        <w:rPr>
          <w:rStyle w:val="FootnoteReference"/>
          <w:rFonts w:ascii="Times New Roman" w:hAnsi="Times New Roman" w:cs="Times New Roman"/>
        </w:rPr>
        <w:footnoteReference w:id="31"/>
      </w:r>
      <w:r w:rsidR="00D92A66">
        <w:rPr>
          <w:rFonts w:ascii="Times New Roman" w:hAnsi="Times New Roman" w:cs="Times New Roman"/>
        </w:rPr>
        <w:t xml:space="preserve"> </w:t>
      </w:r>
      <w:r w:rsidR="00932EEE">
        <w:rPr>
          <w:rFonts w:ascii="Times New Roman" w:hAnsi="Times New Roman" w:cs="Times New Roman"/>
        </w:rPr>
        <w:t>Barber writes that</w:t>
      </w:r>
      <w:r w:rsidR="006749EC">
        <w:rPr>
          <w:rFonts w:ascii="Times New Roman" w:hAnsi="Times New Roman" w:cs="Times New Roman"/>
        </w:rPr>
        <w:t xml:space="preserve"> a physical space reflects a social symbol, and that expressing the societal attitudes and values that are within the community</w:t>
      </w:r>
      <w:r w:rsidR="009F779B">
        <w:rPr>
          <w:rFonts w:ascii="Times New Roman" w:hAnsi="Times New Roman" w:cs="Times New Roman"/>
        </w:rPr>
        <w:t>, especially since the Second World War.</w:t>
      </w:r>
      <w:r w:rsidR="009F779B">
        <w:rPr>
          <w:rStyle w:val="FootnoteReference"/>
          <w:rFonts w:ascii="Times New Roman" w:hAnsi="Times New Roman" w:cs="Times New Roman"/>
        </w:rPr>
        <w:footnoteReference w:id="32"/>
      </w:r>
      <w:r w:rsidR="00777E17">
        <w:rPr>
          <w:rFonts w:ascii="Times New Roman" w:hAnsi="Times New Roman" w:cs="Times New Roman"/>
        </w:rPr>
        <w:t xml:space="preserve"> These memorials are also </w:t>
      </w:r>
      <w:r w:rsidR="00C92586">
        <w:rPr>
          <w:rFonts w:ascii="Times New Roman" w:hAnsi="Times New Roman" w:cs="Times New Roman"/>
        </w:rPr>
        <w:t>erected to serve the public and foster a process of healing for the families of the fallen that are commemorated within the battlefield or war memorial</w:t>
      </w:r>
      <w:r w:rsidR="005C61B4">
        <w:rPr>
          <w:rFonts w:ascii="Times New Roman" w:hAnsi="Times New Roman" w:cs="Times New Roman"/>
        </w:rPr>
        <w:t>, and these memorials represent the trauma that is inflicted by the wars in which they represent.</w:t>
      </w:r>
      <w:r w:rsidR="005C61B4">
        <w:rPr>
          <w:rStyle w:val="FootnoteReference"/>
          <w:rFonts w:ascii="Times New Roman" w:hAnsi="Times New Roman" w:cs="Times New Roman"/>
        </w:rPr>
        <w:footnoteReference w:id="33"/>
      </w:r>
      <w:r w:rsidR="00E019F8">
        <w:rPr>
          <w:rFonts w:ascii="Times New Roman" w:hAnsi="Times New Roman" w:cs="Times New Roman"/>
        </w:rPr>
        <w:t xml:space="preserve"> </w:t>
      </w:r>
      <w:r w:rsidR="00EB61A8">
        <w:rPr>
          <w:rFonts w:ascii="Times New Roman" w:hAnsi="Times New Roman" w:cs="Times New Roman"/>
        </w:rPr>
        <w:t xml:space="preserve">Moreover, war and battlefield memorials can sometimes evoke and encourage </w:t>
      </w:r>
      <w:r w:rsidR="003130CD">
        <w:rPr>
          <w:rFonts w:ascii="Times New Roman" w:hAnsi="Times New Roman" w:cs="Times New Roman"/>
        </w:rPr>
        <w:t>emotions such as national pride, which inspire awe of the power of the political regime</w:t>
      </w:r>
      <w:r w:rsidR="004B747E">
        <w:rPr>
          <w:rFonts w:ascii="Times New Roman" w:hAnsi="Times New Roman" w:cs="Times New Roman"/>
        </w:rPr>
        <w:t xml:space="preserve"> – these are the extreme functions for memorials and are rarely experienced, however, they tend to be </w:t>
      </w:r>
      <w:r w:rsidR="0013026A">
        <w:rPr>
          <w:rFonts w:ascii="Times New Roman" w:hAnsi="Times New Roman" w:cs="Times New Roman"/>
        </w:rPr>
        <w:t>effective in creating these emotions with the help of the administration that had created it.</w:t>
      </w:r>
      <w:r w:rsidR="0013026A">
        <w:rPr>
          <w:rStyle w:val="FootnoteReference"/>
          <w:rFonts w:ascii="Times New Roman" w:hAnsi="Times New Roman" w:cs="Times New Roman"/>
        </w:rPr>
        <w:footnoteReference w:id="34"/>
      </w:r>
      <w:r w:rsidR="00AB336D">
        <w:rPr>
          <w:rFonts w:ascii="Times New Roman" w:hAnsi="Times New Roman" w:cs="Times New Roman"/>
        </w:rPr>
        <w:t xml:space="preserve"> Furthermore,</w:t>
      </w:r>
      <w:r w:rsidR="00BE1AEF">
        <w:rPr>
          <w:rFonts w:ascii="Times New Roman" w:hAnsi="Times New Roman" w:cs="Times New Roman"/>
        </w:rPr>
        <w:t xml:space="preserve"> there are indication</w:t>
      </w:r>
      <w:r w:rsidR="00A75035">
        <w:rPr>
          <w:rFonts w:ascii="Times New Roman" w:hAnsi="Times New Roman" w:cs="Times New Roman"/>
        </w:rPr>
        <w:t>s</w:t>
      </w:r>
      <w:r w:rsidR="00BE1AEF">
        <w:rPr>
          <w:rFonts w:ascii="Times New Roman" w:hAnsi="Times New Roman" w:cs="Times New Roman"/>
        </w:rPr>
        <w:t xml:space="preserve"> that the proper approach for war and battlefield memorials would be to understand how the memorials are embedded in the social, historical, cultural and personal contexts of the society in which they serve.</w:t>
      </w:r>
      <w:r w:rsidR="00BE1AEF">
        <w:rPr>
          <w:rStyle w:val="FootnoteReference"/>
          <w:rFonts w:ascii="Times New Roman" w:hAnsi="Times New Roman" w:cs="Times New Roman"/>
        </w:rPr>
        <w:footnoteReference w:id="35"/>
      </w:r>
      <w:r w:rsidR="00BE1AEF">
        <w:rPr>
          <w:rFonts w:ascii="Times New Roman" w:hAnsi="Times New Roman" w:cs="Times New Roman"/>
        </w:rPr>
        <w:t xml:space="preserve"> </w:t>
      </w:r>
      <w:r w:rsidR="00244531">
        <w:rPr>
          <w:rFonts w:ascii="Times New Roman" w:hAnsi="Times New Roman" w:cs="Times New Roman"/>
        </w:rPr>
        <w:t>Socially made meaning</w:t>
      </w:r>
      <w:r w:rsidR="00E261F9">
        <w:rPr>
          <w:rFonts w:ascii="Times New Roman" w:hAnsi="Times New Roman" w:cs="Times New Roman"/>
        </w:rPr>
        <w:t>s</w:t>
      </w:r>
      <w:r w:rsidR="00244531">
        <w:rPr>
          <w:rFonts w:ascii="Times New Roman" w:hAnsi="Times New Roman" w:cs="Times New Roman"/>
        </w:rPr>
        <w:t xml:space="preserve"> are added in the material objects, and artefacts, whether they be natural or human made, and are therefore shaping identities, emotions, and are creating discourses themselves</w:t>
      </w:r>
      <w:r w:rsidR="005C27A3">
        <w:rPr>
          <w:rFonts w:ascii="Times New Roman" w:hAnsi="Times New Roman" w:cs="Times New Roman"/>
        </w:rPr>
        <w:t>.</w:t>
      </w:r>
      <w:r w:rsidR="005C27A3">
        <w:rPr>
          <w:rStyle w:val="FootnoteReference"/>
          <w:rFonts w:ascii="Times New Roman" w:hAnsi="Times New Roman" w:cs="Times New Roman"/>
        </w:rPr>
        <w:footnoteReference w:id="36"/>
      </w:r>
      <w:r w:rsidR="005C27A3">
        <w:rPr>
          <w:rFonts w:ascii="Times New Roman" w:hAnsi="Times New Roman" w:cs="Times New Roman"/>
        </w:rPr>
        <w:t xml:space="preserve"> Thus, monuments such as battlefield and war memorials do not inherently </w:t>
      </w:r>
      <w:r w:rsidR="00AA2181">
        <w:rPr>
          <w:rFonts w:ascii="Times New Roman" w:hAnsi="Times New Roman" w:cs="Times New Roman"/>
        </w:rPr>
        <w:t>posses prior nature or status but are imbued with the significance through societal means and personal perceptions.</w:t>
      </w:r>
      <w:r w:rsidR="00AA2181">
        <w:rPr>
          <w:rStyle w:val="FootnoteReference"/>
          <w:rFonts w:ascii="Times New Roman" w:hAnsi="Times New Roman" w:cs="Times New Roman"/>
        </w:rPr>
        <w:footnoteReference w:id="37"/>
      </w:r>
      <w:r w:rsidR="00200F59">
        <w:rPr>
          <w:rFonts w:ascii="Times New Roman" w:hAnsi="Times New Roman" w:cs="Times New Roman"/>
        </w:rPr>
        <w:t xml:space="preserve"> </w:t>
      </w:r>
      <w:r w:rsidR="005368DE">
        <w:rPr>
          <w:rFonts w:ascii="Times New Roman" w:hAnsi="Times New Roman" w:cs="Times New Roman"/>
        </w:rPr>
        <w:t xml:space="preserve">In addition to this, </w:t>
      </w:r>
      <w:r w:rsidR="004C0863">
        <w:rPr>
          <w:rFonts w:ascii="Times New Roman" w:hAnsi="Times New Roman" w:cs="Times New Roman"/>
        </w:rPr>
        <w:t xml:space="preserve">visitations </w:t>
      </w:r>
      <w:r w:rsidR="004C0863">
        <w:rPr>
          <w:rFonts w:ascii="Times New Roman" w:hAnsi="Times New Roman" w:cs="Times New Roman"/>
        </w:rPr>
        <w:lastRenderedPageBreak/>
        <w:t xml:space="preserve">to battlefield and war memorials </w:t>
      </w:r>
      <w:r w:rsidR="000104E4">
        <w:rPr>
          <w:rFonts w:ascii="Times New Roman" w:hAnsi="Times New Roman" w:cs="Times New Roman"/>
        </w:rPr>
        <w:t xml:space="preserve">provides the person with a visceral and </w:t>
      </w:r>
      <w:r w:rsidR="00F165CA">
        <w:rPr>
          <w:rFonts w:ascii="Times New Roman" w:hAnsi="Times New Roman" w:cs="Times New Roman"/>
        </w:rPr>
        <w:t>sensuous</w:t>
      </w:r>
      <w:r w:rsidR="000104E4">
        <w:rPr>
          <w:rFonts w:ascii="Times New Roman" w:hAnsi="Times New Roman" w:cs="Times New Roman"/>
        </w:rPr>
        <w:t xml:space="preserve"> experience, the sensuous and </w:t>
      </w:r>
      <w:r w:rsidR="00F165CA">
        <w:rPr>
          <w:rFonts w:ascii="Times New Roman" w:hAnsi="Times New Roman" w:cs="Times New Roman"/>
        </w:rPr>
        <w:t>holistic organisation of the memorial acts to bring people in and push towards the immediate here and now.</w:t>
      </w:r>
      <w:r w:rsidR="00F165CA">
        <w:rPr>
          <w:rStyle w:val="FootnoteReference"/>
          <w:rFonts w:ascii="Times New Roman" w:hAnsi="Times New Roman" w:cs="Times New Roman"/>
        </w:rPr>
        <w:footnoteReference w:id="38"/>
      </w:r>
      <w:r w:rsidR="00917A3D">
        <w:rPr>
          <w:rFonts w:ascii="Times New Roman" w:hAnsi="Times New Roman" w:cs="Times New Roman"/>
        </w:rPr>
        <w:t xml:space="preserve"> </w:t>
      </w:r>
    </w:p>
    <w:p w14:paraId="593A7DA5" w14:textId="2EFAEA2E" w:rsidR="00371AAF" w:rsidRDefault="00371AAF" w:rsidP="00743708">
      <w:pPr>
        <w:spacing w:line="360" w:lineRule="auto"/>
        <w:ind w:firstLine="720"/>
      </w:pPr>
      <w:r>
        <w:rPr>
          <w:rFonts w:ascii="Times New Roman" w:hAnsi="Times New Roman" w:cs="Times New Roman"/>
        </w:rPr>
        <w:t>In the United States of America</w:t>
      </w:r>
      <w:r w:rsidR="00EC0AB8">
        <w:rPr>
          <w:rFonts w:ascii="Times New Roman" w:hAnsi="Times New Roman" w:cs="Times New Roman"/>
        </w:rPr>
        <w:t xml:space="preserve"> and internationally</w:t>
      </w:r>
      <w:r>
        <w:rPr>
          <w:rFonts w:ascii="Times New Roman" w:hAnsi="Times New Roman" w:cs="Times New Roman"/>
        </w:rPr>
        <w:t>,</w:t>
      </w:r>
      <w:r w:rsidR="00EC0AB8">
        <w:rPr>
          <w:rFonts w:ascii="Times New Roman" w:hAnsi="Times New Roman" w:cs="Times New Roman"/>
        </w:rPr>
        <w:t xml:space="preserve"> there are numerous memorials to the conflict in Vietnam,</w:t>
      </w:r>
      <w:r w:rsidR="00743708">
        <w:rPr>
          <w:rFonts w:ascii="Times New Roman" w:hAnsi="Times New Roman" w:cs="Times New Roman"/>
        </w:rPr>
        <w:t xml:space="preserve"> </w:t>
      </w:r>
      <w:r w:rsidR="005950F2">
        <w:rPr>
          <w:rFonts w:ascii="Times New Roman" w:hAnsi="Times New Roman" w:cs="Times New Roman"/>
        </w:rPr>
        <w:t xml:space="preserve">the case for Vietnam challenges </w:t>
      </w:r>
      <w:r w:rsidR="007C6876">
        <w:rPr>
          <w:rFonts w:ascii="Times New Roman" w:hAnsi="Times New Roman" w:cs="Times New Roman"/>
        </w:rPr>
        <w:t xml:space="preserve">people to rethink the roles of the memorials and to reflect on the cultural ambiguity which encompasses the war and how it </w:t>
      </w:r>
      <w:r w:rsidR="00771F7A">
        <w:rPr>
          <w:rFonts w:ascii="Times New Roman" w:hAnsi="Times New Roman" w:cs="Times New Roman"/>
        </w:rPr>
        <w:t>perhaps should be remembered – there are well over 50 sites in regards to Vietnam war memorials, and all of which navigate the complexity of memorialising an ambiguous conflict</w:t>
      </w:r>
      <w:r w:rsidR="00155004">
        <w:rPr>
          <w:rFonts w:ascii="Times New Roman" w:hAnsi="Times New Roman" w:cs="Times New Roman"/>
        </w:rPr>
        <w:t>.</w:t>
      </w:r>
      <w:r w:rsidR="00155004">
        <w:rPr>
          <w:rStyle w:val="FootnoteReference"/>
          <w:rFonts w:ascii="Times New Roman" w:hAnsi="Times New Roman" w:cs="Times New Roman"/>
        </w:rPr>
        <w:footnoteReference w:id="39"/>
      </w:r>
      <w:r w:rsidR="00155004">
        <w:rPr>
          <w:rFonts w:ascii="Times New Roman" w:hAnsi="Times New Roman" w:cs="Times New Roman"/>
        </w:rPr>
        <w:t xml:space="preserve"> </w:t>
      </w:r>
      <w:r w:rsidR="006033B5">
        <w:rPr>
          <w:rFonts w:ascii="Times New Roman" w:hAnsi="Times New Roman" w:cs="Times New Roman"/>
        </w:rPr>
        <w:t>The most famous of the Vietnam war memorials is the memorial in Washington D.C. inspired by a Vietnam</w:t>
      </w:r>
      <w:r w:rsidR="00C77371">
        <w:rPr>
          <w:rFonts w:ascii="Times New Roman" w:hAnsi="Times New Roman" w:cs="Times New Roman"/>
        </w:rPr>
        <w:t xml:space="preserve"> war</w:t>
      </w:r>
      <w:r w:rsidR="006033B5">
        <w:rPr>
          <w:rFonts w:ascii="Times New Roman" w:hAnsi="Times New Roman" w:cs="Times New Roman"/>
        </w:rPr>
        <w:t xml:space="preserve"> veteran Jan Scruggs, the memorial was designed to be opened to a national competition in 1980 where it received 1,400 entries</w:t>
      </w:r>
      <w:r w:rsidR="00636248">
        <w:rPr>
          <w:rFonts w:ascii="Times New Roman" w:hAnsi="Times New Roman" w:cs="Times New Roman"/>
        </w:rPr>
        <w:t xml:space="preserve"> and the winning design for the monument was Maya Lin and archaeologist at Yale University.</w:t>
      </w:r>
      <w:r w:rsidR="00636248">
        <w:rPr>
          <w:rStyle w:val="FootnoteReference"/>
          <w:rFonts w:ascii="Times New Roman" w:hAnsi="Times New Roman" w:cs="Times New Roman"/>
        </w:rPr>
        <w:footnoteReference w:id="40"/>
      </w:r>
      <w:r w:rsidR="00636248">
        <w:rPr>
          <w:rFonts w:ascii="Times New Roman" w:hAnsi="Times New Roman" w:cs="Times New Roman"/>
        </w:rPr>
        <w:t xml:space="preserve"> Maya Lin was a minimalist and focused on a elegant design of a polished black granite wall which was 10 foot in height</w:t>
      </w:r>
      <w:r w:rsidR="004F5894">
        <w:rPr>
          <w:rFonts w:ascii="Times New Roman" w:hAnsi="Times New Roman" w:cs="Times New Roman"/>
        </w:rPr>
        <w:t xml:space="preserve"> in the middle, and it would taper to nothing at either end – the wall was to be placed against vertically so that the ground would cover over most of the back of the war memorial, and it would slope down to its base and the front</w:t>
      </w:r>
      <w:r w:rsidR="004C4F8F">
        <w:rPr>
          <w:rFonts w:ascii="Times New Roman" w:hAnsi="Times New Roman" w:cs="Times New Roman"/>
        </w:rPr>
        <w:t>, lastly it would show the names of 58,000 dead soldiers in a chronological order (see fig 2).</w:t>
      </w:r>
      <w:r w:rsidR="004C4F8F">
        <w:rPr>
          <w:rStyle w:val="FootnoteReference"/>
          <w:rFonts w:ascii="Times New Roman" w:hAnsi="Times New Roman" w:cs="Times New Roman"/>
        </w:rPr>
        <w:footnoteReference w:id="41"/>
      </w:r>
      <w:r w:rsidR="009044E7" w:rsidRPr="009044E7">
        <w:t xml:space="preserve"> </w:t>
      </w:r>
      <w:r w:rsidR="009044E7">
        <w:rPr>
          <w:noProof/>
        </w:rPr>
        <w:drawing>
          <wp:inline distT="0" distB="0" distL="0" distR="0" wp14:anchorId="635C265B" wp14:editId="75A02C54">
            <wp:extent cx="5731510" cy="2007235"/>
            <wp:effectExtent l="0" t="0" r="2540" b="0"/>
            <wp:docPr id="1779829199" name="Picture 6" descr="Vietnam Veterans Memorial | TC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ietnam Veterans Memorial | TCLF"/>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007235"/>
                    </a:xfrm>
                    <a:prstGeom prst="rect">
                      <a:avLst/>
                    </a:prstGeom>
                    <a:noFill/>
                    <a:ln>
                      <a:noFill/>
                    </a:ln>
                  </pic:spPr>
                </pic:pic>
              </a:graphicData>
            </a:graphic>
          </wp:inline>
        </w:drawing>
      </w:r>
    </w:p>
    <w:p w14:paraId="2324A5F5" w14:textId="17A3DC31" w:rsidR="009044E7" w:rsidRDefault="009044E7" w:rsidP="003B0D15">
      <w:pPr>
        <w:spacing w:line="360" w:lineRule="auto"/>
        <w:ind w:firstLine="720"/>
        <w:rPr>
          <w:rFonts w:ascii="Times New Roman" w:hAnsi="Times New Roman" w:cs="Times New Roman"/>
        </w:rPr>
      </w:pPr>
      <w:r w:rsidRPr="00684E47">
        <w:rPr>
          <w:rFonts w:ascii="Times New Roman" w:hAnsi="Times New Roman" w:cs="Times New Roman"/>
        </w:rPr>
        <w:t xml:space="preserve">Figure 2, </w:t>
      </w:r>
      <w:r w:rsidR="008A082B" w:rsidRPr="00684E47">
        <w:rPr>
          <w:rFonts w:ascii="Times New Roman" w:hAnsi="Times New Roman" w:cs="Times New Roman"/>
        </w:rPr>
        <w:t>Washington,</w:t>
      </w:r>
      <w:r w:rsidR="008A082B" w:rsidRPr="00684E47">
        <w:rPr>
          <w:rFonts w:ascii="Times New Roman" w:hAnsi="Times New Roman" w:cs="Times New Roman"/>
        </w:rPr>
        <w:t xml:space="preserve"> </w:t>
      </w:r>
      <w:r w:rsidR="008A082B" w:rsidRPr="008A082B">
        <w:rPr>
          <w:rFonts w:ascii="Times New Roman" w:hAnsi="Times New Roman" w:cs="Times New Roman"/>
        </w:rPr>
        <w:t>D</w:t>
      </w:r>
      <w:r w:rsidR="008A082B" w:rsidRPr="00684E47">
        <w:rPr>
          <w:rFonts w:ascii="Times New Roman" w:hAnsi="Times New Roman" w:cs="Times New Roman"/>
        </w:rPr>
        <w:t>.</w:t>
      </w:r>
      <w:r w:rsidR="008A082B" w:rsidRPr="008A082B">
        <w:rPr>
          <w:rFonts w:ascii="Times New Roman" w:hAnsi="Times New Roman" w:cs="Times New Roman"/>
        </w:rPr>
        <w:t>C</w:t>
      </w:r>
      <w:r w:rsidR="008A082B" w:rsidRPr="00684E47">
        <w:rPr>
          <w:rFonts w:ascii="Times New Roman" w:hAnsi="Times New Roman" w:cs="Times New Roman"/>
        </w:rPr>
        <w:t xml:space="preserve">., </w:t>
      </w:r>
      <w:r w:rsidR="008A082B" w:rsidRPr="008A082B">
        <w:rPr>
          <w:rFonts w:ascii="Times New Roman" w:hAnsi="Times New Roman" w:cs="Times New Roman"/>
        </w:rPr>
        <w:t>United States</w:t>
      </w:r>
      <w:r w:rsidR="008A082B" w:rsidRPr="00684E47">
        <w:rPr>
          <w:rFonts w:ascii="Times New Roman" w:hAnsi="Times New Roman" w:cs="Times New Roman"/>
        </w:rPr>
        <w:t xml:space="preserve">, </w:t>
      </w:r>
      <w:r w:rsidR="008A082B" w:rsidRPr="008A082B">
        <w:rPr>
          <w:rFonts w:ascii="Times New Roman" w:hAnsi="Times New Roman" w:cs="Times New Roman"/>
        </w:rPr>
        <w:t>Vietnam Veterans Memorial</w:t>
      </w:r>
      <w:r w:rsidR="008A082B" w:rsidRPr="00684E47">
        <w:rPr>
          <w:rFonts w:ascii="Times New Roman" w:hAnsi="Times New Roman" w:cs="Times New Roman"/>
        </w:rPr>
        <w:t xml:space="preserve"> (</w:t>
      </w:r>
      <w:r w:rsidR="00684E47" w:rsidRPr="00684E47">
        <w:rPr>
          <w:rFonts w:ascii="Times New Roman" w:hAnsi="Times New Roman" w:cs="Times New Roman"/>
        </w:rPr>
        <w:t>TCLF, n.d</w:t>
      </w:r>
      <w:r w:rsidR="008A082B" w:rsidRPr="00684E47">
        <w:rPr>
          <w:rFonts w:ascii="Times New Roman" w:hAnsi="Times New Roman" w:cs="Times New Roman"/>
        </w:rPr>
        <w:t>)</w:t>
      </w:r>
      <w:r w:rsidR="00684E47">
        <w:rPr>
          <w:rFonts w:ascii="Times New Roman" w:hAnsi="Times New Roman" w:cs="Times New Roman"/>
        </w:rPr>
        <w:t>.</w:t>
      </w:r>
    </w:p>
    <w:p w14:paraId="1C0902F2" w14:textId="43B18BE1" w:rsidR="003B0D15" w:rsidRDefault="003B0D15" w:rsidP="003B0D15">
      <w:pPr>
        <w:spacing w:line="360" w:lineRule="auto"/>
        <w:rPr>
          <w:rFonts w:ascii="Times New Roman" w:hAnsi="Times New Roman" w:cs="Times New Roman"/>
        </w:rPr>
      </w:pPr>
      <w:r>
        <w:rPr>
          <w:rFonts w:ascii="Times New Roman" w:hAnsi="Times New Roman" w:cs="Times New Roman"/>
        </w:rPr>
        <w:t xml:space="preserve">This memorial has been viewed by thousands and continues to be one of the most emotive monuments to date, the names written down chronologically create a massive sense of scale, that makes it difficult to understand and comprehend the intensity of the war, and </w:t>
      </w:r>
      <w:r w:rsidR="00585183">
        <w:rPr>
          <w:rFonts w:ascii="Times New Roman" w:hAnsi="Times New Roman" w:cs="Times New Roman"/>
        </w:rPr>
        <w:t>encourages the visitor to think and question the war, as well as feel emotion for the 58,000 dead soldiers.</w:t>
      </w:r>
      <w:r w:rsidR="004943D8">
        <w:rPr>
          <w:rFonts w:ascii="Times New Roman" w:hAnsi="Times New Roman" w:cs="Times New Roman"/>
        </w:rPr>
        <w:t xml:space="preserve"> </w:t>
      </w:r>
      <w:r w:rsidR="009677A3">
        <w:rPr>
          <w:rFonts w:ascii="Times New Roman" w:hAnsi="Times New Roman" w:cs="Times New Roman"/>
        </w:rPr>
        <w:t xml:space="preserve">The memorial evokes </w:t>
      </w:r>
      <w:r w:rsidR="009677A3">
        <w:rPr>
          <w:rFonts w:ascii="Times New Roman" w:hAnsi="Times New Roman" w:cs="Times New Roman"/>
        </w:rPr>
        <w:lastRenderedPageBreak/>
        <w:t xml:space="preserve">a sense of </w:t>
      </w:r>
      <w:r w:rsidR="009D5026">
        <w:rPr>
          <w:rFonts w:ascii="Times New Roman" w:hAnsi="Times New Roman" w:cs="Times New Roman"/>
        </w:rPr>
        <w:t>pastness and</w:t>
      </w:r>
      <w:r w:rsidR="009677A3">
        <w:rPr>
          <w:rFonts w:ascii="Times New Roman" w:hAnsi="Times New Roman" w:cs="Times New Roman"/>
        </w:rPr>
        <w:t xml:space="preserve"> </w:t>
      </w:r>
      <w:r w:rsidR="003D2076">
        <w:rPr>
          <w:rFonts w:ascii="Times New Roman" w:hAnsi="Times New Roman" w:cs="Times New Roman"/>
        </w:rPr>
        <w:t xml:space="preserve">helps the visitor to think of the past that is Vietnam, the monument does not contain the physical aspects of pastness, but it is created through the </w:t>
      </w:r>
      <w:r w:rsidR="009D5026">
        <w:rPr>
          <w:rFonts w:ascii="Times New Roman" w:hAnsi="Times New Roman" w:cs="Times New Roman"/>
        </w:rPr>
        <w:t>listings</w:t>
      </w:r>
      <w:r w:rsidR="003D2076">
        <w:rPr>
          <w:rFonts w:ascii="Times New Roman" w:hAnsi="Times New Roman" w:cs="Times New Roman"/>
        </w:rPr>
        <w:t xml:space="preserve"> of the dead, they create this </w:t>
      </w:r>
      <w:r w:rsidR="009D5026">
        <w:rPr>
          <w:rFonts w:ascii="Times New Roman" w:hAnsi="Times New Roman" w:cs="Times New Roman"/>
        </w:rPr>
        <w:t>sense of past.</w:t>
      </w:r>
      <w:r w:rsidR="009D5026">
        <w:rPr>
          <w:rStyle w:val="FootnoteReference"/>
          <w:rFonts w:ascii="Times New Roman" w:hAnsi="Times New Roman" w:cs="Times New Roman"/>
        </w:rPr>
        <w:footnoteReference w:id="42"/>
      </w:r>
      <w:r w:rsidR="00A422CB">
        <w:rPr>
          <w:rFonts w:ascii="Times New Roman" w:hAnsi="Times New Roman" w:cs="Times New Roman"/>
        </w:rPr>
        <w:t xml:space="preserve"> The ‘aura’ of the memorial is also immense, it</w:t>
      </w:r>
      <w:r w:rsidR="00677C95">
        <w:rPr>
          <w:rFonts w:ascii="Times New Roman" w:hAnsi="Times New Roman" w:cs="Times New Roman"/>
        </w:rPr>
        <w:t xml:space="preserve">s design </w:t>
      </w:r>
      <w:r w:rsidR="004909C3">
        <w:rPr>
          <w:rFonts w:ascii="Times New Roman" w:hAnsi="Times New Roman" w:cs="Times New Roman"/>
        </w:rPr>
        <w:t xml:space="preserve">evokes many feelings of the past alongside the authenticity of the object – however, this is not the sole purpose of the memorial, the ‘aura’ of the memorial does not attempt to create </w:t>
      </w:r>
      <w:r w:rsidR="005B1D84">
        <w:rPr>
          <w:rFonts w:ascii="Times New Roman" w:hAnsi="Times New Roman" w:cs="Times New Roman"/>
        </w:rPr>
        <w:t>a historical narrative, but to commemorate the dead, those who visit it do get a sense of the authenticity of the object and the war in Vietnam, however, it is not made to evoke this emotion, despite being made to commemorate the dead</w:t>
      </w:r>
      <w:r w:rsidR="00154DA2">
        <w:rPr>
          <w:rFonts w:ascii="Times New Roman" w:hAnsi="Times New Roman" w:cs="Times New Roman"/>
        </w:rPr>
        <w:t xml:space="preserve"> soldiers.</w:t>
      </w:r>
      <w:r w:rsidR="00154DA2">
        <w:rPr>
          <w:rStyle w:val="FootnoteReference"/>
          <w:rFonts w:ascii="Times New Roman" w:hAnsi="Times New Roman" w:cs="Times New Roman"/>
        </w:rPr>
        <w:footnoteReference w:id="43"/>
      </w:r>
      <w:r w:rsidR="00154DA2">
        <w:rPr>
          <w:rFonts w:ascii="Times New Roman" w:hAnsi="Times New Roman" w:cs="Times New Roman"/>
        </w:rPr>
        <w:t xml:space="preserve"> </w:t>
      </w:r>
    </w:p>
    <w:p w14:paraId="329A976B" w14:textId="2EC68A70" w:rsidR="00B06DA8" w:rsidRDefault="00B06DA8" w:rsidP="003B0D15">
      <w:pPr>
        <w:spacing w:line="360" w:lineRule="auto"/>
        <w:rPr>
          <w:rFonts w:ascii="Times New Roman" w:hAnsi="Times New Roman" w:cs="Times New Roman"/>
        </w:rPr>
      </w:pPr>
      <w:r>
        <w:rPr>
          <w:rFonts w:ascii="Times New Roman" w:hAnsi="Times New Roman" w:cs="Times New Roman"/>
        </w:rPr>
        <w:tab/>
        <w:t xml:space="preserve">Arguably the most unique memorial in the discussion would be that of </w:t>
      </w:r>
      <w:r w:rsidRPr="00911235">
        <w:rPr>
          <w:rFonts w:ascii="Times New Roman" w:hAnsi="Times New Roman" w:cs="Times New Roman"/>
        </w:rPr>
        <w:t>Korsbetningen Cross</w:t>
      </w:r>
      <w:r>
        <w:rPr>
          <w:rFonts w:ascii="Times New Roman" w:hAnsi="Times New Roman" w:cs="Times New Roman"/>
        </w:rPr>
        <w:t xml:space="preserve"> in Visby, Gotland (see fig 1).</w:t>
      </w:r>
      <w:r w:rsidR="00BE105A">
        <w:rPr>
          <w:rFonts w:ascii="Times New Roman" w:hAnsi="Times New Roman" w:cs="Times New Roman"/>
        </w:rPr>
        <w:t xml:space="preserve"> The memorial itself was erected at the site of the mass grave from the Battle of Visby in 1361, and has a text carved into it.</w:t>
      </w:r>
      <w:r w:rsidR="00BE105A">
        <w:rPr>
          <w:rStyle w:val="FootnoteReference"/>
          <w:rFonts w:ascii="Times New Roman" w:hAnsi="Times New Roman" w:cs="Times New Roman"/>
        </w:rPr>
        <w:footnoteReference w:id="44"/>
      </w:r>
      <w:r w:rsidR="006B7EA7">
        <w:rPr>
          <w:rFonts w:ascii="Times New Roman" w:hAnsi="Times New Roman" w:cs="Times New Roman"/>
        </w:rPr>
        <w:t xml:space="preserve"> </w:t>
      </w:r>
      <w:r w:rsidR="00701885">
        <w:rPr>
          <w:rFonts w:ascii="Times New Roman" w:hAnsi="Times New Roman" w:cs="Times New Roman"/>
        </w:rPr>
        <w:t xml:space="preserve">What makes the site unique </w:t>
      </w:r>
      <w:r w:rsidR="00CF4435">
        <w:rPr>
          <w:rFonts w:ascii="Times New Roman" w:hAnsi="Times New Roman" w:cs="Times New Roman"/>
        </w:rPr>
        <w:t xml:space="preserve">is that </w:t>
      </w:r>
      <w:r w:rsidR="00701885">
        <w:rPr>
          <w:rFonts w:ascii="Times New Roman" w:hAnsi="Times New Roman" w:cs="Times New Roman"/>
        </w:rPr>
        <w:t>the Danish army is said to have consisted of professional soldiers and knights, and the forces of Visby were not</w:t>
      </w:r>
      <w:r w:rsidR="00A1356F">
        <w:rPr>
          <w:rFonts w:ascii="Times New Roman" w:hAnsi="Times New Roman" w:cs="Times New Roman"/>
        </w:rPr>
        <w:t xml:space="preserve"> trained as well and were ill-equipped.</w:t>
      </w:r>
      <w:r w:rsidR="00A1356F">
        <w:rPr>
          <w:rStyle w:val="FootnoteReference"/>
          <w:rFonts w:ascii="Times New Roman" w:hAnsi="Times New Roman" w:cs="Times New Roman"/>
        </w:rPr>
        <w:footnoteReference w:id="45"/>
      </w:r>
      <w:r w:rsidR="00A1356F">
        <w:rPr>
          <w:rFonts w:ascii="Times New Roman" w:hAnsi="Times New Roman" w:cs="Times New Roman"/>
        </w:rPr>
        <w:t xml:space="preserve"> </w:t>
      </w:r>
      <w:r w:rsidR="00CE766A">
        <w:rPr>
          <w:rFonts w:ascii="Times New Roman" w:hAnsi="Times New Roman" w:cs="Times New Roman"/>
        </w:rPr>
        <w:t>It is said that the Gotlandic rural militia had fought the Danish army in the countryside but had failed to stop the advance o</w:t>
      </w:r>
      <w:r w:rsidR="00154E39">
        <w:rPr>
          <w:rFonts w:ascii="Times New Roman" w:hAnsi="Times New Roman" w:cs="Times New Roman"/>
        </w:rPr>
        <w:t>n the 27</w:t>
      </w:r>
      <w:r w:rsidR="00154E39" w:rsidRPr="00154E39">
        <w:rPr>
          <w:rFonts w:ascii="Times New Roman" w:hAnsi="Times New Roman" w:cs="Times New Roman"/>
          <w:vertAlign w:val="superscript"/>
        </w:rPr>
        <w:t>th</w:t>
      </w:r>
      <w:r w:rsidR="00154E39">
        <w:rPr>
          <w:rFonts w:ascii="Times New Roman" w:hAnsi="Times New Roman" w:cs="Times New Roman"/>
        </w:rPr>
        <w:t xml:space="preserve"> of July</w:t>
      </w:r>
      <w:r w:rsidR="0043733B">
        <w:rPr>
          <w:rFonts w:ascii="Times New Roman" w:hAnsi="Times New Roman" w:cs="Times New Roman"/>
        </w:rPr>
        <w:t xml:space="preserve"> on a battle outside the southern gate of Visby – during the early 20</w:t>
      </w:r>
      <w:r w:rsidR="0043733B" w:rsidRPr="0043733B">
        <w:rPr>
          <w:rFonts w:ascii="Times New Roman" w:hAnsi="Times New Roman" w:cs="Times New Roman"/>
          <w:vertAlign w:val="superscript"/>
        </w:rPr>
        <w:t>th</w:t>
      </w:r>
      <w:r w:rsidR="0043733B">
        <w:rPr>
          <w:rFonts w:ascii="Times New Roman" w:hAnsi="Times New Roman" w:cs="Times New Roman"/>
        </w:rPr>
        <w:t xml:space="preserve"> century, the mass graves from the battle were excavated, and there were an enormous amount of findings, </w:t>
      </w:r>
      <w:r w:rsidR="00B317DE">
        <w:rPr>
          <w:rFonts w:ascii="Times New Roman" w:hAnsi="Times New Roman" w:cs="Times New Roman"/>
        </w:rPr>
        <w:t>the findings were so unique as they mostly consisted of personal equipment tied to the human remains of the users.</w:t>
      </w:r>
      <w:r w:rsidR="00B317DE">
        <w:rPr>
          <w:rStyle w:val="FootnoteReference"/>
          <w:rFonts w:ascii="Times New Roman" w:hAnsi="Times New Roman" w:cs="Times New Roman"/>
        </w:rPr>
        <w:footnoteReference w:id="46"/>
      </w:r>
      <w:r w:rsidR="00B317DE">
        <w:rPr>
          <w:rFonts w:ascii="Times New Roman" w:hAnsi="Times New Roman" w:cs="Times New Roman"/>
        </w:rPr>
        <w:t xml:space="preserve"> What makes the </w:t>
      </w:r>
      <w:r w:rsidR="00B317DE" w:rsidRPr="00911235">
        <w:rPr>
          <w:rFonts w:ascii="Times New Roman" w:hAnsi="Times New Roman" w:cs="Times New Roman"/>
        </w:rPr>
        <w:t>Korsbetningen Cross</w:t>
      </w:r>
      <w:r w:rsidR="00B317DE">
        <w:rPr>
          <w:rFonts w:ascii="Times New Roman" w:hAnsi="Times New Roman" w:cs="Times New Roman"/>
        </w:rPr>
        <w:t xml:space="preserve"> so unique</w:t>
      </w:r>
      <w:r w:rsidR="001117F4">
        <w:rPr>
          <w:rFonts w:ascii="Times New Roman" w:hAnsi="Times New Roman" w:cs="Times New Roman"/>
        </w:rPr>
        <w:t xml:space="preserve"> is that it is a medieval memorial, and is intrinsically situated in authenticity and pastness – it exhibits the quintessential ideas on what Holtorf describes as pastness in a physically sense</w:t>
      </w:r>
      <w:r w:rsidR="00913F5C">
        <w:rPr>
          <w:rFonts w:ascii="Times New Roman" w:hAnsi="Times New Roman" w:cs="Times New Roman"/>
        </w:rPr>
        <w:t>.</w:t>
      </w:r>
      <w:r w:rsidR="00913F5C">
        <w:rPr>
          <w:rStyle w:val="FootnoteReference"/>
          <w:rFonts w:ascii="Times New Roman" w:hAnsi="Times New Roman" w:cs="Times New Roman"/>
        </w:rPr>
        <w:footnoteReference w:id="47"/>
      </w:r>
      <w:r w:rsidR="00913F5C">
        <w:rPr>
          <w:rFonts w:ascii="Times New Roman" w:hAnsi="Times New Roman" w:cs="Times New Roman"/>
        </w:rPr>
        <w:t xml:space="preserve"> Moreover,</w:t>
      </w:r>
      <w:r w:rsidR="001117F4">
        <w:rPr>
          <w:rFonts w:ascii="Times New Roman" w:hAnsi="Times New Roman" w:cs="Times New Roman"/>
        </w:rPr>
        <w:t xml:space="preserve"> its ‘aura’ and authenticity also </w:t>
      </w:r>
      <w:r w:rsidR="00464145">
        <w:rPr>
          <w:rFonts w:ascii="Times New Roman" w:hAnsi="Times New Roman" w:cs="Times New Roman"/>
        </w:rPr>
        <w:t>show this to be the case.</w:t>
      </w:r>
      <w:r w:rsidR="00464145">
        <w:rPr>
          <w:rStyle w:val="FootnoteReference"/>
          <w:rFonts w:ascii="Times New Roman" w:hAnsi="Times New Roman" w:cs="Times New Roman"/>
        </w:rPr>
        <w:footnoteReference w:id="48"/>
      </w:r>
      <w:r w:rsidR="00913F5C">
        <w:rPr>
          <w:rFonts w:ascii="Times New Roman" w:hAnsi="Times New Roman" w:cs="Times New Roman"/>
        </w:rPr>
        <w:t xml:space="preserve"> </w:t>
      </w:r>
      <w:r w:rsidR="006A303E">
        <w:rPr>
          <w:rFonts w:ascii="Times New Roman" w:hAnsi="Times New Roman" w:cs="Times New Roman"/>
        </w:rPr>
        <w:t xml:space="preserve">Despite it being a memorial that holds the emotive responses of the mass grave, it is not for the sole purpose of commemoration anymore, and has </w:t>
      </w:r>
      <w:r w:rsidR="00BE1444">
        <w:rPr>
          <w:rFonts w:ascii="Times New Roman" w:hAnsi="Times New Roman" w:cs="Times New Roman"/>
        </w:rPr>
        <w:t>lost</w:t>
      </w:r>
      <w:r w:rsidR="006A303E">
        <w:rPr>
          <w:rFonts w:ascii="Times New Roman" w:hAnsi="Times New Roman" w:cs="Times New Roman"/>
        </w:rPr>
        <w:t xml:space="preserve"> its purpose as a memorial in the modern sense as it is regarded as today</w:t>
      </w:r>
      <w:r w:rsidR="001E1E66">
        <w:rPr>
          <w:rFonts w:ascii="Times New Roman" w:hAnsi="Times New Roman" w:cs="Times New Roman"/>
        </w:rPr>
        <w:t>.</w:t>
      </w:r>
      <w:r w:rsidR="001E1E66">
        <w:rPr>
          <w:rStyle w:val="FootnoteReference"/>
          <w:rFonts w:ascii="Times New Roman" w:hAnsi="Times New Roman" w:cs="Times New Roman"/>
        </w:rPr>
        <w:footnoteReference w:id="49"/>
      </w:r>
      <w:r w:rsidR="001E1E66">
        <w:rPr>
          <w:rFonts w:ascii="Times New Roman" w:hAnsi="Times New Roman" w:cs="Times New Roman"/>
        </w:rPr>
        <w:t xml:space="preserve"> Thus, the memorial in Visby, focuses heavily on the authenticity of the site, and creates a</w:t>
      </w:r>
      <w:r w:rsidR="00080583">
        <w:rPr>
          <w:rFonts w:ascii="Times New Roman" w:hAnsi="Times New Roman" w:cs="Times New Roman"/>
        </w:rPr>
        <w:t>n</w:t>
      </w:r>
      <w:r w:rsidR="001E1E66">
        <w:rPr>
          <w:rFonts w:ascii="Times New Roman" w:hAnsi="Times New Roman" w:cs="Times New Roman"/>
        </w:rPr>
        <w:t xml:space="preserve"> </w:t>
      </w:r>
      <w:r w:rsidR="002D7D59">
        <w:rPr>
          <w:rFonts w:ascii="Times New Roman" w:hAnsi="Times New Roman" w:cs="Times New Roman"/>
        </w:rPr>
        <w:t xml:space="preserve">eyeglass into the past of the battle and those who had died, but not through the cultural relationships that we hold for </w:t>
      </w:r>
      <w:r w:rsidR="002D7D59">
        <w:rPr>
          <w:rFonts w:ascii="Times New Roman" w:hAnsi="Times New Roman" w:cs="Times New Roman"/>
        </w:rPr>
        <w:lastRenderedPageBreak/>
        <w:t>the memorials of the 20</w:t>
      </w:r>
      <w:r w:rsidR="002D7D59" w:rsidRPr="002D7D59">
        <w:rPr>
          <w:rFonts w:ascii="Times New Roman" w:hAnsi="Times New Roman" w:cs="Times New Roman"/>
          <w:vertAlign w:val="superscript"/>
        </w:rPr>
        <w:t>th</w:t>
      </w:r>
      <w:r w:rsidR="002D7D59">
        <w:rPr>
          <w:rFonts w:ascii="Times New Roman" w:hAnsi="Times New Roman" w:cs="Times New Roman"/>
        </w:rPr>
        <w:t xml:space="preserve"> century, but a historical one that doesn’t focus on creating a response for nationalism, </w:t>
      </w:r>
      <w:r w:rsidR="00526368">
        <w:rPr>
          <w:rFonts w:ascii="Times New Roman" w:hAnsi="Times New Roman" w:cs="Times New Roman"/>
        </w:rPr>
        <w:t>grief and sadness.</w:t>
      </w:r>
      <w:r w:rsidR="00526368">
        <w:rPr>
          <w:rStyle w:val="FootnoteReference"/>
          <w:rFonts w:ascii="Times New Roman" w:hAnsi="Times New Roman" w:cs="Times New Roman"/>
        </w:rPr>
        <w:footnoteReference w:id="50"/>
      </w:r>
    </w:p>
    <w:p w14:paraId="36262218" w14:textId="58CFCF66" w:rsidR="00E07916" w:rsidRDefault="00E07916" w:rsidP="003B0D15">
      <w:pPr>
        <w:spacing w:line="360" w:lineRule="auto"/>
        <w:rPr>
          <w:rFonts w:ascii="Times New Roman" w:hAnsi="Times New Roman" w:cs="Times New Roman"/>
        </w:rPr>
      </w:pPr>
      <w:r>
        <w:rPr>
          <w:rFonts w:ascii="Times New Roman" w:hAnsi="Times New Roman" w:cs="Times New Roman"/>
        </w:rPr>
        <w:tab/>
      </w:r>
      <w:r w:rsidR="00FA5365">
        <w:rPr>
          <w:rFonts w:ascii="Times New Roman" w:hAnsi="Times New Roman" w:cs="Times New Roman"/>
        </w:rPr>
        <w:t xml:space="preserve">In the year of 1965 the monument to Simon </w:t>
      </w:r>
      <w:r w:rsidR="00A41490">
        <w:rPr>
          <w:rFonts w:ascii="Times New Roman" w:hAnsi="Times New Roman" w:cs="Times New Roman"/>
        </w:rPr>
        <w:t xml:space="preserve">de Montfort, </w:t>
      </w:r>
      <w:r w:rsidR="004C4412">
        <w:rPr>
          <w:rFonts w:ascii="Times New Roman" w:hAnsi="Times New Roman" w:cs="Times New Roman"/>
        </w:rPr>
        <w:t xml:space="preserve">first </w:t>
      </w:r>
      <w:r w:rsidR="00A41490">
        <w:rPr>
          <w:rFonts w:ascii="Times New Roman" w:hAnsi="Times New Roman" w:cs="Times New Roman"/>
        </w:rPr>
        <w:t xml:space="preserve">Earl of </w:t>
      </w:r>
      <w:r w:rsidR="004C4412">
        <w:rPr>
          <w:rFonts w:ascii="Times New Roman" w:hAnsi="Times New Roman" w:cs="Times New Roman"/>
        </w:rPr>
        <w:t>Leicester was erected (see fig 3).</w:t>
      </w:r>
      <w:r w:rsidR="00AA71E9">
        <w:rPr>
          <w:rStyle w:val="FootnoteReference"/>
          <w:rFonts w:ascii="Times New Roman" w:hAnsi="Times New Roman" w:cs="Times New Roman"/>
        </w:rPr>
        <w:footnoteReference w:id="51"/>
      </w:r>
      <w:r w:rsidR="00426CEA">
        <w:rPr>
          <w:rFonts w:ascii="Times New Roman" w:hAnsi="Times New Roman" w:cs="Times New Roman"/>
        </w:rPr>
        <w:t xml:space="preserve"> The monument here attempts to create a sense of pastness, not through</w:t>
      </w:r>
      <w:r w:rsidR="009B6009">
        <w:rPr>
          <w:rFonts w:ascii="Times New Roman" w:hAnsi="Times New Roman" w:cs="Times New Roman"/>
        </w:rPr>
        <w:t xml:space="preserve"> a physical means, but through an emotive and transcendental means</w:t>
      </w:r>
      <w:r w:rsidR="00C41893">
        <w:rPr>
          <w:rFonts w:ascii="Times New Roman" w:hAnsi="Times New Roman" w:cs="Times New Roman"/>
        </w:rPr>
        <w:t xml:space="preserve"> </w:t>
      </w:r>
      <w:r w:rsidR="002C5501">
        <w:rPr>
          <w:rFonts w:ascii="Times New Roman" w:hAnsi="Times New Roman" w:cs="Times New Roman"/>
        </w:rPr>
        <w:t>similarly</w:t>
      </w:r>
      <w:r w:rsidR="00FD0175">
        <w:rPr>
          <w:rFonts w:ascii="Times New Roman" w:hAnsi="Times New Roman" w:cs="Times New Roman"/>
        </w:rPr>
        <w:t xml:space="preserve"> to that </w:t>
      </w:r>
      <w:r w:rsidR="00C41893">
        <w:rPr>
          <w:rFonts w:ascii="Times New Roman" w:hAnsi="Times New Roman" w:cs="Times New Roman"/>
        </w:rPr>
        <w:t>of the Vietnam war memorial by Maya Lin.</w:t>
      </w:r>
      <w:r w:rsidR="00C41893">
        <w:rPr>
          <w:rStyle w:val="FootnoteReference"/>
          <w:rFonts w:ascii="Times New Roman" w:hAnsi="Times New Roman" w:cs="Times New Roman"/>
        </w:rPr>
        <w:footnoteReference w:id="52"/>
      </w:r>
      <w:r w:rsidR="005A2165">
        <w:rPr>
          <w:rFonts w:ascii="Times New Roman" w:hAnsi="Times New Roman" w:cs="Times New Roman"/>
        </w:rPr>
        <w:t xml:space="preserve"> </w:t>
      </w:r>
      <w:r w:rsidR="00E03930">
        <w:rPr>
          <w:rFonts w:ascii="Times New Roman" w:hAnsi="Times New Roman" w:cs="Times New Roman"/>
        </w:rPr>
        <w:t xml:space="preserve">However, the main difference </w:t>
      </w:r>
      <w:r w:rsidR="005A14A0">
        <w:rPr>
          <w:rFonts w:ascii="Times New Roman" w:hAnsi="Times New Roman" w:cs="Times New Roman"/>
        </w:rPr>
        <w:t>between the memorial</w:t>
      </w:r>
      <w:r w:rsidR="00F00276">
        <w:rPr>
          <w:rFonts w:ascii="Times New Roman" w:hAnsi="Times New Roman" w:cs="Times New Roman"/>
        </w:rPr>
        <w:t xml:space="preserve">s; </w:t>
      </w:r>
      <w:r w:rsidR="005A14A0">
        <w:rPr>
          <w:rFonts w:ascii="Times New Roman" w:hAnsi="Times New Roman" w:cs="Times New Roman"/>
        </w:rPr>
        <w:t xml:space="preserve">Vietnam war </w:t>
      </w:r>
      <w:r w:rsidR="00F00276">
        <w:rPr>
          <w:rFonts w:ascii="Times New Roman" w:hAnsi="Times New Roman" w:cs="Times New Roman"/>
        </w:rPr>
        <w:t xml:space="preserve">memorial </w:t>
      </w:r>
      <w:r w:rsidR="005A14A0">
        <w:rPr>
          <w:rFonts w:ascii="Times New Roman" w:hAnsi="Times New Roman" w:cs="Times New Roman"/>
        </w:rPr>
        <w:t xml:space="preserve">and the </w:t>
      </w:r>
      <w:r w:rsidR="00C22D96">
        <w:rPr>
          <w:rFonts w:ascii="Times New Roman" w:hAnsi="Times New Roman" w:cs="Times New Roman"/>
        </w:rPr>
        <w:t>d</w:t>
      </w:r>
      <w:r w:rsidR="005A14A0">
        <w:rPr>
          <w:rFonts w:ascii="Times New Roman" w:hAnsi="Times New Roman" w:cs="Times New Roman"/>
        </w:rPr>
        <w:t xml:space="preserve">e Montfort memorial is that Maya Lin was not attempting to </w:t>
      </w:r>
      <w:r w:rsidR="00900419">
        <w:rPr>
          <w:rFonts w:ascii="Times New Roman" w:hAnsi="Times New Roman" w:cs="Times New Roman"/>
        </w:rPr>
        <w:t xml:space="preserve">recall the past with their thoughts, but to commemorate those who had died so that they were everlasting – with the de Montfort memorial it was built </w:t>
      </w:r>
      <w:r w:rsidR="004A2884">
        <w:rPr>
          <w:rFonts w:ascii="Times New Roman" w:hAnsi="Times New Roman" w:cs="Times New Roman"/>
        </w:rPr>
        <w:t>hundreds of years after the death of Simon de Montfort and was certainly trying to harken back to the 13</w:t>
      </w:r>
      <w:r w:rsidR="004A2884" w:rsidRPr="004A2884">
        <w:rPr>
          <w:rFonts w:ascii="Times New Roman" w:hAnsi="Times New Roman" w:cs="Times New Roman"/>
          <w:vertAlign w:val="superscript"/>
        </w:rPr>
        <w:t>th</w:t>
      </w:r>
      <w:r w:rsidR="004A2884">
        <w:rPr>
          <w:rFonts w:ascii="Times New Roman" w:hAnsi="Times New Roman" w:cs="Times New Roman"/>
        </w:rPr>
        <w:t xml:space="preserve"> century and to celebrate </w:t>
      </w:r>
      <w:r w:rsidR="001E0A6D">
        <w:rPr>
          <w:rFonts w:ascii="Times New Roman" w:hAnsi="Times New Roman" w:cs="Times New Roman"/>
        </w:rPr>
        <w:t>de Montfort despite him not being apart of the cultural memory the same way the dead of Vietnam were for the Americans during the mid-20</w:t>
      </w:r>
      <w:r w:rsidR="001E0A6D" w:rsidRPr="001E0A6D">
        <w:rPr>
          <w:rFonts w:ascii="Times New Roman" w:hAnsi="Times New Roman" w:cs="Times New Roman"/>
          <w:vertAlign w:val="superscript"/>
        </w:rPr>
        <w:t>th</w:t>
      </w:r>
      <w:r w:rsidR="001E0A6D">
        <w:rPr>
          <w:rFonts w:ascii="Times New Roman" w:hAnsi="Times New Roman" w:cs="Times New Roman"/>
        </w:rPr>
        <w:t xml:space="preserve"> century.</w:t>
      </w:r>
      <w:r w:rsidR="001E0A6D">
        <w:rPr>
          <w:rStyle w:val="FootnoteReference"/>
          <w:rFonts w:ascii="Times New Roman" w:hAnsi="Times New Roman" w:cs="Times New Roman"/>
        </w:rPr>
        <w:footnoteReference w:id="53"/>
      </w:r>
      <w:r w:rsidR="00FD0175">
        <w:rPr>
          <w:rFonts w:ascii="Times New Roman" w:hAnsi="Times New Roman" w:cs="Times New Roman"/>
        </w:rPr>
        <w:t xml:space="preserve"> Despite this, the site at the de Montfort memorial has been </w:t>
      </w:r>
      <w:r w:rsidR="008334F4">
        <w:rPr>
          <w:rFonts w:ascii="Times New Roman" w:hAnsi="Times New Roman" w:cs="Times New Roman"/>
        </w:rPr>
        <w:t>reenacting the Battle of Evesham for a number of years, in order to memorialise the lord</w:t>
      </w:r>
      <w:r w:rsidR="009277CD">
        <w:rPr>
          <w:rFonts w:ascii="Times New Roman" w:hAnsi="Times New Roman" w:cs="Times New Roman"/>
        </w:rPr>
        <w:t xml:space="preserve"> and battle</w:t>
      </w:r>
      <w:r w:rsidR="008334F4">
        <w:rPr>
          <w:rFonts w:ascii="Times New Roman" w:hAnsi="Times New Roman" w:cs="Times New Roman"/>
        </w:rPr>
        <w:t xml:space="preserve"> through events </w:t>
      </w:r>
      <w:r w:rsidR="00D15DE3">
        <w:rPr>
          <w:rFonts w:ascii="Times New Roman" w:hAnsi="Times New Roman" w:cs="Times New Roman"/>
        </w:rPr>
        <w:t>–</w:t>
      </w:r>
      <w:r w:rsidR="008334F4">
        <w:rPr>
          <w:rFonts w:ascii="Times New Roman" w:hAnsi="Times New Roman" w:cs="Times New Roman"/>
        </w:rPr>
        <w:t xml:space="preserve"> </w:t>
      </w:r>
      <w:r w:rsidR="00AA71E9">
        <w:rPr>
          <w:rFonts w:ascii="Times New Roman" w:hAnsi="Times New Roman" w:cs="Times New Roman"/>
        </w:rPr>
        <w:t>this is an effective medium which supports a sense of pastness, and does create an authentic experience of the memorial, but it is very alien in comparison to other 20</w:t>
      </w:r>
      <w:r w:rsidR="00AA71E9" w:rsidRPr="00AA71E9">
        <w:rPr>
          <w:rFonts w:ascii="Times New Roman" w:hAnsi="Times New Roman" w:cs="Times New Roman"/>
          <w:vertAlign w:val="superscript"/>
        </w:rPr>
        <w:t>th</w:t>
      </w:r>
      <w:r w:rsidR="00AA71E9">
        <w:rPr>
          <w:rFonts w:ascii="Times New Roman" w:hAnsi="Times New Roman" w:cs="Times New Roman"/>
        </w:rPr>
        <w:t xml:space="preserve"> century memorials in how it is perceived and used in society.</w:t>
      </w:r>
      <w:r w:rsidR="00AA71E9">
        <w:rPr>
          <w:rStyle w:val="FootnoteReference"/>
          <w:rFonts w:ascii="Times New Roman" w:hAnsi="Times New Roman" w:cs="Times New Roman"/>
        </w:rPr>
        <w:footnoteReference w:id="54"/>
      </w:r>
      <w:r w:rsidR="00786E62">
        <w:rPr>
          <w:rFonts w:ascii="Times New Roman" w:hAnsi="Times New Roman" w:cs="Times New Roman"/>
        </w:rPr>
        <w:t xml:space="preserve"> The site of the de Montfort memorial is </w:t>
      </w:r>
      <w:r w:rsidR="008447C2">
        <w:rPr>
          <w:rFonts w:ascii="Times New Roman" w:hAnsi="Times New Roman" w:cs="Times New Roman"/>
        </w:rPr>
        <w:t>not physically authentic, but provide</w:t>
      </w:r>
      <w:r w:rsidR="009E353A">
        <w:rPr>
          <w:rFonts w:ascii="Times New Roman" w:hAnsi="Times New Roman" w:cs="Times New Roman"/>
        </w:rPr>
        <w:t>s</w:t>
      </w:r>
      <w:r w:rsidR="008447C2">
        <w:rPr>
          <w:rFonts w:ascii="Times New Roman" w:hAnsi="Times New Roman" w:cs="Times New Roman"/>
        </w:rPr>
        <w:t xml:space="preserve"> an experience based authenticity, especially during the Battle of Evesham</w:t>
      </w:r>
      <w:r w:rsidR="009E353A">
        <w:rPr>
          <w:rFonts w:ascii="Times New Roman" w:hAnsi="Times New Roman" w:cs="Times New Roman"/>
        </w:rPr>
        <w:t>.</w:t>
      </w:r>
    </w:p>
    <w:p w14:paraId="6743D0CE" w14:textId="77777777" w:rsidR="009878F4" w:rsidRDefault="009878F4" w:rsidP="003B0D15">
      <w:pPr>
        <w:spacing w:line="360" w:lineRule="auto"/>
        <w:rPr>
          <w:rFonts w:ascii="Times New Roman" w:hAnsi="Times New Roman" w:cs="Times New Roman"/>
        </w:rPr>
      </w:pPr>
      <w:r>
        <w:rPr>
          <w:noProof/>
        </w:rPr>
        <w:drawing>
          <wp:anchor distT="0" distB="0" distL="114300" distR="114300" simplePos="0" relativeHeight="251660288" behindDoc="0" locked="0" layoutInCell="1" allowOverlap="1" wp14:anchorId="25925148" wp14:editId="77D31C90">
            <wp:simplePos x="914400" y="5245100"/>
            <wp:positionH relativeFrom="column">
              <wp:align>left</wp:align>
            </wp:positionH>
            <wp:positionV relativeFrom="paragraph">
              <wp:align>top</wp:align>
            </wp:positionV>
            <wp:extent cx="1689100" cy="2333626"/>
            <wp:effectExtent l="0" t="0" r="6350" b="9525"/>
            <wp:wrapSquare wrapText="bothSides"/>
            <wp:docPr id="8194269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89100" cy="2333626"/>
                    </a:xfrm>
                    <a:prstGeom prst="rect">
                      <a:avLst/>
                    </a:prstGeom>
                    <a:noFill/>
                    <a:ln>
                      <a:noFill/>
                    </a:ln>
                  </pic:spPr>
                </pic:pic>
              </a:graphicData>
            </a:graphic>
          </wp:anchor>
        </w:drawing>
      </w:r>
    </w:p>
    <w:p w14:paraId="2FE69A3E" w14:textId="77777777" w:rsidR="009878F4" w:rsidRDefault="009878F4" w:rsidP="009878F4">
      <w:pPr>
        <w:tabs>
          <w:tab w:val="left" w:pos="1560"/>
        </w:tabs>
        <w:spacing w:line="360" w:lineRule="auto"/>
        <w:rPr>
          <w:rFonts w:ascii="Times New Roman" w:hAnsi="Times New Roman" w:cs="Times New Roman"/>
        </w:rPr>
      </w:pPr>
      <w:r>
        <w:rPr>
          <w:rFonts w:ascii="Times New Roman" w:hAnsi="Times New Roman" w:cs="Times New Roman"/>
        </w:rPr>
        <w:tab/>
      </w:r>
    </w:p>
    <w:p w14:paraId="6EAAA4C4" w14:textId="77777777" w:rsidR="008F250D" w:rsidRDefault="008F250D" w:rsidP="009878F4">
      <w:pPr>
        <w:tabs>
          <w:tab w:val="left" w:pos="1560"/>
        </w:tabs>
        <w:spacing w:line="360" w:lineRule="auto"/>
        <w:rPr>
          <w:rFonts w:ascii="Times New Roman" w:hAnsi="Times New Roman" w:cs="Times New Roman"/>
        </w:rPr>
      </w:pPr>
    </w:p>
    <w:p w14:paraId="652D35DB" w14:textId="237FDEE1" w:rsidR="009878F4" w:rsidRDefault="009878F4" w:rsidP="009878F4">
      <w:pPr>
        <w:tabs>
          <w:tab w:val="left" w:pos="1560"/>
        </w:tabs>
        <w:spacing w:line="360" w:lineRule="auto"/>
        <w:rPr>
          <w:rFonts w:ascii="Times New Roman" w:hAnsi="Times New Roman" w:cs="Times New Roman"/>
        </w:rPr>
      </w:pPr>
      <w:r>
        <w:rPr>
          <w:rFonts w:ascii="Times New Roman" w:hAnsi="Times New Roman" w:cs="Times New Roman"/>
        </w:rPr>
        <w:t xml:space="preserve">Figure 3, de Montfort </w:t>
      </w:r>
      <w:r w:rsidR="008F250D">
        <w:rPr>
          <w:rFonts w:ascii="Times New Roman" w:hAnsi="Times New Roman" w:cs="Times New Roman"/>
        </w:rPr>
        <w:t>memorial (The Battlefields Trust, 2004).</w:t>
      </w:r>
      <w:r>
        <w:rPr>
          <w:rFonts w:ascii="Times New Roman" w:hAnsi="Times New Roman" w:cs="Times New Roman"/>
        </w:rPr>
        <w:br w:type="textWrapping" w:clear="all"/>
      </w:r>
    </w:p>
    <w:p w14:paraId="06B32A75" w14:textId="33C98C81" w:rsidR="00E20B3D" w:rsidRDefault="00E20B3D" w:rsidP="003B0D15">
      <w:pPr>
        <w:spacing w:line="360" w:lineRule="auto"/>
        <w:rPr>
          <w:rFonts w:ascii="Times New Roman" w:hAnsi="Times New Roman" w:cs="Times New Roman"/>
        </w:rPr>
      </w:pPr>
      <w:r>
        <w:rPr>
          <w:rFonts w:ascii="Times New Roman" w:hAnsi="Times New Roman" w:cs="Times New Roman"/>
        </w:rPr>
        <w:lastRenderedPageBreak/>
        <w:tab/>
        <w:t>To conclude, a memorial is not intrinsically authentic, and for the most part most memorials are not striving to inherit such authenticity</w:t>
      </w:r>
      <w:r w:rsidR="00CB1C1A">
        <w:rPr>
          <w:rFonts w:ascii="Times New Roman" w:hAnsi="Times New Roman" w:cs="Times New Roman"/>
        </w:rPr>
        <w:t xml:space="preserve">. Most of the time </w:t>
      </w:r>
      <w:r>
        <w:rPr>
          <w:rFonts w:ascii="Times New Roman" w:hAnsi="Times New Roman" w:cs="Times New Roman"/>
        </w:rPr>
        <w:t>they are erected in order to commemorate the dead and create emotive responses</w:t>
      </w:r>
      <w:r w:rsidR="00733C7D">
        <w:rPr>
          <w:rFonts w:ascii="Times New Roman" w:hAnsi="Times New Roman" w:cs="Times New Roman"/>
        </w:rPr>
        <w:t xml:space="preserve"> such as grief, loss, and sadness and sometimes they do also attempt to evoke a nationalistic response from the public</w:t>
      </w:r>
      <w:r w:rsidR="007913F6">
        <w:rPr>
          <w:rFonts w:ascii="Times New Roman" w:hAnsi="Times New Roman" w:cs="Times New Roman"/>
        </w:rPr>
        <w:t>,</w:t>
      </w:r>
      <w:r>
        <w:rPr>
          <w:rFonts w:ascii="Times New Roman" w:hAnsi="Times New Roman" w:cs="Times New Roman"/>
        </w:rPr>
        <w:t xml:space="preserve"> rather than to ensure some form of authenticity and pastness to </w:t>
      </w:r>
      <w:r w:rsidR="00B00B09">
        <w:rPr>
          <w:rFonts w:ascii="Times New Roman" w:hAnsi="Times New Roman" w:cs="Times New Roman"/>
        </w:rPr>
        <w:t>support tourism and consumerism.</w:t>
      </w:r>
      <w:r w:rsidR="00B00B09">
        <w:rPr>
          <w:rStyle w:val="FootnoteReference"/>
          <w:rFonts w:ascii="Times New Roman" w:hAnsi="Times New Roman" w:cs="Times New Roman"/>
        </w:rPr>
        <w:footnoteReference w:id="55"/>
      </w:r>
      <w:r w:rsidR="00F35313">
        <w:rPr>
          <w:rFonts w:ascii="Times New Roman" w:hAnsi="Times New Roman" w:cs="Times New Roman"/>
        </w:rPr>
        <w:t xml:space="preserve"> </w:t>
      </w:r>
      <w:r w:rsidR="002B3C8D">
        <w:rPr>
          <w:rFonts w:ascii="Times New Roman" w:hAnsi="Times New Roman" w:cs="Times New Roman"/>
        </w:rPr>
        <w:t xml:space="preserve">Memorials however do create this sense of authenticity </w:t>
      </w:r>
      <w:r w:rsidR="00482048">
        <w:rPr>
          <w:rFonts w:ascii="Times New Roman" w:hAnsi="Times New Roman" w:cs="Times New Roman"/>
        </w:rPr>
        <w:t xml:space="preserve">despite not purposely attempting to create </w:t>
      </w:r>
      <w:r w:rsidR="004B09E6">
        <w:rPr>
          <w:rFonts w:ascii="Times New Roman" w:hAnsi="Times New Roman" w:cs="Times New Roman"/>
        </w:rPr>
        <w:t xml:space="preserve">the authenticity that does become apparent, especially the concept of pastness and </w:t>
      </w:r>
      <w:r w:rsidR="00102D23">
        <w:rPr>
          <w:rFonts w:ascii="Times New Roman" w:hAnsi="Times New Roman" w:cs="Times New Roman"/>
        </w:rPr>
        <w:t>‘</w:t>
      </w:r>
      <w:r w:rsidR="004B09E6">
        <w:rPr>
          <w:rFonts w:ascii="Times New Roman" w:hAnsi="Times New Roman" w:cs="Times New Roman"/>
        </w:rPr>
        <w:t>aura</w:t>
      </w:r>
      <w:r w:rsidR="00102D23">
        <w:rPr>
          <w:rFonts w:ascii="Times New Roman" w:hAnsi="Times New Roman" w:cs="Times New Roman"/>
        </w:rPr>
        <w:t>’</w:t>
      </w:r>
      <w:r w:rsidR="004B09E6">
        <w:rPr>
          <w:rFonts w:ascii="Times New Roman" w:hAnsi="Times New Roman" w:cs="Times New Roman"/>
        </w:rPr>
        <w:t>.</w:t>
      </w:r>
      <w:r w:rsidR="00217F27">
        <w:rPr>
          <w:rFonts w:ascii="Times New Roman" w:hAnsi="Times New Roman" w:cs="Times New Roman"/>
        </w:rPr>
        <w:t xml:space="preserve"> Pastness is for the most part created </w:t>
      </w:r>
      <w:r w:rsidR="00BC5BB4">
        <w:rPr>
          <w:rFonts w:ascii="Times New Roman" w:hAnsi="Times New Roman" w:cs="Times New Roman"/>
        </w:rPr>
        <w:t xml:space="preserve">accidentally by memorialising the </w:t>
      </w:r>
      <w:r w:rsidR="000979AB">
        <w:rPr>
          <w:rFonts w:ascii="Times New Roman" w:hAnsi="Times New Roman" w:cs="Times New Roman"/>
        </w:rPr>
        <w:t xml:space="preserve">events and people who had died, a prime example of this is that of the </w:t>
      </w:r>
      <w:r w:rsidR="000979AB" w:rsidRPr="00911235">
        <w:rPr>
          <w:rFonts w:ascii="Times New Roman" w:hAnsi="Times New Roman" w:cs="Times New Roman"/>
        </w:rPr>
        <w:t>Korsbetningen Cross</w:t>
      </w:r>
      <w:r w:rsidR="000979AB">
        <w:rPr>
          <w:rFonts w:ascii="Times New Roman" w:hAnsi="Times New Roman" w:cs="Times New Roman"/>
        </w:rPr>
        <w:t xml:space="preserve"> (see fig 1)</w:t>
      </w:r>
      <w:r w:rsidR="003B6C9B">
        <w:rPr>
          <w:rFonts w:ascii="Times New Roman" w:hAnsi="Times New Roman" w:cs="Times New Roman"/>
        </w:rPr>
        <w:t xml:space="preserve"> and that of the </w:t>
      </w:r>
      <w:r w:rsidR="003E1584">
        <w:rPr>
          <w:rFonts w:ascii="Times New Roman" w:hAnsi="Times New Roman" w:cs="Times New Roman"/>
        </w:rPr>
        <w:t>Vietnam</w:t>
      </w:r>
      <w:r w:rsidR="003B6C9B">
        <w:rPr>
          <w:rFonts w:ascii="Times New Roman" w:hAnsi="Times New Roman" w:cs="Times New Roman"/>
        </w:rPr>
        <w:t xml:space="preserve"> war memorial in Washington D.C. (see fig 2).</w:t>
      </w:r>
      <w:r w:rsidR="003B6C9B">
        <w:rPr>
          <w:rStyle w:val="FootnoteReference"/>
          <w:rFonts w:ascii="Times New Roman" w:hAnsi="Times New Roman" w:cs="Times New Roman"/>
        </w:rPr>
        <w:footnoteReference w:id="56"/>
      </w:r>
      <w:r w:rsidR="003E1584">
        <w:rPr>
          <w:rFonts w:ascii="Times New Roman" w:hAnsi="Times New Roman" w:cs="Times New Roman"/>
        </w:rPr>
        <w:t xml:space="preserve"> Despite these sites inheriting it due to the events, other memorials such as that of the de Montfort memorial create a sense of authenticity and pastness through its heavy focus on reenactment and the celebration of Simon de Montfort – and it is awfully effective in doing so. One must only visit the site in August during the reenactment event to truly </w:t>
      </w:r>
      <w:r w:rsidR="00B15D9A">
        <w:rPr>
          <w:rFonts w:ascii="Times New Roman" w:hAnsi="Times New Roman" w:cs="Times New Roman"/>
        </w:rPr>
        <w:t xml:space="preserve">feel the authenticity of the memorial that is the event and object. </w:t>
      </w:r>
      <w:r w:rsidR="00B55F6B">
        <w:rPr>
          <w:rFonts w:ascii="Times New Roman" w:hAnsi="Times New Roman" w:cs="Times New Roman"/>
        </w:rPr>
        <w:t xml:space="preserve">Authenticity is not strived in the making of these war and battlefield </w:t>
      </w:r>
      <w:r w:rsidR="00294168">
        <w:rPr>
          <w:rFonts w:ascii="Times New Roman" w:hAnsi="Times New Roman" w:cs="Times New Roman"/>
        </w:rPr>
        <w:t>memorials and</w:t>
      </w:r>
      <w:r w:rsidR="00B55F6B">
        <w:rPr>
          <w:rFonts w:ascii="Times New Roman" w:hAnsi="Times New Roman" w:cs="Times New Roman"/>
        </w:rPr>
        <w:t xml:space="preserve"> are </w:t>
      </w:r>
      <w:r w:rsidR="007F468E">
        <w:rPr>
          <w:rFonts w:ascii="Times New Roman" w:hAnsi="Times New Roman" w:cs="Times New Roman"/>
        </w:rPr>
        <w:t xml:space="preserve">created by the society in which they are experienced through cultural memories of the past and the retelling of these events, whether that be in schools with history lessons, or by visiting the site and reading the monuments. </w:t>
      </w:r>
      <w:r w:rsidR="00294168">
        <w:rPr>
          <w:rFonts w:ascii="Times New Roman" w:hAnsi="Times New Roman" w:cs="Times New Roman"/>
        </w:rPr>
        <w:t>But authenticity is not an issue, it creates a sense of reality without forcing it onto the visitor of the monument.</w:t>
      </w:r>
    </w:p>
    <w:p w14:paraId="02EDB4B5" w14:textId="35B85D24" w:rsidR="009B380F" w:rsidRDefault="009B380F" w:rsidP="009B380F">
      <w:pPr>
        <w:rPr>
          <w:rFonts w:ascii="Times New Roman" w:hAnsi="Times New Roman" w:cs="Times New Roman"/>
        </w:rPr>
      </w:pPr>
      <w:r>
        <w:rPr>
          <w:rFonts w:ascii="Times New Roman" w:hAnsi="Times New Roman" w:cs="Times New Roman"/>
        </w:rPr>
        <w:br w:type="page"/>
      </w:r>
    </w:p>
    <w:p w14:paraId="332FF737" w14:textId="77777777" w:rsidR="0068401D" w:rsidRPr="00C62545" w:rsidRDefault="0068401D" w:rsidP="0068401D">
      <w:pPr>
        <w:pStyle w:val="Heading1"/>
        <w:rPr>
          <w:rFonts w:ascii="Times New Roman" w:hAnsi="Times New Roman" w:cs="Times New Roman"/>
          <w:sz w:val="22"/>
          <w:szCs w:val="22"/>
        </w:rPr>
      </w:pPr>
      <w:r w:rsidRPr="00C62545">
        <w:rPr>
          <w:rFonts w:ascii="Times New Roman" w:hAnsi="Times New Roman" w:cs="Times New Roman"/>
          <w:sz w:val="22"/>
          <w:szCs w:val="22"/>
        </w:rPr>
        <w:lastRenderedPageBreak/>
        <w:t>Bibliography</w:t>
      </w:r>
    </w:p>
    <w:p w14:paraId="31330FB1" w14:textId="77777777" w:rsidR="00AB7212" w:rsidRDefault="00AB7212" w:rsidP="00AB7212">
      <w:pPr>
        <w:spacing w:after="0"/>
        <w:rPr>
          <w:rFonts w:ascii="Times New Roman" w:hAnsi="Times New Roman" w:cs="Times New Roman"/>
        </w:rPr>
      </w:pPr>
    </w:p>
    <w:p w14:paraId="3CE6D6E2" w14:textId="37722646" w:rsidR="00AB7212" w:rsidRDefault="00AB7212" w:rsidP="00AB7212">
      <w:pPr>
        <w:spacing w:after="0"/>
        <w:rPr>
          <w:rFonts w:ascii="Times New Roman" w:hAnsi="Times New Roman" w:cs="Times New Roman"/>
        </w:rPr>
      </w:pPr>
      <w:r w:rsidRPr="00AB7212">
        <w:rPr>
          <w:rFonts w:ascii="Times New Roman" w:hAnsi="Times New Roman" w:cs="Times New Roman"/>
        </w:rPr>
        <w:t xml:space="preserve">Arkush, E. and Stanish, C. (2005) “Interpreting Conflict in the Ancient Andes: Implications for the </w:t>
      </w:r>
    </w:p>
    <w:p w14:paraId="6C8C4DA8" w14:textId="4F0B8D31" w:rsidR="00AB7212" w:rsidRPr="00AB7212" w:rsidRDefault="00AB7212" w:rsidP="00AB7212">
      <w:pPr>
        <w:spacing w:after="0"/>
        <w:ind w:left="720"/>
        <w:rPr>
          <w:rFonts w:ascii="Times New Roman" w:hAnsi="Times New Roman" w:cs="Times New Roman"/>
        </w:rPr>
      </w:pPr>
      <w:r w:rsidRPr="00AB7212">
        <w:rPr>
          <w:rFonts w:ascii="Times New Roman" w:hAnsi="Times New Roman" w:cs="Times New Roman"/>
        </w:rPr>
        <w:t xml:space="preserve">Archaeology of Warfare,” </w:t>
      </w:r>
      <w:r w:rsidRPr="00AB7212">
        <w:rPr>
          <w:rFonts w:ascii="Times New Roman" w:hAnsi="Times New Roman" w:cs="Times New Roman"/>
          <w:i/>
          <w:iCs/>
        </w:rPr>
        <w:t>Current anthropology</w:t>
      </w:r>
      <w:r w:rsidRPr="00AB7212">
        <w:rPr>
          <w:rFonts w:ascii="Times New Roman" w:hAnsi="Times New Roman" w:cs="Times New Roman"/>
        </w:rPr>
        <w:t xml:space="preserve">, 46(1), pp. 3–28. Available at: </w:t>
      </w:r>
      <w:r w:rsidRPr="00AB7212">
        <w:rPr>
          <w:rFonts w:ascii="Times New Roman" w:hAnsi="Times New Roman" w:cs="Times New Roman"/>
        </w:rPr>
        <w:t>https://doi.org/10.1086/425660</w:t>
      </w:r>
      <w:r w:rsidRPr="00AB7212">
        <w:rPr>
          <w:rFonts w:ascii="Times New Roman" w:hAnsi="Times New Roman" w:cs="Times New Roman"/>
        </w:rPr>
        <w:t>.</w:t>
      </w:r>
    </w:p>
    <w:p w14:paraId="4338639C" w14:textId="77777777" w:rsidR="00AB7212" w:rsidRDefault="00AB7212" w:rsidP="009A1E3E">
      <w:pPr>
        <w:spacing w:after="0"/>
        <w:rPr>
          <w:rFonts w:ascii="Times New Roman" w:hAnsi="Times New Roman" w:cs="Times New Roman"/>
        </w:rPr>
      </w:pPr>
    </w:p>
    <w:p w14:paraId="1B6AD579" w14:textId="77777777" w:rsidR="00AB7212" w:rsidRDefault="00AB7212" w:rsidP="009A1E3E">
      <w:pPr>
        <w:spacing w:after="0"/>
        <w:rPr>
          <w:rFonts w:ascii="Times New Roman" w:hAnsi="Times New Roman" w:cs="Times New Roman"/>
        </w:rPr>
      </w:pPr>
    </w:p>
    <w:p w14:paraId="31C305A1" w14:textId="65522539" w:rsidR="009A1E3E" w:rsidRDefault="009A1E3E" w:rsidP="009A1E3E">
      <w:pPr>
        <w:spacing w:after="0"/>
        <w:rPr>
          <w:rFonts w:ascii="Times New Roman" w:hAnsi="Times New Roman" w:cs="Times New Roman"/>
        </w:rPr>
      </w:pPr>
      <w:r w:rsidRPr="009A1E3E">
        <w:rPr>
          <w:rFonts w:ascii="Times New Roman" w:hAnsi="Times New Roman" w:cs="Times New Roman"/>
        </w:rPr>
        <w:t xml:space="preserve">Barker, B. (2007) “Massacre, Frontier Conflict and Australian Archaeology,” </w:t>
      </w:r>
      <w:r w:rsidRPr="009A1E3E">
        <w:rPr>
          <w:rFonts w:ascii="Times New Roman" w:hAnsi="Times New Roman" w:cs="Times New Roman"/>
          <w:i/>
          <w:iCs/>
        </w:rPr>
        <w:t>Australian archaeology</w:t>
      </w:r>
      <w:r w:rsidRPr="009A1E3E">
        <w:rPr>
          <w:rFonts w:ascii="Times New Roman" w:hAnsi="Times New Roman" w:cs="Times New Roman"/>
        </w:rPr>
        <w:t xml:space="preserve">, </w:t>
      </w:r>
    </w:p>
    <w:p w14:paraId="265616FF" w14:textId="58C8FDF2" w:rsidR="009B380F" w:rsidRDefault="009A1E3E" w:rsidP="009A1E3E">
      <w:pPr>
        <w:spacing w:after="0"/>
        <w:ind w:firstLine="720"/>
        <w:rPr>
          <w:rFonts w:ascii="Times New Roman" w:hAnsi="Times New Roman" w:cs="Times New Roman"/>
        </w:rPr>
      </w:pPr>
      <w:r w:rsidRPr="009A1E3E">
        <w:rPr>
          <w:rFonts w:ascii="Times New Roman" w:hAnsi="Times New Roman" w:cs="Times New Roman"/>
        </w:rPr>
        <w:t>(64), pp. 9–14.</w:t>
      </w:r>
    </w:p>
    <w:p w14:paraId="593DB8A2" w14:textId="77777777" w:rsidR="001F5CF4" w:rsidRDefault="001F5CF4" w:rsidP="009A1E3E">
      <w:pPr>
        <w:spacing w:after="0"/>
        <w:ind w:firstLine="720"/>
        <w:rPr>
          <w:rFonts w:ascii="Times New Roman" w:hAnsi="Times New Roman" w:cs="Times New Roman"/>
        </w:rPr>
      </w:pPr>
    </w:p>
    <w:p w14:paraId="23AE7A1E" w14:textId="1BFA0A0D" w:rsidR="001F5CF4" w:rsidRDefault="001F5CF4" w:rsidP="001F5CF4">
      <w:pPr>
        <w:spacing w:after="0"/>
        <w:rPr>
          <w:rFonts w:ascii="Times New Roman" w:hAnsi="Times New Roman" w:cs="Times New Roman"/>
        </w:rPr>
      </w:pPr>
      <w:r w:rsidRPr="00696D09">
        <w:rPr>
          <w:rFonts w:ascii="Times New Roman" w:hAnsi="Times New Roman" w:cs="Times New Roman"/>
        </w:rPr>
        <w:t>B</w:t>
      </w:r>
      <w:r>
        <w:rPr>
          <w:rFonts w:ascii="Times New Roman" w:hAnsi="Times New Roman" w:cs="Times New Roman"/>
        </w:rPr>
        <w:t>arber</w:t>
      </w:r>
      <w:r w:rsidRPr="00696D09">
        <w:rPr>
          <w:rFonts w:ascii="Times New Roman" w:hAnsi="Times New Roman" w:cs="Times New Roman"/>
        </w:rPr>
        <w:t>, B. (1949) Place, symbol, and utilitarian function in war memorials. Social Forces 28(1): 64–</w:t>
      </w:r>
    </w:p>
    <w:p w14:paraId="66C5380C" w14:textId="1B18DBA1" w:rsidR="001F5CF4" w:rsidRDefault="001F5CF4" w:rsidP="001F5CF4">
      <w:pPr>
        <w:spacing w:after="0"/>
        <w:ind w:firstLine="720"/>
        <w:rPr>
          <w:rFonts w:ascii="Times New Roman" w:hAnsi="Times New Roman" w:cs="Times New Roman"/>
        </w:rPr>
      </w:pPr>
      <w:r w:rsidRPr="00696D09">
        <w:rPr>
          <w:rFonts w:ascii="Times New Roman" w:hAnsi="Times New Roman" w:cs="Times New Roman"/>
        </w:rPr>
        <w:t>68</w:t>
      </w:r>
    </w:p>
    <w:p w14:paraId="6C5D8F38" w14:textId="77777777" w:rsidR="009A1E3E" w:rsidRDefault="009A1E3E" w:rsidP="009B380F">
      <w:pPr>
        <w:spacing w:after="0" w:line="360" w:lineRule="auto"/>
        <w:rPr>
          <w:rFonts w:ascii="Times New Roman" w:hAnsi="Times New Roman" w:cs="Times New Roman"/>
        </w:rPr>
      </w:pPr>
    </w:p>
    <w:p w14:paraId="7FE3418E" w14:textId="14D40F27" w:rsidR="009B380F" w:rsidRDefault="0068401D" w:rsidP="009B380F">
      <w:pPr>
        <w:spacing w:after="0" w:line="360" w:lineRule="auto"/>
        <w:rPr>
          <w:rFonts w:ascii="Times New Roman" w:hAnsi="Times New Roman" w:cs="Times New Roman"/>
        </w:rPr>
      </w:pPr>
      <w:r w:rsidRPr="00C62545">
        <w:rPr>
          <w:rFonts w:ascii="Times New Roman" w:hAnsi="Times New Roman" w:cs="Times New Roman"/>
        </w:rPr>
        <w:t xml:space="preserve">Benjamin, W. and Underwood, J.A. (2008) </w:t>
      </w:r>
      <w:r w:rsidRPr="00C62545">
        <w:rPr>
          <w:rFonts w:ascii="Times New Roman" w:hAnsi="Times New Roman" w:cs="Times New Roman"/>
          <w:i/>
          <w:iCs/>
        </w:rPr>
        <w:t>The work of art in the age of mechanical reproduction</w:t>
      </w:r>
      <w:r w:rsidRPr="00C62545">
        <w:rPr>
          <w:rFonts w:ascii="Times New Roman" w:hAnsi="Times New Roman" w:cs="Times New Roman"/>
        </w:rPr>
        <w:t xml:space="preserve">. </w:t>
      </w:r>
    </w:p>
    <w:p w14:paraId="522BC7F4" w14:textId="12206584" w:rsidR="0068401D" w:rsidRDefault="0068401D" w:rsidP="009B380F">
      <w:pPr>
        <w:spacing w:after="0" w:line="360" w:lineRule="auto"/>
        <w:ind w:firstLine="720"/>
        <w:rPr>
          <w:rFonts w:ascii="Times New Roman" w:hAnsi="Times New Roman" w:cs="Times New Roman"/>
        </w:rPr>
      </w:pPr>
      <w:r w:rsidRPr="00C62545">
        <w:rPr>
          <w:rFonts w:ascii="Times New Roman" w:hAnsi="Times New Roman" w:cs="Times New Roman"/>
        </w:rPr>
        <w:t>London: Penguin.</w:t>
      </w:r>
    </w:p>
    <w:p w14:paraId="7C35F09C" w14:textId="77777777" w:rsidR="002A0675" w:rsidRDefault="002A0675" w:rsidP="009B380F">
      <w:pPr>
        <w:spacing w:after="0" w:line="360" w:lineRule="auto"/>
        <w:ind w:firstLine="720"/>
        <w:rPr>
          <w:rFonts w:ascii="Times New Roman" w:hAnsi="Times New Roman" w:cs="Times New Roman"/>
        </w:rPr>
      </w:pPr>
    </w:p>
    <w:p w14:paraId="4D1F1979" w14:textId="77777777" w:rsidR="002A0675" w:rsidRPr="002A0675" w:rsidRDefault="002A0675" w:rsidP="002A0675">
      <w:pPr>
        <w:spacing w:after="0"/>
        <w:rPr>
          <w:rFonts w:ascii="Times New Roman" w:hAnsi="Times New Roman" w:cs="Times New Roman"/>
        </w:rPr>
      </w:pPr>
      <w:r w:rsidRPr="002A0675">
        <w:rPr>
          <w:rFonts w:ascii="Times New Roman" w:hAnsi="Times New Roman" w:cs="Times New Roman"/>
        </w:rPr>
        <w:t xml:space="preserve">Beckstead, Zachary. </w:t>
      </w:r>
      <w:r w:rsidRPr="002A0675">
        <w:rPr>
          <w:rFonts w:ascii="Times New Roman" w:hAnsi="Times New Roman" w:cs="Times New Roman"/>
          <w:i/>
          <w:iCs/>
        </w:rPr>
        <w:t>et al.</w:t>
      </w:r>
      <w:r w:rsidRPr="002A0675">
        <w:rPr>
          <w:rFonts w:ascii="Times New Roman" w:hAnsi="Times New Roman" w:cs="Times New Roman"/>
        </w:rPr>
        <w:t xml:space="preserve"> (2011) “Collective remembering through the materiality and </w:t>
      </w:r>
    </w:p>
    <w:p w14:paraId="42397DF8" w14:textId="5988D154" w:rsidR="009B380F" w:rsidRPr="002A0675" w:rsidRDefault="002A0675" w:rsidP="002A0675">
      <w:pPr>
        <w:spacing w:after="0"/>
        <w:ind w:firstLine="720"/>
        <w:rPr>
          <w:rFonts w:ascii="Times New Roman" w:hAnsi="Times New Roman" w:cs="Times New Roman"/>
        </w:rPr>
      </w:pPr>
      <w:r w:rsidRPr="002A0675">
        <w:rPr>
          <w:rFonts w:ascii="Times New Roman" w:hAnsi="Times New Roman" w:cs="Times New Roman"/>
        </w:rPr>
        <w:t xml:space="preserve">organization of war memorials,” </w:t>
      </w:r>
      <w:r w:rsidRPr="002A0675">
        <w:rPr>
          <w:rFonts w:ascii="Times New Roman" w:hAnsi="Times New Roman" w:cs="Times New Roman"/>
          <w:i/>
          <w:iCs/>
        </w:rPr>
        <w:t>Journal of material culture</w:t>
      </w:r>
      <w:r w:rsidRPr="002A0675">
        <w:rPr>
          <w:rFonts w:ascii="Times New Roman" w:hAnsi="Times New Roman" w:cs="Times New Roman"/>
        </w:rPr>
        <w:t>, 16(2), pp. 193–213. Available</w:t>
      </w:r>
      <w:r w:rsidRPr="002A0675">
        <w:rPr>
          <w:rFonts w:ascii="Times New Roman" w:hAnsi="Times New Roman" w:cs="Times New Roman"/>
        </w:rPr>
        <w:tab/>
      </w:r>
      <w:r w:rsidRPr="002A0675">
        <w:rPr>
          <w:rFonts w:ascii="Times New Roman" w:hAnsi="Times New Roman" w:cs="Times New Roman"/>
        </w:rPr>
        <w:t xml:space="preserve"> at: </w:t>
      </w:r>
      <w:r w:rsidRPr="002A0675">
        <w:rPr>
          <w:rFonts w:ascii="Times New Roman" w:hAnsi="Times New Roman" w:cs="Times New Roman"/>
        </w:rPr>
        <w:t>https://doi.org/10.1177/1359183511401494</w:t>
      </w:r>
      <w:r w:rsidRPr="002A0675">
        <w:rPr>
          <w:rFonts w:ascii="Times New Roman" w:hAnsi="Times New Roman" w:cs="Times New Roman"/>
        </w:rPr>
        <w:t>.</w:t>
      </w:r>
    </w:p>
    <w:p w14:paraId="41D6E2F3" w14:textId="77777777" w:rsidR="002A0675" w:rsidRPr="002A0675" w:rsidRDefault="002A0675" w:rsidP="002A0675">
      <w:pPr>
        <w:spacing w:after="0"/>
        <w:ind w:firstLine="720"/>
      </w:pPr>
    </w:p>
    <w:p w14:paraId="1FA49E29" w14:textId="0133FB3A" w:rsidR="009B380F" w:rsidRDefault="0068401D" w:rsidP="009B380F">
      <w:pPr>
        <w:spacing w:after="0" w:line="360" w:lineRule="auto"/>
        <w:rPr>
          <w:rFonts w:ascii="Times New Roman" w:hAnsi="Times New Roman" w:cs="Times New Roman"/>
        </w:rPr>
      </w:pPr>
      <w:r w:rsidRPr="00C62545">
        <w:rPr>
          <w:rFonts w:ascii="Times New Roman" w:hAnsi="Times New Roman" w:cs="Times New Roman"/>
        </w:rPr>
        <w:t xml:space="preserve">Bruno Latour, Adam Lowe. ‘2011’. ‘The Migration of the Aura Exploring the Original Through Its </w:t>
      </w:r>
    </w:p>
    <w:p w14:paraId="74A2C6B6" w14:textId="3EC8279E" w:rsidR="0068401D" w:rsidRPr="00C62545" w:rsidRDefault="0068401D" w:rsidP="009B380F">
      <w:pPr>
        <w:spacing w:after="0" w:line="360" w:lineRule="auto"/>
        <w:ind w:left="720"/>
        <w:rPr>
          <w:rFonts w:ascii="Times New Roman" w:hAnsi="Times New Roman" w:cs="Times New Roman"/>
        </w:rPr>
      </w:pPr>
      <w:r w:rsidRPr="00C62545">
        <w:rPr>
          <w:rFonts w:ascii="Times New Roman" w:hAnsi="Times New Roman" w:cs="Times New Roman"/>
        </w:rPr>
        <w:t>Fac similes’. Thoma Bartscherer; Roderick Coover. Switching Codes Thinking Through Digital Technology in the Humanities and the Arts, University of Chicago Press</w:t>
      </w:r>
    </w:p>
    <w:p w14:paraId="6EE924C1" w14:textId="77777777" w:rsidR="009B380F" w:rsidRDefault="009B380F" w:rsidP="009B380F">
      <w:pPr>
        <w:spacing w:after="0" w:line="360" w:lineRule="auto"/>
        <w:rPr>
          <w:rFonts w:ascii="Times New Roman" w:hAnsi="Times New Roman" w:cs="Times New Roman"/>
        </w:rPr>
      </w:pPr>
    </w:p>
    <w:p w14:paraId="03B0C116" w14:textId="19C3282E" w:rsidR="001660F5" w:rsidRDefault="0068401D" w:rsidP="009B380F">
      <w:pPr>
        <w:spacing w:after="0" w:line="360" w:lineRule="auto"/>
        <w:rPr>
          <w:rFonts w:ascii="Times New Roman" w:hAnsi="Times New Roman" w:cs="Times New Roman"/>
        </w:rPr>
      </w:pPr>
      <w:r w:rsidRPr="00C62545">
        <w:rPr>
          <w:rFonts w:ascii="Times New Roman" w:hAnsi="Times New Roman" w:cs="Times New Roman"/>
        </w:rPr>
        <w:t>Groys, Boris. 2018. ‘In the Flow’.</w:t>
      </w:r>
      <w:r w:rsidR="001660F5">
        <w:rPr>
          <w:rFonts w:ascii="Times New Roman" w:hAnsi="Times New Roman" w:cs="Times New Roman"/>
        </w:rPr>
        <w:t xml:space="preserve"> </w:t>
      </w:r>
    </w:p>
    <w:p w14:paraId="23AE239D" w14:textId="3D265C53" w:rsidR="0068401D" w:rsidRPr="00C62545" w:rsidRDefault="0068401D" w:rsidP="009B380F">
      <w:pPr>
        <w:spacing w:line="360" w:lineRule="auto"/>
        <w:ind w:left="720"/>
        <w:rPr>
          <w:rFonts w:ascii="Times New Roman" w:hAnsi="Times New Roman" w:cs="Times New Roman"/>
        </w:rPr>
      </w:pPr>
      <w:r w:rsidRPr="00C62545">
        <w:rPr>
          <w:rFonts w:ascii="Times New Roman" w:hAnsi="Times New Roman" w:cs="Times New Roman"/>
        </w:rPr>
        <w:t>&lt;https://books.google.co.uk/books?id=WBZPEAAAQBAJ&amp;lpg=PA1&amp;dq=boris%20groys%20in%20the%20flow&amp;lr&amp;pg=PA1#v=onepage&amp;q&amp;f=true&gt;</w:t>
      </w:r>
    </w:p>
    <w:p w14:paraId="1934ACC0" w14:textId="77777777" w:rsidR="009B380F" w:rsidRDefault="009B380F" w:rsidP="009B380F">
      <w:pPr>
        <w:spacing w:after="0" w:line="360" w:lineRule="auto"/>
        <w:rPr>
          <w:rFonts w:ascii="Times New Roman" w:hAnsi="Times New Roman" w:cs="Times New Roman"/>
        </w:rPr>
      </w:pPr>
    </w:p>
    <w:p w14:paraId="2775E7EA" w14:textId="32A258C8" w:rsidR="001660F5" w:rsidRDefault="0068401D" w:rsidP="009B380F">
      <w:pPr>
        <w:spacing w:after="0" w:line="360" w:lineRule="auto"/>
        <w:rPr>
          <w:rFonts w:ascii="Times New Roman" w:hAnsi="Times New Roman" w:cs="Times New Roman"/>
        </w:rPr>
      </w:pPr>
      <w:r w:rsidRPr="00C62545">
        <w:rPr>
          <w:rFonts w:ascii="Times New Roman" w:hAnsi="Times New Roman" w:cs="Times New Roman"/>
        </w:rPr>
        <w:t xml:space="preserve">Holtorf, Cornelius. “On Pastness: A Reconsideration of Materiality in Archaeological Object </w:t>
      </w:r>
    </w:p>
    <w:p w14:paraId="6A98FC4C" w14:textId="7A624820" w:rsidR="0068401D" w:rsidRDefault="0068401D" w:rsidP="009B380F">
      <w:pPr>
        <w:spacing w:after="0" w:line="360" w:lineRule="auto"/>
        <w:ind w:left="720"/>
        <w:rPr>
          <w:rFonts w:ascii="Times New Roman" w:hAnsi="Times New Roman" w:cs="Times New Roman"/>
        </w:rPr>
      </w:pPr>
      <w:r w:rsidRPr="00C62545">
        <w:rPr>
          <w:rFonts w:ascii="Times New Roman" w:hAnsi="Times New Roman" w:cs="Times New Roman"/>
        </w:rPr>
        <w:t xml:space="preserve">Authenticity.” </w:t>
      </w:r>
      <w:r w:rsidRPr="00C62545">
        <w:rPr>
          <w:rFonts w:ascii="Times New Roman" w:hAnsi="Times New Roman" w:cs="Times New Roman"/>
          <w:i/>
          <w:iCs/>
        </w:rPr>
        <w:t>Anthropological Quarterly</w:t>
      </w:r>
      <w:r w:rsidRPr="00C62545">
        <w:rPr>
          <w:rFonts w:ascii="Times New Roman" w:hAnsi="Times New Roman" w:cs="Times New Roman"/>
        </w:rPr>
        <w:t xml:space="preserve">, vol. 86, no. 2, 2013, pp. 427–43. </w:t>
      </w:r>
      <w:r w:rsidRPr="00C62545">
        <w:rPr>
          <w:rFonts w:ascii="Times New Roman" w:hAnsi="Times New Roman" w:cs="Times New Roman"/>
          <w:i/>
          <w:iCs/>
        </w:rPr>
        <w:t>JSTOR</w:t>
      </w:r>
      <w:r w:rsidRPr="00C62545">
        <w:rPr>
          <w:rFonts w:ascii="Times New Roman" w:hAnsi="Times New Roman" w:cs="Times New Roman"/>
        </w:rPr>
        <w:t xml:space="preserve">, &lt;http://www.jstor.org/stable/41857332.&gt; </w:t>
      </w:r>
    </w:p>
    <w:p w14:paraId="7BB0B6FB" w14:textId="77777777" w:rsidR="001660F5" w:rsidRPr="00C62545" w:rsidRDefault="001660F5" w:rsidP="009B380F">
      <w:pPr>
        <w:spacing w:after="0" w:line="360" w:lineRule="auto"/>
        <w:ind w:left="720"/>
        <w:rPr>
          <w:rFonts w:ascii="Times New Roman" w:hAnsi="Times New Roman" w:cs="Times New Roman"/>
        </w:rPr>
      </w:pPr>
    </w:p>
    <w:p w14:paraId="7770A225" w14:textId="77777777" w:rsidR="001660F5" w:rsidRDefault="0068401D" w:rsidP="009B380F">
      <w:pPr>
        <w:spacing w:after="0" w:line="360" w:lineRule="auto"/>
        <w:rPr>
          <w:rFonts w:ascii="Times New Roman" w:hAnsi="Times New Roman" w:cs="Times New Roman"/>
          <w:i/>
          <w:iCs/>
        </w:rPr>
      </w:pPr>
      <w:r w:rsidRPr="00C62545">
        <w:rPr>
          <w:rFonts w:ascii="Times New Roman" w:hAnsi="Times New Roman" w:cs="Times New Roman"/>
        </w:rPr>
        <w:t xml:space="preserve">Nunes, Joseph C., et al. “The Concept of Authenticity: What It Means to Consumers.” </w:t>
      </w:r>
      <w:r w:rsidRPr="00C62545">
        <w:rPr>
          <w:rFonts w:ascii="Times New Roman" w:hAnsi="Times New Roman" w:cs="Times New Roman"/>
          <w:i/>
          <w:iCs/>
        </w:rPr>
        <w:t>Journal of</w:t>
      </w:r>
    </w:p>
    <w:p w14:paraId="0A13EDA4" w14:textId="3DFBEE92" w:rsidR="0068401D" w:rsidRPr="00C62545" w:rsidRDefault="0068401D" w:rsidP="009B380F">
      <w:pPr>
        <w:spacing w:after="0" w:line="360" w:lineRule="auto"/>
        <w:rPr>
          <w:rFonts w:ascii="Times New Roman" w:hAnsi="Times New Roman" w:cs="Times New Roman"/>
        </w:rPr>
      </w:pPr>
      <w:r w:rsidRPr="00C62545">
        <w:rPr>
          <w:rFonts w:ascii="Times New Roman" w:hAnsi="Times New Roman" w:cs="Times New Roman"/>
          <w:i/>
          <w:iCs/>
        </w:rPr>
        <w:t xml:space="preserve"> </w:t>
      </w:r>
      <w:r w:rsidR="001660F5">
        <w:rPr>
          <w:rFonts w:ascii="Times New Roman" w:hAnsi="Times New Roman" w:cs="Times New Roman"/>
          <w:i/>
          <w:iCs/>
        </w:rPr>
        <w:tab/>
      </w:r>
      <w:r w:rsidRPr="00C62545">
        <w:rPr>
          <w:rFonts w:ascii="Times New Roman" w:hAnsi="Times New Roman" w:cs="Times New Roman"/>
          <w:i/>
          <w:iCs/>
        </w:rPr>
        <w:t>Marketing</w:t>
      </w:r>
      <w:r w:rsidRPr="00C62545">
        <w:rPr>
          <w:rFonts w:ascii="Times New Roman" w:hAnsi="Times New Roman" w:cs="Times New Roman"/>
        </w:rPr>
        <w:t xml:space="preserve">, vol. 85, no. 4, 2021, pp. 1–20. </w:t>
      </w:r>
      <w:r w:rsidRPr="00C62545">
        <w:rPr>
          <w:rFonts w:ascii="Times New Roman" w:hAnsi="Times New Roman" w:cs="Times New Roman"/>
          <w:i/>
          <w:iCs/>
        </w:rPr>
        <w:t>JSTOR</w:t>
      </w:r>
      <w:r w:rsidRPr="00C62545">
        <w:rPr>
          <w:rFonts w:ascii="Times New Roman" w:hAnsi="Times New Roman" w:cs="Times New Roman"/>
        </w:rPr>
        <w:t>, &lt;https://www.jstor.org/stable/27114307.&gt;</w:t>
      </w:r>
    </w:p>
    <w:p w14:paraId="5A404AFB" w14:textId="77777777" w:rsidR="001660F5" w:rsidRDefault="001660F5" w:rsidP="009B380F">
      <w:pPr>
        <w:spacing w:line="360" w:lineRule="auto"/>
        <w:rPr>
          <w:rFonts w:ascii="Times New Roman" w:hAnsi="Times New Roman" w:cs="Times New Roman"/>
        </w:rPr>
      </w:pPr>
    </w:p>
    <w:p w14:paraId="59004403" w14:textId="4370D24A" w:rsidR="001660F5" w:rsidRDefault="0068401D" w:rsidP="009B380F">
      <w:pPr>
        <w:spacing w:after="0" w:line="360" w:lineRule="auto"/>
        <w:rPr>
          <w:rFonts w:ascii="Times New Roman" w:hAnsi="Times New Roman" w:cs="Times New Roman"/>
          <w:i/>
          <w:iCs/>
        </w:rPr>
      </w:pPr>
      <w:r w:rsidRPr="00C62545">
        <w:rPr>
          <w:rFonts w:ascii="Times New Roman" w:hAnsi="Times New Roman" w:cs="Times New Roman"/>
        </w:rPr>
        <w:t>Rickly-Boyd, J.M. (2012) “Authenticity &amp; aura: a Benjaminian approach to tourism,” </w:t>
      </w:r>
      <w:r w:rsidRPr="00C62545">
        <w:rPr>
          <w:rFonts w:ascii="Times New Roman" w:hAnsi="Times New Roman" w:cs="Times New Roman"/>
          <w:i/>
          <w:iCs/>
        </w:rPr>
        <w:t xml:space="preserve">Annals of </w:t>
      </w:r>
    </w:p>
    <w:p w14:paraId="399073FC" w14:textId="04FC2ABD" w:rsidR="0068401D" w:rsidRPr="00C62545" w:rsidRDefault="0068401D" w:rsidP="009B380F">
      <w:pPr>
        <w:spacing w:after="0" w:line="360" w:lineRule="auto"/>
        <w:ind w:firstLine="720"/>
        <w:rPr>
          <w:rFonts w:ascii="Times New Roman" w:hAnsi="Times New Roman" w:cs="Times New Roman"/>
        </w:rPr>
      </w:pPr>
      <w:r w:rsidRPr="00C62545">
        <w:rPr>
          <w:rFonts w:ascii="Times New Roman" w:hAnsi="Times New Roman" w:cs="Times New Roman"/>
          <w:i/>
          <w:iCs/>
        </w:rPr>
        <w:t>tourism research</w:t>
      </w:r>
      <w:r w:rsidRPr="00C62545">
        <w:rPr>
          <w:rFonts w:ascii="Times New Roman" w:hAnsi="Times New Roman" w:cs="Times New Roman"/>
        </w:rPr>
        <w:t>, 39(1), pp. 269–289. &lt;https://doi.org/10.1016/j.annals.2011.05.003&gt;</w:t>
      </w:r>
    </w:p>
    <w:p w14:paraId="1AA89824" w14:textId="77777777" w:rsidR="001660F5" w:rsidRDefault="001660F5" w:rsidP="009B380F">
      <w:pPr>
        <w:spacing w:line="360" w:lineRule="auto"/>
        <w:rPr>
          <w:rFonts w:ascii="Times New Roman" w:hAnsi="Times New Roman" w:cs="Times New Roman"/>
        </w:rPr>
      </w:pPr>
    </w:p>
    <w:p w14:paraId="4A2D8AEB" w14:textId="77777777" w:rsidR="00981043" w:rsidRDefault="00981043" w:rsidP="009B380F">
      <w:pPr>
        <w:spacing w:after="0" w:line="360" w:lineRule="auto"/>
        <w:rPr>
          <w:rFonts w:ascii="Times New Roman" w:hAnsi="Times New Roman" w:cs="Times New Roman"/>
        </w:rPr>
      </w:pPr>
    </w:p>
    <w:p w14:paraId="64E10795" w14:textId="6EEE61DF" w:rsidR="009B380F" w:rsidRDefault="0068401D" w:rsidP="009B380F">
      <w:pPr>
        <w:spacing w:after="0" w:line="360" w:lineRule="auto"/>
        <w:rPr>
          <w:rFonts w:ascii="Times New Roman" w:hAnsi="Times New Roman" w:cs="Times New Roman"/>
        </w:rPr>
      </w:pPr>
      <w:r w:rsidRPr="00C62545">
        <w:rPr>
          <w:rFonts w:ascii="Times New Roman" w:hAnsi="Times New Roman" w:cs="Times New Roman"/>
        </w:rPr>
        <w:lastRenderedPageBreak/>
        <w:t xml:space="preserve">Sarah, Kenderdine, and Andrew Yip, ‘The Proliferation of Aura: Facsimiles, Authenticity and Digital </w:t>
      </w:r>
    </w:p>
    <w:p w14:paraId="69711B44" w14:textId="3A05046C" w:rsidR="0068401D" w:rsidRDefault="0068401D" w:rsidP="009B380F">
      <w:pPr>
        <w:spacing w:after="0" w:line="360" w:lineRule="auto"/>
        <w:ind w:left="720"/>
        <w:rPr>
          <w:rFonts w:ascii="Times New Roman" w:hAnsi="Times New Roman" w:cs="Times New Roman"/>
        </w:rPr>
      </w:pPr>
      <w:r w:rsidRPr="00C62545">
        <w:rPr>
          <w:rFonts w:ascii="Times New Roman" w:hAnsi="Times New Roman" w:cs="Times New Roman"/>
        </w:rPr>
        <w:t xml:space="preserve">Objects’, in </w:t>
      </w:r>
      <w:r w:rsidRPr="00C62545">
        <w:rPr>
          <w:rFonts w:ascii="Times New Roman" w:hAnsi="Times New Roman" w:cs="Times New Roman"/>
          <w:i/>
          <w:iCs/>
        </w:rPr>
        <w:t>The Routledge Handbook of Museums, Media and Communication</w:t>
      </w:r>
      <w:r w:rsidRPr="00C62545">
        <w:rPr>
          <w:rFonts w:ascii="Times New Roman" w:hAnsi="Times New Roman" w:cs="Times New Roman"/>
        </w:rPr>
        <w:t>, 1st edn (Routledge, 2019), i,</w:t>
      </w:r>
    </w:p>
    <w:p w14:paraId="01AAF585" w14:textId="77777777" w:rsidR="00DA757E" w:rsidRDefault="00DA757E" w:rsidP="009B380F">
      <w:pPr>
        <w:spacing w:after="0" w:line="360" w:lineRule="auto"/>
        <w:ind w:left="720"/>
        <w:rPr>
          <w:rFonts w:ascii="Times New Roman" w:hAnsi="Times New Roman" w:cs="Times New Roman"/>
        </w:rPr>
      </w:pPr>
    </w:p>
    <w:p w14:paraId="0F8CD36F" w14:textId="77777777" w:rsidR="00981043" w:rsidRDefault="00981043" w:rsidP="00981043">
      <w:pPr>
        <w:spacing w:after="0" w:line="360" w:lineRule="auto"/>
        <w:rPr>
          <w:rFonts w:ascii="Times New Roman" w:hAnsi="Times New Roman" w:cs="Times New Roman"/>
        </w:rPr>
      </w:pPr>
      <w:r w:rsidRPr="00914D72">
        <w:rPr>
          <w:rFonts w:ascii="Times New Roman" w:hAnsi="Times New Roman" w:cs="Times New Roman"/>
        </w:rPr>
        <w:t xml:space="preserve">Thomas, N. (2017) “The Gotlandic rural militia : A study of the invasion of Gotland 1361 in response </w:t>
      </w:r>
    </w:p>
    <w:p w14:paraId="6F5B7FCE" w14:textId="4F732630" w:rsidR="00981043" w:rsidRDefault="00981043" w:rsidP="00981043">
      <w:pPr>
        <w:spacing w:after="0" w:line="360" w:lineRule="auto"/>
        <w:ind w:left="720"/>
        <w:rPr>
          <w:rFonts w:ascii="Times New Roman" w:hAnsi="Times New Roman" w:cs="Times New Roman"/>
        </w:rPr>
      </w:pPr>
      <w:r w:rsidRPr="00914D72">
        <w:rPr>
          <w:rFonts w:ascii="Times New Roman" w:hAnsi="Times New Roman" w:cs="Times New Roman"/>
        </w:rPr>
        <w:t xml:space="preserve">to a modern narrative” </w:t>
      </w:r>
      <w:r w:rsidRPr="00914D72">
        <w:rPr>
          <w:rFonts w:ascii="Times New Roman" w:hAnsi="Times New Roman" w:cs="Times New Roman"/>
          <w:i/>
          <w:iCs/>
        </w:rPr>
        <w:t>Stockholm University, Department of History, Master thesis.</w:t>
      </w:r>
      <w:r w:rsidRPr="00914D72">
        <w:rPr>
          <w:rFonts w:ascii="Times New Roman" w:hAnsi="Times New Roman" w:cs="Times New Roman"/>
        </w:rPr>
        <w:t xml:space="preserve"> https://www.diva-portal.org/smash/get/diva2:1159294/FULLTEXT01.pdf p. 5.</w:t>
      </w:r>
    </w:p>
    <w:p w14:paraId="2D1D131E" w14:textId="77777777" w:rsidR="00981043" w:rsidRDefault="00981043" w:rsidP="009B380F">
      <w:pPr>
        <w:spacing w:after="0" w:line="360" w:lineRule="auto"/>
        <w:ind w:left="720"/>
        <w:rPr>
          <w:rFonts w:ascii="Times New Roman" w:hAnsi="Times New Roman" w:cs="Times New Roman"/>
        </w:rPr>
      </w:pPr>
    </w:p>
    <w:p w14:paraId="1B6562B2" w14:textId="77777777" w:rsidR="00DA757E" w:rsidRDefault="00DA757E" w:rsidP="00DA757E">
      <w:pPr>
        <w:spacing w:after="0" w:line="360" w:lineRule="auto"/>
        <w:rPr>
          <w:rFonts w:ascii="Times New Roman" w:hAnsi="Times New Roman" w:cs="Times New Roman"/>
        </w:rPr>
      </w:pPr>
      <w:r w:rsidRPr="00DA757E">
        <w:rPr>
          <w:rFonts w:ascii="Times New Roman" w:hAnsi="Times New Roman" w:cs="Times New Roman"/>
        </w:rPr>
        <w:t>‘Vietnam Veterans Memorial | TCLF’. [n.d.]. </w:t>
      </w:r>
      <w:r w:rsidRPr="00DA757E">
        <w:rPr>
          <w:rFonts w:ascii="Times New Roman" w:hAnsi="Times New Roman" w:cs="Times New Roman"/>
          <w:i/>
          <w:iCs/>
        </w:rPr>
        <w:t>Www.tclf.org</w:t>
      </w:r>
      <w:r w:rsidRPr="00DA757E">
        <w:rPr>
          <w:rFonts w:ascii="Times New Roman" w:hAnsi="Times New Roman" w:cs="Times New Roman"/>
        </w:rPr>
        <w:t> &lt;https://www.tclf.org/landscapes/vietnam-</w:t>
      </w:r>
    </w:p>
    <w:p w14:paraId="1CBCB1CE" w14:textId="640B2A5F" w:rsidR="00DA757E" w:rsidRDefault="00DA757E" w:rsidP="00DA757E">
      <w:pPr>
        <w:spacing w:after="0" w:line="360" w:lineRule="auto"/>
        <w:ind w:firstLine="720"/>
        <w:rPr>
          <w:rFonts w:ascii="Times New Roman" w:hAnsi="Times New Roman" w:cs="Times New Roman"/>
        </w:rPr>
      </w:pPr>
      <w:r w:rsidRPr="00DA757E">
        <w:rPr>
          <w:rFonts w:ascii="Times New Roman" w:hAnsi="Times New Roman" w:cs="Times New Roman"/>
        </w:rPr>
        <w:t>veterans-memorial&gt;</w:t>
      </w:r>
    </w:p>
    <w:p w14:paraId="6AB12520" w14:textId="77777777" w:rsidR="00DA757E" w:rsidRDefault="00DA757E" w:rsidP="00DA757E">
      <w:pPr>
        <w:spacing w:after="0" w:line="360" w:lineRule="auto"/>
        <w:ind w:firstLine="720"/>
        <w:rPr>
          <w:rFonts w:ascii="Times New Roman" w:hAnsi="Times New Roman" w:cs="Times New Roman"/>
        </w:rPr>
      </w:pPr>
    </w:p>
    <w:p w14:paraId="301E560E" w14:textId="77777777" w:rsidR="00DA757E" w:rsidRDefault="00DA757E" w:rsidP="00DA757E">
      <w:pPr>
        <w:spacing w:after="0"/>
        <w:rPr>
          <w:rFonts w:ascii="Times New Roman" w:hAnsi="Times New Roman" w:cs="Times New Roman"/>
        </w:rPr>
      </w:pPr>
      <w:r w:rsidRPr="00914D72">
        <w:rPr>
          <w:rFonts w:ascii="Times New Roman" w:hAnsi="Times New Roman" w:cs="Times New Roman"/>
        </w:rPr>
        <w:t xml:space="preserve">‘The Battlefields Hub → Medieval → the Evesham Campaign → the Battle of Battle of Evesham → </w:t>
      </w:r>
    </w:p>
    <w:p w14:paraId="6D746608" w14:textId="5C6318B7" w:rsidR="00DA757E" w:rsidRPr="00914D72" w:rsidRDefault="00DA757E" w:rsidP="00DA757E">
      <w:pPr>
        <w:spacing w:after="0"/>
        <w:ind w:left="720"/>
        <w:rPr>
          <w:rFonts w:ascii="Times New Roman" w:hAnsi="Times New Roman" w:cs="Times New Roman"/>
        </w:rPr>
      </w:pPr>
      <w:r w:rsidRPr="00914D72">
        <w:rPr>
          <w:rFonts w:ascii="Times New Roman" w:hAnsi="Times New Roman" w:cs="Times New Roman"/>
        </w:rPr>
        <w:t>Visiting the Battlefield - the de Montfort Memorial’</w:t>
      </w:r>
      <w:r>
        <w:rPr>
          <w:rFonts w:ascii="Times New Roman" w:hAnsi="Times New Roman" w:cs="Times New Roman"/>
        </w:rPr>
        <w:t xml:space="preserve"> </w:t>
      </w:r>
      <w:r w:rsidRPr="00914D72">
        <w:rPr>
          <w:rFonts w:ascii="Times New Roman" w:hAnsi="Times New Roman" w:cs="Times New Roman"/>
        </w:rPr>
        <w:t>2017. </w:t>
      </w:r>
      <w:r w:rsidRPr="00914D72">
        <w:rPr>
          <w:rFonts w:ascii="Times New Roman" w:hAnsi="Times New Roman" w:cs="Times New Roman"/>
          <w:i/>
          <w:iCs/>
        </w:rPr>
        <w:t>Battlefieldstrust.com</w:t>
      </w:r>
      <w:r w:rsidRPr="00914D72">
        <w:rPr>
          <w:rFonts w:ascii="Times New Roman" w:hAnsi="Times New Roman" w:cs="Times New Roman"/>
        </w:rPr>
        <w:t> &lt;https://www.battlefieldstrust.com/resource-centre/battlepageview.asp?pageid=597&amp;parentid=586&gt; [accessed 20 February 2026]</w:t>
      </w:r>
      <w:r>
        <w:rPr>
          <w:rFonts w:ascii="Times New Roman" w:hAnsi="Times New Roman" w:cs="Times New Roman"/>
        </w:rPr>
        <w:t>.</w:t>
      </w:r>
    </w:p>
    <w:p w14:paraId="3932D078" w14:textId="77777777" w:rsidR="00DA757E" w:rsidRPr="002C37E6" w:rsidRDefault="00DA757E" w:rsidP="00DA757E">
      <w:pPr>
        <w:spacing w:after="0" w:line="360" w:lineRule="auto"/>
        <w:ind w:firstLine="720"/>
        <w:rPr>
          <w:rFonts w:ascii="Times New Roman" w:hAnsi="Times New Roman" w:cs="Times New Roman"/>
        </w:rPr>
      </w:pPr>
    </w:p>
    <w:sectPr w:rsidR="00DA757E" w:rsidRPr="002C37E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2BC8A" w14:textId="77777777" w:rsidR="003F1466" w:rsidRDefault="003F1466" w:rsidP="002C37E6">
      <w:pPr>
        <w:spacing w:after="0" w:line="240" w:lineRule="auto"/>
      </w:pPr>
      <w:r>
        <w:separator/>
      </w:r>
    </w:p>
  </w:endnote>
  <w:endnote w:type="continuationSeparator" w:id="0">
    <w:p w14:paraId="536152F5" w14:textId="77777777" w:rsidR="003F1466" w:rsidRDefault="003F1466" w:rsidP="002C3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A8479" w14:textId="77777777" w:rsidR="003F1466" w:rsidRDefault="003F1466" w:rsidP="002C37E6">
      <w:pPr>
        <w:spacing w:after="0" w:line="240" w:lineRule="auto"/>
      </w:pPr>
      <w:r>
        <w:separator/>
      </w:r>
    </w:p>
  </w:footnote>
  <w:footnote w:type="continuationSeparator" w:id="0">
    <w:p w14:paraId="6F146871" w14:textId="77777777" w:rsidR="003F1466" w:rsidRDefault="003F1466" w:rsidP="002C37E6">
      <w:pPr>
        <w:spacing w:after="0" w:line="240" w:lineRule="auto"/>
      </w:pPr>
      <w:r>
        <w:continuationSeparator/>
      </w:r>
    </w:p>
  </w:footnote>
  <w:footnote w:id="1">
    <w:p w14:paraId="3EA26F86" w14:textId="2B83A807" w:rsidR="002C0028" w:rsidRPr="00B5303F" w:rsidRDefault="002C0028" w:rsidP="000F3E02">
      <w:pPr>
        <w:spacing w:after="0"/>
        <w:rPr>
          <w:rFonts w:ascii="Times New Roman" w:hAnsi="Times New Roman" w:cs="Times New Roman"/>
        </w:rPr>
      </w:pPr>
      <w:r w:rsidRPr="00B5303F">
        <w:rPr>
          <w:rStyle w:val="FootnoteReference"/>
          <w:rFonts w:ascii="Times New Roman" w:hAnsi="Times New Roman" w:cs="Times New Roman"/>
        </w:rPr>
        <w:footnoteRef/>
      </w:r>
      <w:r w:rsidRPr="00B5303F">
        <w:rPr>
          <w:rFonts w:ascii="Times New Roman" w:hAnsi="Times New Roman" w:cs="Times New Roman"/>
        </w:rPr>
        <w:t xml:space="preserve"> </w:t>
      </w:r>
      <w:r w:rsidR="000F3E02" w:rsidRPr="00B5303F">
        <w:rPr>
          <w:rFonts w:ascii="Times New Roman" w:hAnsi="Times New Roman" w:cs="Times New Roman"/>
        </w:rPr>
        <w:t xml:space="preserve">Benjamin, W. and Underwood, J.A. (2008) </w:t>
      </w:r>
      <w:r w:rsidR="000F3E02" w:rsidRPr="00B5303F">
        <w:rPr>
          <w:rFonts w:ascii="Times New Roman" w:hAnsi="Times New Roman" w:cs="Times New Roman"/>
          <w:i/>
          <w:iCs/>
        </w:rPr>
        <w:t>The work of art in the age of mechanical reproduction</w:t>
      </w:r>
      <w:r w:rsidR="000F3E02" w:rsidRPr="00B5303F">
        <w:rPr>
          <w:rFonts w:ascii="Times New Roman" w:hAnsi="Times New Roman" w:cs="Times New Roman"/>
        </w:rPr>
        <w:t>. London: Penguin.</w:t>
      </w:r>
    </w:p>
  </w:footnote>
  <w:footnote w:id="2">
    <w:p w14:paraId="224ADB75" w14:textId="46B9E117" w:rsidR="00677DAF" w:rsidRPr="00B5303F" w:rsidRDefault="00677DAF" w:rsidP="0022332D">
      <w:pPr>
        <w:spacing w:after="0"/>
        <w:rPr>
          <w:rFonts w:ascii="Times New Roman" w:hAnsi="Times New Roman" w:cs="Times New Roman"/>
        </w:rPr>
      </w:pPr>
      <w:r w:rsidRPr="00B5303F">
        <w:rPr>
          <w:rStyle w:val="FootnoteReference"/>
          <w:rFonts w:ascii="Times New Roman" w:hAnsi="Times New Roman" w:cs="Times New Roman"/>
        </w:rPr>
        <w:footnoteRef/>
      </w:r>
      <w:r w:rsidRPr="00B5303F">
        <w:rPr>
          <w:rFonts w:ascii="Times New Roman" w:hAnsi="Times New Roman" w:cs="Times New Roman"/>
        </w:rPr>
        <w:t xml:space="preserve"> </w:t>
      </w:r>
      <w:r w:rsidR="00DD2F39" w:rsidRPr="00B5303F">
        <w:rPr>
          <w:rFonts w:ascii="Times New Roman" w:hAnsi="Times New Roman" w:cs="Times New Roman"/>
        </w:rPr>
        <w:t xml:space="preserve">Holtorf, Cornelius. “On Pastness: A Reconsideration of Materiality in Archaeological Object Authenticity.” </w:t>
      </w:r>
      <w:r w:rsidR="00DD2F39" w:rsidRPr="00B5303F">
        <w:rPr>
          <w:rFonts w:ascii="Times New Roman" w:hAnsi="Times New Roman" w:cs="Times New Roman"/>
          <w:i/>
          <w:iCs/>
        </w:rPr>
        <w:t>Anthropological Quarterly</w:t>
      </w:r>
      <w:r w:rsidR="00DD2F39" w:rsidRPr="00B5303F">
        <w:rPr>
          <w:rFonts w:ascii="Times New Roman" w:hAnsi="Times New Roman" w:cs="Times New Roman"/>
        </w:rPr>
        <w:t xml:space="preserve">, vol. 86, no. 2, 2013, pp. 427–43. </w:t>
      </w:r>
      <w:r w:rsidR="00DD2F39" w:rsidRPr="00B5303F">
        <w:rPr>
          <w:rFonts w:ascii="Times New Roman" w:hAnsi="Times New Roman" w:cs="Times New Roman"/>
          <w:i/>
          <w:iCs/>
        </w:rPr>
        <w:t>JSTOR</w:t>
      </w:r>
      <w:r w:rsidR="00DD2F39" w:rsidRPr="00B5303F">
        <w:rPr>
          <w:rFonts w:ascii="Times New Roman" w:hAnsi="Times New Roman" w:cs="Times New Roman"/>
        </w:rPr>
        <w:t xml:space="preserve">, </w:t>
      </w:r>
      <w:r w:rsidR="00DD2F39" w:rsidRPr="00B5303F">
        <w:rPr>
          <w:rFonts w:ascii="Times New Roman" w:hAnsi="Times New Roman" w:cs="Times New Roman"/>
        </w:rPr>
        <w:t>http://www.jstor.org/stable/41857332..</w:t>
      </w:r>
      <w:r w:rsidR="00DD2F39" w:rsidRPr="00B5303F">
        <w:rPr>
          <w:rFonts w:ascii="Times New Roman" w:hAnsi="Times New Roman" w:cs="Times New Roman"/>
        </w:rPr>
        <w:t xml:space="preserve"> </w:t>
      </w:r>
    </w:p>
  </w:footnote>
  <w:footnote w:id="3">
    <w:p w14:paraId="44F9B323" w14:textId="207E0341" w:rsidR="0022332D" w:rsidRPr="00B5303F" w:rsidRDefault="0022332D" w:rsidP="00B664ED">
      <w:pPr>
        <w:spacing w:after="0"/>
        <w:rPr>
          <w:rFonts w:ascii="Times New Roman" w:hAnsi="Times New Roman" w:cs="Times New Roman"/>
        </w:rPr>
      </w:pPr>
      <w:r w:rsidRPr="00B5303F">
        <w:rPr>
          <w:rStyle w:val="FootnoteReference"/>
          <w:rFonts w:ascii="Times New Roman" w:hAnsi="Times New Roman" w:cs="Times New Roman"/>
        </w:rPr>
        <w:footnoteRef/>
      </w:r>
      <w:r w:rsidRPr="00B5303F">
        <w:rPr>
          <w:rFonts w:ascii="Times New Roman" w:hAnsi="Times New Roman" w:cs="Times New Roman"/>
        </w:rPr>
        <w:t xml:space="preserve"> </w:t>
      </w:r>
      <w:r w:rsidRPr="00B5303F">
        <w:rPr>
          <w:rFonts w:ascii="Times New Roman" w:hAnsi="Times New Roman" w:cs="Times New Roman"/>
        </w:rPr>
        <w:t xml:space="preserve">Benjamin, W. and Underwood, J.A. (2008) </w:t>
      </w:r>
      <w:r w:rsidRPr="00B5303F">
        <w:rPr>
          <w:rFonts w:ascii="Times New Roman" w:hAnsi="Times New Roman" w:cs="Times New Roman"/>
          <w:i/>
          <w:iCs/>
        </w:rPr>
        <w:t>The work of art in the age of mechanical reproduction</w:t>
      </w:r>
      <w:r w:rsidRPr="00B5303F">
        <w:rPr>
          <w:rFonts w:ascii="Times New Roman" w:hAnsi="Times New Roman" w:cs="Times New Roman"/>
        </w:rPr>
        <w:t>. London: Penguin.</w:t>
      </w:r>
    </w:p>
  </w:footnote>
  <w:footnote w:id="4">
    <w:p w14:paraId="77BF3E51" w14:textId="36D784AB" w:rsidR="00B44A90" w:rsidRPr="00B5303F" w:rsidRDefault="00B44A90" w:rsidP="00D32930">
      <w:pPr>
        <w:spacing w:after="0"/>
        <w:rPr>
          <w:rFonts w:ascii="Times New Roman" w:hAnsi="Times New Roman" w:cs="Times New Roman"/>
        </w:rPr>
      </w:pPr>
      <w:r w:rsidRPr="00B5303F">
        <w:rPr>
          <w:rStyle w:val="FootnoteReference"/>
          <w:rFonts w:ascii="Times New Roman" w:hAnsi="Times New Roman" w:cs="Times New Roman"/>
        </w:rPr>
        <w:footnoteRef/>
      </w:r>
      <w:r w:rsidRPr="00B5303F">
        <w:rPr>
          <w:rFonts w:ascii="Times New Roman" w:hAnsi="Times New Roman" w:cs="Times New Roman"/>
        </w:rPr>
        <w:t xml:space="preserve"> </w:t>
      </w:r>
      <w:r w:rsidR="00B664ED" w:rsidRPr="00B5303F">
        <w:rPr>
          <w:rFonts w:ascii="Times New Roman" w:hAnsi="Times New Roman" w:cs="Times New Roman"/>
        </w:rPr>
        <w:t>Rickly-Boyd, J.M. (2012) “Authenticity &amp; aura: a Benjaminian approach to tourism,” </w:t>
      </w:r>
      <w:r w:rsidR="00B664ED" w:rsidRPr="00B5303F">
        <w:rPr>
          <w:rFonts w:ascii="Times New Roman" w:hAnsi="Times New Roman" w:cs="Times New Roman"/>
          <w:i/>
          <w:iCs/>
        </w:rPr>
        <w:t>Annals of tourism research</w:t>
      </w:r>
      <w:r w:rsidR="00B664ED" w:rsidRPr="00B5303F">
        <w:rPr>
          <w:rFonts w:ascii="Times New Roman" w:hAnsi="Times New Roman" w:cs="Times New Roman"/>
        </w:rPr>
        <w:t xml:space="preserve">, 39(1), pp. 269–289. </w:t>
      </w:r>
      <w:r w:rsidR="00B664ED" w:rsidRPr="00B5303F">
        <w:rPr>
          <w:rFonts w:ascii="Times New Roman" w:hAnsi="Times New Roman" w:cs="Times New Roman"/>
        </w:rPr>
        <w:t>https://doi.org/10.1016/j.annals.2011.05.003. p. 270.</w:t>
      </w:r>
    </w:p>
  </w:footnote>
  <w:footnote w:id="5">
    <w:p w14:paraId="61A7FA8C" w14:textId="63216CCD" w:rsidR="00D32930" w:rsidRPr="00B5303F" w:rsidRDefault="00D32930" w:rsidP="00D32930">
      <w:pPr>
        <w:pStyle w:val="FootnoteText"/>
        <w:rPr>
          <w:rFonts w:ascii="Times New Roman" w:hAnsi="Times New Roman" w:cs="Times New Roman"/>
          <w:sz w:val="22"/>
          <w:szCs w:val="22"/>
        </w:rPr>
      </w:pPr>
      <w:r w:rsidRPr="00B5303F">
        <w:rPr>
          <w:rStyle w:val="FootnoteReference"/>
          <w:rFonts w:ascii="Times New Roman" w:hAnsi="Times New Roman" w:cs="Times New Roman"/>
          <w:sz w:val="22"/>
          <w:szCs w:val="22"/>
        </w:rPr>
        <w:footnoteRef/>
      </w:r>
      <w:r w:rsidRPr="00B5303F">
        <w:rPr>
          <w:rFonts w:ascii="Times New Roman" w:hAnsi="Times New Roman" w:cs="Times New Roman"/>
          <w:sz w:val="22"/>
          <w:szCs w:val="22"/>
        </w:rPr>
        <w:t xml:space="preserve"> Ibid.</w:t>
      </w:r>
    </w:p>
  </w:footnote>
  <w:footnote w:id="6">
    <w:p w14:paraId="4C53F52F" w14:textId="026A2C79" w:rsidR="00E60AD7" w:rsidRPr="00B5303F" w:rsidRDefault="00E60AD7">
      <w:pPr>
        <w:pStyle w:val="FootnoteText"/>
        <w:rPr>
          <w:rFonts w:ascii="Times New Roman" w:hAnsi="Times New Roman" w:cs="Times New Roman"/>
          <w:sz w:val="22"/>
          <w:szCs w:val="22"/>
        </w:rPr>
      </w:pPr>
      <w:r w:rsidRPr="00B5303F">
        <w:rPr>
          <w:rStyle w:val="FootnoteReference"/>
          <w:rFonts w:ascii="Times New Roman" w:hAnsi="Times New Roman" w:cs="Times New Roman"/>
          <w:sz w:val="22"/>
          <w:szCs w:val="22"/>
        </w:rPr>
        <w:footnoteRef/>
      </w:r>
      <w:r w:rsidRPr="00B5303F">
        <w:rPr>
          <w:rFonts w:ascii="Times New Roman" w:hAnsi="Times New Roman" w:cs="Times New Roman"/>
          <w:sz w:val="22"/>
          <w:szCs w:val="22"/>
        </w:rPr>
        <w:t xml:space="preserve"> Ibid.</w:t>
      </w:r>
    </w:p>
  </w:footnote>
  <w:footnote w:id="7">
    <w:p w14:paraId="2050B661" w14:textId="2613A609" w:rsidR="003C6775" w:rsidRPr="00B5303F" w:rsidRDefault="003C6775">
      <w:pPr>
        <w:pStyle w:val="FootnoteText"/>
        <w:rPr>
          <w:rFonts w:ascii="Times New Roman" w:hAnsi="Times New Roman" w:cs="Times New Roman"/>
          <w:sz w:val="22"/>
          <w:szCs w:val="22"/>
        </w:rPr>
      </w:pPr>
      <w:r w:rsidRPr="00B5303F">
        <w:rPr>
          <w:rStyle w:val="FootnoteReference"/>
          <w:rFonts w:ascii="Times New Roman" w:hAnsi="Times New Roman" w:cs="Times New Roman"/>
          <w:sz w:val="22"/>
          <w:szCs w:val="22"/>
        </w:rPr>
        <w:footnoteRef/>
      </w:r>
      <w:r w:rsidRPr="00B5303F">
        <w:rPr>
          <w:rFonts w:ascii="Times New Roman" w:hAnsi="Times New Roman" w:cs="Times New Roman"/>
          <w:sz w:val="22"/>
          <w:szCs w:val="22"/>
        </w:rPr>
        <w:t xml:space="preserve"> Ibid.</w:t>
      </w:r>
    </w:p>
  </w:footnote>
  <w:footnote w:id="8">
    <w:p w14:paraId="26CA7055" w14:textId="555B2D5A" w:rsidR="00B45AD9" w:rsidRDefault="00B45AD9">
      <w:pPr>
        <w:pStyle w:val="FootnoteText"/>
      </w:pPr>
      <w:r w:rsidRPr="00B5303F">
        <w:rPr>
          <w:rStyle w:val="FootnoteReference"/>
          <w:rFonts w:ascii="Times New Roman" w:hAnsi="Times New Roman" w:cs="Times New Roman"/>
          <w:sz w:val="22"/>
          <w:szCs w:val="22"/>
        </w:rPr>
        <w:footnoteRef/>
      </w:r>
      <w:r w:rsidRPr="00B5303F">
        <w:rPr>
          <w:rFonts w:ascii="Times New Roman" w:hAnsi="Times New Roman" w:cs="Times New Roman"/>
          <w:sz w:val="22"/>
          <w:szCs w:val="22"/>
        </w:rPr>
        <w:t xml:space="preserve"> </w:t>
      </w:r>
      <w:r w:rsidR="00C41893">
        <w:rPr>
          <w:rFonts w:ascii="Times New Roman" w:hAnsi="Times New Roman" w:cs="Times New Roman"/>
          <w:sz w:val="22"/>
          <w:szCs w:val="22"/>
        </w:rPr>
        <w:t>Walter</w:t>
      </w:r>
      <w:r w:rsidRPr="00B5303F">
        <w:rPr>
          <w:rFonts w:ascii="Times New Roman" w:hAnsi="Times New Roman" w:cs="Times New Roman"/>
          <w:sz w:val="22"/>
          <w:szCs w:val="22"/>
        </w:rPr>
        <w:t xml:space="preserve">, </w:t>
      </w:r>
      <w:r w:rsidR="00C41893">
        <w:rPr>
          <w:rFonts w:ascii="Times New Roman" w:hAnsi="Times New Roman" w:cs="Times New Roman"/>
          <w:sz w:val="22"/>
          <w:szCs w:val="22"/>
        </w:rPr>
        <w:t>B</w:t>
      </w:r>
      <w:r w:rsidRPr="00B5303F">
        <w:rPr>
          <w:rFonts w:ascii="Times New Roman" w:hAnsi="Times New Roman" w:cs="Times New Roman"/>
          <w:sz w:val="22"/>
          <w:szCs w:val="22"/>
        </w:rPr>
        <w:t xml:space="preserve">. and Underwood, J.A. (2008) </w:t>
      </w:r>
      <w:r w:rsidRPr="00B5303F">
        <w:rPr>
          <w:rFonts w:ascii="Times New Roman" w:hAnsi="Times New Roman" w:cs="Times New Roman"/>
          <w:i/>
          <w:iCs/>
          <w:sz w:val="22"/>
          <w:szCs w:val="22"/>
        </w:rPr>
        <w:t>The work of art in the age of mechanical reproduction</w:t>
      </w:r>
      <w:r w:rsidRPr="00B5303F">
        <w:rPr>
          <w:rFonts w:ascii="Times New Roman" w:hAnsi="Times New Roman" w:cs="Times New Roman"/>
          <w:sz w:val="22"/>
          <w:szCs w:val="22"/>
        </w:rPr>
        <w:t>. London: Penguin.</w:t>
      </w:r>
    </w:p>
  </w:footnote>
  <w:footnote w:id="9">
    <w:p w14:paraId="4734F7D4" w14:textId="4EC5B63B" w:rsidR="001B2BB2" w:rsidRDefault="001B2BB2">
      <w:pPr>
        <w:pStyle w:val="FootnoteText"/>
      </w:pPr>
      <w:r>
        <w:rPr>
          <w:rStyle w:val="FootnoteReference"/>
        </w:rPr>
        <w:footnoteRef/>
      </w:r>
      <w:r>
        <w:t xml:space="preserve"> </w:t>
      </w:r>
      <w:r w:rsidRPr="00B5303F">
        <w:rPr>
          <w:rFonts w:ascii="Times New Roman" w:hAnsi="Times New Roman" w:cs="Times New Roman"/>
          <w:sz w:val="22"/>
          <w:szCs w:val="22"/>
        </w:rPr>
        <w:t>Rickly-Boyd, J.M. (2012) “Authenticity &amp; aura: a Benjaminian approach to tourism,” </w:t>
      </w:r>
      <w:r w:rsidRPr="00B5303F">
        <w:rPr>
          <w:rFonts w:ascii="Times New Roman" w:hAnsi="Times New Roman" w:cs="Times New Roman"/>
          <w:i/>
          <w:iCs/>
          <w:sz w:val="22"/>
          <w:szCs w:val="22"/>
        </w:rPr>
        <w:t>Annals of tourism research</w:t>
      </w:r>
      <w:r w:rsidRPr="00B5303F">
        <w:rPr>
          <w:rFonts w:ascii="Times New Roman" w:hAnsi="Times New Roman" w:cs="Times New Roman"/>
          <w:sz w:val="22"/>
          <w:szCs w:val="22"/>
        </w:rPr>
        <w:t>, 39(1), pp. 269–289. https://doi.org/10.1016/j.annals.2011.05.003. p. 27</w:t>
      </w:r>
      <w:r>
        <w:rPr>
          <w:rFonts w:ascii="Times New Roman" w:hAnsi="Times New Roman" w:cs="Times New Roman"/>
          <w:sz w:val="22"/>
          <w:szCs w:val="22"/>
        </w:rPr>
        <w:t>1</w:t>
      </w:r>
      <w:r w:rsidRPr="00B5303F">
        <w:rPr>
          <w:rFonts w:ascii="Times New Roman" w:hAnsi="Times New Roman" w:cs="Times New Roman"/>
          <w:sz w:val="22"/>
          <w:szCs w:val="22"/>
        </w:rPr>
        <w:t>.</w:t>
      </w:r>
    </w:p>
  </w:footnote>
  <w:footnote w:id="10">
    <w:p w14:paraId="6E4DE45C" w14:textId="07E11EDA" w:rsidR="0021130F" w:rsidRPr="00DB110F" w:rsidRDefault="0021130F">
      <w:pPr>
        <w:pStyle w:val="FootnoteText"/>
        <w:rPr>
          <w:rFonts w:ascii="Times New Roman" w:hAnsi="Times New Roman" w:cs="Times New Roman"/>
          <w:sz w:val="22"/>
          <w:szCs w:val="22"/>
        </w:rPr>
      </w:pPr>
      <w:r w:rsidRPr="00DB110F">
        <w:rPr>
          <w:rStyle w:val="FootnoteReference"/>
          <w:rFonts w:ascii="Times New Roman" w:hAnsi="Times New Roman" w:cs="Times New Roman"/>
          <w:sz w:val="22"/>
          <w:szCs w:val="22"/>
        </w:rPr>
        <w:footnoteRef/>
      </w:r>
      <w:r w:rsidRPr="00DB110F">
        <w:rPr>
          <w:rFonts w:ascii="Times New Roman" w:hAnsi="Times New Roman" w:cs="Times New Roman"/>
          <w:sz w:val="22"/>
          <w:szCs w:val="22"/>
        </w:rPr>
        <w:t xml:space="preserve"> </w:t>
      </w:r>
      <w:r w:rsidR="00E27A7E" w:rsidRPr="00DB110F">
        <w:rPr>
          <w:rFonts w:ascii="Times New Roman" w:hAnsi="Times New Roman" w:cs="Times New Roman"/>
          <w:sz w:val="22"/>
          <w:szCs w:val="22"/>
        </w:rPr>
        <w:t>Rickly-Boyd, J.M. (2012) “Authenticity &amp; aura: a Benjaminian approach to tourism,” </w:t>
      </w:r>
      <w:r w:rsidR="00E27A7E" w:rsidRPr="00DB110F">
        <w:rPr>
          <w:rFonts w:ascii="Times New Roman" w:hAnsi="Times New Roman" w:cs="Times New Roman"/>
          <w:i/>
          <w:iCs/>
          <w:sz w:val="22"/>
          <w:szCs w:val="22"/>
        </w:rPr>
        <w:t>Annals of tourism research</w:t>
      </w:r>
      <w:r w:rsidR="00E27A7E" w:rsidRPr="00DB110F">
        <w:rPr>
          <w:rFonts w:ascii="Times New Roman" w:hAnsi="Times New Roman" w:cs="Times New Roman"/>
          <w:sz w:val="22"/>
          <w:szCs w:val="22"/>
        </w:rPr>
        <w:t>, 39(1), pp. 269–289. https://doi.org/10.1016/j.annals.2011.05.003. p. 27</w:t>
      </w:r>
      <w:r w:rsidR="00E27A7E" w:rsidRPr="00DB110F">
        <w:rPr>
          <w:rFonts w:ascii="Times New Roman" w:hAnsi="Times New Roman" w:cs="Times New Roman"/>
          <w:sz w:val="22"/>
          <w:szCs w:val="22"/>
        </w:rPr>
        <w:t>2</w:t>
      </w:r>
      <w:r w:rsidR="00E27A7E" w:rsidRPr="00DB110F">
        <w:rPr>
          <w:rFonts w:ascii="Times New Roman" w:hAnsi="Times New Roman" w:cs="Times New Roman"/>
          <w:sz w:val="22"/>
          <w:szCs w:val="22"/>
        </w:rPr>
        <w:t>.</w:t>
      </w:r>
    </w:p>
  </w:footnote>
  <w:footnote w:id="11">
    <w:p w14:paraId="7C019DC3" w14:textId="76D3C015" w:rsidR="000442F3" w:rsidRPr="00DB110F" w:rsidRDefault="000442F3">
      <w:pPr>
        <w:pStyle w:val="FootnoteText"/>
        <w:rPr>
          <w:rFonts w:ascii="Times New Roman" w:hAnsi="Times New Roman" w:cs="Times New Roman"/>
          <w:sz w:val="22"/>
          <w:szCs w:val="22"/>
        </w:rPr>
      </w:pPr>
      <w:r w:rsidRPr="00DB110F">
        <w:rPr>
          <w:rStyle w:val="FootnoteReference"/>
          <w:rFonts w:ascii="Times New Roman" w:hAnsi="Times New Roman" w:cs="Times New Roman"/>
          <w:sz w:val="22"/>
          <w:szCs w:val="22"/>
        </w:rPr>
        <w:footnoteRef/>
      </w:r>
      <w:r w:rsidRPr="00DB110F">
        <w:rPr>
          <w:rFonts w:ascii="Times New Roman" w:hAnsi="Times New Roman" w:cs="Times New Roman"/>
          <w:sz w:val="22"/>
          <w:szCs w:val="22"/>
        </w:rPr>
        <w:t xml:space="preserve"> Ibid.</w:t>
      </w:r>
    </w:p>
  </w:footnote>
  <w:footnote w:id="12">
    <w:p w14:paraId="72598F6F" w14:textId="4D588C91" w:rsidR="00F05CCC" w:rsidRPr="00DB110F" w:rsidRDefault="00F05CCC">
      <w:pPr>
        <w:pStyle w:val="FootnoteText"/>
        <w:rPr>
          <w:rFonts w:ascii="Times New Roman" w:hAnsi="Times New Roman" w:cs="Times New Roman"/>
          <w:sz w:val="22"/>
          <w:szCs w:val="22"/>
        </w:rPr>
      </w:pPr>
      <w:r w:rsidRPr="00DB110F">
        <w:rPr>
          <w:rStyle w:val="FootnoteReference"/>
          <w:rFonts w:ascii="Times New Roman" w:hAnsi="Times New Roman" w:cs="Times New Roman"/>
          <w:sz w:val="22"/>
          <w:szCs w:val="22"/>
        </w:rPr>
        <w:footnoteRef/>
      </w:r>
      <w:r w:rsidRPr="00DB110F">
        <w:rPr>
          <w:rFonts w:ascii="Times New Roman" w:hAnsi="Times New Roman" w:cs="Times New Roman"/>
          <w:sz w:val="22"/>
          <w:szCs w:val="22"/>
        </w:rPr>
        <w:t xml:space="preserve"> Ibid.</w:t>
      </w:r>
    </w:p>
  </w:footnote>
  <w:footnote w:id="13">
    <w:p w14:paraId="63B62302" w14:textId="37D09EEA" w:rsidR="001014EC" w:rsidRPr="00DB110F" w:rsidRDefault="001014EC" w:rsidP="00DB110F">
      <w:pPr>
        <w:spacing w:after="0"/>
        <w:rPr>
          <w:rFonts w:ascii="Times New Roman" w:hAnsi="Times New Roman" w:cs="Times New Roman"/>
        </w:rPr>
      </w:pPr>
      <w:r w:rsidRPr="00DB110F">
        <w:rPr>
          <w:rStyle w:val="FootnoteReference"/>
          <w:rFonts w:ascii="Times New Roman" w:hAnsi="Times New Roman" w:cs="Times New Roman"/>
        </w:rPr>
        <w:footnoteRef/>
      </w:r>
      <w:r w:rsidRPr="00DB110F">
        <w:rPr>
          <w:rFonts w:ascii="Times New Roman" w:hAnsi="Times New Roman" w:cs="Times New Roman"/>
        </w:rPr>
        <w:t xml:space="preserve"> </w:t>
      </w:r>
      <w:r w:rsidR="001A4F71" w:rsidRPr="00DB110F">
        <w:rPr>
          <w:rFonts w:ascii="Times New Roman" w:hAnsi="Times New Roman" w:cs="Times New Roman"/>
        </w:rPr>
        <w:t xml:space="preserve">Holtorf, Cornelius. “On Pastness: A Reconsideration of Materiality in Archaeological Object Authenticity.” </w:t>
      </w:r>
      <w:r w:rsidR="001A4F71" w:rsidRPr="00DB110F">
        <w:rPr>
          <w:rFonts w:ascii="Times New Roman" w:hAnsi="Times New Roman" w:cs="Times New Roman"/>
          <w:i/>
          <w:iCs/>
        </w:rPr>
        <w:t>Anthropological Quarterly</w:t>
      </w:r>
      <w:r w:rsidR="001A4F71" w:rsidRPr="00DB110F">
        <w:rPr>
          <w:rFonts w:ascii="Times New Roman" w:hAnsi="Times New Roman" w:cs="Times New Roman"/>
        </w:rPr>
        <w:t xml:space="preserve">, vol. 86, no. 2, 2013, pp. 427–43. </w:t>
      </w:r>
      <w:r w:rsidR="001A4F71" w:rsidRPr="00DB110F">
        <w:rPr>
          <w:rFonts w:ascii="Times New Roman" w:hAnsi="Times New Roman" w:cs="Times New Roman"/>
          <w:i/>
          <w:iCs/>
        </w:rPr>
        <w:t>JSTOR</w:t>
      </w:r>
      <w:r w:rsidR="001A4F71" w:rsidRPr="00DB110F">
        <w:rPr>
          <w:rFonts w:ascii="Times New Roman" w:hAnsi="Times New Roman" w:cs="Times New Roman"/>
        </w:rPr>
        <w:t xml:space="preserve">, http://www.jstor.org/stable/41857332. </w:t>
      </w:r>
      <w:r w:rsidR="001A4F71" w:rsidRPr="00DB110F">
        <w:rPr>
          <w:rFonts w:ascii="Times New Roman" w:hAnsi="Times New Roman" w:cs="Times New Roman"/>
        </w:rPr>
        <w:t>p. 430.</w:t>
      </w:r>
    </w:p>
  </w:footnote>
  <w:footnote w:id="14">
    <w:p w14:paraId="7AAFE388" w14:textId="07A0317A" w:rsidR="00271248" w:rsidRPr="00DB110F" w:rsidRDefault="00271248" w:rsidP="00DB110F">
      <w:pPr>
        <w:pStyle w:val="FootnoteText"/>
        <w:rPr>
          <w:rFonts w:ascii="Times New Roman" w:hAnsi="Times New Roman" w:cs="Times New Roman"/>
          <w:sz w:val="22"/>
          <w:szCs w:val="22"/>
        </w:rPr>
      </w:pPr>
      <w:r w:rsidRPr="00DB110F">
        <w:rPr>
          <w:rStyle w:val="FootnoteReference"/>
          <w:rFonts w:ascii="Times New Roman" w:hAnsi="Times New Roman" w:cs="Times New Roman"/>
          <w:sz w:val="22"/>
          <w:szCs w:val="22"/>
        </w:rPr>
        <w:footnoteRef/>
      </w:r>
      <w:r w:rsidRPr="00DB110F">
        <w:rPr>
          <w:rFonts w:ascii="Times New Roman" w:hAnsi="Times New Roman" w:cs="Times New Roman"/>
          <w:sz w:val="22"/>
          <w:szCs w:val="22"/>
        </w:rPr>
        <w:t xml:space="preserve"> Ibid p. 431</w:t>
      </w:r>
    </w:p>
  </w:footnote>
  <w:footnote w:id="15">
    <w:p w14:paraId="0B347002" w14:textId="25952E96" w:rsidR="007B189B" w:rsidRPr="00DB110F" w:rsidRDefault="007B189B">
      <w:pPr>
        <w:pStyle w:val="FootnoteText"/>
        <w:rPr>
          <w:rFonts w:ascii="Times New Roman" w:hAnsi="Times New Roman" w:cs="Times New Roman"/>
          <w:sz w:val="22"/>
          <w:szCs w:val="22"/>
        </w:rPr>
      </w:pPr>
      <w:r w:rsidRPr="00DB110F">
        <w:rPr>
          <w:rStyle w:val="FootnoteReference"/>
          <w:rFonts w:ascii="Times New Roman" w:hAnsi="Times New Roman" w:cs="Times New Roman"/>
          <w:sz w:val="22"/>
          <w:szCs w:val="22"/>
        </w:rPr>
        <w:footnoteRef/>
      </w:r>
      <w:r w:rsidRPr="00DB110F">
        <w:rPr>
          <w:rFonts w:ascii="Times New Roman" w:hAnsi="Times New Roman" w:cs="Times New Roman"/>
          <w:sz w:val="22"/>
          <w:szCs w:val="22"/>
        </w:rPr>
        <w:t xml:space="preserve"> Ibi</w:t>
      </w:r>
      <w:r w:rsidR="0082622A" w:rsidRPr="00DB110F">
        <w:rPr>
          <w:rFonts w:ascii="Times New Roman" w:hAnsi="Times New Roman" w:cs="Times New Roman"/>
          <w:sz w:val="22"/>
          <w:szCs w:val="22"/>
        </w:rPr>
        <w:t>d.</w:t>
      </w:r>
    </w:p>
  </w:footnote>
  <w:footnote w:id="16">
    <w:p w14:paraId="2B48FB19" w14:textId="2380943D" w:rsidR="000A5956" w:rsidRPr="00DB110F" w:rsidRDefault="000A5956">
      <w:pPr>
        <w:pStyle w:val="FootnoteText"/>
        <w:rPr>
          <w:rFonts w:ascii="Times New Roman" w:hAnsi="Times New Roman" w:cs="Times New Roman"/>
          <w:sz w:val="22"/>
          <w:szCs w:val="22"/>
        </w:rPr>
      </w:pPr>
      <w:r w:rsidRPr="00DB110F">
        <w:rPr>
          <w:rStyle w:val="FootnoteReference"/>
          <w:rFonts w:ascii="Times New Roman" w:hAnsi="Times New Roman" w:cs="Times New Roman"/>
          <w:sz w:val="22"/>
          <w:szCs w:val="22"/>
        </w:rPr>
        <w:footnoteRef/>
      </w:r>
      <w:r w:rsidRPr="00DB110F">
        <w:rPr>
          <w:rFonts w:ascii="Times New Roman" w:hAnsi="Times New Roman" w:cs="Times New Roman"/>
          <w:sz w:val="22"/>
          <w:szCs w:val="22"/>
        </w:rPr>
        <w:t xml:space="preserve"> Ibid.</w:t>
      </w:r>
    </w:p>
  </w:footnote>
  <w:footnote w:id="17">
    <w:p w14:paraId="4FF62BBF" w14:textId="2E89E56D" w:rsidR="008327E9" w:rsidRDefault="008327E9">
      <w:pPr>
        <w:pStyle w:val="FootnoteText"/>
      </w:pPr>
      <w:r w:rsidRPr="00DB110F">
        <w:rPr>
          <w:rStyle w:val="FootnoteReference"/>
          <w:rFonts w:ascii="Times New Roman" w:hAnsi="Times New Roman" w:cs="Times New Roman"/>
          <w:sz w:val="22"/>
          <w:szCs w:val="22"/>
        </w:rPr>
        <w:footnoteRef/>
      </w:r>
      <w:r w:rsidRPr="00DB110F">
        <w:rPr>
          <w:rFonts w:ascii="Times New Roman" w:hAnsi="Times New Roman" w:cs="Times New Roman"/>
          <w:sz w:val="22"/>
          <w:szCs w:val="22"/>
        </w:rPr>
        <w:t xml:space="preserve"> Ibid.</w:t>
      </w:r>
    </w:p>
  </w:footnote>
  <w:footnote w:id="18">
    <w:p w14:paraId="754164F7" w14:textId="4A26DEEC" w:rsidR="003049F0" w:rsidRPr="00696D09" w:rsidRDefault="003049F0" w:rsidP="009420F5">
      <w:pPr>
        <w:spacing w:after="0"/>
        <w:rPr>
          <w:rFonts w:ascii="Times New Roman" w:hAnsi="Times New Roman" w:cs="Times New Roman"/>
        </w:rPr>
      </w:pPr>
      <w:r w:rsidRPr="00696D09">
        <w:rPr>
          <w:rStyle w:val="FootnoteReference"/>
          <w:rFonts w:ascii="Times New Roman" w:hAnsi="Times New Roman" w:cs="Times New Roman"/>
        </w:rPr>
        <w:footnoteRef/>
      </w:r>
      <w:r w:rsidRPr="00696D09">
        <w:rPr>
          <w:rFonts w:ascii="Times New Roman" w:hAnsi="Times New Roman" w:cs="Times New Roman"/>
        </w:rPr>
        <w:t xml:space="preserve"> </w:t>
      </w:r>
      <w:r w:rsidR="0098796D" w:rsidRPr="00696D09">
        <w:rPr>
          <w:rFonts w:ascii="Times New Roman" w:hAnsi="Times New Roman" w:cs="Times New Roman"/>
        </w:rPr>
        <w:t>Zachary, B</w:t>
      </w:r>
      <w:r w:rsidR="0098796D" w:rsidRPr="00696D09">
        <w:rPr>
          <w:rFonts w:ascii="Times New Roman" w:hAnsi="Times New Roman" w:cs="Times New Roman"/>
        </w:rPr>
        <w:t xml:space="preserve">. </w:t>
      </w:r>
      <w:r w:rsidR="0098796D" w:rsidRPr="00696D09">
        <w:rPr>
          <w:rFonts w:ascii="Times New Roman" w:hAnsi="Times New Roman" w:cs="Times New Roman"/>
          <w:i/>
          <w:iCs/>
        </w:rPr>
        <w:t>et al.</w:t>
      </w:r>
      <w:r w:rsidR="0098796D" w:rsidRPr="00696D09">
        <w:rPr>
          <w:rFonts w:ascii="Times New Roman" w:hAnsi="Times New Roman" w:cs="Times New Roman"/>
        </w:rPr>
        <w:t xml:space="preserve"> (2011) “Collective remembering through the materiality and organization of war memorials,” </w:t>
      </w:r>
      <w:r w:rsidR="0098796D" w:rsidRPr="00696D09">
        <w:rPr>
          <w:rFonts w:ascii="Times New Roman" w:hAnsi="Times New Roman" w:cs="Times New Roman"/>
          <w:i/>
          <w:iCs/>
        </w:rPr>
        <w:t>Journal of material culture</w:t>
      </w:r>
      <w:r w:rsidR="0098796D" w:rsidRPr="00696D09">
        <w:rPr>
          <w:rFonts w:ascii="Times New Roman" w:hAnsi="Times New Roman" w:cs="Times New Roman"/>
        </w:rPr>
        <w:t xml:space="preserve">, 16(2), pp. 193–213. Available at: </w:t>
      </w:r>
      <w:r w:rsidR="0098796D" w:rsidRPr="00696D09">
        <w:rPr>
          <w:rFonts w:ascii="Times New Roman" w:hAnsi="Times New Roman" w:cs="Times New Roman"/>
        </w:rPr>
        <w:t>https://doi.org/10.1177/1359183511401494</w:t>
      </w:r>
      <w:r w:rsidR="0098796D" w:rsidRPr="00696D09">
        <w:rPr>
          <w:rFonts w:ascii="Times New Roman" w:hAnsi="Times New Roman" w:cs="Times New Roman"/>
        </w:rPr>
        <w:t>.</w:t>
      </w:r>
      <w:r w:rsidR="0098796D" w:rsidRPr="00696D09">
        <w:rPr>
          <w:rFonts w:ascii="Times New Roman" w:hAnsi="Times New Roman" w:cs="Times New Roman"/>
        </w:rPr>
        <w:t xml:space="preserve"> p. 194.</w:t>
      </w:r>
    </w:p>
  </w:footnote>
  <w:footnote w:id="19">
    <w:p w14:paraId="6DB7904F" w14:textId="57AFD5B7" w:rsidR="009420F5" w:rsidRPr="00696D09" w:rsidRDefault="009420F5" w:rsidP="009420F5">
      <w:pPr>
        <w:pStyle w:val="FootnoteText"/>
        <w:rPr>
          <w:rFonts w:ascii="Times New Roman" w:hAnsi="Times New Roman" w:cs="Times New Roman"/>
          <w:sz w:val="22"/>
          <w:szCs w:val="22"/>
        </w:rPr>
      </w:pPr>
      <w:r w:rsidRPr="00696D09">
        <w:rPr>
          <w:rStyle w:val="FootnoteReference"/>
          <w:rFonts w:ascii="Times New Roman" w:hAnsi="Times New Roman" w:cs="Times New Roman"/>
          <w:sz w:val="22"/>
          <w:szCs w:val="22"/>
        </w:rPr>
        <w:footnoteRef/>
      </w:r>
      <w:r w:rsidRPr="00696D09">
        <w:rPr>
          <w:rFonts w:ascii="Times New Roman" w:hAnsi="Times New Roman" w:cs="Times New Roman"/>
          <w:sz w:val="22"/>
          <w:szCs w:val="22"/>
        </w:rPr>
        <w:t xml:space="preserve"> Ibid.</w:t>
      </w:r>
    </w:p>
  </w:footnote>
  <w:footnote w:id="20">
    <w:p w14:paraId="70E323B9" w14:textId="5FD70326" w:rsidR="0073488A" w:rsidRPr="00696D09" w:rsidRDefault="0073488A">
      <w:pPr>
        <w:pStyle w:val="FootnoteText"/>
        <w:rPr>
          <w:rFonts w:ascii="Times New Roman" w:hAnsi="Times New Roman" w:cs="Times New Roman"/>
          <w:sz w:val="22"/>
          <w:szCs w:val="22"/>
        </w:rPr>
      </w:pPr>
      <w:r w:rsidRPr="00696D09">
        <w:rPr>
          <w:rStyle w:val="FootnoteReference"/>
          <w:rFonts w:ascii="Times New Roman" w:hAnsi="Times New Roman" w:cs="Times New Roman"/>
          <w:sz w:val="22"/>
          <w:szCs w:val="22"/>
        </w:rPr>
        <w:footnoteRef/>
      </w:r>
      <w:r w:rsidRPr="00696D09">
        <w:rPr>
          <w:rFonts w:ascii="Times New Roman" w:hAnsi="Times New Roman" w:cs="Times New Roman"/>
          <w:sz w:val="22"/>
          <w:szCs w:val="22"/>
        </w:rPr>
        <w:t xml:space="preserve"> Ibid.</w:t>
      </w:r>
    </w:p>
  </w:footnote>
  <w:footnote w:id="21">
    <w:p w14:paraId="2EF81ED3" w14:textId="21D39BAF" w:rsidR="00F636D0" w:rsidRPr="00696D09" w:rsidRDefault="00F636D0">
      <w:pPr>
        <w:pStyle w:val="FootnoteText"/>
        <w:rPr>
          <w:rFonts w:ascii="Times New Roman" w:hAnsi="Times New Roman" w:cs="Times New Roman"/>
          <w:sz w:val="22"/>
          <w:szCs w:val="22"/>
        </w:rPr>
      </w:pPr>
      <w:r w:rsidRPr="00696D09">
        <w:rPr>
          <w:rStyle w:val="FootnoteReference"/>
          <w:rFonts w:ascii="Times New Roman" w:hAnsi="Times New Roman" w:cs="Times New Roman"/>
          <w:sz w:val="22"/>
          <w:szCs w:val="22"/>
        </w:rPr>
        <w:footnoteRef/>
      </w:r>
      <w:r w:rsidRPr="00696D09">
        <w:rPr>
          <w:rFonts w:ascii="Times New Roman" w:hAnsi="Times New Roman" w:cs="Times New Roman"/>
          <w:sz w:val="22"/>
          <w:szCs w:val="22"/>
        </w:rPr>
        <w:t xml:space="preserve"> </w:t>
      </w:r>
      <w:r w:rsidR="00A468FB" w:rsidRPr="00696D09">
        <w:rPr>
          <w:rFonts w:ascii="Times New Roman" w:hAnsi="Times New Roman" w:cs="Times New Roman"/>
          <w:sz w:val="22"/>
          <w:szCs w:val="22"/>
        </w:rPr>
        <w:t>B</w:t>
      </w:r>
      <w:r w:rsidR="00185CE4" w:rsidRPr="00696D09">
        <w:rPr>
          <w:rFonts w:ascii="Times New Roman" w:hAnsi="Times New Roman" w:cs="Times New Roman"/>
          <w:sz w:val="22"/>
          <w:szCs w:val="22"/>
        </w:rPr>
        <w:t>ernard, B.</w:t>
      </w:r>
      <w:r w:rsidR="00A468FB" w:rsidRPr="00696D09">
        <w:rPr>
          <w:rFonts w:ascii="Times New Roman" w:hAnsi="Times New Roman" w:cs="Times New Roman"/>
          <w:sz w:val="22"/>
          <w:szCs w:val="22"/>
        </w:rPr>
        <w:t xml:space="preserve"> (1949) Place, symbol, and utilitarian function in war memorials. Social Forces 28(1): 64–68</w:t>
      </w:r>
    </w:p>
  </w:footnote>
  <w:footnote w:id="22">
    <w:p w14:paraId="09BEE8D2" w14:textId="3915305E" w:rsidR="005D786D" w:rsidRPr="00696D09" w:rsidRDefault="005D786D">
      <w:pPr>
        <w:pStyle w:val="FootnoteText"/>
        <w:rPr>
          <w:rFonts w:ascii="Times New Roman" w:hAnsi="Times New Roman" w:cs="Times New Roman"/>
          <w:sz w:val="22"/>
          <w:szCs w:val="22"/>
        </w:rPr>
      </w:pPr>
      <w:r w:rsidRPr="00696D09">
        <w:rPr>
          <w:rStyle w:val="FootnoteReference"/>
          <w:rFonts w:ascii="Times New Roman" w:hAnsi="Times New Roman" w:cs="Times New Roman"/>
          <w:sz w:val="22"/>
          <w:szCs w:val="22"/>
        </w:rPr>
        <w:footnoteRef/>
      </w:r>
      <w:r w:rsidRPr="00696D09">
        <w:rPr>
          <w:rFonts w:ascii="Times New Roman" w:hAnsi="Times New Roman" w:cs="Times New Roman"/>
          <w:sz w:val="22"/>
          <w:szCs w:val="22"/>
        </w:rPr>
        <w:t xml:space="preserve"> </w:t>
      </w:r>
      <w:r w:rsidR="00185CE4" w:rsidRPr="00696D09">
        <w:rPr>
          <w:rFonts w:ascii="Times New Roman" w:hAnsi="Times New Roman" w:cs="Times New Roman"/>
          <w:sz w:val="22"/>
          <w:szCs w:val="22"/>
        </w:rPr>
        <w:t xml:space="preserve">Zachary, B. </w:t>
      </w:r>
      <w:r w:rsidR="00185CE4" w:rsidRPr="00696D09">
        <w:rPr>
          <w:rFonts w:ascii="Times New Roman" w:hAnsi="Times New Roman" w:cs="Times New Roman"/>
          <w:i/>
          <w:iCs/>
          <w:sz w:val="22"/>
          <w:szCs w:val="22"/>
        </w:rPr>
        <w:t>et al.</w:t>
      </w:r>
      <w:r w:rsidR="00185CE4" w:rsidRPr="00696D09">
        <w:rPr>
          <w:rFonts w:ascii="Times New Roman" w:hAnsi="Times New Roman" w:cs="Times New Roman"/>
          <w:sz w:val="22"/>
          <w:szCs w:val="22"/>
        </w:rPr>
        <w:t xml:space="preserve"> (2011) “Collective remembering through the materiality and organization of war memorials,” </w:t>
      </w:r>
      <w:r w:rsidR="00185CE4" w:rsidRPr="00696D09">
        <w:rPr>
          <w:rFonts w:ascii="Times New Roman" w:hAnsi="Times New Roman" w:cs="Times New Roman"/>
          <w:i/>
          <w:iCs/>
          <w:sz w:val="22"/>
          <w:szCs w:val="22"/>
        </w:rPr>
        <w:t>Journal of material culture</w:t>
      </w:r>
      <w:r w:rsidR="00185CE4" w:rsidRPr="00696D09">
        <w:rPr>
          <w:rFonts w:ascii="Times New Roman" w:hAnsi="Times New Roman" w:cs="Times New Roman"/>
          <w:sz w:val="22"/>
          <w:szCs w:val="22"/>
        </w:rPr>
        <w:t xml:space="preserve">, 16(2), pp. 193–213. Available at: https://doi.org/10.1177/1359183511401494. p. </w:t>
      </w:r>
      <w:r w:rsidR="00E024C1" w:rsidRPr="00696D09">
        <w:rPr>
          <w:rFonts w:ascii="Times New Roman" w:hAnsi="Times New Roman" w:cs="Times New Roman"/>
          <w:sz w:val="22"/>
          <w:szCs w:val="22"/>
        </w:rPr>
        <w:t xml:space="preserve">194 – </w:t>
      </w:r>
      <w:r w:rsidR="00E950D2" w:rsidRPr="00696D09">
        <w:rPr>
          <w:rFonts w:ascii="Times New Roman" w:hAnsi="Times New Roman" w:cs="Times New Roman"/>
          <w:sz w:val="22"/>
          <w:szCs w:val="22"/>
        </w:rPr>
        <w:t>195</w:t>
      </w:r>
      <w:r w:rsidR="00E024C1" w:rsidRPr="00696D09">
        <w:rPr>
          <w:rFonts w:ascii="Times New Roman" w:hAnsi="Times New Roman" w:cs="Times New Roman"/>
          <w:sz w:val="22"/>
          <w:szCs w:val="22"/>
        </w:rPr>
        <w:t xml:space="preserve"> </w:t>
      </w:r>
    </w:p>
  </w:footnote>
  <w:footnote w:id="23">
    <w:p w14:paraId="696A37DC" w14:textId="51733F89" w:rsidR="00914E6C" w:rsidRPr="00696D09" w:rsidRDefault="00914E6C">
      <w:pPr>
        <w:pStyle w:val="FootnoteText"/>
        <w:rPr>
          <w:rFonts w:ascii="Times New Roman" w:hAnsi="Times New Roman" w:cs="Times New Roman"/>
          <w:sz w:val="22"/>
          <w:szCs w:val="22"/>
        </w:rPr>
      </w:pPr>
      <w:r w:rsidRPr="00696D09">
        <w:rPr>
          <w:rStyle w:val="FootnoteReference"/>
          <w:rFonts w:ascii="Times New Roman" w:hAnsi="Times New Roman" w:cs="Times New Roman"/>
          <w:sz w:val="22"/>
          <w:szCs w:val="22"/>
        </w:rPr>
        <w:footnoteRef/>
      </w:r>
      <w:r w:rsidRPr="00696D09">
        <w:rPr>
          <w:rFonts w:ascii="Times New Roman" w:hAnsi="Times New Roman" w:cs="Times New Roman"/>
          <w:sz w:val="22"/>
          <w:szCs w:val="22"/>
        </w:rPr>
        <w:t xml:space="preserve"> Ibid</w:t>
      </w:r>
      <w:r w:rsidR="00B70AC0" w:rsidRPr="00696D09">
        <w:rPr>
          <w:rFonts w:ascii="Times New Roman" w:hAnsi="Times New Roman" w:cs="Times New Roman"/>
          <w:sz w:val="22"/>
          <w:szCs w:val="22"/>
        </w:rPr>
        <w:t xml:space="preserve"> p. 195</w:t>
      </w:r>
    </w:p>
  </w:footnote>
  <w:footnote w:id="24">
    <w:p w14:paraId="4A04A2D6" w14:textId="1F230E54" w:rsidR="00CC01A7" w:rsidRPr="00EE0222" w:rsidRDefault="00CC01A7">
      <w:pPr>
        <w:pStyle w:val="FootnoteText"/>
        <w:rPr>
          <w:rFonts w:ascii="Times New Roman" w:hAnsi="Times New Roman" w:cs="Times New Roman"/>
          <w:sz w:val="22"/>
          <w:szCs w:val="22"/>
        </w:rPr>
      </w:pPr>
      <w:r w:rsidRPr="00EE0222">
        <w:rPr>
          <w:rStyle w:val="FootnoteReference"/>
          <w:rFonts w:ascii="Times New Roman" w:hAnsi="Times New Roman" w:cs="Times New Roman"/>
          <w:sz w:val="22"/>
          <w:szCs w:val="22"/>
        </w:rPr>
        <w:footnoteRef/>
      </w:r>
      <w:r w:rsidRPr="00EE0222">
        <w:rPr>
          <w:rFonts w:ascii="Times New Roman" w:hAnsi="Times New Roman" w:cs="Times New Roman"/>
          <w:sz w:val="22"/>
          <w:szCs w:val="22"/>
        </w:rPr>
        <w:t xml:space="preserve"> Ibid.</w:t>
      </w:r>
    </w:p>
  </w:footnote>
  <w:footnote w:id="25">
    <w:p w14:paraId="20DFB759" w14:textId="47448867" w:rsidR="00333A3F" w:rsidRPr="00EE0222" w:rsidRDefault="00333A3F">
      <w:pPr>
        <w:pStyle w:val="FootnoteText"/>
        <w:rPr>
          <w:rFonts w:ascii="Times New Roman" w:hAnsi="Times New Roman" w:cs="Times New Roman"/>
          <w:sz w:val="22"/>
          <w:szCs w:val="22"/>
        </w:rPr>
      </w:pPr>
      <w:r w:rsidRPr="00EE0222">
        <w:rPr>
          <w:rStyle w:val="FootnoteReference"/>
          <w:rFonts w:ascii="Times New Roman" w:hAnsi="Times New Roman" w:cs="Times New Roman"/>
          <w:sz w:val="22"/>
          <w:szCs w:val="22"/>
        </w:rPr>
        <w:footnoteRef/>
      </w:r>
      <w:r w:rsidRPr="00EE0222">
        <w:rPr>
          <w:rFonts w:ascii="Times New Roman" w:hAnsi="Times New Roman" w:cs="Times New Roman"/>
          <w:sz w:val="22"/>
          <w:szCs w:val="22"/>
        </w:rPr>
        <w:t xml:space="preserve"> Ibid.</w:t>
      </w:r>
    </w:p>
  </w:footnote>
  <w:footnote w:id="26">
    <w:p w14:paraId="024B548C" w14:textId="13143D97" w:rsidR="00284932" w:rsidRPr="00EE0222" w:rsidRDefault="00284932">
      <w:pPr>
        <w:pStyle w:val="FootnoteText"/>
        <w:rPr>
          <w:rFonts w:ascii="Times New Roman" w:hAnsi="Times New Roman" w:cs="Times New Roman"/>
          <w:sz w:val="22"/>
          <w:szCs w:val="22"/>
        </w:rPr>
      </w:pPr>
      <w:r w:rsidRPr="00EE0222">
        <w:rPr>
          <w:rStyle w:val="FootnoteReference"/>
          <w:rFonts w:ascii="Times New Roman" w:hAnsi="Times New Roman" w:cs="Times New Roman"/>
          <w:sz w:val="22"/>
          <w:szCs w:val="22"/>
        </w:rPr>
        <w:footnoteRef/>
      </w:r>
      <w:r w:rsidRPr="00EE0222">
        <w:rPr>
          <w:rFonts w:ascii="Times New Roman" w:hAnsi="Times New Roman" w:cs="Times New Roman"/>
          <w:sz w:val="22"/>
          <w:szCs w:val="22"/>
        </w:rPr>
        <w:t xml:space="preserve"> Ibid.</w:t>
      </w:r>
    </w:p>
  </w:footnote>
  <w:footnote w:id="27">
    <w:p w14:paraId="76E388DE" w14:textId="29F5C738" w:rsidR="00AE07F1" w:rsidRDefault="00AE07F1">
      <w:pPr>
        <w:pStyle w:val="FootnoteText"/>
      </w:pPr>
      <w:r w:rsidRPr="00EE0222">
        <w:rPr>
          <w:rStyle w:val="FootnoteReference"/>
          <w:rFonts w:ascii="Times New Roman" w:hAnsi="Times New Roman" w:cs="Times New Roman"/>
          <w:sz w:val="22"/>
          <w:szCs w:val="22"/>
        </w:rPr>
        <w:footnoteRef/>
      </w:r>
      <w:r w:rsidRPr="00EE0222">
        <w:rPr>
          <w:rFonts w:ascii="Times New Roman" w:hAnsi="Times New Roman" w:cs="Times New Roman"/>
          <w:sz w:val="22"/>
          <w:szCs w:val="22"/>
        </w:rPr>
        <w:t xml:space="preserve"> Ibid.</w:t>
      </w:r>
    </w:p>
  </w:footnote>
  <w:footnote w:id="28">
    <w:p w14:paraId="16DC230E" w14:textId="1CC64751" w:rsidR="00EE0222" w:rsidRPr="00AA2181" w:rsidRDefault="00EE0222">
      <w:pPr>
        <w:pStyle w:val="FootnoteText"/>
        <w:rPr>
          <w:rFonts w:ascii="Times New Roman" w:hAnsi="Times New Roman" w:cs="Times New Roman"/>
          <w:sz w:val="22"/>
          <w:szCs w:val="22"/>
        </w:rPr>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Zachary, B. </w:t>
      </w:r>
      <w:r w:rsidRPr="00AA2181">
        <w:rPr>
          <w:rFonts w:ascii="Times New Roman" w:hAnsi="Times New Roman" w:cs="Times New Roman"/>
          <w:i/>
          <w:iCs/>
          <w:sz w:val="22"/>
          <w:szCs w:val="22"/>
        </w:rPr>
        <w:t>et al.</w:t>
      </w:r>
      <w:r w:rsidRPr="00AA2181">
        <w:rPr>
          <w:rFonts w:ascii="Times New Roman" w:hAnsi="Times New Roman" w:cs="Times New Roman"/>
          <w:sz w:val="22"/>
          <w:szCs w:val="22"/>
        </w:rPr>
        <w:t xml:space="preserve"> (2011) “Collective remembering through the materiality and organization of war memorials,” </w:t>
      </w:r>
      <w:r w:rsidRPr="00AA2181">
        <w:rPr>
          <w:rFonts w:ascii="Times New Roman" w:hAnsi="Times New Roman" w:cs="Times New Roman"/>
          <w:i/>
          <w:iCs/>
          <w:sz w:val="22"/>
          <w:szCs w:val="22"/>
        </w:rPr>
        <w:t>Journal of material culture</w:t>
      </w:r>
      <w:r w:rsidRPr="00AA2181">
        <w:rPr>
          <w:rFonts w:ascii="Times New Roman" w:hAnsi="Times New Roman" w:cs="Times New Roman"/>
          <w:sz w:val="22"/>
          <w:szCs w:val="22"/>
        </w:rPr>
        <w:t>, 16(2), pp. 193–213. Available at: https://doi.org/10.1177/1359183511401494. p. 19</w:t>
      </w:r>
      <w:r w:rsidRPr="00AA2181">
        <w:rPr>
          <w:rFonts w:ascii="Times New Roman" w:hAnsi="Times New Roman" w:cs="Times New Roman"/>
          <w:sz w:val="22"/>
          <w:szCs w:val="22"/>
        </w:rPr>
        <w:t>5</w:t>
      </w:r>
      <w:r w:rsidRPr="00AA2181">
        <w:rPr>
          <w:rFonts w:ascii="Times New Roman" w:hAnsi="Times New Roman" w:cs="Times New Roman"/>
          <w:sz w:val="22"/>
          <w:szCs w:val="22"/>
        </w:rPr>
        <w:t>.</w:t>
      </w:r>
    </w:p>
  </w:footnote>
  <w:footnote w:id="29">
    <w:p w14:paraId="77C7152C" w14:textId="7A45C5A7" w:rsidR="00C1546B" w:rsidRPr="00AA2181" w:rsidRDefault="00C1546B">
      <w:pPr>
        <w:pStyle w:val="FootnoteText"/>
        <w:rPr>
          <w:rFonts w:ascii="Times New Roman" w:hAnsi="Times New Roman" w:cs="Times New Roman"/>
          <w:sz w:val="22"/>
          <w:szCs w:val="22"/>
        </w:rPr>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Ibid.</w:t>
      </w:r>
    </w:p>
  </w:footnote>
  <w:footnote w:id="30">
    <w:p w14:paraId="5D2C8961" w14:textId="1FA905FC" w:rsidR="002F5AE7" w:rsidRPr="00AA2181" w:rsidRDefault="002F5AE7">
      <w:pPr>
        <w:pStyle w:val="FootnoteText"/>
        <w:rPr>
          <w:rFonts w:ascii="Times New Roman" w:hAnsi="Times New Roman" w:cs="Times New Roman"/>
          <w:sz w:val="22"/>
          <w:szCs w:val="22"/>
        </w:rPr>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Ibid p. 195 – 196.</w:t>
      </w:r>
    </w:p>
  </w:footnote>
  <w:footnote w:id="31">
    <w:p w14:paraId="17FF1A68" w14:textId="2E66EFF9" w:rsidR="00D92A66" w:rsidRPr="00AA2181" w:rsidRDefault="00D92A66">
      <w:pPr>
        <w:pStyle w:val="FootnoteText"/>
        <w:rPr>
          <w:rFonts w:ascii="Times New Roman" w:hAnsi="Times New Roman" w:cs="Times New Roman"/>
          <w:sz w:val="22"/>
          <w:szCs w:val="22"/>
        </w:rPr>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Ibid. </w:t>
      </w:r>
    </w:p>
  </w:footnote>
  <w:footnote w:id="32">
    <w:p w14:paraId="42EF187A" w14:textId="3C6E6296" w:rsidR="009F779B" w:rsidRPr="00AA2181" w:rsidRDefault="009F779B">
      <w:pPr>
        <w:pStyle w:val="FootnoteText"/>
        <w:rPr>
          <w:rFonts w:ascii="Times New Roman" w:hAnsi="Times New Roman" w:cs="Times New Roman"/>
          <w:sz w:val="22"/>
          <w:szCs w:val="22"/>
        </w:rPr>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w:t>
      </w:r>
      <w:r w:rsidRPr="00AA2181">
        <w:rPr>
          <w:rFonts w:ascii="Times New Roman" w:hAnsi="Times New Roman" w:cs="Times New Roman"/>
          <w:sz w:val="22"/>
          <w:szCs w:val="22"/>
        </w:rPr>
        <w:t>Bernard, B. (1949) Place, symbol, and utilitarian function in war memorials. Social Forces 28(1): 64–68</w:t>
      </w:r>
    </w:p>
  </w:footnote>
  <w:footnote w:id="33">
    <w:p w14:paraId="053D8A8F" w14:textId="777DE6D7" w:rsidR="005C61B4" w:rsidRPr="00AA2181" w:rsidRDefault="005C61B4">
      <w:pPr>
        <w:pStyle w:val="FootnoteText"/>
        <w:rPr>
          <w:rFonts w:ascii="Times New Roman" w:hAnsi="Times New Roman" w:cs="Times New Roman"/>
          <w:sz w:val="22"/>
          <w:szCs w:val="22"/>
        </w:rPr>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w:t>
      </w:r>
      <w:r w:rsidRPr="00AA2181">
        <w:rPr>
          <w:rFonts w:ascii="Times New Roman" w:hAnsi="Times New Roman" w:cs="Times New Roman"/>
          <w:sz w:val="22"/>
          <w:szCs w:val="22"/>
        </w:rPr>
        <w:t xml:space="preserve">Zachary, B. </w:t>
      </w:r>
      <w:r w:rsidRPr="00AA2181">
        <w:rPr>
          <w:rFonts w:ascii="Times New Roman" w:hAnsi="Times New Roman" w:cs="Times New Roman"/>
          <w:i/>
          <w:iCs/>
          <w:sz w:val="22"/>
          <w:szCs w:val="22"/>
        </w:rPr>
        <w:t>et al.</w:t>
      </w:r>
      <w:r w:rsidRPr="00AA2181">
        <w:rPr>
          <w:rFonts w:ascii="Times New Roman" w:hAnsi="Times New Roman" w:cs="Times New Roman"/>
          <w:sz w:val="22"/>
          <w:szCs w:val="22"/>
        </w:rPr>
        <w:t xml:space="preserve"> (2011) “Collective remembering through the materiality and organization of war memorials,” </w:t>
      </w:r>
      <w:r w:rsidRPr="00AA2181">
        <w:rPr>
          <w:rFonts w:ascii="Times New Roman" w:hAnsi="Times New Roman" w:cs="Times New Roman"/>
          <w:i/>
          <w:iCs/>
          <w:sz w:val="22"/>
          <w:szCs w:val="22"/>
        </w:rPr>
        <w:t>Journal of material culture</w:t>
      </w:r>
      <w:r w:rsidRPr="00AA2181">
        <w:rPr>
          <w:rFonts w:ascii="Times New Roman" w:hAnsi="Times New Roman" w:cs="Times New Roman"/>
          <w:sz w:val="22"/>
          <w:szCs w:val="22"/>
        </w:rPr>
        <w:t>, 16(2), pp. 193–213. Available at: https://doi.org/10.1177/1359183511401494. p. 19</w:t>
      </w:r>
      <w:r w:rsidR="00436B65" w:rsidRPr="00AA2181">
        <w:rPr>
          <w:rFonts w:ascii="Times New Roman" w:hAnsi="Times New Roman" w:cs="Times New Roman"/>
          <w:sz w:val="22"/>
          <w:szCs w:val="22"/>
        </w:rPr>
        <w:t>6</w:t>
      </w:r>
      <w:r w:rsidRPr="00AA2181">
        <w:rPr>
          <w:rFonts w:ascii="Times New Roman" w:hAnsi="Times New Roman" w:cs="Times New Roman"/>
          <w:sz w:val="22"/>
          <w:szCs w:val="22"/>
        </w:rPr>
        <w:t>.</w:t>
      </w:r>
    </w:p>
  </w:footnote>
  <w:footnote w:id="34">
    <w:p w14:paraId="608363E9" w14:textId="12AEBE5C" w:rsidR="0013026A" w:rsidRPr="00AA2181" w:rsidRDefault="0013026A">
      <w:pPr>
        <w:pStyle w:val="FootnoteText"/>
        <w:rPr>
          <w:rFonts w:ascii="Times New Roman" w:hAnsi="Times New Roman" w:cs="Times New Roman"/>
          <w:sz w:val="22"/>
          <w:szCs w:val="22"/>
        </w:rPr>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Ibid p. 197</w:t>
      </w:r>
    </w:p>
  </w:footnote>
  <w:footnote w:id="35">
    <w:p w14:paraId="6A37507B" w14:textId="22A4A431" w:rsidR="00BE1AEF" w:rsidRPr="00AA2181" w:rsidRDefault="00BE1AEF">
      <w:pPr>
        <w:pStyle w:val="FootnoteText"/>
        <w:rPr>
          <w:rFonts w:ascii="Times New Roman" w:hAnsi="Times New Roman" w:cs="Times New Roman"/>
          <w:sz w:val="22"/>
          <w:szCs w:val="22"/>
        </w:rPr>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Ibid.</w:t>
      </w:r>
    </w:p>
  </w:footnote>
  <w:footnote w:id="36">
    <w:p w14:paraId="2B37969C" w14:textId="47F72D2F" w:rsidR="005C27A3" w:rsidRPr="00AA2181" w:rsidRDefault="005C27A3">
      <w:pPr>
        <w:pStyle w:val="FootnoteText"/>
        <w:rPr>
          <w:rFonts w:ascii="Times New Roman" w:hAnsi="Times New Roman" w:cs="Times New Roman"/>
          <w:sz w:val="22"/>
          <w:szCs w:val="22"/>
        </w:rPr>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Ibid. </w:t>
      </w:r>
    </w:p>
  </w:footnote>
  <w:footnote w:id="37">
    <w:p w14:paraId="16A15E8C" w14:textId="7DE03B88" w:rsidR="00AA2181" w:rsidRDefault="00AA2181">
      <w:pPr>
        <w:pStyle w:val="FootnoteText"/>
      </w:pPr>
      <w:r w:rsidRPr="00AA2181">
        <w:rPr>
          <w:rStyle w:val="FootnoteReference"/>
          <w:rFonts w:ascii="Times New Roman" w:hAnsi="Times New Roman" w:cs="Times New Roman"/>
          <w:sz w:val="22"/>
          <w:szCs w:val="22"/>
        </w:rPr>
        <w:footnoteRef/>
      </w:r>
      <w:r w:rsidRPr="00AA2181">
        <w:rPr>
          <w:rFonts w:ascii="Times New Roman" w:hAnsi="Times New Roman" w:cs="Times New Roman"/>
          <w:sz w:val="22"/>
          <w:szCs w:val="22"/>
        </w:rPr>
        <w:t xml:space="preserve"> Ibid.</w:t>
      </w:r>
    </w:p>
  </w:footnote>
  <w:footnote w:id="38">
    <w:p w14:paraId="78BC7B01" w14:textId="5DA85996" w:rsidR="00F165CA" w:rsidRPr="00043225" w:rsidRDefault="00F165CA">
      <w:pPr>
        <w:pStyle w:val="FootnoteText"/>
        <w:rPr>
          <w:rFonts w:ascii="Times New Roman" w:hAnsi="Times New Roman" w:cs="Times New Roman"/>
          <w:sz w:val="22"/>
          <w:szCs w:val="22"/>
        </w:rPr>
      </w:pPr>
      <w:r w:rsidRPr="00043225">
        <w:rPr>
          <w:rStyle w:val="FootnoteReference"/>
          <w:rFonts w:ascii="Times New Roman" w:hAnsi="Times New Roman" w:cs="Times New Roman"/>
          <w:sz w:val="22"/>
          <w:szCs w:val="22"/>
        </w:rPr>
        <w:footnoteRef/>
      </w:r>
      <w:r w:rsidRPr="00043225">
        <w:rPr>
          <w:rFonts w:ascii="Times New Roman" w:hAnsi="Times New Roman" w:cs="Times New Roman"/>
          <w:sz w:val="22"/>
          <w:szCs w:val="22"/>
        </w:rPr>
        <w:t xml:space="preserve"> </w:t>
      </w:r>
      <w:r w:rsidR="002856B9" w:rsidRPr="00043225">
        <w:rPr>
          <w:rFonts w:ascii="Times New Roman" w:hAnsi="Times New Roman" w:cs="Times New Roman"/>
          <w:sz w:val="22"/>
          <w:szCs w:val="22"/>
        </w:rPr>
        <w:t xml:space="preserve">Zachary, B. </w:t>
      </w:r>
      <w:r w:rsidR="002856B9" w:rsidRPr="00043225">
        <w:rPr>
          <w:rFonts w:ascii="Times New Roman" w:hAnsi="Times New Roman" w:cs="Times New Roman"/>
          <w:i/>
          <w:iCs/>
          <w:sz w:val="22"/>
          <w:szCs w:val="22"/>
        </w:rPr>
        <w:t>et al.</w:t>
      </w:r>
      <w:r w:rsidR="002856B9" w:rsidRPr="00043225">
        <w:rPr>
          <w:rFonts w:ascii="Times New Roman" w:hAnsi="Times New Roman" w:cs="Times New Roman"/>
          <w:sz w:val="22"/>
          <w:szCs w:val="22"/>
        </w:rPr>
        <w:t xml:space="preserve"> (2011) “Collective remembering through the materiality and organization of war memorials,” </w:t>
      </w:r>
      <w:r w:rsidR="002856B9" w:rsidRPr="00043225">
        <w:rPr>
          <w:rFonts w:ascii="Times New Roman" w:hAnsi="Times New Roman" w:cs="Times New Roman"/>
          <w:i/>
          <w:iCs/>
          <w:sz w:val="22"/>
          <w:szCs w:val="22"/>
        </w:rPr>
        <w:t>Journal of material culture</w:t>
      </w:r>
      <w:r w:rsidR="002856B9" w:rsidRPr="00043225">
        <w:rPr>
          <w:rFonts w:ascii="Times New Roman" w:hAnsi="Times New Roman" w:cs="Times New Roman"/>
          <w:sz w:val="22"/>
          <w:szCs w:val="22"/>
        </w:rPr>
        <w:t>, 16(2), pp. 193–213. Available at: https://doi.org/10.1177/1359183511401494. p. 19</w:t>
      </w:r>
      <w:r w:rsidR="002856B9" w:rsidRPr="00043225">
        <w:rPr>
          <w:rFonts w:ascii="Times New Roman" w:hAnsi="Times New Roman" w:cs="Times New Roman"/>
          <w:sz w:val="22"/>
          <w:szCs w:val="22"/>
        </w:rPr>
        <w:t>9</w:t>
      </w:r>
      <w:r w:rsidR="002856B9" w:rsidRPr="00043225">
        <w:rPr>
          <w:rFonts w:ascii="Times New Roman" w:hAnsi="Times New Roman" w:cs="Times New Roman"/>
          <w:sz w:val="22"/>
          <w:szCs w:val="22"/>
        </w:rPr>
        <w:t>.</w:t>
      </w:r>
    </w:p>
  </w:footnote>
  <w:footnote w:id="39">
    <w:p w14:paraId="4FCEA665" w14:textId="71B8AB28" w:rsidR="00155004" w:rsidRPr="00043225" w:rsidRDefault="00155004">
      <w:pPr>
        <w:pStyle w:val="FootnoteText"/>
        <w:rPr>
          <w:rFonts w:ascii="Times New Roman" w:hAnsi="Times New Roman" w:cs="Times New Roman"/>
          <w:sz w:val="22"/>
          <w:szCs w:val="22"/>
        </w:rPr>
      </w:pPr>
      <w:r w:rsidRPr="00043225">
        <w:rPr>
          <w:rStyle w:val="FootnoteReference"/>
          <w:rFonts w:ascii="Times New Roman" w:hAnsi="Times New Roman" w:cs="Times New Roman"/>
          <w:sz w:val="22"/>
          <w:szCs w:val="22"/>
        </w:rPr>
        <w:footnoteRef/>
      </w:r>
      <w:r w:rsidRPr="00043225">
        <w:rPr>
          <w:rFonts w:ascii="Times New Roman" w:hAnsi="Times New Roman" w:cs="Times New Roman"/>
          <w:sz w:val="22"/>
          <w:szCs w:val="22"/>
        </w:rPr>
        <w:t xml:space="preserve"> Ibid p. 202.</w:t>
      </w:r>
    </w:p>
  </w:footnote>
  <w:footnote w:id="40">
    <w:p w14:paraId="448303B5" w14:textId="7BDD9A29" w:rsidR="00636248" w:rsidRPr="00043225" w:rsidRDefault="00636248">
      <w:pPr>
        <w:pStyle w:val="FootnoteText"/>
        <w:rPr>
          <w:rFonts w:ascii="Times New Roman" w:hAnsi="Times New Roman" w:cs="Times New Roman"/>
          <w:sz w:val="22"/>
          <w:szCs w:val="22"/>
        </w:rPr>
      </w:pPr>
      <w:r w:rsidRPr="00043225">
        <w:rPr>
          <w:rStyle w:val="FootnoteReference"/>
          <w:rFonts w:ascii="Times New Roman" w:hAnsi="Times New Roman" w:cs="Times New Roman"/>
          <w:sz w:val="22"/>
          <w:szCs w:val="22"/>
        </w:rPr>
        <w:footnoteRef/>
      </w:r>
      <w:r w:rsidRPr="00043225">
        <w:rPr>
          <w:rFonts w:ascii="Times New Roman" w:hAnsi="Times New Roman" w:cs="Times New Roman"/>
          <w:sz w:val="22"/>
          <w:szCs w:val="22"/>
        </w:rPr>
        <w:t xml:space="preserve"> Ibid.</w:t>
      </w:r>
    </w:p>
  </w:footnote>
  <w:footnote w:id="41">
    <w:p w14:paraId="7AB99B2D" w14:textId="10489933" w:rsidR="004C4F8F" w:rsidRDefault="004C4F8F">
      <w:pPr>
        <w:pStyle w:val="FootnoteText"/>
      </w:pPr>
      <w:r w:rsidRPr="00043225">
        <w:rPr>
          <w:rStyle w:val="FootnoteReference"/>
          <w:rFonts w:ascii="Times New Roman" w:hAnsi="Times New Roman" w:cs="Times New Roman"/>
          <w:sz w:val="22"/>
          <w:szCs w:val="22"/>
        </w:rPr>
        <w:footnoteRef/>
      </w:r>
      <w:r w:rsidRPr="00043225">
        <w:rPr>
          <w:rFonts w:ascii="Times New Roman" w:hAnsi="Times New Roman" w:cs="Times New Roman"/>
          <w:sz w:val="22"/>
          <w:szCs w:val="22"/>
        </w:rPr>
        <w:t xml:space="preserve"> Ibid.</w:t>
      </w:r>
    </w:p>
  </w:footnote>
  <w:footnote w:id="42">
    <w:p w14:paraId="416B4F4B" w14:textId="30DA6F3B" w:rsidR="009D5026" w:rsidRPr="00D21C28" w:rsidRDefault="009D5026">
      <w:pPr>
        <w:pStyle w:val="FootnoteText"/>
        <w:rPr>
          <w:rFonts w:ascii="Times New Roman" w:hAnsi="Times New Roman" w:cs="Times New Roman"/>
          <w:sz w:val="22"/>
          <w:szCs w:val="22"/>
        </w:rPr>
      </w:pPr>
      <w:r w:rsidRPr="00D21C28">
        <w:rPr>
          <w:rStyle w:val="FootnoteReference"/>
          <w:rFonts w:ascii="Times New Roman" w:hAnsi="Times New Roman" w:cs="Times New Roman"/>
          <w:sz w:val="22"/>
          <w:szCs w:val="22"/>
        </w:rPr>
        <w:footnoteRef/>
      </w:r>
      <w:r w:rsidRPr="00D21C28">
        <w:rPr>
          <w:rFonts w:ascii="Times New Roman" w:hAnsi="Times New Roman" w:cs="Times New Roman"/>
          <w:sz w:val="22"/>
          <w:szCs w:val="22"/>
        </w:rPr>
        <w:t xml:space="preserve"> </w:t>
      </w:r>
      <w:r w:rsidRPr="00D21C28">
        <w:rPr>
          <w:rFonts w:ascii="Times New Roman" w:hAnsi="Times New Roman" w:cs="Times New Roman"/>
          <w:sz w:val="22"/>
          <w:szCs w:val="22"/>
        </w:rPr>
        <w:t xml:space="preserve">Holtorf, Cornelius. “On Pastness: A Reconsideration of Materiality in Archaeological Object Authenticity.” </w:t>
      </w:r>
      <w:r w:rsidRPr="00D21C28">
        <w:rPr>
          <w:rFonts w:ascii="Times New Roman" w:hAnsi="Times New Roman" w:cs="Times New Roman"/>
          <w:i/>
          <w:iCs/>
          <w:sz w:val="22"/>
          <w:szCs w:val="22"/>
        </w:rPr>
        <w:t>Anthropological Quarterly</w:t>
      </w:r>
      <w:r w:rsidRPr="00D21C28">
        <w:rPr>
          <w:rFonts w:ascii="Times New Roman" w:hAnsi="Times New Roman" w:cs="Times New Roman"/>
          <w:sz w:val="22"/>
          <w:szCs w:val="22"/>
        </w:rPr>
        <w:t xml:space="preserve">, vol. 86, no. 2, 2013, pp. 427–43. </w:t>
      </w:r>
      <w:r w:rsidRPr="00D21C28">
        <w:rPr>
          <w:rFonts w:ascii="Times New Roman" w:hAnsi="Times New Roman" w:cs="Times New Roman"/>
          <w:i/>
          <w:iCs/>
          <w:sz w:val="22"/>
          <w:szCs w:val="22"/>
        </w:rPr>
        <w:t>JSTOR</w:t>
      </w:r>
      <w:r w:rsidRPr="00D21C28">
        <w:rPr>
          <w:rFonts w:ascii="Times New Roman" w:hAnsi="Times New Roman" w:cs="Times New Roman"/>
          <w:sz w:val="22"/>
          <w:szCs w:val="22"/>
        </w:rPr>
        <w:t>, http://www.jstor.org/stable/41857332. p. 430.</w:t>
      </w:r>
    </w:p>
  </w:footnote>
  <w:footnote w:id="43">
    <w:p w14:paraId="56B21842" w14:textId="646F9ABC" w:rsidR="00154DA2" w:rsidRPr="00914D72" w:rsidRDefault="00154DA2">
      <w:pPr>
        <w:pStyle w:val="FootnoteText"/>
        <w:rPr>
          <w:rFonts w:ascii="Times New Roman" w:hAnsi="Times New Roman" w:cs="Times New Roman"/>
          <w:sz w:val="22"/>
          <w:szCs w:val="22"/>
        </w:rPr>
      </w:pPr>
      <w:r w:rsidRPr="00D21C28">
        <w:rPr>
          <w:rStyle w:val="FootnoteReference"/>
          <w:rFonts w:ascii="Times New Roman" w:hAnsi="Times New Roman" w:cs="Times New Roman"/>
          <w:sz w:val="22"/>
          <w:szCs w:val="22"/>
        </w:rPr>
        <w:footnoteRef/>
      </w:r>
      <w:r w:rsidRPr="00D21C28">
        <w:rPr>
          <w:rFonts w:ascii="Times New Roman" w:hAnsi="Times New Roman" w:cs="Times New Roman"/>
          <w:sz w:val="22"/>
          <w:szCs w:val="22"/>
        </w:rPr>
        <w:t xml:space="preserve"> </w:t>
      </w:r>
      <w:r w:rsidRPr="00D21C28">
        <w:rPr>
          <w:rFonts w:ascii="Times New Roman" w:hAnsi="Times New Roman" w:cs="Times New Roman"/>
          <w:sz w:val="22"/>
          <w:szCs w:val="22"/>
        </w:rPr>
        <w:t>Rickly-Boyd, J.M. (2012) “Authenticity &amp; aura: a Benjaminian approach to tourism,” </w:t>
      </w:r>
      <w:r w:rsidRPr="00D21C28">
        <w:rPr>
          <w:rFonts w:ascii="Times New Roman" w:hAnsi="Times New Roman" w:cs="Times New Roman"/>
          <w:i/>
          <w:iCs/>
          <w:sz w:val="22"/>
          <w:szCs w:val="22"/>
        </w:rPr>
        <w:t xml:space="preserve">Annals of </w:t>
      </w:r>
      <w:r w:rsidRPr="00914D72">
        <w:rPr>
          <w:rFonts w:ascii="Times New Roman" w:hAnsi="Times New Roman" w:cs="Times New Roman"/>
          <w:i/>
          <w:iCs/>
          <w:sz w:val="22"/>
          <w:szCs w:val="22"/>
        </w:rPr>
        <w:t>tourism research</w:t>
      </w:r>
      <w:r w:rsidRPr="00914D72">
        <w:rPr>
          <w:rFonts w:ascii="Times New Roman" w:hAnsi="Times New Roman" w:cs="Times New Roman"/>
          <w:sz w:val="22"/>
          <w:szCs w:val="22"/>
        </w:rPr>
        <w:t>, 39(1), pp. 269–289. https://doi.org/10.1016/j.annals.2011.05.003. p. 270.</w:t>
      </w:r>
    </w:p>
  </w:footnote>
  <w:footnote w:id="44">
    <w:p w14:paraId="5E523077" w14:textId="2747E89A" w:rsidR="00BE105A" w:rsidRPr="00914D72" w:rsidRDefault="00BE105A">
      <w:pPr>
        <w:pStyle w:val="FootnoteText"/>
        <w:rPr>
          <w:rFonts w:ascii="Times New Roman" w:hAnsi="Times New Roman" w:cs="Times New Roman"/>
          <w:sz w:val="22"/>
          <w:szCs w:val="22"/>
        </w:rPr>
      </w:pPr>
      <w:r w:rsidRPr="00914D72">
        <w:rPr>
          <w:rStyle w:val="FootnoteReference"/>
          <w:rFonts w:ascii="Times New Roman" w:hAnsi="Times New Roman" w:cs="Times New Roman"/>
          <w:sz w:val="22"/>
          <w:szCs w:val="22"/>
        </w:rPr>
        <w:footnoteRef/>
      </w:r>
      <w:r w:rsidRPr="00914D72">
        <w:rPr>
          <w:rFonts w:ascii="Times New Roman" w:hAnsi="Times New Roman" w:cs="Times New Roman"/>
          <w:sz w:val="22"/>
          <w:szCs w:val="22"/>
        </w:rPr>
        <w:t xml:space="preserve"> </w:t>
      </w:r>
      <w:r w:rsidR="00FC3F3B" w:rsidRPr="00914D72">
        <w:rPr>
          <w:rFonts w:ascii="Times New Roman" w:hAnsi="Times New Roman" w:cs="Times New Roman"/>
          <w:sz w:val="22"/>
          <w:szCs w:val="22"/>
        </w:rPr>
        <w:t xml:space="preserve">Thomas, N. </w:t>
      </w:r>
      <w:r w:rsidR="00D21C28" w:rsidRPr="00914D72">
        <w:rPr>
          <w:rFonts w:ascii="Times New Roman" w:hAnsi="Times New Roman" w:cs="Times New Roman"/>
          <w:sz w:val="22"/>
          <w:szCs w:val="22"/>
        </w:rPr>
        <w:t xml:space="preserve">(2017) </w:t>
      </w:r>
      <w:r w:rsidR="00FC3F3B" w:rsidRPr="00914D72">
        <w:rPr>
          <w:rFonts w:ascii="Times New Roman" w:hAnsi="Times New Roman" w:cs="Times New Roman"/>
          <w:sz w:val="22"/>
          <w:szCs w:val="22"/>
        </w:rPr>
        <w:t>“</w:t>
      </w:r>
      <w:r w:rsidR="004D4013" w:rsidRPr="00914D72">
        <w:rPr>
          <w:rFonts w:ascii="Times New Roman" w:hAnsi="Times New Roman" w:cs="Times New Roman"/>
          <w:sz w:val="22"/>
          <w:szCs w:val="22"/>
        </w:rPr>
        <w:t xml:space="preserve">The Gotlandic rural militia : A study of the invasion of Gotland 1361 in response to a modern narrative” </w:t>
      </w:r>
      <w:r w:rsidR="00D21C28" w:rsidRPr="00914D72">
        <w:rPr>
          <w:rFonts w:ascii="Times New Roman" w:hAnsi="Times New Roman" w:cs="Times New Roman"/>
          <w:i/>
          <w:iCs/>
          <w:sz w:val="22"/>
          <w:szCs w:val="22"/>
        </w:rPr>
        <w:t>Stockholm University, Department of History, Master thesis.</w:t>
      </w:r>
      <w:r w:rsidR="00D21C28" w:rsidRPr="00914D72">
        <w:rPr>
          <w:rFonts w:ascii="Times New Roman" w:hAnsi="Times New Roman" w:cs="Times New Roman"/>
          <w:sz w:val="22"/>
          <w:szCs w:val="22"/>
        </w:rPr>
        <w:t xml:space="preserve"> </w:t>
      </w:r>
      <w:r w:rsidR="006B7EA7" w:rsidRPr="00914D72">
        <w:rPr>
          <w:rFonts w:ascii="Times New Roman" w:hAnsi="Times New Roman" w:cs="Times New Roman"/>
          <w:sz w:val="22"/>
          <w:szCs w:val="22"/>
        </w:rPr>
        <w:t>https://www.diva-portal.org/smash/get/diva2:1159294/FULLTEXT01.pdf</w:t>
      </w:r>
      <w:r w:rsidR="006B7EA7" w:rsidRPr="00914D72">
        <w:rPr>
          <w:rFonts w:ascii="Times New Roman" w:hAnsi="Times New Roman" w:cs="Times New Roman"/>
          <w:sz w:val="22"/>
          <w:szCs w:val="22"/>
        </w:rPr>
        <w:t xml:space="preserve"> p. 5. </w:t>
      </w:r>
    </w:p>
  </w:footnote>
  <w:footnote w:id="45">
    <w:p w14:paraId="1E758887" w14:textId="7BA5B1B0" w:rsidR="00A1356F" w:rsidRPr="00914D72" w:rsidRDefault="00A1356F">
      <w:pPr>
        <w:pStyle w:val="FootnoteText"/>
        <w:rPr>
          <w:rFonts w:ascii="Times New Roman" w:hAnsi="Times New Roman" w:cs="Times New Roman"/>
          <w:sz w:val="22"/>
          <w:szCs w:val="22"/>
        </w:rPr>
      </w:pPr>
      <w:r w:rsidRPr="00914D72">
        <w:rPr>
          <w:rStyle w:val="FootnoteReference"/>
          <w:rFonts w:ascii="Times New Roman" w:hAnsi="Times New Roman" w:cs="Times New Roman"/>
          <w:sz w:val="22"/>
          <w:szCs w:val="22"/>
        </w:rPr>
        <w:footnoteRef/>
      </w:r>
      <w:r w:rsidRPr="00914D72">
        <w:rPr>
          <w:rFonts w:ascii="Times New Roman" w:hAnsi="Times New Roman" w:cs="Times New Roman"/>
          <w:sz w:val="22"/>
          <w:szCs w:val="22"/>
        </w:rPr>
        <w:t xml:space="preserve"> Ibid.</w:t>
      </w:r>
    </w:p>
  </w:footnote>
  <w:footnote w:id="46">
    <w:p w14:paraId="5C3CA481" w14:textId="78AB8B66" w:rsidR="00B317DE" w:rsidRPr="00914D72" w:rsidRDefault="00B317DE">
      <w:pPr>
        <w:pStyle w:val="FootnoteText"/>
        <w:rPr>
          <w:rFonts w:ascii="Times New Roman" w:hAnsi="Times New Roman" w:cs="Times New Roman"/>
          <w:sz w:val="22"/>
          <w:szCs w:val="22"/>
        </w:rPr>
      </w:pPr>
      <w:r w:rsidRPr="00914D72">
        <w:rPr>
          <w:rStyle w:val="FootnoteReference"/>
          <w:rFonts w:ascii="Times New Roman" w:hAnsi="Times New Roman" w:cs="Times New Roman"/>
          <w:sz w:val="22"/>
          <w:szCs w:val="22"/>
        </w:rPr>
        <w:footnoteRef/>
      </w:r>
      <w:r w:rsidRPr="00914D72">
        <w:rPr>
          <w:rFonts w:ascii="Times New Roman" w:hAnsi="Times New Roman" w:cs="Times New Roman"/>
          <w:sz w:val="22"/>
          <w:szCs w:val="22"/>
        </w:rPr>
        <w:t xml:space="preserve"> Ibid p. 6.</w:t>
      </w:r>
    </w:p>
  </w:footnote>
  <w:footnote w:id="47">
    <w:p w14:paraId="0662C727" w14:textId="4E4ADB27" w:rsidR="00913F5C" w:rsidRPr="00914D72" w:rsidRDefault="00913F5C">
      <w:pPr>
        <w:pStyle w:val="FootnoteText"/>
        <w:rPr>
          <w:rFonts w:ascii="Times New Roman" w:hAnsi="Times New Roman" w:cs="Times New Roman"/>
          <w:sz w:val="22"/>
          <w:szCs w:val="22"/>
        </w:rPr>
      </w:pPr>
      <w:r w:rsidRPr="00914D72">
        <w:rPr>
          <w:rStyle w:val="FootnoteReference"/>
          <w:rFonts w:ascii="Times New Roman" w:hAnsi="Times New Roman" w:cs="Times New Roman"/>
          <w:sz w:val="22"/>
          <w:szCs w:val="22"/>
        </w:rPr>
        <w:footnoteRef/>
      </w:r>
      <w:r w:rsidRPr="00914D72">
        <w:rPr>
          <w:rFonts w:ascii="Times New Roman" w:hAnsi="Times New Roman" w:cs="Times New Roman"/>
          <w:sz w:val="22"/>
          <w:szCs w:val="22"/>
        </w:rPr>
        <w:t xml:space="preserve"> </w:t>
      </w:r>
      <w:r w:rsidRPr="00914D72">
        <w:rPr>
          <w:rFonts w:ascii="Times New Roman" w:hAnsi="Times New Roman" w:cs="Times New Roman"/>
          <w:sz w:val="22"/>
          <w:szCs w:val="22"/>
        </w:rPr>
        <w:t xml:space="preserve">Holtorf, Cornelius. “On Pastness: A Reconsideration of Materiality in Archaeological Object Authenticity.” </w:t>
      </w:r>
      <w:r w:rsidRPr="00914D72">
        <w:rPr>
          <w:rFonts w:ascii="Times New Roman" w:hAnsi="Times New Roman" w:cs="Times New Roman"/>
          <w:i/>
          <w:iCs/>
          <w:sz w:val="22"/>
          <w:szCs w:val="22"/>
        </w:rPr>
        <w:t>Anthropological Quarterly</w:t>
      </w:r>
      <w:r w:rsidRPr="00914D72">
        <w:rPr>
          <w:rFonts w:ascii="Times New Roman" w:hAnsi="Times New Roman" w:cs="Times New Roman"/>
          <w:sz w:val="22"/>
          <w:szCs w:val="22"/>
        </w:rPr>
        <w:t xml:space="preserve">, vol. 86, no. 2, 2013, pp. 427–43. </w:t>
      </w:r>
      <w:r w:rsidRPr="00914D72">
        <w:rPr>
          <w:rFonts w:ascii="Times New Roman" w:hAnsi="Times New Roman" w:cs="Times New Roman"/>
          <w:i/>
          <w:iCs/>
          <w:sz w:val="22"/>
          <w:szCs w:val="22"/>
        </w:rPr>
        <w:t>JSTOR</w:t>
      </w:r>
      <w:r w:rsidRPr="00914D72">
        <w:rPr>
          <w:rFonts w:ascii="Times New Roman" w:hAnsi="Times New Roman" w:cs="Times New Roman"/>
          <w:sz w:val="22"/>
          <w:szCs w:val="22"/>
        </w:rPr>
        <w:t>, http://www.jstor.org/stable/41857332. p. 430.</w:t>
      </w:r>
    </w:p>
  </w:footnote>
  <w:footnote w:id="48">
    <w:p w14:paraId="58E2D123" w14:textId="4776E2D7" w:rsidR="00464145" w:rsidRPr="00914D72" w:rsidRDefault="00464145">
      <w:pPr>
        <w:pStyle w:val="FootnoteText"/>
        <w:rPr>
          <w:rFonts w:ascii="Times New Roman" w:hAnsi="Times New Roman" w:cs="Times New Roman"/>
          <w:sz w:val="22"/>
          <w:szCs w:val="22"/>
        </w:rPr>
      </w:pPr>
      <w:r w:rsidRPr="00914D72">
        <w:rPr>
          <w:rStyle w:val="FootnoteReference"/>
          <w:rFonts w:ascii="Times New Roman" w:hAnsi="Times New Roman" w:cs="Times New Roman"/>
          <w:sz w:val="22"/>
          <w:szCs w:val="22"/>
        </w:rPr>
        <w:footnoteRef/>
      </w:r>
      <w:r w:rsidRPr="00914D72">
        <w:rPr>
          <w:rFonts w:ascii="Times New Roman" w:hAnsi="Times New Roman" w:cs="Times New Roman"/>
          <w:sz w:val="22"/>
          <w:szCs w:val="22"/>
        </w:rPr>
        <w:t xml:space="preserve"> </w:t>
      </w:r>
      <w:r w:rsidRPr="00914D72">
        <w:rPr>
          <w:rFonts w:ascii="Times New Roman" w:hAnsi="Times New Roman" w:cs="Times New Roman"/>
          <w:sz w:val="22"/>
          <w:szCs w:val="22"/>
        </w:rPr>
        <w:t>Rickly-Boyd, J.M. (2012) “Authenticity &amp; aura: a Benjaminian approach to tourism,” </w:t>
      </w:r>
      <w:r w:rsidRPr="00914D72">
        <w:rPr>
          <w:rFonts w:ascii="Times New Roman" w:hAnsi="Times New Roman" w:cs="Times New Roman"/>
          <w:i/>
          <w:iCs/>
          <w:sz w:val="22"/>
          <w:szCs w:val="22"/>
        </w:rPr>
        <w:t>Annals of tourism research</w:t>
      </w:r>
      <w:r w:rsidRPr="00914D72">
        <w:rPr>
          <w:rFonts w:ascii="Times New Roman" w:hAnsi="Times New Roman" w:cs="Times New Roman"/>
          <w:sz w:val="22"/>
          <w:szCs w:val="22"/>
        </w:rPr>
        <w:t>, 39(1), pp. 269–289. https://doi.org/10.1016/j.annals.2011.05.003. p. 270.</w:t>
      </w:r>
    </w:p>
  </w:footnote>
  <w:footnote w:id="49">
    <w:p w14:paraId="437B2C0D" w14:textId="377593CE" w:rsidR="001E1E66" w:rsidRDefault="001E1E66">
      <w:pPr>
        <w:pStyle w:val="FootnoteText"/>
      </w:pPr>
      <w:r w:rsidRPr="00914D72">
        <w:rPr>
          <w:rStyle w:val="FootnoteReference"/>
          <w:rFonts w:ascii="Times New Roman" w:hAnsi="Times New Roman" w:cs="Times New Roman"/>
          <w:sz w:val="22"/>
          <w:szCs w:val="22"/>
        </w:rPr>
        <w:footnoteRef/>
      </w:r>
      <w:r w:rsidRPr="00914D72">
        <w:rPr>
          <w:rFonts w:ascii="Times New Roman" w:hAnsi="Times New Roman" w:cs="Times New Roman"/>
          <w:sz w:val="22"/>
          <w:szCs w:val="22"/>
        </w:rPr>
        <w:t xml:space="preserve"> Ibid.</w:t>
      </w:r>
    </w:p>
  </w:footnote>
  <w:footnote w:id="50">
    <w:p w14:paraId="6FE1EB43" w14:textId="18111EE1" w:rsidR="00526368" w:rsidRPr="00914D72" w:rsidRDefault="00526368">
      <w:pPr>
        <w:pStyle w:val="FootnoteText"/>
        <w:rPr>
          <w:rFonts w:ascii="Times New Roman" w:hAnsi="Times New Roman" w:cs="Times New Roman"/>
          <w:sz w:val="22"/>
          <w:szCs w:val="22"/>
        </w:rPr>
      </w:pPr>
      <w:r w:rsidRPr="00914D72">
        <w:rPr>
          <w:rStyle w:val="FootnoteReference"/>
          <w:rFonts w:ascii="Times New Roman" w:hAnsi="Times New Roman" w:cs="Times New Roman"/>
          <w:sz w:val="22"/>
          <w:szCs w:val="22"/>
        </w:rPr>
        <w:footnoteRef/>
      </w:r>
      <w:r w:rsidRPr="00914D72">
        <w:rPr>
          <w:rFonts w:ascii="Times New Roman" w:hAnsi="Times New Roman" w:cs="Times New Roman"/>
          <w:sz w:val="22"/>
          <w:szCs w:val="22"/>
        </w:rPr>
        <w:t xml:space="preserve"> </w:t>
      </w:r>
      <w:r w:rsidR="00C41893" w:rsidRPr="00914D72">
        <w:rPr>
          <w:rFonts w:ascii="Times New Roman" w:hAnsi="Times New Roman" w:cs="Times New Roman"/>
          <w:sz w:val="22"/>
          <w:szCs w:val="22"/>
        </w:rPr>
        <w:t>Walter</w:t>
      </w:r>
      <w:r w:rsidR="00C41893" w:rsidRPr="00914D72">
        <w:rPr>
          <w:rFonts w:ascii="Times New Roman" w:hAnsi="Times New Roman" w:cs="Times New Roman"/>
          <w:sz w:val="22"/>
          <w:szCs w:val="22"/>
        </w:rPr>
        <w:t xml:space="preserve">, </w:t>
      </w:r>
      <w:r w:rsidR="00C41893" w:rsidRPr="00914D72">
        <w:rPr>
          <w:rFonts w:ascii="Times New Roman" w:hAnsi="Times New Roman" w:cs="Times New Roman"/>
          <w:sz w:val="22"/>
          <w:szCs w:val="22"/>
        </w:rPr>
        <w:t>B</w:t>
      </w:r>
      <w:r w:rsidR="00C41893" w:rsidRPr="00914D72">
        <w:rPr>
          <w:rFonts w:ascii="Times New Roman" w:hAnsi="Times New Roman" w:cs="Times New Roman"/>
          <w:sz w:val="22"/>
          <w:szCs w:val="22"/>
        </w:rPr>
        <w:t xml:space="preserve">. and Underwood, J.A. (2008) </w:t>
      </w:r>
      <w:r w:rsidR="00C41893" w:rsidRPr="00914D72">
        <w:rPr>
          <w:rFonts w:ascii="Times New Roman" w:hAnsi="Times New Roman" w:cs="Times New Roman"/>
          <w:i/>
          <w:iCs/>
          <w:sz w:val="22"/>
          <w:szCs w:val="22"/>
        </w:rPr>
        <w:t>The work of art in the age of mechanical reproduction</w:t>
      </w:r>
      <w:r w:rsidR="00C41893" w:rsidRPr="00914D72">
        <w:rPr>
          <w:rFonts w:ascii="Times New Roman" w:hAnsi="Times New Roman" w:cs="Times New Roman"/>
          <w:sz w:val="22"/>
          <w:szCs w:val="22"/>
        </w:rPr>
        <w:t>.</w:t>
      </w:r>
    </w:p>
  </w:footnote>
  <w:footnote w:id="51">
    <w:p w14:paraId="7F279A3E" w14:textId="11B349D2" w:rsidR="00AA71E9" w:rsidRPr="00914D72" w:rsidRDefault="00AA71E9" w:rsidP="00914D72">
      <w:pPr>
        <w:spacing w:after="0"/>
        <w:rPr>
          <w:rFonts w:ascii="Times New Roman" w:hAnsi="Times New Roman" w:cs="Times New Roman"/>
        </w:rPr>
      </w:pPr>
      <w:r w:rsidRPr="00914D72">
        <w:rPr>
          <w:rStyle w:val="FootnoteReference"/>
          <w:rFonts w:ascii="Times New Roman" w:hAnsi="Times New Roman" w:cs="Times New Roman"/>
        </w:rPr>
        <w:footnoteRef/>
      </w:r>
      <w:r w:rsidRPr="00914D72">
        <w:rPr>
          <w:rFonts w:ascii="Times New Roman" w:hAnsi="Times New Roman" w:cs="Times New Roman"/>
        </w:rPr>
        <w:t xml:space="preserve"> </w:t>
      </w:r>
      <w:r w:rsidR="002A48D2" w:rsidRPr="00914D72">
        <w:rPr>
          <w:rFonts w:ascii="Times New Roman" w:hAnsi="Times New Roman" w:cs="Times New Roman"/>
        </w:rPr>
        <w:t>‘The Battlefields Hub → Medieval → the Evesham Campaign → the Battle of Battle of Evesham → Visiting the Battlefield - the de Montfort Memorial’. 2017. </w:t>
      </w:r>
      <w:r w:rsidR="002A48D2" w:rsidRPr="00914D72">
        <w:rPr>
          <w:rFonts w:ascii="Times New Roman" w:hAnsi="Times New Roman" w:cs="Times New Roman"/>
          <w:i/>
          <w:iCs/>
        </w:rPr>
        <w:t>Battlefieldstrust.com</w:t>
      </w:r>
      <w:r w:rsidR="002A48D2" w:rsidRPr="00914D72">
        <w:rPr>
          <w:rFonts w:ascii="Times New Roman" w:hAnsi="Times New Roman" w:cs="Times New Roman"/>
        </w:rPr>
        <w:t> &lt;https://www.battlefieldstrust.com/resource-centre/battlepageview.asp?pageid=597&amp;parentid=586&gt; [accessed 20 February 2026]</w:t>
      </w:r>
      <w:r w:rsidR="00914D72">
        <w:rPr>
          <w:rFonts w:ascii="Times New Roman" w:hAnsi="Times New Roman" w:cs="Times New Roman"/>
        </w:rPr>
        <w:t>.</w:t>
      </w:r>
    </w:p>
  </w:footnote>
  <w:footnote w:id="52">
    <w:p w14:paraId="67FECB88" w14:textId="2373C0E4" w:rsidR="00C41893" w:rsidRPr="00914D72" w:rsidRDefault="00C41893" w:rsidP="00914D72">
      <w:pPr>
        <w:pStyle w:val="FootnoteText"/>
        <w:rPr>
          <w:rFonts w:ascii="Times New Roman" w:hAnsi="Times New Roman" w:cs="Times New Roman"/>
          <w:sz w:val="22"/>
          <w:szCs w:val="22"/>
        </w:rPr>
      </w:pPr>
      <w:r w:rsidRPr="00914D72">
        <w:rPr>
          <w:rStyle w:val="FootnoteReference"/>
          <w:rFonts w:ascii="Times New Roman" w:hAnsi="Times New Roman" w:cs="Times New Roman"/>
          <w:sz w:val="22"/>
          <w:szCs w:val="22"/>
        </w:rPr>
        <w:footnoteRef/>
      </w:r>
      <w:r w:rsidRPr="00914D72">
        <w:rPr>
          <w:rFonts w:ascii="Times New Roman" w:hAnsi="Times New Roman" w:cs="Times New Roman"/>
          <w:sz w:val="22"/>
          <w:szCs w:val="22"/>
        </w:rPr>
        <w:t xml:space="preserve"> </w:t>
      </w:r>
      <w:r w:rsidRPr="00914D72">
        <w:rPr>
          <w:rFonts w:ascii="Times New Roman" w:hAnsi="Times New Roman" w:cs="Times New Roman"/>
          <w:sz w:val="22"/>
          <w:szCs w:val="22"/>
        </w:rPr>
        <w:t xml:space="preserve">Holtorf, Cornelius. “On Pastness: A Reconsideration of Materiality in Archaeological Object Authenticity.” </w:t>
      </w:r>
      <w:r w:rsidRPr="00914D72">
        <w:rPr>
          <w:rFonts w:ascii="Times New Roman" w:hAnsi="Times New Roman" w:cs="Times New Roman"/>
          <w:i/>
          <w:iCs/>
          <w:sz w:val="22"/>
          <w:szCs w:val="22"/>
        </w:rPr>
        <w:t>Anthropological Quarterly</w:t>
      </w:r>
      <w:r w:rsidRPr="00914D72">
        <w:rPr>
          <w:rFonts w:ascii="Times New Roman" w:hAnsi="Times New Roman" w:cs="Times New Roman"/>
          <w:sz w:val="22"/>
          <w:szCs w:val="22"/>
        </w:rPr>
        <w:t xml:space="preserve">, vol. 86, no. 2, 2013, pp. 427–43. </w:t>
      </w:r>
      <w:r w:rsidRPr="00914D72">
        <w:rPr>
          <w:rFonts w:ascii="Times New Roman" w:hAnsi="Times New Roman" w:cs="Times New Roman"/>
          <w:i/>
          <w:iCs/>
          <w:sz w:val="22"/>
          <w:szCs w:val="22"/>
        </w:rPr>
        <w:t>JSTOR</w:t>
      </w:r>
      <w:r w:rsidRPr="00914D72">
        <w:rPr>
          <w:rFonts w:ascii="Times New Roman" w:hAnsi="Times New Roman" w:cs="Times New Roman"/>
          <w:sz w:val="22"/>
          <w:szCs w:val="22"/>
        </w:rPr>
        <w:t>, http://www.jstor.org/stable/41857332.</w:t>
      </w:r>
    </w:p>
  </w:footnote>
  <w:footnote w:id="53">
    <w:p w14:paraId="77126228" w14:textId="49160C39" w:rsidR="001E0A6D" w:rsidRPr="0046715A" w:rsidRDefault="001E0A6D">
      <w:pPr>
        <w:pStyle w:val="FootnoteText"/>
        <w:rPr>
          <w:rFonts w:ascii="Times New Roman" w:hAnsi="Times New Roman" w:cs="Times New Roman"/>
          <w:sz w:val="22"/>
          <w:szCs w:val="22"/>
        </w:rPr>
      </w:pPr>
      <w:r w:rsidRPr="0046715A">
        <w:rPr>
          <w:rStyle w:val="FootnoteReference"/>
          <w:rFonts w:ascii="Times New Roman" w:hAnsi="Times New Roman" w:cs="Times New Roman"/>
          <w:sz w:val="22"/>
          <w:szCs w:val="22"/>
        </w:rPr>
        <w:footnoteRef/>
      </w:r>
      <w:r w:rsidRPr="0046715A">
        <w:rPr>
          <w:rFonts w:ascii="Times New Roman" w:hAnsi="Times New Roman" w:cs="Times New Roman"/>
          <w:sz w:val="22"/>
          <w:szCs w:val="22"/>
        </w:rPr>
        <w:t xml:space="preserve"> Ibid.</w:t>
      </w:r>
    </w:p>
  </w:footnote>
  <w:footnote w:id="54">
    <w:p w14:paraId="236D034D" w14:textId="342CEDA5" w:rsidR="00AA71E9" w:rsidRPr="0046715A" w:rsidRDefault="00AA71E9">
      <w:pPr>
        <w:pStyle w:val="FootnoteText"/>
        <w:rPr>
          <w:rFonts w:ascii="Times New Roman" w:hAnsi="Times New Roman" w:cs="Times New Roman"/>
        </w:rPr>
      </w:pPr>
      <w:r w:rsidRPr="0046715A">
        <w:rPr>
          <w:rStyle w:val="FootnoteReference"/>
          <w:rFonts w:ascii="Times New Roman" w:hAnsi="Times New Roman" w:cs="Times New Roman"/>
          <w:sz w:val="22"/>
          <w:szCs w:val="22"/>
        </w:rPr>
        <w:footnoteRef/>
      </w:r>
      <w:r w:rsidRPr="0046715A">
        <w:rPr>
          <w:rFonts w:ascii="Times New Roman" w:hAnsi="Times New Roman" w:cs="Times New Roman"/>
          <w:sz w:val="22"/>
          <w:szCs w:val="22"/>
        </w:rPr>
        <w:t xml:space="preserve"> Ibid.</w:t>
      </w:r>
    </w:p>
  </w:footnote>
  <w:footnote w:id="55">
    <w:p w14:paraId="581F08EB" w14:textId="3D27A317" w:rsidR="00B00B09" w:rsidRPr="005F3ED2" w:rsidRDefault="00B00B09" w:rsidP="005F3ED2">
      <w:pPr>
        <w:spacing w:after="0"/>
        <w:rPr>
          <w:rFonts w:ascii="Times New Roman" w:hAnsi="Times New Roman" w:cs="Times New Roman"/>
        </w:rPr>
      </w:pPr>
      <w:r w:rsidRPr="005F3ED2">
        <w:rPr>
          <w:rStyle w:val="FootnoteReference"/>
          <w:rFonts w:ascii="Times New Roman" w:hAnsi="Times New Roman" w:cs="Times New Roman"/>
        </w:rPr>
        <w:footnoteRef/>
      </w:r>
      <w:r w:rsidRPr="005F3ED2">
        <w:rPr>
          <w:rFonts w:ascii="Times New Roman" w:hAnsi="Times New Roman" w:cs="Times New Roman"/>
        </w:rPr>
        <w:t xml:space="preserve"> </w:t>
      </w:r>
      <w:r w:rsidR="0046715A" w:rsidRPr="005F3ED2">
        <w:rPr>
          <w:rFonts w:ascii="Times New Roman" w:hAnsi="Times New Roman" w:cs="Times New Roman"/>
        </w:rPr>
        <w:t>Joseph, C.N,</w:t>
      </w:r>
      <w:r w:rsidR="0046715A" w:rsidRPr="005F3ED2">
        <w:rPr>
          <w:rFonts w:ascii="Times New Roman" w:hAnsi="Times New Roman" w:cs="Times New Roman"/>
        </w:rPr>
        <w:t xml:space="preserve"> et al. “The Concept of Authenticity: What It Means to Consumers.” </w:t>
      </w:r>
      <w:r w:rsidR="0046715A" w:rsidRPr="005F3ED2">
        <w:rPr>
          <w:rFonts w:ascii="Times New Roman" w:hAnsi="Times New Roman" w:cs="Times New Roman"/>
          <w:i/>
          <w:iCs/>
        </w:rPr>
        <w:t>Journal of Marketing</w:t>
      </w:r>
      <w:r w:rsidR="0046715A" w:rsidRPr="005F3ED2">
        <w:rPr>
          <w:rFonts w:ascii="Times New Roman" w:hAnsi="Times New Roman" w:cs="Times New Roman"/>
        </w:rPr>
        <w:t xml:space="preserve">, vol. 85, no. 4, 2021, pp. 1–20. </w:t>
      </w:r>
      <w:r w:rsidR="0046715A" w:rsidRPr="005F3ED2">
        <w:rPr>
          <w:rFonts w:ascii="Times New Roman" w:hAnsi="Times New Roman" w:cs="Times New Roman"/>
          <w:i/>
          <w:iCs/>
        </w:rPr>
        <w:t>JSTOR</w:t>
      </w:r>
      <w:r w:rsidR="0046715A" w:rsidRPr="005F3ED2">
        <w:rPr>
          <w:rFonts w:ascii="Times New Roman" w:hAnsi="Times New Roman" w:cs="Times New Roman"/>
        </w:rPr>
        <w:t xml:space="preserve">, </w:t>
      </w:r>
      <w:r w:rsidR="0046715A" w:rsidRPr="005F3ED2">
        <w:rPr>
          <w:rFonts w:ascii="Times New Roman" w:hAnsi="Times New Roman" w:cs="Times New Roman"/>
        </w:rPr>
        <w:t>https://www.jstor.org/stable/27114307</w:t>
      </w:r>
      <w:r w:rsidR="0046715A" w:rsidRPr="005F3ED2">
        <w:rPr>
          <w:rFonts w:ascii="Times New Roman" w:hAnsi="Times New Roman" w:cs="Times New Roman"/>
        </w:rPr>
        <w:t>.</w:t>
      </w:r>
    </w:p>
  </w:footnote>
  <w:footnote w:id="56">
    <w:p w14:paraId="34376314" w14:textId="5F5AB6CD" w:rsidR="003B6C9B" w:rsidRDefault="003B6C9B" w:rsidP="005F3ED2">
      <w:pPr>
        <w:pStyle w:val="FootnoteText"/>
      </w:pPr>
      <w:r w:rsidRPr="005F3ED2">
        <w:rPr>
          <w:rStyle w:val="FootnoteReference"/>
          <w:rFonts w:ascii="Times New Roman" w:hAnsi="Times New Roman" w:cs="Times New Roman"/>
          <w:sz w:val="22"/>
          <w:szCs w:val="22"/>
        </w:rPr>
        <w:footnoteRef/>
      </w:r>
      <w:r w:rsidRPr="005F3ED2">
        <w:rPr>
          <w:rFonts w:ascii="Times New Roman" w:hAnsi="Times New Roman" w:cs="Times New Roman"/>
          <w:sz w:val="22"/>
          <w:szCs w:val="22"/>
        </w:rPr>
        <w:t xml:space="preserve"> </w:t>
      </w:r>
      <w:r w:rsidRPr="005F3ED2">
        <w:rPr>
          <w:rFonts w:ascii="Times New Roman" w:hAnsi="Times New Roman" w:cs="Times New Roman"/>
          <w:sz w:val="22"/>
          <w:szCs w:val="22"/>
        </w:rPr>
        <w:t xml:space="preserve">Holtorf, Cornelius. “On Pastness: A Reconsideration of Materiality in Archaeological Object Authenticity.” </w:t>
      </w:r>
      <w:r w:rsidRPr="005F3ED2">
        <w:rPr>
          <w:rFonts w:ascii="Times New Roman" w:hAnsi="Times New Roman" w:cs="Times New Roman"/>
          <w:i/>
          <w:iCs/>
          <w:sz w:val="22"/>
          <w:szCs w:val="22"/>
        </w:rPr>
        <w:t>Anthropological Quarterly</w:t>
      </w:r>
      <w:r w:rsidRPr="005F3ED2">
        <w:rPr>
          <w:rFonts w:ascii="Times New Roman" w:hAnsi="Times New Roman" w:cs="Times New Roman"/>
          <w:sz w:val="22"/>
          <w:szCs w:val="22"/>
        </w:rPr>
        <w:t xml:space="preserve">, vol. 86, no. 2, 2013, pp. 427–43. </w:t>
      </w:r>
      <w:r w:rsidRPr="005F3ED2">
        <w:rPr>
          <w:rFonts w:ascii="Times New Roman" w:hAnsi="Times New Roman" w:cs="Times New Roman"/>
          <w:i/>
          <w:iCs/>
          <w:sz w:val="22"/>
          <w:szCs w:val="22"/>
        </w:rPr>
        <w:t>JSTOR</w:t>
      </w:r>
      <w:r w:rsidRPr="005F3ED2">
        <w:rPr>
          <w:rFonts w:ascii="Times New Roman" w:hAnsi="Times New Roman" w:cs="Times New Roman"/>
          <w:sz w:val="22"/>
          <w:szCs w:val="22"/>
        </w:rPr>
        <w:t>, http://www.jstor.org/stable/41857332.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6F1C6D" w14:textId="36C4C77B" w:rsidR="002C37E6" w:rsidRPr="002C37E6" w:rsidRDefault="002C37E6">
    <w:pPr>
      <w:pStyle w:val="Header"/>
      <w:jc w:val="center"/>
      <w:rPr>
        <w:sz w:val="20"/>
      </w:rPr>
    </w:pPr>
    <w:sdt>
      <w:sdtPr>
        <w:rPr>
          <w:sz w:val="20"/>
          <w:szCs w:val="20"/>
        </w:rPr>
        <w:id w:val="1816834791"/>
        <w:docPartObj>
          <w:docPartGallery w:val="Page Numbers (Margins)"/>
          <w:docPartUnique/>
        </w:docPartObj>
      </w:sdtPr>
      <w:sdtContent>
        <w:r w:rsidRPr="002C37E6">
          <w:rPr>
            <w:noProof/>
            <w:sz w:val="20"/>
            <w:szCs w:val="20"/>
          </w:rPr>
          <mc:AlternateContent>
            <mc:Choice Requires="wps">
              <w:drawing>
                <wp:anchor distT="0" distB="0" distL="114300" distR="114300" simplePos="0" relativeHeight="251659264" behindDoc="0" locked="0" layoutInCell="0" allowOverlap="1" wp14:anchorId="49EAFD1D" wp14:editId="6B69624C">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157621154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6FD1EF8" w14:textId="77777777" w:rsidR="002C37E6" w:rsidRDefault="002C37E6">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49EAFD1D" id="Rectangle 1" o:spid="_x0000_s1027" style="position:absolute;left:0;text-align:left;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56FD1EF8" w14:textId="77777777" w:rsidR="002C37E6" w:rsidRDefault="002C37E6">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sdt>
      <w:sdtPr>
        <w:rPr>
          <w:sz w:val="20"/>
          <w:szCs w:val="20"/>
        </w:rPr>
        <w:alias w:val="Author"/>
        <w:tag w:val=""/>
        <w:id w:val="-952397527"/>
        <w:placeholder>
          <w:docPart w:val="7EBB3D3AF56F4B309FE73CF3648A7967"/>
        </w:placeholder>
        <w:dataBinding w:prefixMappings="xmlns:ns0='http://purl.org/dc/elements/1.1/' xmlns:ns1='http://schemas.openxmlformats.org/package/2006/metadata/core-properties' " w:xpath="/ns1:coreProperties[1]/ns0:creator[1]" w:storeItemID="{6C3C8BC8-F283-45AE-878A-BAB7291924A1}"/>
        <w:text/>
      </w:sdtPr>
      <w:sdtContent>
        <w:r w:rsidRPr="002C37E6">
          <w:rPr>
            <w:sz w:val="20"/>
            <w:szCs w:val="20"/>
          </w:rPr>
          <w:t>Evan Davies (2304228)</w:t>
        </w:r>
      </w:sdtContent>
    </w:sdt>
  </w:p>
  <w:p w14:paraId="13A28ADF" w14:textId="4B308EC0" w:rsidR="002C37E6" w:rsidRPr="002C37E6" w:rsidRDefault="002C37E6">
    <w:pPr>
      <w:pStyle w:val="Header"/>
      <w:jc w:val="center"/>
      <w:rPr>
        <w:caps/>
      </w:rPr>
    </w:pPr>
    <w:r w:rsidRPr="002C37E6">
      <w:rPr>
        <w:caps/>
      </w:rPr>
      <w:t xml:space="preserve"> </w:t>
    </w:r>
    <w:sdt>
      <w:sdtPr>
        <w:rPr>
          <w:caps/>
        </w:rPr>
        <w:alias w:val="Title"/>
        <w:tag w:val=""/>
        <w:id w:val="-1954942076"/>
        <w:placeholder>
          <w:docPart w:val="9E7922F2DD5A471887610207C56D05AA"/>
        </w:placeholder>
        <w:dataBinding w:prefixMappings="xmlns:ns0='http://purl.org/dc/elements/1.1/' xmlns:ns1='http://schemas.openxmlformats.org/package/2006/metadata/core-properties' " w:xpath="/ns1:coreProperties[1]/ns0:title[1]" w:storeItemID="{6C3C8BC8-F283-45AE-878A-BAB7291924A1}"/>
        <w:text/>
      </w:sdtPr>
      <w:sdtContent>
        <w:r w:rsidRPr="002C37E6">
          <w:rPr>
            <w:caps/>
          </w:rPr>
          <w:t>Discuss the issue of authenticity in relation to battlefield / military memorials</w:t>
        </w:r>
      </w:sdtContent>
    </w:sdt>
  </w:p>
  <w:p w14:paraId="5CB3926C" w14:textId="77777777" w:rsidR="002C37E6" w:rsidRDefault="002C37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7E6"/>
    <w:rsid w:val="000104E4"/>
    <w:rsid w:val="0001084A"/>
    <w:rsid w:val="00017963"/>
    <w:rsid w:val="00025E33"/>
    <w:rsid w:val="00026E8B"/>
    <w:rsid w:val="0003209D"/>
    <w:rsid w:val="00043225"/>
    <w:rsid w:val="000442F3"/>
    <w:rsid w:val="00053B11"/>
    <w:rsid w:val="0006742C"/>
    <w:rsid w:val="00080583"/>
    <w:rsid w:val="00087ABB"/>
    <w:rsid w:val="000979AB"/>
    <w:rsid w:val="000A2118"/>
    <w:rsid w:val="000A5956"/>
    <w:rsid w:val="000B48D9"/>
    <w:rsid w:val="000B7BFD"/>
    <w:rsid w:val="000E29D5"/>
    <w:rsid w:val="000F3E02"/>
    <w:rsid w:val="001014EC"/>
    <w:rsid w:val="00102D23"/>
    <w:rsid w:val="001117F4"/>
    <w:rsid w:val="0011484D"/>
    <w:rsid w:val="00124729"/>
    <w:rsid w:val="0013026A"/>
    <w:rsid w:val="00154DA2"/>
    <w:rsid w:val="00154E39"/>
    <w:rsid w:val="00155004"/>
    <w:rsid w:val="0016463B"/>
    <w:rsid w:val="001660F5"/>
    <w:rsid w:val="00177A12"/>
    <w:rsid w:val="00185CE4"/>
    <w:rsid w:val="001A16EF"/>
    <w:rsid w:val="001A4F71"/>
    <w:rsid w:val="001B2BB2"/>
    <w:rsid w:val="001B2CA8"/>
    <w:rsid w:val="001B5692"/>
    <w:rsid w:val="001C75D8"/>
    <w:rsid w:val="001E0A6D"/>
    <w:rsid w:val="001E1E66"/>
    <w:rsid w:val="001F5CF4"/>
    <w:rsid w:val="00200C45"/>
    <w:rsid w:val="00200F59"/>
    <w:rsid w:val="0021130F"/>
    <w:rsid w:val="00214A9D"/>
    <w:rsid w:val="00217F27"/>
    <w:rsid w:val="002206CA"/>
    <w:rsid w:val="0022332D"/>
    <w:rsid w:val="00236BED"/>
    <w:rsid w:val="00244531"/>
    <w:rsid w:val="00271248"/>
    <w:rsid w:val="00276768"/>
    <w:rsid w:val="00284932"/>
    <w:rsid w:val="002856B9"/>
    <w:rsid w:val="00294168"/>
    <w:rsid w:val="002A0675"/>
    <w:rsid w:val="002A48D2"/>
    <w:rsid w:val="002B3C8D"/>
    <w:rsid w:val="002C0028"/>
    <w:rsid w:val="002C37E6"/>
    <w:rsid w:val="002C4EBE"/>
    <w:rsid w:val="002C5501"/>
    <w:rsid w:val="002D1B39"/>
    <w:rsid w:val="002D7D59"/>
    <w:rsid w:val="002F5AE7"/>
    <w:rsid w:val="002F75BC"/>
    <w:rsid w:val="0030436D"/>
    <w:rsid w:val="003049F0"/>
    <w:rsid w:val="00306962"/>
    <w:rsid w:val="003130CD"/>
    <w:rsid w:val="00333A3F"/>
    <w:rsid w:val="00344E49"/>
    <w:rsid w:val="00371AAF"/>
    <w:rsid w:val="00377861"/>
    <w:rsid w:val="00396A15"/>
    <w:rsid w:val="003B0D15"/>
    <w:rsid w:val="003B6C9B"/>
    <w:rsid w:val="003C4837"/>
    <w:rsid w:val="003C6775"/>
    <w:rsid w:val="003C7F1D"/>
    <w:rsid w:val="003D2076"/>
    <w:rsid w:val="003E1584"/>
    <w:rsid w:val="003F1466"/>
    <w:rsid w:val="004118EE"/>
    <w:rsid w:val="0041655D"/>
    <w:rsid w:val="00426CEA"/>
    <w:rsid w:val="0043275D"/>
    <w:rsid w:val="00435A13"/>
    <w:rsid w:val="00436B65"/>
    <w:rsid w:val="0043733B"/>
    <w:rsid w:val="0046285D"/>
    <w:rsid w:val="00464145"/>
    <w:rsid w:val="0046715A"/>
    <w:rsid w:val="00471053"/>
    <w:rsid w:val="00482048"/>
    <w:rsid w:val="004909C3"/>
    <w:rsid w:val="004943D8"/>
    <w:rsid w:val="004A1482"/>
    <w:rsid w:val="004A2884"/>
    <w:rsid w:val="004A4F59"/>
    <w:rsid w:val="004B09E6"/>
    <w:rsid w:val="004B747E"/>
    <w:rsid w:val="004C0863"/>
    <w:rsid w:val="004C4412"/>
    <w:rsid w:val="004C4F8F"/>
    <w:rsid w:val="004D310F"/>
    <w:rsid w:val="004D3AE5"/>
    <w:rsid w:val="004D4013"/>
    <w:rsid w:val="004F5894"/>
    <w:rsid w:val="00521E9F"/>
    <w:rsid w:val="00526368"/>
    <w:rsid w:val="00535E2E"/>
    <w:rsid w:val="005368DE"/>
    <w:rsid w:val="00567CEE"/>
    <w:rsid w:val="00585183"/>
    <w:rsid w:val="005950F2"/>
    <w:rsid w:val="005A14A0"/>
    <w:rsid w:val="005A2165"/>
    <w:rsid w:val="005B1D84"/>
    <w:rsid w:val="005C16AB"/>
    <w:rsid w:val="005C27A3"/>
    <w:rsid w:val="005C503A"/>
    <w:rsid w:val="005C61B4"/>
    <w:rsid w:val="005D28B8"/>
    <w:rsid w:val="005D786D"/>
    <w:rsid w:val="005F3ED2"/>
    <w:rsid w:val="005F5537"/>
    <w:rsid w:val="006033B5"/>
    <w:rsid w:val="00607528"/>
    <w:rsid w:val="00636248"/>
    <w:rsid w:val="00647A4B"/>
    <w:rsid w:val="006749EC"/>
    <w:rsid w:val="00677C95"/>
    <w:rsid w:val="00677DAF"/>
    <w:rsid w:val="0068401D"/>
    <w:rsid w:val="00684E47"/>
    <w:rsid w:val="00696D09"/>
    <w:rsid w:val="006A303E"/>
    <w:rsid w:val="006B7EA7"/>
    <w:rsid w:val="006D1BE6"/>
    <w:rsid w:val="006D4E6A"/>
    <w:rsid w:val="006F1406"/>
    <w:rsid w:val="00701885"/>
    <w:rsid w:val="00733C7D"/>
    <w:rsid w:val="0073488A"/>
    <w:rsid w:val="00743708"/>
    <w:rsid w:val="00757B45"/>
    <w:rsid w:val="00764E25"/>
    <w:rsid w:val="00767DA5"/>
    <w:rsid w:val="00771F7A"/>
    <w:rsid w:val="00777E17"/>
    <w:rsid w:val="00786E62"/>
    <w:rsid w:val="007913F6"/>
    <w:rsid w:val="007B189B"/>
    <w:rsid w:val="007C23E6"/>
    <w:rsid w:val="007C5E42"/>
    <w:rsid w:val="007C6876"/>
    <w:rsid w:val="007F08C8"/>
    <w:rsid w:val="007F468E"/>
    <w:rsid w:val="00810248"/>
    <w:rsid w:val="0081043F"/>
    <w:rsid w:val="00815F37"/>
    <w:rsid w:val="0082622A"/>
    <w:rsid w:val="008327E9"/>
    <w:rsid w:val="008334F4"/>
    <w:rsid w:val="008447C2"/>
    <w:rsid w:val="008802DD"/>
    <w:rsid w:val="008828D5"/>
    <w:rsid w:val="00891129"/>
    <w:rsid w:val="00897C61"/>
    <w:rsid w:val="008A082B"/>
    <w:rsid w:val="008B4F73"/>
    <w:rsid w:val="008D6839"/>
    <w:rsid w:val="008F250D"/>
    <w:rsid w:val="00900419"/>
    <w:rsid w:val="009044E7"/>
    <w:rsid w:val="00906B3C"/>
    <w:rsid w:val="00911235"/>
    <w:rsid w:val="00913F5C"/>
    <w:rsid w:val="00914D72"/>
    <w:rsid w:val="00914E6C"/>
    <w:rsid w:val="00917A3D"/>
    <w:rsid w:val="009216A1"/>
    <w:rsid w:val="009277CD"/>
    <w:rsid w:val="00932EEE"/>
    <w:rsid w:val="009420F5"/>
    <w:rsid w:val="009465F9"/>
    <w:rsid w:val="009559CC"/>
    <w:rsid w:val="009677A3"/>
    <w:rsid w:val="00967862"/>
    <w:rsid w:val="00981043"/>
    <w:rsid w:val="009878F4"/>
    <w:rsid w:val="0098796D"/>
    <w:rsid w:val="009A037A"/>
    <w:rsid w:val="009A1E3E"/>
    <w:rsid w:val="009B0AA5"/>
    <w:rsid w:val="009B380F"/>
    <w:rsid w:val="009B6009"/>
    <w:rsid w:val="009D5026"/>
    <w:rsid w:val="009E353A"/>
    <w:rsid w:val="009F6524"/>
    <w:rsid w:val="009F779B"/>
    <w:rsid w:val="00A1356F"/>
    <w:rsid w:val="00A201EC"/>
    <w:rsid w:val="00A41490"/>
    <w:rsid w:val="00A41810"/>
    <w:rsid w:val="00A422CB"/>
    <w:rsid w:val="00A468FB"/>
    <w:rsid w:val="00A47AB2"/>
    <w:rsid w:val="00A53733"/>
    <w:rsid w:val="00A61574"/>
    <w:rsid w:val="00A639C9"/>
    <w:rsid w:val="00A64F20"/>
    <w:rsid w:val="00A650B3"/>
    <w:rsid w:val="00A73C3E"/>
    <w:rsid w:val="00A75035"/>
    <w:rsid w:val="00A75A95"/>
    <w:rsid w:val="00AA2181"/>
    <w:rsid w:val="00AA71E9"/>
    <w:rsid w:val="00AA7D68"/>
    <w:rsid w:val="00AB336D"/>
    <w:rsid w:val="00AB4135"/>
    <w:rsid w:val="00AB7212"/>
    <w:rsid w:val="00AC3AC1"/>
    <w:rsid w:val="00AE07F1"/>
    <w:rsid w:val="00B00B09"/>
    <w:rsid w:val="00B02E84"/>
    <w:rsid w:val="00B06DA8"/>
    <w:rsid w:val="00B15D9A"/>
    <w:rsid w:val="00B317DE"/>
    <w:rsid w:val="00B32E42"/>
    <w:rsid w:val="00B44A90"/>
    <w:rsid w:val="00B45AD9"/>
    <w:rsid w:val="00B5303F"/>
    <w:rsid w:val="00B55F6B"/>
    <w:rsid w:val="00B664ED"/>
    <w:rsid w:val="00B70AC0"/>
    <w:rsid w:val="00B944A9"/>
    <w:rsid w:val="00BC5BB4"/>
    <w:rsid w:val="00BD4154"/>
    <w:rsid w:val="00BD6EC2"/>
    <w:rsid w:val="00BE105A"/>
    <w:rsid w:val="00BE1444"/>
    <w:rsid w:val="00BE1AEF"/>
    <w:rsid w:val="00BF20E1"/>
    <w:rsid w:val="00C05F78"/>
    <w:rsid w:val="00C1546B"/>
    <w:rsid w:val="00C22D96"/>
    <w:rsid w:val="00C250B8"/>
    <w:rsid w:val="00C41893"/>
    <w:rsid w:val="00C44858"/>
    <w:rsid w:val="00C77371"/>
    <w:rsid w:val="00C8764E"/>
    <w:rsid w:val="00C92067"/>
    <w:rsid w:val="00C92586"/>
    <w:rsid w:val="00C95A32"/>
    <w:rsid w:val="00C9652E"/>
    <w:rsid w:val="00CA4978"/>
    <w:rsid w:val="00CB1C1A"/>
    <w:rsid w:val="00CC01A7"/>
    <w:rsid w:val="00CC5BD2"/>
    <w:rsid w:val="00CD583D"/>
    <w:rsid w:val="00CE766A"/>
    <w:rsid w:val="00CF4435"/>
    <w:rsid w:val="00D15DE3"/>
    <w:rsid w:val="00D21C28"/>
    <w:rsid w:val="00D27A4D"/>
    <w:rsid w:val="00D32930"/>
    <w:rsid w:val="00D33284"/>
    <w:rsid w:val="00D525BD"/>
    <w:rsid w:val="00D547D6"/>
    <w:rsid w:val="00D80408"/>
    <w:rsid w:val="00D92A66"/>
    <w:rsid w:val="00DA757E"/>
    <w:rsid w:val="00DB110F"/>
    <w:rsid w:val="00DB3E49"/>
    <w:rsid w:val="00DC3030"/>
    <w:rsid w:val="00DD2F39"/>
    <w:rsid w:val="00DE504C"/>
    <w:rsid w:val="00DE5D7A"/>
    <w:rsid w:val="00DF3021"/>
    <w:rsid w:val="00E019F8"/>
    <w:rsid w:val="00E024C1"/>
    <w:rsid w:val="00E03930"/>
    <w:rsid w:val="00E07916"/>
    <w:rsid w:val="00E104FB"/>
    <w:rsid w:val="00E20B3D"/>
    <w:rsid w:val="00E261F9"/>
    <w:rsid w:val="00E27A7E"/>
    <w:rsid w:val="00E60AD7"/>
    <w:rsid w:val="00E645E4"/>
    <w:rsid w:val="00E950D2"/>
    <w:rsid w:val="00E96A37"/>
    <w:rsid w:val="00EA78E4"/>
    <w:rsid w:val="00EB61A8"/>
    <w:rsid w:val="00EB71CC"/>
    <w:rsid w:val="00EC0AB8"/>
    <w:rsid w:val="00EC6FE6"/>
    <w:rsid w:val="00EE0222"/>
    <w:rsid w:val="00EF0513"/>
    <w:rsid w:val="00EF0607"/>
    <w:rsid w:val="00F00276"/>
    <w:rsid w:val="00F05CCC"/>
    <w:rsid w:val="00F165CA"/>
    <w:rsid w:val="00F30B17"/>
    <w:rsid w:val="00F35313"/>
    <w:rsid w:val="00F35E6E"/>
    <w:rsid w:val="00F52BE6"/>
    <w:rsid w:val="00F6121B"/>
    <w:rsid w:val="00F629F6"/>
    <w:rsid w:val="00F636D0"/>
    <w:rsid w:val="00F663BC"/>
    <w:rsid w:val="00F67D6B"/>
    <w:rsid w:val="00F82D11"/>
    <w:rsid w:val="00FA5365"/>
    <w:rsid w:val="00FC3F3B"/>
    <w:rsid w:val="00FC68F0"/>
    <w:rsid w:val="00FD0175"/>
    <w:rsid w:val="00FD3A23"/>
    <w:rsid w:val="00FE6E90"/>
    <w:rsid w:val="00FF5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453D36"/>
  <w15:chartTrackingRefBased/>
  <w15:docId w15:val="{F5544B79-7545-4CED-AB5D-EB03E43F1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7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37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7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7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7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7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7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7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7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7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37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7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7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7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7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7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7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7E6"/>
    <w:rPr>
      <w:rFonts w:eastAsiaTheme="majorEastAsia" w:cstheme="majorBidi"/>
      <w:color w:val="272727" w:themeColor="text1" w:themeTint="D8"/>
    </w:rPr>
  </w:style>
  <w:style w:type="paragraph" w:styleId="Title">
    <w:name w:val="Title"/>
    <w:basedOn w:val="Normal"/>
    <w:next w:val="Normal"/>
    <w:link w:val="TitleChar"/>
    <w:uiPriority w:val="10"/>
    <w:qFormat/>
    <w:rsid w:val="002C37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7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7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7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7E6"/>
    <w:pPr>
      <w:spacing w:before="160"/>
      <w:jc w:val="center"/>
    </w:pPr>
    <w:rPr>
      <w:i/>
      <w:iCs/>
      <w:color w:val="404040" w:themeColor="text1" w:themeTint="BF"/>
    </w:rPr>
  </w:style>
  <w:style w:type="character" w:customStyle="1" w:styleId="QuoteChar">
    <w:name w:val="Quote Char"/>
    <w:basedOn w:val="DefaultParagraphFont"/>
    <w:link w:val="Quote"/>
    <w:uiPriority w:val="29"/>
    <w:rsid w:val="002C37E6"/>
    <w:rPr>
      <w:i/>
      <w:iCs/>
      <w:color w:val="404040" w:themeColor="text1" w:themeTint="BF"/>
    </w:rPr>
  </w:style>
  <w:style w:type="paragraph" w:styleId="ListParagraph">
    <w:name w:val="List Paragraph"/>
    <w:basedOn w:val="Normal"/>
    <w:uiPriority w:val="34"/>
    <w:qFormat/>
    <w:rsid w:val="002C37E6"/>
    <w:pPr>
      <w:ind w:left="720"/>
      <w:contextualSpacing/>
    </w:pPr>
  </w:style>
  <w:style w:type="character" w:styleId="IntenseEmphasis">
    <w:name w:val="Intense Emphasis"/>
    <w:basedOn w:val="DefaultParagraphFont"/>
    <w:uiPriority w:val="21"/>
    <w:qFormat/>
    <w:rsid w:val="002C37E6"/>
    <w:rPr>
      <w:i/>
      <w:iCs/>
      <w:color w:val="0F4761" w:themeColor="accent1" w:themeShade="BF"/>
    </w:rPr>
  </w:style>
  <w:style w:type="paragraph" w:styleId="IntenseQuote">
    <w:name w:val="Intense Quote"/>
    <w:basedOn w:val="Normal"/>
    <w:next w:val="Normal"/>
    <w:link w:val="IntenseQuoteChar"/>
    <w:uiPriority w:val="30"/>
    <w:qFormat/>
    <w:rsid w:val="002C37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7E6"/>
    <w:rPr>
      <w:i/>
      <w:iCs/>
      <w:color w:val="0F4761" w:themeColor="accent1" w:themeShade="BF"/>
    </w:rPr>
  </w:style>
  <w:style w:type="character" w:styleId="IntenseReference">
    <w:name w:val="Intense Reference"/>
    <w:basedOn w:val="DefaultParagraphFont"/>
    <w:uiPriority w:val="32"/>
    <w:qFormat/>
    <w:rsid w:val="002C37E6"/>
    <w:rPr>
      <w:b/>
      <w:bCs/>
      <w:smallCaps/>
      <w:color w:val="0F4761" w:themeColor="accent1" w:themeShade="BF"/>
      <w:spacing w:val="5"/>
    </w:rPr>
  </w:style>
  <w:style w:type="paragraph" w:styleId="Header">
    <w:name w:val="header"/>
    <w:basedOn w:val="Normal"/>
    <w:link w:val="HeaderChar"/>
    <w:uiPriority w:val="99"/>
    <w:unhideWhenUsed/>
    <w:rsid w:val="002C3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7E6"/>
  </w:style>
  <w:style w:type="paragraph" w:styleId="Footer">
    <w:name w:val="footer"/>
    <w:basedOn w:val="Normal"/>
    <w:link w:val="FooterChar"/>
    <w:uiPriority w:val="99"/>
    <w:unhideWhenUsed/>
    <w:rsid w:val="002C3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7E6"/>
  </w:style>
  <w:style w:type="paragraph" w:styleId="FootnoteText">
    <w:name w:val="footnote text"/>
    <w:basedOn w:val="Normal"/>
    <w:link w:val="FootnoteTextChar"/>
    <w:uiPriority w:val="99"/>
    <w:semiHidden/>
    <w:unhideWhenUsed/>
    <w:rsid w:val="002C00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0028"/>
    <w:rPr>
      <w:sz w:val="20"/>
      <w:szCs w:val="20"/>
    </w:rPr>
  </w:style>
  <w:style w:type="character" w:styleId="FootnoteReference">
    <w:name w:val="footnote reference"/>
    <w:basedOn w:val="DefaultParagraphFont"/>
    <w:uiPriority w:val="99"/>
    <w:semiHidden/>
    <w:unhideWhenUsed/>
    <w:rsid w:val="002C0028"/>
    <w:rPr>
      <w:vertAlign w:val="superscript"/>
    </w:rPr>
  </w:style>
  <w:style w:type="character" w:styleId="Hyperlink">
    <w:name w:val="Hyperlink"/>
    <w:basedOn w:val="DefaultParagraphFont"/>
    <w:uiPriority w:val="99"/>
    <w:unhideWhenUsed/>
    <w:rsid w:val="002C0028"/>
    <w:rPr>
      <w:color w:val="467886" w:themeColor="hyperlink"/>
      <w:u w:val="single"/>
    </w:rPr>
  </w:style>
  <w:style w:type="character" w:styleId="UnresolvedMention">
    <w:name w:val="Unresolved Mention"/>
    <w:basedOn w:val="DefaultParagraphFont"/>
    <w:uiPriority w:val="99"/>
    <w:semiHidden/>
    <w:unhideWhenUsed/>
    <w:rsid w:val="00DD2F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EBB3D3AF56F4B309FE73CF3648A7967"/>
        <w:category>
          <w:name w:val="General"/>
          <w:gallery w:val="placeholder"/>
        </w:category>
        <w:types>
          <w:type w:val="bbPlcHdr"/>
        </w:types>
        <w:behaviors>
          <w:behavior w:val="content"/>
        </w:behaviors>
        <w:guid w:val="{50E77A9E-6E89-4187-8F2B-9B0C447499D9}"/>
      </w:docPartPr>
      <w:docPartBody>
        <w:p w:rsidR="00000000" w:rsidRDefault="00A03078" w:rsidP="00A03078">
          <w:pPr>
            <w:pStyle w:val="7EBB3D3AF56F4B309FE73CF3648A7967"/>
          </w:pPr>
          <w:r>
            <w:rPr>
              <w:color w:val="156082" w:themeColor="accent1"/>
              <w:sz w:val="20"/>
              <w:szCs w:val="20"/>
            </w:rPr>
            <w:t>[Author name]</w:t>
          </w:r>
        </w:p>
      </w:docPartBody>
    </w:docPart>
    <w:docPart>
      <w:docPartPr>
        <w:name w:val="9E7922F2DD5A471887610207C56D05AA"/>
        <w:category>
          <w:name w:val="General"/>
          <w:gallery w:val="placeholder"/>
        </w:category>
        <w:types>
          <w:type w:val="bbPlcHdr"/>
        </w:types>
        <w:behaviors>
          <w:behavior w:val="content"/>
        </w:behaviors>
        <w:guid w:val="{6DC82138-F5B3-4466-B830-9C235470331F}"/>
      </w:docPartPr>
      <w:docPartBody>
        <w:p w:rsidR="00000000" w:rsidRDefault="00A03078" w:rsidP="00A03078">
          <w:pPr>
            <w:pStyle w:val="9E7922F2DD5A471887610207C56D05AA"/>
          </w:pPr>
          <w:r>
            <w:rPr>
              <w:caps/>
              <w:color w:val="156082"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078"/>
    <w:rsid w:val="002D52DE"/>
    <w:rsid w:val="00A03078"/>
    <w:rsid w:val="00A75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BB3D3AF56F4B309FE73CF3648A7967">
    <w:name w:val="7EBB3D3AF56F4B309FE73CF3648A7967"/>
    <w:rsid w:val="00A03078"/>
  </w:style>
  <w:style w:type="paragraph" w:customStyle="1" w:styleId="9E7922F2DD5A471887610207C56D05AA">
    <w:name w:val="9E7922F2DD5A471887610207C56D05AA"/>
    <w:rsid w:val="00A030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11ddac1e6ab1f67dfcc2fa1bda8f1f5">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979dab2f71e8ac9d93f9e12b158e921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0834C-B787-4B0F-A645-1E73A0B3DB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C01E6C-AB85-453A-9402-6502888C7450}">
  <ds:schemaRefs>
    <ds:schemaRef ds:uri="http://schemas.microsoft.com/sharepoint/v3/contenttype/forms"/>
  </ds:schemaRefs>
</ds:datastoreItem>
</file>

<file path=customXml/itemProps3.xml><?xml version="1.0" encoding="utf-8"?>
<ds:datastoreItem xmlns:ds="http://schemas.openxmlformats.org/officeDocument/2006/customXml" ds:itemID="{645D419B-0EB3-4FE0-AD65-C9DB3EA6F6D9}">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EEACE159-0C1C-46DC-B67A-AE4CF5E59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3106</TotalTime>
  <Pages>10</Pages>
  <Words>3319</Words>
  <Characters>16433</Characters>
  <Application>Microsoft Office Word</Application>
  <DocSecurity>0</DocSecurity>
  <Lines>238</Lines>
  <Paragraphs>51</Paragraphs>
  <ScaleCrop>false</ScaleCrop>
  <Company/>
  <LinksUpToDate>false</LinksUpToDate>
  <CharactersWithSpaces>19701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issue of authenticity in relation to battlefield / military memorials</dc:title>
  <dc:subject/>
  <dc:creator>Evan Davies (2304228)</dc:creator>
  <cp:keywords/>
  <dc:description/>
  <cp:lastModifiedBy>Evan Davies (2304228)</cp:lastModifiedBy>
  <cp:revision>321</cp:revision>
  <dcterms:created xsi:type="dcterms:W3CDTF">2026-02-20T12:24:00Z</dcterms:created>
  <dcterms:modified xsi:type="dcterms:W3CDTF">2026-02-22T17:27:00Z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