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D8B" w:rsidRPr="00123466" w:rsidRDefault="00D36D8B" w:rsidP="00123466">
      <w:pPr>
        <w:pStyle w:val="ListParagraph"/>
        <w:spacing w:after="0" w:line="240" w:lineRule="auto"/>
        <w:ind w:left="0"/>
        <w:jc w:val="both"/>
        <w:rPr>
          <w:rFonts w:ascii="Georgia" w:hAnsi="Georgia" w:cs="Times New Roman"/>
          <w:color w:val="0000FF"/>
          <w:sz w:val="32"/>
          <w:szCs w:val="32"/>
          <w:u w:val="single"/>
        </w:rPr>
      </w:pPr>
      <w:r w:rsidRPr="00123466">
        <w:rPr>
          <w:rFonts w:ascii="Georgia" w:hAnsi="Georgia" w:cs="Times New Roman"/>
          <w:b/>
          <w:color w:val="0000FF"/>
          <w:sz w:val="32"/>
          <w:szCs w:val="32"/>
          <w:u w:val="single"/>
        </w:rPr>
        <w:t>WEEK 9</w:t>
      </w:r>
      <w:r w:rsidRPr="00123466">
        <w:rPr>
          <w:rFonts w:ascii="Georgia" w:hAnsi="Georgia" w:cs="Times New Roman"/>
          <w:color w:val="0000FF"/>
        </w:rPr>
        <w:t xml:space="preserve"> (week beginning November 27)</w:t>
      </w:r>
    </w:p>
    <w:p w:rsidR="00D36D8B" w:rsidRPr="00123466" w:rsidRDefault="00D36D8B" w:rsidP="00123466">
      <w:pPr>
        <w:pStyle w:val="ListParagraph"/>
        <w:spacing w:after="0" w:line="240" w:lineRule="auto"/>
        <w:ind w:left="0"/>
        <w:jc w:val="both"/>
        <w:rPr>
          <w:rFonts w:ascii="Georgia" w:hAnsi="Georgia" w:cs="Times New Roman"/>
          <w:b/>
          <w:color w:val="0000FF"/>
          <w:sz w:val="32"/>
          <w:szCs w:val="32"/>
          <w:u w:val="single"/>
        </w:rPr>
      </w:pPr>
      <w:r w:rsidRPr="00123466">
        <w:rPr>
          <w:rFonts w:ascii="Georgia" w:hAnsi="Georgia" w:cs="Times New Roman"/>
          <w:b/>
          <w:color w:val="0000FF"/>
          <w:sz w:val="32"/>
          <w:szCs w:val="32"/>
          <w:u w:val="single"/>
        </w:rPr>
        <w:t>Civil Rights: From Plessy to King</w:t>
      </w:r>
    </w:p>
    <w:p w:rsidR="00D36D8B" w:rsidRPr="00123466" w:rsidRDefault="00D36D8B" w:rsidP="00123466">
      <w:pPr>
        <w:pStyle w:val="ListParagraph"/>
        <w:spacing w:after="0" w:line="240" w:lineRule="auto"/>
        <w:ind w:left="0"/>
        <w:jc w:val="right"/>
        <w:rPr>
          <w:rFonts w:ascii="Georgia" w:hAnsi="Georgia" w:cs="Times New Roman"/>
          <w:b/>
          <w:color w:val="0000FF"/>
          <w:sz w:val="32"/>
          <w:szCs w:val="32"/>
        </w:rPr>
      </w:pPr>
      <w:r w:rsidRPr="00123466">
        <w:rPr>
          <w:rFonts w:ascii="Georgia" w:hAnsi="Georgia" w:cs="Times New Roman"/>
          <w:b/>
          <w:color w:val="0000FF"/>
          <w:sz w:val="32"/>
          <w:szCs w:val="32"/>
        </w:rPr>
        <w:t xml:space="preserve">In focus: </w:t>
      </w:r>
    </w:p>
    <w:p w:rsidR="00D36D8B" w:rsidRDefault="00D36D8B" w:rsidP="00123466">
      <w:pPr>
        <w:pStyle w:val="ListParagraph"/>
        <w:spacing w:after="0" w:line="240" w:lineRule="auto"/>
        <w:ind w:left="0"/>
        <w:jc w:val="right"/>
        <w:rPr>
          <w:rFonts w:ascii="Georgia" w:hAnsi="Georgia" w:cs="Times New Roman"/>
          <w:b/>
          <w:color w:val="0000FF"/>
          <w:sz w:val="32"/>
          <w:szCs w:val="32"/>
        </w:rPr>
      </w:pPr>
      <w:r w:rsidRPr="00123466">
        <w:rPr>
          <w:rFonts w:ascii="Georgia" w:hAnsi="Georgia" w:cs="Times New Roman"/>
          <w:b/>
          <w:color w:val="0000FF"/>
          <w:sz w:val="32"/>
          <w:szCs w:val="32"/>
        </w:rPr>
        <w:t xml:space="preserve">Washington versus Du Bois </w:t>
      </w:r>
    </w:p>
    <w:p w:rsidR="006670B8" w:rsidRPr="00123466" w:rsidRDefault="006670B8" w:rsidP="00123466">
      <w:pPr>
        <w:pStyle w:val="ListParagraph"/>
        <w:spacing w:after="0" w:line="240" w:lineRule="auto"/>
        <w:ind w:left="0"/>
        <w:jc w:val="right"/>
        <w:rPr>
          <w:rFonts w:ascii="Georgia" w:hAnsi="Georgia" w:cs="Times New Roman"/>
          <w:b/>
          <w:color w:val="0000FF"/>
          <w:sz w:val="32"/>
          <w:szCs w:val="32"/>
        </w:rPr>
      </w:pPr>
    </w:p>
    <w:p w:rsidR="00D36D8B" w:rsidRPr="00123466" w:rsidRDefault="00D36D8B" w:rsidP="00123466">
      <w:pPr>
        <w:spacing w:after="0" w:line="240" w:lineRule="auto"/>
        <w:jc w:val="center"/>
        <w:outlineLvl w:val="1"/>
        <w:rPr>
          <w:rFonts w:ascii="Georgia" w:eastAsia="Times New Roman" w:hAnsi="Georgia" w:cs="Times New Roman"/>
          <w:b/>
          <w:bCs/>
          <w:sz w:val="36"/>
          <w:szCs w:val="36"/>
        </w:rPr>
      </w:pPr>
      <w:r w:rsidRPr="00123466">
        <w:rPr>
          <w:rFonts w:ascii="Georgia" w:eastAsia="Times New Roman" w:hAnsi="Georgia" w:cs="Times New Roman"/>
          <w:b/>
          <w:bCs/>
          <w:noProof/>
          <w:sz w:val="36"/>
          <w:szCs w:val="36"/>
        </w:rPr>
        <w:drawing>
          <wp:inline distT="0" distB="0" distL="0" distR="0">
            <wp:extent cx="2409825" cy="359187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wrence migration no. 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10811" cy="3593343"/>
                    </a:xfrm>
                    <a:prstGeom prst="rect">
                      <a:avLst/>
                    </a:prstGeom>
                  </pic:spPr>
                </pic:pic>
              </a:graphicData>
            </a:graphic>
          </wp:inline>
        </w:drawing>
      </w:r>
    </w:p>
    <w:p w:rsidR="00D36D8B" w:rsidRPr="00123466" w:rsidRDefault="00D36D8B" w:rsidP="00123466">
      <w:pPr>
        <w:spacing w:after="0" w:line="240" w:lineRule="auto"/>
        <w:jc w:val="right"/>
        <w:outlineLvl w:val="1"/>
        <w:rPr>
          <w:rFonts w:ascii="Georgia" w:eastAsia="Times New Roman" w:hAnsi="Georgia" w:cs="Times New Roman"/>
          <w:bCs/>
          <w:i/>
        </w:rPr>
      </w:pPr>
      <w:r w:rsidRPr="00123466">
        <w:rPr>
          <w:rFonts w:ascii="Georgia" w:eastAsia="Times New Roman" w:hAnsi="Georgia" w:cs="Times New Roman"/>
          <w:bCs/>
          <w:i/>
        </w:rPr>
        <w:t>Jacob Lawrence, Migration Series No. 4</w:t>
      </w:r>
    </w:p>
    <w:p w:rsidR="00D36D8B" w:rsidRPr="00123466" w:rsidRDefault="00D36D8B" w:rsidP="00123466">
      <w:pPr>
        <w:pStyle w:val="Alex"/>
        <w:spacing w:line="240" w:lineRule="auto"/>
        <w:rPr>
          <w:rFonts w:ascii="Georgia" w:hAnsi="Georgia"/>
        </w:rPr>
      </w:pPr>
      <w:r w:rsidRPr="00123466">
        <w:rPr>
          <w:rFonts w:ascii="Georgia" w:hAnsi="Georgia"/>
        </w:rPr>
        <w:t xml:space="preserve">This week explores the history of the Civil Rights movement in the United States from the end of Reconstruction through to the 1960s and 1970s. The lecture compares the experiences of African Americans under the ‘Jim Crow’ laws in the southern United State with their experiences in the industrial north, in the process exploring the ideas of key thinkers such as WEB DuBois, Booker T Washington, Martin Luther King and Malcolm X. </w:t>
      </w:r>
    </w:p>
    <w:p w:rsidR="00D36D8B" w:rsidRPr="00123466" w:rsidRDefault="00D36D8B" w:rsidP="00123466">
      <w:pPr>
        <w:spacing w:after="0" w:line="240" w:lineRule="auto"/>
        <w:outlineLvl w:val="1"/>
        <w:rPr>
          <w:rFonts w:ascii="Georgia" w:eastAsia="Times New Roman" w:hAnsi="Georgia" w:cs="Times New Roman"/>
          <w:b/>
          <w:bCs/>
          <w:i/>
          <w:u w:val="single"/>
        </w:rPr>
      </w:pPr>
    </w:p>
    <w:p w:rsidR="00D36D8B" w:rsidRPr="00123466" w:rsidRDefault="00D36D8B" w:rsidP="00123466">
      <w:pPr>
        <w:pStyle w:val="ListParagraph"/>
        <w:numPr>
          <w:ilvl w:val="0"/>
          <w:numId w:val="2"/>
        </w:numPr>
        <w:spacing w:line="240" w:lineRule="auto"/>
        <w:jc w:val="both"/>
        <w:rPr>
          <w:rFonts w:ascii="Georgia" w:hAnsi="Georgia"/>
          <w:b/>
          <w:i/>
          <w:sz w:val="32"/>
          <w:szCs w:val="32"/>
          <w:u w:val="single"/>
        </w:rPr>
      </w:pPr>
      <w:r w:rsidRPr="00123466">
        <w:rPr>
          <w:rFonts w:ascii="Georgia" w:hAnsi="Georgia"/>
          <w:b/>
          <w:i/>
          <w:sz w:val="32"/>
          <w:szCs w:val="32"/>
          <w:u w:val="single"/>
        </w:rPr>
        <w:t>Reading and preparation:</w:t>
      </w:r>
    </w:p>
    <w:p w:rsidR="00D36D8B" w:rsidRPr="00123466" w:rsidRDefault="00D36D8B" w:rsidP="00123466">
      <w:pPr>
        <w:pStyle w:val="ListParagraph"/>
        <w:spacing w:after="0" w:line="240" w:lineRule="auto"/>
        <w:ind w:left="0"/>
        <w:jc w:val="both"/>
        <w:rPr>
          <w:rFonts w:ascii="Georgia" w:hAnsi="Georgia" w:cs="Times New Roman"/>
          <w:i/>
          <w:u w:val="single"/>
        </w:rPr>
      </w:pPr>
      <w:r w:rsidRPr="00123466">
        <w:rPr>
          <w:rFonts w:ascii="Georgia" w:hAnsi="Georgia" w:cs="Times New Roman"/>
          <w:i/>
          <w:u w:val="single"/>
        </w:rPr>
        <w:t>Required reading</w:t>
      </w:r>
      <w:r w:rsidR="00123466">
        <w:rPr>
          <w:rFonts w:ascii="Georgia" w:hAnsi="Georgia" w:cs="Times New Roman"/>
          <w:i/>
          <w:u w:val="single"/>
        </w:rPr>
        <w:t xml:space="preserve"> (and viewing</w:t>
      </w:r>
      <w:r w:rsidR="00324D3F">
        <w:rPr>
          <w:rFonts w:ascii="Georgia" w:hAnsi="Georgia" w:cs="Times New Roman"/>
          <w:i/>
          <w:u w:val="single"/>
        </w:rPr>
        <w:t>)</w:t>
      </w:r>
      <w:r w:rsidRPr="00123466">
        <w:rPr>
          <w:rFonts w:ascii="Georgia" w:hAnsi="Georgia" w:cs="Times New Roman"/>
          <w:i/>
          <w:u w:val="single"/>
        </w:rPr>
        <w:t>:</w:t>
      </w:r>
    </w:p>
    <w:p w:rsidR="00D36D8B" w:rsidRPr="00123466" w:rsidRDefault="00D36D8B" w:rsidP="00123466">
      <w:pPr>
        <w:pStyle w:val="ListParagraph"/>
        <w:numPr>
          <w:ilvl w:val="0"/>
          <w:numId w:val="3"/>
        </w:numPr>
        <w:spacing w:after="0" w:line="240" w:lineRule="auto"/>
        <w:jc w:val="both"/>
        <w:rPr>
          <w:rFonts w:ascii="Georgia" w:hAnsi="Georgia" w:cs="Times New Roman"/>
        </w:rPr>
      </w:pPr>
      <w:r w:rsidRPr="00123466">
        <w:rPr>
          <w:rFonts w:ascii="Georgia" w:hAnsi="Georgia" w:cs="Times New Roman"/>
        </w:rPr>
        <w:t>Booker T Washington, ‘Atlanta compromise’ speech (1895)</w:t>
      </w:r>
    </w:p>
    <w:p w:rsidR="00D36D8B" w:rsidRPr="00123466" w:rsidRDefault="00D36D8B" w:rsidP="00123466">
      <w:pPr>
        <w:pStyle w:val="ListParagraph"/>
        <w:numPr>
          <w:ilvl w:val="0"/>
          <w:numId w:val="3"/>
        </w:numPr>
        <w:spacing w:after="0" w:line="240" w:lineRule="auto"/>
        <w:jc w:val="both"/>
        <w:rPr>
          <w:rFonts w:ascii="Georgia" w:hAnsi="Georgia" w:cs="Times New Roman"/>
        </w:rPr>
      </w:pPr>
      <w:bookmarkStart w:id="0" w:name="_GoBack"/>
      <w:r w:rsidRPr="00123466">
        <w:rPr>
          <w:rFonts w:ascii="Georgia" w:hAnsi="Georgia" w:cs="Times New Roman"/>
        </w:rPr>
        <w:t>WEB Du Bois, ‘Of Mr. Booker T Washington and Others,’</w:t>
      </w:r>
      <w:r w:rsidRPr="00123466">
        <w:rPr>
          <w:rFonts w:ascii="Georgia" w:hAnsi="Georgia" w:cs="Times New Roman"/>
          <w:i/>
          <w:iCs/>
        </w:rPr>
        <w:t xml:space="preserve"> The Souls of Black Folk </w:t>
      </w:r>
      <w:r w:rsidRPr="00123466">
        <w:rPr>
          <w:rFonts w:ascii="Georgia" w:hAnsi="Georgia" w:cs="Times New Roman"/>
        </w:rPr>
        <w:t>(1903)</w:t>
      </w:r>
    </w:p>
    <w:bookmarkEnd w:id="0"/>
    <w:p w:rsidR="00123466" w:rsidRDefault="00D36D8B" w:rsidP="00123466">
      <w:pPr>
        <w:pStyle w:val="ListParagraph"/>
        <w:numPr>
          <w:ilvl w:val="0"/>
          <w:numId w:val="3"/>
        </w:numPr>
        <w:spacing w:after="0" w:line="240" w:lineRule="auto"/>
        <w:jc w:val="both"/>
        <w:rPr>
          <w:rFonts w:ascii="Georgia" w:hAnsi="Georgia" w:cs="Times New Roman"/>
        </w:rPr>
      </w:pPr>
      <w:proofErr w:type="spellStart"/>
      <w:r w:rsidRPr="00123466">
        <w:rPr>
          <w:rFonts w:ascii="Georgia" w:hAnsi="Georgia" w:cs="Times New Roman"/>
        </w:rPr>
        <w:t>Jacb</w:t>
      </w:r>
      <w:r w:rsidR="00123466">
        <w:rPr>
          <w:rFonts w:ascii="Georgia" w:hAnsi="Georgia" w:cs="Times New Roman"/>
        </w:rPr>
        <w:t>ob</w:t>
      </w:r>
      <w:proofErr w:type="spellEnd"/>
      <w:r w:rsidR="00123466">
        <w:rPr>
          <w:rFonts w:ascii="Georgia" w:hAnsi="Georgia" w:cs="Times New Roman"/>
        </w:rPr>
        <w:t xml:space="preserve"> Lawrence, </w:t>
      </w:r>
      <w:r w:rsidR="00123466" w:rsidRPr="00123466">
        <w:rPr>
          <w:rFonts w:ascii="Georgia" w:hAnsi="Georgia" w:cs="Times New Roman"/>
          <w:i/>
        </w:rPr>
        <w:t>Migration Series</w:t>
      </w:r>
      <w:r w:rsidR="00123466">
        <w:rPr>
          <w:rFonts w:ascii="Georgia" w:hAnsi="Georgia" w:cs="Times New Roman"/>
          <w:i/>
        </w:rPr>
        <w:t xml:space="preserve"> </w:t>
      </w:r>
      <w:r w:rsidR="00123466">
        <w:rPr>
          <w:rFonts w:ascii="Georgia" w:hAnsi="Georgia" w:cs="Times New Roman"/>
        </w:rPr>
        <w:t>(1941). Available via Museum of Modern Art (</w:t>
      </w:r>
      <w:proofErr w:type="spellStart"/>
      <w:r w:rsidR="00123466">
        <w:rPr>
          <w:rFonts w:ascii="Georgia" w:hAnsi="Georgia" w:cs="Times New Roman"/>
        </w:rPr>
        <w:t>MoMa</w:t>
      </w:r>
      <w:proofErr w:type="spellEnd"/>
      <w:r w:rsidR="00123466">
        <w:rPr>
          <w:rFonts w:ascii="Georgia" w:hAnsi="Georgia" w:cs="Times New Roman"/>
        </w:rPr>
        <w:t xml:space="preserve">): </w:t>
      </w:r>
      <w:hyperlink r:id="rId6" w:history="1">
        <w:r w:rsidR="00123466" w:rsidRPr="003670D5">
          <w:rPr>
            <w:rStyle w:val="Hyperlink"/>
            <w:rFonts w:ascii="Georgia" w:hAnsi="Georgia" w:cs="Times New Roman"/>
          </w:rPr>
          <w:t>https://www.moma.org/interactives/exhibitions/2015/onewayticket/panel/1/intro</w:t>
        </w:r>
      </w:hyperlink>
      <w:r w:rsidR="00123466">
        <w:rPr>
          <w:rFonts w:ascii="Georgia" w:hAnsi="Georgia" w:cs="Times New Roman"/>
        </w:rPr>
        <w:t>.</w:t>
      </w:r>
    </w:p>
    <w:p w:rsidR="00123466" w:rsidRPr="00123466" w:rsidRDefault="00123466" w:rsidP="00123466">
      <w:pPr>
        <w:pStyle w:val="ListParagraph"/>
        <w:spacing w:after="0" w:line="240" w:lineRule="auto"/>
        <w:ind w:left="360"/>
        <w:jc w:val="both"/>
        <w:rPr>
          <w:rFonts w:ascii="Georgia" w:hAnsi="Georgia" w:cs="Times New Roman"/>
        </w:rPr>
      </w:pPr>
    </w:p>
    <w:p w:rsidR="00D36D8B" w:rsidRPr="00123466" w:rsidRDefault="00D36D8B" w:rsidP="00123466">
      <w:pPr>
        <w:spacing w:line="240" w:lineRule="auto"/>
        <w:jc w:val="both"/>
        <w:rPr>
          <w:rFonts w:ascii="Georgia" w:hAnsi="Georgia"/>
          <w:i/>
          <w:u w:val="single"/>
        </w:rPr>
      </w:pPr>
      <w:r w:rsidRPr="00123466">
        <w:rPr>
          <w:rFonts w:ascii="Georgia" w:hAnsi="Georgia"/>
          <w:i/>
          <w:u w:val="single"/>
        </w:rPr>
        <w:t>General background reading:</w:t>
      </w:r>
    </w:p>
    <w:p w:rsidR="00D36D8B" w:rsidRPr="00123466" w:rsidRDefault="00D36D8B" w:rsidP="00123466">
      <w:pPr>
        <w:numPr>
          <w:ilvl w:val="0"/>
          <w:numId w:val="1"/>
        </w:numPr>
        <w:spacing w:after="0" w:line="240" w:lineRule="auto"/>
        <w:ind w:left="360"/>
        <w:jc w:val="both"/>
        <w:rPr>
          <w:rFonts w:ascii="Georgia" w:hAnsi="Georgia"/>
        </w:rPr>
      </w:pPr>
      <w:r w:rsidRPr="00123466">
        <w:rPr>
          <w:rFonts w:ascii="Georgia" w:hAnsi="Georgia"/>
        </w:rPr>
        <w:t xml:space="preserve">George B, Tindall and David Emory Shi, </w:t>
      </w:r>
      <w:r w:rsidRPr="00123466">
        <w:rPr>
          <w:rFonts w:ascii="Georgia" w:hAnsi="Georgia"/>
          <w:i/>
        </w:rPr>
        <w:t xml:space="preserve">America: A Narrative History </w:t>
      </w:r>
      <w:r w:rsidRPr="00123466">
        <w:rPr>
          <w:rFonts w:ascii="Georgia" w:hAnsi="Georgia"/>
        </w:rPr>
        <w:t>(New York: WW Norton &amp; Co, 2010), chapters 34–36.</w:t>
      </w:r>
    </w:p>
    <w:p w:rsidR="00D36D8B" w:rsidRPr="00123466" w:rsidRDefault="00D36D8B" w:rsidP="00123466">
      <w:pPr>
        <w:numPr>
          <w:ilvl w:val="0"/>
          <w:numId w:val="1"/>
        </w:numPr>
        <w:spacing w:after="0" w:line="240" w:lineRule="auto"/>
        <w:ind w:left="360"/>
        <w:jc w:val="both"/>
        <w:rPr>
          <w:rFonts w:ascii="Georgia" w:hAnsi="Georgia"/>
        </w:rPr>
      </w:pPr>
      <w:r w:rsidRPr="00123466">
        <w:rPr>
          <w:rFonts w:ascii="Georgia" w:hAnsi="Georgia"/>
        </w:rPr>
        <w:t xml:space="preserve">Eric </w:t>
      </w:r>
      <w:proofErr w:type="spellStart"/>
      <w:r w:rsidRPr="00123466">
        <w:rPr>
          <w:rFonts w:ascii="Georgia" w:hAnsi="Georgia"/>
        </w:rPr>
        <w:t>Foner</w:t>
      </w:r>
      <w:proofErr w:type="spellEnd"/>
      <w:r w:rsidRPr="00123466">
        <w:rPr>
          <w:rFonts w:ascii="Georgia" w:hAnsi="Georgia"/>
        </w:rPr>
        <w:t xml:space="preserve">, </w:t>
      </w:r>
      <w:r w:rsidRPr="00123466">
        <w:rPr>
          <w:rFonts w:ascii="Georgia" w:hAnsi="Georgia"/>
          <w:i/>
        </w:rPr>
        <w:t xml:space="preserve">Give Me Liberty! An American History </w:t>
      </w:r>
      <w:r w:rsidRPr="00123466">
        <w:rPr>
          <w:rFonts w:ascii="Georgia" w:hAnsi="Georgia"/>
        </w:rPr>
        <w:t>(New York: WW Norton &amp; Co, 2014), chapters 24–25.</w:t>
      </w:r>
    </w:p>
    <w:p w:rsidR="00D36D8B" w:rsidRPr="00123466" w:rsidRDefault="00D36D8B" w:rsidP="00123466">
      <w:pPr>
        <w:numPr>
          <w:ilvl w:val="0"/>
          <w:numId w:val="1"/>
        </w:numPr>
        <w:spacing w:after="0" w:line="240" w:lineRule="auto"/>
        <w:ind w:left="360"/>
        <w:jc w:val="both"/>
        <w:rPr>
          <w:rFonts w:ascii="Georgia" w:hAnsi="Georgia"/>
        </w:rPr>
      </w:pPr>
      <w:r w:rsidRPr="00123466">
        <w:rPr>
          <w:rFonts w:ascii="Georgia" w:hAnsi="Georgia"/>
        </w:rPr>
        <w:lastRenderedPageBreak/>
        <w:t xml:space="preserve">Malcolm Bradbury and Howard </w:t>
      </w:r>
      <w:proofErr w:type="spellStart"/>
      <w:r w:rsidRPr="00123466">
        <w:rPr>
          <w:rFonts w:ascii="Georgia" w:hAnsi="Georgia"/>
        </w:rPr>
        <w:t>Temperley</w:t>
      </w:r>
      <w:proofErr w:type="spellEnd"/>
      <w:r w:rsidRPr="00123466">
        <w:rPr>
          <w:rFonts w:ascii="Georgia" w:hAnsi="Georgia"/>
        </w:rPr>
        <w:t xml:space="preserve">, eds. </w:t>
      </w:r>
      <w:r w:rsidRPr="00123466">
        <w:rPr>
          <w:rFonts w:ascii="Georgia" w:hAnsi="Georgia"/>
          <w:i/>
        </w:rPr>
        <w:t>Introduction to American Studies</w:t>
      </w:r>
      <w:r w:rsidRPr="00123466">
        <w:rPr>
          <w:rFonts w:ascii="Georgia" w:hAnsi="Georgia"/>
        </w:rPr>
        <w:t xml:space="preserve"> (London: Longman, 1998), chapters 7, 12</w:t>
      </w:r>
    </w:p>
    <w:p w:rsidR="00D36D8B" w:rsidRPr="00123466" w:rsidRDefault="00D36D8B" w:rsidP="00123466">
      <w:pPr>
        <w:spacing w:line="240" w:lineRule="auto"/>
        <w:jc w:val="both"/>
        <w:rPr>
          <w:rFonts w:ascii="Georgia" w:hAnsi="Georgia"/>
        </w:rPr>
      </w:pPr>
    </w:p>
    <w:p w:rsidR="00D36D8B" w:rsidRPr="00123466" w:rsidRDefault="00D36D8B" w:rsidP="00123466">
      <w:pPr>
        <w:pStyle w:val="ListParagraph"/>
        <w:numPr>
          <w:ilvl w:val="0"/>
          <w:numId w:val="2"/>
        </w:numPr>
        <w:spacing w:after="0" w:line="240" w:lineRule="auto"/>
        <w:jc w:val="both"/>
        <w:rPr>
          <w:rFonts w:ascii="Georgia" w:hAnsi="Georgia"/>
          <w:b/>
          <w:u w:val="single"/>
        </w:rPr>
      </w:pPr>
      <w:r w:rsidRPr="00123466">
        <w:rPr>
          <w:rFonts w:ascii="Georgia" w:hAnsi="Georgia"/>
          <w:b/>
          <w:i/>
          <w:sz w:val="28"/>
          <w:u w:val="single"/>
        </w:rPr>
        <w:t>Background information:</w:t>
      </w:r>
      <w:r w:rsidRPr="00123466">
        <w:rPr>
          <w:rFonts w:ascii="Georgia" w:hAnsi="Georgia"/>
          <w:b/>
          <w:sz w:val="28"/>
          <w:u w:val="single"/>
        </w:rPr>
        <w:t xml:space="preserve"> </w:t>
      </w:r>
    </w:p>
    <w:p w:rsidR="00D36D8B" w:rsidRPr="00123466" w:rsidRDefault="00D36D8B" w:rsidP="00123466">
      <w:pPr>
        <w:pStyle w:val="ListParagraph"/>
        <w:numPr>
          <w:ilvl w:val="0"/>
          <w:numId w:val="4"/>
        </w:numPr>
        <w:spacing w:after="0" w:line="240" w:lineRule="auto"/>
        <w:outlineLvl w:val="1"/>
        <w:rPr>
          <w:rFonts w:ascii="Georgia" w:eastAsia="Times New Roman" w:hAnsi="Georgia" w:cs="Times New Roman"/>
          <w:bCs/>
        </w:rPr>
      </w:pPr>
      <w:r w:rsidRPr="00123466">
        <w:rPr>
          <w:rFonts w:ascii="Georgia" w:eastAsia="Times New Roman" w:hAnsi="Georgia" w:cs="Times New Roman"/>
          <w:bCs/>
        </w:rPr>
        <w:t xml:space="preserve">On WEB Du Bois, see </w:t>
      </w:r>
      <w:r w:rsidRPr="00123466">
        <w:rPr>
          <w:rFonts w:ascii="Georgia" w:eastAsia="Times New Roman" w:hAnsi="Georgia" w:cs="Times New Roman"/>
          <w:bCs/>
          <w:i/>
        </w:rPr>
        <w:t xml:space="preserve">Heath Anthology of American Literature </w:t>
      </w:r>
      <w:r w:rsidRPr="00123466">
        <w:rPr>
          <w:rFonts w:ascii="Georgia" w:eastAsia="Times New Roman" w:hAnsi="Georgia" w:cs="Times New Roman"/>
          <w:bCs/>
        </w:rPr>
        <w:t>(</w:t>
      </w:r>
      <w:hyperlink r:id="rId7" w:history="1">
        <w:r w:rsidRPr="00123466">
          <w:rPr>
            <w:rStyle w:val="Hyperlink"/>
            <w:rFonts w:ascii="Georgia" w:eastAsia="Times New Roman" w:hAnsi="Georgia" w:cs="Times New Roman"/>
            <w:bCs/>
          </w:rPr>
          <w:t>https://college.cengage.com/english/lauter/heath/4e/students/author_pages/modern/dubois_we.html</w:t>
        </w:r>
      </w:hyperlink>
      <w:r w:rsidRPr="00123466">
        <w:rPr>
          <w:rFonts w:ascii="Georgia" w:eastAsia="Times New Roman" w:hAnsi="Georgia" w:cs="Times New Roman"/>
          <w:bCs/>
        </w:rPr>
        <w:t>)</w:t>
      </w:r>
    </w:p>
    <w:p w:rsidR="00D36D8B" w:rsidRPr="00123466" w:rsidRDefault="00D36D8B" w:rsidP="00123466">
      <w:pPr>
        <w:pStyle w:val="ListParagraph"/>
        <w:numPr>
          <w:ilvl w:val="0"/>
          <w:numId w:val="4"/>
        </w:numPr>
        <w:spacing w:after="0" w:line="240" w:lineRule="auto"/>
        <w:outlineLvl w:val="1"/>
        <w:rPr>
          <w:rFonts w:ascii="Georgia" w:eastAsia="Times New Roman" w:hAnsi="Georgia" w:cs="Times New Roman"/>
          <w:bCs/>
        </w:rPr>
      </w:pPr>
      <w:r w:rsidRPr="00123466">
        <w:rPr>
          <w:rFonts w:ascii="Georgia" w:eastAsia="Times New Roman" w:hAnsi="Georgia" w:cs="Times New Roman"/>
          <w:bCs/>
        </w:rPr>
        <w:t>On Booker T Washington</w:t>
      </w:r>
      <w:r w:rsidRPr="00123466">
        <w:rPr>
          <w:rFonts w:ascii="Georgia" w:eastAsia="Times New Roman" w:hAnsi="Georgia" w:cs="Times New Roman"/>
          <w:bCs/>
        </w:rPr>
        <w:t xml:space="preserve">, see </w:t>
      </w:r>
      <w:r w:rsidRPr="00123466">
        <w:rPr>
          <w:rFonts w:ascii="Georgia" w:eastAsia="Times New Roman" w:hAnsi="Georgia" w:cs="Times New Roman"/>
          <w:bCs/>
          <w:i/>
        </w:rPr>
        <w:t>Heath Anthology of American Literature</w:t>
      </w:r>
      <w:r w:rsidRPr="00123466">
        <w:rPr>
          <w:rFonts w:ascii="Georgia" w:eastAsia="Times New Roman" w:hAnsi="Georgia" w:cs="Times New Roman"/>
          <w:bCs/>
          <w:i/>
        </w:rPr>
        <w:t xml:space="preserve"> </w:t>
      </w:r>
      <w:r w:rsidRPr="00123466">
        <w:rPr>
          <w:rFonts w:ascii="Georgia" w:eastAsia="Times New Roman" w:hAnsi="Georgia" w:cs="Times New Roman"/>
          <w:bCs/>
        </w:rPr>
        <w:t>(</w:t>
      </w:r>
      <w:hyperlink r:id="rId8" w:history="1">
        <w:r w:rsidRPr="00123466">
          <w:rPr>
            <w:rStyle w:val="Hyperlink"/>
            <w:rFonts w:ascii="Georgia" w:eastAsia="Times New Roman" w:hAnsi="Georgia" w:cs="Times New Roman"/>
            <w:bCs/>
          </w:rPr>
          <w:t>https://college.cengage.com/english/lauter/heath/4e/students/author_pages/modern/washington_bo.html</w:t>
        </w:r>
      </w:hyperlink>
      <w:r w:rsidRPr="00123466">
        <w:rPr>
          <w:rFonts w:ascii="Georgia" w:eastAsia="Times New Roman" w:hAnsi="Georgia" w:cs="Times New Roman"/>
          <w:bCs/>
        </w:rPr>
        <w:t>)</w:t>
      </w:r>
    </w:p>
    <w:p w:rsidR="00123466" w:rsidRPr="00123466" w:rsidRDefault="00D36D8B" w:rsidP="00123466">
      <w:pPr>
        <w:pStyle w:val="ListParagraph"/>
        <w:numPr>
          <w:ilvl w:val="0"/>
          <w:numId w:val="4"/>
        </w:numPr>
        <w:spacing w:after="0" w:line="240" w:lineRule="auto"/>
        <w:outlineLvl w:val="1"/>
        <w:rPr>
          <w:rFonts w:ascii="Georgia" w:eastAsia="Times New Roman" w:hAnsi="Georgia" w:cs="Times New Roman"/>
          <w:bCs/>
        </w:rPr>
      </w:pPr>
      <w:r w:rsidRPr="00123466">
        <w:rPr>
          <w:rFonts w:ascii="Georgia" w:eastAsia="Times New Roman" w:hAnsi="Georgia" w:cs="Times New Roman"/>
          <w:bCs/>
        </w:rPr>
        <w:t xml:space="preserve"> On Jacob Lawrence,  see: Peter </w:t>
      </w:r>
      <w:proofErr w:type="spellStart"/>
      <w:r w:rsidRPr="00123466">
        <w:rPr>
          <w:rFonts w:ascii="Georgia" w:eastAsia="Times New Roman" w:hAnsi="Georgia" w:cs="Times New Roman"/>
          <w:bCs/>
        </w:rPr>
        <w:t>Schjeldahl</w:t>
      </w:r>
      <w:proofErr w:type="spellEnd"/>
      <w:r w:rsidRPr="00123466">
        <w:rPr>
          <w:rFonts w:ascii="Georgia" w:eastAsia="Times New Roman" w:hAnsi="Georgia" w:cs="Times New Roman"/>
          <w:bCs/>
        </w:rPr>
        <w:t>, ‘</w:t>
      </w:r>
      <w:r w:rsidRPr="00123466">
        <w:rPr>
          <w:rFonts w:ascii="Georgia" w:eastAsia="Times New Roman" w:hAnsi="Georgia" w:cs="Times New Roman"/>
          <w:bCs/>
        </w:rPr>
        <w:t>Telling the Whole Story</w:t>
      </w:r>
      <w:r w:rsidR="00123466" w:rsidRPr="00123466">
        <w:rPr>
          <w:rFonts w:ascii="Georgia" w:eastAsia="Times New Roman" w:hAnsi="Georgia" w:cs="Times New Roman"/>
          <w:bCs/>
        </w:rPr>
        <w:t xml:space="preserve">: </w:t>
      </w:r>
      <w:r w:rsidRPr="00123466">
        <w:rPr>
          <w:rFonts w:ascii="Georgia" w:eastAsia="Times New Roman" w:hAnsi="Georgia" w:cs="Times New Roman"/>
          <w:bCs/>
        </w:rPr>
        <w:t>Jacob Lawrence’s “The Migration Series</w:t>
      </w:r>
      <w:r w:rsidRPr="00123466">
        <w:rPr>
          <w:rFonts w:ascii="Georgia" w:eastAsia="Times New Roman" w:hAnsi="Georgia" w:cs="Times New Roman"/>
          <w:bCs/>
        </w:rPr>
        <w:t>,</w:t>
      </w:r>
      <w:r w:rsidRPr="00123466">
        <w:rPr>
          <w:rFonts w:ascii="Georgia" w:eastAsia="Times New Roman" w:hAnsi="Georgia" w:cs="Times New Roman"/>
          <w:bCs/>
        </w:rPr>
        <w:t>”</w:t>
      </w:r>
      <w:r w:rsidRPr="00123466">
        <w:rPr>
          <w:rFonts w:ascii="Georgia" w:eastAsia="Times New Roman" w:hAnsi="Georgia" w:cs="Times New Roman"/>
          <w:bCs/>
        </w:rPr>
        <w:t>’</w:t>
      </w:r>
      <w:r w:rsidR="00123466" w:rsidRPr="00123466">
        <w:rPr>
          <w:rFonts w:ascii="Georgia" w:eastAsia="Times New Roman" w:hAnsi="Georgia" w:cs="Times New Roman"/>
          <w:bCs/>
        </w:rPr>
        <w:t xml:space="preserve"> </w:t>
      </w:r>
      <w:r w:rsidR="00123466" w:rsidRPr="00123466">
        <w:rPr>
          <w:rFonts w:ascii="Georgia" w:eastAsia="Times New Roman" w:hAnsi="Georgia" w:cs="Times New Roman"/>
          <w:bCs/>
          <w:i/>
        </w:rPr>
        <w:t>The New Yorker</w:t>
      </w:r>
      <w:r w:rsidR="00123466" w:rsidRPr="00123466">
        <w:rPr>
          <w:rFonts w:ascii="Georgia" w:eastAsia="Times New Roman" w:hAnsi="Georgia" w:cs="Times New Roman"/>
          <w:bCs/>
        </w:rPr>
        <w:t>, April 20 2015 (</w:t>
      </w:r>
      <w:hyperlink r:id="rId9" w:history="1">
        <w:r w:rsidR="00123466" w:rsidRPr="00123466">
          <w:rPr>
            <w:rStyle w:val="Hyperlink"/>
            <w:rFonts w:ascii="Georgia" w:eastAsia="Times New Roman" w:hAnsi="Georgia" w:cs="Times New Roman"/>
            <w:bCs/>
          </w:rPr>
          <w:t>https://www.newyorker.com/magazine/2015/04/20/telling-the-whole-story</w:t>
        </w:r>
      </w:hyperlink>
      <w:r w:rsidR="00123466" w:rsidRPr="00123466">
        <w:rPr>
          <w:rFonts w:ascii="Georgia" w:eastAsia="Times New Roman" w:hAnsi="Georgia" w:cs="Times New Roman"/>
          <w:bCs/>
        </w:rPr>
        <w:t>)</w:t>
      </w:r>
    </w:p>
    <w:p w:rsidR="00D36D8B" w:rsidRPr="00123466" w:rsidRDefault="00123466" w:rsidP="00123466">
      <w:pPr>
        <w:spacing w:after="0" w:line="240" w:lineRule="auto"/>
        <w:outlineLvl w:val="1"/>
        <w:rPr>
          <w:rFonts w:ascii="Georgia" w:eastAsia="Times New Roman" w:hAnsi="Georgia" w:cs="Times New Roman"/>
          <w:b/>
          <w:bCs/>
          <w:sz w:val="36"/>
          <w:szCs w:val="36"/>
        </w:rPr>
      </w:pPr>
      <w:r w:rsidRPr="00123466">
        <w:rPr>
          <w:rFonts w:ascii="Georgia" w:eastAsia="Times New Roman" w:hAnsi="Georgia" w:cs="Times New Roman"/>
          <w:b/>
          <w:bCs/>
          <w:i/>
          <w:sz w:val="36"/>
          <w:szCs w:val="36"/>
        </w:rPr>
        <w:t xml:space="preserve"> </w:t>
      </w:r>
    </w:p>
    <w:p w:rsidR="00123466" w:rsidRPr="00123466" w:rsidRDefault="00123466" w:rsidP="00D015F8">
      <w:pPr>
        <w:numPr>
          <w:ilvl w:val="0"/>
          <w:numId w:val="2"/>
        </w:numPr>
        <w:spacing w:after="0" w:line="240" w:lineRule="auto"/>
        <w:jc w:val="both"/>
        <w:rPr>
          <w:rFonts w:ascii="Georgia" w:hAnsi="Georgia"/>
          <w:b/>
          <w:sz w:val="28"/>
          <w:u w:val="single"/>
        </w:rPr>
      </w:pPr>
      <w:r w:rsidRPr="00123466">
        <w:rPr>
          <w:rFonts w:ascii="Georgia" w:hAnsi="Georgia"/>
          <w:b/>
          <w:i/>
          <w:sz w:val="28"/>
          <w:u w:val="single"/>
        </w:rPr>
        <w:t>Questions to consider:</w:t>
      </w:r>
    </w:p>
    <w:p w:rsidR="00123466" w:rsidRPr="00123466" w:rsidRDefault="00123466" w:rsidP="00D015F8">
      <w:pPr>
        <w:spacing w:after="0" w:line="240" w:lineRule="auto"/>
        <w:jc w:val="both"/>
        <w:rPr>
          <w:rFonts w:ascii="Georgia" w:hAnsi="Georgia"/>
          <w:b/>
          <w:u w:val="single"/>
        </w:rPr>
      </w:pPr>
      <w:r w:rsidRPr="00123466">
        <w:rPr>
          <w:rFonts w:ascii="Georgia" w:hAnsi="Georgia"/>
          <w:b/>
          <w:u w:val="single"/>
        </w:rPr>
        <w:t>Du Bois and Washington</w:t>
      </w:r>
    </w:p>
    <w:p w:rsidR="00123466" w:rsidRPr="00123466" w:rsidRDefault="00123466" w:rsidP="00D015F8">
      <w:pPr>
        <w:numPr>
          <w:ilvl w:val="0"/>
          <w:numId w:val="5"/>
        </w:numPr>
        <w:spacing w:after="0" w:line="240" w:lineRule="auto"/>
        <w:jc w:val="both"/>
        <w:rPr>
          <w:rFonts w:ascii="Georgia" w:hAnsi="Georgia"/>
          <w:b/>
        </w:rPr>
      </w:pPr>
      <w:r w:rsidRPr="00123466">
        <w:rPr>
          <w:rFonts w:ascii="Georgia" w:hAnsi="Georgia"/>
          <w:b/>
        </w:rPr>
        <w:t>What are the key features and arguments of Du Bois and Washington’s political positions? How do they compare and contrast with one another?</w:t>
      </w:r>
    </w:p>
    <w:p w:rsidR="00123466" w:rsidRPr="00123466" w:rsidRDefault="00123466" w:rsidP="00D015F8">
      <w:pPr>
        <w:spacing w:after="0" w:line="240" w:lineRule="auto"/>
        <w:jc w:val="both"/>
        <w:rPr>
          <w:rFonts w:ascii="Georgia" w:hAnsi="Georgia"/>
          <w:b/>
        </w:rPr>
      </w:pPr>
    </w:p>
    <w:p w:rsidR="00123466" w:rsidRPr="00123466" w:rsidRDefault="00123466" w:rsidP="00D015F8">
      <w:pPr>
        <w:numPr>
          <w:ilvl w:val="0"/>
          <w:numId w:val="5"/>
        </w:numPr>
        <w:spacing w:after="0" w:line="240" w:lineRule="auto"/>
        <w:jc w:val="both"/>
        <w:rPr>
          <w:rFonts w:ascii="Georgia" w:hAnsi="Georgia"/>
          <w:b/>
        </w:rPr>
      </w:pPr>
      <w:r w:rsidRPr="00123466">
        <w:rPr>
          <w:rFonts w:ascii="Georgia" w:hAnsi="Georgia"/>
          <w:b/>
        </w:rPr>
        <w:t xml:space="preserve">What are the central features of Washington’s 1895 speech? Why </w:t>
      </w:r>
      <w:proofErr w:type="gramStart"/>
      <w:r w:rsidRPr="00123466">
        <w:rPr>
          <w:rFonts w:ascii="Georgia" w:hAnsi="Georgia"/>
          <w:b/>
        </w:rPr>
        <w:t>was the speech</w:t>
      </w:r>
      <w:proofErr w:type="gramEnd"/>
      <w:r w:rsidRPr="00123466">
        <w:rPr>
          <w:rFonts w:ascii="Georgia" w:hAnsi="Georgia"/>
          <w:b/>
        </w:rPr>
        <w:t xml:space="preserve"> labelled a ‘compromise,’ and what are the features of that compromise? </w:t>
      </w:r>
    </w:p>
    <w:p w:rsidR="00123466" w:rsidRPr="00123466" w:rsidRDefault="00123466" w:rsidP="00D015F8">
      <w:pPr>
        <w:pStyle w:val="ListParagraph"/>
        <w:spacing w:after="0" w:line="240" w:lineRule="auto"/>
        <w:rPr>
          <w:rFonts w:ascii="Georgia" w:hAnsi="Georgia"/>
          <w:b/>
        </w:rPr>
      </w:pPr>
    </w:p>
    <w:p w:rsidR="00123466" w:rsidRPr="00123466" w:rsidRDefault="00123466" w:rsidP="00D015F8">
      <w:pPr>
        <w:numPr>
          <w:ilvl w:val="0"/>
          <w:numId w:val="5"/>
        </w:numPr>
        <w:spacing w:after="0" w:line="240" w:lineRule="auto"/>
        <w:jc w:val="both"/>
        <w:rPr>
          <w:rFonts w:ascii="Georgia" w:hAnsi="Georgia"/>
          <w:b/>
        </w:rPr>
      </w:pPr>
      <w:r w:rsidRPr="00123466">
        <w:rPr>
          <w:rFonts w:ascii="Georgia" w:hAnsi="Georgia"/>
          <w:b/>
        </w:rPr>
        <w:t>What criticisms does Du Bois direct towards Washington? How persuasive are his arguments, and why?</w:t>
      </w:r>
    </w:p>
    <w:p w:rsidR="00123466" w:rsidRPr="00123466" w:rsidRDefault="00123466" w:rsidP="00D015F8">
      <w:pPr>
        <w:pStyle w:val="ListParagraph"/>
        <w:spacing w:after="0" w:line="240" w:lineRule="auto"/>
        <w:jc w:val="both"/>
        <w:rPr>
          <w:rFonts w:ascii="Georgia" w:hAnsi="Georgia"/>
          <w:b/>
        </w:rPr>
      </w:pPr>
    </w:p>
    <w:p w:rsidR="00123466" w:rsidRPr="00123466" w:rsidRDefault="00123466" w:rsidP="00D015F8">
      <w:pPr>
        <w:numPr>
          <w:ilvl w:val="0"/>
          <w:numId w:val="5"/>
        </w:numPr>
        <w:spacing w:after="0" w:line="240" w:lineRule="auto"/>
        <w:jc w:val="both"/>
        <w:rPr>
          <w:rFonts w:ascii="Georgia" w:hAnsi="Georgia"/>
          <w:b/>
        </w:rPr>
      </w:pPr>
      <w:r w:rsidRPr="00123466">
        <w:rPr>
          <w:rFonts w:ascii="Georgia" w:hAnsi="Georgia"/>
          <w:b/>
        </w:rPr>
        <w:t xml:space="preserve">Besides African American Civil Rights, what other themes and topics in US history might be illuminated by Washington and Du </w:t>
      </w:r>
      <w:proofErr w:type="spellStart"/>
      <w:r w:rsidRPr="00123466">
        <w:rPr>
          <w:rFonts w:ascii="Georgia" w:hAnsi="Georgia"/>
          <w:b/>
        </w:rPr>
        <w:t>Bois’s</w:t>
      </w:r>
      <w:proofErr w:type="spellEnd"/>
      <w:r w:rsidRPr="00123466">
        <w:rPr>
          <w:rFonts w:ascii="Georgia" w:hAnsi="Georgia"/>
          <w:b/>
        </w:rPr>
        <w:t xml:space="preserve"> writings?</w:t>
      </w:r>
    </w:p>
    <w:p w:rsidR="00123466" w:rsidRPr="00123466" w:rsidRDefault="00123466" w:rsidP="00D015F8">
      <w:pPr>
        <w:spacing w:after="0" w:line="240" w:lineRule="auto"/>
        <w:jc w:val="both"/>
        <w:rPr>
          <w:rFonts w:ascii="Georgia" w:hAnsi="Georgia"/>
          <w:b/>
          <w:u w:val="single"/>
        </w:rPr>
      </w:pPr>
    </w:p>
    <w:p w:rsidR="00123466" w:rsidRPr="00123466" w:rsidRDefault="00123466" w:rsidP="00D015F8">
      <w:pPr>
        <w:spacing w:after="0" w:line="240" w:lineRule="auto"/>
        <w:jc w:val="both"/>
        <w:rPr>
          <w:rFonts w:ascii="Georgia" w:hAnsi="Georgia"/>
          <w:b/>
          <w:u w:val="single"/>
        </w:rPr>
      </w:pPr>
      <w:r w:rsidRPr="00123466">
        <w:rPr>
          <w:rFonts w:ascii="Georgia" w:hAnsi="Georgia"/>
          <w:b/>
          <w:u w:val="single"/>
        </w:rPr>
        <w:t>Lawrence, ‘Migration Series’</w:t>
      </w:r>
    </w:p>
    <w:p w:rsidR="00D015F8" w:rsidRPr="00D015F8" w:rsidRDefault="00123466" w:rsidP="00D015F8">
      <w:pPr>
        <w:numPr>
          <w:ilvl w:val="0"/>
          <w:numId w:val="7"/>
        </w:numPr>
        <w:spacing w:after="0" w:line="240" w:lineRule="auto"/>
        <w:jc w:val="both"/>
        <w:outlineLvl w:val="1"/>
        <w:rPr>
          <w:rFonts w:ascii="Georgia" w:eastAsia="Times New Roman" w:hAnsi="Georgia" w:cs="Times New Roman"/>
          <w:b/>
          <w:bCs/>
          <w:sz w:val="36"/>
          <w:szCs w:val="36"/>
        </w:rPr>
      </w:pPr>
      <w:r w:rsidRPr="00D015F8">
        <w:rPr>
          <w:rFonts w:ascii="Georgia" w:hAnsi="Georgia"/>
          <w:b/>
        </w:rPr>
        <w:t>What insights into African American history do Lawrence’s paintings provide? How is the experience of ‘The Great Migration’ narrated and represented?</w:t>
      </w:r>
    </w:p>
    <w:p w:rsidR="00D015F8" w:rsidRPr="00D015F8" w:rsidRDefault="00D015F8" w:rsidP="00D015F8">
      <w:pPr>
        <w:spacing w:after="0" w:line="240" w:lineRule="auto"/>
        <w:ind w:left="360"/>
        <w:jc w:val="both"/>
        <w:outlineLvl w:val="1"/>
        <w:rPr>
          <w:rFonts w:ascii="Georgia" w:eastAsia="Times New Roman" w:hAnsi="Georgia" w:cs="Times New Roman"/>
          <w:b/>
          <w:bCs/>
          <w:sz w:val="36"/>
          <w:szCs w:val="36"/>
        </w:rPr>
      </w:pPr>
    </w:p>
    <w:p w:rsidR="00D015F8" w:rsidRPr="00D015F8" w:rsidRDefault="00123466" w:rsidP="00D015F8">
      <w:pPr>
        <w:numPr>
          <w:ilvl w:val="0"/>
          <w:numId w:val="7"/>
        </w:numPr>
        <w:spacing w:after="0" w:line="240" w:lineRule="auto"/>
        <w:jc w:val="both"/>
        <w:outlineLvl w:val="1"/>
        <w:rPr>
          <w:rFonts w:ascii="Georgia" w:eastAsia="Times New Roman" w:hAnsi="Georgia" w:cs="Times New Roman"/>
          <w:b/>
          <w:bCs/>
          <w:sz w:val="36"/>
          <w:szCs w:val="36"/>
        </w:rPr>
      </w:pPr>
      <w:r w:rsidRPr="00D015F8">
        <w:rPr>
          <w:rFonts w:ascii="Georgia" w:hAnsi="Georgia"/>
          <w:b/>
        </w:rPr>
        <w:t>How do the paintings ‘work’ as artworks?</w:t>
      </w:r>
    </w:p>
    <w:p w:rsidR="00D015F8" w:rsidRPr="00D015F8" w:rsidRDefault="00D015F8" w:rsidP="00D015F8">
      <w:pPr>
        <w:spacing w:after="0" w:line="240" w:lineRule="auto"/>
        <w:ind w:left="360"/>
        <w:jc w:val="both"/>
        <w:outlineLvl w:val="1"/>
        <w:rPr>
          <w:rFonts w:ascii="Georgia" w:eastAsia="Times New Roman" w:hAnsi="Georgia" w:cs="Times New Roman"/>
          <w:b/>
          <w:bCs/>
          <w:sz w:val="36"/>
          <w:szCs w:val="36"/>
        </w:rPr>
      </w:pPr>
    </w:p>
    <w:p w:rsidR="00D36D8B" w:rsidRPr="00D015F8" w:rsidRDefault="00123466" w:rsidP="00D015F8">
      <w:pPr>
        <w:numPr>
          <w:ilvl w:val="0"/>
          <w:numId w:val="7"/>
        </w:numPr>
        <w:spacing w:after="0" w:line="240" w:lineRule="auto"/>
        <w:jc w:val="both"/>
        <w:outlineLvl w:val="1"/>
        <w:rPr>
          <w:rFonts w:ascii="Georgia" w:eastAsia="Times New Roman" w:hAnsi="Georgia" w:cs="Times New Roman"/>
          <w:b/>
          <w:bCs/>
          <w:sz w:val="36"/>
          <w:szCs w:val="36"/>
        </w:rPr>
      </w:pPr>
      <w:r w:rsidRPr="00D015F8">
        <w:rPr>
          <w:rFonts w:ascii="Georgia" w:hAnsi="Georgia"/>
          <w:b/>
        </w:rPr>
        <w:t xml:space="preserve">Which of the paintings do you find the most interesting and affecting? What makes your choice stand out? </w:t>
      </w:r>
    </w:p>
    <w:sectPr w:rsidR="00D36D8B" w:rsidRPr="00D015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573CD"/>
    <w:multiLevelType w:val="hybridMultilevel"/>
    <w:tmpl w:val="BB788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BE47A83"/>
    <w:multiLevelType w:val="hybridMultilevel"/>
    <w:tmpl w:val="6D26E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B83A8F"/>
    <w:multiLevelType w:val="hybridMultilevel"/>
    <w:tmpl w:val="85908382"/>
    <w:lvl w:ilvl="0" w:tplc="6AC446CC">
      <w:numFmt w:val="bullet"/>
      <w:lvlText w:val="•"/>
      <w:lvlJc w:val="left"/>
      <w:pPr>
        <w:ind w:left="360" w:hanging="360"/>
      </w:pPr>
      <w:rPr>
        <w:rFonts w:ascii="Calibri" w:eastAsia="Times New Roma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A88776F"/>
    <w:multiLevelType w:val="hybridMultilevel"/>
    <w:tmpl w:val="779629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69312DE"/>
    <w:multiLevelType w:val="hybridMultilevel"/>
    <w:tmpl w:val="FCAA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3719D0"/>
    <w:multiLevelType w:val="hybridMultilevel"/>
    <w:tmpl w:val="D7706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46469FF"/>
    <w:multiLevelType w:val="hybridMultilevel"/>
    <w:tmpl w:val="6EF89F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D8B"/>
    <w:rsid w:val="00123466"/>
    <w:rsid w:val="00232BEA"/>
    <w:rsid w:val="00324D3F"/>
    <w:rsid w:val="00632EEC"/>
    <w:rsid w:val="006670B8"/>
    <w:rsid w:val="00803F09"/>
    <w:rsid w:val="00825E28"/>
    <w:rsid w:val="00A575F9"/>
    <w:rsid w:val="00D015F8"/>
    <w:rsid w:val="00D36D8B"/>
    <w:rsid w:val="00DD115F"/>
    <w:rsid w:val="00E14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8F38E2-8496-4A41-A6CC-E470200FD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36D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D8B"/>
    <w:rPr>
      <w:rFonts w:ascii="Times New Roman" w:eastAsia="Times New Roman" w:hAnsi="Times New Roman" w:cs="Times New Roman"/>
      <w:b/>
      <w:bCs/>
      <w:sz w:val="36"/>
      <w:szCs w:val="36"/>
    </w:rPr>
  </w:style>
  <w:style w:type="paragraph" w:customStyle="1" w:styleId="intro">
    <w:name w:val="intro"/>
    <w:basedOn w:val="Normal"/>
    <w:rsid w:val="00D36D8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36D8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36D8B"/>
    <w:rPr>
      <w:color w:val="0563C1" w:themeColor="hyperlink"/>
      <w:u w:val="single"/>
    </w:rPr>
  </w:style>
  <w:style w:type="paragraph" w:styleId="ListParagraph">
    <w:name w:val="List Paragraph"/>
    <w:basedOn w:val="Normal"/>
    <w:uiPriority w:val="34"/>
    <w:qFormat/>
    <w:rsid w:val="00D36D8B"/>
    <w:pPr>
      <w:spacing w:after="200" w:line="276" w:lineRule="auto"/>
      <w:ind w:left="720"/>
      <w:contextualSpacing/>
    </w:pPr>
    <w:rPr>
      <w:lang w:val="en-GB"/>
    </w:rPr>
  </w:style>
  <w:style w:type="paragraph" w:customStyle="1" w:styleId="Alex">
    <w:name w:val="Alex"/>
    <w:basedOn w:val="NoSpacing"/>
    <w:qFormat/>
    <w:rsid w:val="00D36D8B"/>
    <w:pPr>
      <w:spacing w:line="360" w:lineRule="auto"/>
      <w:jc w:val="both"/>
    </w:pPr>
    <w:rPr>
      <w:rFonts w:ascii="Times New Roman" w:hAnsi="Times New Roman"/>
      <w:lang w:val="en-GB"/>
    </w:rPr>
  </w:style>
  <w:style w:type="paragraph" w:styleId="NoSpacing">
    <w:name w:val="No Spacing"/>
    <w:uiPriority w:val="1"/>
    <w:qFormat/>
    <w:rsid w:val="00D36D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941789">
      <w:bodyDiv w:val="1"/>
      <w:marLeft w:val="0"/>
      <w:marRight w:val="0"/>
      <w:marTop w:val="0"/>
      <w:marBottom w:val="0"/>
      <w:divBdr>
        <w:top w:val="none" w:sz="0" w:space="0" w:color="auto"/>
        <w:left w:val="none" w:sz="0" w:space="0" w:color="auto"/>
        <w:bottom w:val="none" w:sz="0" w:space="0" w:color="auto"/>
        <w:right w:val="none" w:sz="0" w:space="0" w:color="auto"/>
      </w:divBdr>
    </w:div>
    <w:div w:id="1723670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ge.cengage.com/english/lauter/heath/4e/students/author_pages/modern/washington_bo.html" TargetMode="External"/><Relationship Id="rId3" Type="http://schemas.openxmlformats.org/officeDocument/2006/relationships/settings" Target="settings.xml"/><Relationship Id="rId7" Type="http://schemas.openxmlformats.org/officeDocument/2006/relationships/hyperlink" Target="https://college.cengage.com/english/lauter/heath/4e/students/author_pages/modern/dubois_w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ma.org/interactives/exhibitions/2015/onewayticket/panel/1/intro"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ewyorker.com/magazine/2015/04/20/telling-the-whole-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4</cp:revision>
  <dcterms:created xsi:type="dcterms:W3CDTF">2017-11-20T11:56:00Z</dcterms:created>
  <dcterms:modified xsi:type="dcterms:W3CDTF">2017-11-20T12:28:00Z</dcterms:modified>
</cp:coreProperties>
</file>