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Strategic Management &amp; Sustainability LCBB6004</w:t>
      </w:r>
    </w:p>
    <w:p w:rsidR="00000000" w:rsidDel="00000000" w:rsidP="00000000" w:rsidRDefault="00000000" w:rsidRPr="00000000" w14:paraId="00000002">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Assessment 1 </w:t>
      </w:r>
    </w:p>
    <w:p w:rsidR="00000000" w:rsidDel="00000000" w:rsidP="00000000" w:rsidRDefault="00000000" w:rsidRPr="00000000" w14:paraId="00000003">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Strategic Review of Tesco PLC</w:t>
      </w:r>
    </w:p>
    <w:p w:rsidR="00000000" w:rsidDel="00000000" w:rsidP="00000000" w:rsidRDefault="00000000" w:rsidRPr="00000000" w14:paraId="00000005">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Vladimir - Mihai Bara  -  2110942</w:t>
      </w:r>
    </w:p>
    <w:p w:rsidR="00000000" w:rsidDel="00000000" w:rsidP="00000000" w:rsidRDefault="00000000" w:rsidRPr="00000000" w14:paraId="00000007">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Lecturer: Dr. Stephen Asafo</w:t>
      </w:r>
    </w:p>
    <w:p w:rsidR="00000000" w:rsidDel="00000000" w:rsidP="00000000" w:rsidRDefault="00000000" w:rsidRPr="00000000" w14:paraId="0000000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pStyle w:val="Heading4"/>
        <w:keepNext w:val="0"/>
        <w:keepLines w:val="0"/>
        <w:spacing w:after="40" w:before="240" w:line="360" w:lineRule="auto"/>
        <w:jc w:val="both"/>
        <w:rPr>
          <w:rFonts w:ascii="Times New Roman" w:cs="Times New Roman" w:eastAsia="Times New Roman" w:hAnsi="Times New Roman"/>
          <w:b w:val="1"/>
          <w:color w:val="000000"/>
        </w:rPr>
      </w:pPr>
      <w:bookmarkStart w:colFirst="0" w:colLast="0" w:name="_c449uo31xhuk" w:id="0"/>
      <w:bookmarkEnd w:id="0"/>
      <w:r w:rsidDel="00000000" w:rsidR="00000000" w:rsidRPr="00000000">
        <w:rPr>
          <w:rtl w:val="0"/>
        </w:rPr>
      </w:r>
    </w:p>
    <w:p w:rsidR="00000000" w:rsidDel="00000000" w:rsidP="00000000" w:rsidRDefault="00000000" w:rsidRPr="00000000" w14:paraId="00000020">
      <w:pPr>
        <w:pStyle w:val="Heading4"/>
        <w:keepNext w:val="0"/>
        <w:keepLines w:val="0"/>
        <w:spacing w:after="40" w:before="240" w:line="360" w:lineRule="auto"/>
        <w:jc w:val="both"/>
        <w:rPr>
          <w:rFonts w:ascii="Times New Roman" w:cs="Times New Roman" w:eastAsia="Times New Roman" w:hAnsi="Times New Roman"/>
          <w:b w:val="1"/>
          <w:color w:val="000000"/>
        </w:rPr>
      </w:pPr>
      <w:bookmarkStart w:colFirst="0" w:colLast="0" w:name="_1uu3qccnit0z" w:id="1"/>
      <w:bookmarkEnd w:id="1"/>
      <w:r w:rsidDel="00000000" w:rsidR="00000000" w:rsidRPr="00000000">
        <w:rPr>
          <w:rFonts w:ascii="Times New Roman" w:cs="Times New Roman" w:eastAsia="Times New Roman" w:hAnsi="Times New Roman"/>
          <w:b w:val="1"/>
          <w:color w:val="000000"/>
          <w:rtl w:val="0"/>
        </w:rPr>
        <w:t xml:space="preserve">1. Introduction</w:t>
      </w:r>
    </w:p>
    <w:p w:rsidR="00000000" w:rsidDel="00000000" w:rsidP="00000000" w:rsidRDefault="00000000" w:rsidRPr="00000000" w14:paraId="00000021">
      <w:pPr>
        <w:spacing w:after="240" w:before="24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comprehensive strategic review delves into the corporate and business strategies of Tesco PLC, a leading global retailer. Listed on the London Stock Exchange, Tesco’s success has been driven by strategic choices that align with its resources and capabilities, ensuring competitive advantages in a dynamic market. This report provides a deep analysis of Tesco’s strategic frameworks, evaluates the success of its strategy implementation, and offers forward-looking recommendations, particularly focusing on sustainability as a competitive differentiator.</w:t>
      </w:r>
    </w:p>
    <w:p w:rsidR="00000000" w:rsidDel="00000000" w:rsidP="00000000" w:rsidRDefault="00000000" w:rsidRPr="00000000" w14:paraId="00000022">
      <w:pPr>
        <w:spacing w:after="240" w:before="24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 PLC, founded in 1919, has grown to become the UK's largest grocery retailer and a significant player in the global retail industry. With operations spanning across Europe and Asia, Tesco has consistently adapted its strategies to maintain its market position. This report critically examines Tesco’s strategic decisions, evaluates their effectiveness, and explores future strategic directions, emphasizing the importance of sustainability in maintaining long-term competitiveness.</w:t>
      </w:r>
    </w:p>
    <w:p w:rsidR="00000000" w:rsidDel="00000000" w:rsidP="00000000" w:rsidRDefault="00000000" w:rsidRPr="00000000" w14:paraId="00000023">
      <w:pPr>
        <w:pStyle w:val="Heading4"/>
        <w:keepNext w:val="0"/>
        <w:keepLines w:val="0"/>
        <w:spacing w:after="40" w:before="240" w:line="360" w:lineRule="auto"/>
        <w:jc w:val="both"/>
        <w:rPr>
          <w:rFonts w:ascii="Times New Roman" w:cs="Times New Roman" w:eastAsia="Times New Roman" w:hAnsi="Times New Roman"/>
          <w:b w:val="1"/>
          <w:color w:val="000000"/>
        </w:rPr>
      </w:pPr>
      <w:bookmarkStart w:colFirst="0" w:colLast="0" w:name="_boi573o3bgwx" w:id="2"/>
      <w:bookmarkEnd w:id="2"/>
      <w:r w:rsidDel="00000000" w:rsidR="00000000" w:rsidRPr="00000000">
        <w:rPr>
          <w:rFonts w:ascii="Times New Roman" w:cs="Times New Roman" w:eastAsia="Times New Roman" w:hAnsi="Times New Roman"/>
          <w:b w:val="1"/>
          <w:color w:val="000000"/>
          <w:rtl w:val="0"/>
        </w:rPr>
        <w:t xml:space="preserve">2. Corporate and Business Strategies of Tesco</w:t>
      </w:r>
    </w:p>
    <w:p w:rsidR="00000000" w:rsidDel="00000000" w:rsidP="00000000" w:rsidRDefault="00000000" w:rsidRPr="00000000" w14:paraId="00000024">
      <w:pPr>
        <w:pStyle w:val="Heading5"/>
        <w:keepNext w:val="0"/>
        <w:keepLines w:val="0"/>
        <w:spacing w:after="40" w:before="220" w:line="360" w:lineRule="auto"/>
        <w:jc w:val="both"/>
        <w:rPr>
          <w:rFonts w:ascii="Times New Roman" w:cs="Times New Roman" w:eastAsia="Times New Roman" w:hAnsi="Times New Roman"/>
          <w:b w:val="1"/>
          <w:color w:val="000000"/>
          <w:sz w:val="24"/>
          <w:szCs w:val="24"/>
        </w:rPr>
      </w:pPr>
      <w:bookmarkStart w:colFirst="0" w:colLast="0" w:name="_2jtt7q3dk7zb" w:id="3"/>
      <w:bookmarkEnd w:id="3"/>
      <w:r w:rsidDel="00000000" w:rsidR="00000000" w:rsidRPr="00000000">
        <w:rPr>
          <w:rFonts w:ascii="Times New Roman" w:cs="Times New Roman" w:eastAsia="Times New Roman" w:hAnsi="Times New Roman"/>
          <w:b w:val="1"/>
          <w:color w:val="000000"/>
          <w:sz w:val="24"/>
          <w:szCs w:val="24"/>
          <w:rtl w:val="0"/>
        </w:rPr>
        <w:t xml:space="preserve">2.1 Identification of Key Strategies</w:t>
      </w:r>
    </w:p>
    <w:p w:rsidR="00000000" w:rsidDel="00000000" w:rsidP="00000000" w:rsidRDefault="00000000" w:rsidRPr="00000000" w14:paraId="00000025">
      <w:pPr>
        <w:spacing w:after="240" w:before="24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Tesco’s corporate strategy focuses on diversification, international expansion, and digital transformation, while its business strategies emphasize customer-centricity, cost leadership, and supply chain optimization. These strategies are designed to mitigate risks, capitalize on emerging opportunities, and ensure sustained growth.</w:t>
      </w:r>
    </w:p>
    <w:p w:rsidR="00000000" w:rsidDel="00000000" w:rsidP="00000000" w:rsidRDefault="00000000" w:rsidRPr="00000000" w14:paraId="00000026">
      <w:pPr>
        <w:spacing w:after="240" w:before="240" w:line="36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2.1.1. Diversification</w:t>
      </w:r>
      <w:r w:rsidDel="00000000" w:rsidR="00000000" w:rsidRPr="00000000">
        <w:rPr>
          <w:rFonts w:ascii="Times New Roman" w:cs="Times New Roman" w:eastAsia="Times New Roman" w:hAnsi="Times New Roman"/>
          <w:sz w:val="24"/>
          <w:szCs w:val="24"/>
          <w:rtl w:val="0"/>
        </w:rPr>
        <w:t xml:space="preserve">: Tesco has strategically diversified into non-grocery sectors such as financial services (Tesco Bank), telecommunications (Tesco Mobile), and online retail (Tesco.com). This diversification is not merely a risk mitigation strategy but also an attempt to leverage its strong brand and customer base across different sectors, providing additional revenue streams and strengthening customer loyalty (Johnson, Scholes, &amp; Whittington, 2008). Tesco’s diversification also includes the introduction of private label products, which serve as a key differentiator in a highly competitive market (Kotler &amp; Keller, 2016).</w:t>
      </w:r>
    </w:p>
    <w:p w:rsidR="00000000" w:rsidDel="00000000" w:rsidP="00000000" w:rsidRDefault="00000000" w:rsidRPr="00000000" w14:paraId="00000027">
      <w:pPr>
        <w:spacing w:after="240" w:before="240" w:line="36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2.1.2. International Expansion</w:t>
      </w:r>
      <w:r w:rsidDel="00000000" w:rsidR="00000000" w:rsidRPr="00000000">
        <w:rPr>
          <w:rFonts w:ascii="Times New Roman" w:cs="Times New Roman" w:eastAsia="Times New Roman" w:hAnsi="Times New Roman"/>
          <w:sz w:val="24"/>
          <w:szCs w:val="24"/>
          <w:rtl w:val="0"/>
        </w:rPr>
        <w:t xml:space="preserve">: Tesco’s expansion into international markets, especially in Asia and Central Europe, is part of its growth strategy to reduce dependency on the saturated UK market. This strategy is driven by the need to tap into high-growth regions where consumer spending is rising rapidly (Bartlett &amp; Ghoshal, 2002). However, Tesco’s international strategy has not been without challenges, as evidenced by its retreat from the US market (Fresh &amp; Easy) due to misalignment with local consumer preferences and operational inefficiencies (Palmer, 2004).</w:t>
      </w:r>
    </w:p>
    <w:p w:rsidR="00000000" w:rsidDel="00000000" w:rsidP="00000000" w:rsidRDefault="00000000" w:rsidRPr="00000000" w14:paraId="00000028">
      <w:pPr>
        <w:spacing w:after="240" w:before="240" w:line="36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2.1.3. Digital Transformation</w:t>
      </w:r>
      <w:r w:rsidDel="00000000" w:rsidR="00000000" w:rsidRPr="00000000">
        <w:rPr>
          <w:rFonts w:ascii="Times New Roman" w:cs="Times New Roman" w:eastAsia="Times New Roman" w:hAnsi="Times New Roman"/>
          <w:sz w:val="24"/>
          <w:szCs w:val="24"/>
          <w:rtl w:val="0"/>
        </w:rPr>
        <w:t xml:space="preserve">: The digital transformation strategy is central to Tesco’s business model, particularly in response to the rapid shift in consumer behavior towards online shopping. Tesco has invested heavily in its digital platforms, such as Tesco.com and its mobile app, which are integrated with its loyalty program (Clubcard) to offer personalized shopping experiences (Chaffey &amp; Ellis-Chadwick, 2019). This digital shift is also aligned with the broader industry trend towards omnichannel retailing, where seamless integration between online and offline channels is crucial (Verhoef, Kannan, &amp; Inman, 2015).</w:t>
      </w:r>
    </w:p>
    <w:p w:rsidR="00000000" w:rsidDel="00000000" w:rsidP="00000000" w:rsidRDefault="00000000" w:rsidRPr="00000000" w14:paraId="00000029">
      <w:pPr>
        <w:pStyle w:val="Heading5"/>
        <w:keepNext w:val="0"/>
        <w:keepLines w:val="0"/>
        <w:spacing w:after="40" w:before="220" w:line="360" w:lineRule="auto"/>
        <w:jc w:val="both"/>
        <w:rPr>
          <w:rFonts w:ascii="Times New Roman" w:cs="Times New Roman" w:eastAsia="Times New Roman" w:hAnsi="Times New Roman"/>
          <w:b w:val="1"/>
          <w:color w:val="000000"/>
          <w:sz w:val="24"/>
          <w:szCs w:val="24"/>
        </w:rPr>
      </w:pPr>
      <w:bookmarkStart w:colFirst="0" w:colLast="0" w:name="_2o4rl17dn5up" w:id="4"/>
      <w:bookmarkEnd w:id="4"/>
      <w:r w:rsidDel="00000000" w:rsidR="00000000" w:rsidRPr="00000000">
        <w:rPr>
          <w:rFonts w:ascii="Times New Roman" w:cs="Times New Roman" w:eastAsia="Times New Roman" w:hAnsi="Times New Roman"/>
          <w:b w:val="1"/>
          <w:color w:val="000000"/>
          <w:sz w:val="24"/>
          <w:szCs w:val="24"/>
          <w:rtl w:val="0"/>
        </w:rPr>
        <w:t xml:space="preserve">2.2 Strategic Frameworks</w:t>
      </w:r>
    </w:p>
    <w:p w:rsidR="00000000" w:rsidDel="00000000" w:rsidP="00000000" w:rsidRDefault="00000000" w:rsidRPr="00000000" w14:paraId="0000002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further analyze Tesco’s strategies, several strategic frameworks provide insight into the rationale and effectiveness of these strategies:</w:t>
      </w:r>
    </w:p>
    <w:p w:rsidR="00000000" w:rsidDel="00000000" w:rsidP="00000000" w:rsidRDefault="00000000" w:rsidRPr="00000000" w14:paraId="0000002B">
      <w:pPr>
        <w:numPr>
          <w:ilvl w:val="0"/>
          <w:numId w:val="2"/>
        </w:numPr>
        <w:spacing w:after="0" w:afterAutospacing="0" w:before="24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Ansoff Matrix</w:t>
      </w:r>
      <w:r w:rsidDel="00000000" w:rsidR="00000000" w:rsidRPr="00000000">
        <w:rPr>
          <w:rFonts w:ascii="Times New Roman" w:cs="Times New Roman" w:eastAsia="Times New Roman" w:hAnsi="Times New Roman"/>
          <w:sz w:val="24"/>
          <w:szCs w:val="24"/>
          <w:rtl w:val="0"/>
        </w:rPr>
        <w:t xml:space="preserve">: The Ansoff Matrix is instrumental in understanding Tesco’s growth strategies. Tesco’s diversification into non-grocery sectors represents a “Diversification” strategy, aiming to introduce new products to new markets. The international expansion fits into the “Market Development” quadrant, where Tesco seeks to penetrate new geographical markets with existing products (Ansoff, 1957). These strategies reflect Tesco’s approach to risk management and growth, balancing between exploiting existing competencies and exploring new opportunities (Markides, 1997).</w:t>
      </w:r>
    </w:p>
    <w:p w:rsidR="00000000" w:rsidDel="00000000" w:rsidP="00000000" w:rsidRDefault="00000000" w:rsidRPr="00000000" w14:paraId="0000002C">
      <w:pPr>
        <w:numPr>
          <w:ilvl w:val="0"/>
          <w:numId w:val="2"/>
        </w:numPr>
        <w:spacing w:after="0" w:afterAutospacing="0" w:before="0" w:beforeAutospacing="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Porter’s Generic Strategies</w:t>
      </w:r>
      <w:r w:rsidDel="00000000" w:rsidR="00000000" w:rsidRPr="00000000">
        <w:rPr>
          <w:rFonts w:ascii="Times New Roman" w:cs="Times New Roman" w:eastAsia="Times New Roman" w:hAnsi="Times New Roman"/>
          <w:sz w:val="24"/>
          <w:szCs w:val="24"/>
          <w:rtl w:val="0"/>
        </w:rPr>
        <w:t xml:space="preserve">: Tesco’s business strategy is best understood through Porter’s framework. Tesco follows a dual strategy of cost leadership and differentiation. The cost leadership strategy is evident in its focus on operational efficiency and economies of scale, enabling competitive pricing (Porter, 1980). Simultaneously, Tesco differentiates itself through high-quality private labels, customer service excellence, and loyalty programs like the Clubcard, which personalize customer experiences and drive loyalty (Keller, 2001).</w:t>
      </w:r>
    </w:p>
    <w:p w:rsidR="00000000" w:rsidDel="00000000" w:rsidP="00000000" w:rsidRDefault="00000000" w:rsidRPr="00000000" w14:paraId="0000002D">
      <w:pPr>
        <w:numPr>
          <w:ilvl w:val="0"/>
          <w:numId w:val="2"/>
        </w:numPr>
        <w:spacing w:after="240" w:before="0" w:beforeAutospacing="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BCG Matrix (Boston Consulting Group Matrix)</w:t>
      </w:r>
      <w:r w:rsidDel="00000000" w:rsidR="00000000" w:rsidRPr="00000000">
        <w:rPr>
          <w:rFonts w:ascii="Times New Roman" w:cs="Times New Roman" w:eastAsia="Times New Roman" w:hAnsi="Times New Roman"/>
          <w:sz w:val="24"/>
          <w:szCs w:val="24"/>
          <w:rtl w:val="0"/>
        </w:rPr>
        <w:t xml:space="preserve">: The BCG Matrix is useful in categorizing Tesco’s diverse business portfolio. The core grocery retail business in the UK, with its steady cash flow and large market share, is classified as a “Cash Cow.” In contrast, Tesco’s ventures into digital services, such as Tesco Bank and Tesco Mobile, can be considered “Question Marks,” requiring significant investment but holding potential for high growth (Henderson, 1970). The strategic focus here is on nurturing these ventures to become future stars or divesting if they fail to meet performance expectations.</w:t>
      </w:r>
    </w:p>
    <w:p w:rsidR="00000000" w:rsidDel="00000000" w:rsidP="00000000" w:rsidRDefault="00000000" w:rsidRPr="00000000" w14:paraId="0000002E">
      <w:pPr>
        <w:pStyle w:val="Heading4"/>
        <w:keepNext w:val="0"/>
        <w:keepLines w:val="0"/>
        <w:spacing w:after="40" w:before="240" w:line="360" w:lineRule="auto"/>
        <w:jc w:val="both"/>
        <w:rPr>
          <w:rFonts w:ascii="Times New Roman" w:cs="Times New Roman" w:eastAsia="Times New Roman" w:hAnsi="Times New Roman"/>
          <w:b w:val="1"/>
          <w:color w:val="000000"/>
        </w:rPr>
      </w:pPr>
      <w:bookmarkStart w:colFirst="0" w:colLast="0" w:name="_2aowuti2t237" w:id="5"/>
      <w:bookmarkEnd w:id="5"/>
      <w:r w:rsidDel="00000000" w:rsidR="00000000" w:rsidRPr="00000000">
        <w:rPr>
          <w:rFonts w:ascii="Times New Roman" w:cs="Times New Roman" w:eastAsia="Times New Roman" w:hAnsi="Times New Roman"/>
          <w:b w:val="1"/>
          <w:color w:val="000000"/>
          <w:rtl w:val="0"/>
        </w:rPr>
        <w:t xml:space="preserve">3. Resources and Capabilities Alignment</w:t>
      </w:r>
    </w:p>
    <w:p w:rsidR="00000000" w:rsidDel="00000000" w:rsidP="00000000" w:rsidRDefault="00000000" w:rsidRPr="00000000" w14:paraId="0000002F">
      <w:pPr>
        <w:pStyle w:val="Heading5"/>
        <w:keepNext w:val="0"/>
        <w:keepLines w:val="0"/>
        <w:spacing w:after="40" w:before="220" w:line="360" w:lineRule="auto"/>
        <w:jc w:val="both"/>
        <w:rPr>
          <w:rFonts w:ascii="Times New Roman" w:cs="Times New Roman" w:eastAsia="Times New Roman" w:hAnsi="Times New Roman"/>
          <w:b w:val="1"/>
          <w:color w:val="000000"/>
          <w:sz w:val="24"/>
          <w:szCs w:val="24"/>
        </w:rPr>
      </w:pPr>
      <w:bookmarkStart w:colFirst="0" w:colLast="0" w:name="_adi68lkkcfdx" w:id="6"/>
      <w:bookmarkEnd w:id="6"/>
      <w:r w:rsidDel="00000000" w:rsidR="00000000" w:rsidRPr="00000000">
        <w:rPr>
          <w:rFonts w:ascii="Times New Roman" w:cs="Times New Roman" w:eastAsia="Times New Roman" w:hAnsi="Times New Roman"/>
          <w:b w:val="1"/>
          <w:color w:val="000000"/>
          <w:sz w:val="24"/>
          <w:szCs w:val="24"/>
          <w:rtl w:val="0"/>
        </w:rPr>
        <w:t xml:space="preserve">3.1 Identification of Resources and Capabilities</w:t>
      </w:r>
    </w:p>
    <w:p w:rsidR="00000000" w:rsidDel="00000000" w:rsidP="00000000" w:rsidRDefault="00000000" w:rsidRPr="00000000" w14:paraId="0000003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Tesco’s ability to implement its strategies effectively is underpinned by its robust resources and capabilities, which are critical for sustaining competitive advantage.</w:t>
      </w:r>
    </w:p>
    <w:p w:rsidR="00000000" w:rsidDel="00000000" w:rsidP="00000000" w:rsidRDefault="00000000" w:rsidRPr="00000000" w14:paraId="00000031">
      <w:pPr>
        <w:numPr>
          <w:ilvl w:val="0"/>
          <w:numId w:val="4"/>
        </w:numPr>
        <w:spacing w:after="0" w:afterAutospacing="0" w:before="24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Brand Equity</w:t>
      </w:r>
      <w:r w:rsidDel="00000000" w:rsidR="00000000" w:rsidRPr="00000000">
        <w:rPr>
          <w:rFonts w:ascii="Times New Roman" w:cs="Times New Roman" w:eastAsia="Times New Roman" w:hAnsi="Times New Roman"/>
          <w:sz w:val="24"/>
          <w:szCs w:val="24"/>
          <w:rtl w:val="0"/>
        </w:rPr>
        <w:t xml:space="preserve">: Tesco’s brand equity is a significant intangible asset that commands customer loyalty and trust. The Tesco brand is synonymous with value, quality, and convenience, which has been cultivated through consistent brand messaging and customer experience (Aaker, 1991). The strength of Tesco’s brand is further enhanced by its extensive private label offerings, which differentiate it from competitors and add to its brand value (Keller, 2001).</w:t>
      </w:r>
    </w:p>
    <w:p w:rsidR="00000000" w:rsidDel="00000000" w:rsidP="00000000" w:rsidRDefault="00000000" w:rsidRPr="00000000" w14:paraId="00000032">
      <w:pPr>
        <w:numPr>
          <w:ilvl w:val="0"/>
          <w:numId w:val="4"/>
        </w:numPr>
        <w:spacing w:after="0" w:afterAutospacing="0" w:before="0" w:beforeAutospacing="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Supply Chain Efficiency</w:t>
      </w:r>
      <w:r w:rsidDel="00000000" w:rsidR="00000000" w:rsidRPr="00000000">
        <w:rPr>
          <w:rFonts w:ascii="Times New Roman" w:cs="Times New Roman" w:eastAsia="Times New Roman" w:hAnsi="Times New Roman"/>
          <w:sz w:val="24"/>
          <w:szCs w:val="24"/>
          <w:rtl w:val="0"/>
        </w:rPr>
        <w:t xml:space="preserve">: Tesco’s supply chain is one of its core capabilities, characterized by its extensive network, advanced logistics, and inventory management systems. Tesco’s centralized distribution system, supported by state-of-the-art technology, ensures that products are delivered efficiently, minimizing costs and waste (Christopher, 2016). The integration of real-time data analytics in supply chain management allows Tesco to respond quickly to market demand, maintaining high service levels while keeping costs low.</w:t>
      </w:r>
    </w:p>
    <w:p w:rsidR="00000000" w:rsidDel="00000000" w:rsidP="00000000" w:rsidRDefault="00000000" w:rsidRPr="00000000" w14:paraId="00000033">
      <w:pPr>
        <w:numPr>
          <w:ilvl w:val="0"/>
          <w:numId w:val="4"/>
        </w:numPr>
        <w:spacing w:after="0" w:afterAutospacing="0" w:before="0" w:beforeAutospacing="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Digital Infrastructure</w:t>
      </w:r>
      <w:r w:rsidDel="00000000" w:rsidR="00000000" w:rsidRPr="00000000">
        <w:rPr>
          <w:rFonts w:ascii="Times New Roman" w:cs="Times New Roman" w:eastAsia="Times New Roman" w:hAnsi="Times New Roman"/>
          <w:sz w:val="24"/>
          <w:szCs w:val="24"/>
          <w:rtl w:val="0"/>
        </w:rPr>
        <w:t xml:space="preserve">: Tesco’s digital capabilities are a cornerstone of its current strategy. The company’s investment in its digital infrastructure, including its e-commerce platform, mobile apps, and data analytics, enables it to offer personalized shopping experiences and streamline operations (Chaffey &amp; Ellis-Chadwick, 2019). Tesco’s use of big data analytics to understand customer behavior and preferences is particularly noteworthy, as it allows for targeted marketing and efficient inventory management (Brynjolfsson &amp; McAfee, 2014).</w:t>
      </w:r>
    </w:p>
    <w:p w:rsidR="00000000" w:rsidDel="00000000" w:rsidP="00000000" w:rsidRDefault="00000000" w:rsidRPr="00000000" w14:paraId="00000034">
      <w:pPr>
        <w:numPr>
          <w:ilvl w:val="0"/>
          <w:numId w:val="4"/>
        </w:numPr>
        <w:spacing w:after="240" w:before="0" w:beforeAutospacing="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Human Resources</w:t>
      </w:r>
      <w:r w:rsidDel="00000000" w:rsidR="00000000" w:rsidRPr="00000000">
        <w:rPr>
          <w:rFonts w:ascii="Times New Roman" w:cs="Times New Roman" w:eastAsia="Times New Roman" w:hAnsi="Times New Roman"/>
          <w:sz w:val="24"/>
          <w:szCs w:val="24"/>
          <w:rtl w:val="0"/>
        </w:rPr>
        <w:t xml:space="preserve">: Tesco’s human resources are a critical asset, particularly in maintaining high standards of customer service and operational efficiency. The company’s commitment to employee training and development ensures a skilled workforce capable of adapting to changing market conditions and delivering exceptional service (Armstrong &amp; Taylor, 2020). Tesco’s focus on employee engagement and well-being also contributes to high retention rates and productivity, which are essential for executing its customer-centric strategies.</w:t>
      </w:r>
    </w:p>
    <w:p w:rsidR="00000000" w:rsidDel="00000000" w:rsidP="00000000" w:rsidRDefault="00000000" w:rsidRPr="00000000" w14:paraId="00000035">
      <w:pPr>
        <w:pStyle w:val="Heading5"/>
        <w:keepNext w:val="0"/>
        <w:keepLines w:val="0"/>
        <w:spacing w:after="40" w:before="220" w:line="360" w:lineRule="auto"/>
        <w:jc w:val="both"/>
        <w:rPr>
          <w:rFonts w:ascii="Times New Roman" w:cs="Times New Roman" w:eastAsia="Times New Roman" w:hAnsi="Times New Roman"/>
          <w:b w:val="1"/>
          <w:color w:val="000000"/>
          <w:sz w:val="24"/>
          <w:szCs w:val="24"/>
        </w:rPr>
      </w:pPr>
      <w:bookmarkStart w:colFirst="0" w:colLast="0" w:name="_tzj61ifncrrr" w:id="7"/>
      <w:bookmarkEnd w:id="7"/>
      <w:r w:rsidDel="00000000" w:rsidR="00000000" w:rsidRPr="00000000">
        <w:rPr>
          <w:rFonts w:ascii="Times New Roman" w:cs="Times New Roman" w:eastAsia="Times New Roman" w:hAnsi="Times New Roman"/>
          <w:b w:val="1"/>
          <w:color w:val="000000"/>
          <w:sz w:val="24"/>
          <w:szCs w:val="24"/>
          <w:rtl w:val="0"/>
        </w:rPr>
        <w:t xml:space="preserve">3.2 Alignment with Strategies</w:t>
      </w:r>
    </w:p>
    <w:p w:rsidR="00000000" w:rsidDel="00000000" w:rsidP="00000000" w:rsidRDefault="00000000" w:rsidRPr="00000000" w14:paraId="0000003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Tesco’s resources and capabilities are closely aligned with its strategic objectives, creating synergies that enhance its competitive position.</w:t>
      </w:r>
    </w:p>
    <w:p w:rsidR="00000000" w:rsidDel="00000000" w:rsidP="00000000" w:rsidRDefault="00000000" w:rsidRPr="00000000" w14:paraId="00000037">
      <w:pPr>
        <w:numPr>
          <w:ilvl w:val="0"/>
          <w:numId w:val="8"/>
        </w:numPr>
        <w:spacing w:after="0" w:afterAutospacing="0" w:before="24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Cost Leadership and Supply Chain Efficiency</w:t>
      </w:r>
      <w:r w:rsidDel="00000000" w:rsidR="00000000" w:rsidRPr="00000000">
        <w:rPr>
          <w:rFonts w:ascii="Times New Roman" w:cs="Times New Roman" w:eastAsia="Times New Roman" w:hAnsi="Times New Roman"/>
          <w:sz w:val="24"/>
          <w:szCs w:val="24"/>
          <w:rtl w:val="0"/>
        </w:rPr>
        <w:t xml:space="preserve">: Tesco’s supply chain efficiency directly supports its cost leadership strategy. By optimizing logistics and reducing operational costs, Tesco can offer competitive pricing, which is a key differentiator in the highly price-sensitive grocery market (Porter, 1980). Additionally, Tesco’s ability to manage its supply chain effectively during disruptions, such as during the COVID-19 pandemic, has reinforced its reputation for reliability and value (Christopher, 2016).</w:t>
      </w:r>
    </w:p>
    <w:p w:rsidR="00000000" w:rsidDel="00000000" w:rsidP="00000000" w:rsidRDefault="00000000" w:rsidRPr="00000000" w14:paraId="00000038">
      <w:pPr>
        <w:numPr>
          <w:ilvl w:val="0"/>
          <w:numId w:val="8"/>
        </w:numPr>
        <w:spacing w:after="0" w:afterAutospacing="0" w:before="0" w:beforeAutospacing="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Digital Capabilities and Diversification</w:t>
      </w:r>
      <w:r w:rsidDel="00000000" w:rsidR="00000000" w:rsidRPr="00000000">
        <w:rPr>
          <w:rFonts w:ascii="Times New Roman" w:cs="Times New Roman" w:eastAsia="Times New Roman" w:hAnsi="Times New Roman"/>
          <w:sz w:val="24"/>
          <w:szCs w:val="24"/>
          <w:rtl w:val="0"/>
        </w:rPr>
        <w:t xml:space="preserve">: Tesco’s digital infrastructure is integral to its diversification strategy, particularly in online retail and financial services. The company’s e-commerce platform has been instrumental in capturing the growing online market, while its data analytics capabilities enhance customer insights and drive personalized marketing efforts (Chaffey &amp; Ellis-Chadwick, 2019). These digital capabilities are not only aligned with current strategies but also provide a foundation for future growth in new sectors and markets.</w:t>
      </w:r>
    </w:p>
    <w:p w:rsidR="00000000" w:rsidDel="00000000" w:rsidP="00000000" w:rsidRDefault="00000000" w:rsidRPr="00000000" w14:paraId="00000039">
      <w:pPr>
        <w:numPr>
          <w:ilvl w:val="0"/>
          <w:numId w:val="8"/>
        </w:numPr>
        <w:spacing w:after="240" w:before="0" w:beforeAutospacing="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Brand Equity and International Expansion</w:t>
      </w:r>
      <w:r w:rsidDel="00000000" w:rsidR="00000000" w:rsidRPr="00000000">
        <w:rPr>
          <w:rFonts w:ascii="Times New Roman" w:cs="Times New Roman" w:eastAsia="Times New Roman" w:hAnsi="Times New Roman"/>
          <w:sz w:val="24"/>
          <w:szCs w:val="24"/>
          <w:rtl w:val="0"/>
        </w:rPr>
        <w:t xml:space="preserve">: Tesco’s strong brand equity has been a key enabler of its international expansion strategy. In markets such as Central Europe and Asia, Tesco has leveraged its brand to establish a strong market presence and build customer loyalty (Bartlett &amp; Ghoshal, 2002). However, the failure to adapt its brand proposition to local markets, as seen in its US venture, underscores the importance of aligning brand strategy with local consumer preferences and market conditions (Palmer, 2004).</w:t>
      </w:r>
    </w:p>
    <w:p w:rsidR="00000000" w:rsidDel="00000000" w:rsidP="00000000" w:rsidRDefault="00000000" w:rsidRPr="00000000" w14:paraId="0000003A">
      <w:pPr>
        <w:pStyle w:val="Heading4"/>
        <w:keepNext w:val="0"/>
        <w:keepLines w:val="0"/>
        <w:spacing w:after="40" w:before="240" w:line="360" w:lineRule="auto"/>
        <w:jc w:val="both"/>
        <w:rPr>
          <w:rFonts w:ascii="Times New Roman" w:cs="Times New Roman" w:eastAsia="Times New Roman" w:hAnsi="Times New Roman"/>
          <w:b w:val="1"/>
          <w:color w:val="000000"/>
        </w:rPr>
      </w:pPr>
      <w:bookmarkStart w:colFirst="0" w:colLast="0" w:name="_shgdjnd3c89e" w:id="8"/>
      <w:bookmarkEnd w:id="8"/>
      <w:r w:rsidDel="00000000" w:rsidR="00000000" w:rsidRPr="00000000">
        <w:rPr>
          <w:rFonts w:ascii="Times New Roman" w:cs="Times New Roman" w:eastAsia="Times New Roman" w:hAnsi="Times New Roman"/>
          <w:b w:val="1"/>
          <w:color w:val="000000"/>
          <w:rtl w:val="0"/>
        </w:rPr>
        <w:t xml:space="preserve">4. Evaluation of Strategy Implementation</w:t>
      </w:r>
    </w:p>
    <w:p w:rsidR="00000000" w:rsidDel="00000000" w:rsidP="00000000" w:rsidRDefault="00000000" w:rsidRPr="00000000" w14:paraId="0000003B">
      <w:pPr>
        <w:pStyle w:val="Heading5"/>
        <w:keepNext w:val="0"/>
        <w:keepLines w:val="0"/>
        <w:spacing w:after="40" w:before="220" w:line="360" w:lineRule="auto"/>
        <w:jc w:val="both"/>
        <w:rPr>
          <w:rFonts w:ascii="Times New Roman" w:cs="Times New Roman" w:eastAsia="Times New Roman" w:hAnsi="Times New Roman"/>
          <w:b w:val="1"/>
          <w:color w:val="000000"/>
          <w:sz w:val="24"/>
          <w:szCs w:val="24"/>
        </w:rPr>
      </w:pPr>
      <w:bookmarkStart w:colFirst="0" w:colLast="0" w:name="_dsqurhzagi9e" w:id="9"/>
      <w:bookmarkEnd w:id="9"/>
      <w:r w:rsidDel="00000000" w:rsidR="00000000" w:rsidRPr="00000000">
        <w:rPr>
          <w:rFonts w:ascii="Times New Roman" w:cs="Times New Roman" w:eastAsia="Times New Roman" w:hAnsi="Times New Roman"/>
          <w:b w:val="1"/>
          <w:color w:val="000000"/>
          <w:sz w:val="24"/>
          <w:szCs w:val="24"/>
          <w:rtl w:val="0"/>
        </w:rPr>
        <w:t xml:space="preserve">4.1 Success in Competing and Creating Competitive Advantages</w:t>
      </w:r>
    </w:p>
    <w:p w:rsidR="00000000" w:rsidDel="00000000" w:rsidP="00000000" w:rsidRDefault="00000000" w:rsidRPr="00000000" w14:paraId="0000003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Tesco’s strategic implementation has yielded significant competitive advantages, although the results have varied across different markets and sectors.</w:t>
      </w:r>
    </w:p>
    <w:p w:rsidR="00000000" w:rsidDel="00000000" w:rsidP="00000000" w:rsidRDefault="00000000" w:rsidRPr="00000000" w14:paraId="0000003D">
      <w:pPr>
        <w:numPr>
          <w:ilvl w:val="0"/>
          <w:numId w:val="1"/>
        </w:numPr>
        <w:spacing w:after="0" w:afterAutospacing="0" w:before="24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Market Leadership in the UK</w:t>
      </w:r>
      <w:r w:rsidDel="00000000" w:rsidR="00000000" w:rsidRPr="00000000">
        <w:rPr>
          <w:rFonts w:ascii="Times New Roman" w:cs="Times New Roman" w:eastAsia="Times New Roman" w:hAnsi="Times New Roman"/>
          <w:sz w:val="24"/>
          <w:szCs w:val="24"/>
          <w:rtl w:val="0"/>
        </w:rPr>
        <w:t xml:space="preserve">: Tesco remains the dominant player in the UK grocery market, with a market share of approximately 27% as of 2023 (Kantar Worldpanel, 2023). This leadership is attributed to Tesco’s effective cost leadership strategy, which has enabled it to compete successfully against discount retailers like Aldi and Lidl. Tesco’s extensive store network, coupled with its strong online presence, provides a formidable competitive advantage, allowing it to serve a broad customer base efficiently (Tesco PLC, 2023).</w:t>
      </w:r>
    </w:p>
    <w:p w:rsidR="00000000" w:rsidDel="00000000" w:rsidP="00000000" w:rsidRDefault="00000000" w:rsidRPr="00000000" w14:paraId="0000003E">
      <w:pPr>
        <w:numPr>
          <w:ilvl w:val="0"/>
          <w:numId w:val="1"/>
        </w:numPr>
        <w:spacing w:after="0" w:afterAutospacing="0" w:before="0" w:beforeAutospacing="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Growth in Online Retail</w:t>
      </w:r>
      <w:r w:rsidDel="00000000" w:rsidR="00000000" w:rsidRPr="00000000">
        <w:rPr>
          <w:rFonts w:ascii="Times New Roman" w:cs="Times New Roman" w:eastAsia="Times New Roman" w:hAnsi="Times New Roman"/>
          <w:sz w:val="24"/>
          <w:szCs w:val="24"/>
          <w:rtl w:val="0"/>
        </w:rPr>
        <w:t xml:space="preserve">: Tesco’s digital transformation has been a critical success factor, particularly in the context of the COVID-19 pandemic, which accelerated the shift to online shopping. Tesco’s online grocery sales have grown significantly, driven by its user-friendly website, efficient delivery services, and integration with its loyalty program (Chaffey &amp; Ellis-Chadwick, 2019). This growth in online retail not only reinforces Tesco’s competitive position but also highlights the importance of digital capabilities in the modern retail landscape (Verhoef, Kannan, &amp; Inman, 2015).</w:t>
      </w:r>
    </w:p>
    <w:p w:rsidR="00000000" w:rsidDel="00000000" w:rsidP="00000000" w:rsidRDefault="00000000" w:rsidRPr="00000000" w14:paraId="0000003F">
      <w:pPr>
        <w:numPr>
          <w:ilvl w:val="0"/>
          <w:numId w:val="1"/>
        </w:numPr>
        <w:spacing w:after="240" w:before="0" w:beforeAutospacing="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Challenges in International Markets</w:t>
      </w:r>
      <w:r w:rsidDel="00000000" w:rsidR="00000000" w:rsidRPr="00000000">
        <w:rPr>
          <w:rFonts w:ascii="Times New Roman" w:cs="Times New Roman" w:eastAsia="Times New Roman" w:hAnsi="Times New Roman"/>
          <w:sz w:val="24"/>
          <w:szCs w:val="24"/>
          <w:rtl w:val="0"/>
        </w:rPr>
        <w:t xml:space="preserve">: While Tesco has been successful in certain international markets, its overall performance in global expansion has been mixed. The failure of its US venture, Fresh &amp; Easy, due to a lack of market understanding and operational inefficiencies, serves as a cautionary tale (Palmer, 2004). However, Tesco’s operations in Central Europe and Asia continue to perform well, contributing positively to the company’s overall performance. The key lesson from Tesco’s international experience is the need for a deep understanding of local markets and the flexibility to adapt strategies accordingly (Bartlett &amp; Ghoshal, 2002).</w:t>
      </w:r>
    </w:p>
    <w:p w:rsidR="00000000" w:rsidDel="00000000" w:rsidP="00000000" w:rsidRDefault="00000000" w:rsidRPr="00000000" w14:paraId="00000040">
      <w:pPr>
        <w:pStyle w:val="Heading5"/>
        <w:keepNext w:val="0"/>
        <w:keepLines w:val="0"/>
        <w:spacing w:after="40" w:before="220" w:line="360" w:lineRule="auto"/>
        <w:jc w:val="both"/>
        <w:rPr>
          <w:rFonts w:ascii="Times New Roman" w:cs="Times New Roman" w:eastAsia="Times New Roman" w:hAnsi="Times New Roman"/>
          <w:b w:val="1"/>
          <w:color w:val="000000"/>
          <w:sz w:val="24"/>
          <w:szCs w:val="24"/>
        </w:rPr>
      </w:pPr>
      <w:bookmarkStart w:colFirst="0" w:colLast="0" w:name="_i3qwpyrwaqxr" w:id="10"/>
      <w:bookmarkEnd w:id="10"/>
      <w:r w:rsidDel="00000000" w:rsidR="00000000" w:rsidRPr="00000000">
        <w:rPr>
          <w:rFonts w:ascii="Times New Roman" w:cs="Times New Roman" w:eastAsia="Times New Roman" w:hAnsi="Times New Roman"/>
          <w:b w:val="1"/>
          <w:color w:val="000000"/>
          <w:sz w:val="24"/>
          <w:szCs w:val="24"/>
          <w:rtl w:val="0"/>
        </w:rPr>
        <w:t xml:space="preserve">4.2 Sustainability and Environmental Considerations</w:t>
      </w:r>
    </w:p>
    <w:p w:rsidR="00000000" w:rsidDel="00000000" w:rsidP="00000000" w:rsidRDefault="00000000" w:rsidRPr="00000000" w14:paraId="0000004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Sustainability has become a central pillar of Tesco’s corporate strategy, reflecting both ethical considerations and a strategic response to consumer demand for environmentally responsible business practices.</w:t>
      </w:r>
    </w:p>
    <w:p w:rsidR="00000000" w:rsidDel="00000000" w:rsidP="00000000" w:rsidRDefault="00000000" w:rsidRPr="00000000" w14:paraId="00000042">
      <w:pPr>
        <w:numPr>
          <w:ilvl w:val="0"/>
          <w:numId w:val="3"/>
        </w:numPr>
        <w:spacing w:after="0" w:afterAutospacing="0" w:before="24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Carbon Neutrality Commitment</w:t>
      </w:r>
      <w:r w:rsidDel="00000000" w:rsidR="00000000" w:rsidRPr="00000000">
        <w:rPr>
          <w:rFonts w:ascii="Times New Roman" w:cs="Times New Roman" w:eastAsia="Times New Roman" w:hAnsi="Times New Roman"/>
          <w:sz w:val="24"/>
          <w:szCs w:val="24"/>
          <w:rtl w:val="0"/>
        </w:rPr>
        <w:t xml:space="preserve">: Tesco’s commitment to achieving carbon neutrality by 2035 is a significant step towards sustainability. This goal is supported by initiatives such as transitioning to renewable energy sources, improving energy efficiency in stores, and reducing emissions throughout its supply chain (Tesco PLC, 2023). Tesco’s efforts in carbon management not only reduce its environmental impact but also align with global sustainability trends, enhancing its corporate reputation and appeal to eco-conscious consumers (Stern, 2007).</w:t>
      </w:r>
    </w:p>
    <w:p w:rsidR="00000000" w:rsidDel="00000000" w:rsidP="00000000" w:rsidRDefault="00000000" w:rsidRPr="00000000" w14:paraId="00000043">
      <w:pPr>
        <w:numPr>
          <w:ilvl w:val="0"/>
          <w:numId w:val="3"/>
        </w:numPr>
        <w:spacing w:after="0" w:afterAutospacing="0" w:before="0" w:beforeAutospacing="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Waste Reduction and Recycling</w:t>
      </w:r>
      <w:r w:rsidDel="00000000" w:rsidR="00000000" w:rsidRPr="00000000">
        <w:rPr>
          <w:rFonts w:ascii="Times New Roman" w:cs="Times New Roman" w:eastAsia="Times New Roman" w:hAnsi="Times New Roman"/>
          <w:sz w:val="24"/>
          <w:szCs w:val="24"/>
          <w:rtl w:val="0"/>
        </w:rPr>
        <w:t xml:space="preserve">: Tesco has made substantial progress in reducing food waste, a major issue in the retail industry. The company has committed to reducing food waste by 50% by 2030 and has implemented several initiatives to achieve this goal, including partnerships with food redistribution charities and improved inventory management (Wrap, 2023). Additionally, Tesco’s efforts to eliminate single-use plastics and promote recycling are in line with broader industry trends towards sustainable packaging (Ellen MacArthur Foundation, 2013).</w:t>
      </w:r>
    </w:p>
    <w:p w:rsidR="00000000" w:rsidDel="00000000" w:rsidP="00000000" w:rsidRDefault="00000000" w:rsidRPr="00000000" w14:paraId="00000044">
      <w:pPr>
        <w:numPr>
          <w:ilvl w:val="0"/>
          <w:numId w:val="3"/>
        </w:numPr>
        <w:spacing w:after="240" w:before="0" w:beforeAutospacing="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Sustainable Sourcing</w:t>
      </w:r>
      <w:r w:rsidDel="00000000" w:rsidR="00000000" w:rsidRPr="00000000">
        <w:rPr>
          <w:rFonts w:ascii="Times New Roman" w:cs="Times New Roman" w:eastAsia="Times New Roman" w:hAnsi="Times New Roman"/>
          <w:sz w:val="24"/>
          <w:szCs w:val="24"/>
          <w:rtl w:val="0"/>
        </w:rPr>
        <w:t xml:space="preserve">: Tesco’s sustainable sourcing initiatives are critical to its overall sustainability strategy. The company has committed to sourcing 100% of its palm oil, seafood, and other key commodities from certified sustainable sources. This commitment not only reduces the environmental impact of Tesco’s supply chain but also resonates with consumers who prioritize ethical sourcing in their purchasing decisions (Hart, 1995).</w:t>
      </w:r>
    </w:p>
    <w:p w:rsidR="00000000" w:rsidDel="00000000" w:rsidP="00000000" w:rsidRDefault="00000000" w:rsidRPr="00000000" w14:paraId="00000045">
      <w:pPr>
        <w:pStyle w:val="Heading4"/>
        <w:keepNext w:val="0"/>
        <w:keepLines w:val="0"/>
        <w:spacing w:after="40" w:before="240" w:line="360" w:lineRule="auto"/>
        <w:jc w:val="both"/>
        <w:rPr>
          <w:rFonts w:ascii="Times New Roman" w:cs="Times New Roman" w:eastAsia="Times New Roman" w:hAnsi="Times New Roman"/>
          <w:b w:val="1"/>
          <w:color w:val="000000"/>
        </w:rPr>
      </w:pPr>
      <w:bookmarkStart w:colFirst="0" w:colLast="0" w:name="_fq40mjq68mcn" w:id="11"/>
      <w:bookmarkEnd w:id="11"/>
      <w:r w:rsidDel="00000000" w:rsidR="00000000" w:rsidRPr="00000000">
        <w:rPr>
          <w:rFonts w:ascii="Times New Roman" w:cs="Times New Roman" w:eastAsia="Times New Roman" w:hAnsi="Times New Roman"/>
          <w:b w:val="1"/>
          <w:color w:val="000000"/>
          <w:rtl w:val="0"/>
        </w:rPr>
        <w:t xml:space="preserve">5. Strategic Recommendations</w:t>
      </w:r>
    </w:p>
    <w:p w:rsidR="00000000" w:rsidDel="00000000" w:rsidP="00000000" w:rsidRDefault="00000000" w:rsidRPr="00000000" w14:paraId="00000046">
      <w:pPr>
        <w:pStyle w:val="Heading5"/>
        <w:keepNext w:val="0"/>
        <w:keepLines w:val="0"/>
        <w:spacing w:after="40" w:before="220" w:line="360" w:lineRule="auto"/>
        <w:jc w:val="both"/>
        <w:rPr>
          <w:rFonts w:ascii="Times New Roman" w:cs="Times New Roman" w:eastAsia="Times New Roman" w:hAnsi="Times New Roman"/>
          <w:b w:val="1"/>
          <w:color w:val="000000"/>
          <w:sz w:val="24"/>
          <w:szCs w:val="24"/>
        </w:rPr>
      </w:pPr>
      <w:bookmarkStart w:colFirst="0" w:colLast="0" w:name="_91lkchcjbehk" w:id="12"/>
      <w:bookmarkEnd w:id="12"/>
      <w:r w:rsidDel="00000000" w:rsidR="00000000" w:rsidRPr="00000000">
        <w:rPr>
          <w:rFonts w:ascii="Times New Roman" w:cs="Times New Roman" w:eastAsia="Times New Roman" w:hAnsi="Times New Roman"/>
          <w:b w:val="1"/>
          <w:color w:val="000000"/>
          <w:sz w:val="24"/>
          <w:szCs w:val="24"/>
          <w:rtl w:val="0"/>
        </w:rPr>
        <w:t xml:space="preserve">5.1 Future Strategic Direction</w:t>
      </w:r>
    </w:p>
    <w:p w:rsidR="00000000" w:rsidDel="00000000" w:rsidP="00000000" w:rsidRDefault="00000000" w:rsidRPr="00000000" w14:paraId="0000004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sustain its competitive advantage and ensure long-term growth, Tesco should consider the following strategic directions:</w:t>
      </w:r>
    </w:p>
    <w:p w:rsidR="00000000" w:rsidDel="00000000" w:rsidP="00000000" w:rsidRDefault="00000000" w:rsidRPr="00000000" w14:paraId="00000048">
      <w:pPr>
        <w:numPr>
          <w:ilvl w:val="0"/>
          <w:numId w:val="5"/>
        </w:numPr>
        <w:spacing w:after="0" w:afterAutospacing="0" w:before="24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Enhanced Digital Innovation</w:t>
      </w:r>
      <w:r w:rsidDel="00000000" w:rsidR="00000000" w:rsidRPr="00000000">
        <w:rPr>
          <w:rFonts w:ascii="Times New Roman" w:cs="Times New Roman" w:eastAsia="Times New Roman" w:hAnsi="Times New Roman"/>
          <w:sz w:val="24"/>
          <w:szCs w:val="24"/>
          <w:rtl w:val="0"/>
        </w:rPr>
        <w:t xml:space="preserve">: Tesco should continue to invest in emerging technologies such as artificial intelligence (AI), machine learning (ML), and blockchain to further enhance its digital capabilities. AI and ML can be used to improve demand forecasting, optimize pricing strategies, and personalize customer experiences (Brynjolfsson &amp; McAfee, 2014). Blockchain technology, on the other hand, can enhance supply chain transparency and traceability, particularly in sourcing and logistics (Saberi et al., 2019).</w:t>
      </w:r>
    </w:p>
    <w:p w:rsidR="00000000" w:rsidDel="00000000" w:rsidP="00000000" w:rsidRDefault="00000000" w:rsidRPr="00000000" w14:paraId="00000049">
      <w:pPr>
        <w:numPr>
          <w:ilvl w:val="0"/>
          <w:numId w:val="5"/>
        </w:numPr>
        <w:spacing w:after="0" w:afterAutospacing="0" w:before="0" w:beforeAutospacing="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Strategic Expansion in High-Growth Markets</w:t>
      </w:r>
      <w:r w:rsidDel="00000000" w:rsidR="00000000" w:rsidRPr="00000000">
        <w:rPr>
          <w:rFonts w:ascii="Times New Roman" w:cs="Times New Roman" w:eastAsia="Times New Roman" w:hAnsi="Times New Roman"/>
          <w:sz w:val="24"/>
          <w:szCs w:val="24"/>
          <w:rtl w:val="0"/>
        </w:rPr>
        <w:t xml:space="preserve">: Tesco should explore expansion opportunities in high-growth emerging markets, particularly in Asia and Africa. These regions offer significant growth potential due to rising incomes and urbanization. However, Tesco must adopt a localized approach, tailoring its product offerings and marketing strategies to meet the unique needs and preferences of consumers in these markets (Prahalad &amp; Doz, 1987).</w:t>
      </w:r>
    </w:p>
    <w:p w:rsidR="00000000" w:rsidDel="00000000" w:rsidP="00000000" w:rsidRDefault="00000000" w:rsidRPr="00000000" w14:paraId="0000004A">
      <w:pPr>
        <w:numPr>
          <w:ilvl w:val="0"/>
          <w:numId w:val="5"/>
        </w:numPr>
        <w:spacing w:after="240" w:before="0" w:beforeAutospacing="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Sustainability as a Competitive Differentiator</w:t>
      </w:r>
      <w:r w:rsidDel="00000000" w:rsidR="00000000" w:rsidRPr="00000000">
        <w:rPr>
          <w:rFonts w:ascii="Times New Roman" w:cs="Times New Roman" w:eastAsia="Times New Roman" w:hAnsi="Times New Roman"/>
          <w:sz w:val="24"/>
          <w:szCs w:val="24"/>
          <w:rtl w:val="0"/>
        </w:rPr>
        <w:t xml:space="preserve">: Tesco should deepen its commitment to sustainability by integrating it into all aspects of its business strategy. This includes not only reducing its environmental impact but also actively engaging customers and stakeholders in sustainability initiatives. For example, Tesco could introduce more sustainable products, promote circular economy practices, and enhance transparency in its supply chain (Porter &amp; Kramer, 2006).</w:t>
      </w:r>
    </w:p>
    <w:p w:rsidR="00000000" w:rsidDel="00000000" w:rsidP="00000000" w:rsidRDefault="00000000" w:rsidRPr="00000000" w14:paraId="0000004B">
      <w:pPr>
        <w:pStyle w:val="Heading5"/>
        <w:keepNext w:val="0"/>
        <w:keepLines w:val="0"/>
        <w:spacing w:after="40" w:before="220" w:line="360" w:lineRule="auto"/>
        <w:jc w:val="both"/>
        <w:rPr>
          <w:rFonts w:ascii="Times New Roman" w:cs="Times New Roman" w:eastAsia="Times New Roman" w:hAnsi="Times New Roman"/>
          <w:b w:val="1"/>
          <w:color w:val="000000"/>
          <w:sz w:val="24"/>
          <w:szCs w:val="24"/>
        </w:rPr>
      </w:pPr>
      <w:bookmarkStart w:colFirst="0" w:colLast="0" w:name="_calv06p1gxho" w:id="13"/>
      <w:bookmarkEnd w:id="13"/>
      <w:r w:rsidDel="00000000" w:rsidR="00000000" w:rsidRPr="00000000">
        <w:rPr>
          <w:rFonts w:ascii="Times New Roman" w:cs="Times New Roman" w:eastAsia="Times New Roman" w:hAnsi="Times New Roman"/>
          <w:b w:val="1"/>
          <w:color w:val="000000"/>
          <w:sz w:val="24"/>
          <w:szCs w:val="24"/>
          <w:rtl w:val="0"/>
        </w:rPr>
        <w:t xml:space="preserve">5.2 Recommendations for Enhancing Sustainability Practices</w:t>
      </w:r>
    </w:p>
    <w:p w:rsidR="00000000" w:rsidDel="00000000" w:rsidP="00000000" w:rsidRDefault="00000000" w:rsidRPr="00000000" w14:paraId="0000004C">
      <w:pPr>
        <w:numPr>
          <w:ilvl w:val="0"/>
          <w:numId w:val="6"/>
        </w:numPr>
        <w:spacing w:after="0" w:afterAutospacing="0" w:before="24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Circular Economy Initiatives</w:t>
      </w:r>
      <w:r w:rsidDel="00000000" w:rsidR="00000000" w:rsidRPr="00000000">
        <w:rPr>
          <w:rFonts w:ascii="Times New Roman" w:cs="Times New Roman" w:eastAsia="Times New Roman" w:hAnsi="Times New Roman"/>
          <w:sz w:val="24"/>
          <w:szCs w:val="24"/>
          <w:rtl w:val="0"/>
        </w:rPr>
        <w:t xml:space="preserve">: Tesco should accelerate the adoption of circular economy practices, focusing on product lifecycle management, recycling, and waste reduction. By developing closed-loop systems, Tesco can reduce waste, lower costs, and create new value streams. For example, Tesco could explore opportunities for product take-back schemes and partnerships with recycling firms to ensure that end-of-life products are repurposed or recycled (Ellen MacArthur Foundation, 2013).</w:t>
      </w:r>
    </w:p>
    <w:p w:rsidR="00000000" w:rsidDel="00000000" w:rsidP="00000000" w:rsidRDefault="00000000" w:rsidRPr="00000000" w14:paraId="0000004D">
      <w:pPr>
        <w:numPr>
          <w:ilvl w:val="0"/>
          <w:numId w:val="6"/>
        </w:numPr>
        <w:spacing w:after="0" w:afterAutospacing="0" w:before="0" w:beforeAutospacing="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Strengthening Sustainable Sourcing Practices</w:t>
      </w:r>
      <w:r w:rsidDel="00000000" w:rsidR="00000000" w:rsidRPr="00000000">
        <w:rPr>
          <w:rFonts w:ascii="Times New Roman" w:cs="Times New Roman" w:eastAsia="Times New Roman" w:hAnsi="Times New Roman"/>
          <w:sz w:val="24"/>
          <w:szCs w:val="24"/>
          <w:rtl w:val="0"/>
        </w:rPr>
        <w:t xml:space="preserve">: Tesco should continue to expand its commitment to sustainable sourcing by increasing its range of Fair Trade and organic products. Additionally, Tesco should work closely with suppliers to ensure that all products meet stringent environmental and ethical standards. This approach will not only improve Tesco’s sustainability credentials but also enhance its relationships with suppliers and customers, fostering long-term loyalty and trust (Hart, 1995).</w:t>
      </w:r>
    </w:p>
    <w:p w:rsidR="00000000" w:rsidDel="00000000" w:rsidP="00000000" w:rsidRDefault="00000000" w:rsidRPr="00000000" w14:paraId="0000004E">
      <w:pPr>
        <w:numPr>
          <w:ilvl w:val="0"/>
          <w:numId w:val="6"/>
        </w:numPr>
        <w:spacing w:after="240" w:before="0" w:beforeAutospacing="0" w:line="36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Carbon Footprint Reduction and Renewable Energy</w:t>
      </w:r>
      <w:r w:rsidDel="00000000" w:rsidR="00000000" w:rsidRPr="00000000">
        <w:rPr>
          <w:rFonts w:ascii="Times New Roman" w:cs="Times New Roman" w:eastAsia="Times New Roman" w:hAnsi="Times New Roman"/>
          <w:sz w:val="24"/>
          <w:szCs w:val="24"/>
          <w:rtl w:val="0"/>
        </w:rPr>
        <w:t xml:space="preserve">: Tesco should intensify its efforts to reduce its carbon footprint by expanding the use of renewable energy across its operations. This could include investments in solar and wind energy for stores and distribution centers, as well as partnerships with renewable energy providers. Additionally, Tesco should explore innovative solutions such as energy storage systems and electric vehicle fleets to further reduce emissions and enhance sustainability (Stern, 2007).</w:t>
      </w:r>
    </w:p>
    <w:p w:rsidR="00000000" w:rsidDel="00000000" w:rsidP="00000000" w:rsidRDefault="00000000" w:rsidRPr="00000000" w14:paraId="0000004F">
      <w:pPr>
        <w:pStyle w:val="Heading4"/>
        <w:keepNext w:val="0"/>
        <w:keepLines w:val="0"/>
        <w:spacing w:after="40" w:before="240" w:line="360" w:lineRule="auto"/>
        <w:jc w:val="both"/>
        <w:rPr>
          <w:rFonts w:ascii="Times New Roman" w:cs="Times New Roman" w:eastAsia="Times New Roman" w:hAnsi="Times New Roman"/>
          <w:b w:val="1"/>
          <w:color w:val="000000"/>
        </w:rPr>
      </w:pPr>
      <w:bookmarkStart w:colFirst="0" w:colLast="0" w:name="_qs94iwergpdt" w:id="14"/>
      <w:bookmarkEnd w:id="14"/>
      <w:r w:rsidDel="00000000" w:rsidR="00000000" w:rsidRPr="00000000">
        <w:rPr>
          <w:rFonts w:ascii="Times New Roman" w:cs="Times New Roman" w:eastAsia="Times New Roman" w:hAnsi="Times New Roman"/>
          <w:b w:val="1"/>
          <w:color w:val="000000"/>
          <w:rtl w:val="0"/>
        </w:rPr>
        <w:t xml:space="preserve">6. Conclusion</w:t>
      </w:r>
    </w:p>
    <w:p w:rsidR="00000000" w:rsidDel="00000000" w:rsidP="00000000" w:rsidRDefault="00000000" w:rsidRPr="00000000" w14:paraId="00000050">
      <w:pPr>
        <w:spacing w:after="240" w:before="24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Tesco’s strategic choices, including diversification, international expansion, and digital transformation, have been instrumental in maintaining its leadership in the retail industry. The alignment of its resources and capabilities with these strategies has enabled Tesco to build and sustain competitive advantages. However, to ensure future success, Tesco must continue to innovate, particularly in digital and sustainability practices. By focusing on these areas, Tesco can enhance its competitive position, meet the evolving needs of consumers, and achieve long-term sustainable growth.</w:t>
      </w:r>
    </w:p>
    <w:p w:rsidR="00000000" w:rsidDel="00000000" w:rsidP="00000000" w:rsidRDefault="00000000" w:rsidRPr="00000000" w14:paraId="00000051">
      <w:pPr>
        <w:spacing w:after="240" w:before="24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report emphasizes the critical importance of aligning resources and capabilities with strategic objectives and the role of sustainability in shaping Tesco's future competitive advantages.</w:t>
      </w:r>
    </w:p>
    <w:p w:rsidR="00000000" w:rsidDel="00000000" w:rsidP="00000000" w:rsidRDefault="00000000" w:rsidRPr="00000000" w14:paraId="00000052">
      <w:pPr>
        <w:pStyle w:val="Heading4"/>
        <w:keepNext w:val="0"/>
        <w:keepLines w:val="0"/>
        <w:spacing w:after="40" w:before="240" w:line="360" w:lineRule="auto"/>
        <w:jc w:val="both"/>
        <w:rPr>
          <w:rFonts w:ascii="Times New Roman" w:cs="Times New Roman" w:eastAsia="Times New Roman" w:hAnsi="Times New Roman"/>
          <w:b w:val="1"/>
          <w:color w:val="000000"/>
        </w:rPr>
      </w:pPr>
      <w:bookmarkStart w:colFirst="0" w:colLast="0" w:name="_2p419xuz98nf" w:id="15"/>
      <w:bookmarkEnd w:id="15"/>
      <w:r w:rsidDel="00000000" w:rsidR="00000000" w:rsidRPr="00000000">
        <w:rPr>
          <w:rFonts w:ascii="Times New Roman" w:cs="Times New Roman" w:eastAsia="Times New Roman" w:hAnsi="Times New Roman"/>
          <w:b w:val="1"/>
          <w:color w:val="000000"/>
          <w:rtl w:val="0"/>
        </w:rPr>
        <w:t xml:space="preserve">References</w:t>
      </w:r>
    </w:p>
    <w:p w:rsidR="00000000" w:rsidDel="00000000" w:rsidP="00000000" w:rsidRDefault="00000000" w:rsidRPr="00000000" w14:paraId="00000053">
      <w:pPr>
        <w:numPr>
          <w:ilvl w:val="0"/>
          <w:numId w:val="7"/>
        </w:numPr>
        <w:spacing w:after="0" w:afterAutospacing="0" w:before="24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Aaker, D. A. (1991). </w:t>
      </w:r>
      <w:r w:rsidDel="00000000" w:rsidR="00000000" w:rsidRPr="00000000">
        <w:rPr>
          <w:rFonts w:ascii="Times New Roman" w:cs="Times New Roman" w:eastAsia="Times New Roman" w:hAnsi="Times New Roman"/>
          <w:i w:val="1"/>
          <w:sz w:val="24"/>
          <w:szCs w:val="24"/>
          <w:rtl w:val="0"/>
        </w:rPr>
        <w:t xml:space="preserve">Managing Brand Equity: Capitalizing on the Value of a Brand Name</w:t>
      </w:r>
      <w:r w:rsidDel="00000000" w:rsidR="00000000" w:rsidRPr="00000000">
        <w:rPr>
          <w:rFonts w:ascii="Times New Roman" w:cs="Times New Roman" w:eastAsia="Times New Roman" w:hAnsi="Times New Roman"/>
          <w:sz w:val="24"/>
          <w:szCs w:val="24"/>
          <w:rtl w:val="0"/>
        </w:rPr>
        <w:t xml:space="preserve">. Free Press.</w:t>
      </w:r>
    </w:p>
    <w:p w:rsidR="00000000" w:rsidDel="00000000" w:rsidP="00000000" w:rsidRDefault="00000000" w:rsidRPr="00000000" w14:paraId="00000054">
      <w:pPr>
        <w:numPr>
          <w:ilvl w:val="0"/>
          <w:numId w:val="7"/>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Ansoff, H. I. (1957). </w:t>
      </w:r>
      <w:r w:rsidDel="00000000" w:rsidR="00000000" w:rsidRPr="00000000">
        <w:rPr>
          <w:rFonts w:ascii="Times New Roman" w:cs="Times New Roman" w:eastAsia="Times New Roman" w:hAnsi="Times New Roman"/>
          <w:i w:val="1"/>
          <w:sz w:val="24"/>
          <w:szCs w:val="24"/>
          <w:rtl w:val="0"/>
        </w:rPr>
        <w:t xml:space="preserve">Strategies for Diversification</w:t>
      </w:r>
      <w:r w:rsidDel="00000000" w:rsidR="00000000" w:rsidRPr="00000000">
        <w:rPr>
          <w:rFonts w:ascii="Times New Roman" w:cs="Times New Roman" w:eastAsia="Times New Roman" w:hAnsi="Times New Roman"/>
          <w:sz w:val="24"/>
          <w:szCs w:val="24"/>
          <w:rtl w:val="0"/>
        </w:rPr>
        <w:t xml:space="preserve">. Harvard Business Review, 35(5), 113-124.</w:t>
      </w:r>
    </w:p>
    <w:p w:rsidR="00000000" w:rsidDel="00000000" w:rsidP="00000000" w:rsidRDefault="00000000" w:rsidRPr="00000000" w14:paraId="00000055">
      <w:pPr>
        <w:numPr>
          <w:ilvl w:val="0"/>
          <w:numId w:val="7"/>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Armstrong, M., &amp; Taylor, S. (2020). </w:t>
      </w:r>
      <w:r w:rsidDel="00000000" w:rsidR="00000000" w:rsidRPr="00000000">
        <w:rPr>
          <w:rFonts w:ascii="Times New Roman" w:cs="Times New Roman" w:eastAsia="Times New Roman" w:hAnsi="Times New Roman"/>
          <w:i w:val="1"/>
          <w:sz w:val="24"/>
          <w:szCs w:val="24"/>
          <w:rtl w:val="0"/>
        </w:rPr>
        <w:t xml:space="preserve">Armstrong's Handbook of Human Resource Management Practice</w:t>
      </w:r>
      <w:r w:rsidDel="00000000" w:rsidR="00000000" w:rsidRPr="00000000">
        <w:rPr>
          <w:rFonts w:ascii="Times New Roman" w:cs="Times New Roman" w:eastAsia="Times New Roman" w:hAnsi="Times New Roman"/>
          <w:sz w:val="24"/>
          <w:szCs w:val="24"/>
          <w:rtl w:val="0"/>
        </w:rPr>
        <w:t xml:space="preserve">. Kogan Page.</w:t>
      </w:r>
    </w:p>
    <w:p w:rsidR="00000000" w:rsidDel="00000000" w:rsidP="00000000" w:rsidRDefault="00000000" w:rsidRPr="00000000" w14:paraId="00000056">
      <w:pPr>
        <w:numPr>
          <w:ilvl w:val="0"/>
          <w:numId w:val="7"/>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Bartlett, C. A., &amp; Ghoshal, S. (2002). </w:t>
      </w:r>
      <w:r w:rsidDel="00000000" w:rsidR="00000000" w:rsidRPr="00000000">
        <w:rPr>
          <w:rFonts w:ascii="Times New Roman" w:cs="Times New Roman" w:eastAsia="Times New Roman" w:hAnsi="Times New Roman"/>
          <w:i w:val="1"/>
          <w:sz w:val="24"/>
          <w:szCs w:val="24"/>
          <w:rtl w:val="0"/>
        </w:rPr>
        <w:t xml:space="preserve">Managing Across Borders: The Transnational Solution</w:t>
      </w:r>
      <w:r w:rsidDel="00000000" w:rsidR="00000000" w:rsidRPr="00000000">
        <w:rPr>
          <w:rFonts w:ascii="Times New Roman" w:cs="Times New Roman" w:eastAsia="Times New Roman" w:hAnsi="Times New Roman"/>
          <w:sz w:val="24"/>
          <w:szCs w:val="24"/>
          <w:rtl w:val="0"/>
        </w:rPr>
        <w:t xml:space="preserve">. Harvard Business School Press.</w:t>
      </w:r>
    </w:p>
    <w:p w:rsidR="00000000" w:rsidDel="00000000" w:rsidP="00000000" w:rsidRDefault="00000000" w:rsidRPr="00000000" w14:paraId="00000057">
      <w:pPr>
        <w:numPr>
          <w:ilvl w:val="0"/>
          <w:numId w:val="7"/>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Brynjolfsson, E., &amp; McAfee, A. (2014). </w:t>
      </w:r>
      <w:r w:rsidDel="00000000" w:rsidR="00000000" w:rsidRPr="00000000">
        <w:rPr>
          <w:rFonts w:ascii="Times New Roman" w:cs="Times New Roman" w:eastAsia="Times New Roman" w:hAnsi="Times New Roman"/>
          <w:i w:val="1"/>
          <w:sz w:val="24"/>
          <w:szCs w:val="24"/>
          <w:rtl w:val="0"/>
        </w:rPr>
        <w:t xml:space="preserve">The Second Machine Age: Work, Progress, and Prosperity in a Time of Brilliant Technologies</w:t>
      </w:r>
      <w:r w:rsidDel="00000000" w:rsidR="00000000" w:rsidRPr="00000000">
        <w:rPr>
          <w:rFonts w:ascii="Times New Roman" w:cs="Times New Roman" w:eastAsia="Times New Roman" w:hAnsi="Times New Roman"/>
          <w:sz w:val="24"/>
          <w:szCs w:val="24"/>
          <w:rtl w:val="0"/>
        </w:rPr>
        <w:t xml:space="preserve">. W.W. Norton &amp; Company.</w:t>
      </w:r>
    </w:p>
    <w:p w:rsidR="00000000" w:rsidDel="00000000" w:rsidP="00000000" w:rsidRDefault="00000000" w:rsidRPr="00000000" w14:paraId="00000058">
      <w:pPr>
        <w:numPr>
          <w:ilvl w:val="0"/>
          <w:numId w:val="7"/>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Chaffey, D., &amp; Ellis-Chadwick, F. (2019). </w:t>
      </w:r>
      <w:r w:rsidDel="00000000" w:rsidR="00000000" w:rsidRPr="00000000">
        <w:rPr>
          <w:rFonts w:ascii="Times New Roman" w:cs="Times New Roman" w:eastAsia="Times New Roman" w:hAnsi="Times New Roman"/>
          <w:i w:val="1"/>
          <w:sz w:val="24"/>
          <w:szCs w:val="24"/>
          <w:rtl w:val="0"/>
        </w:rPr>
        <w:t xml:space="preserve">Digital Marketing: Strategy, Implementation, and Practice</w:t>
      </w:r>
      <w:r w:rsidDel="00000000" w:rsidR="00000000" w:rsidRPr="00000000">
        <w:rPr>
          <w:rFonts w:ascii="Times New Roman" w:cs="Times New Roman" w:eastAsia="Times New Roman" w:hAnsi="Times New Roman"/>
          <w:sz w:val="24"/>
          <w:szCs w:val="24"/>
          <w:rtl w:val="0"/>
        </w:rPr>
        <w:t xml:space="preserve">. Pearson Education.</w:t>
      </w:r>
    </w:p>
    <w:p w:rsidR="00000000" w:rsidDel="00000000" w:rsidP="00000000" w:rsidRDefault="00000000" w:rsidRPr="00000000" w14:paraId="00000059">
      <w:pPr>
        <w:numPr>
          <w:ilvl w:val="0"/>
          <w:numId w:val="7"/>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Christopher, M. (2016). </w:t>
      </w:r>
      <w:r w:rsidDel="00000000" w:rsidR="00000000" w:rsidRPr="00000000">
        <w:rPr>
          <w:rFonts w:ascii="Times New Roman" w:cs="Times New Roman" w:eastAsia="Times New Roman" w:hAnsi="Times New Roman"/>
          <w:i w:val="1"/>
          <w:sz w:val="24"/>
          <w:szCs w:val="24"/>
          <w:rtl w:val="0"/>
        </w:rPr>
        <w:t xml:space="preserve">Logistics &amp; Supply Chain Management</w:t>
      </w:r>
      <w:r w:rsidDel="00000000" w:rsidR="00000000" w:rsidRPr="00000000">
        <w:rPr>
          <w:rFonts w:ascii="Times New Roman" w:cs="Times New Roman" w:eastAsia="Times New Roman" w:hAnsi="Times New Roman"/>
          <w:sz w:val="24"/>
          <w:szCs w:val="24"/>
          <w:rtl w:val="0"/>
        </w:rPr>
        <w:t xml:space="preserve">. Pearson Education.</w:t>
      </w:r>
    </w:p>
    <w:p w:rsidR="00000000" w:rsidDel="00000000" w:rsidP="00000000" w:rsidRDefault="00000000" w:rsidRPr="00000000" w14:paraId="0000005A">
      <w:pPr>
        <w:numPr>
          <w:ilvl w:val="0"/>
          <w:numId w:val="7"/>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Ellen MacArthur Foundation. (2013). </w:t>
      </w:r>
      <w:r w:rsidDel="00000000" w:rsidR="00000000" w:rsidRPr="00000000">
        <w:rPr>
          <w:rFonts w:ascii="Times New Roman" w:cs="Times New Roman" w:eastAsia="Times New Roman" w:hAnsi="Times New Roman"/>
          <w:i w:val="1"/>
          <w:sz w:val="24"/>
          <w:szCs w:val="24"/>
          <w:rtl w:val="0"/>
        </w:rPr>
        <w:t xml:space="preserve">Towards the Circular Economy: Economic and Business Rationale for an Accelerated Transition</w:t>
      </w:r>
      <w:r w:rsidDel="00000000" w:rsidR="00000000" w:rsidRPr="00000000">
        <w:rPr>
          <w:rFonts w:ascii="Times New Roman" w:cs="Times New Roman" w:eastAsia="Times New Roman" w:hAnsi="Times New Roman"/>
          <w:sz w:val="24"/>
          <w:szCs w:val="24"/>
          <w:rtl w:val="0"/>
        </w:rPr>
        <w:t xml:space="preserve">. Ellen MacArthur Foundation.</w:t>
      </w:r>
    </w:p>
    <w:p w:rsidR="00000000" w:rsidDel="00000000" w:rsidP="00000000" w:rsidRDefault="00000000" w:rsidRPr="00000000" w14:paraId="0000005B">
      <w:pPr>
        <w:numPr>
          <w:ilvl w:val="0"/>
          <w:numId w:val="7"/>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Hart, S. L. (1995). </w:t>
      </w:r>
      <w:r w:rsidDel="00000000" w:rsidR="00000000" w:rsidRPr="00000000">
        <w:rPr>
          <w:rFonts w:ascii="Times New Roman" w:cs="Times New Roman" w:eastAsia="Times New Roman" w:hAnsi="Times New Roman"/>
          <w:i w:val="1"/>
          <w:sz w:val="24"/>
          <w:szCs w:val="24"/>
          <w:rtl w:val="0"/>
        </w:rPr>
        <w:t xml:space="preserve">A Natural-Resource-Based View of the Firm</w:t>
      </w:r>
      <w:r w:rsidDel="00000000" w:rsidR="00000000" w:rsidRPr="00000000">
        <w:rPr>
          <w:rFonts w:ascii="Times New Roman" w:cs="Times New Roman" w:eastAsia="Times New Roman" w:hAnsi="Times New Roman"/>
          <w:sz w:val="24"/>
          <w:szCs w:val="24"/>
          <w:rtl w:val="0"/>
        </w:rPr>
        <w:t xml:space="preserve">. Academy of Management Review, 20(4), 986-1014.</w:t>
      </w:r>
    </w:p>
    <w:p w:rsidR="00000000" w:rsidDel="00000000" w:rsidP="00000000" w:rsidRDefault="00000000" w:rsidRPr="00000000" w14:paraId="0000005C">
      <w:pPr>
        <w:numPr>
          <w:ilvl w:val="0"/>
          <w:numId w:val="7"/>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Henderson, B. (1970). </w:t>
      </w:r>
      <w:r w:rsidDel="00000000" w:rsidR="00000000" w:rsidRPr="00000000">
        <w:rPr>
          <w:rFonts w:ascii="Times New Roman" w:cs="Times New Roman" w:eastAsia="Times New Roman" w:hAnsi="Times New Roman"/>
          <w:i w:val="1"/>
          <w:sz w:val="24"/>
          <w:szCs w:val="24"/>
          <w:rtl w:val="0"/>
        </w:rPr>
        <w:t xml:space="preserve">The Product Portfolio</w:t>
      </w:r>
      <w:r w:rsidDel="00000000" w:rsidR="00000000" w:rsidRPr="00000000">
        <w:rPr>
          <w:rFonts w:ascii="Times New Roman" w:cs="Times New Roman" w:eastAsia="Times New Roman" w:hAnsi="Times New Roman"/>
          <w:sz w:val="24"/>
          <w:szCs w:val="24"/>
          <w:rtl w:val="0"/>
        </w:rPr>
        <w:t xml:space="preserve">. BCG Perspectives.</w:t>
      </w:r>
    </w:p>
    <w:p w:rsidR="00000000" w:rsidDel="00000000" w:rsidP="00000000" w:rsidRDefault="00000000" w:rsidRPr="00000000" w14:paraId="0000005D">
      <w:pPr>
        <w:numPr>
          <w:ilvl w:val="0"/>
          <w:numId w:val="7"/>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Johnson, G., Scholes, K., &amp; Whittington, R. (2008). </w:t>
      </w:r>
      <w:r w:rsidDel="00000000" w:rsidR="00000000" w:rsidRPr="00000000">
        <w:rPr>
          <w:rFonts w:ascii="Times New Roman" w:cs="Times New Roman" w:eastAsia="Times New Roman" w:hAnsi="Times New Roman"/>
          <w:i w:val="1"/>
          <w:sz w:val="24"/>
          <w:szCs w:val="24"/>
          <w:rtl w:val="0"/>
        </w:rPr>
        <w:t xml:space="preserve">Exploring Corporate Strategy</w:t>
      </w:r>
      <w:r w:rsidDel="00000000" w:rsidR="00000000" w:rsidRPr="00000000">
        <w:rPr>
          <w:rFonts w:ascii="Times New Roman" w:cs="Times New Roman" w:eastAsia="Times New Roman" w:hAnsi="Times New Roman"/>
          <w:sz w:val="24"/>
          <w:szCs w:val="24"/>
          <w:rtl w:val="0"/>
        </w:rPr>
        <w:t xml:space="preserve">. Pearson Education.</w:t>
      </w:r>
    </w:p>
    <w:p w:rsidR="00000000" w:rsidDel="00000000" w:rsidP="00000000" w:rsidRDefault="00000000" w:rsidRPr="00000000" w14:paraId="0000005E">
      <w:pPr>
        <w:numPr>
          <w:ilvl w:val="0"/>
          <w:numId w:val="7"/>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Kantar Worldpanel. (2023). </w:t>
      </w:r>
      <w:r w:rsidDel="00000000" w:rsidR="00000000" w:rsidRPr="00000000">
        <w:rPr>
          <w:rFonts w:ascii="Times New Roman" w:cs="Times New Roman" w:eastAsia="Times New Roman" w:hAnsi="Times New Roman"/>
          <w:i w:val="1"/>
          <w:sz w:val="24"/>
          <w:szCs w:val="24"/>
          <w:rtl w:val="0"/>
        </w:rPr>
        <w:t xml:space="preserve">UK Grocery Market Share</w:t>
      </w:r>
      <w:r w:rsidDel="00000000" w:rsidR="00000000" w:rsidRPr="00000000">
        <w:rPr>
          <w:rFonts w:ascii="Times New Roman" w:cs="Times New Roman" w:eastAsia="Times New Roman" w:hAnsi="Times New Roman"/>
          <w:sz w:val="24"/>
          <w:szCs w:val="24"/>
          <w:rtl w:val="0"/>
        </w:rPr>
        <w:t xml:space="preserve">. Retrieved from [Kantar Worldpanel website].</w:t>
      </w:r>
    </w:p>
    <w:p w:rsidR="00000000" w:rsidDel="00000000" w:rsidP="00000000" w:rsidRDefault="00000000" w:rsidRPr="00000000" w14:paraId="0000005F">
      <w:pPr>
        <w:numPr>
          <w:ilvl w:val="0"/>
          <w:numId w:val="7"/>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Keller, K. L. (2001). </w:t>
      </w:r>
      <w:r w:rsidDel="00000000" w:rsidR="00000000" w:rsidRPr="00000000">
        <w:rPr>
          <w:rFonts w:ascii="Times New Roman" w:cs="Times New Roman" w:eastAsia="Times New Roman" w:hAnsi="Times New Roman"/>
          <w:i w:val="1"/>
          <w:sz w:val="24"/>
          <w:szCs w:val="24"/>
          <w:rtl w:val="0"/>
        </w:rPr>
        <w:t xml:space="preserve">Building Customer-Based Brand Equity: A Blueprint for Creating Strong Brands</w:t>
      </w:r>
      <w:r w:rsidDel="00000000" w:rsidR="00000000" w:rsidRPr="00000000">
        <w:rPr>
          <w:rFonts w:ascii="Times New Roman" w:cs="Times New Roman" w:eastAsia="Times New Roman" w:hAnsi="Times New Roman"/>
          <w:sz w:val="24"/>
          <w:szCs w:val="24"/>
          <w:rtl w:val="0"/>
        </w:rPr>
        <w:t xml:space="preserve">. Marketing Science Institute.</w:t>
      </w:r>
    </w:p>
    <w:p w:rsidR="00000000" w:rsidDel="00000000" w:rsidP="00000000" w:rsidRDefault="00000000" w:rsidRPr="00000000" w14:paraId="00000060">
      <w:pPr>
        <w:numPr>
          <w:ilvl w:val="0"/>
          <w:numId w:val="7"/>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Kotler, P., &amp; Keller, K. L. (2016). </w:t>
      </w:r>
      <w:r w:rsidDel="00000000" w:rsidR="00000000" w:rsidRPr="00000000">
        <w:rPr>
          <w:rFonts w:ascii="Times New Roman" w:cs="Times New Roman" w:eastAsia="Times New Roman" w:hAnsi="Times New Roman"/>
          <w:i w:val="1"/>
          <w:sz w:val="24"/>
          <w:szCs w:val="24"/>
          <w:rtl w:val="0"/>
        </w:rPr>
        <w:t xml:space="preserve">Marketing Management</w:t>
      </w:r>
      <w:r w:rsidDel="00000000" w:rsidR="00000000" w:rsidRPr="00000000">
        <w:rPr>
          <w:rFonts w:ascii="Times New Roman" w:cs="Times New Roman" w:eastAsia="Times New Roman" w:hAnsi="Times New Roman"/>
          <w:sz w:val="24"/>
          <w:szCs w:val="24"/>
          <w:rtl w:val="0"/>
        </w:rPr>
        <w:t xml:space="preserve">. Pearson Education.</w:t>
      </w:r>
    </w:p>
    <w:p w:rsidR="00000000" w:rsidDel="00000000" w:rsidP="00000000" w:rsidRDefault="00000000" w:rsidRPr="00000000" w14:paraId="00000061">
      <w:pPr>
        <w:numPr>
          <w:ilvl w:val="0"/>
          <w:numId w:val="7"/>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Palmer, M. (2004). </w:t>
      </w:r>
      <w:r w:rsidDel="00000000" w:rsidR="00000000" w:rsidRPr="00000000">
        <w:rPr>
          <w:rFonts w:ascii="Times New Roman" w:cs="Times New Roman" w:eastAsia="Times New Roman" w:hAnsi="Times New Roman"/>
          <w:i w:val="1"/>
          <w:sz w:val="24"/>
          <w:szCs w:val="24"/>
          <w:rtl w:val="0"/>
        </w:rPr>
        <w:t xml:space="preserve">International Retailing: Principles and Strategies</w:t>
      </w:r>
      <w:r w:rsidDel="00000000" w:rsidR="00000000" w:rsidRPr="00000000">
        <w:rPr>
          <w:rFonts w:ascii="Times New Roman" w:cs="Times New Roman" w:eastAsia="Times New Roman" w:hAnsi="Times New Roman"/>
          <w:sz w:val="24"/>
          <w:szCs w:val="24"/>
          <w:rtl w:val="0"/>
        </w:rPr>
        <w:t xml:space="preserve">. Cengage Learning.</w:t>
      </w:r>
    </w:p>
    <w:p w:rsidR="00000000" w:rsidDel="00000000" w:rsidP="00000000" w:rsidRDefault="00000000" w:rsidRPr="00000000" w14:paraId="00000062">
      <w:pPr>
        <w:numPr>
          <w:ilvl w:val="0"/>
          <w:numId w:val="7"/>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Porter, M. E. (1980). </w:t>
      </w:r>
      <w:r w:rsidDel="00000000" w:rsidR="00000000" w:rsidRPr="00000000">
        <w:rPr>
          <w:rFonts w:ascii="Times New Roman" w:cs="Times New Roman" w:eastAsia="Times New Roman" w:hAnsi="Times New Roman"/>
          <w:i w:val="1"/>
          <w:sz w:val="24"/>
          <w:szCs w:val="24"/>
          <w:rtl w:val="0"/>
        </w:rPr>
        <w:t xml:space="preserve">Competitive Strategy: Techniques for Analyzing Industries and Competitors</w:t>
      </w:r>
      <w:r w:rsidDel="00000000" w:rsidR="00000000" w:rsidRPr="00000000">
        <w:rPr>
          <w:rFonts w:ascii="Times New Roman" w:cs="Times New Roman" w:eastAsia="Times New Roman" w:hAnsi="Times New Roman"/>
          <w:sz w:val="24"/>
          <w:szCs w:val="24"/>
          <w:rtl w:val="0"/>
        </w:rPr>
        <w:t xml:space="preserve">. Free Press.</w:t>
      </w:r>
    </w:p>
    <w:p w:rsidR="00000000" w:rsidDel="00000000" w:rsidP="00000000" w:rsidRDefault="00000000" w:rsidRPr="00000000" w14:paraId="00000063">
      <w:pPr>
        <w:numPr>
          <w:ilvl w:val="0"/>
          <w:numId w:val="7"/>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Porter, M. E., &amp; Kramer, M. R. (2006). </w:t>
      </w:r>
      <w:r w:rsidDel="00000000" w:rsidR="00000000" w:rsidRPr="00000000">
        <w:rPr>
          <w:rFonts w:ascii="Times New Roman" w:cs="Times New Roman" w:eastAsia="Times New Roman" w:hAnsi="Times New Roman"/>
          <w:i w:val="1"/>
          <w:sz w:val="24"/>
          <w:szCs w:val="24"/>
          <w:rtl w:val="0"/>
        </w:rPr>
        <w:t xml:space="preserve">Strategy and Society: The Link Between Competitive Advantage and Corporate Social Responsibility</w:t>
      </w:r>
      <w:r w:rsidDel="00000000" w:rsidR="00000000" w:rsidRPr="00000000">
        <w:rPr>
          <w:rFonts w:ascii="Times New Roman" w:cs="Times New Roman" w:eastAsia="Times New Roman" w:hAnsi="Times New Roman"/>
          <w:sz w:val="24"/>
          <w:szCs w:val="24"/>
          <w:rtl w:val="0"/>
        </w:rPr>
        <w:t xml:space="preserve">. Harvard Business Review, 84(12), 78-92.</w:t>
      </w:r>
    </w:p>
    <w:p w:rsidR="00000000" w:rsidDel="00000000" w:rsidP="00000000" w:rsidRDefault="00000000" w:rsidRPr="00000000" w14:paraId="00000064">
      <w:pPr>
        <w:numPr>
          <w:ilvl w:val="0"/>
          <w:numId w:val="7"/>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Prahalad, C. K., &amp; Doz, Y. L. (1987). </w:t>
      </w:r>
      <w:r w:rsidDel="00000000" w:rsidR="00000000" w:rsidRPr="00000000">
        <w:rPr>
          <w:rFonts w:ascii="Times New Roman" w:cs="Times New Roman" w:eastAsia="Times New Roman" w:hAnsi="Times New Roman"/>
          <w:i w:val="1"/>
          <w:sz w:val="24"/>
          <w:szCs w:val="24"/>
          <w:rtl w:val="0"/>
        </w:rPr>
        <w:t xml:space="preserve">The Multinational Mission: Balancing Local Demands and Global Vision</w:t>
      </w:r>
      <w:r w:rsidDel="00000000" w:rsidR="00000000" w:rsidRPr="00000000">
        <w:rPr>
          <w:rFonts w:ascii="Times New Roman" w:cs="Times New Roman" w:eastAsia="Times New Roman" w:hAnsi="Times New Roman"/>
          <w:sz w:val="24"/>
          <w:szCs w:val="24"/>
          <w:rtl w:val="0"/>
        </w:rPr>
        <w:t xml:space="preserve">. Free Press.</w:t>
      </w:r>
    </w:p>
    <w:p w:rsidR="00000000" w:rsidDel="00000000" w:rsidP="00000000" w:rsidRDefault="00000000" w:rsidRPr="00000000" w14:paraId="00000065">
      <w:pPr>
        <w:numPr>
          <w:ilvl w:val="0"/>
          <w:numId w:val="7"/>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Saberi, S., Kouhizadeh, M., Sarkis, J., &amp; Shen, L. (2019). </w:t>
      </w:r>
      <w:r w:rsidDel="00000000" w:rsidR="00000000" w:rsidRPr="00000000">
        <w:rPr>
          <w:rFonts w:ascii="Times New Roman" w:cs="Times New Roman" w:eastAsia="Times New Roman" w:hAnsi="Times New Roman"/>
          <w:i w:val="1"/>
          <w:sz w:val="24"/>
          <w:szCs w:val="24"/>
          <w:rtl w:val="0"/>
        </w:rPr>
        <w:t xml:space="preserve">Blockchain Technology and Its Relationships to Sustainable Supply Chain Management</w:t>
      </w:r>
      <w:r w:rsidDel="00000000" w:rsidR="00000000" w:rsidRPr="00000000">
        <w:rPr>
          <w:rFonts w:ascii="Times New Roman" w:cs="Times New Roman" w:eastAsia="Times New Roman" w:hAnsi="Times New Roman"/>
          <w:sz w:val="24"/>
          <w:szCs w:val="24"/>
          <w:rtl w:val="0"/>
        </w:rPr>
        <w:t xml:space="preserve">. International Journal of Production Research, 57(7), 2117-2135.</w:t>
      </w:r>
    </w:p>
    <w:p w:rsidR="00000000" w:rsidDel="00000000" w:rsidP="00000000" w:rsidRDefault="00000000" w:rsidRPr="00000000" w14:paraId="00000066">
      <w:pPr>
        <w:numPr>
          <w:ilvl w:val="0"/>
          <w:numId w:val="7"/>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Stern, N. (2007). </w:t>
      </w:r>
      <w:r w:rsidDel="00000000" w:rsidR="00000000" w:rsidRPr="00000000">
        <w:rPr>
          <w:rFonts w:ascii="Times New Roman" w:cs="Times New Roman" w:eastAsia="Times New Roman" w:hAnsi="Times New Roman"/>
          <w:i w:val="1"/>
          <w:sz w:val="24"/>
          <w:szCs w:val="24"/>
          <w:rtl w:val="0"/>
        </w:rPr>
        <w:t xml:space="preserve">The Economics of Climate Change: The Stern Review</w:t>
      </w:r>
      <w:r w:rsidDel="00000000" w:rsidR="00000000" w:rsidRPr="00000000">
        <w:rPr>
          <w:rFonts w:ascii="Times New Roman" w:cs="Times New Roman" w:eastAsia="Times New Roman" w:hAnsi="Times New Roman"/>
          <w:sz w:val="24"/>
          <w:szCs w:val="24"/>
          <w:rtl w:val="0"/>
        </w:rPr>
        <w:t xml:space="preserve">. Cambridge University Press.</w:t>
      </w:r>
    </w:p>
    <w:p w:rsidR="00000000" w:rsidDel="00000000" w:rsidP="00000000" w:rsidRDefault="00000000" w:rsidRPr="00000000" w14:paraId="00000067">
      <w:pPr>
        <w:numPr>
          <w:ilvl w:val="0"/>
          <w:numId w:val="7"/>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 PLC. (2023). </w:t>
      </w:r>
      <w:r w:rsidDel="00000000" w:rsidR="00000000" w:rsidRPr="00000000">
        <w:rPr>
          <w:rFonts w:ascii="Times New Roman" w:cs="Times New Roman" w:eastAsia="Times New Roman" w:hAnsi="Times New Roman"/>
          <w:i w:val="1"/>
          <w:sz w:val="24"/>
          <w:szCs w:val="24"/>
          <w:rtl w:val="0"/>
        </w:rPr>
        <w:t xml:space="preserve">Annual Report and Financial Statements 2023</w:t>
      </w:r>
      <w:r w:rsidDel="00000000" w:rsidR="00000000" w:rsidRPr="00000000">
        <w:rPr>
          <w:rFonts w:ascii="Times New Roman" w:cs="Times New Roman" w:eastAsia="Times New Roman" w:hAnsi="Times New Roman"/>
          <w:sz w:val="24"/>
          <w:szCs w:val="24"/>
          <w:rtl w:val="0"/>
        </w:rPr>
        <w:t xml:space="preserve">. Retrieved from [Tesco's official website].</w:t>
      </w:r>
    </w:p>
    <w:p w:rsidR="00000000" w:rsidDel="00000000" w:rsidP="00000000" w:rsidRDefault="00000000" w:rsidRPr="00000000" w14:paraId="00000068">
      <w:pPr>
        <w:numPr>
          <w:ilvl w:val="0"/>
          <w:numId w:val="7"/>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Verhoef, P. C., Kannan, P. K., &amp; Inman, J. J. (2015). </w:t>
      </w:r>
      <w:r w:rsidDel="00000000" w:rsidR="00000000" w:rsidRPr="00000000">
        <w:rPr>
          <w:rFonts w:ascii="Times New Roman" w:cs="Times New Roman" w:eastAsia="Times New Roman" w:hAnsi="Times New Roman"/>
          <w:i w:val="1"/>
          <w:sz w:val="24"/>
          <w:szCs w:val="24"/>
          <w:rtl w:val="0"/>
        </w:rPr>
        <w:t xml:space="preserve">From Multi-Channel Retailing to Omni-Channel Retailing: Introduction to the Special Issue on Multi-Channel Retailing</w:t>
      </w:r>
      <w:r w:rsidDel="00000000" w:rsidR="00000000" w:rsidRPr="00000000">
        <w:rPr>
          <w:rFonts w:ascii="Times New Roman" w:cs="Times New Roman" w:eastAsia="Times New Roman" w:hAnsi="Times New Roman"/>
          <w:sz w:val="24"/>
          <w:szCs w:val="24"/>
          <w:rtl w:val="0"/>
        </w:rPr>
        <w:t xml:space="preserve">. Journal of Retailing, 91(2), 174-181.</w:t>
      </w:r>
    </w:p>
    <w:p w:rsidR="00000000" w:rsidDel="00000000" w:rsidP="00000000" w:rsidRDefault="00000000" w:rsidRPr="00000000" w14:paraId="00000069">
      <w:pPr>
        <w:numPr>
          <w:ilvl w:val="0"/>
          <w:numId w:val="7"/>
        </w:numPr>
        <w:spacing w:after="24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Wrap. (2023). </w:t>
      </w:r>
      <w:r w:rsidDel="00000000" w:rsidR="00000000" w:rsidRPr="00000000">
        <w:rPr>
          <w:rFonts w:ascii="Times New Roman" w:cs="Times New Roman" w:eastAsia="Times New Roman" w:hAnsi="Times New Roman"/>
          <w:i w:val="1"/>
          <w:sz w:val="24"/>
          <w:szCs w:val="24"/>
          <w:rtl w:val="0"/>
        </w:rPr>
        <w:t xml:space="preserve">Tesco’s Commitment to Waste Reduction</w:t>
      </w:r>
      <w:r w:rsidDel="00000000" w:rsidR="00000000" w:rsidRPr="00000000">
        <w:rPr>
          <w:rFonts w:ascii="Times New Roman" w:cs="Times New Roman" w:eastAsia="Times New Roman" w:hAnsi="Times New Roman"/>
          <w:sz w:val="24"/>
          <w:szCs w:val="24"/>
          <w:rtl w:val="0"/>
        </w:rPr>
        <w:t xml:space="preserve">. Retrieved from [Wrap website].</w:t>
      </w:r>
    </w:p>
    <w:p w:rsidR="00000000" w:rsidDel="00000000" w:rsidP="00000000" w:rsidRDefault="00000000" w:rsidRPr="00000000" w14:paraId="0000006A">
      <w:pPr>
        <w:spacing w:line="360" w:lineRule="auto"/>
        <w:jc w:val="both"/>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