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AA258" w14:textId="77777777" w:rsidR="00B01545" w:rsidRDefault="00B01545" w:rsidP="00B01545">
      <w:pPr>
        <w:spacing w:before="0" w:after="160"/>
        <w:rPr>
          <w:rFonts w:ascii="Arial" w:hAnsi="Arial"/>
          <w:b/>
          <w:sz w:val="28"/>
          <w:szCs w:val="28"/>
          <w:lang w:val="en-GB"/>
        </w:rPr>
      </w:pPr>
    </w:p>
    <w:p w14:paraId="57950858" w14:textId="77777777" w:rsidR="00B01545" w:rsidRPr="00B01545" w:rsidRDefault="00B01545" w:rsidP="00B01545">
      <w:pPr>
        <w:numPr>
          <w:ilvl w:val="0"/>
          <w:numId w:val="1"/>
        </w:numPr>
        <w:tabs>
          <w:tab w:val="left" w:pos="720"/>
        </w:tabs>
        <w:suppressAutoHyphens/>
        <w:autoSpaceDN w:val="0"/>
        <w:spacing w:line="240" w:lineRule="auto"/>
        <w:ind w:left="1080"/>
        <w:jc w:val="left"/>
        <w:textAlignment w:val="baseline"/>
        <w:rPr>
          <w:rFonts w:eastAsia="Times New Roman" w:cs="Times New Roman"/>
          <w:szCs w:val="24"/>
          <w:lang w:val="en-GB" w:eastAsia="en-GB" w:bidi="ar-SA"/>
        </w:rPr>
      </w:pPr>
      <w:r>
        <w:rPr>
          <w:rFonts w:ascii="Arial Nova" w:eastAsia="Times New Roman" w:hAnsi="Arial Nova" w:cs="Segoe UI"/>
          <w:szCs w:val="24"/>
          <w:lang w:val="en-GB" w:eastAsia="en-GB" w:bidi="ar-SA"/>
        </w:rPr>
        <w:t>Name: Mercy Asare</w:t>
      </w:r>
      <w:r w:rsidRPr="00B01545">
        <w:rPr>
          <w:rFonts w:ascii="Arial Nova" w:eastAsia="Times New Roman" w:hAnsi="Arial Nova" w:cs="Segoe UI"/>
          <w:szCs w:val="24"/>
          <w:lang w:val="en-GB" w:eastAsia="en-GB" w:bidi="ar-SA"/>
        </w:rPr>
        <w:t xml:space="preserve"> </w:t>
      </w:r>
    </w:p>
    <w:p w14:paraId="74B52FC7" w14:textId="64A636E6" w:rsidR="00B01545" w:rsidRPr="00B01545" w:rsidRDefault="00B01545" w:rsidP="00B01545">
      <w:pPr>
        <w:numPr>
          <w:ilvl w:val="0"/>
          <w:numId w:val="1"/>
        </w:numPr>
        <w:tabs>
          <w:tab w:val="left" w:pos="720"/>
        </w:tabs>
        <w:suppressAutoHyphens/>
        <w:autoSpaceDN w:val="0"/>
        <w:spacing w:line="240" w:lineRule="auto"/>
        <w:ind w:left="1080"/>
        <w:jc w:val="left"/>
        <w:textAlignment w:val="baseline"/>
        <w:rPr>
          <w:rFonts w:eastAsia="Times New Roman" w:cs="Times New Roman"/>
          <w:szCs w:val="24"/>
          <w:lang w:val="en-GB" w:eastAsia="en-GB" w:bidi="ar-SA"/>
        </w:rPr>
      </w:pPr>
      <w:r w:rsidRPr="00B01545">
        <w:rPr>
          <w:rFonts w:ascii="Arial Nova" w:eastAsia="Times New Roman" w:hAnsi="Arial Nova" w:cs="Segoe UI"/>
          <w:szCs w:val="24"/>
          <w:lang w:val="en-GB" w:eastAsia="en-GB" w:bidi="ar-SA"/>
        </w:rPr>
        <w:t>ID:2330846 </w:t>
      </w:r>
    </w:p>
    <w:p w14:paraId="65F6CC78" w14:textId="32B4FEF8" w:rsidR="00B01545" w:rsidRPr="00B01545" w:rsidRDefault="00B01545" w:rsidP="00B01545">
      <w:pPr>
        <w:numPr>
          <w:ilvl w:val="0"/>
          <w:numId w:val="2"/>
        </w:numPr>
        <w:tabs>
          <w:tab w:val="left" w:pos="720"/>
        </w:tabs>
        <w:suppressAutoHyphens/>
        <w:autoSpaceDN w:val="0"/>
        <w:spacing w:before="0" w:after="0" w:line="240" w:lineRule="auto"/>
        <w:ind w:left="1080"/>
        <w:jc w:val="left"/>
        <w:textAlignment w:val="baseline"/>
        <w:rPr>
          <w:rFonts w:eastAsia="Times New Roman" w:cs="Times New Roman"/>
          <w:szCs w:val="24"/>
          <w:lang w:val="en-GB" w:eastAsia="en-GB" w:bidi="ar-SA"/>
        </w:rPr>
      </w:pPr>
      <w:r w:rsidRPr="00B01545">
        <w:rPr>
          <w:rFonts w:ascii="Arial Nova" w:eastAsia="Times New Roman" w:hAnsi="Arial Nova" w:cs="Segoe UI"/>
          <w:szCs w:val="24"/>
          <w:lang w:val="en-GB" w:eastAsia="en-GB" w:bidi="ar-SA"/>
        </w:rPr>
        <w:t>Module:  BMHP</w:t>
      </w:r>
      <w:r>
        <w:rPr>
          <w:rFonts w:ascii="Arial Nova" w:eastAsia="Times New Roman" w:hAnsi="Arial Nova" w:cs="Segoe UI"/>
          <w:szCs w:val="24"/>
          <w:lang w:val="en-GB" w:eastAsia="en-GB" w:bidi="ar-SA"/>
        </w:rPr>
        <w:t>6026</w:t>
      </w:r>
    </w:p>
    <w:p w14:paraId="480EF614" w14:textId="68598A6F" w:rsidR="00B01545" w:rsidRPr="00B01545" w:rsidRDefault="00B01545" w:rsidP="00B01545">
      <w:pPr>
        <w:numPr>
          <w:ilvl w:val="0"/>
          <w:numId w:val="3"/>
        </w:numPr>
        <w:tabs>
          <w:tab w:val="left" w:pos="720"/>
        </w:tabs>
        <w:suppressAutoHyphens/>
        <w:autoSpaceDN w:val="0"/>
        <w:spacing w:before="0" w:after="0" w:line="240" w:lineRule="auto"/>
        <w:ind w:left="1080"/>
        <w:jc w:val="left"/>
        <w:textAlignment w:val="baseline"/>
        <w:rPr>
          <w:rFonts w:eastAsia="Times New Roman" w:cs="Times New Roman"/>
          <w:szCs w:val="24"/>
          <w:lang w:val="en-GB" w:eastAsia="en-GB" w:bidi="ar-SA"/>
        </w:rPr>
      </w:pPr>
      <w:r w:rsidRPr="00B01545">
        <w:rPr>
          <w:rFonts w:ascii="Arial Nova" w:eastAsia="Times New Roman" w:hAnsi="Arial Nova" w:cs="Segoe UI"/>
          <w:szCs w:val="24"/>
          <w:lang w:val="en-GB" w:eastAsia="en-GB" w:bidi="ar-SA"/>
        </w:rPr>
        <w:t>Module Title: </w:t>
      </w:r>
      <w:r>
        <w:rPr>
          <w:rFonts w:ascii="Arial Nova" w:eastAsia="Times New Roman" w:hAnsi="Arial Nova" w:cs="Segoe UI"/>
          <w:szCs w:val="24"/>
          <w:lang w:val="en-GB" w:eastAsia="en-GB" w:bidi="ar-SA"/>
        </w:rPr>
        <w:t>Digital Transformation in health and Care Professions</w:t>
      </w:r>
    </w:p>
    <w:p w14:paraId="010338FB" w14:textId="14447A71" w:rsidR="00B01545" w:rsidRPr="00B01545" w:rsidRDefault="00B01545" w:rsidP="00B01545">
      <w:pPr>
        <w:numPr>
          <w:ilvl w:val="0"/>
          <w:numId w:val="4"/>
        </w:numPr>
        <w:tabs>
          <w:tab w:val="left" w:pos="720"/>
        </w:tabs>
        <w:suppressAutoHyphens/>
        <w:autoSpaceDN w:val="0"/>
        <w:spacing w:before="0" w:after="0" w:line="240" w:lineRule="auto"/>
        <w:ind w:left="1080"/>
        <w:jc w:val="left"/>
        <w:textAlignment w:val="baseline"/>
        <w:rPr>
          <w:rFonts w:eastAsia="Times New Roman" w:cs="Times New Roman"/>
          <w:szCs w:val="24"/>
          <w:lang w:val="en-GB" w:eastAsia="en-GB" w:bidi="ar-SA"/>
        </w:rPr>
      </w:pPr>
      <w:r w:rsidRPr="00B01545">
        <w:rPr>
          <w:rFonts w:ascii="Arial Nova" w:eastAsia="Times New Roman" w:hAnsi="Arial Nova" w:cs="Segoe UI"/>
          <w:szCs w:val="24"/>
          <w:lang w:val="en-GB" w:eastAsia="en-GB" w:bidi="ar-SA"/>
        </w:rPr>
        <w:t xml:space="preserve">Lecturer: </w:t>
      </w:r>
      <w:r>
        <w:rPr>
          <w:rFonts w:ascii="Arial Nova" w:eastAsia="Times New Roman" w:hAnsi="Arial Nova" w:cs="Segoe UI"/>
          <w:szCs w:val="24"/>
          <w:lang w:val="en-GB" w:eastAsia="en-GB" w:bidi="ar-SA"/>
        </w:rPr>
        <w:t>Martin Svejda</w:t>
      </w:r>
    </w:p>
    <w:p w14:paraId="73ADB53F" w14:textId="394EE2B0" w:rsidR="00B01545" w:rsidRPr="00B01545" w:rsidRDefault="00B01545" w:rsidP="00B01545">
      <w:pPr>
        <w:tabs>
          <w:tab w:val="left" w:pos="720"/>
        </w:tabs>
        <w:suppressAutoHyphens/>
        <w:autoSpaceDN w:val="0"/>
        <w:spacing w:before="0" w:after="0" w:line="240" w:lineRule="auto"/>
        <w:ind w:left="1080"/>
        <w:jc w:val="left"/>
        <w:textAlignment w:val="baseline"/>
        <w:rPr>
          <w:rFonts w:eastAsia="Times New Roman" w:cs="Times New Roman"/>
          <w:szCs w:val="24"/>
          <w:lang w:val="en-GB" w:eastAsia="en-GB" w:bidi="ar-SA"/>
        </w:rPr>
      </w:pPr>
      <w:r w:rsidRPr="00B01545">
        <w:rPr>
          <w:rFonts w:ascii="Arial Nova" w:eastAsia="Times New Roman" w:hAnsi="Arial Nova" w:cs="Segoe UI"/>
          <w:szCs w:val="24"/>
          <w:lang w:val="en-GB" w:eastAsia="en-GB" w:bidi="ar-SA"/>
        </w:rPr>
        <w:t>Assignment title:</w:t>
      </w:r>
      <w:r>
        <w:rPr>
          <w:rFonts w:ascii="Arial Nova" w:eastAsia="Times New Roman" w:hAnsi="Arial Nova" w:cs="Segoe UI"/>
          <w:szCs w:val="24"/>
          <w:lang w:val="en-GB" w:eastAsia="en-GB" w:bidi="ar-SA"/>
        </w:rPr>
        <w:t xml:space="preserve"> Written Report</w:t>
      </w:r>
      <w:r w:rsidRPr="00B01545">
        <w:rPr>
          <w:rFonts w:ascii="Arial Nova" w:eastAsia="Times New Roman" w:hAnsi="Arial Nova" w:cs="Segoe UI"/>
          <w:szCs w:val="24"/>
          <w:lang w:val="en-GB" w:eastAsia="en-GB" w:bidi="ar-SA"/>
        </w:rPr>
        <w:t xml:space="preserve"> </w:t>
      </w:r>
    </w:p>
    <w:p w14:paraId="6A0F1757" w14:textId="26F09F8C" w:rsidR="00B01545" w:rsidRPr="00B01545" w:rsidRDefault="00B01545" w:rsidP="00B01545">
      <w:pPr>
        <w:numPr>
          <w:ilvl w:val="0"/>
          <w:numId w:val="5"/>
        </w:numPr>
        <w:tabs>
          <w:tab w:val="left" w:pos="720"/>
        </w:tabs>
        <w:suppressAutoHyphens/>
        <w:autoSpaceDN w:val="0"/>
        <w:spacing w:before="0" w:after="0" w:line="240" w:lineRule="auto"/>
        <w:ind w:left="1080"/>
        <w:jc w:val="left"/>
        <w:textAlignment w:val="baseline"/>
        <w:rPr>
          <w:rFonts w:eastAsia="Times New Roman" w:cs="Times New Roman"/>
          <w:szCs w:val="24"/>
          <w:lang w:val="en-GB" w:eastAsia="en-GB" w:bidi="ar-SA"/>
        </w:rPr>
      </w:pPr>
      <w:r w:rsidRPr="00B01545">
        <w:rPr>
          <w:rFonts w:ascii="Arial Nova" w:eastAsia="Times New Roman" w:hAnsi="Arial Nova" w:cs="Segoe UI"/>
          <w:szCs w:val="24"/>
          <w:lang w:val="en-GB" w:eastAsia="en-GB" w:bidi="ar-SA"/>
        </w:rPr>
        <w:t>Date:</w:t>
      </w:r>
      <w:r>
        <w:rPr>
          <w:rFonts w:ascii="Arial Nova" w:eastAsia="Times New Roman" w:hAnsi="Arial Nova" w:cs="Segoe UI"/>
          <w:szCs w:val="24"/>
          <w:lang w:val="en-GB" w:eastAsia="en-GB" w:bidi="ar-SA"/>
        </w:rPr>
        <w:t xml:space="preserve"> 19</w:t>
      </w:r>
      <w:r w:rsidRPr="00B01545">
        <w:rPr>
          <w:rFonts w:ascii="Arial Nova" w:eastAsia="Times New Roman" w:hAnsi="Arial Nova" w:cs="Segoe UI"/>
          <w:szCs w:val="24"/>
          <w:lang w:val="en-GB" w:eastAsia="en-GB" w:bidi="ar-SA"/>
        </w:rPr>
        <w:t>-</w:t>
      </w:r>
      <w:r>
        <w:rPr>
          <w:rFonts w:ascii="Arial Nova" w:eastAsia="Times New Roman" w:hAnsi="Arial Nova" w:cs="Segoe UI"/>
          <w:szCs w:val="24"/>
          <w:lang w:val="en-GB" w:eastAsia="en-GB" w:bidi="ar-SA"/>
        </w:rPr>
        <w:t>10</w:t>
      </w:r>
      <w:r w:rsidRPr="00B01545">
        <w:rPr>
          <w:rFonts w:ascii="Arial Nova" w:eastAsia="Times New Roman" w:hAnsi="Arial Nova" w:cs="Segoe UI"/>
          <w:szCs w:val="24"/>
          <w:lang w:val="en-GB" w:eastAsia="en-GB" w:bidi="ar-SA"/>
        </w:rPr>
        <w:t>-2026</w:t>
      </w:r>
    </w:p>
    <w:p w14:paraId="58E7C02A" w14:textId="5FFF47BC" w:rsidR="00B01545" w:rsidRDefault="00B01545" w:rsidP="00B01545">
      <w:pPr>
        <w:spacing w:before="0" w:after="160"/>
        <w:rPr>
          <w:rFonts w:ascii="Arial Nova" w:eastAsia="Times New Roman" w:hAnsi="Arial Nova" w:cs="Segoe UI"/>
          <w:szCs w:val="24"/>
          <w:lang w:val="en-GB" w:eastAsia="en-GB" w:bidi="ar-SA"/>
        </w:rPr>
      </w:pPr>
    </w:p>
    <w:p w14:paraId="75126DE2" w14:textId="77777777" w:rsidR="00B01545" w:rsidRPr="00B01545" w:rsidRDefault="00B01545" w:rsidP="00B01545">
      <w:pPr>
        <w:spacing w:before="0" w:after="160"/>
        <w:rPr>
          <w:rFonts w:ascii="Arial" w:hAnsi="Arial"/>
          <w:b/>
          <w:sz w:val="22"/>
          <w:lang w:val="en-GB"/>
        </w:rPr>
      </w:pPr>
    </w:p>
    <w:p w14:paraId="2E124EB0" w14:textId="1EC2BE2A" w:rsidR="00B01545" w:rsidRPr="00B01545" w:rsidRDefault="00B01545" w:rsidP="00B01545">
      <w:pPr>
        <w:tabs>
          <w:tab w:val="left" w:pos="720"/>
        </w:tabs>
        <w:suppressAutoHyphens/>
        <w:autoSpaceDN w:val="0"/>
        <w:spacing w:before="0" w:after="0" w:line="240" w:lineRule="auto"/>
        <w:jc w:val="left"/>
        <w:textAlignment w:val="baseline"/>
        <w:rPr>
          <w:rFonts w:eastAsia="Times New Roman" w:cs="Times New Roman"/>
          <w:szCs w:val="24"/>
          <w:lang w:val="en-GB" w:eastAsia="en-GB" w:bidi="ar-SA"/>
        </w:rPr>
      </w:pPr>
      <w:r>
        <w:rPr>
          <w:rFonts w:ascii="Arial Nova" w:eastAsia="Times New Roman" w:hAnsi="Arial Nova" w:cs="Segoe UI"/>
          <w:szCs w:val="24"/>
          <w:lang w:val="en-GB" w:eastAsia="en-GB" w:bidi="ar-SA"/>
        </w:rPr>
        <w:t xml:space="preserve">                </w:t>
      </w:r>
    </w:p>
    <w:sdt>
      <w:sdtPr>
        <w:rPr>
          <w:rFonts w:ascii="Arial" w:eastAsia="Arial" w:hAnsi="Arial" w:cs="Arial"/>
          <w:color w:val="auto"/>
          <w:sz w:val="22"/>
          <w:szCs w:val="22"/>
          <w:lang w:val="en-GB" w:bidi="bn-IN"/>
        </w:rPr>
        <w:id w:val="72863669"/>
        <w:docPartObj>
          <w:docPartGallery w:val="Table of Contents"/>
          <w:docPartUnique/>
        </w:docPartObj>
      </w:sdtPr>
      <w:sdtEndPr>
        <w:rPr>
          <w:b/>
          <w:bCs/>
          <w:noProof/>
        </w:rPr>
      </w:sdtEndPr>
      <w:sdtContent>
        <w:p w14:paraId="0A12DC2A" w14:textId="77777777" w:rsidR="00904AEC" w:rsidRPr="004A610E" w:rsidRDefault="00904AEC" w:rsidP="004A610E">
          <w:pPr>
            <w:pStyle w:val="TOCHeading"/>
            <w:spacing w:line="360" w:lineRule="auto"/>
            <w:jc w:val="center"/>
            <w:rPr>
              <w:rFonts w:ascii="Arial" w:hAnsi="Arial" w:cs="Arial"/>
              <w:b/>
              <w:sz w:val="22"/>
              <w:szCs w:val="22"/>
              <w:lang w:val="en-GB"/>
            </w:rPr>
          </w:pPr>
          <w:r w:rsidRPr="004A610E">
            <w:rPr>
              <w:rFonts w:ascii="Arial" w:hAnsi="Arial" w:cs="Arial"/>
              <w:b/>
              <w:sz w:val="22"/>
              <w:szCs w:val="22"/>
              <w:lang w:val="en-GB"/>
            </w:rPr>
            <w:t>Table of Contents</w:t>
          </w:r>
        </w:p>
        <w:p w14:paraId="1094E3FE" w14:textId="77777777" w:rsidR="00904AEC" w:rsidRPr="004A610E" w:rsidRDefault="00904AEC" w:rsidP="004A610E">
          <w:pPr>
            <w:pStyle w:val="TOC1"/>
            <w:tabs>
              <w:tab w:val="right" w:leader="dot" w:pos="9350"/>
            </w:tabs>
            <w:rPr>
              <w:rFonts w:ascii="Arial" w:hAnsi="Arial"/>
              <w:noProof/>
              <w:sz w:val="22"/>
              <w:lang w:val="en-GB"/>
            </w:rPr>
          </w:pPr>
          <w:r w:rsidRPr="004A610E">
            <w:rPr>
              <w:rFonts w:ascii="Arial" w:hAnsi="Arial"/>
              <w:sz w:val="22"/>
              <w:lang w:val="en-GB"/>
            </w:rPr>
            <w:fldChar w:fldCharType="begin"/>
          </w:r>
          <w:r w:rsidRPr="004A610E">
            <w:rPr>
              <w:rFonts w:ascii="Arial" w:hAnsi="Arial"/>
              <w:sz w:val="22"/>
              <w:lang w:val="en-GB"/>
            </w:rPr>
            <w:instrText xml:space="preserve"> TOC \o "1-3" \h \z \u </w:instrText>
          </w:r>
          <w:r w:rsidRPr="004A610E">
            <w:rPr>
              <w:rFonts w:ascii="Arial" w:hAnsi="Arial"/>
              <w:sz w:val="22"/>
              <w:lang w:val="en-GB"/>
            </w:rPr>
            <w:fldChar w:fldCharType="separate"/>
          </w:r>
          <w:hyperlink w:anchor="_Toc241541481" w:history="1">
            <w:r w:rsidRPr="004A610E">
              <w:rPr>
                <w:rStyle w:val="Hyperlink"/>
                <w:rFonts w:ascii="Arial" w:hAnsi="Arial"/>
                <w:noProof/>
                <w:sz w:val="22"/>
                <w:lang w:val="en-GB"/>
              </w:rPr>
              <w:t>1. Introduction</w:t>
            </w:r>
            <w:r w:rsidRPr="004A610E">
              <w:rPr>
                <w:rFonts w:ascii="Arial" w:hAnsi="Arial"/>
                <w:noProof/>
                <w:webHidden/>
                <w:sz w:val="22"/>
                <w:lang w:val="en-GB"/>
              </w:rPr>
              <w:tab/>
            </w:r>
            <w:r w:rsidRPr="004A610E">
              <w:rPr>
                <w:rFonts w:ascii="Arial" w:hAnsi="Arial"/>
                <w:noProof/>
                <w:webHidden/>
                <w:sz w:val="22"/>
                <w:lang w:val="en-GB"/>
              </w:rPr>
              <w:fldChar w:fldCharType="begin"/>
            </w:r>
            <w:r w:rsidRPr="004A610E">
              <w:rPr>
                <w:rFonts w:ascii="Arial" w:hAnsi="Arial"/>
                <w:noProof/>
                <w:webHidden/>
                <w:sz w:val="22"/>
                <w:lang w:val="en-GB"/>
              </w:rPr>
              <w:instrText xml:space="preserve"> PAGEREF _Toc241541481 \h </w:instrText>
            </w:r>
            <w:r w:rsidRPr="004A610E">
              <w:rPr>
                <w:rFonts w:ascii="Arial" w:hAnsi="Arial"/>
                <w:noProof/>
                <w:webHidden/>
                <w:sz w:val="22"/>
                <w:lang w:val="en-GB"/>
              </w:rPr>
            </w:r>
            <w:r w:rsidRPr="004A610E">
              <w:rPr>
                <w:rFonts w:ascii="Arial" w:hAnsi="Arial"/>
                <w:noProof/>
                <w:webHidden/>
                <w:sz w:val="22"/>
                <w:lang w:val="en-GB"/>
              </w:rPr>
              <w:fldChar w:fldCharType="separate"/>
            </w:r>
            <w:r w:rsidRPr="004A610E">
              <w:rPr>
                <w:rFonts w:ascii="Arial" w:hAnsi="Arial"/>
                <w:noProof/>
                <w:webHidden/>
                <w:sz w:val="22"/>
                <w:lang w:val="en-GB"/>
              </w:rPr>
              <w:t>3</w:t>
            </w:r>
            <w:r w:rsidRPr="004A610E">
              <w:rPr>
                <w:rFonts w:ascii="Arial" w:hAnsi="Arial"/>
                <w:noProof/>
                <w:webHidden/>
                <w:sz w:val="22"/>
                <w:lang w:val="en-GB"/>
              </w:rPr>
              <w:fldChar w:fldCharType="end"/>
            </w:r>
          </w:hyperlink>
        </w:p>
        <w:p w14:paraId="3AFB4B9C" w14:textId="77777777" w:rsidR="00904AEC" w:rsidRPr="004A610E" w:rsidRDefault="00904AEC" w:rsidP="004A610E">
          <w:pPr>
            <w:pStyle w:val="TOC1"/>
            <w:tabs>
              <w:tab w:val="right" w:leader="dot" w:pos="9350"/>
            </w:tabs>
            <w:rPr>
              <w:rFonts w:ascii="Arial" w:hAnsi="Arial"/>
              <w:noProof/>
              <w:sz w:val="22"/>
              <w:lang w:val="en-GB"/>
            </w:rPr>
          </w:pPr>
          <w:hyperlink w:anchor="_Toc241541482" w:history="1">
            <w:r w:rsidRPr="004A610E">
              <w:rPr>
                <w:rStyle w:val="Hyperlink"/>
                <w:rFonts w:ascii="Arial" w:hAnsi="Arial"/>
                <w:noProof/>
                <w:sz w:val="22"/>
                <w:lang w:val="en-GB"/>
              </w:rPr>
              <w:t>2. Case Study Background</w:t>
            </w:r>
            <w:r w:rsidRPr="004A610E">
              <w:rPr>
                <w:rFonts w:ascii="Arial" w:hAnsi="Arial"/>
                <w:noProof/>
                <w:webHidden/>
                <w:sz w:val="22"/>
                <w:lang w:val="en-GB"/>
              </w:rPr>
              <w:tab/>
            </w:r>
            <w:r w:rsidRPr="004A610E">
              <w:rPr>
                <w:rFonts w:ascii="Arial" w:hAnsi="Arial"/>
                <w:noProof/>
                <w:webHidden/>
                <w:sz w:val="22"/>
                <w:lang w:val="en-GB"/>
              </w:rPr>
              <w:fldChar w:fldCharType="begin"/>
            </w:r>
            <w:r w:rsidRPr="004A610E">
              <w:rPr>
                <w:rFonts w:ascii="Arial" w:hAnsi="Arial"/>
                <w:noProof/>
                <w:webHidden/>
                <w:sz w:val="22"/>
                <w:lang w:val="en-GB"/>
              </w:rPr>
              <w:instrText xml:space="preserve"> PAGEREF _Toc241541482 \h </w:instrText>
            </w:r>
            <w:r w:rsidRPr="004A610E">
              <w:rPr>
                <w:rFonts w:ascii="Arial" w:hAnsi="Arial"/>
                <w:noProof/>
                <w:webHidden/>
                <w:sz w:val="22"/>
                <w:lang w:val="en-GB"/>
              </w:rPr>
            </w:r>
            <w:r w:rsidRPr="004A610E">
              <w:rPr>
                <w:rFonts w:ascii="Arial" w:hAnsi="Arial"/>
                <w:noProof/>
                <w:webHidden/>
                <w:sz w:val="22"/>
                <w:lang w:val="en-GB"/>
              </w:rPr>
              <w:fldChar w:fldCharType="separate"/>
            </w:r>
            <w:r w:rsidRPr="004A610E">
              <w:rPr>
                <w:rFonts w:ascii="Arial" w:hAnsi="Arial"/>
                <w:noProof/>
                <w:webHidden/>
                <w:sz w:val="22"/>
                <w:lang w:val="en-GB"/>
              </w:rPr>
              <w:t>3</w:t>
            </w:r>
            <w:r w:rsidRPr="004A610E">
              <w:rPr>
                <w:rFonts w:ascii="Arial" w:hAnsi="Arial"/>
                <w:noProof/>
                <w:webHidden/>
                <w:sz w:val="22"/>
                <w:lang w:val="en-GB"/>
              </w:rPr>
              <w:fldChar w:fldCharType="end"/>
            </w:r>
          </w:hyperlink>
        </w:p>
        <w:p w14:paraId="55906C53" w14:textId="77777777" w:rsidR="00904AEC" w:rsidRPr="004A610E" w:rsidRDefault="00904AEC" w:rsidP="004A610E">
          <w:pPr>
            <w:pStyle w:val="TOC1"/>
            <w:tabs>
              <w:tab w:val="right" w:leader="dot" w:pos="9350"/>
            </w:tabs>
            <w:rPr>
              <w:rFonts w:ascii="Arial" w:hAnsi="Arial"/>
              <w:noProof/>
              <w:sz w:val="22"/>
              <w:lang w:val="en-GB"/>
            </w:rPr>
          </w:pPr>
          <w:hyperlink w:anchor="_Toc241541483" w:history="1">
            <w:r w:rsidRPr="004A610E">
              <w:rPr>
                <w:rStyle w:val="Hyperlink"/>
                <w:rFonts w:ascii="Arial" w:hAnsi="Arial"/>
                <w:noProof/>
                <w:sz w:val="22"/>
                <w:lang w:val="en-GB"/>
              </w:rPr>
              <w:t>3. Evaluation of Workforce Impact</w:t>
            </w:r>
            <w:r w:rsidRPr="004A610E">
              <w:rPr>
                <w:rFonts w:ascii="Arial" w:hAnsi="Arial"/>
                <w:noProof/>
                <w:webHidden/>
                <w:sz w:val="22"/>
                <w:lang w:val="en-GB"/>
              </w:rPr>
              <w:tab/>
            </w:r>
            <w:r w:rsidRPr="004A610E">
              <w:rPr>
                <w:rFonts w:ascii="Arial" w:hAnsi="Arial"/>
                <w:noProof/>
                <w:webHidden/>
                <w:sz w:val="22"/>
                <w:lang w:val="en-GB"/>
              </w:rPr>
              <w:fldChar w:fldCharType="begin"/>
            </w:r>
            <w:r w:rsidRPr="004A610E">
              <w:rPr>
                <w:rFonts w:ascii="Arial" w:hAnsi="Arial"/>
                <w:noProof/>
                <w:webHidden/>
                <w:sz w:val="22"/>
                <w:lang w:val="en-GB"/>
              </w:rPr>
              <w:instrText xml:space="preserve"> PAGEREF _Toc241541483 \h </w:instrText>
            </w:r>
            <w:r w:rsidRPr="004A610E">
              <w:rPr>
                <w:rFonts w:ascii="Arial" w:hAnsi="Arial"/>
                <w:noProof/>
                <w:webHidden/>
                <w:sz w:val="22"/>
                <w:lang w:val="en-GB"/>
              </w:rPr>
            </w:r>
            <w:r w:rsidRPr="004A610E">
              <w:rPr>
                <w:rFonts w:ascii="Arial" w:hAnsi="Arial"/>
                <w:noProof/>
                <w:webHidden/>
                <w:sz w:val="22"/>
                <w:lang w:val="en-GB"/>
              </w:rPr>
              <w:fldChar w:fldCharType="separate"/>
            </w:r>
            <w:r w:rsidRPr="004A610E">
              <w:rPr>
                <w:rFonts w:ascii="Arial" w:hAnsi="Arial"/>
                <w:noProof/>
                <w:webHidden/>
                <w:sz w:val="22"/>
                <w:lang w:val="en-GB"/>
              </w:rPr>
              <w:t>4</w:t>
            </w:r>
            <w:r w:rsidRPr="004A610E">
              <w:rPr>
                <w:rFonts w:ascii="Arial" w:hAnsi="Arial"/>
                <w:noProof/>
                <w:webHidden/>
                <w:sz w:val="22"/>
                <w:lang w:val="en-GB"/>
              </w:rPr>
              <w:fldChar w:fldCharType="end"/>
            </w:r>
          </w:hyperlink>
        </w:p>
        <w:p w14:paraId="20987F06" w14:textId="77777777" w:rsidR="00904AEC" w:rsidRPr="004A610E" w:rsidRDefault="00904AEC" w:rsidP="004A610E">
          <w:pPr>
            <w:pStyle w:val="TOC1"/>
            <w:tabs>
              <w:tab w:val="right" w:leader="dot" w:pos="9350"/>
            </w:tabs>
            <w:rPr>
              <w:rFonts w:ascii="Arial" w:hAnsi="Arial"/>
              <w:noProof/>
              <w:sz w:val="22"/>
              <w:lang w:val="en-GB"/>
            </w:rPr>
          </w:pPr>
          <w:hyperlink w:anchor="_Toc241541484" w:history="1">
            <w:r w:rsidRPr="004A610E">
              <w:rPr>
                <w:rStyle w:val="Hyperlink"/>
                <w:rFonts w:ascii="Arial" w:hAnsi="Arial"/>
                <w:noProof/>
                <w:sz w:val="22"/>
                <w:lang w:val="en-GB"/>
              </w:rPr>
              <w:t>4. Evaluation of Service Delivery</w:t>
            </w:r>
            <w:r w:rsidRPr="004A610E">
              <w:rPr>
                <w:rFonts w:ascii="Arial" w:hAnsi="Arial"/>
                <w:noProof/>
                <w:webHidden/>
                <w:sz w:val="22"/>
                <w:lang w:val="en-GB"/>
              </w:rPr>
              <w:tab/>
            </w:r>
            <w:r w:rsidRPr="004A610E">
              <w:rPr>
                <w:rFonts w:ascii="Arial" w:hAnsi="Arial"/>
                <w:noProof/>
                <w:webHidden/>
                <w:sz w:val="22"/>
                <w:lang w:val="en-GB"/>
              </w:rPr>
              <w:fldChar w:fldCharType="begin"/>
            </w:r>
            <w:r w:rsidRPr="004A610E">
              <w:rPr>
                <w:rFonts w:ascii="Arial" w:hAnsi="Arial"/>
                <w:noProof/>
                <w:webHidden/>
                <w:sz w:val="22"/>
                <w:lang w:val="en-GB"/>
              </w:rPr>
              <w:instrText xml:space="preserve"> PAGEREF _Toc241541484 \h </w:instrText>
            </w:r>
            <w:r w:rsidRPr="004A610E">
              <w:rPr>
                <w:rFonts w:ascii="Arial" w:hAnsi="Arial"/>
                <w:noProof/>
                <w:webHidden/>
                <w:sz w:val="22"/>
                <w:lang w:val="en-GB"/>
              </w:rPr>
            </w:r>
            <w:r w:rsidRPr="004A610E">
              <w:rPr>
                <w:rFonts w:ascii="Arial" w:hAnsi="Arial"/>
                <w:noProof/>
                <w:webHidden/>
                <w:sz w:val="22"/>
                <w:lang w:val="en-GB"/>
              </w:rPr>
              <w:fldChar w:fldCharType="separate"/>
            </w:r>
            <w:r w:rsidRPr="004A610E">
              <w:rPr>
                <w:rFonts w:ascii="Arial" w:hAnsi="Arial"/>
                <w:noProof/>
                <w:webHidden/>
                <w:sz w:val="22"/>
                <w:lang w:val="en-GB"/>
              </w:rPr>
              <w:t>5</w:t>
            </w:r>
            <w:r w:rsidRPr="004A610E">
              <w:rPr>
                <w:rFonts w:ascii="Arial" w:hAnsi="Arial"/>
                <w:noProof/>
                <w:webHidden/>
                <w:sz w:val="22"/>
                <w:lang w:val="en-GB"/>
              </w:rPr>
              <w:fldChar w:fldCharType="end"/>
            </w:r>
          </w:hyperlink>
        </w:p>
        <w:p w14:paraId="154DDEFA" w14:textId="77777777" w:rsidR="00904AEC" w:rsidRPr="004A610E" w:rsidRDefault="00904AEC" w:rsidP="004A610E">
          <w:pPr>
            <w:pStyle w:val="TOC1"/>
            <w:tabs>
              <w:tab w:val="right" w:leader="dot" w:pos="9350"/>
            </w:tabs>
            <w:rPr>
              <w:rFonts w:ascii="Arial" w:hAnsi="Arial"/>
              <w:noProof/>
              <w:sz w:val="22"/>
              <w:lang w:val="en-GB"/>
            </w:rPr>
          </w:pPr>
          <w:hyperlink w:anchor="_Toc241541485" w:history="1">
            <w:r w:rsidRPr="004A610E">
              <w:rPr>
                <w:rStyle w:val="Hyperlink"/>
                <w:rFonts w:ascii="Arial" w:hAnsi="Arial"/>
                <w:noProof/>
                <w:sz w:val="22"/>
                <w:lang w:val="en-GB"/>
              </w:rPr>
              <w:t>5. Evaluation of Patient/Service User Impact</w:t>
            </w:r>
            <w:r w:rsidRPr="004A610E">
              <w:rPr>
                <w:rFonts w:ascii="Arial" w:hAnsi="Arial"/>
                <w:noProof/>
                <w:webHidden/>
                <w:sz w:val="22"/>
                <w:lang w:val="en-GB"/>
              </w:rPr>
              <w:tab/>
            </w:r>
            <w:r w:rsidRPr="004A610E">
              <w:rPr>
                <w:rFonts w:ascii="Arial" w:hAnsi="Arial"/>
                <w:noProof/>
                <w:webHidden/>
                <w:sz w:val="22"/>
                <w:lang w:val="en-GB"/>
              </w:rPr>
              <w:fldChar w:fldCharType="begin"/>
            </w:r>
            <w:r w:rsidRPr="004A610E">
              <w:rPr>
                <w:rFonts w:ascii="Arial" w:hAnsi="Arial"/>
                <w:noProof/>
                <w:webHidden/>
                <w:sz w:val="22"/>
                <w:lang w:val="en-GB"/>
              </w:rPr>
              <w:instrText xml:space="preserve"> PAGEREF _Toc241541485 \h </w:instrText>
            </w:r>
            <w:r w:rsidRPr="004A610E">
              <w:rPr>
                <w:rFonts w:ascii="Arial" w:hAnsi="Arial"/>
                <w:noProof/>
                <w:webHidden/>
                <w:sz w:val="22"/>
                <w:lang w:val="en-GB"/>
              </w:rPr>
            </w:r>
            <w:r w:rsidRPr="004A610E">
              <w:rPr>
                <w:rFonts w:ascii="Arial" w:hAnsi="Arial"/>
                <w:noProof/>
                <w:webHidden/>
                <w:sz w:val="22"/>
                <w:lang w:val="en-GB"/>
              </w:rPr>
              <w:fldChar w:fldCharType="separate"/>
            </w:r>
            <w:r w:rsidRPr="004A610E">
              <w:rPr>
                <w:rFonts w:ascii="Arial" w:hAnsi="Arial"/>
                <w:noProof/>
                <w:webHidden/>
                <w:sz w:val="22"/>
                <w:lang w:val="en-GB"/>
              </w:rPr>
              <w:t>6</w:t>
            </w:r>
            <w:r w:rsidRPr="004A610E">
              <w:rPr>
                <w:rFonts w:ascii="Arial" w:hAnsi="Arial"/>
                <w:noProof/>
                <w:webHidden/>
                <w:sz w:val="22"/>
                <w:lang w:val="en-GB"/>
              </w:rPr>
              <w:fldChar w:fldCharType="end"/>
            </w:r>
          </w:hyperlink>
        </w:p>
        <w:p w14:paraId="676FCF78" w14:textId="77777777" w:rsidR="00904AEC" w:rsidRPr="004A610E" w:rsidRDefault="00904AEC" w:rsidP="004A610E">
          <w:pPr>
            <w:pStyle w:val="TOC1"/>
            <w:tabs>
              <w:tab w:val="right" w:leader="dot" w:pos="9350"/>
            </w:tabs>
            <w:rPr>
              <w:rFonts w:ascii="Arial" w:hAnsi="Arial"/>
              <w:noProof/>
              <w:sz w:val="22"/>
              <w:lang w:val="en-GB"/>
            </w:rPr>
          </w:pPr>
          <w:hyperlink w:anchor="_Toc241541486" w:history="1">
            <w:r w:rsidRPr="004A610E">
              <w:rPr>
                <w:rStyle w:val="Hyperlink"/>
                <w:rFonts w:ascii="Arial" w:hAnsi="Arial"/>
                <w:noProof/>
                <w:sz w:val="22"/>
                <w:lang w:val="en-GB"/>
              </w:rPr>
              <w:t>6. Evaluation of Community Impact</w:t>
            </w:r>
            <w:r w:rsidRPr="004A610E">
              <w:rPr>
                <w:rFonts w:ascii="Arial" w:hAnsi="Arial"/>
                <w:noProof/>
                <w:webHidden/>
                <w:sz w:val="22"/>
                <w:lang w:val="en-GB"/>
              </w:rPr>
              <w:tab/>
            </w:r>
            <w:r w:rsidRPr="004A610E">
              <w:rPr>
                <w:rFonts w:ascii="Arial" w:hAnsi="Arial"/>
                <w:noProof/>
                <w:webHidden/>
                <w:sz w:val="22"/>
                <w:lang w:val="en-GB"/>
              </w:rPr>
              <w:fldChar w:fldCharType="begin"/>
            </w:r>
            <w:r w:rsidRPr="004A610E">
              <w:rPr>
                <w:rFonts w:ascii="Arial" w:hAnsi="Arial"/>
                <w:noProof/>
                <w:webHidden/>
                <w:sz w:val="22"/>
                <w:lang w:val="en-GB"/>
              </w:rPr>
              <w:instrText xml:space="preserve"> PAGEREF _Toc241541486 \h </w:instrText>
            </w:r>
            <w:r w:rsidRPr="004A610E">
              <w:rPr>
                <w:rFonts w:ascii="Arial" w:hAnsi="Arial"/>
                <w:noProof/>
                <w:webHidden/>
                <w:sz w:val="22"/>
                <w:lang w:val="en-GB"/>
              </w:rPr>
            </w:r>
            <w:r w:rsidRPr="004A610E">
              <w:rPr>
                <w:rFonts w:ascii="Arial" w:hAnsi="Arial"/>
                <w:noProof/>
                <w:webHidden/>
                <w:sz w:val="22"/>
                <w:lang w:val="en-GB"/>
              </w:rPr>
              <w:fldChar w:fldCharType="separate"/>
            </w:r>
            <w:r w:rsidRPr="004A610E">
              <w:rPr>
                <w:rFonts w:ascii="Arial" w:hAnsi="Arial"/>
                <w:noProof/>
                <w:webHidden/>
                <w:sz w:val="22"/>
                <w:lang w:val="en-GB"/>
              </w:rPr>
              <w:t>7</w:t>
            </w:r>
            <w:r w:rsidRPr="004A610E">
              <w:rPr>
                <w:rFonts w:ascii="Arial" w:hAnsi="Arial"/>
                <w:noProof/>
                <w:webHidden/>
                <w:sz w:val="22"/>
                <w:lang w:val="en-GB"/>
              </w:rPr>
              <w:fldChar w:fldCharType="end"/>
            </w:r>
          </w:hyperlink>
        </w:p>
        <w:p w14:paraId="477726B4" w14:textId="77777777" w:rsidR="00904AEC" w:rsidRPr="004A610E" w:rsidRDefault="00904AEC" w:rsidP="004A610E">
          <w:pPr>
            <w:pStyle w:val="TOC1"/>
            <w:tabs>
              <w:tab w:val="right" w:leader="dot" w:pos="9350"/>
            </w:tabs>
            <w:rPr>
              <w:rFonts w:ascii="Arial" w:hAnsi="Arial"/>
              <w:noProof/>
              <w:sz w:val="22"/>
              <w:lang w:val="en-GB"/>
            </w:rPr>
          </w:pPr>
          <w:hyperlink w:anchor="_Toc241541487" w:history="1">
            <w:r w:rsidRPr="004A610E">
              <w:rPr>
                <w:rStyle w:val="Hyperlink"/>
                <w:rFonts w:ascii="Arial" w:hAnsi="Arial"/>
                <w:noProof/>
                <w:sz w:val="22"/>
                <w:lang w:val="en-GB"/>
              </w:rPr>
              <w:t>7. Conclusion</w:t>
            </w:r>
            <w:r w:rsidRPr="004A610E">
              <w:rPr>
                <w:rFonts w:ascii="Arial" w:hAnsi="Arial"/>
                <w:noProof/>
                <w:webHidden/>
                <w:sz w:val="22"/>
                <w:lang w:val="en-GB"/>
              </w:rPr>
              <w:tab/>
            </w:r>
            <w:r w:rsidRPr="004A610E">
              <w:rPr>
                <w:rFonts w:ascii="Arial" w:hAnsi="Arial"/>
                <w:noProof/>
                <w:webHidden/>
                <w:sz w:val="22"/>
                <w:lang w:val="en-GB"/>
              </w:rPr>
              <w:fldChar w:fldCharType="begin"/>
            </w:r>
            <w:r w:rsidRPr="004A610E">
              <w:rPr>
                <w:rFonts w:ascii="Arial" w:hAnsi="Arial"/>
                <w:noProof/>
                <w:webHidden/>
                <w:sz w:val="22"/>
                <w:lang w:val="en-GB"/>
              </w:rPr>
              <w:instrText xml:space="preserve"> PAGEREF _Toc241541487 \h </w:instrText>
            </w:r>
            <w:r w:rsidRPr="004A610E">
              <w:rPr>
                <w:rFonts w:ascii="Arial" w:hAnsi="Arial"/>
                <w:noProof/>
                <w:webHidden/>
                <w:sz w:val="22"/>
                <w:lang w:val="en-GB"/>
              </w:rPr>
            </w:r>
            <w:r w:rsidRPr="004A610E">
              <w:rPr>
                <w:rFonts w:ascii="Arial" w:hAnsi="Arial"/>
                <w:noProof/>
                <w:webHidden/>
                <w:sz w:val="22"/>
                <w:lang w:val="en-GB"/>
              </w:rPr>
              <w:fldChar w:fldCharType="separate"/>
            </w:r>
            <w:r w:rsidRPr="004A610E">
              <w:rPr>
                <w:rFonts w:ascii="Arial" w:hAnsi="Arial"/>
                <w:noProof/>
                <w:webHidden/>
                <w:sz w:val="22"/>
                <w:lang w:val="en-GB"/>
              </w:rPr>
              <w:t>8</w:t>
            </w:r>
            <w:r w:rsidRPr="004A610E">
              <w:rPr>
                <w:rFonts w:ascii="Arial" w:hAnsi="Arial"/>
                <w:noProof/>
                <w:webHidden/>
                <w:sz w:val="22"/>
                <w:lang w:val="en-GB"/>
              </w:rPr>
              <w:fldChar w:fldCharType="end"/>
            </w:r>
          </w:hyperlink>
        </w:p>
        <w:p w14:paraId="4114A7C0" w14:textId="77777777" w:rsidR="00904AEC" w:rsidRPr="004A610E" w:rsidRDefault="00904AEC" w:rsidP="004A610E">
          <w:pPr>
            <w:pStyle w:val="TOC1"/>
            <w:tabs>
              <w:tab w:val="right" w:leader="dot" w:pos="9350"/>
            </w:tabs>
            <w:rPr>
              <w:rFonts w:ascii="Arial" w:hAnsi="Arial"/>
              <w:noProof/>
              <w:sz w:val="22"/>
              <w:lang w:val="en-GB"/>
            </w:rPr>
          </w:pPr>
          <w:hyperlink w:anchor="_Toc241541488" w:history="1">
            <w:r w:rsidRPr="004A610E">
              <w:rPr>
                <w:rStyle w:val="Hyperlink"/>
                <w:rFonts w:ascii="Arial" w:hAnsi="Arial"/>
                <w:noProof/>
                <w:sz w:val="22"/>
                <w:lang w:val="en-GB"/>
              </w:rPr>
              <w:t>References</w:t>
            </w:r>
            <w:r w:rsidRPr="004A610E">
              <w:rPr>
                <w:rFonts w:ascii="Arial" w:hAnsi="Arial"/>
                <w:noProof/>
                <w:webHidden/>
                <w:sz w:val="22"/>
                <w:lang w:val="en-GB"/>
              </w:rPr>
              <w:tab/>
            </w:r>
            <w:r w:rsidRPr="004A610E">
              <w:rPr>
                <w:rFonts w:ascii="Arial" w:hAnsi="Arial"/>
                <w:noProof/>
                <w:webHidden/>
                <w:sz w:val="22"/>
                <w:lang w:val="en-GB"/>
              </w:rPr>
              <w:fldChar w:fldCharType="begin"/>
            </w:r>
            <w:r w:rsidRPr="004A610E">
              <w:rPr>
                <w:rFonts w:ascii="Arial" w:hAnsi="Arial"/>
                <w:noProof/>
                <w:webHidden/>
                <w:sz w:val="22"/>
                <w:lang w:val="en-GB"/>
              </w:rPr>
              <w:instrText xml:space="preserve"> PAGEREF _Toc241541488 \h </w:instrText>
            </w:r>
            <w:r w:rsidRPr="004A610E">
              <w:rPr>
                <w:rFonts w:ascii="Arial" w:hAnsi="Arial"/>
                <w:noProof/>
                <w:webHidden/>
                <w:sz w:val="22"/>
                <w:lang w:val="en-GB"/>
              </w:rPr>
            </w:r>
            <w:r w:rsidRPr="004A610E">
              <w:rPr>
                <w:rFonts w:ascii="Arial" w:hAnsi="Arial"/>
                <w:noProof/>
                <w:webHidden/>
                <w:sz w:val="22"/>
                <w:lang w:val="en-GB"/>
              </w:rPr>
              <w:fldChar w:fldCharType="separate"/>
            </w:r>
            <w:r w:rsidRPr="004A610E">
              <w:rPr>
                <w:rFonts w:ascii="Arial" w:hAnsi="Arial"/>
                <w:noProof/>
                <w:webHidden/>
                <w:sz w:val="22"/>
                <w:lang w:val="en-GB"/>
              </w:rPr>
              <w:t>9</w:t>
            </w:r>
            <w:r w:rsidRPr="004A610E">
              <w:rPr>
                <w:rFonts w:ascii="Arial" w:hAnsi="Arial"/>
                <w:noProof/>
                <w:webHidden/>
                <w:sz w:val="22"/>
                <w:lang w:val="en-GB"/>
              </w:rPr>
              <w:fldChar w:fldCharType="end"/>
            </w:r>
          </w:hyperlink>
        </w:p>
        <w:p w14:paraId="50743ADA" w14:textId="77777777" w:rsidR="00904AEC" w:rsidRPr="004A610E" w:rsidRDefault="00904AEC" w:rsidP="004A610E">
          <w:pPr>
            <w:rPr>
              <w:rFonts w:ascii="Arial" w:hAnsi="Arial"/>
              <w:sz w:val="22"/>
              <w:lang w:val="en-GB"/>
            </w:rPr>
          </w:pPr>
          <w:r w:rsidRPr="004A610E">
            <w:rPr>
              <w:rFonts w:ascii="Arial" w:hAnsi="Arial"/>
              <w:b/>
              <w:bCs/>
              <w:noProof/>
              <w:sz w:val="22"/>
              <w:lang w:val="en-GB"/>
            </w:rPr>
            <w:fldChar w:fldCharType="end"/>
          </w:r>
        </w:p>
      </w:sdtContent>
    </w:sdt>
    <w:p w14:paraId="1602AFB0" w14:textId="77777777" w:rsidR="000B0997" w:rsidRPr="004A610E" w:rsidRDefault="000B0997" w:rsidP="004A610E">
      <w:pPr>
        <w:spacing w:before="0" w:after="160"/>
        <w:jc w:val="center"/>
        <w:rPr>
          <w:rFonts w:ascii="Arial" w:hAnsi="Arial"/>
          <w:b/>
          <w:sz w:val="22"/>
          <w:lang w:val="en-GB"/>
        </w:rPr>
      </w:pPr>
      <w:r w:rsidRPr="004A610E">
        <w:rPr>
          <w:rFonts w:ascii="Arial" w:hAnsi="Arial"/>
          <w:b/>
          <w:sz w:val="22"/>
          <w:lang w:val="en-GB"/>
        </w:rPr>
        <w:br w:type="page"/>
      </w:r>
    </w:p>
    <w:p w14:paraId="001ABB66" w14:textId="77777777" w:rsidR="0062611B" w:rsidRPr="004A610E" w:rsidRDefault="0062611B" w:rsidP="004A610E">
      <w:pPr>
        <w:pStyle w:val="Heading1"/>
        <w:rPr>
          <w:rFonts w:ascii="Arial" w:hAnsi="Arial" w:cs="Arial"/>
          <w:b w:val="0"/>
          <w:sz w:val="22"/>
          <w:szCs w:val="22"/>
          <w:lang w:val="en-GB"/>
        </w:rPr>
      </w:pPr>
      <w:bookmarkStart w:id="0" w:name="_Toc241541481"/>
      <w:r w:rsidRPr="004A610E">
        <w:rPr>
          <w:rFonts w:ascii="Arial" w:hAnsi="Arial" w:cs="Arial"/>
          <w:sz w:val="22"/>
          <w:szCs w:val="22"/>
          <w:lang w:val="en-GB"/>
        </w:rPr>
        <w:lastRenderedPageBreak/>
        <w:t>1. Introduction</w:t>
      </w:r>
      <w:bookmarkEnd w:id="0"/>
      <w:r w:rsidRPr="004A610E">
        <w:rPr>
          <w:rFonts w:ascii="Arial" w:hAnsi="Arial" w:cs="Arial"/>
          <w:sz w:val="22"/>
          <w:szCs w:val="22"/>
          <w:lang w:val="en-GB"/>
        </w:rPr>
        <w:t xml:space="preserve"> </w:t>
      </w:r>
    </w:p>
    <w:p w14:paraId="1C93DDF9" w14:textId="77777777" w:rsidR="0062611B" w:rsidRPr="004A610E" w:rsidRDefault="00343878" w:rsidP="004A610E">
      <w:pPr>
        <w:rPr>
          <w:rFonts w:ascii="Arial" w:hAnsi="Arial"/>
          <w:sz w:val="22"/>
          <w:lang w:val="en-GB"/>
        </w:rPr>
      </w:pPr>
      <w:r w:rsidRPr="004A610E">
        <w:rPr>
          <w:rFonts w:ascii="Arial" w:hAnsi="Arial"/>
          <w:sz w:val="22"/>
          <w:lang w:val="en-GB"/>
        </w:rPr>
        <w:t xml:space="preserve">Technology-enabled </w:t>
      </w:r>
      <w:r w:rsidR="0062611B" w:rsidRPr="004A610E">
        <w:rPr>
          <w:rFonts w:ascii="Arial" w:hAnsi="Arial"/>
          <w:sz w:val="22"/>
          <w:lang w:val="en-GB"/>
        </w:rPr>
        <w:t>virtual wards enable patients to be cared for at home and provide a means to deliver acute care in the community</w:t>
      </w:r>
      <w:r w:rsidRPr="004A610E">
        <w:rPr>
          <w:rFonts w:ascii="Arial" w:hAnsi="Arial"/>
          <w:sz w:val="22"/>
          <w:lang w:val="en-GB"/>
        </w:rPr>
        <w:t xml:space="preserve"> (NHS England, 2024)</w:t>
      </w:r>
      <w:r w:rsidR="0062611B" w:rsidRPr="004A610E">
        <w:rPr>
          <w:rFonts w:ascii="Arial" w:hAnsi="Arial"/>
          <w:sz w:val="22"/>
          <w:lang w:val="en-GB"/>
        </w:rPr>
        <w:t xml:space="preserve">. These methods use telehealth, remote monitoring, and assessment by a multidisciplinary team. Virtual wards also provide the potential to reduce unnecessary hospital admissions and facilitate the care of patients in the community. The success of virtual wards is reliant on effective and equitable access to the technologies rather than the technologies themselves. Asthana, Jones and Sheaff (2019) identified barriers to the adoption of virtual wards which are associated with fragmented organizations and an inequitable, and often inadequate, distribution of digital and information technology within the NHS. </w:t>
      </w:r>
    </w:p>
    <w:p w14:paraId="6FB7497C" w14:textId="77777777" w:rsidR="0062611B" w:rsidRPr="004A610E" w:rsidRDefault="0062611B" w:rsidP="004A610E">
      <w:pPr>
        <w:rPr>
          <w:rFonts w:ascii="Arial" w:hAnsi="Arial"/>
          <w:sz w:val="22"/>
          <w:lang w:val="en-GB"/>
        </w:rPr>
      </w:pPr>
      <w:r w:rsidRPr="004A610E">
        <w:rPr>
          <w:rFonts w:ascii="Arial" w:hAnsi="Arial"/>
          <w:sz w:val="22"/>
          <w:lang w:val="en-GB"/>
        </w:rPr>
        <w:t xml:space="preserve">This report examines the use of </w:t>
      </w:r>
      <w:r w:rsidR="00343878" w:rsidRPr="004A610E">
        <w:rPr>
          <w:rFonts w:ascii="Arial" w:hAnsi="Arial"/>
          <w:sz w:val="22"/>
          <w:lang w:val="en-GB"/>
        </w:rPr>
        <w:t xml:space="preserve">technology-enabled </w:t>
      </w:r>
      <w:r w:rsidRPr="004A610E">
        <w:rPr>
          <w:rFonts w:ascii="Arial" w:hAnsi="Arial"/>
          <w:sz w:val="22"/>
          <w:lang w:val="en-GB"/>
        </w:rPr>
        <w:t>virtual wards within the English NHS and assesses the benefits and limitations of virtual ward technology, especially with respect to redefin</w:t>
      </w:r>
      <w:r w:rsidR="00FF33F5" w:rsidRPr="004A610E">
        <w:rPr>
          <w:rFonts w:ascii="Arial" w:hAnsi="Arial"/>
          <w:sz w:val="22"/>
          <w:lang w:val="en-GB"/>
        </w:rPr>
        <w:t>ing the NHS workforce. The report</w:t>
      </w:r>
      <w:r w:rsidRPr="004A610E">
        <w:rPr>
          <w:rFonts w:ascii="Arial" w:hAnsi="Arial"/>
          <w:sz w:val="22"/>
          <w:lang w:val="en-GB"/>
        </w:rPr>
        <w:t xml:space="preserve"> describes the potential benefits of virtual wards on patient care and service access and considers the impact virtual wards have on health inequities and the community. The focus of this research is to understand whether virtual wards can reduce health inequities and whether care is redistributed in an equitable manner rather than simply transferring acute care from hospitals to the community. </w:t>
      </w:r>
    </w:p>
    <w:p w14:paraId="658B12D4" w14:textId="77777777" w:rsidR="0062611B" w:rsidRPr="004A610E" w:rsidRDefault="0062611B" w:rsidP="004A610E">
      <w:pPr>
        <w:pStyle w:val="Heading1"/>
        <w:rPr>
          <w:rFonts w:ascii="Arial" w:hAnsi="Arial" w:cs="Arial"/>
          <w:sz w:val="22"/>
          <w:szCs w:val="22"/>
          <w:lang w:val="en-GB"/>
        </w:rPr>
      </w:pPr>
      <w:bookmarkStart w:id="1" w:name="_Toc241541482"/>
      <w:r w:rsidRPr="004A610E">
        <w:rPr>
          <w:rFonts w:ascii="Arial" w:hAnsi="Arial" w:cs="Arial"/>
          <w:sz w:val="22"/>
          <w:szCs w:val="22"/>
          <w:lang w:val="en-GB"/>
        </w:rPr>
        <w:t>2. Case Study Background</w:t>
      </w:r>
      <w:bookmarkEnd w:id="1"/>
      <w:r w:rsidRPr="004A610E">
        <w:rPr>
          <w:rFonts w:ascii="Arial" w:hAnsi="Arial" w:cs="Arial"/>
          <w:sz w:val="22"/>
          <w:szCs w:val="22"/>
          <w:lang w:val="en-GB"/>
        </w:rPr>
        <w:t xml:space="preserve"> </w:t>
      </w:r>
    </w:p>
    <w:p w14:paraId="235E47BA" w14:textId="77777777" w:rsidR="0062611B" w:rsidRPr="004A610E" w:rsidRDefault="0062611B" w:rsidP="004A610E">
      <w:pPr>
        <w:rPr>
          <w:rFonts w:ascii="Arial" w:hAnsi="Arial"/>
          <w:sz w:val="22"/>
          <w:lang w:val="en-GB"/>
        </w:rPr>
      </w:pPr>
      <w:r w:rsidRPr="004A610E">
        <w:rPr>
          <w:rFonts w:ascii="Arial" w:hAnsi="Arial"/>
          <w:sz w:val="22"/>
          <w:lang w:val="en-GB"/>
        </w:rPr>
        <w:t xml:space="preserve">This case study focuses on NHS England’s national virtual wards program, as opposed to a single trust. NHS England (2024) defines a </w:t>
      </w:r>
      <w:r w:rsidR="00843F70" w:rsidRPr="004A610E">
        <w:rPr>
          <w:rFonts w:ascii="Arial" w:hAnsi="Arial"/>
          <w:sz w:val="22"/>
          <w:lang w:val="en-GB"/>
        </w:rPr>
        <w:t xml:space="preserve">technology-enabled </w:t>
      </w:r>
      <w:r w:rsidRPr="004A610E">
        <w:rPr>
          <w:rFonts w:ascii="Arial" w:hAnsi="Arial"/>
          <w:sz w:val="22"/>
          <w:lang w:val="en-GB"/>
        </w:rPr>
        <w:t>virtual ward as a service which allows the delivery of comprehensive, safe and effective acute service care for patients in their own place of residence, including care homes. This means the program is an approach to redesign the service across the acute, community and primary care sectors. NHS England (2024) also states the local variation in the implementation of virtual wards. It states that different mode</w:t>
      </w:r>
      <w:r w:rsidR="000E0D57">
        <w:rPr>
          <w:rFonts w:ascii="Arial" w:hAnsi="Arial"/>
          <w:sz w:val="22"/>
          <w:lang w:val="en-GB"/>
        </w:rPr>
        <w:t xml:space="preserve">ls of virtual wards reflect </w:t>
      </w:r>
      <w:r w:rsidRPr="004A610E">
        <w:rPr>
          <w:rFonts w:ascii="Arial" w:hAnsi="Arial"/>
          <w:sz w:val="22"/>
          <w:lang w:val="en-GB"/>
        </w:rPr>
        <w:t>div</w:t>
      </w:r>
      <w:r w:rsidR="00843F70" w:rsidRPr="004A610E">
        <w:rPr>
          <w:rFonts w:ascii="Arial" w:hAnsi="Arial"/>
          <w:sz w:val="22"/>
          <w:lang w:val="en-GB"/>
        </w:rPr>
        <w:t xml:space="preserve">ersity in local population, </w:t>
      </w:r>
      <w:r w:rsidRPr="004A610E">
        <w:rPr>
          <w:rFonts w:ascii="Arial" w:hAnsi="Arial"/>
          <w:sz w:val="22"/>
          <w:lang w:val="en-GB"/>
        </w:rPr>
        <w:t xml:space="preserve">existing pathways and the current service infrastructure. </w:t>
      </w:r>
    </w:p>
    <w:p w14:paraId="72F275F2" w14:textId="77777777" w:rsidR="0062611B" w:rsidRPr="004A610E" w:rsidRDefault="0062611B" w:rsidP="004A610E">
      <w:pPr>
        <w:rPr>
          <w:rFonts w:ascii="Arial" w:hAnsi="Arial"/>
          <w:sz w:val="22"/>
          <w:lang w:val="en-GB"/>
        </w:rPr>
      </w:pPr>
      <w:r w:rsidRPr="004A610E">
        <w:rPr>
          <w:rFonts w:ascii="Arial" w:hAnsi="Arial"/>
          <w:sz w:val="22"/>
          <w:lang w:val="en-GB"/>
        </w:rPr>
        <w:t xml:space="preserve">The case study focuses on the growing demand on acute care services. This includes the rising numbers of patients requiring care and support which should be provided in the community. The NHS England (2024) case study states that 340 virtual ward programs in England, which equates to 7,653 virtual beds, supported more than 100,000 patients in one year. The case study focuses on the challenges and constraints of the 2022–2023 winter periods. McGowan et al. (2024) found that capacity and demand for healthcare services continue to increase, and it was virtual wards that enabled care to be provided outside of the hospital and released inpatient beds. </w:t>
      </w:r>
    </w:p>
    <w:p w14:paraId="5AA3BAC6" w14:textId="77777777" w:rsidR="0062611B" w:rsidRPr="004A610E" w:rsidRDefault="0062611B" w:rsidP="004A610E">
      <w:pPr>
        <w:rPr>
          <w:rFonts w:ascii="Arial" w:hAnsi="Arial"/>
          <w:sz w:val="22"/>
          <w:lang w:val="en-GB"/>
        </w:rPr>
      </w:pPr>
      <w:r w:rsidRPr="004A610E">
        <w:rPr>
          <w:rFonts w:ascii="Arial" w:hAnsi="Arial"/>
          <w:sz w:val="22"/>
          <w:lang w:val="en-GB"/>
        </w:rPr>
        <w:lastRenderedPageBreak/>
        <w:t xml:space="preserve">National deployment accelerated from 2022, NHS England reported increased number of virtual beds from 4,485 in 2022 to 7,653 in 2023. The NHS England (2024) Operating Framework for Virtual Wards provides guidance on the implementation of </w:t>
      </w:r>
      <w:r w:rsidR="00343878" w:rsidRPr="004A610E">
        <w:rPr>
          <w:rFonts w:ascii="Arial" w:hAnsi="Arial"/>
          <w:sz w:val="22"/>
          <w:lang w:val="en-GB"/>
        </w:rPr>
        <w:t xml:space="preserve">technology-enabled </w:t>
      </w:r>
      <w:r w:rsidRPr="004A610E">
        <w:rPr>
          <w:rFonts w:ascii="Arial" w:hAnsi="Arial"/>
          <w:sz w:val="22"/>
          <w:lang w:val="en-GB"/>
        </w:rPr>
        <w:t>virtual wards. Key Stakeholders include: the NHS England, Integrated Care Boards, Acute and Community Providers, Primary Care, Multidisciplinary Teams, voluntary and community sector, Technology and Service Providers, Patients and Carers. Litchfield et al (2025) suggested that the potential implementation of virtual wards required integrati</w:t>
      </w:r>
      <w:r w:rsidR="000E0D57">
        <w:rPr>
          <w:rFonts w:ascii="Arial" w:hAnsi="Arial"/>
          <w:sz w:val="22"/>
          <w:lang w:val="en-GB"/>
        </w:rPr>
        <w:t xml:space="preserve">on and coordination between </w:t>
      </w:r>
      <w:r w:rsidRPr="004A610E">
        <w:rPr>
          <w:rFonts w:ascii="Arial" w:hAnsi="Arial"/>
          <w:sz w:val="22"/>
          <w:lang w:val="en-GB"/>
        </w:rPr>
        <w:t xml:space="preserve">aforementioned stakeholders, in addition to the sufficient technology and workforce to adapt the service. </w:t>
      </w:r>
    </w:p>
    <w:p w14:paraId="5641337E" w14:textId="77777777" w:rsidR="0062611B" w:rsidRPr="004A610E" w:rsidRDefault="0062611B" w:rsidP="004A610E">
      <w:pPr>
        <w:pStyle w:val="Heading1"/>
        <w:rPr>
          <w:rFonts w:ascii="Arial" w:hAnsi="Arial" w:cs="Arial"/>
          <w:sz w:val="22"/>
          <w:szCs w:val="22"/>
          <w:lang w:val="en-GB"/>
        </w:rPr>
      </w:pPr>
      <w:bookmarkStart w:id="2" w:name="_Toc241541483"/>
      <w:r w:rsidRPr="004A610E">
        <w:rPr>
          <w:rFonts w:ascii="Arial" w:hAnsi="Arial" w:cs="Arial"/>
          <w:sz w:val="22"/>
          <w:szCs w:val="22"/>
          <w:lang w:val="en-GB"/>
        </w:rPr>
        <w:t>3. Evaluation of Workforce Impact</w:t>
      </w:r>
      <w:bookmarkEnd w:id="2"/>
      <w:r w:rsidRPr="004A610E">
        <w:rPr>
          <w:rFonts w:ascii="Arial" w:hAnsi="Arial" w:cs="Arial"/>
          <w:sz w:val="22"/>
          <w:szCs w:val="22"/>
          <w:lang w:val="en-GB"/>
        </w:rPr>
        <w:t xml:space="preserve"> </w:t>
      </w:r>
    </w:p>
    <w:p w14:paraId="1E614264" w14:textId="77777777" w:rsidR="0062611B" w:rsidRPr="004A610E" w:rsidRDefault="0062611B" w:rsidP="004A610E">
      <w:pPr>
        <w:rPr>
          <w:rFonts w:ascii="Arial" w:hAnsi="Arial"/>
          <w:sz w:val="22"/>
          <w:lang w:val="en-GB"/>
        </w:rPr>
      </w:pPr>
      <w:r w:rsidRPr="004A610E">
        <w:rPr>
          <w:rFonts w:ascii="Arial" w:hAnsi="Arial"/>
          <w:sz w:val="22"/>
          <w:lang w:val="en-GB"/>
        </w:rPr>
        <w:t xml:space="preserve">Implementing </w:t>
      </w:r>
      <w:r w:rsidR="00343878" w:rsidRPr="004A610E">
        <w:rPr>
          <w:rFonts w:ascii="Arial" w:hAnsi="Arial"/>
          <w:sz w:val="22"/>
          <w:lang w:val="en-GB"/>
        </w:rPr>
        <w:t xml:space="preserve">technology-enabled </w:t>
      </w:r>
      <w:r w:rsidRPr="004A610E">
        <w:rPr>
          <w:rFonts w:ascii="Arial" w:hAnsi="Arial"/>
          <w:sz w:val="22"/>
          <w:lang w:val="en-GB"/>
        </w:rPr>
        <w:t xml:space="preserve">virtual wards alters the ways in which the NHS workforce assesses and manages patients, and requires a change in the location of certain functions of the workforce. NHS England (2024) noted that implementing virtual wards requires changes in the current workforce, leadership and multidisciplinary team. </w:t>
      </w:r>
      <w:r w:rsidR="00343878" w:rsidRPr="004A610E">
        <w:rPr>
          <w:rFonts w:ascii="Arial" w:hAnsi="Arial"/>
          <w:sz w:val="22"/>
          <w:lang w:val="en-GB"/>
        </w:rPr>
        <w:t xml:space="preserve">This </w:t>
      </w:r>
      <w:r w:rsidR="00C72223" w:rsidRPr="004A610E">
        <w:rPr>
          <w:rFonts w:ascii="Arial" w:hAnsi="Arial"/>
          <w:sz w:val="22"/>
          <w:lang w:val="en-GB"/>
        </w:rPr>
        <w:t>ads</w:t>
      </w:r>
      <w:r w:rsidR="00343878" w:rsidRPr="004A610E">
        <w:rPr>
          <w:rFonts w:ascii="Arial" w:hAnsi="Arial"/>
          <w:sz w:val="22"/>
          <w:lang w:val="en-GB"/>
        </w:rPr>
        <w:t xml:space="preserve"> to </w:t>
      </w:r>
      <w:r w:rsidRPr="004A610E">
        <w:rPr>
          <w:rFonts w:ascii="Arial" w:hAnsi="Arial"/>
          <w:sz w:val="22"/>
          <w:lang w:val="en-GB"/>
        </w:rPr>
        <w:t xml:space="preserve">complexity of organizational boundaries, integration and digital and clinical competencies required of the workforce. </w:t>
      </w:r>
    </w:p>
    <w:p w14:paraId="143CB319" w14:textId="77777777" w:rsidR="0062611B" w:rsidRPr="004A610E" w:rsidRDefault="0062611B" w:rsidP="004A610E">
      <w:pPr>
        <w:rPr>
          <w:rFonts w:ascii="Arial" w:hAnsi="Arial"/>
          <w:sz w:val="22"/>
          <w:lang w:val="en-GB"/>
        </w:rPr>
      </w:pPr>
      <w:r w:rsidRPr="004A610E">
        <w:rPr>
          <w:rFonts w:ascii="Arial" w:hAnsi="Arial"/>
          <w:sz w:val="22"/>
          <w:lang w:val="en-GB"/>
        </w:rPr>
        <w:t xml:space="preserve">Pope et al. (2024) emphasised that effective digital-health implementation within the NHS requires staff skills and training alongside appropriate data infrastructure, interoperability and governance. The models and technology employed in virtual ward systems reflect the expectations of the workforce and the confidence of clinicians in utilizing digital systems to conduct their day to day work. There is a significant body of evidence to demonstrate that the virtual ward model creates an environment where clinicians must make decisions about patient care based on information and data which is generated and gathered outside of traditional face to face encounters. </w:t>
      </w:r>
    </w:p>
    <w:p w14:paraId="77AF8578" w14:textId="77777777" w:rsidR="0062611B" w:rsidRPr="004A610E" w:rsidRDefault="0062611B" w:rsidP="004A610E">
      <w:pPr>
        <w:rPr>
          <w:rFonts w:ascii="Arial" w:hAnsi="Arial"/>
          <w:sz w:val="22"/>
          <w:lang w:val="en-GB"/>
        </w:rPr>
      </w:pPr>
      <w:r w:rsidRPr="004A610E">
        <w:rPr>
          <w:rFonts w:ascii="Arial" w:hAnsi="Arial"/>
          <w:sz w:val="22"/>
          <w:lang w:val="en-GB"/>
        </w:rPr>
        <w:t xml:space="preserve">Reidy et al. (2025) suggested that the increasing digitisation of the NHS has altered the nature of staff responsibilities and led to the identification of disparities in the capacity of organisations to adapt to new working patterns. While their research investigated staff’s readiness and ability to incorporate the use of digital technologies, rather than technologies relating to virtual wards, the authors suggest the findings of their study may provide evidence to inform the kind of organisational change in the NHS that allows for the addition and use of new digital services. </w:t>
      </w:r>
    </w:p>
    <w:p w14:paraId="23A0400F" w14:textId="77777777" w:rsidR="0062611B" w:rsidRPr="004A610E" w:rsidRDefault="0062611B" w:rsidP="004A610E">
      <w:pPr>
        <w:rPr>
          <w:rFonts w:ascii="Arial" w:hAnsi="Arial"/>
          <w:sz w:val="22"/>
          <w:lang w:val="en-GB"/>
        </w:rPr>
      </w:pPr>
      <w:r w:rsidRPr="004A610E">
        <w:rPr>
          <w:rFonts w:ascii="Arial" w:hAnsi="Arial"/>
          <w:sz w:val="22"/>
          <w:lang w:val="en-GB"/>
        </w:rPr>
        <w:t xml:space="preserve">It is difficult to gauge the full impact of </w:t>
      </w:r>
      <w:r w:rsidR="00154A25" w:rsidRPr="004A610E">
        <w:rPr>
          <w:rFonts w:ascii="Arial" w:hAnsi="Arial"/>
          <w:sz w:val="22"/>
          <w:lang w:val="en-GB"/>
        </w:rPr>
        <w:t xml:space="preserve">technology-enabled </w:t>
      </w:r>
      <w:r w:rsidRPr="004A610E">
        <w:rPr>
          <w:rFonts w:ascii="Arial" w:hAnsi="Arial"/>
          <w:sz w:val="22"/>
          <w:lang w:val="en-GB"/>
        </w:rPr>
        <w:t xml:space="preserve">virtual wards on the workforce at this time. Virtual wards have the potential for staff to work more efficiently across professional and organizational boundaries. Additionally, virtual wards may provide staff with the ability to hone digital skills, should adequate virtual support be provided. There are a number of challenges, such as the additional workload due to the need for real-time monitoring, and inadequate, or lacking, </w:t>
      </w:r>
      <w:r w:rsidRPr="004A610E">
        <w:rPr>
          <w:rFonts w:ascii="Arial" w:hAnsi="Arial"/>
          <w:sz w:val="22"/>
          <w:lang w:val="en-GB"/>
        </w:rPr>
        <w:lastRenderedPageBreak/>
        <w:t xml:space="preserve">virtual team support. The NHS recognizes these challenges, and in conjunction with the benefits of virtual wards, suggests that with adequate workforce changes and support, the integration of virtual wards will be successful. </w:t>
      </w:r>
    </w:p>
    <w:p w14:paraId="55C655D7" w14:textId="77777777" w:rsidR="0062611B" w:rsidRPr="004A610E" w:rsidRDefault="0062611B" w:rsidP="004A610E">
      <w:pPr>
        <w:pStyle w:val="Heading1"/>
        <w:rPr>
          <w:rFonts w:ascii="Arial" w:hAnsi="Arial" w:cs="Arial"/>
          <w:sz w:val="22"/>
          <w:szCs w:val="22"/>
          <w:lang w:val="en-GB"/>
        </w:rPr>
      </w:pPr>
      <w:bookmarkStart w:id="3" w:name="_Toc241541484"/>
      <w:r w:rsidRPr="004A610E">
        <w:rPr>
          <w:rFonts w:ascii="Arial" w:hAnsi="Arial" w:cs="Arial"/>
          <w:sz w:val="22"/>
          <w:szCs w:val="22"/>
          <w:lang w:val="en-GB"/>
        </w:rPr>
        <w:t>4. Evaluation of Service Delivery</w:t>
      </w:r>
      <w:bookmarkEnd w:id="3"/>
      <w:r w:rsidRPr="004A610E">
        <w:rPr>
          <w:rFonts w:ascii="Arial" w:hAnsi="Arial" w:cs="Arial"/>
          <w:sz w:val="22"/>
          <w:szCs w:val="22"/>
          <w:lang w:val="en-GB"/>
        </w:rPr>
        <w:t xml:space="preserve"> </w:t>
      </w:r>
    </w:p>
    <w:p w14:paraId="34D80381" w14:textId="77777777" w:rsidR="0062611B" w:rsidRPr="004A610E" w:rsidRDefault="0062611B" w:rsidP="004A610E">
      <w:pPr>
        <w:rPr>
          <w:rFonts w:ascii="Arial" w:hAnsi="Arial"/>
          <w:sz w:val="22"/>
          <w:lang w:val="en-GB"/>
        </w:rPr>
      </w:pPr>
      <w:r w:rsidRPr="004A610E">
        <w:rPr>
          <w:rFonts w:ascii="Arial" w:hAnsi="Arial"/>
          <w:sz w:val="22"/>
          <w:lang w:val="en-GB"/>
        </w:rPr>
        <w:t xml:space="preserve">The use of </w:t>
      </w:r>
      <w:r w:rsidR="00154A25" w:rsidRPr="004A610E">
        <w:rPr>
          <w:rFonts w:ascii="Arial" w:hAnsi="Arial"/>
          <w:sz w:val="22"/>
          <w:lang w:val="en-GB"/>
        </w:rPr>
        <w:t>t</w:t>
      </w:r>
      <w:r w:rsidRPr="004A610E">
        <w:rPr>
          <w:rFonts w:ascii="Arial" w:hAnsi="Arial"/>
          <w:sz w:val="22"/>
          <w:lang w:val="en-GB"/>
        </w:rPr>
        <w:t xml:space="preserve">echnology-enabled virtual wards has enabled some changes to the delivery of health care services. NHS England (2024) positions that virtual wards allow health care services to safely provide previously provided health care services at a hospital for a limited time, in a patient’s familiar environment. Along with the changes to service delivery, virtual wards provide a means to change the health care environment and services, through integration with other health care services and programs. </w:t>
      </w:r>
    </w:p>
    <w:p w14:paraId="5E0B4301" w14:textId="77777777" w:rsidR="0062611B" w:rsidRPr="004A610E" w:rsidRDefault="0062611B" w:rsidP="004A610E">
      <w:pPr>
        <w:rPr>
          <w:rFonts w:ascii="Arial" w:hAnsi="Arial"/>
          <w:sz w:val="22"/>
          <w:lang w:val="en-GB"/>
        </w:rPr>
      </w:pPr>
      <w:r w:rsidRPr="004A610E">
        <w:rPr>
          <w:rFonts w:ascii="Arial" w:hAnsi="Arial"/>
          <w:sz w:val="22"/>
          <w:lang w:val="en-GB"/>
        </w:rPr>
        <w:t xml:space="preserve">Through a series of case studies, it has been shown </w:t>
      </w:r>
      <w:r w:rsidR="00154A25" w:rsidRPr="004A610E">
        <w:rPr>
          <w:rFonts w:ascii="Arial" w:hAnsi="Arial"/>
          <w:sz w:val="22"/>
          <w:lang w:val="en-GB"/>
        </w:rPr>
        <w:t xml:space="preserve">technology-enabled </w:t>
      </w:r>
      <w:r w:rsidRPr="004A610E">
        <w:rPr>
          <w:rFonts w:ascii="Arial" w:hAnsi="Arial"/>
          <w:sz w:val="22"/>
          <w:lang w:val="en-GB"/>
        </w:rPr>
        <w:t>virtual wards, along with other changes to service delivery, require the integration of technology, workforce changes, and clinical changes to improve service outcomes. Shi et al. (2024) demonstrated examined one medium-sized NHS Trust where they found virtual ward patients stayed in hospital for less time before being moved to a virtual ward. The Trust estimated that each day the service reduced hospi</w:t>
      </w:r>
      <w:r w:rsidR="00843F70" w:rsidRPr="004A610E">
        <w:rPr>
          <w:rFonts w:ascii="Arial" w:hAnsi="Arial"/>
          <w:sz w:val="22"/>
          <w:lang w:val="en-GB"/>
        </w:rPr>
        <w:t>tal bed occupancy by three beds</w:t>
      </w:r>
      <w:r w:rsidRPr="004A610E">
        <w:rPr>
          <w:rFonts w:ascii="Arial" w:hAnsi="Arial"/>
          <w:sz w:val="22"/>
          <w:lang w:val="en-GB"/>
        </w:rPr>
        <w:t xml:space="preserve">. However, the economics of the service raised doubts about the cost effectiveness of providing a service at the required scale. </w:t>
      </w:r>
    </w:p>
    <w:p w14:paraId="711660B7" w14:textId="77777777" w:rsidR="004739F8" w:rsidRPr="004A610E" w:rsidRDefault="0062611B" w:rsidP="004A610E">
      <w:pPr>
        <w:rPr>
          <w:rFonts w:ascii="Arial" w:hAnsi="Arial"/>
          <w:sz w:val="22"/>
          <w:lang w:val="en-GB"/>
        </w:rPr>
      </w:pPr>
      <w:r w:rsidRPr="004A610E">
        <w:rPr>
          <w:rFonts w:ascii="Arial" w:hAnsi="Arial"/>
          <w:sz w:val="22"/>
          <w:lang w:val="en-GB"/>
        </w:rPr>
        <w:t xml:space="preserve">In 2025, the Virtual Wards project team reported that staff in virtual wards received real time patient monitoring data. Jalilian et al. (2024) found in a medium-sized NHS Trust that staff appreciated virtual ward monitoring which allowed them to quickly bring an additional level of support to patients. Patients also appreciated the rapid access to additional support and monitoring. Staff also reported a number of challenges with the remote monitoring and software systems. New tensions and challenges arose due to the digital nature of the service including uncertainty around when, how and why support should be escalated. </w:t>
      </w:r>
    </w:p>
    <w:p w14:paraId="02894724" w14:textId="77777777" w:rsidR="0062611B" w:rsidRPr="004A610E" w:rsidRDefault="0062611B" w:rsidP="004A610E">
      <w:pPr>
        <w:rPr>
          <w:rFonts w:ascii="Arial" w:hAnsi="Arial"/>
          <w:sz w:val="22"/>
          <w:lang w:val="en-GB"/>
        </w:rPr>
      </w:pPr>
      <w:r w:rsidRPr="004A610E">
        <w:rPr>
          <w:rFonts w:ascii="Arial" w:hAnsi="Arial"/>
          <w:sz w:val="22"/>
          <w:lang w:val="en-GB"/>
        </w:rPr>
        <w:t>Lyndon, Vin</w:t>
      </w:r>
      <w:r w:rsidR="00154A25" w:rsidRPr="004A610E">
        <w:rPr>
          <w:rFonts w:ascii="Arial" w:hAnsi="Arial"/>
          <w:sz w:val="22"/>
          <w:lang w:val="en-GB"/>
        </w:rPr>
        <w:t xml:space="preserve">ey and Slade (2025) found that technology-enabled </w:t>
      </w:r>
      <w:r w:rsidRPr="004A610E">
        <w:rPr>
          <w:rFonts w:ascii="Arial" w:hAnsi="Arial"/>
          <w:sz w:val="22"/>
          <w:lang w:val="en-GB"/>
        </w:rPr>
        <w:t xml:space="preserve">virtual wards helped Cornwall care teams by providing them with additional clinical information about patients. The virtual wards also allowed patients to receive timely access to clinical support. The study also noted numerous operational issues including incompatible IT systems and inability of care teams to interpret patient monitoring data. In addition, care teams raised questions regarding patient referral and clinical escalation. The study highlighted that replacing face to face care with virtual care creates a need for more complex, managerial oversight to coordinate care. </w:t>
      </w:r>
    </w:p>
    <w:p w14:paraId="677AF0E4" w14:textId="77777777" w:rsidR="0062611B" w:rsidRPr="004A610E" w:rsidRDefault="002B57CC" w:rsidP="004A610E">
      <w:pPr>
        <w:pStyle w:val="Heading1"/>
        <w:rPr>
          <w:rFonts w:ascii="Arial" w:hAnsi="Arial" w:cs="Arial"/>
          <w:sz w:val="22"/>
          <w:szCs w:val="22"/>
          <w:lang w:val="en-GB"/>
        </w:rPr>
      </w:pPr>
      <w:bookmarkStart w:id="4" w:name="_Toc241541485"/>
      <w:r w:rsidRPr="004A610E">
        <w:rPr>
          <w:rFonts w:ascii="Arial" w:hAnsi="Arial" w:cs="Arial"/>
          <w:sz w:val="22"/>
          <w:szCs w:val="22"/>
          <w:lang w:val="en-GB"/>
        </w:rPr>
        <w:lastRenderedPageBreak/>
        <w:t>5. Evaluation of Patient/Service User Impact</w:t>
      </w:r>
      <w:bookmarkEnd w:id="4"/>
      <w:r w:rsidRPr="004A610E">
        <w:rPr>
          <w:rFonts w:ascii="Arial" w:hAnsi="Arial" w:cs="Arial"/>
          <w:sz w:val="22"/>
          <w:szCs w:val="22"/>
          <w:lang w:val="en-GB"/>
        </w:rPr>
        <w:t xml:space="preserve"> </w:t>
      </w:r>
    </w:p>
    <w:p w14:paraId="7278393D" w14:textId="77777777" w:rsidR="0062611B" w:rsidRPr="004A610E" w:rsidRDefault="0062611B" w:rsidP="004A610E">
      <w:pPr>
        <w:rPr>
          <w:rFonts w:ascii="Arial" w:hAnsi="Arial"/>
          <w:sz w:val="22"/>
          <w:lang w:val="en-GB"/>
        </w:rPr>
      </w:pPr>
      <w:r w:rsidRPr="004A610E">
        <w:rPr>
          <w:rFonts w:ascii="Arial" w:hAnsi="Arial"/>
          <w:sz w:val="22"/>
          <w:lang w:val="en-GB"/>
        </w:rPr>
        <w:t xml:space="preserve">Patients admitted to a </w:t>
      </w:r>
      <w:r w:rsidR="00154A25" w:rsidRPr="004A610E">
        <w:rPr>
          <w:rFonts w:ascii="Arial" w:hAnsi="Arial"/>
          <w:sz w:val="22"/>
          <w:lang w:val="en-GB"/>
        </w:rPr>
        <w:t xml:space="preserve">technology-enabled </w:t>
      </w:r>
      <w:r w:rsidRPr="004A610E">
        <w:rPr>
          <w:rFonts w:ascii="Arial" w:hAnsi="Arial"/>
          <w:sz w:val="22"/>
          <w:lang w:val="en-GB"/>
        </w:rPr>
        <w:t>virtual ward will still be deemed medically stable to leave the emergency department (ED) and not require further care and support in an acute hospital bed. NHS England (2024) describes virtual wards as a means of providing safe acute care and support to pa</w:t>
      </w:r>
      <w:r w:rsidR="000E0D57">
        <w:rPr>
          <w:rFonts w:ascii="Arial" w:hAnsi="Arial"/>
          <w:sz w:val="22"/>
          <w:lang w:val="en-GB"/>
        </w:rPr>
        <w:t>tients in their community. U</w:t>
      </w:r>
      <w:r w:rsidRPr="004A610E">
        <w:rPr>
          <w:rFonts w:ascii="Arial" w:hAnsi="Arial"/>
          <w:sz w:val="22"/>
          <w:lang w:val="en-GB"/>
        </w:rPr>
        <w:t>se of technology in virtual wards can eliminate the disruption of patients having to leave their home environment to attend hospital. However, this is only beneficial to patients if they feel supported to manage t</w:t>
      </w:r>
      <w:r w:rsidR="002B57CC" w:rsidRPr="004A610E">
        <w:rPr>
          <w:rFonts w:ascii="Arial" w:hAnsi="Arial"/>
          <w:sz w:val="22"/>
          <w:lang w:val="en-GB"/>
        </w:rPr>
        <w:t xml:space="preserve">heir health care needs at home. </w:t>
      </w:r>
    </w:p>
    <w:p w14:paraId="0938C4E9" w14:textId="77777777" w:rsidR="0062611B" w:rsidRPr="004A610E" w:rsidRDefault="002B57CC" w:rsidP="004A610E">
      <w:pPr>
        <w:rPr>
          <w:rFonts w:ascii="Arial" w:hAnsi="Arial"/>
          <w:sz w:val="22"/>
          <w:lang w:val="en-GB"/>
        </w:rPr>
      </w:pPr>
      <w:r w:rsidRPr="004A610E">
        <w:rPr>
          <w:rFonts w:ascii="Arial" w:hAnsi="Arial"/>
          <w:sz w:val="22"/>
          <w:lang w:val="en-GB"/>
        </w:rPr>
        <w:t>As found by</w:t>
      </w:r>
      <w:r w:rsidR="0062611B" w:rsidRPr="004A610E">
        <w:rPr>
          <w:rFonts w:ascii="Arial" w:hAnsi="Arial"/>
          <w:sz w:val="22"/>
          <w:lang w:val="en-GB"/>
        </w:rPr>
        <w:t xml:space="preserve"> Westby et al. (2024), </w:t>
      </w:r>
      <w:r w:rsidR="00154A25" w:rsidRPr="004A610E">
        <w:rPr>
          <w:rFonts w:ascii="Arial" w:hAnsi="Arial"/>
          <w:sz w:val="22"/>
          <w:lang w:val="en-GB"/>
        </w:rPr>
        <w:t xml:space="preserve">technology-enabled </w:t>
      </w:r>
      <w:r w:rsidR="0062611B" w:rsidRPr="004A610E">
        <w:rPr>
          <w:rFonts w:ascii="Arial" w:hAnsi="Arial"/>
          <w:sz w:val="22"/>
          <w:lang w:val="en-GB"/>
        </w:rPr>
        <w:t xml:space="preserve">virtual wards can make patients and their families feel safe and supported by providing clear communication and keeping patients involved in their care. Most importantly, this model of care allows patients to be supported in their home environment, which is where most patients prefer to be. This is in contrast to an inpatient setting, which can be disruptive to a patient’s normal, daily activities. If a patient feels sufficiently supported, there is potential for a decrease in anxiety, and an increase in </w:t>
      </w:r>
      <w:r w:rsidRPr="004A610E">
        <w:rPr>
          <w:rFonts w:ascii="Arial" w:hAnsi="Arial"/>
          <w:sz w:val="22"/>
          <w:lang w:val="en-GB"/>
        </w:rPr>
        <w:t>self-confidence</w:t>
      </w:r>
      <w:r w:rsidR="0062611B" w:rsidRPr="004A610E">
        <w:rPr>
          <w:rFonts w:ascii="Arial" w:hAnsi="Arial"/>
          <w:sz w:val="22"/>
          <w:lang w:val="en-GB"/>
        </w:rPr>
        <w:t xml:space="preserve"> and assurance. However, </w:t>
      </w:r>
      <w:r w:rsidR="00FF33F5" w:rsidRPr="004A610E">
        <w:rPr>
          <w:rFonts w:ascii="Arial" w:hAnsi="Arial"/>
          <w:sz w:val="22"/>
          <w:lang w:val="en-GB"/>
        </w:rPr>
        <w:t>i</w:t>
      </w:r>
      <w:r w:rsidR="0062611B" w:rsidRPr="004A610E">
        <w:rPr>
          <w:rFonts w:ascii="Arial" w:hAnsi="Arial"/>
          <w:sz w:val="22"/>
          <w:lang w:val="en-GB"/>
        </w:rPr>
        <w:t>f virtual ward support is initiated, and then suddenly withdrawn, this can increase anxiety and cause add</w:t>
      </w:r>
      <w:r w:rsidRPr="004A610E">
        <w:rPr>
          <w:rFonts w:ascii="Arial" w:hAnsi="Arial"/>
          <w:sz w:val="22"/>
          <w:lang w:val="en-GB"/>
        </w:rPr>
        <w:t xml:space="preserve">itional stress for the patient. </w:t>
      </w:r>
    </w:p>
    <w:p w14:paraId="61E6D9E9" w14:textId="77777777" w:rsidR="0062611B" w:rsidRPr="004A610E" w:rsidRDefault="002B57CC" w:rsidP="004A610E">
      <w:pPr>
        <w:rPr>
          <w:rFonts w:ascii="Arial" w:hAnsi="Arial"/>
          <w:sz w:val="22"/>
          <w:lang w:val="en-GB"/>
        </w:rPr>
      </w:pPr>
      <w:r w:rsidRPr="004A610E">
        <w:rPr>
          <w:rFonts w:ascii="Arial" w:hAnsi="Arial"/>
          <w:sz w:val="22"/>
          <w:lang w:val="en-GB"/>
        </w:rPr>
        <w:t xml:space="preserve">The NHS England-commissioned Strategy Unit (2025) reported that a </w:t>
      </w:r>
      <w:r w:rsidR="0062611B" w:rsidRPr="004A610E">
        <w:rPr>
          <w:rFonts w:ascii="Arial" w:hAnsi="Arial"/>
          <w:sz w:val="22"/>
          <w:lang w:val="en-GB"/>
        </w:rPr>
        <w:t xml:space="preserve">strong preference among participants for receiving hospital-level care in their home environment. However, participants raised concerns regarding the potential safety and security of care. </w:t>
      </w:r>
      <w:r w:rsidRPr="004A610E">
        <w:rPr>
          <w:rFonts w:ascii="Arial" w:hAnsi="Arial"/>
          <w:sz w:val="22"/>
          <w:lang w:val="en-GB"/>
        </w:rPr>
        <w:t xml:space="preserve">Digital access also creates an equity concern. </w:t>
      </w:r>
      <w:r w:rsidR="0062611B" w:rsidRPr="004A610E">
        <w:rPr>
          <w:rFonts w:ascii="Arial" w:hAnsi="Arial"/>
          <w:sz w:val="22"/>
          <w:lang w:val="en-GB"/>
        </w:rPr>
        <w:t>KC et al. (2024) described disparities in the use of the NHS App across different ethnic and socioeconomic groups. Use of the App and other digital services provided by the NHS may disadvantage those who are less digitally confident and skilled. Digital services have the potential to improve the interactivity and accessibili</w:t>
      </w:r>
      <w:r w:rsidR="00CA48EE" w:rsidRPr="004A610E">
        <w:rPr>
          <w:rFonts w:ascii="Arial" w:hAnsi="Arial"/>
          <w:sz w:val="22"/>
          <w:lang w:val="en-GB"/>
        </w:rPr>
        <w:t xml:space="preserve">ty of health and care services. </w:t>
      </w:r>
      <w:r w:rsidR="0062611B" w:rsidRPr="004A610E">
        <w:rPr>
          <w:rFonts w:ascii="Arial" w:hAnsi="Arial"/>
          <w:sz w:val="22"/>
          <w:lang w:val="en-GB"/>
        </w:rPr>
        <w:t>Therefore, for virtual wards to function effectively and improve the care provided, both digital and human support should be integrated.</w:t>
      </w:r>
      <w:r w:rsidRPr="004A610E">
        <w:rPr>
          <w:rFonts w:ascii="Arial" w:hAnsi="Arial"/>
          <w:sz w:val="22"/>
          <w:lang w:val="en-GB"/>
        </w:rPr>
        <w:t xml:space="preserve"> </w:t>
      </w:r>
    </w:p>
    <w:p w14:paraId="7042B37B" w14:textId="77777777" w:rsidR="002B57CC" w:rsidRPr="004A610E" w:rsidRDefault="002B57CC" w:rsidP="004A610E">
      <w:pPr>
        <w:pStyle w:val="Heading1"/>
        <w:rPr>
          <w:rFonts w:ascii="Arial" w:hAnsi="Arial" w:cs="Arial"/>
          <w:sz w:val="22"/>
          <w:szCs w:val="22"/>
          <w:lang w:val="en-GB"/>
        </w:rPr>
      </w:pPr>
      <w:bookmarkStart w:id="5" w:name="_Toc241541486"/>
      <w:r w:rsidRPr="004A610E">
        <w:rPr>
          <w:rFonts w:ascii="Arial" w:hAnsi="Arial" w:cs="Arial"/>
          <w:sz w:val="22"/>
          <w:szCs w:val="22"/>
          <w:lang w:val="en-GB"/>
        </w:rPr>
        <w:t>6. Evaluation of Community Impact</w:t>
      </w:r>
      <w:bookmarkEnd w:id="5"/>
      <w:r w:rsidRPr="004A610E">
        <w:rPr>
          <w:rFonts w:ascii="Arial" w:hAnsi="Arial" w:cs="Arial"/>
          <w:sz w:val="22"/>
          <w:szCs w:val="22"/>
          <w:lang w:val="en-GB"/>
        </w:rPr>
        <w:t xml:space="preserve"> </w:t>
      </w:r>
    </w:p>
    <w:p w14:paraId="49EC6ED8" w14:textId="77777777" w:rsidR="0062611B" w:rsidRPr="004A610E" w:rsidRDefault="0062611B" w:rsidP="004A610E">
      <w:pPr>
        <w:rPr>
          <w:rFonts w:ascii="Arial" w:hAnsi="Arial"/>
          <w:sz w:val="22"/>
          <w:lang w:val="en-GB"/>
        </w:rPr>
      </w:pPr>
      <w:r w:rsidRPr="004A610E">
        <w:rPr>
          <w:rFonts w:ascii="Arial" w:hAnsi="Arial"/>
          <w:sz w:val="22"/>
          <w:lang w:val="en-GB"/>
        </w:rPr>
        <w:t xml:space="preserve">The use of technology has the potential to improve the delivery of health and social care services. </w:t>
      </w:r>
      <w:r w:rsidR="00154A25" w:rsidRPr="004A610E">
        <w:rPr>
          <w:rFonts w:ascii="Arial" w:hAnsi="Arial"/>
          <w:sz w:val="22"/>
          <w:lang w:val="en-GB"/>
        </w:rPr>
        <w:t>Technology-enabled v</w:t>
      </w:r>
      <w:r w:rsidRPr="004A610E">
        <w:rPr>
          <w:rFonts w:ascii="Arial" w:hAnsi="Arial"/>
          <w:sz w:val="22"/>
          <w:lang w:val="en-GB"/>
        </w:rPr>
        <w:t>irtual wards allow the provision of some elements of inpatient care in the community. Chappell et al. (2024) found that virtual ward models are less prescriptive as to the staffing and technology required; however, there is variation in referral processes. Virtual wards are flexible enough to reduce the need for patients to travel to or stay in an acute care facility and may help reli</w:t>
      </w:r>
      <w:r w:rsidR="002B57CC" w:rsidRPr="004A610E">
        <w:rPr>
          <w:rFonts w:ascii="Arial" w:hAnsi="Arial"/>
          <w:sz w:val="22"/>
          <w:lang w:val="en-GB"/>
        </w:rPr>
        <w:t>e</w:t>
      </w:r>
      <w:r w:rsidR="00AA35E8" w:rsidRPr="004A610E">
        <w:rPr>
          <w:rFonts w:ascii="Arial" w:hAnsi="Arial"/>
          <w:sz w:val="22"/>
          <w:lang w:val="en-GB"/>
        </w:rPr>
        <w:t xml:space="preserve">ve pressure on acute services. </w:t>
      </w:r>
    </w:p>
    <w:p w14:paraId="0E65235F" w14:textId="77777777" w:rsidR="0062611B" w:rsidRPr="004A610E" w:rsidRDefault="002B57CC" w:rsidP="004A610E">
      <w:pPr>
        <w:rPr>
          <w:rFonts w:ascii="Arial" w:hAnsi="Arial"/>
          <w:sz w:val="22"/>
          <w:lang w:val="en-GB"/>
        </w:rPr>
      </w:pPr>
      <w:r w:rsidRPr="004A610E">
        <w:rPr>
          <w:rFonts w:ascii="Arial" w:hAnsi="Arial"/>
          <w:sz w:val="22"/>
          <w:lang w:val="en-GB"/>
        </w:rPr>
        <w:lastRenderedPageBreak/>
        <w:t xml:space="preserve">For communities with frailty and complex health needs, </w:t>
      </w:r>
      <w:r w:rsidR="0062611B" w:rsidRPr="004A610E">
        <w:rPr>
          <w:rFonts w:ascii="Arial" w:hAnsi="Arial"/>
          <w:sz w:val="22"/>
          <w:lang w:val="en-GB"/>
        </w:rPr>
        <w:t xml:space="preserve">there is potential for technology-enabled virtual wards to improve the experience of care and support provided to individuals and their families. </w:t>
      </w:r>
      <w:r w:rsidRPr="004A610E">
        <w:rPr>
          <w:rFonts w:ascii="Arial" w:hAnsi="Arial"/>
          <w:sz w:val="22"/>
          <w:lang w:val="en-GB"/>
        </w:rPr>
        <w:t xml:space="preserve">Westby et al. (2024) </w:t>
      </w:r>
      <w:r w:rsidR="0062611B" w:rsidRPr="004A610E">
        <w:rPr>
          <w:rFonts w:ascii="Arial" w:hAnsi="Arial"/>
          <w:sz w:val="22"/>
          <w:lang w:val="en-GB"/>
        </w:rPr>
        <w:t>found that virtual wards facilitate the delivery of care and support in the community, including improving communication and the integration of health and care services, thereby enhancing the experience of care for patients and their families. The reviews suggest that technology enables virtual wards to function in a way that facilitates car</w:t>
      </w:r>
      <w:r w:rsidRPr="004A610E">
        <w:rPr>
          <w:rFonts w:ascii="Arial" w:hAnsi="Arial"/>
          <w:sz w:val="22"/>
          <w:lang w:val="en-GB"/>
        </w:rPr>
        <w:t xml:space="preserve">e in the community and at home. </w:t>
      </w:r>
    </w:p>
    <w:p w14:paraId="590AB140" w14:textId="77777777" w:rsidR="0062611B" w:rsidRPr="004A610E" w:rsidRDefault="00AA35E8" w:rsidP="004A610E">
      <w:pPr>
        <w:rPr>
          <w:rFonts w:ascii="Arial" w:hAnsi="Arial"/>
          <w:sz w:val="22"/>
          <w:lang w:val="en-GB"/>
        </w:rPr>
      </w:pPr>
      <w:r w:rsidRPr="004A610E">
        <w:rPr>
          <w:rFonts w:ascii="Arial" w:hAnsi="Arial"/>
          <w:sz w:val="22"/>
          <w:lang w:val="en-GB"/>
        </w:rPr>
        <w:t>T</w:t>
      </w:r>
      <w:r w:rsidR="0062611B" w:rsidRPr="004A610E">
        <w:rPr>
          <w:rFonts w:ascii="Arial" w:hAnsi="Arial"/>
          <w:sz w:val="22"/>
          <w:lang w:val="en-GB"/>
        </w:rPr>
        <w:t xml:space="preserve">he National Carer and Patient Surveys Supporting evidence, the Strategy Unit (2025) noted that the introduction of a </w:t>
      </w:r>
      <w:r w:rsidR="00154A25" w:rsidRPr="004A610E">
        <w:rPr>
          <w:rFonts w:ascii="Arial" w:hAnsi="Arial"/>
          <w:sz w:val="22"/>
          <w:lang w:val="en-GB"/>
        </w:rPr>
        <w:t xml:space="preserve">technology-enabled </w:t>
      </w:r>
      <w:r w:rsidR="0062611B" w:rsidRPr="004A610E">
        <w:rPr>
          <w:rFonts w:ascii="Arial" w:hAnsi="Arial"/>
          <w:sz w:val="22"/>
          <w:lang w:val="en-GB"/>
        </w:rPr>
        <w:t>virtual ward service to support a patient made it less burdensome for the carer, as they no longer had to take the patient to and from the hospital. The unit noted the virtual ward service did not address the challenges care couples faced in being included in the patient’s admission and care planning process. In addition,</w:t>
      </w:r>
      <w:r w:rsidR="00154A25" w:rsidRPr="004A610E">
        <w:rPr>
          <w:rFonts w:ascii="Arial" w:hAnsi="Arial"/>
          <w:sz w:val="22"/>
          <w:lang w:val="en-GB"/>
        </w:rPr>
        <w:t xml:space="preserve"> challenges associated with </w:t>
      </w:r>
      <w:r w:rsidR="0062611B" w:rsidRPr="004A610E">
        <w:rPr>
          <w:rFonts w:ascii="Arial" w:hAnsi="Arial"/>
          <w:sz w:val="22"/>
          <w:lang w:val="en-GB"/>
        </w:rPr>
        <w:t>use of technology and communication created additional burdens for care couples.</w:t>
      </w:r>
      <w:r w:rsidR="002B57CC" w:rsidRPr="004A610E">
        <w:rPr>
          <w:rFonts w:ascii="Arial" w:hAnsi="Arial"/>
          <w:sz w:val="22"/>
          <w:lang w:val="en-GB"/>
        </w:rPr>
        <w:t xml:space="preserve"> </w:t>
      </w:r>
    </w:p>
    <w:p w14:paraId="0A3ED7DE" w14:textId="77777777" w:rsidR="0062611B" w:rsidRPr="004A610E" w:rsidRDefault="0062611B" w:rsidP="004A610E">
      <w:pPr>
        <w:rPr>
          <w:rFonts w:ascii="Arial" w:hAnsi="Arial"/>
          <w:sz w:val="22"/>
          <w:lang w:val="en-GB"/>
        </w:rPr>
      </w:pPr>
      <w:r w:rsidRPr="004A610E">
        <w:rPr>
          <w:rFonts w:ascii="Arial" w:hAnsi="Arial"/>
          <w:sz w:val="22"/>
          <w:lang w:val="en-GB"/>
        </w:rPr>
        <w:t xml:space="preserve">The benefits of virtual wards also do not automatically extend to all members of the public. Chappell et al. (2024) state that Equity is one of the major research gaps. Thus, the potential negative impact of virtual ward services for patients who require high levels of care, and do not have the means, technology, and/or the support to care for themselves at home must be </w:t>
      </w:r>
      <w:r w:rsidR="00CC5543" w:rsidRPr="004A610E">
        <w:rPr>
          <w:rFonts w:ascii="Arial" w:hAnsi="Arial"/>
          <w:sz w:val="22"/>
          <w:lang w:val="en-GB"/>
        </w:rPr>
        <w:t xml:space="preserve">considered. The technology-enabled </w:t>
      </w:r>
      <w:r w:rsidRPr="004A610E">
        <w:rPr>
          <w:rFonts w:ascii="Arial" w:hAnsi="Arial"/>
          <w:sz w:val="22"/>
          <w:lang w:val="en-GB"/>
        </w:rPr>
        <w:t>virtual ward services may negatively impact care couples and patients w</w:t>
      </w:r>
      <w:r w:rsidR="002B57CC" w:rsidRPr="004A610E">
        <w:rPr>
          <w:rFonts w:ascii="Arial" w:hAnsi="Arial"/>
          <w:sz w:val="22"/>
          <w:lang w:val="en-GB"/>
        </w:rPr>
        <w:t xml:space="preserve">ho require high levels of care. </w:t>
      </w:r>
    </w:p>
    <w:p w14:paraId="27EC1D8A" w14:textId="77777777" w:rsidR="0062611B" w:rsidRPr="004A610E" w:rsidRDefault="002B57CC" w:rsidP="004A610E">
      <w:pPr>
        <w:pStyle w:val="Heading1"/>
        <w:rPr>
          <w:rFonts w:ascii="Arial" w:hAnsi="Arial" w:cs="Arial"/>
          <w:sz w:val="22"/>
          <w:szCs w:val="22"/>
          <w:lang w:val="en-GB"/>
        </w:rPr>
      </w:pPr>
      <w:bookmarkStart w:id="6" w:name="_Toc241541487"/>
      <w:r w:rsidRPr="004A610E">
        <w:rPr>
          <w:rFonts w:ascii="Arial" w:hAnsi="Arial" w:cs="Arial"/>
          <w:sz w:val="22"/>
          <w:szCs w:val="22"/>
          <w:lang w:val="en-GB"/>
        </w:rPr>
        <w:t>7. Conclusion</w:t>
      </w:r>
      <w:bookmarkEnd w:id="6"/>
      <w:r w:rsidRPr="004A610E">
        <w:rPr>
          <w:rFonts w:ascii="Arial" w:hAnsi="Arial" w:cs="Arial"/>
          <w:sz w:val="22"/>
          <w:szCs w:val="22"/>
          <w:lang w:val="en-GB"/>
        </w:rPr>
        <w:t xml:space="preserve"> </w:t>
      </w:r>
    </w:p>
    <w:p w14:paraId="28361253" w14:textId="77777777" w:rsidR="002B57CC" w:rsidRPr="004A610E" w:rsidRDefault="0062611B" w:rsidP="004A610E">
      <w:pPr>
        <w:rPr>
          <w:rFonts w:ascii="Arial" w:hAnsi="Arial"/>
          <w:sz w:val="22"/>
          <w:lang w:val="en-GB"/>
        </w:rPr>
      </w:pPr>
      <w:r w:rsidRPr="004A610E">
        <w:rPr>
          <w:rFonts w:ascii="Arial" w:hAnsi="Arial"/>
          <w:sz w:val="22"/>
          <w:lang w:val="en-GB"/>
        </w:rPr>
        <w:t xml:space="preserve">The NHS England virtual ward program provides an example of how digital technology can help extend and change the ways that urgent and emergency care services are provided. However, the main constraint to the broader implementation of </w:t>
      </w:r>
      <w:r w:rsidR="00CC5543" w:rsidRPr="004A610E">
        <w:rPr>
          <w:rFonts w:ascii="Arial" w:hAnsi="Arial"/>
          <w:sz w:val="22"/>
          <w:lang w:val="en-GB"/>
        </w:rPr>
        <w:t xml:space="preserve">technology-enabled </w:t>
      </w:r>
      <w:r w:rsidRPr="004A610E">
        <w:rPr>
          <w:rFonts w:ascii="Arial" w:hAnsi="Arial"/>
          <w:sz w:val="22"/>
          <w:lang w:val="en-GB"/>
        </w:rPr>
        <w:t>virtual wards has been the integration of technology with the healthcare workforce and with ot</w:t>
      </w:r>
      <w:r w:rsidR="002B57CC" w:rsidRPr="004A610E">
        <w:rPr>
          <w:rFonts w:ascii="Arial" w:hAnsi="Arial"/>
          <w:sz w:val="22"/>
          <w:lang w:val="en-GB"/>
        </w:rPr>
        <w:t xml:space="preserve">her services and the community. </w:t>
      </w:r>
      <w:r w:rsidRPr="004A610E">
        <w:rPr>
          <w:rFonts w:ascii="Arial" w:hAnsi="Arial"/>
          <w:sz w:val="22"/>
          <w:lang w:val="en-GB"/>
        </w:rPr>
        <w:t xml:space="preserve">The evaluation shows virtual wards have improved the physical flow of a hospital and allowed for better and more flexible care to be provided to patients. It created demand for more digital skills and greater multidisciplinary team (MDT) working. </w:t>
      </w:r>
    </w:p>
    <w:p w14:paraId="3D69AFCD" w14:textId="77777777" w:rsidR="009B124A" w:rsidRPr="004A610E" w:rsidRDefault="0062611B" w:rsidP="004A610E">
      <w:pPr>
        <w:rPr>
          <w:rFonts w:ascii="Arial" w:hAnsi="Arial"/>
          <w:sz w:val="22"/>
          <w:lang w:val="en-GB"/>
        </w:rPr>
      </w:pPr>
      <w:r w:rsidRPr="004A610E">
        <w:rPr>
          <w:rFonts w:ascii="Arial" w:hAnsi="Arial"/>
          <w:sz w:val="22"/>
          <w:lang w:val="en-GB"/>
        </w:rPr>
        <w:t xml:space="preserve">It also highlighted a need for reliable and good communication processes to facilitate the safe and secure virtual escalation of care. The evaluation showed that hospital at home (HAA) services are attractive to healthcare commissioners and providers to meet a range of objectives because of the positive flexibility and integration that the services are able to bring to the healthcare system. The case study also showed the importance of a reliable, skilled, and flexible workforce in </w:t>
      </w:r>
      <w:r w:rsidRPr="004A610E">
        <w:rPr>
          <w:rFonts w:ascii="Arial" w:hAnsi="Arial"/>
          <w:sz w:val="22"/>
          <w:lang w:val="en-GB"/>
        </w:rPr>
        <w:lastRenderedPageBreak/>
        <w:t xml:space="preserve">enabling the best use of HAA services. The successful and long term integration of </w:t>
      </w:r>
      <w:r w:rsidR="00C660F8" w:rsidRPr="004A610E">
        <w:rPr>
          <w:rFonts w:ascii="Arial" w:hAnsi="Arial"/>
          <w:sz w:val="22"/>
          <w:lang w:val="en-GB"/>
        </w:rPr>
        <w:t xml:space="preserve">technology-enabled </w:t>
      </w:r>
      <w:r w:rsidRPr="004A610E">
        <w:rPr>
          <w:rFonts w:ascii="Arial" w:hAnsi="Arial"/>
          <w:sz w:val="22"/>
          <w:lang w:val="en-GB"/>
        </w:rPr>
        <w:t xml:space="preserve">virtual wards within the English NHS will require further redesign of the organization to work in collaboration with ICT. </w:t>
      </w:r>
    </w:p>
    <w:p w14:paraId="1A8A276A" w14:textId="77777777" w:rsidR="009B124A" w:rsidRPr="004A610E" w:rsidRDefault="009B124A" w:rsidP="004A610E">
      <w:pPr>
        <w:spacing w:before="0" w:after="160"/>
        <w:jc w:val="left"/>
        <w:rPr>
          <w:rFonts w:ascii="Arial" w:hAnsi="Arial"/>
          <w:sz w:val="22"/>
          <w:lang w:val="en-GB"/>
        </w:rPr>
      </w:pPr>
      <w:r w:rsidRPr="004A610E">
        <w:rPr>
          <w:rFonts w:ascii="Arial" w:hAnsi="Arial"/>
          <w:sz w:val="22"/>
          <w:lang w:val="en-GB"/>
        </w:rPr>
        <w:br w:type="page"/>
      </w:r>
    </w:p>
    <w:p w14:paraId="4116BC1D" w14:textId="77777777" w:rsidR="009B124A" w:rsidRPr="004A610E" w:rsidRDefault="009B124A" w:rsidP="004A610E">
      <w:pPr>
        <w:pStyle w:val="Heading1"/>
        <w:rPr>
          <w:rFonts w:ascii="Arial" w:hAnsi="Arial" w:cs="Arial"/>
          <w:sz w:val="22"/>
          <w:szCs w:val="22"/>
          <w:lang w:val="en-GB"/>
        </w:rPr>
      </w:pPr>
      <w:bookmarkStart w:id="7" w:name="_Toc241541488"/>
      <w:r w:rsidRPr="004A610E">
        <w:rPr>
          <w:rFonts w:ascii="Arial" w:hAnsi="Arial" w:cs="Arial"/>
          <w:sz w:val="22"/>
          <w:szCs w:val="22"/>
          <w:lang w:val="en-GB"/>
        </w:rPr>
        <w:lastRenderedPageBreak/>
        <w:t>References</w:t>
      </w:r>
      <w:bookmarkEnd w:id="7"/>
      <w:r w:rsidRPr="004A610E">
        <w:rPr>
          <w:rFonts w:ascii="Arial" w:hAnsi="Arial" w:cs="Arial"/>
          <w:sz w:val="22"/>
          <w:szCs w:val="22"/>
          <w:lang w:val="en-GB"/>
        </w:rPr>
        <w:t xml:space="preserve"> </w:t>
      </w:r>
    </w:p>
    <w:p w14:paraId="203B7DA1" w14:textId="77777777" w:rsidR="006A08E4" w:rsidRPr="004A610E" w:rsidRDefault="006A08E4" w:rsidP="004A610E">
      <w:pPr>
        <w:rPr>
          <w:rFonts w:ascii="Arial" w:hAnsi="Arial"/>
          <w:sz w:val="22"/>
          <w:lang w:val="en-GB" w:bidi="ar-SA"/>
        </w:rPr>
      </w:pPr>
      <w:r w:rsidRPr="004A610E">
        <w:rPr>
          <w:rFonts w:ascii="Arial" w:hAnsi="Arial"/>
          <w:sz w:val="22"/>
          <w:lang w:val="en-GB"/>
        </w:rPr>
        <w:t xml:space="preserve">Asthana, S., Jones, R. and Sheaff, R. (2019) ‘Why does the NHS struggle to adopt eHealth innovations? A review of macro, </w:t>
      </w:r>
      <w:proofErr w:type="spellStart"/>
      <w:r w:rsidRPr="004A610E">
        <w:rPr>
          <w:rFonts w:ascii="Arial" w:hAnsi="Arial"/>
          <w:sz w:val="22"/>
          <w:lang w:val="en-GB"/>
        </w:rPr>
        <w:t>meso</w:t>
      </w:r>
      <w:proofErr w:type="spellEnd"/>
      <w:r w:rsidRPr="004A610E">
        <w:rPr>
          <w:rFonts w:ascii="Arial" w:hAnsi="Arial"/>
          <w:sz w:val="22"/>
          <w:lang w:val="en-GB"/>
        </w:rPr>
        <w:t xml:space="preserve"> and micro factors’, </w:t>
      </w:r>
      <w:r w:rsidRPr="004A610E">
        <w:rPr>
          <w:rStyle w:val="Emphasis"/>
          <w:rFonts w:ascii="Arial" w:hAnsi="Arial"/>
          <w:sz w:val="22"/>
          <w:lang w:val="en-GB"/>
        </w:rPr>
        <w:t>BMC Health Services Research</w:t>
      </w:r>
      <w:r w:rsidRPr="004A610E">
        <w:rPr>
          <w:rFonts w:ascii="Arial" w:hAnsi="Arial"/>
          <w:sz w:val="22"/>
          <w:lang w:val="en-GB"/>
        </w:rPr>
        <w:t xml:space="preserve">, 19, 984. Available at: </w:t>
      </w:r>
      <w:hyperlink r:id="rId8" w:tgtFrame="_new" w:history="1">
        <w:r w:rsidRPr="004A610E">
          <w:rPr>
            <w:rStyle w:val="Hyperlink"/>
            <w:rFonts w:ascii="Arial" w:hAnsi="Arial"/>
            <w:sz w:val="22"/>
            <w:lang w:val="en-GB"/>
          </w:rPr>
          <w:t>https://doi.org/10.1186/s12913-019-4790-x</w:t>
        </w:r>
      </w:hyperlink>
      <w:r w:rsidRPr="004A610E">
        <w:rPr>
          <w:rFonts w:ascii="Arial" w:hAnsi="Arial"/>
          <w:sz w:val="22"/>
          <w:lang w:val="en-GB"/>
        </w:rPr>
        <w:t xml:space="preserve"> (Accessed: 29 September 2026). </w:t>
      </w:r>
    </w:p>
    <w:p w14:paraId="254F3BD8" w14:textId="77777777" w:rsidR="006A08E4" w:rsidRPr="004A610E" w:rsidRDefault="006A08E4" w:rsidP="004A610E">
      <w:pPr>
        <w:rPr>
          <w:rFonts w:ascii="Arial" w:hAnsi="Arial"/>
          <w:sz w:val="22"/>
          <w:lang w:val="en-GB"/>
        </w:rPr>
      </w:pPr>
      <w:r w:rsidRPr="004A610E">
        <w:rPr>
          <w:rFonts w:ascii="Arial" w:hAnsi="Arial"/>
          <w:sz w:val="22"/>
          <w:lang w:val="en-GB"/>
        </w:rPr>
        <w:t xml:space="preserve">Chappell, P., Co, M., Hardie, T., Lloyd, T., Tallack, C., Gerhold, M. and Mayers, C. (2024) </w:t>
      </w:r>
      <w:r w:rsidRPr="004A610E">
        <w:rPr>
          <w:rStyle w:val="Emphasis"/>
          <w:rFonts w:ascii="Arial" w:hAnsi="Arial"/>
          <w:sz w:val="22"/>
          <w:lang w:val="en-GB"/>
        </w:rPr>
        <w:t>What do virtual wards look like in England?</w:t>
      </w:r>
      <w:r w:rsidRPr="004A610E">
        <w:rPr>
          <w:rFonts w:ascii="Arial" w:hAnsi="Arial"/>
          <w:sz w:val="22"/>
          <w:lang w:val="en-GB"/>
        </w:rPr>
        <w:t xml:space="preserve"> Working Paper. London: The Health Foundation. Available at: </w:t>
      </w:r>
      <w:hyperlink r:id="rId9" w:tgtFrame="_new" w:history="1">
        <w:r w:rsidRPr="004A610E">
          <w:rPr>
            <w:rStyle w:val="Hyperlink"/>
            <w:rFonts w:ascii="Arial" w:hAnsi="Arial"/>
            <w:sz w:val="22"/>
            <w:lang w:val="en-GB"/>
          </w:rPr>
          <w:t>https://www.health.org.uk/reports-and-analysis/working-papers/what-do-virtual-wards-look-like-in-england</w:t>
        </w:r>
      </w:hyperlink>
      <w:r w:rsidRPr="004A610E">
        <w:rPr>
          <w:rFonts w:ascii="Arial" w:hAnsi="Arial"/>
          <w:sz w:val="22"/>
          <w:lang w:val="en-GB"/>
        </w:rPr>
        <w:t xml:space="preserve"> (Accessed: 29 September 2026). </w:t>
      </w:r>
    </w:p>
    <w:p w14:paraId="6BB78357" w14:textId="77777777" w:rsidR="006A08E4" w:rsidRPr="004A610E" w:rsidRDefault="006A08E4" w:rsidP="004A610E">
      <w:pPr>
        <w:rPr>
          <w:rFonts w:ascii="Arial" w:hAnsi="Arial"/>
          <w:sz w:val="22"/>
          <w:lang w:val="en-GB"/>
        </w:rPr>
      </w:pPr>
      <w:r w:rsidRPr="004A610E">
        <w:rPr>
          <w:rFonts w:ascii="Arial" w:hAnsi="Arial"/>
          <w:sz w:val="22"/>
          <w:lang w:val="en-GB"/>
        </w:rPr>
        <w:t xml:space="preserve">Jalilian, A., </w:t>
      </w:r>
      <w:proofErr w:type="spellStart"/>
      <w:r w:rsidRPr="004A610E">
        <w:rPr>
          <w:rFonts w:ascii="Arial" w:hAnsi="Arial"/>
          <w:sz w:val="22"/>
          <w:lang w:val="en-GB"/>
        </w:rPr>
        <w:t>Sedda</w:t>
      </w:r>
      <w:proofErr w:type="spellEnd"/>
      <w:r w:rsidRPr="004A610E">
        <w:rPr>
          <w:rFonts w:ascii="Arial" w:hAnsi="Arial"/>
          <w:sz w:val="22"/>
          <w:lang w:val="en-GB"/>
        </w:rPr>
        <w:t xml:space="preserve">, L., Unsworth, A. and Farrier, M. (2024) ‘Length of stay and economic sustainability of virtual ward care in a medium-sized hospital of the UK: a retrospective longitudinal study’, </w:t>
      </w:r>
      <w:r w:rsidRPr="004A610E">
        <w:rPr>
          <w:rStyle w:val="Emphasis"/>
          <w:rFonts w:ascii="Arial" w:hAnsi="Arial"/>
          <w:sz w:val="22"/>
          <w:lang w:val="en-GB"/>
        </w:rPr>
        <w:t>BMJ Open</w:t>
      </w:r>
      <w:r w:rsidRPr="004A610E">
        <w:rPr>
          <w:rFonts w:ascii="Arial" w:hAnsi="Arial"/>
          <w:sz w:val="22"/>
          <w:lang w:val="en-GB"/>
        </w:rPr>
        <w:t xml:space="preserve">, 14(1), e081378. Available at: https://doi.org/10.1136/bmjopen-2023-081378 (Accessed: 29 September 2026). </w:t>
      </w:r>
    </w:p>
    <w:p w14:paraId="7A369172" w14:textId="77777777" w:rsidR="006A08E4" w:rsidRPr="004A610E" w:rsidRDefault="006A08E4" w:rsidP="004A610E">
      <w:pPr>
        <w:rPr>
          <w:rFonts w:ascii="Arial" w:hAnsi="Arial"/>
          <w:sz w:val="22"/>
          <w:lang w:val="en-GB"/>
        </w:rPr>
      </w:pPr>
      <w:r w:rsidRPr="004A610E">
        <w:rPr>
          <w:rFonts w:ascii="Arial" w:hAnsi="Arial"/>
          <w:sz w:val="22"/>
          <w:lang w:val="en-GB"/>
        </w:rPr>
        <w:t xml:space="preserve">KC, S., Papoutsi, C., Reidy, C., Gudgin, B., Powell, J., Majeed, A., Greaves, F. and Laverty, A.A. (2024) ‘Differences in use of a patient portal across sociodemographic groups: observational study of the NHS App in England’, </w:t>
      </w:r>
      <w:r w:rsidRPr="004A610E">
        <w:rPr>
          <w:rStyle w:val="Emphasis"/>
          <w:rFonts w:ascii="Arial" w:hAnsi="Arial"/>
          <w:sz w:val="22"/>
          <w:lang w:val="en-GB"/>
        </w:rPr>
        <w:t>Journal of Medical Internet Research</w:t>
      </w:r>
      <w:r w:rsidRPr="004A610E">
        <w:rPr>
          <w:rFonts w:ascii="Arial" w:hAnsi="Arial"/>
          <w:sz w:val="22"/>
          <w:lang w:val="en-GB"/>
        </w:rPr>
        <w:t xml:space="preserve">, 26, e56320. Available at: </w:t>
      </w:r>
      <w:hyperlink r:id="rId10" w:tgtFrame="_new" w:history="1">
        <w:r w:rsidRPr="004A610E">
          <w:rPr>
            <w:rStyle w:val="Hyperlink"/>
            <w:rFonts w:ascii="Arial" w:hAnsi="Arial"/>
            <w:sz w:val="22"/>
            <w:lang w:val="en-GB"/>
          </w:rPr>
          <w:t>https://doi.org/10.2196/56320</w:t>
        </w:r>
      </w:hyperlink>
      <w:r w:rsidRPr="004A610E">
        <w:rPr>
          <w:rFonts w:ascii="Arial" w:hAnsi="Arial"/>
          <w:sz w:val="22"/>
          <w:lang w:val="en-GB"/>
        </w:rPr>
        <w:t xml:space="preserve"> (Accessed: 29 September 2026). </w:t>
      </w:r>
    </w:p>
    <w:p w14:paraId="1A76B189" w14:textId="77777777" w:rsidR="006A08E4" w:rsidRPr="004A610E" w:rsidRDefault="006A08E4" w:rsidP="004A610E">
      <w:pPr>
        <w:rPr>
          <w:rFonts w:ascii="Arial" w:hAnsi="Arial"/>
          <w:sz w:val="22"/>
          <w:lang w:val="en-GB"/>
        </w:rPr>
      </w:pPr>
      <w:r w:rsidRPr="004A610E">
        <w:rPr>
          <w:rFonts w:ascii="Arial" w:hAnsi="Arial"/>
          <w:sz w:val="22"/>
          <w:lang w:val="en-GB"/>
        </w:rPr>
        <w:t xml:space="preserve">Litchfield, I., Lewis, R., </w:t>
      </w:r>
      <w:proofErr w:type="spellStart"/>
      <w:r w:rsidRPr="004A610E">
        <w:rPr>
          <w:rFonts w:ascii="Arial" w:hAnsi="Arial"/>
          <w:sz w:val="22"/>
          <w:lang w:val="en-GB"/>
        </w:rPr>
        <w:t>Delanerolle</w:t>
      </w:r>
      <w:proofErr w:type="spellEnd"/>
      <w:r w:rsidRPr="004A610E">
        <w:rPr>
          <w:rFonts w:ascii="Arial" w:hAnsi="Arial"/>
          <w:sz w:val="22"/>
          <w:lang w:val="en-GB"/>
        </w:rPr>
        <w:t xml:space="preserve">, G., Melyda, M. and Harper, L. (2025) ‘Factors influencing the implementation of a multispecialty virtual ward program in the United Kingdom: qualitative exploration of staff experiences and perspectives’, </w:t>
      </w:r>
      <w:r w:rsidRPr="004A610E">
        <w:rPr>
          <w:rStyle w:val="Emphasis"/>
          <w:rFonts w:ascii="Arial" w:hAnsi="Arial"/>
          <w:sz w:val="22"/>
          <w:lang w:val="en-GB"/>
        </w:rPr>
        <w:t>Journal of Medical Internet Research</w:t>
      </w:r>
      <w:r w:rsidRPr="004A610E">
        <w:rPr>
          <w:rFonts w:ascii="Arial" w:hAnsi="Arial"/>
          <w:sz w:val="22"/>
          <w:lang w:val="en-GB"/>
        </w:rPr>
        <w:t xml:space="preserve">, 27, e75406. Available at: </w:t>
      </w:r>
      <w:hyperlink r:id="rId11" w:tgtFrame="_new" w:history="1">
        <w:r w:rsidRPr="004A610E">
          <w:rPr>
            <w:rStyle w:val="Hyperlink"/>
            <w:rFonts w:ascii="Arial" w:hAnsi="Arial"/>
            <w:sz w:val="22"/>
            <w:lang w:val="en-GB"/>
          </w:rPr>
          <w:t>https://doi.org/10.2196/75406</w:t>
        </w:r>
      </w:hyperlink>
      <w:r w:rsidRPr="004A610E">
        <w:rPr>
          <w:rFonts w:ascii="Arial" w:hAnsi="Arial"/>
          <w:sz w:val="22"/>
          <w:lang w:val="en-GB"/>
        </w:rPr>
        <w:t xml:space="preserve"> (Accessed: 29 September 2026). </w:t>
      </w:r>
    </w:p>
    <w:p w14:paraId="568596A1" w14:textId="77777777" w:rsidR="006A08E4" w:rsidRPr="004A610E" w:rsidRDefault="006A08E4" w:rsidP="004A610E">
      <w:pPr>
        <w:rPr>
          <w:rFonts w:ascii="Arial" w:hAnsi="Arial"/>
          <w:sz w:val="22"/>
          <w:lang w:val="en-GB"/>
        </w:rPr>
      </w:pPr>
      <w:r w:rsidRPr="004A610E">
        <w:rPr>
          <w:rFonts w:ascii="Arial" w:hAnsi="Arial"/>
          <w:sz w:val="22"/>
          <w:lang w:val="en-GB"/>
        </w:rPr>
        <w:t xml:space="preserve">Lyndon, H., Viney, T. and Slade, V. (2025) ‘A service evaluation of virtual wards in Cornwall, UK’, </w:t>
      </w:r>
      <w:r w:rsidRPr="004A610E">
        <w:rPr>
          <w:rStyle w:val="Emphasis"/>
          <w:rFonts w:ascii="Arial" w:hAnsi="Arial"/>
          <w:sz w:val="22"/>
          <w:lang w:val="en-GB"/>
        </w:rPr>
        <w:t>Oxford Open Digital Health</w:t>
      </w:r>
      <w:r w:rsidRPr="004A610E">
        <w:rPr>
          <w:rFonts w:ascii="Arial" w:hAnsi="Arial"/>
          <w:sz w:val="22"/>
          <w:lang w:val="en-GB"/>
        </w:rPr>
        <w:t xml:space="preserve">, 3, oqaf008. Available at: </w:t>
      </w:r>
      <w:hyperlink r:id="rId12" w:tgtFrame="_new" w:history="1">
        <w:r w:rsidRPr="004A610E">
          <w:rPr>
            <w:rStyle w:val="Hyperlink"/>
            <w:rFonts w:ascii="Arial" w:hAnsi="Arial"/>
            <w:sz w:val="22"/>
            <w:lang w:val="en-GB"/>
          </w:rPr>
          <w:t>https://doi.org/10.1093/oodh/oqaf008</w:t>
        </w:r>
      </w:hyperlink>
      <w:r w:rsidRPr="004A610E">
        <w:rPr>
          <w:rFonts w:ascii="Arial" w:hAnsi="Arial"/>
          <w:sz w:val="22"/>
          <w:lang w:val="en-GB"/>
        </w:rPr>
        <w:t xml:space="preserve"> (Accessed: 29 September 2026). </w:t>
      </w:r>
    </w:p>
    <w:p w14:paraId="5DF091BA" w14:textId="77777777" w:rsidR="006A08E4" w:rsidRPr="004A610E" w:rsidRDefault="006A08E4" w:rsidP="004A610E">
      <w:pPr>
        <w:rPr>
          <w:rFonts w:ascii="Arial" w:hAnsi="Arial"/>
          <w:sz w:val="22"/>
          <w:lang w:val="en-GB"/>
        </w:rPr>
      </w:pPr>
      <w:r w:rsidRPr="004A610E">
        <w:rPr>
          <w:rFonts w:ascii="Arial" w:hAnsi="Arial"/>
          <w:sz w:val="22"/>
          <w:lang w:val="en-GB"/>
        </w:rPr>
        <w:t xml:space="preserve">McGowan, L.J., Graham, F., </w:t>
      </w:r>
      <w:proofErr w:type="spellStart"/>
      <w:r w:rsidRPr="004A610E">
        <w:rPr>
          <w:rFonts w:ascii="Arial" w:hAnsi="Arial"/>
          <w:sz w:val="22"/>
          <w:lang w:val="en-GB"/>
        </w:rPr>
        <w:t>Lecouturier</w:t>
      </w:r>
      <w:proofErr w:type="spellEnd"/>
      <w:r w:rsidRPr="004A610E">
        <w:rPr>
          <w:rFonts w:ascii="Arial" w:hAnsi="Arial"/>
          <w:sz w:val="22"/>
          <w:lang w:val="en-GB"/>
        </w:rPr>
        <w:t xml:space="preserve">, J., Goffe, L., Echevarria, C., Kelly, M.P. and </w:t>
      </w:r>
      <w:proofErr w:type="spellStart"/>
      <w:r w:rsidRPr="004A610E">
        <w:rPr>
          <w:rFonts w:ascii="Arial" w:hAnsi="Arial"/>
          <w:sz w:val="22"/>
          <w:lang w:val="en-GB"/>
        </w:rPr>
        <w:t>Sniehotta</w:t>
      </w:r>
      <w:proofErr w:type="spellEnd"/>
      <w:r w:rsidRPr="004A610E">
        <w:rPr>
          <w:rFonts w:ascii="Arial" w:hAnsi="Arial"/>
          <w:sz w:val="22"/>
          <w:lang w:val="en-GB"/>
        </w:rPr>
        <w:t xml:space="preserve">, F.F. (2024) ‘The views and experiences of Integrated Care System commissioners about the adoption and implementation of virtual wards in England: qualitative exploration study’, </w:t>
      </w:r>
      <w:r w:rsidRPr="004A610E">
        <w:rPr>
          <w:rStyle w:val="Emphasis"/>
          <w:rFonts w:ascii="Arial" w:hAnsi="Arial"/>
          <w:sz w:val="22"/>
          <w:lang w:val="en-GB"/>
        </w:rPr>
        <w:t>Journal of Medical Internet Research</w:t>
      </w:r>
      <w:r w:rsidRPr="004A610E">
        <w:rPr>
          <w:rFonts w:ascii="Arial" w:hAnsi="Arial"/>
          <w:sz w:val="22"/>
          <w:lang w:val="en-GB"/>
        </w:rPr>
        <w:t xml:space="preserve">, 26, e56494. Available at: https://doi.org/10.2196/56494 (Accessed: 29 September 2026). </w:t>
      </w:r>
    </w:p>
    <w:p w14:paraId="71137458" w14:textId="77777777" w:rsidR="006A08E4" w:rsidRPr="004A610E" w:rsidRDefault="006A08E4" w:rsidP="004A610E">
      <w:pPr>
        <w:rPr>
          <w:rFonts w:ascii="Arial" w:hAnsi="Arial"/>
          <w:sz w:val="22"/>
          <w:lang w:val="en-GB"/>
        </w:rPr>
      </w:pPr>
      <w:r w:rsidRPr="004A610E">
        <w:rPr>
          <w:rFonts w:ascii="Arial" w:hAnsi="Arial"/>
          <w:sz w:val="22"/>
          <w:lang w:val="en-GB"/>
        </w:rPr>
        <w:t xml:space="preserve">NHS England (2023) ‘World-leading NHS virtual wards treat 100,000 patients in a year’. Available at: </w:t>
      </w:r>
      <w:hyperlink r:id="rId13" w:tgtFrame="_new" w:history="1">
        <w:r w:rsidRPr="004A610E">
          <w:rPr>
            <w:rStyle w:val="Hyperlink"/>
            <w:rFonts w:ascii="Arial" w:hAnsi="Arial"/>
            <w:sz w:val="22"/>
            <w:lang w:val="en-GB"/>
          </w:rPr>
          <w:t>https://www.england.nhs.uk/2023/03/world-leading-nhs-virtual-wards-treat-100000-patients-in-a-year/</w:t>
        </w:r>
      </w:hyperlink>
      <w:r w:rsidRPr="004A610E">
        <w:rPr>
          <w:rFonts w:ascii="Arial" w:hAnsi="Arial"/>
          <w:sz w:val="22"/>
          <w:lang w:val="en-GB"/>
        </w:rPr>
        <w:t xml:space="preserve"> (Accessed: 29 September 2026). </w:t>
      </w:r>
    </w:p>
    <w:p w14:paraId="126343C4" w14:textId="77777777" w:rsidR="006A08E4" w:rsidRPr="004A610E" w:rsidRDefault="006A08E4" w:rsidP="004A610E">
      <w:pPr>
        <w:rPr>
          <w:rFonts w:ascii="Arial" w:hAnsi="Arial"/>
          <w:sz w:val="22"/>
          <w:lang w:val="en-GB"/>
        </w:rPr>
      </w:pPr>
      <w:r w:rsidRPr="004A610E">
        <w:rPr>
          <w:rFonts w:ascii="Arial" w:hAnsi="Arial"/>
          <w:sz w:val="22"/>
          <w:lang w:val="en-GB"/>
        </w:rPr>
        <w:lastRenderedPageBreak/>
        <w:t xml:space="preserve">NHS England (2024) </w:t>
      </w:r>
      <w:r w:rsidRPr="004A610E">
        <w:rPr>
          <w:rStyle w:val="Emphasis"/>
          <w:rFonts w:ascii="Arial" w:hAnsi="Arial"/>
          <w:sz w:val="22"/>
          <w:lang w:val="en-GB"/>
        </w:rPr>
        <w:t>Virtual wards operational framework</w:t>
      </w:r>
      <w:r w:rsidRPr="004A610E">
        <w:rPr>
          <w:rFonts w:ascii="Arial" w:hAnsi="Arial"/>
          <w:sz w:val="22"/>
          <w:lang w:val="en-GB"/>
        </w:rPr>
        <w:t xml:space="preserve">. Available at: </w:t>
      </w:r>
      <w:hyperlink r:id="rId14" w:tgtFrame="_new" w:history="1">
        <w:r w:rsidRPr="004A610E">
          <w:rPr>
            <w:rStyle w:val="Hyperlink"/>
            <w:rFonts w:ascii="Arial" w:hAnsi="Arial"/>
            <w:sz w:val="22"/>
            <w:lang w:val="en-GB"/>
          </w:rPr>
          <w:t>https://www.england.nhs.uk/publication/virtual-wards-operational-framework/</w:t>
        </w:r>
      </w:hyperlink>
      <w:r w:rsidRPr="004A610E">
        <w:rPr>
          <w:rFonts w:ascii="Arial" w:hAnsi="Arial"/>
          <w:sz w:val="22"/>
          <w:lang w:val="en-GB"/>
        </w:rPr>
        <w:t xml:space="preserve"> (Accessed: 29 September 2026). </w:t>
      </w:r>
    </w:p>
    <w:p w14:paraId="052B69FC" w14:textId="77777777" w:rsidR="006A08E4" w:rsidRPr="004A610E" w:rsidRDefault="006A08E4" w:rsidP="004A610E">
      <w:pPr>
        <w:rPr>
          <w:rFonts w:ascii="Arial" w:hAnsi="Arial"/>
          <w:sz w:val="22"/>
          <w:lang w:val="en-GB"/>
        </w:rPr>
      </w:pPr>
      <w:r w:rsidRPr="004A610E">
        <w:rPr>
          <w:rFonts w:ascii="Arial" w:hAnsi="Arial"/>
          <w:sz w:val="22"/>
          <w:lang w:val="en-GB"/>
        </w:rPr>
        <w:t xml:space="preserve">Pope, R., </w:t>
      </w:r>
      <w:proofErr w:type="spellStart"/>
      <w:r w:rsidRPr="004A610E">
        <w:rPr>
          <w:rFonts w:ascii="Arial" w:hAnsi="Arial"/>
          <w:sz w:val="22"/>
          <w:lang w:val="en-GB"/>
        </w:rPr>
        <w:t>Zenonos</w:t>
      </w:r>
      <w:proofErr w:type="spellEnd"/>
      <w:r w:rsidRPr="004A610E">
        <w:rPr>
          <w:rFonts w:ascii="Arial" w:hAnsi="Arial"/>
          <w:sz w:val="22"/>
          <w:lang w:val="en-GB"/>
        </w:rPr>
        <w:t xml:space="preserve">, A., Bryant, W., </w:t>
      </w:r>
      <w:proofErr w:type="spellStart"/>
      <w:r w:rsidRPr="004A610E">
        <w:rPr>
          <w:rFonts w:ascii="Arial" w:hAnsi="Arial"/>
          <w:sz w:val="22"/>
          <w:lang w:val="en-GB"/>
        </w:rPr>
        <w:t>Spiridou</w:t>
      </w:r>
      <w:proofErr w:type="spellEnd"/>
      <w:r w:rsidRPr="004A610E">
        <w:rPr>
          <w:rFonts w:ascii="Arial" w:hAnsi="Arial"/>
          <w:sz w:val="22"/>
          <w:lang w:val="en-GB"/>
        </w:rPr>
        <w:t xml:space="preserve">, A., Key, D., Patel, S., Robinson, J., Styles, A., Rockenbach, C., Bicknell, G., Rajendran, P., Taylor, A.M. and </w:t>
      </w:r>
      <w:proofErr w:type="spellStart"/>
      <w:r w:rsidRPr="004A610E">
        <w:rPr>
          <w:rFonts w:ascii="Arial" w:hAnsi="Arial"/>
          <w:sz w:val="22"/>
          <w:lang w:val="en-GB"/>
        </w:rPr>
        <w:t>Sebire</w:t>
      </w:r>
      <w:proofErr w:type="spellEnd"/>
      <w:r w:rsidRPr="004A610E">
        <w:rPr>
          <w:rFonts w:ascii="Arial" w:hAnsi="Arial"/>
          <w:sz w:val="22"/>
          <w:lang w:val="en-GB"/>
        </w:rPr>
        <w:t xml:space="preserve">, N.J. (2024) ‘Real-world learnings for digital health industry–NHS collaboration: Life sciences vision in action’, </w:t>
      </w:r>
      <w:r w:rsidRPr="004A610E">
        <w:rPr>
          <w:rStyle w:val="Emphasis"/>
          <w:rFonts w:ascii="Arial" w:hAnsi="Arial"/>
          <w:sz w:val="22"/>
          <w:lang w:val="en-GB"/>
        </w:rPr>
        <w:t>Future Healthcare Journal</w:t>
      </w:r>
      <w:r w:rsidRPr="004A610E">
        <w:rPr>
          <w:rFonts w:ascii="Arial" w:hAnsi="Arial"/>
          <w:sz w:val="22"/>
          <w:lang w:val="en-GB"/>
        </w:rPr>
        <w:t xml:space="preserve">, 11(3), 100168. Available at: </w:t>
      </w:r>
      <w:hyperlink r:id="rId15" w:tgtFrame="_new" w:history="1">
        <w:r w:rsidRPr="004A610E">
          <w:rPr>
            <w:rStyle w:val="Hyperlink"/>
            <w:rFonts w:ascii="Arial" w:hAnsi="Arial"/>
            <w:sz w:val="22"/>
            <w:lang w:val="en-GB"/>
          </w:rPr>
          <w:t>https://doi.org/10.1016/j.fhj.2024.100168</w:t>
        </w:r>
      </w:hyperlink>
      <w:r w:rsidRPr="004A610E">
        <w:rPr>
          <w:rFonts w:ascii="Arial" w:hAnsi="Arial"/>
          <w:sz w:val="22"/>
          <w:lang w:val="en-GB"/>
        </w:rPr>
        <w:t xml:space="preserve"> (Accessed: 29 September 2026). </w:t>
      </w:r>
    </w:p>
    <w:p w14:paraId="6D8D895D" w14:textId="77777777" w:rsidR="006A08E4" w:rsidRPr="004A610E" w:rsidRDefault="006A08E4" w:rsidP="004A610E">
      <w:pPr>
        <w:rPr>
          <w:rFonts w:ascii="Arial" w:hAnsi="Arial"/>
          <w:sz w:val="22"/>
          <w:lang w:val="en-GB"/>
        </w:rPr>
      </w:pPr>
      <w:r w:rsidRPr="004A610E">
        <w:rPr>
          <w:rFonts w:ascii="Arial" w:hAnsi="Arial"/>
          <w:sz w:val="22"/>
          <w:lang w:val="en-GB"/>
        </w:rPr>
        <w:t xml:space="preserve">Reidy, C., Papoutsi, C., KC, S., </w:t>
      </w:r>
      <w:proofErr w:type="spellStart"/>
      <w:r w:rsidRPr="004A610E">
        <w:rPr>
          <w:rFonts w:ascii="Arial" w:hAnsi="Arial"/>
          <w:sz w:val="22"/>
          <w:lang w:val="en-GB"/>
        </w:rPr>
        <w:t>Gudgin</w:t>
      </w:r>
      <w:proofErr w:type="spellEnd"/>
      <w:r w:rsidRPr="004A610E">
        <w:rPr>
          <w:rFonts w:ascii="Arial" w:hAnsi="Arial"/>
          <w:sz w:val="22"/>
          <w:lang w:val="en-GB"/>
        </w:rPr>
        <w:t xml:space="preserve">, B., Laverty, A.A., Greaves, F. and Powell, J. (2025) ‘Qualitative evaluation of the implementation and national roll-out of the NHS App in England’, </w:t>
      </w:r>
      <w:r w:rsidRPr="004A610E">
        <w:rPr>
          <w:rStyle w:val="Emphasis"/>
          <w:rFonts w:ascii="Arial" w:hAnsi="Arial"/>
          <w:sz w:val="22"/>
          <w:lang w:val="en-GB"/>
        </w:rPr>
        <w:t>BMC Medicine</w:t>
      </w:r>
      <w:r w:rsidRPr="004A610E">
        <w:rPr>
          <w:rFonts w:ascii="Arial" w:hAnsi="Arial"/>
          <w:sz w:val="22"/>
          <w:lang w:val="en-GB"/>
        </w:rPr>
        <w:t xml:space="preserve">, 23, 20. Available at: </w:t>
      </w:r>
      <w:hyperlink r:id="rId16" w:tgtFrame="_new" w:history="1">
        <w:r w:rsidRPr="004A610E">
          <w:rPr>
            <w:rStyle w:val="Hyperlink"/>
            <w:rFonts w:ascii="Arial" w:hAnsi="Arial"/>
            <w:sz w:val="22"/>
            <w:lang w:val="en-GB"/>
          </w:rPr>
          <w:t>https://doi.org/10.1186/s12916-024-03842-w</w:t>
        </w:r>
      </w:hyperlink>
      <w:r w:rsidRPr="004A610E">
        <w:rPr>
          <w:rFonts w:ascii="Arial" w:hAnsi="Arial"/>
          <w:sz w:val="22"/>
          <w:lang w:val="en-GB"/>
        </w:rPr>
        <w:t xml:space="preserve"> (Accessed: 29 September 2026). </w:t>
      </w:r>
    </w:p>
    <w:p w14:paraId="69DBA40D" w14:textId="77777777" w:rsidR="006A08E4" w:rsidRPr="004A610E" w:rsidRDefault="006A08E4" w:rsidP="004A610E">
      <w:pPr>
        <w:rPr>
          <w:rFonts w:ascii="Arial" w:hAnsi="Arial"/>
          <w:sz w:val="22"/>
          <w:lang w:val="en-GB"/>
        </w:rPr>
      </w:pPr>
      <w:r w:rsidRPr="004A610E">
        <w:rPr>
          <w:rFonts w:ascii="Arial" w:hAnsi="Arial"/>
          <w:sz w:val="22"/>
          <w:lang w:val="en-GB"/>
        </w:rPr>
        <w:t xml:space="preserve">Shi, C., </w:t>
      </w:r>
      <w:proofErr w:type="spellStart"/>
      <w:r w:rsidRPr="004A610E">
        <w:rPr>
          <w:rFonts w:ascii="Arial" w:hAnsi="Arial"/>
          <w:sz w:val="22"/>
          <w:lang w:val="en-GB"/>
        </w:rPr>
        <w:t>Dumville</w:t>
      </w:r>
      <w:proofErr w:type="spellEnd"/>
      <w:r w:rsidRPr="004A610E">
        <w:rPr>
          <w:rFonts w:ascii="Arial" w:hAnsi="Arial"/>
          <w:sz w:val="22"/>
          <w:lang w:val="en-GB"/>
        </w:rPr>
        <w:t xml:space="preserve">, J., Rubinstein, F., Norman, G., Ullah, A., Bashir, S., Bower, P. and Vardy, E.R.L.C. (2024) ‘Inpatient-level care at home delivered by virtual wards and hospital at home: a systematic review and meta-analysis of complex interventions and their components’, </w:t>
      </w:r>
      <w:r w:rsidRPr="004A610E">
        <w:rPr>
          <w:rStyle w:val="Emphasis"/>
          <w:rFonts w:ascii="Arial" w:hAnsi="Arial"/>
          <w:sz w:val="22"/>
          <w:lang w:val="en-GB"/>
        </w:rPr>
        <w:t>BMC Medicine</w:t>
      </w:r>
      <w:r w:rsidRPr="004A610E">
        <w:rPr>
          <w:rFonts w:ascii="Arial" w:hAnsi="Arial"/>
          <w:sz w:val="22"/>
          <w:lang w:val="en-GB"/>
        </w:rPr>
        <w:t xml:space="preserve">, 22, 145. Available at: https://doi.org/10.1186/s12916-024-03312-3 (Accessed: 29 September 2026). </w:t>
      </w:r>
    </w:p>
    <w:p w14:paraId="2A317CE3" w14:textId="77777777" w:rsidR="006A08E4" w:rsidRPr="004A610E" w:rsidRDefault="006A08E4" w:rsidP="004A610E">
      <w:pPr>
        <w:rPr>
          <w:rFonts w:ascii="Arial" w:hAnsi="Arial"/>
          <w:sz w:val="22"/>
          <w:lang w:val="en-GB"/>
        </w:rPr>
      </w:pPr>
      <w:r w:rsidRPr="004A610E">
        <w:rPr>
          <w:rFonts w:ascii="Arial" w:hAnsi="Arial"/>
          <w:sz w:val="22"/>
          <w:lang w:val="en-GB"/>
        </w:rPr>
        <w:t xml:space="preserve">The Strategy Unit (2025) </w:t>
      </w:r>
      <w:r w:rsidRPr="004A610E">
        <w:rPr>
          <w:rStyle w:val="Emphasis"/>
          <w:rFonts w:ascii="Arial" w:hAnsi="Arial"/>
          <w:sz w:val="22"/>
          <w:lang w:val="en-GB"/>
        </w:rPr>
        <w:t>Virtual wards: patient and unpaid carer experiences of ‘hospital at home’ care</w:t>
      </w:r>
      <w:r w:rsidRPr="004A610E">
        <w:rPr>
          <w:rFonts w:ascii="Arial" w:hAnsi="Arial"/>
          <w:sz w:val="22"/>
          <w:lang w:val="en-GB"/>
        </w:rPr>
        <w:t xml:space="preserve">. Birmingham: The Strategy Unit. Available at: </w:t>
      </w:r>
      <w:hyperlink r:id="rId17" w:tgtFrame="_new" w:history="1">
        <w:r w:rsidRPr="004A610E">
          <w:rPr>
            <w:rStyle w:val="Hyperlink"/>
            <w:rFonts w:ascii="Arial" w:hAnsi="Arial"/>
            <w:sz w:val="22"/>
            <w:lang w:val="en-GB"/>
          </w:rPr>
          <w:t>https://www.strategyunitwm.nhs.uk/news/virtual-wards-patient-and-unpaid-carer-experiences-hospital-home-care</w:t>
        </w:r>
      </w:hyperlink>
      <w:r w:rsidRPr="004A610E">
        <w:rPr>
          <w:rFonts w:ascii="Arial" w:hAnsi="Arial"/>
          <w:sz w:val="22"/>
          <w:lang w:val="en-GB"/>
        </w:rPr>
        <w:t xml:space="preserve"> (Accessed: 29 September 2026). </w:t>
      </w:r>
    </w:p>
    <w:p w14:paraId="4790D519" w14:textId="77777777" w:rsidR="000F2630" w:rsidRPr="004A610E" w:rsidRDefault="006A08E4" w:rsidP="004A610E">
      <w:pPr>
        <w:rPr>
          <w:rFonts w:ascii="Arial" w:hAnsi="Arial"/>
          <w:sz w:val="22"/>
          <w:lang w:val="en-GB"/>
        </w:rPr>
      </w:pPr>
      <w:r w:rsidRPr="004A610E">
        <w:rPr>
          <w:rFonts w:ascii="Arial" w:hAnsi="Arial"/>
          <w:sz w:val="22"/>
          <w:lang w:val="en-GB"/>
        </w:rPr>
        <w:t xml:space="preserve">Westby, M., Ijaz, S., Savović, J., McLeod, H., Dawson, S., Welsh, T., Le Roux, H., Walsh, N. and Bradley, N. (2024) ‘Virtual wards for people with frailty: what works, for whom, how and why—a rapid realist review’, </w:t>
      </w:r>
      <w:r w:rsidRPr="004A610E">
        <w:rPr>
          <w:rStyle w:val="Emphasis"/>
          <w:rFonts w:ascii="Arial" w:hAnsi="Arial"/>
          <w:sz w:val="22"/>
          <w:lang w:val="en-GB"/>
        </w:rPr>
        <w:t>Age and Ageing</w:t>
      </w:r>
      <w:r w:rsidRPr="004A610E">
        <w:rPr>
          <w:rFonts w:ascii="Arial" w:hAnsi="Arial"/>
          <w:sz w:val="22"/>
          <w:lang w:val="en-GB"/>
        </w:rPr>
        <w:t xml:space="preserve">, 53(3), afae039. Available at: https://doi.org/10.1093/ageing/afae039 (Accessed: 29 September 2026). </w:t>
      </w:r>
    </w:p>
    <w:sectPr w:rsidR="000F2630" w:rsidRPr="004A610E" w:rsidSect="00B25AB3">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D0124" w14:textId="77777777" w:rsidR="0033279B" w:rsidRDefault="0033279B" w:rsidP="000F2630">
      <w:pPr>
        <w:spacing w:before="0" w:after="0" w:line="240" w:lineRule="auto"/>
      </w:pPr>
      <w:r>
        <w:separator/>
      </w:r>
    </w:p>
  </w:endnote>
  <w:endnote w:type="continuationSeparator" w:id="0">
    <w:p w14:paraId="4939CC17" w14:textId="77777777" w:rsidR="0033279B" w:rsidRDefault="0033279B" w:rsidP="000F263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8558388"/>
      <w:docPartObj>
        <w:docPartGallery w:val="Page Numbers (Bottom of Page)"/>
        <w:docPartUnique/>
      </w:docPartObj>
    </w:sdtPr>
    <w:sdtEndPr>
      <w:rPr>
        <w:noProof/>
      </w:rPr>
    </w:sdtEndPr>
    <w:sdtContent>
      <w:p w14:paraId="4B1CCA3F" w14:textId="77777777" w:rsidR="000F2630" w:rsidRDefault="000F2630" w:rsidP="000F2630">
        <w:pPr>
          <w:pStyle w:val="Footer"/>
          <w:jc w:val="right"/>
        </w:pPr>
        <w:r>
          <w:fldChar w:fldCharType="begin"/>
        </w:r>
        <w:r>
          <w:instrText xml:space="preserve"> PAGE   \* MERGEFORMAT </w:instrText>
        </w:r>
        <w:r>
          <w:fldChar w:fldCharType="separate"/>
        </w:r>
        <w:r w:rsidR="00AC4627">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21A63" w14:textId="77777777" w:rsidR="0033279B" w:rsidRDefault="0033279B" w:rsidP="000F2630">
      <w:pPr>
        <w:spacing w:before="0" w:after="0" w:line="240" w:lineRule="auto"/>
      </w:pPr>
      <w:r>
        <w:separator/>
      </w:r>
    </w:p>
  </w:footnote>
  <w:footnote w:type="continuationSeparator" w:id="0">
    <w:p w14:paraId="4CC5A424" w14:textId="77777777" w:rsidR="0033279B" w:rsidRDefault="0033279B" w:rsidP="000F263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85475"/>
    <w:multiLevelType w:val="multilevel"/>
    <w:tmpl w:val="ABCC5EA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 w15:restartNumberingAfterBreak="0">
    <w:nsid w:val="199814D3"/>
    <w:multiLevelType w:val="multilevel"/>
    <w:tmpl w:val="3736965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2CD81146"/>
    <w:multiLevelType w:val="multilevel"/>
    <w:tmpl w:val="DA2AF73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 w15:restartNumberingAfterBreak="0">
    <w:nsid w:val="61DD37A6"/>
    <w:multiLevelType w:val="multilevel"/>
    <w:tmpl w:val="3172391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4" w15:restartNumberingAfterBreak="0">
    <w:nsid w:val="7228464D"/>
    <w:multiLevelType w:val="multilevel"/>
    <w:tmpl w:val="553E825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16cid:durableId="2105376476">
    <w:abstractNumId w:val="2"/>
  </w:num>
  <w:num w:numId="2" w16cid:durableId="488057839">
    <w:abstractNumId w:val="1"/>
  </w:num>
  <w:num w:numId="3" w16cid:durableId="1016351790">
    <w:abstractNumId w:val="3"/>
  </w:num>
  <w:num w:numId="4" w16cid:durableId="1649170975">
    <w:abstractNumId w:val="4"/>
  </w:num>
  <w:num w:numId="5" w16cid:durableId="1989819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11B"/>
    <w:rsid w:val="00043410"/>
    <w:rsid w:val="000B0997"/>
    <w:rsid w:val="000E0D57"/>
    <w:rsid w:val="000F2630"/>
    <w:rsid w:val="00114310"/>
    <w:rsid w:val="00154A25"/>
    <w:rsid w:val="00185EED"/>
    <w:rsid w:val="00187DEC"/>
    <w:rsid w:val="001D1CBA"/>
    <w:rsid w:val="00252FF5"/>
    <w:rsid w:val="002B57CC"/>
    <w:rsid w:val="0033279B"/>
    <w:rsid w:val="0034211F"/>
    <w:rsid w:val="00343878"/>
    <w:rsid w:val="00375F7D"/>
    <w:rsid w:val="003E09F0"/>
    <w:rsid w:val="004739F8"/>
    <w:rsid w:val="004A610E"/>
    <w:rsid w:val="004B3059"/>
    <w:rsid w:val="004F5E81"/>
    <w:rsid w:val="0051430F"/>
    <w:rsid w:val="00552E02"/>
    <w:rsid w:val="0062611B"/>
    <w:rsid w:val="006A08E4"/>
    <w:rsid w:val="00843F70"/>
    <w:rsid w:val="00864556"/>
    <w:rsid w:val="00873F4E"/>
    <w:rsid w:val="0089119A"/>
    <w:rsid w:val="00904AEC"/>
    <w:rsid w:val="00964DC9"/>
    <w:rsid w:val="009929E0"/>
    <w:rsid w:val="009B124A"/>
    <w:rsid w:val="009E60B0"/>
    <w:rsid w:val="00AA35E8"/>
    <w:rsid w:val="00AC4627"/>
    <w:rsid w:val="00B01545"/>
    <w:rsid w:val="00B25AB3"/>
    <w:rsid w:val="00BD7993"/>
    <w:rsid w:val="00C660F8"/>
    <w:rsid w:val="00C72223"/>
    <w:rsid w:val="00C74A85"/>
    <w:rsid w:val="00CA48EE"/>
    <w:rsid w:val="00CC5543"/>
    <w:rsid w:val="00CF44B3"/>
    <w:rsid w:val="00F47B14"/>
    <w:rsid w:val="00FF33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99079"/>
  <w15:chartTrackingRefBased/>
  <w15:docId w15:val="{4D04CAE1-0124-467C-AB2A-788C0E772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11B"/>
    <w:pPr>
      <w:spacing w:before="120" w:after="120" w:line="360" w:lineRule="auto"/>
      <w:jc w:val="both"/>
    </w:pPr>
    <w:rPr>
      <w:rFonts w:ascii="Times New Roman" w:hAnsi="Times New Roman" w:cs="Arial"/>
      <w:kern w:val="0"/>
      <w:szCs w:val="22"/>
      <w:lang w:bidi="bn-IN"/>
      <w14:ligatures w14:val="none"/>
    </w:rPr>
  </w:style>
  <w:style w:type="paragraph" w:styleId="Heading1">
    <w:name w:val="heading 1"/>
    <w:basedOn w:val="Normal"/>
    <w:next w:val="Normal"/>
    <w:link w:val="Heading1Char"/>
    <w:uiPriority w:val="9"/>
    <w:qFormat/>
    <w:rsid w:val="000B0997"/>
    <w:pPr>
      <w:keepNext/>
      <w:keepLines/>
      <w:outlineLvl w:val="0"/>
    </w:pPr>
    <w:rPr>
      <w:rFonts w:eastAsiaTheme="majorEastAsia"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0B0997"/>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semiHidden/>
    <w:unhideWhenUsed/>
    <w:qFormat/>
    <w:rsid w:val="004A610E"/>
    <w:pPr>
      <w:keepNext/>
      <w:keepLines/>
      <w:spacing w:before="40" w:after="0"/>
      <w:outlineLvl w:val="2"/>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263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F2630"/>
    <w:rPr>
      <w:rFonts w:ascii="Times New Roman" w:hAnsi="Times New Roman" w:cs="Arial"/>
      <w:kern w:val="0"/>
      <w:szCs w:val="22"/>
      <w:lang w:bidi="bn-IN"/>
      <w14:ligatures w14:val="none"/>
    </w:rPr>
  </w:style>
  <w:style w:type="paragraph" w:styleId="Footer">
    <w:name w:val="footer"/>
    <w:basedOn w:val="Normal"/>
    <w:link w:val="FooterChar"/>
    <w:uiPriority w:val="99"/>
    <w:unhideWhenUsed/>
    <w:rsid w:val="000F263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F2630"/>
    <w:rPr>
      <w:rFonts w:ascii="Times New Roman" w:hAnsi="Times New Roman" w:cs="Arial"/>
      <w:kern w:val="0"/>
      <w:szCs w:val="22"/>
      <w:lang w:bidi="bn-IN"/>
      <w14:ligatures w14:val="none"/>
    </w:rPr>
  </w:style>
  <w:style w:type="character" w:customStyle="1" w:styleId="Heading1Char">
    <w:name w:val="Heading 1 Char"/>
    <w:basedOn w:val="DefaultParagraphFont"/>
    <w:link w:val="Heading1"/>
    <w:uiPriority w:val="9"/>
    <w:rsid w:val="000B0997"/>
    <w:rPr>
      <w:rFonts w:ascii="Times New Roman" w:eastAsiaTheme="majorEastAsia" w:hAnsi="Times New Roman" w:cstheme="majorBidi"/>
      <w:b/>
      <w:color w:val="2F5496" w:themeColor="accent1" w:themeShade="BF"/>
      <w:kern w:val="0"/>
      <w:sz w:val="28"/>
      <w:szCs w:val="40"/>
      <w:lang w:bidi="bn-IN"/>
      <w14:ligatures w14:val="none"/>
    </w:rPr>
  </w:style>
  <w:style w:type="character" w:customStyle="1" w:styleId="Heading2Char">
    <w:name w:val="Heading 2 Char"/>
    <w:basedOn w:val="DefaultParagraphFont"/>
    <w:link w:val="Heading2"/>
    <w:uiPriority w:val="9"/>
    <w:rsid w:val="000B0997"/>
    <w:rPr>
      <w:rFonts w:asciiTheme="majorHAnsi" w:eastAsiaTheme="majorEastAsia" w:hAnsiTheme="majorHAnsi" w:cstheme="majorBidi"/>
      <w:color w:val="2F5496" w:themeColor="accent1" w:themeShade="BF"/>
      <w:kern w:val="0"/>
      <w:sz w:val="26"/>
      <w:szCs w:val="33"/>
      <w:lang w:bidi="bn-IN"/>
      <w14:ligatures w14:val="none"/>
    </w:rPr>
  </w:style>
  <w:style w:type="paragraph" w:customStyle="1" w:styleId="pdq2pgselectionanchorcontainer">
    <w:name w:val="pdq2pg_selectionanchorcontainer"/>
    <w:basedOn w:val="Normal"/>
    <w:rsid w:val="006A08E4"/>
    <w:pPr>
      <w:spacing w:before="100" w:beforeAutospacing="1" w:after="100" w:afterAutospacing="1" w:line="240" w:lineRule="auto"/>
      <w:jc w:val="left"/>
    </w:pPr>
    <w:rPr>
      <w:rFonts w:eastAsia="Times New Roman" w:cs="Times New Roman"/>
      <w:szCs w:val="24"/>
      <w:lang w:bidi="ar-SA"/>
    </w:rPr>
  </w:style>
  <w:style w:type="character" w:styleId="Emphasis">
    <w:name w:val="Emphasis"/>
    <w:basedOn w:val="DefaultParagraphFont"/>
    <w:uiPriority w:val="20"/>
    <w:qFormat/>
    <w:rsid w:val="006A08E4"/>
    <w:rPr>
      <w:i/>
      <w:iCs/>
    </w:rPr>
  </w:style>
  <w:style w:type="character" w:styleId="Hyperlink">
    <w:name w:val="Hyperlink"/>
    <w:basedOn w:val="DefaultParagraphFont"/>
    <w:uiPriority w:val="99"/>
    <w:unhideWhenUsed/>
    <w:rsid w:val="006A08E4"/>
    <w:rPr>
      <w:color w:val="0000FF"/>
      <w:u w:val="single"/>
    </w:rPr>
  </w:style>
  <w:style w:type="paragraph" w:styleId="NormalWeb">
    <w:name w:val="Normal (Web)"/>
    <w:basedOn w:val="Normal"/>
    <w:uiPriority w:val="99"/>
    <w:semiHidden/>
    <w:unhideWhenUsed/>
    <w:rsid w:val="006A08E4"/>
    <w:pPr>
      <w:spacing w:before="100" w:beforeAutospacing="1" w:after="100" w:afterAutospacing="1" w:line="240" w:lineRule="auto"/>
      <w:jc w:val="left"/>
    </w:pPr>
    <w:rPr>
      <w:rFonts w:eastAsia="Times New Roman" w:cs="Times New Roman"/>
      <w:szCs w:val="24"/>
      <w:lang w:bidi="ar-SA"/>
    </w:rPr>
  </w:style>
  <w:style w:type="paragraph" w:styleId="TOCHeading">
    <w:name w:val="TOC Heading"/>
    <w:basedOn w:val="Heading1"/>
    <w:next w:val="Normal"/>
    <w:uiPriority w:val="39"/>
    <w:unhideWhenUsed/>
    <w:qFormat/>
    <w:rsid w:val="00904AEC"/>
    <w:pPr>
      <w:spacing w:before="240" w:after="0" w:line="259" w:lineRule="auto"/>
      <w:jc w:val="left"/>
      <w:outlineLvl w:val="9"/>
    </w:pPr>
    <w:rPr>
      <w:rFonts w:asciiTheme="majorHAnsi" w:hAnsiTheme="majorHAnsi"/>
      <w:b w:val="0"/>
      <w:sz w:val="32"/>
      <w:szCs w:val="32"/>
      <w:lang w:bidi="ar-SA"/>
    </w:rPr>
  </w:style>
  <w:style w:type="paragraph" w:styleId="TOC1">
    <w:name w:val="toc 1"/>
    <w:basedOn w:val="Normal"/>
    <w:next w:val="Normal"/>
    <w:autoRedefine/>
    <w:uiPriority w:val="39"/>
    <w:unhideWhenUsed/>
    <w:rsid w:val="00904AEC"/>
    <w:pPr>
      <w:spacing w:after="100"/>
    </w:pPr>
  </w:style>
  <w:style w:type="character" w:customStyle="1" w:styleId="Heading3Char">
    <w:name w:val="Heading 3 Char"/>
    <w:basedOn w:val="DefaultParagraphFont"/>
    <w:link w:val="Heading3"/>
    <w:uiPriority w:val="9"/>
    <w:semiHidden/>
    <w:rsid w:val="004A610E"/>
    <w:rPr>
      <w:rFonts w:asciiTheme="majorHAnsi" w:eastAsiaTheme="majorEastAsia" w:hAnsiTheme="majorHAnsi" w:cstheme="majorBidi"/>
      <w:color w:val="1F3763" w:themeColor="accent1" w:themeShade="7F"/>
      <w:kern w:val="0"/>
      <w:szCs w:val="30"/>
      <w:lang w:bidi="b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5784623">
      <w:bodyDiv w:val="1"/>
      <w:marLeft w:val="0"/>
      <w:marRight w:val="0"/>
      <w:marTop w:val="0"/>
      <w:marBottom w:val="0"/>
      <w:divBdr>
        <w:top w:val="none" w:sz="0" w:space="0" w:color="auto"/>
        <w:left w:val="none" w:sz="0" w:space="0" w:color="auto"/>
        <w:bottom w:val="none" w:sz="0" w:space="0" w:color="auto"/>
        <w:right w:val="none" w:sz="0" w:space="0" w:color="auto"/>
      </w:divBdr>
    </w:div>
    <w:div w:id="1455320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3-019-4790-x" TargetMode="External"/><Relationship Id="rId13" Type="http://schemas.openxmlformats.org/officeDocument/2006/relationships/hyperlink" Target="https://www.england.nhs.uk/2023/03/world-leading-nhs-virtual-wards-treat-100000-patients-in-a-year/?utm_source=chatgpt.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oodh/oqaf008?utm_source=chatgpt.com" TargetMode="External"/><Relationship Id="rId17" Type="http://schemas.openxmlformats.org/officeDocument/2006/relationships/hyperlink" Target="https://www.strategyunitwm.nhs.uk/news/virtual-wards-patient-and-unpaid-carer-experiences-hospital-home-care?utm_source=chatgpt.com" TargetMode="External"/><Relationship Id="rId2" Type="http://schemas.openxmlformats.org/officeDocument/2006/relationships/numbering" Target="numbering.xml"/><Relationship Id="rId16" Type="http://schemas.openxmlformats.org/officeDocument/2006/relationships/hyperlink" Target="https://doi.org/10.1186/s12916-024-03842-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75406" TargetMode="External"/><Relationship Id="rId5" Type="http://schemas.openxmlformats.org/officeDocument/2006/relationships/webSettings" Target="webSettings.xml"/><Relationship Id="rId15" Type="http://schemas.openxmlformats.org/officeDocument/2006/relationships/hyperlink" Target="https://doi.org/10.1016/j.fhj.2024.100168" TargetMode="External"/><Relationship Id="rId10" Type="http://schemas.openxmlformats.org/officeDocument/2006/relationships/hyperlink" Target="https://doi.org/10.2196/5632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ealth.org.uk/reports-and-analysis/working-papers/what-do-virtual-wards-look-like-in-england?utm_source=chatgpt.com" TargetMode="External"/><Relationship Id="rId14" Type="http://schemas.openxmlformats.org/officeDocument/2006/relationships/hyperlink" Target="https://www.england.nhs.uk/publication/virtual-wards-operational-framewor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CB66F-0B3C-46F9-88B2-FD19832C7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3073</Words>
  <Characters>17521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Mercy Asare</cp:lastModifiedBy>
  <cp:revision>2</cp:revision>
  <dcterms:created xsi:type="dcterms:W3CDTF">2026-10-13T08:07:00Z</dcterms:created>
  <dcterms:modified xsi:type="dcterms:W3CDTF">2026-10-13T08:07:00Z</dcterms:modified>
</cp:coreProperties>
</file>