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bookmarkStart w:id="21" w:name="_GoBack"/>
      <w:bookmarkEnd w:id="21"/>
    </w:p>
    <w:p>
      <w:pPr>
        <w:jc w:val="center"/>
      </w:pPr>
    </w:p>
    <w:p>
      <w:pPr>
        <w:jc w:val="center"/>
        <w:rPr>
          <w:b/>
          <w:sz w:val="32"/>
          <w:szCs w:val="32"/>
        </w:rPr>
      </w:pPr>
      <w:r>
        <w:rPr>
          <w:b/>
          <w:sz w:val="32"/>
          <w:szCs w:val="32"/>
        </w:rPr>
        <w:t>Strategic Management (LCMB7003)</w:t>
      </w:r>
    </w:p>
    <w:p>
      <w:pPr>
        <w:jc w:val="center"/>
        <w:rPr>
          <w:b/>
          <w:sz w:val="32"/>
          <w:szCs w:val="32"/>
        </w:rPr>
      </w:pPr>
      <w:r>
        <w:rPr>
          <w:b/>
          <w:sz w:val="32"/>
          <w:szCs w:val="32"/>
        </w:rPr>
        <w:t>Strategic Analysis of Apple Inc</w:t>
      </w:r>
    </w:p>
    <w:p>
      <w:pPr>
        <w:jc w:val="center"/>
      </w:pPr>
      <w:r>
        <w:rPr>
          <w:lang w:val="en-US"/>
        </w:rPr>
        <w:drawing>
          <wp:inline distT="0" distB="0" distL="0" distR="0">
            <wp:extent cx="2419350" cy="2066925"/>
            <wp:effectExtent l="137160" t="137160" r="14097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a:xfrm>
                      <a:off x="0" y="0"/>
                      <a:ext cx="2419350" cy="20669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p/>
    <w:p>
      <w:pPr>
        <w:jc w:val="center"/>
        <w:rPr>
          <w:rFonts w:hint="default"/>
          <w:b/>
          <w:bCs/>
          <w:sz w:val="28"/>
          <w:szCs w:val="28"/>
          <w:lang w:val="en-IN"/>
        </w:rPr>
      </w:pPr>
      <w:r>
        <w:rPr>
          <w:b/>
          <w:bCs/>
          <w:sz w:val="28"/>
          <w:szCs w:val="28"/>
        </w:rPr>
        <w:t>Student name:</w:t>
      </w:r>
      <w:r>
        <w:rPr>
          <w:rFonts w:hint="default"/>
          <w:b/>
          <w:bCs/>
          <w:sz w:val="28"/>
          <w:szCs w:val="28"/>
          <w:lang w:val="en-IN"/>
        </w:rPr>
        <w:t xml:space="preserve"> Riya Kulkarni</w:t>
      </w:r>
    </w:p>
    <w:p>
      <w:pPr>
        <w:jc w:val="center"/>
        <w:rPr>
          <w:rFonts w:hint="default"/>
          <w:b/>
          <w:bCs/>
          <w:sz w:val="28"/>
          <w:szCs w:val="28"/>
          <w:lang w:val="en-IN"/>
        </w:rPr>
      </w:pPr>
      <w:r>
        <w:rPr>
          <w:b/>
          <w:bCs/>
          <w:sz w:val="28"/>
          <w:szCs w:val="28"/>
        </w:rPr>
        <w:t>Student Number:</w:t>
      </w:r>
      <w:r>
        <w:rPr>
          <w:rFonts w:hint="default"/>
          <w:b/>
          <w:bCs/>
          <w:sz w:val="28"/>
          <w:szCs w:val="28"/>
          <w:lang w:val="en-IN"/>
        </w:rPr>
        <w:t xml:space="preserve"> 2211303</w:t>
      </w:r>
    </w:p>
    <w:p>
      <w:pPr>
        <w:jc w:val="center"/>
        <w:rPr>
          <w:rFonts w:hint="default"/>
          <w:b/>
          <w:bCs/>
          <w:sz w:val="28"/>
          <w:szCs w:val="28"/>
          <w:lang w:val="en-IN"/>
        </w:rPr>
      </w:pPr>
      <w:r>
        <w:rPr>
          <w:b/>
          <w:bCs/>
          <w:sz w:val="28"/>
          <w:szCs w:val="28"/>
        </w:rPr>
        <w:t>Lecturer:</w:t>
      </w:r>
      <w:r>
        <w:rPr>
          <w:rFonts w:hint="default"/>
          <w:b/>
          <w:bCs/>
          <w:sz w:val="28"/>
          <w:szCs w:val="28"/>
          <w:lang w:val="en-IN"/>
        </w:rPr>
        <w:t xml:space="preserve"> Hossein Shokri</w:t>
      </w:r>
    </w:p>
    <w:p>
      <w:pPr>
        <w:jc w:val="both"/>
      </w:pPr>
    </w:p>
    <w:p>
      <w:pPr>
        <w:jc w:val="both"/>
      </w:pPr>
    </w:p>
    <w:p>
      <w:pPr>
        <w:spacing w:line="276" w:lineRule="auto"/>
        <w:jc w:val="center"/>
      </w:pPr>
      <w:r>
        <w:br w:type="page"/>
      </w:r>
    </w:p>
    <w:sdt>
      <w:sdtPr>
        <w:rPr>
          <w:rFonts w:ascii="Times New Roman" w:hAnsi="Times New Roman" w:eastAsiaTheme="minorHAnsi" w:cstheme="minorBidi"/>
          <w:b w:val="0"/>
          <w:bCs w:val="0"/>
          <w:color w:val="auto"/>
          <w:sz w:val="24"/>
          <w:szCs w:val="22"/>
          <w:lang w:val="en-GB"/>
        </w:rPr>
        <w:id w:val="366080737"/>
        <w:docPartObj>
          <w:docPartGallery w:val="Table of Contents"/>
          <w:docPartUnique/>
        </w:docPartObj>
      </w:sdtPr>
      <w:sdtEndPr>
        <w:rPr>
          <w:rFonts w:ascii="Times New Roman" w:hAnsi="Times New Roman" w:eastAsiaTheme="minorHAnsi" w:cstheme="minorBidi"/>
          <w:b w:val="0"/>
          <w:bCs w:val="0"/>
          <w:color w:val="auto"/>
          <w:sz w:val="24"/>
          <w:szCs w:val="22"/>
          <w:lang w:val="en-GB"/>
        </w:rPr>
      </w:sdtEndPr>
      <w:sdtContent>
        <w:p>
          <w:pPr>
            <w:pStyle w:val="12"/>
            <w:spacing w:line="360" w:lineRule="auto"/>
            <w:jc w:val="center"/>
            <w:rPr>
              <w:rFonts w:ascii="Times New Roman" w:hAnsi="Times New Roman" w:cs="Times New Roman"/>
              <w:color w:val="auto"/>
            </w:rPr>
          </w:pPr>
          <w:r>
            <w:rPr>
              <w:rFonts w:ascii="Times New Roman" w:hAnsi="Times New Roman" w:cs="Times New Roman"/>
              <w:color w:val="auto"/>
            </w:rPr>
            <w:t>Table of Contents</w:t>
          </w:r>
        </w:p>
        <w:p>
          <w:pPr>
            <w:pStyle w:val="9"/>
            <w:tabs>
              <w:tab w:val="right" w:leader="dot" w:pos="9360"/>
            </w:tabs>
          </w:pPr>
          <w:r>
            <w:rPr>
              <w:rFonts w:cs="Times New Roman"/>
            </w:rPr>
            <w:fldChar w:fldCharType="begin"/>
          </w:r>
          <w:r>
            <w:rPr>
              <w:rFonts w:cs="Times New Roman"/>
            </w:rPr>
            <w:instrText xml:space="preserve"> TOC \o "1-3" \h \z \u </w:instrText>
          </w:r>
          <w:r>
            <w:rPr>
              <w:rFonts w:cs="Times New Roman"/>
            </w:rPr>
            <w:fldChar w:fldCharType="separate"/>
          </w:r>
          <w:r>
            <w:rPr>
              <w:rFonts w:cs="Times New Roman"/>
            </w:rPr>
            <w:fldChar w:fldCharType="begin"/>
          </w:r>
          <w:r>
            <w:rPr>
              <w:rFonts w:cs="Times New Roman"/>
            </w:rPr>
            <w:instrText xml:space="preserve"> HYPERLINK \l _Toc7175 </w:instrText>
          </w:r>
          <w:r>
            <w:rPr>
              <w:rFonts w:cs="Times New Roman"/>
            </w:rPr>
            <w:fldChar w:fldCharType="separate"/>
          </w:r>
          <w:r>
            <w:t>Introduction</w:t>
          </w:r>
          <w:r>
            <w:tab/>
          </w:r>
          <w:r>
            <w:fldChar w:fldCharType="begin"/>
          </w:r>
          <w:r>
            <w:instrText xml:space="preserve"> PAGEREF _Toc7175 \h </w:instrText>
          </w:r>
          <w:r>
            <w:fldChar w:fldCharType="separate"/>
          </w:r>
          <w:r>
            <w:t>2</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_Toc17013 </w:instrText>
          </w:r>
          <w:r>
            <w:rPr>
              <w:rFonts w:cs="Times New Roman"/>
            </w:rPr>
            <w:fldChar w:fldCharType="separate"/>
          </w:r>
          <w:r>
            <w:t>Company’s background</w:t>
          </w:r>
          <w:r>
            <w:tab/>
          </w:r>
          <w:r>
            <w:fldChar w:fldCharType="begin"/>
          </w:r>
          <w:r>
            <w:instrText xml:space="preserve"> PAGEREF _Toc17013 \h </w:instrText>
          </w:r>
          <w:r>
            <w:fldChar w:fldCharType="separate"/>
          </w:r>
          <w:r>
            <w:t>2</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_Toc3254 </w:instrText>
          </w:r>
          <w:r>
            <w:rPr>
              <w:rFonts w:cs="Times New Roman"/>
            </w:rPr>
            <w:fldChar w:fldCharType="separate"/>
          </w:r>
          <w:r>
            <w:t>The company’s mission and objectives:</w:t>
          </w:r>
          <w:r>
            <w:tab/>
          </w:r>
          <w:r>
            <w:fldChar w:fldCharType="begin"/>
          </w:r>
          <w:r>
            <w:instrText xml:space="preserve"> PAGEREF _Toc3254 \h </w:instrText>
          </w:r>
          <w:r>
            <w:fldChar w:fldCharType="separate"/>
          </w:r>
          <w:r>
            <w:t>3</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_Toc15556 </w:instrText>
          </w:r>
          <w:r>
            <w:rPr>
              <w:rFonts w:cs="Times New Roman"/>
            </w:rPr>
            <w:fldChar w:fldCharType="separate"/>
          </w:r>
          <w:r>
            <w:t>Macro environment analysis</w:t>
          </w:r>
          <w:r>
            <w:tab/>
          </w:r>
          <w:r>
            <w:fldChar w:fldCharType="begin"/>
          </w:r>
          <w:r>
            <w:instrText xml:space="preserve"> PAGEREF _Toc15556 \h </w:instrText>
          </w:r>
          <w:r>
            <w:fldChar w:fldCharType="separate"/>
          </w:r>
          <w:r>
            <w:t>4</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_Toc27101 </w:instrText>
          </w:r>
          <w:r>
            <w:rPr>
              <w:rFonts w:cs="Times New Roman"/>
            </w:rPr>
            <w:fldChar w:fldCharType="separate"/>
          </w:r>
          <w:r>
            <w:t>PESTEL analysis</w:t>
          </w:r>
          <w:r>
            <w:tab/>
          </w:r>
          <w:r>
            <w:fldChar w:fldCharType="begin"/>
          </w:r>
          <w:r>
            <w:instrText xml:space="preserve"> PAGEREF _Toc27101 \h </w:instrText>
          </w:r>
          <w:r>
            <w:fldChar w:fldCharType="separate"/>
          </w:r>
          <w:r>
            <w:t>4</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_Toc11701 </w:instrText>
          </w:r>
          <w:r>
            <w:rPr>
              <w:rFonts w:cs="Times New Roman"/>
            </w:rPr>
            <w:fldChar w:fldCharType="separate"/>
          </w:r>
          <w:r>
            <w:t>Micro environment analysis</w:t>
          </w:r>
          <w:r>
            <w:tab/>
          </w:r>
          <w:r>
            <w:fldChar w:fldCharType="begin"/>
          </w:r>
          <w:r>
            <w:instrText xml:space="preserve"> PAGEREF _Toc11701 \h </w:instrText>
          </w:r>
          <w:r>
            <w:fldChar w:fldCharType="separate"/>
          </w:r>
          <w:r>
            <w:t>7</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_Toc14322 </w:instrText>
          </w:r>
          <w:r>
            <w:rPr>
              <w:rFonts w:cs="Times New Roman"/>
            </w:rPr>
            <w:fldChar w:fldCharType="separate"/>
          </w:r>
          <w:r>
            <w:t>1. Industry life cycle</w:t>
          </w:r>
          <w:r>
            <w:tab/>
          </w:r>
          <w:r>
            <w:fldChar w:fldCharType="begin"/>
          </w:r>
          <w:r>
            <w:instrText xml:space="preserve"> PAGEREF _Toc14322 \h </w:instrText>
          </w:r>
          <w:r>
            <w:fldChar w:fldCharType="separate"/>
          </w:r>
          <w:r>
            <w:t>7</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_Toc12895 </w:instrText>
          </w:r>
          <w:r>
            <w:rPr>
              <w:rFonts w:cs="Times New Roman"/>
            </w:rPr>
            <w:fldChar w:fldCharType="separate"/>
          </w:r>
          <w:r>
            <w:t>Internal analysis</w:t>
          </w:r>
          <w:r>
            <w:tab/>
          </w:r>
          <w:r>
            <w:fldChar w:fldCharType="begin"/>
          </w:r>
          <w:r>
            <w:instrText xml:space="preserve"> PAGEREF _Toc12895 \h </w:instrText>
          </w:r>
          <w:r>
            <w:fldChar w:fldCharType="separate"/>
          </w:r>
          <w:r>
            <w:t>11</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_Toc26716 </w:instrText>
          </w:r>
          <w:r>
            <w:rPr>
              <w:rFonts w:cs="Times New Roman"/>
            </w:rPr>
            <w:fldChar w:fldCharType="separate"/>
          </w:r>
          <w:r>
            <w:t>Apple’s strategic resources and capabilities</w:t>
          </w:r>
          <w:r>
            <w:tab/>
          </w:r>
          <w:r>
            <w:fldChar w:fldCharType="begin"/>
          </w:r>
          <w:r>
            <w:instrText xml:space="preserve"> PAGEREF _Toc26716 \h </w:instrText>
          </w:r>
          <w:r>
            <w:fldChar w:fldCharType="separate"/>
          </w:r>
          <w:r>
            <w:t>11</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_Toc17549 </w:instrText>
          </w:r>
          <w:r>
            <w:rPr>
              <w:rFonts w:cs="Times New Roman"/>
            </w:rPr>
            <w:fldChar w:fldCharType="separate"/>
          </w:r>
          <w:r>
            <w:rPr>
              <w:rFonts w:hint="default"/>
              <w:szCs w:val="28"/>
              <w:lang w:val="en-US"/>
            </w:rPr>
            <w:t>1.</w:t>
          </w:r>
          <w:r>
            <w:rPr>
              <w:szCs w:val="28"/>
            </w:rPr>
            <w:t>Value chain analysis</w:t>
          </w:r>
          <w:r>
            <w:rPr>
              <w:rFonts w:hint="default"/>
              <w:szCs w:val="28"/>
              <w:lang w:val="en-US"/>
            </w:rPr>
            <w:t>:</w:t>
          </w:r>
          <w:r>
            <w:tab/>
          </w:r>
          <w:r>
            <w:fldChar w:fldCharType="begin"/>
          </w:r>
          <w:r>
            <w:instrText xml:space="preserve"> PAGEREF _Toc17549 \h </w:instrText>
          </w:r>
          <w:r>
            <w:fldChar w:fldCharType="separate"/>
          </w:r>
          <w:r>
            <w:t>12</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_Toc11186 </w:instrText>
          </w:r>
          <w:r>
            <w:rPr>
              <w:rFonts w:cs="Times New Roman"/>
            </w:rPr>
            <w:fldChar w:fldCharType="separate"/>
          </w:r>
          <w:r>
            <w:rPr>
              <w:rFonts w:hint="default"/>
              <w:lang w:val="en-IN"/>
            </w:rPr>
            <w:t>2.</w:t>
          </w:r>
          <w:r>
            <w:t xml:space="preserve">VRIO analysis </w:t>
          </w:r>
          <w:r>
            <w:rPr>
              <w:rFonts w:hint="default"/>
              <w:lang w:val="en-US"/>
            </w:rPr>
            <w:t>:</w:t>
          </w:r>
          <w:r>
            <w:tab/>
          </w:r>
          <w:r>
            <w:fldChar w:fldCharType="begin"/>
          </w:r>
          <w:r>
            <w:instrText xml:space="preserve"> PAGEREF _Toc11186 \h </w:instrText>
          </w:r>
          <w:r>
            <w:fldChar w:fldCharType="separate"/>
          </w:r>
          <w:r>
            <w:t>14</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_Toc24712 </w:instrText>
          </w:r>
          <w:r>
            <w:rPr>
              <w:rFonts w:cs="Times New Roman"/>
            </w:rPr>
            <w:fldChar w:fldCharType="separate"/>
          </w:r>
          <w:r>
            <w:rPr>
              <w:rFonts w:hint="default"/>
              <w:lang w:val="en-IN"/>
            </w:rPr>
            <w:t>3.</w:t>
          </w:r>
          <w:r>
            <w:t>SWOT analysis</w:t>
          </w:r>
          <w:r>
            <w:tab/>
          </w:r>
          <w:r>
            <w:fldChar w:fldCharType="begin"/>
          </w:r>
          <w:r>
            <w:instrText xml:space="preserve"> PAGEREF _Toc24712 \h </w:instrText>
          </w:r>
          <w:r>
            <w:fldChar w:fldCharType="separate"/>
          </w:r>
          <w:r>
            <w:t>16</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_Toc10981 </w:instrText>
          </w:r>
          <w:r>
            <w:rPr>
              <w:rFonts w:cs="Times New Roman"/>
            </w:rPr>
            <w:fldChar w:fldCharType="separate"/>
          </w:r>
          <w:r>
            <w:t>Strategies to sustain competitive advantage</w:t>
          </w:r>
          <w:r>
            <w:tab/>
          </w:r>
          <w:r>
            <w:fldChar w:fldCharType="begin"/>
          </w:r>
          <w:r>
            <w:instrText xml:space="preserve"> PAGEREF _Toc10981 \h </w:instrText>
          </w:r>
          <w:r>
            <w:fldChar w:fldCharType="separate"/>
          </w:r>
          <w:r>
            <w:t>18</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_Toc23076 </w:instrText>
          </w:r>
          <w:r>
            <w:rPr>
              <w:rFonts w:cs="Times New Roman"/>
            </w:rPr>
            <w:fldChar w:fldCharType="separate"/>
          </w:r>
          <w:r>
            <w:t>Growth strategies</w:t>
          </w:r>
          <w:r>
            <w:tab/>
          </w:r>
          <w:r>
            <w:fldChar w:fldCharType="begin"/>
          </w:r>
          <w:r>
            <w:instrText xml:space="preserve"> PAGEREF _Toc23076 \h </w:instrText>
          </w:r>
          <w:r>
            <w:fldChar w:fldCharType="separate"/>
          </w:r>
          <w:r>
            <w:t>19</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_Toc1682 </w:instrText>
          </w:r>
          <w:r>
            <w:rPr>
              <w:rFonts w:cs="Times New Roman"/>
            </w:rPr>
            <w:fldChar w:fldCharType="separate"/>
          </w:r>
          <w:r>
            <w:t>Green Strategy and CSR</w:t>
          </w:r>
          <w:r>
            <w:tab/>
          </w:r>
          <w:r>
            <w:fldChar w:fldCharType="begin"/>
          </w:r>
          <w:r>
            <w:instrText xml:space="preserve"> PAGEREF _Toc1682 \h </w:instrText>
          </w:r>
          <w:r>
            <w:fldChar w:fldCharType="separate"/>
          </w:r>
          <w:r>
            <w:t>21</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_Toc25403 </w:instrText>
          </w:r>
          <w:r>
            <w:rPr>
              <w:rFonts w:cs="Times New Roman"/>
            </w:rPr>
            <w:fldChar w:fldCharType="separate"/>
          </w:r>
          <w:r>
            <w:t>Conclusion</w:t>
          </w:r>
          <w:r>
            <w:tab/>
          </w:r>
          <w:r>
            <w:fldChar w:fldCharType="begin"/>
          </w:r>
          <w:r>
            <w:instrText xml:space="preserve"> PAGEREF _Toc25403 \h </w:instrText>
          </w:r>
          <w:r>
            <w:fldChar w:fldCharType="separate"/>
          </w:r>
          <w:r>
            <w:t>25</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_Toc13843 </w:instrText>
          </w:r>
          <w:r>
            <w:rPr>
              <w:rFonts w:cs="Times New Roman"/>
            </w:rPr>
            <w:fldChar w:fldCharType="separate"/>
          </w:r>
          <w:r>
            <w:t>Recommendations</w:t>
          </w:r>
          <w:r>
            <w:tab/>
          </w:r>
          <w:r>
            <w:fldChar w:fldCharType="begin"/>
          </w:r>
          <w:r>
            <w:instrText xml:space="preserve"> PAGEREF _Toc13843 \h </w:instrText>
          </w:r>
          <w:r>
            <w:fldChar w:fldCharType="separate"/>
          </w:r>
          <w:r>
            <w:t>25</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_Toc5886 </w:instrText>
          </w:r>
          <w:r>
            <w:rPr>
              <w:rFonts w:cs="Times New Roman"/>
            </w:rPr>
            <w:fldChar w:fldCharType="separate"/>
          </w:r>
          <w:r>
            <w:t>References</w:t>
          </w:r>
          <w:r>
            <w:tab/>
          </w:r>
          <w:r>
            <w:fldChar w:fldCharType="begin"/>
          </w:r>
          <w:r>
            <w:instrText xml:space="preserve"> PAGEREF _Toc5886 \h </w:instrText>
          </w:r>
          <w:r>
            <w:fldChar w:fldCharType="separate"/>
          </w:r>
          <w:r>
            <w:t>27</w:t>
          </w:r>
          <w:r>
            <w:fldChar w:fldCharType="end"/>
          </w:r>
          <w:r>
            <w:rPr>
              <w:rFonts w:cs="Times New Roman"/>
            </w:rPr>
            <w:fldChar w:fldCharType="end"/>
          </w:r>
        </w:p>
        <w:p>
          <w:pPr>
            <w:pStyle w:val="9"/>
            <w:tabs>
              <w:tab w:val="right" w:leader="dot" w:pos="9360"/>
            </w:tabs>
          </w:pPr>
          <w:r>
            <w:rPr>
              <w:rFonts w:cs="Times New Roman"/>
            </w:rPr>
            <w:fldChar w:fldCharType="begin"/>
          </w:r>
          <w:r>
            <w:rPr>
              <w:rFonts w:cs="Times New Roman"/>
            </w:rPr>
            <w:instrText xml:space="preserve"> HYPERLINK \l _Toc27669 </w:instrText>
          </w:r>
          <w:r>
            <w:rPr>
              <w:rFonts w:cs="Times New Roman"/>
            </w:rPr>
            <w:fldChar w:fldCharType="separate"/>
          </w:r>
          <w:r>
            <w:rPr>
              <w:shd w:val="clear" w:color="auto" w:fill="FFFFFF"/>
            </w:rPr>
            <w:t>Appendices</w:t>
          </w:r>
          <w:r>
            <w:tab/>
          </w:r>
          <w:r>
            <w:fldChar w:fldCharType="begin"/>
          </w:r>
          <w:r>
            <w:instrText xml:space="preserve"> PAGEREF _Toc27669 \h </w:instrText>
          </w:r>
          <w:r>
            <w:fldChar w:fldCharType="separate"/>
          </w:r>
          <w:r>
            <w:t>34</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_Toc14526 </w:instrText>
          </w:r>
          <w:r>
            <w:rPr>
              <w:rFonts w:cs="Times New Roman"/>
            </w:rPr>
            <w:fldChar w:fldCharType="separate"/>
          </w:r>
          <w:r>
            <w:rPr>
              <w:shd w:val="clear" w:color="auto" w:fill="FFFFFF"/>
            </w:rPr>
            <w:t>Appendix 1: Different layers of business environment</w:t>
          </w:r>
          <w:r>
            <w:tab/>
          </w:r>
          <w:r>
            <w:fldChar w:fldCharType="begin"/>
          </w:r>
          <w:r>
            <w:instrText xml:space="preserve"> PAGEREF _Toc14526 \h </w:instrText>
          </w:r>
          <w:r>
            <w:fldChar w:fldCharType="separate"/>
          </w:r>
          <w:r>
            <w:t>34</w:t>
          </w:r>
          <w:r>
            <w:fldChar w:fldCharType="end"/>
          </w:r>
          <w:r>
            <w:rPr>
              <w:rFonts w:cs="Times New Roman"/>
            </w:rPr>
            <w:fldChar w:fldCharType="end"/>
          </w:r>
        </w:p>
        <w:p>
          <w:pPr>
            <w:pStyle w:val="10"/>
            <w:tabs>
              <w:tab w:val="right" w:leader="dot" w:pos="9360"/>
            </w:tabs>
          </w:pPr>
          <w:r>
            <w:rPr>
              <w:rFonts w:cs="Times New Roman"/>
            </w:rPr>
            <w:fldChar w:fldCharType="begin"/>
          </w:r>
          <w:r>
            <w:rPr>
              <w:rFonts w:cs="Times New Roman"/>
            </w:rPr>
            <w:instrText xml:space="preserve"> HYPERLINK \l _Toc5290 </w:instrText>
          </w:r>
          <w:r>
            <w:rPr>
              <w:rFonts w:cs="Times New Roman"/>
            </w:rPr>
            <w:fldChar w:fldCharType="separate"/>
          </w:r>
          <w:r>
            <w:rPr>
              <w:shd w:val="clear" w:color="auto" w:fill="FFFFFF"/>
            </w:rPr>
            <w:t>Appendix 2: Net income of Apple</w:t>
          </w:r>
          <w:r>
            <w:tab/>
          </w:r>
          <w:r>
            <w:fldChar w:fldCharType="begin"/>
          </w:r>
          <w:r>
            <w:instrText xml:space="preserve"> PAGEREF _Toc5290 \h </w:instrText>
          </w:r>
          <w:r>
            <w:fldChar w:fldCharType="separate"/>
          </w:r>
          <w:r>
            <w:t>35</w:t>
          </w:r>
          <w:r>
            <w:fldChar w:fldCharType="end"/>
          </w:r>
          <w:r>
            <w:rPr>
              <w:rFonts w:cs="Times New Roman"/>
            </w:rPr>
            <w:fldChar w:fldCharType="end"/>
          </w:r>
        </w:p>
        <w:p>
          <w:r>
            <w:rPr>
              <w:rFonts w:cs="Times New Roman"/>
            </w:rPr>
            <w:fldChar w:fldCharType="end"/>
          </w:r>
        </w:p>
      </w:sdtContent>
    </w:sdt>
    <w:p>
      <w:pPr>
        <w:pStyle w:val="2"/>
      </w:pPr>
      <w:bookmarkStart w:id="0" w:name="_Toc7175"/>
      <w:r>
        <w:t>Introduction</w:t>
      </w:r>
      <w:bookmarkEnd w:id="0"/>
      <w:r>
        <w:t xml:space="preserve"> </w:t>
      </w:r>
    </w:p>
    <w:p>
      <w:pPr>
        <w:rPr>
          <w:rFonts w:hint="default"/>
          <w:lang w:val="en-IN"/>
        </w:rPr>
      </w:pPr>
      <w:r>
        <w:t xml:space="preserve">This report aims to conduct a strategic evaluation of Apple Inc in accordance with the supplied case study. Its focus will rest on core issues that the company has addressed by employing pertinent strategies associated with strategic management. Strategic management is understood as the evaluation, explication and prevalent planning and monitoring of all business-related needs in pursuit of fulfilling its objectives and goals. The report will also </w:t>
      </w:r>
      <w:r>
        <w:rPr>
          <w:rFonts w:hint="default"/>
          <w:lang w:val="en-IN"/>
        </w:rPr>
        <w:t xml:space="preserve">explain </w:t>
      </w:r>
      <w:r>
        <w:t>how Apple has managed to assess emerging challenges and adopted relevant strategies to ensure a sustainable edge in competition. The discussion of the report will cover a brief background about Apple, micro and macro environment assessment of the company, value chain analysis, competitive strategies, growth tactics, CSR strategy and plausible suggestions for further improvement of the company in the realm of strategic management</w:t>
      </w:r>
      <w:r>
        <w:rPr>
          <w:rFonts w:hint="default"/>
          <w:lang w:val="en-IN"/>
        </w:rPr>
        <w:t>.</w:t>
      </w:r>
    </w:p>
    <w:p>
      <w:pPr>
        <w:pStyle w:val="2"/>
      </w:pPr>
      <w:bookmarkStart w:id="1" w:name="_Toc17013"/>
      <w:r>
        <w:t>Company’s background</w:t>
      </w:r>
      <w:bookmarkEnd w:id="1"/>
      <w:r>
        <w:t xml:space="preserve"> </w:t>
      </w:r>
    </w:p>
    <w:p>
      <w:r>
        <w:t xml:space="preserve">Apple Inc is a US-based multinational technology company that was founded in 1976 (Apple, 2023). During the earlier days, the company's concentration was consolidated on personal computing devices embedded with a graphical interface. In the bygone days, the company has also centred its attention on consumer electric products, including mobile phones, notebooks, and digital music players. The predominant product range of Apple encompasses Mac, AirPods, iPad, iPhone, Watch, TV and other home appliances and so on (Apple-products, 2023). As reported by Statista (2022), as of 2022, the total number of full-time or equivalent employees of Apple Inc was 164 thousand. During its 47 years of operation, the company has managed to grab exponential consumer attention by offering high-quality products embedded with ground-breaking technology. As reported by Statista (2023), the reported global net income of Apple crossed 30bn USD in the year 2023. The net income figure of the company has witnessed massive growth in the last decade. As reported by Apple-News Room (2023), Apple runs 522 stores located in 25 nations across the globe. </w:t>
      </w:r>
    </w:p>
    <w:p>
      <w:r>
        <w:rPr>
          <w:lang w:val="en-US"/>
        </w:rPr>
        <w:drawing>
          <wp:inline distT="0" distB="0" distL="0" distR="0">
            <wp:extent cx="5514975" cy="3238500"/>
            <wp:effectExtent l="53975" t="38735" r="115570" b="1212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a:stretch>
                      <a:fillRect/>
                    </a:stretch>
                  </pic:blipFill>
                  <pic:spPr>
                    <a:xfrm>
                      <a:off x="0" y="0"/>
                      <a:ext cx="5514975" cy="32385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Figure 1: Global net income of Apple (2020-2023)</w:t>
      </w:r>
    </w:p>
    <w:p>
      <w:pPr>
        <w:jc w:val="center"/>
      </w:pPr>
      <w:r>
        <w:t>(Source: Statista, 2023)</w:t>
      </w:r>
    </w:p>
    <w:p>
      <w:pPr>
        <w:pStyle w:val="3"/>
      </w:pPr>
      <w:bookmarkStart w:id="2" w:name="_Toc3254"/>
      <w:r>
        <w:t>The company’s mission and objectives:</w:t>
      </w:r>
      <w:bookmarkEnd w:id="2"/>
    </w:p>
    <w:p>
      <w:r>
        <w:t xml:space="preserve">Apple’s mission is to offer the best possible hardware experience to consumers with the assistance of innovative software, hardware and allied services (Apple, 2023).  </w:t>
      </w:r>
    </w:p>
    <w:p>
      <w:r>
        <w:t xml:space="preserve">The key objectives of Apple Inc are: </w:t>
      </w:r>
    </w:p>
    <w:p>
      <w:pPr>
        <w:pStyle w:val="13"/>
        <w:numPr>
          <w:ilvl w:val="0"/>
          <w:numId w:val="1"/>
        </w:numPr>
      </w:pPr>
      <w:r>
        <w:t xml:space="preserve">To innovate and develop a groundbreaking product to enrich the lives of the people (Apple, 2023). </w:t>
      </w:r>
    </w:p>
    <w:p>
      <w:pPr>
        <w:pStyle w:val="13"/>
        <w:numPr>
          <w:ilvl w:val="0"/>
          <w:numId w:val="1"/>
        </w:numPr>
      </w:pPr>
      <w:r>
        <w:t xml:space="preserve">To provide cutting-edge personal computing experience to professionals, students and educators </w:t>
      </w:r>
    </w:p>
    <w:p>
      <w:pPr>
        <w:pStyle w:val="13"/>
        <w:numPr>
          <w:ilvl w:val="0"/>
          <w:numId w:val="1"/>
        </w:numPr>
      </w:pPr>
      <w:r>
        <w:t xml:space="preserve">To accelerate sales and profit margin </w:t>
      </w:r>
    </w:p>
    <w:p/>
    <w:p/>
    <w:p/>
    <w:p>
      <w:pPr>
        <w:pStyle w:val="2"/>
        <w:rPr>
          <w:rFonts w:hint="default"/>
          <w:lang w:val="en-IN"/>
        </w:rPr>
      </w:pPr>
      <w:bookmarkStart w:id="3" w:name="_Toc15556"/>
      <w:r>
        <w:rPr>
          <w:u w:val="single"/>
        </w:rPr>
        <w:t>Macro environment analysis</w:t>
      </w:r>
      <w:bookmarkEnd w:id="3"/>
      <w:r>
        <w:t xml:space="preserve"> </w:t>
      </w:r>
    </w:p>
    <w:p>
      <w:r>
        <w:t xml:space="preserve"> </w:t>
      </w:r>
      <w:r>
        <w:rPr>
          <w:rFonts w:hint="default"/>
          <w:lang w:val="en-IN"/>
        </w:rPr>
        <w:t>T</w:t>
      </w:r>
      <w:r>
        <w:t xml:space="preserve">he macro environment suggests such external elements that considerably exert effectuation on strategies, business success and finally the decision-making aspect of a company. In order to investigate key macro trends, a PESTEL analysis is conducted below supported by pertinent facts and figures. </w:t>
      </w:r>
    </w:p>
    <w:p>
      <w:pPr>
        <w:pStyle w:val="3"/>
        <w:rPr>
          <w:rFonts w:cs="Times New Roman"/>
        </w:rPr>
      </w:pPr>
      <w:bookmarkStart w:id="4" w:name="_Toc27101"/>
      <w:r>
        <w:t>PESTEL analysis</w:t>
      </w:r>
      <w:bookmarkEnd w:id="4"/>
    </w:p>
    <w:tbl>
      <w:tblPr>
        <w:tblStyle w:val="5"/>
        <w:tblW w:w="0" w:type="auto"/>
        <w:tblInd w:w="191" w:type="dxa"/>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Layout w:type="fixed"/>
        <w:tblCellMar>
          <w:top w:w="0" w:type="dxa"/>
          <w:left w:w="0" w:type="dxa"/>
          <w:bottom w:w="0" w:type="dxa"/>
          <w:right w:w="0" w:type="dxa"/>
        </w:tblCellMar>
      </w:tblPr>
      <w:tblGrid>
        <w:gridCol w:w="503"/>
        <w:gridCol w:w="509"/>
        <w:gridCol w:w="8183"/>
      </w:tblGrid>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010" w:hRule="atLeast"/>
        </w:trPr>
        <w:tc>
          <w:tcPr>
            <w:tcW w:w="1012" w:type="dxa"/>
            <w:gridSpan w:val="2"/>
            <w:tcBorders>
              <w:right w:val="double" w:color="5B9BD4" w:sz="0" w:space="0"/>
            </w:tcBorders>
            <w:shd w:val="clear" w:color="auto" w:fill="FFD966"/>
            <w:textDirection w:val="btLr"/>
          </w:tcPr>
          <w:p>
            <w:pPr>
              <w:pStyle w:val="14"/>
              <w:spacing w:before="210" w:line="264" w:lineRule="auto"/>
              <w:ind w:left="91" w:right="11" w:hanging="60"/>
              <w:rPr>
                <w:rFonts w:ascii="Times New Roman" w:hAnsi="Times New Roman" w:cs="Times New Roman"/>
                <w:b/>
                <w:sz w:val="24"/>
                <w:szCs w:val="24"/>
                <w:lang w:val="en-GB"/>
              </w:rPr>
            </w:pPr>
            <w:r>
              <w:rPr>
                <w:rFonts w:ascii="Times New Roman" w:hAnsi="Times New Roman" w:cs="Times New Roman"/>
                <w:b/>
                <w:sz w:val="24"/>
                <w:szCs w:val="24"/>
                <w:lang w:val="en-GB"/>
              </w:rPr>
              <w:t>External Drivers</w:t>
            </w:r>
          </w:p>
        </w:tc>
        <w:tc>
          <w:tcPr>
            <w:tcW w:w="8183" w:type="dxa"/>
            <w:tcBorders>
              <w:left w:val="double" w:color="5B9BD4" w:sz="0" w:space="0"/>
              <w:right w:val="double" w:color="5B9BD4" w:sz="0" w:space="0"/>
            </w:tcBorders>
            <w:shd w:val="clear" w:color="auto" w:fill="FFD966"/>
          </w:tcPr>
          <w:p>
            <w:pPr>
              <w:pStyle w:val="14"/>
              <w:ind w:left="603" w:firstLine="0"/>
              <w:rPr>
                <w:rFonts w:ascii="Times New Roman" w:hAnsi="Times New Roman" w:cs="Times New Roman"/>
                <w:sz w:val="24"/>
                <w:szCs w:val="24"/>
                <w:lang w:val="en-GB"/>
              </w:rPr>
            </w:pP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019" w:hRule="atLeast"/>
        </w:trPr>
        <w:tc>
          <w:tcPr>
            <w:tcW w:w="503" w:type="dxa"/>
            <w:vMerge w:val="restart"/>
            <w:tcBorders>
              <w:bottom w:val="double" w:color="5B9BD4" w:sz="0" w:space="0"/>
              <w:right w:val="double" w:color="5B9BD4" w:sz="0" w:space="0"/>
            </w:tcBorders>
            <w:shd w:val="clear" w:color="auto" w:fill="00AFEF"/>
            <w:textDirection w:val="btLr"/>
          </w:tcPr>
          <w:p>
            <w:pPr>
              <w:pStyle w:val="14"/>
              <w:spacing w:before="107"/>
              <w:ind w:left="676" w:firstLine="0"/>
              <w:rPr>
                <w:rFonts w:ascii="Times New Roman" w:hAnsi="Times New Roman" w:cs="Times New Roman"/>
                <w:sz w:val="24"/>
                <w:szCs w:val="24"/>
                <w:lang w:val="en-GB"/>
              </w:rPr>
            </w:pPr>
            <w:r>
              <w:rPr>
                <w:rFonts w:ascii="Times New Roman" w:hAnsi="Times New Roman" w:cs="Times New Roman"/>
                <w:sz w:val="24"/>
                <w:szCs w:val="24"/>
                <w:lang w:val="en-GB"/>
              </w:rPr>
              <w:t>Political</w:t>
            </w:r>
          </w:p>
        </w:tc>
        <w:tc>
          <w:tcPr>
            <w:tcW w:w="509" w:type="dxa"/>
            <w:tcBorders>
              <w:left w:val="double" w:color="5B9BD4" w:sz="0" w:space="0"/>
              <w:bottom w:val="double" w:color="5B9BD4" w:sz="0" w:space="0"/>
              <w:right w:val="double" w:color="5B9BD4" w:sz="0" w:space="0"/>
            </w:tcBorders>
            <w:shd w:val="clear" w:color="auto" w:fill="00CC00"/>
            <w:textDirection w:val="btLr"/>
          </w:tcPr>
          <w:p>
            <w:pPr>
              <w:pStyle w:val="14"/>
              <w:spacing w:before="118"/>
              <w:ind w:left="88" w:firstLine="0"/>
              <w:rPr>
                <w:rFonts w:ascii="Times New Roman" w:hAnsi="Times New Roman" w:cs="Times New Roman"/>
                <w:sz w:val="24"/>
                <w:szCs w:val="24"/>
                <w:lang w:val="en-GB"/>
              </w:rPr>
            </w:pPr>
            <w:r>
              <w:rPr>
                <w:rFonts w:ascii="Times New Roman" w:hAnsi="Times New Roman" w:cs="Times New Roman"/>
                <w:sz w:val="24"/>
                <w:szCs w:val="24"/>
                <w:lang w:val="en-GB"/>
              </w:rPr>
              <w:t>Positive</w:t>
            </w:r>
          </w:p>
        </w:tc>
        <w:tc>
          <w:tcPr>
            <w:tcW w:w="8183" w:type="dxa"/>
            <w:tcBorders>
              <w:left w:val="double" w:color="5B9BD4" w:sz="0" w:space="0"/>
              <w:bottom w:val="double" w:color="5B9BD4" w:sz="0" w:space="0"/>
              <w:right w:val="double" w:color="5B9BD4" w:sz="0" w:space="0"/>
            </w:tcBorders>
          </w:tcPr>
          <w:p>
            <w:pPr>
              <w:pStyle w:val="14"/>
              <w:spacing w:before="10"/>
              <w:ind w:left="0" w:firstLine="0"/>
              <w:rPr>
                <w:rFonts w:ascii="Times New Roman" w:hAnsi="Times New Roman" w:cs="Times New Roman"/>
                <w:b/>
                <w:sz w:val="24"/>
                <w:szCs w:val="24"/>
                <w:lang w:val="en-GB"/>
              </w:rPr>
            </w:pPr>
          </w:p>
          <w:p>
            <w:pPr>
              <w:pStyle w:val="14"/>
              <w:numPr>
                <w:ilvl w:val="0"/>
                <w:numId w:val="2"/>
              </w:numPr>
              <w:tabs>
                <w:tab w:val="left" w:pos="748"/>
                <w:tab w:val="left" w:pos="749"/>
              </w:tabs>
              <w:ind w:hanging="361"/>
              <w:rPr>
                <w:rFonts w:ascii="Times New Roman" w:hAnsi="Times New Roman" w:cs="Times New Roman"/>
                <w:sz w:val="24"/>
                <w:szCs w:val="24"/>
                <w:lang w:val="en-GB"/>
              </w:rPr>
            </w:pPr>
            <w:r>
              <w:rPr>
                <w:rFonts w:ascii="Times New Roman" w:hAnsi="Times New Roman" w:cs="Times New Roman"/>
                <w:sz w:val="24"/>
                <w:szCs w:val="24"/>
                <w:lang w:val="en-GB"/>
              </w:rPr>
              <w:t>Enormous support from the government of its home and host country (</w:t>
            </w:r>
            <w:r>
              <w:rPr>
                <w:rFonts w:ascii="Times New Roman" w:hAnsi="Times New Roman" w:cs="Times New Roman"/>
                <w:iCs/>
                <w:sz w:val="24"/>
                <w:szCs w:val="24"/>
              </w:rPr>
              <w:t>Marketline</w:t>
            </w:r>
            <w:r>
              <w:rPr>
                <w:rFonts w:ascii="Times New Roman" w:hAnsi="Times New Roman" w:cs="Times New Roman"/>
                <w:sz w:val="24"/>
                <w:szCs w:val="24"/>
              </w:rPr>
              <w:t>--</w:t>
            </w:r>
            <w:r>
              <w:rPr>
                <w:rFonts w:ascii="Times New Roman" w:hAnsi="Times New Roman" w:cs="Times New Roman"/>
                <w:iCs/>
                <w:sz w:val="24"/>
                <w:szCs w:val="24"/>
              </w:rPr>
              <w:t>Apple Inc, 2020)</w:t>
            </w:r>
          </w:p>
          <w:p>
            <w:pPr>
              <w:pStyle w:val="14"/>
              <w:numPr>
                <w:ilvl w:val="0"/>
                <w:numId w:val="2"/>
              </w:numPr>
              <w:tabs>
                <w:tab w:val="left" w:pos="748"/>
                <w:tab w:val="left" w:pos="749"/>
              </w:tabs>
              <w:ind w:hanging="361"/>
              <w:rPr>
                <w:rFonts w:ascii="Times New Roman" w:hAnsi="Times New Roman" w:cs="Times New Roman"/>
                <w:sz w:val="24"/>
                <w:szCs w:val="24"/>
                <w:lang w:val="en-GB"/>
              </w:rPr>
            </w:pPr>
            <w:r>
              <w:rPr>
                <w:rFonts w:ascii="Times New Roman" w:hAnsi="Times New Roman" w:cs="Times New Roman"/>
                <w:sz w:val="24"/>
                <w:szCs w:val="24"/>
                <w:lang w:val="en-GB"/>
              </w:rPr>
              <w:t xml:space="preserve">Trade agreements of the US with multiple countries </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134" w:hRule="atLeast"/>
        </w:trPr>
        <w:tc>
          <w:tcPr>
            <w:tcW w:w="503" w:type="dxa"/>
            <w:vMerge w:val="continue"/>
            <w:tcBorders>
              <w:top w:val="nil"/>
              <w:bottom w:val="double" w:color="5B9BD4" w:sz="0" w:space="0"/>
              <w:right w:val="double" w:color="5B9BD4" w:sz="0" w:space="0"/>
            </w:tcBorders>
            <w:shd w:val="clear" w:color="auto" w:fill="00AFEF"/>
            <w:textDirection w:val="btLr"/>
          </w:tcPr>
          <w:p>
            <w:pPr>
              <w:rPr>
                <w:rFonts w:cs="Times New Roman"/>
                <w:szCs w:val="24"/>
              </w:rPr>
            </w:pPr>
          </w:p>
        </w:tc>
        <w:tc>
          <w:tcPr>
            <w:tcW w:w="509" w:type="dxa"/>
            <w:tcBorders>
              <w:top w:val="double" w:color="5B9BD4" w:sz="0" w:space="0"/>
              <w:left w:val="double" w:color="5B9BD4" w:sz="0" w:space="0"/>
              <w:bottom w:val="double" w:color="5B9BD4" w:sz="0" w:space="0"/>
              <w:right w:val="double" w:color="5B9BD4" w:sz="0" w:space="0"/>
            </w:tcBorders>
            <w:shd w:val="clear" w:color="auto" w:fill="FF3300"/>
            <w:textDirection w:val="btLr"/>
          </w:tcPr>
          <w:p>
            <w:pPr>
              <w:pStyle w:val="14"/>
              <w:spacing w:before="118"/>
              <w:ind w:left="90" w:firstLine="0"/>
              <w:rPr>
                <w:rFonts w:ascii="Times New Roman" w:hAnsi="Times New Roman" w:cs="Times New Roman"/>
                <w:sz w:val="24"/>
                <w:szCs w:val="24"/>
                <w:lang w:val="en-GB"/>
              </w:rPr>
            </w:pPr>
            <w:r>
              <w:rPr>
                <w:rFonts w:ascii="Times New Roman" w:hAnsi="Times New Roman" w:cs="Times New Roman"/>
                <w:sz w:val="24"/>
                <w:szCs w:val="24"/>
                <w:lang w:val="en-GB"/>
              </w:rPr>
              <w:t>Negative</w:t>
            </w:r>
          </w:p>
        </w:tc>
        <w:tc>
          <w:tcPr>
            <w:tcW w:w="8183" w:type="dxa"/>
            <w:tcBorders>
              <w:top w:val="double" w:color="5B9BD4" w:sz="0" w:space="0"/>
              <w:left w:val="double" w:color="5B9BD4" w:sz="0" w:space="0"/>
              <w:bottom w:val="double" w:color="5B9BD4" w:sz="0" w:space="0"/>
              <w:right w:val="double" w:color="5B9BD4" w:sz="0" w:space="0"/>
            </w:tcBorders>
          </w:tcPr>
          <w:p>
            <w:pPr>
              <w:pStyle w:val="14"/>
              <w:tabs>
                <w:tab w:val="left" w:pos="748"/>
                <w:tab w:val="left" w:pos="749"/>
              </w:tabs>
              <w:spacing w:before="20"/>
              <w:ind w:firstLine="0"/>
              <w:rPr>
                <w:rFonts w:ascii="Times New Roman" w:hAnsi="Times New Roman" w:cs="Times New Roman"/>
                <w:sz w:val="24"/>
                <w:szCs w:val="24"/>
                <w:lang w:val="en-GB"/>
              </w:rPr>
            </w:pPr>
          </w:p>
          <w:p>
            <w:pPr>
              <w:pStyle w:val="14"/>
              <w:numPr>
                <w:ilvl w:val="0"/>
                <w:numId w:val="3"/>
              </w:numPr>
              <w:tabs>
                <w:tab w:val="left" w:pos="748"/>
                <w:tab w:val="left" w:pos="749"/>
              </w:tabs>
              <w:spacing w:before="20"/>
              <w:ind w:hanging="361"/>
              <w:rPr>
                <w:rFonts w:ascii="Times New Roman" w:hAnsi="Times New Roman" w:cs="Times New Roman"/>
                <w:sz w:val="24"/>
                <w:szCs w:val="24"/>
                <w:lang w:val="en-GB"/>
              </w:rPr>
            </w:pPr>
            <w:r>
              <w:rPr>
                <w:rFonts w:ascii="Times New Roman" w:hAnsi="Times New Roman" w:cs="Times New Roman"/>
                <w:sz w:val="24"/>
                <w:szCs w:val="24"/>
                <w:lang w:val="en-GB"/>
              </w:rPr>
              <w:t>Exponential threats owing to the intensification of the US-China Trade War</w:t>
            </w:r>
          </w:p>
          <w:p>
            <w:pPr>
              <w:pStyle w:val="14"/>
              <w:numPr>
                <w:ilvl w:val="0"/>
                <w:numId w:val="3"/>
              </w:numPr>
              <w:tabs>
                <w:tab w:val="left" w:pos="748"/>
                <w:tab w:val="left" w:pos="749"/>
              </w:tabs>
              <w:spacing w:before="20"/>
              <w:ind w:hanging="361"/>
              <w:rPr>
                <w:rFonts w:ascii="Times New Roman" w:hAnsi="Times New Roman" w:cs="Times New Roman"/>
                <w:sz w:val="24"/>
                <w:szCs w:val="24"/>
                <w:lang w:val="en-GB"/>
              </w:rPr>
            </w:pPr>
            <w:r>
              <w:rPr>
                <w:rFonts w:ascii="Times New Roman" w:hAnsi="Times New Roman" w:cs="Times New Roman"/>
                <w:sz w:val="24"/>
                <w:szCs w:val="24"/>
                <w:lang w:val="en-GB"/>
              </w:rPr>
              <w:t>Dependence on its manufacturing facilities located in China (</w:t>
            </w:r>
            <w:r>
              <w:rPr>
                <w:rFonts w:ascii="Times New Roman" w:hAnsi="Times New Roman" w:cs="Times New Roman"/>
                <w:sz w:val="24"/>
                <w:szCs w:val="24"/>
              </w:rPr>
              <w:t>The Guardian, 2023)</w:t>
            </w:r>
          </w:p>
          <w:p>
            <w:pPr>
              <w:pStyle w:val="14"/>
              <w:numPr>
                <w:ilvl w:val="0"/>
                <w:numId w:val="3"/>
              </w:numPr>
              <w:tabs>
                <w:tab w:val="left" w:pos="748"/>
                <w:tab w:val="left" w:pos="749"/>
              </w:tabs>
              <w:spacing w:before="20"/>
              <w:ind w:hanging="361"/>
              <w:rPr>
                <w:rFonts w:ascii="Times New Roman" w:hAnsi="Times New Roman" w:cs="Times New Roman"/>
                <w:sz w:val="24"/>
                <w:szCs w:val="24"/>
                <w:lang w:val="en-GB"/>
              </w:rPr>
            </w:pPr>
            <w:r>
              <w:rPr>
                <w:rFonts w:ascii="Times New Roman" w:hAnsi="Times New Roman" w:cs="Times New Roman"/>
                <w:sz w:val="24"/>
                <w:szCs w:val="24"/>
                <w:lang w:val="en-GB"/>
              </w:rPr>
              <w:t>Modification of the corporate tax rate in the US</w:t>
            </w:r>
          </w:p>
          <w:p>
            <w:pPr>
              <w:pStyle w:val="14"/>
              <w:tabs>
                <w:tab w:val="left" w:pos="748"/>
                <w:tab w:val="left" w:pos="749"/>
              </w:tabs>
              <w:spacing w:before="20"/>
              <w:ind w:firstLine="0"/>
              <w:rPr>
                <w:rFonts w:ascii="Times New Roman" w:hAnsi="Times New Roman" w:cs="Times New Roman"/>
                <w:sz w:val="24"/>
                <w:szCs w:val="24"/>
                <w:lang w:val="en-GB"/>
              </w:rPr>
            </w:pP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637" w:hRule="atLeast"/>
        </w:trPr>
        <w:tc>
          <w:tcPr>
            <w:tcW w:w="503" w:type="dxa"/>
            <w:vMerge w:val="restart"/>
            <w:tcBorders>
              <w:top w:val="double" w:color="5B9BD4" w:sz="0" w:space="0"/>
              <w:bottom w:val="double" w:color="5B9BD4" w:sz="0" w:space="0"/>
              <w:right w:val="double" w:color="5B9BD4" w:sz="0" w:space="0"/>
            </w:tcBorders>
            <w:shd w:val="clear" w:color="auto" w:fill="FFFF00"/>
            <w:textDirection w:val="btLr"/>
          </w:tcPr>
          <w:p>
            <w:pPr>
              <w:pStyle w:val="14"/>
              <w:spacing w:before="107"/>
              <w:ind w:left="1105" w:right="1105" w:firstLine="0"/>
              <w:jc w:val="center"/>
              <w:rPr>
                <w:rFonts w:ascii="Times New Roman" w:hAnsi="Times New Roman" w:cs="Times New Roman"/>
                <w:sz w:val="24"/>
                <w:szCs w:val="24"/>
                <w:lang w:val="en-GB"/>
              </w:rPr>
            </w:pPr>
            <w:r>
              <w:rPr>
                <w:rFonts w:ascii="Times New Roman" w:hAnsi="Times New Roman" w:cs="Times New Roman"/>
                <w:sz w:val="24"/>
                <w:szCs w:val="24"/>
                <w:lang w:val="en-GB"/>
              </w:rPr>
              <w:t>Economic</w:t>
            </w:r>
          </w:p>
        </w:tc>
        <w:tc>
          <w:tcPr>
            <w:tcW w:w="509" w:type="dxa"/>
            <w:tcBorders>
              <w:top w:val="double" w:color="5B9BD4" w:sz="0" w:space="0"/>
              <w:left w:val="double" w:color="5B9BD4" w:sz="0" w:space="0"/>
              <w:bottom w:val="double" w:color="5B9BD4" w:sz="0" w:space="0"/>
              <w:right w:val="double" w:color="5B9BD4" w:sz="0" w:space="0"/>
            </w:tcBorders>
            <w:shd w:val="clear" w:color="auto" w:fill="00CC00"/>
            <w:textDirection w:val="btLr"/>
          </w:tcPr>
          <w:p>
            <w:pPr>
              <w:pStyle w:val="14"/>
              <w:spacing w:before="118"/>
              <w:ind w:left="397" w:firstLine="0"/>
              <w:rPr>
                <w:rFonts w:ascii="Times New Roman" w:hAnsi="Times New Roman" w:cs="Times New Roman"/>
                <w:sz w:val="24"/>
                <w:szCs w:val="24"/>
                <w:lang w:val="en-GB"/>
              </w:rPr>
            </w:pPr>
            <w:r>
              <w:rPr>
                <w:rFonts w:ascii="Times New Roman" w:hAnsi="Times New Roman" w:cs="Times New Roman"/>
                <w:sz w:val="24"/>
                <w:szCs w:val="24"/>
                <w:lang w:val="en-GB"/>
              </w:rPr>
              <w:t>Positive</w:t>
            </w:r>
          </w:p>
        </w:tc>
        <w:tc>
          <w:tcPr>
            <w:tcW w:w="8183" w:type="dxa"/>
            <w:tcBorders>
              <w:top w:val="double" w:color="5B9BD4" w:sz="0" w:space="0"/>
              <w:left w:val="double" w:color="5B9BD4" w:sz="0" w:space="0"/>
              <w:bottom w:val="double" w:color="5B9BD4" w:sz="0" w:space="0"/>
              <w:right w:val="double" w:color="5B9BD4" w:sz="0" w:space="0"/>
            </w:tcBorders>
          </w:tcPr>
          <w:p>
            <w:pPr>
              <w:pStyle w:val="14"/>
              <w:tabs>
                <w:tab w:val="left" w:pos="748"/>
                <w:tab w:val="left" w:pos="749"/>
              </w:tabs>
              <w:spacing w:before="4" w:line="270" w:lineRule="atLeast"/>
              <w:ind w:right="-29" w:firstLine="0"/>
              <w:rPr>
                <w:rFonts w:ascii="Times New Roman" w:hAnsi="Times New Roman" w:cs="Times New Roman"/>
                <w:sz w:val="24"/>
                <w:szCs w:val="24"/>
                <w:lang w:val="en-GB"/>
              </w:rPr>
            </w:pPr>
          </w:p>
          <w:p>
            <w:pPr>
              <w:pStyle w:val="14"/>
              <w:numPr>
                <w:ilvl w:val="0"/>
                <w:numId w:val="4"/>
              </w:numPr>
              <w:tabs>
                <w:tab w:val="left" w:pos="748"/>
                <w:tab w:val="left" w:pos="749"/>
              </w:tabs>
              <w:spacing w:before="4" w:line="270" w:lineRule="atLeast"/>
              <w:ind w:right="-29"/>
              <w:rPr>
                <w:rFonts w:ascii="Times New Roman" w:hAnsi="Times New Roman" w:cs="Times New Roman"/>
                <w:sz w:val="24"/>
                <w:szCs w:val="24"/>
                <w:lang w:val="en-GB"/>
              </w:rPr>
            </w:pPr>
            <w:r>
              <w:rPr>
                <w:rFonts w:ascii="Times New Roman" w:hAnsi="Times New Roman" w:cs="Times New Roman"/>
                <w:sz w:val="24"/>
                <w:szCs w:val="24"/>
                <w:lang w:val="en-GB"/>
              </w:rPr>
              <w:t xml:space="preserve">Stability in the US Economy </w:t>
            </w:r>
          </w:p>
          <w:p>
            <w:pPr>
              <w:pStyle w:val="14"/>
              <w:numPr>
                <w:ilvl w:val="0"/>
                <w:numId w:val="4"/>
              </w:numPr>
              <w:tabs>
                <w:tab w:val="left" w:pos="748"/>
                <w:tab w:val="left" w:pos="749"/>
              </w:tabs>
              <w:spacing w:before="4" w:line="270" w:lineRule="atLeast"/>
              <w:ind w:right="-29"/>
              <w:rPr>
                <w:rFonts w:ascii="Times New Roman" w:hAnsi="Times New Roman" w:cs="Times New Roman"/>
                <w:sz w:val="24"/>
                <w:szCs w:val="24"/>
                <w:lang w:val="en-GB"/>
              </w:rPr>
            </w:pPr>
            <w:r>
              <w:rPr>
                <w:rFonts w:ascii="Times New Roman" w:hAnsi="Times New Roman" w:cs="Times New Roman"/>
                <w:sz w:val="24"/>
                <w:szCs w:val="24"/>
                <w:lang w:val="en-GB"/>
              </w:rPr>
              <w:t>Rapid economic growth in developing countries (</w:t>
            </w:r>
            <w:r>
              <w:rPr>
                <w:rFonts w:ascii="Times New Roman" w:hAnsi="Times New Roman" w:cs="Times New Roman"/>
                <w:sz w:val="24"/>
                <w:szCs w:val="24"/>
              </w:rPr>
              <w:t>Wall Street Journal, 2022)</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638" w:hRule="atLeast"/>
        </w:trPr>
        <w:tc>
          <w:tcPr>
            <w:tcW w:w="503" w:type="dxa"/>
            <w:vMerge w:val="continue"/>
            <w:tcBorders>
              <w:top w:val="nil"/>
              <w:bottom w:val="double" w:color="5B9BD4" w:sz="0" w:space="0"/>
              <w:right w:val="double" w:color="5B9BD4" w:sz="0" w:space="0"/>
            </w:tcBorders>
            <w:shd w:val="clear" w:color="auto" w:fill="FFFF00"/>
            <w:textDirection w:val="btLr"/>
          </w:tcPr>
          <w:p>
            <w:pPr>
              <w:rPr>
                <w:rFonts w:cs="Times New Roman"/>
                <w:szCs w:val="24"/>
              </w:rPr>
            </w:pPr>
          </w:p>
        </w:tc>
        <w:tc>
          <w:tcPr>
            <w:tcW w:w="509" w:type="dxa"/>
            <w:tcBorders>
              <w:top w:val="double" w:color="5B9BD4" w:sz="0" w:space="0"/>
              <w:left w:val="double" w:color="5B9BD4" w:sz="0" w:space="0"/>
              <w:bottom w:val="double" w:color="5B9BD4" w:sz="0" w:space="0"/>
              <w:right w:val="double" w:color="5B9BD4" w:sz="0" w:space="0"/>
            </w:tcBorders>
            <w:shd w:val="clear" w:color="auto" w:fill="FF3300"/>
            <w:textDirection w:val="btLr"/>
          </w:tcPr>
          <w:p>
            <w:pPr>
              <w:pStyle w:val="14"/>
              <w:spacing w:before="118"/>
              <w:ind w:left="344" w:firstLine="0"/>
              <w:rPr>
                <w:rFonts w:ascii="Times New Roman" w:hAnsi="Times New Roman" w:cs="Times New Roman"/>
                <w:sz w:val="24"/>
                <w:szCs w:val="24"/>
                <w:lang w:val="en-GB"/>
              </w:rPr>
            </w:pPr>
            <w:r>
              <w:rPr>
                <w:rFonts w:ascii="Times New Roman" w:hAnsi="Times New Roman" w:cs="Times New Roman"/>
                <w:sz w:val="24"/>
                <w:szCs w:val="24"/>
                <w:lang w:val="en-GB"/>
              </w:rPr>
              <w:t>Negative</w:t>
            </w:r>
          </w:p>
        </w:tc>
        <w:tc>
          <w:tcPr>
            <w:tcW w:w="8183" w:type="dxa"/>
            <w:tcBorders>
              <w:top w:val="double" w:color="5B9BD4" w:sz="0" w:space="0"/>
              <w:left w:val="double" w:color="5B9BD4" w:sz="0" w:space="0"/>
              <w:bottom w:val="double" w:color="5B9BD4" w:sz="0" w:space="0"/>
              <w:right w:val="double" w:color="5B9BD4" w:sz="0" w:space="0"/>
            </w:tcBorders>
          </w:tcPr>
          <w:p>
            <w:pPr>
              <w:pStyle w:val="14"/>
              <w:tabs>
                <w:tab w:val="left" w:pos="748"/>
                <w:tab w:val="left" w:pos="749"/>
              </w:tabs>
              <w:spacing w:before="4"/>
              <w:ind w:firstLine="0"/>
              <w:rPr>
                <w:rFonts w:ascii="Times New Roman" w:hAnsi="Times New Roman" w:cs="Times New Roman"/>
                <w:sz w:val="24"/>
                <w:szCs w:val="24"/>
                <w:lang w:val="en-GB"/>
              </w:rPr>
            </w:pPr>
          </w:p>
          <w:p>
            <w:pPr>
              <w:pStyle w:val="14"/>
              <w:numPr>
                <w:ilvl w:val="0"/>
                <w:numId w:val="5"/>
              </w:numPr>
              <w:tabs>
                <w:tab w:val="left" w:pos="748"/>
                <w:tab w:val="left" w:pos="749"/>
              </w:tabs>
              <w:spacing w:before="4"/>
              <w:ind w:hanging="361"/>
              <w:rPr>
                <w:rFonts w:ascii="Times New Roman" w:hAnsi="Times New Roman" w:cs="Times New Roman"/>
                <w:sz w:val="24"/>
                <w:szCs w:val="24"/>
                <w:lang w:val="en-GB"/>
              </w:rPr>
            </w:pPr>
            <w:r>
              <w:rPr>
                <w:rFonts w:ascii="Times New Roman" w:hAnsi="Times New Roman" w:cs="Times New Roman"/>
                <w:sz w:val="24"/>
                <w:szCs w:val="24"/>
                <w:lang w:val="en-GB"/>
              </w:rPr>
              <w:t>Rising labour cost has emerged as a matter of huge concern</w:t>
            </w:r>
          </w:p>
          <w:p>
            <w:pPr>
              <w:pStyle w:val="14"/>
              <w:numPr>
                <w:ilvl w:val="0"/>
                <w:numId w:val="5"/>
              </w:numPr>
              <w:tabs>
                <w:tab w:val="left" w:pos="748"/>
                <w:tab w:val="left" w:pos="749"/>
              </w:tabs>
              <w:spacing w:before="4"/>
              <w:ind w:hanging="361"/>
              <w:rPr>
                <w:rFonts w:ascii="Times New Roman" w:hAnsi="Times New Roman" w:cs="Times New Roman"/>
                <w:sz w:val="24"/>
                <w:szCs w:val="24"/>
                <w:lang w:val="en-GB"/>
              </w:rPr>
            </w:pPr>
            <w:r>
              <w:rPr>
                <w:rFonts w:ascii="Times New Roman" w:hAnsi="Times New Roman" w:cs="Times New Roman"/>
                <w:sz w:val="24"/>
                <w:szCs w:val="24"/>
                <w:lang w:val="en-GB"/>
              </w:rPr>
              <w:t>Labour cost is rising considerably in China, Vietnam and Mexico (Statista, 2022)</w:t>
            </w:r>
          </w:p>
          <w:p>
            <w:pPr>
              <w:pStyle w:val="14"/>
              <w:spacing w:before="4" w:line="270" w:lineRule="atLeast"/>
              <w:ind w:right="142" w:firstLine="0"/>
              <w:rPr>
                <w:rFonts w:ascii="Times New Roman" w:hAnsi="Times New Roman" w:cs="Times New Roman"/>
                <w:sz w:val="24"/>
                <w:szCs w:val="24"/>
                <w:lang w:val="en-GB"/>
              </w:rPr>
            </w:pP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3822" w:hRule="atLeast"/>
        </w:trPr>
        <w:tc>
          <w:tcPr>
            <w:tcW w:w="503" w:type="dxa"/>
            <w:vMerge w:val="restart"/>
            <w:tcBorders>
              <w:top w:val="double" w:color="5B9BD4" w:sz="0" w:space="0"/>
              <w:bottom w:val="double" w:color="5B9BD4" w:sz="0" w:space="0"/>
              <w:right w:val="double" w:color="5B9BD4" w:sz="0" w:space="0"/>
            </w:tcBorders>
            <w:shd w:val="clear" w:color="auto" w:fill="9900FF"/>
            <w:textDirection w:val="btLr"/>
          </w:tcPr>
          <w:p>
            <w:pPr>
              <w:pStyle w:val="14"/>
              <w:spacing w:before="107"/>
              <w:ind w:left="1579" w:right="1579" w:firstLine="0"/>
              <w:jc w:val="center"/>
              <w:rPr>
                <w:rFonts w:ascii="Times New Roman" w:hAnsi="Times New Roman" w:cs="Times New Roman"/>
                <w:sz w:val="24"/>
                <w:szCs w:val="24"/>
                <w:lang w:val="en-GB"/>
              </w:rPr>
            </w:pPr>
            <w:r>
              <w:rPr>
                <w:rFonts w:ascii="Times New Roman" w:hAnsi="Times New Roman" w:cs="Times New Roman"/>
                <w:sz w:val="24"/>
                <w:szCs w:val="24"/>
                <w:lang w:val="en-GB"/>
              </w:rPr>
              <w:t>Social</w:t>
            </w:r>
          </w:p>
        </w:tc>
        <w:tc>
          <w:tcPr>
            <w:tcW w:w="509" w:type="dxa"/>
            <w:tcBorders>
              <w:top w:val="double" w:color="5B9BD4" w:sz="0" w:space="0"/>
              <w:left w:val="double" w:color="5B9BD4" w:sz="0" w:space="0"/>
              <w:bottom w:val="double" w:color="5B9BD4" w:sz="0" w:space="0"/>
              <w:right w:val="double" w:color="5B9BD4" w:sz="0" w:space="0"/>
            </w:tcBorders>
            <w:shd w:val="clear" w:color="auto" w:fill="00CC00"/>
            <w:textDirection w:val="btLr"/>
          </w:tcPr>
          <w:p>
            <w:pPr>
              <w:pStyle w:val="14"/>
              <w:spacing w:before="118"/>
              <w:ind w:left="397" w:firstLine="0"/>
              <w:rPr>
                <w:rFonts w:ascii="Times New Roman" w:hAnsi="Times New Roman" w:cs="Times New Roman"/>
                <w:sz w:val="24"/>
                <w:szCs w:val="24"/>
                <w:lang w:val="en-GB"/>
              </w:rPr>
            </w:pPr>
            <w:r>
              <w:rPr>
                <w:rFonts w:ascii="Times New Roman" w:hAnsi="Times New Roman" w:cs="Times New Roman"/>
                <w:sz w:val="24"/>
                <w:szCs w:val="24"/>
                <w:lang w:val="en-GB"/>
              </w:rPr>
              <w:t>Positive</w:t>
            </w:r>
          </w:p>
        </w:tc>
        <w:tc>
          <w:tcPr>
            <w:tcW w:w="8183" w:type="dxa"/>
            <w:tcBorders>
              <w:top w:val="double" w:color="5B9BD4" w:sz="0" w:space="0"/>
              <w:left w:val="double" w:color="5B9BD4" w:sz="0" w:space="0"/>
              <w:bottom w:val="double" w:color="5B9BD4" w:sz="0" w:space="0"/>
              <w:right w:val="double" w:color="5B9BD4" w:sz="0" w:space="0"/>
            </w:tcBorders>
          </w:tcPr>
          <w:p>
            <w:pPr>
              <w:pStyle w:val="14"/>
              <w:ind w:left="0" w:firstLine="0"/>
              <w:rPr>
                <w:rFonts w:ascii="Times New Roman" w:hAnsi="Times New Roman" w:cs="Times New Roman"/>
                <w:b/>
                <w:sz w:val="24"/>
                <w:szCs w:val="24"/>
                <w:lang w:val="en-GB"/>
              </w:rPr>
            </w:pPr>
          </w:p>
          <w:p>
            <w:pPr>
              <w:pStyle w:val="14"/>
              <w:spacing w:before="8"/>
              <w:ind w:left="0" w:firstLine="0"/>
              <w:rPr>
                <w:rFonts w:ascii="Times New Roman" w:hAnsi="Times New Roman" w:cs="Times New Roman"/>
                <w:b/>
                <w:sz w:val="24"/>
                <w:szCs w:val="24"/>
                <w:lang w:val="en-GB"/>
              </w:rPr>
            </w:pPr>
          </w:p>
          <w:p>
            <w:pPr>
              <w:pStyle w:val="14"/>
              <w:numPr>
                <w:ilvl w:val="0"/>
                <w:numId w:val="6"/>
              </w:numPr>
              <w:tabs>
                <w:tab w:val="left" w:pos="748"/>
                <w:tab w:val="left" w:pos="749"/>
              </w:tabs>
              <w:spacing w:before="21"/>
              <w:ind w:hanging="361"/>
              <w:rPr>
                <w:rFonts w:ascii="Times New Roman" w:hAnsi="Times New Roman" w:cs="Times New Roman"/>
                <w:sz w:val="24"/>
                <w:szCs w:val="24"/>
                <w:lang w:val="en-GB"/>
              </w:rPr>
            </w:pPr>
            <w:r>
              <w:rPr>
                <w:rFonts w:ascii="Times New Roman" w:hAnsi="Times New Roman" w:cs="Times New Roman"/>
                <w:sz w:val="24"/>
                <w:szCs w:val="24"/>
                <w:lang w:val="en-GB"/>
              </w:rPr>
              <w:t xml:space="preserve">Rising access of mobile phone </w:t>
            </w:r>
          </w:p>
          <w:p>
            <w:pPr>
              <w:pStyle w:val="14"/>
              <w:numPr>
                <w:ilvl w:val="0"/>
                <w:numId w:val="6"/>
              </w:numPr>
              <w:tabs>
                <w:tab w:val="left" w:pos="748"/>
                <w:tab w:val="left" w:pos="749"/>
              </w:tabs>
              <w:spacing w:before="21"/>
              <w:ind w:hanging="361"/>
              <w:rPr>
                <w:rFonts w:ascii="Times New Roman" w:hAnsi="Times New Roman" w:cs="Times New Roman"/>
                <w:sz w:val="24"/>
                <w:szCs w:val="24"/>
                <w:lang w:val="en-GB"/>
              </w:rPr>
            </w:pPr>
            <w:r>
              <w:rPr>
                <w:rFonts w:ascii="Times New Roman" w:hAnsi="Times New Roman" w:cs="Times New Roman"/>
                <w:sz w:val="24"/>
                <w:szCs w:val="24"/>
                <w:lang w:val="en-GB"/>
              </w:rPr>
              <w:t xml:space="preserve">Amplifying dependence on digital systems </w:t>
            </w:r>
          </w:p>
          <w:p>
            <w:pPr>
              <w:pStyle w:val="14"/>
              <w:tabs>
                <w:tab w:val="left" w:pos="748"/>
                <w:tab w:val="left" w:pos="749"/>
              </w:tabs>
              <w:spacing w:before="21"/>
              <w:ind w:firstLine="0"/>
              <w:rPr>
                <w:rFonts w:ascii="Times New Roman" w:hAnsi="Times New Roman" w:cs="Times New Roman"/>
                <w:sz w:val="24"/>
                <w:szCs w:val="24"/>
                <w:lang w:val="en-GB"/>
              </w:rPr>
            </w:pP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2121" w:hRule="atLeast"/>
        </w:trPr>
        <w:tc>
          <w:tcPr>
            <w:tcW w:w="503" w:type="dxa"/>
            <w:vMerge w:val="continue"/>
            <w:tcBorders>
              <w:top w:val="nil"/>
              <w:bottom w:val="double" w:color="5B9BD4" w:sz="0" w:space="0"/>
              <w:right w:val="double" w:color="5B9BD4" w:sz="0" w:space="0"/>
            </w:tcBorders>
            <w:shd w:val="clear" w:color="auto" w:fill="9900FF"/>
            <w:textDirection w:val="btLr"/>
          </w:tcPr>
          <w:p>
            <w:pPr>
              <w:rPr>
                <w:rFonts w:cs="Times New Roman"/>
                <w:szCs w:val="24"/>
              </w:rPr>
            </w:pPr>
          </w:p>
        </w:tc>
        <w:tc>
          <w:tcPr>
            <w:tcW w:w="509" w:type="dxa"/>
            <w:tcBorders>
              <w:top w:val="double" w:color="5B9BD4" w:sz="0" w:space="0"/>
              <w:left w:val="double" w:color="5B9BD4" w:sz="0" w:space="0"/>
              <w:bottom w:val="double" w:color="5B9BD4" w:sz="0" w:space="0"/>
              <w:right w:val="double" w:color="5B9BD4" w:sz="0" w:space="0"/>
            </w:tcBorders>
            <w:shd w:val="clear" w:color="auto" w:fill="FF3300"/>
            <w:textDirection w:val="btLr"/>
          </w:tcPr>
          <w:p>
            <w:pPr>
              <w:pStyle w:val="14"/>
              <w:spacing w:before="118"/>
              <w:ind w:left="616" w:firstLine="0"/>
              <w:rPr>
                <w:rFonts w:ascii="Times New Roman" w:hAnsi="Times New Roman" w:cs="Times New Roman"/>
                <w:sz w:val="24"/>
                <w:szCs w:val="24"/>
                <w:lang w:val="en-GB"/>
              </w:rPr>
            </w:pPr>
            <w:r>
              <w:rPr>
                <w:rFonts w:ascii="Times New Roman" w:hAnsi="Times New Roman" w:cs="Times New Roman"/>
                <w:sz w:val="24"/>
                <w:szCs w:val="24"/>
                <w:lang w:val="en-GB"/>
              </w:rPr>
              <w:t>Negative</w:t>
            </w:r>
          </w:p>
        </w:tc>
        <w:tc>
          <w:tcPr>
            <w:tcW w:w="8183" w:type="dxa"/>
            <w:tcBorders>
              <w:top w:val="double" w:color="5B9BD4" w:sz="0" w:space="0"/>
              <w:left w:val="double" w:color="5B9BD4" w:sz="0" w:space="0"/>
              <w:bottom w:val="double" w:color="5B9BD4" w:sz="0" w:space="0"/>
              <w:right w:val="double" w:color="5B9BD4" w:sz="0" w:space="0"/>
            </w:tcBorders>
          </w:tcPr>
          <w:p>
            <w:pPr>
              <w:pStyle w:val="14"/>
              <w:ind w:left="0" w:firstLine="0"/>
              <w:rPr>
                <w:rFonts w:ascii="Times New Roman" w:hAnsi="Times New Roman" w:cs="Times New Roman"/>
                <w:b/>
                <w:sz w:val="24"/>
                <w:szCs w:val="24"/>
                <w:lang w:val="en-GB"/>
              </w:rPr>
            </w:pPr>
          </w:p>
          <w:p>
            <w:pPr>
              <w:pStyle w:val="14"/>
              <w:spacing w:before="7"/>
              <w:ind w:left="0" w:firstLine="0"/>
              <w:rPr>
                <w:rFonts w:ascii="Times New Roman" w:hAnsi="Times New Roman" w:cs="Times New Roman"/>
                <w:b/>
                <w:sz w:val="24"/>
                <w:szCs w:val="24"/>
                <w:lang w:val="en-GB"/>
              </w:rPr>
            </w:pPr>
          </w:p>
          <w:p>
            <w:pPr>
              <w:pStyle w:val="14"/>
              <w:numPr>
                <w:ilvl w:val="0"/>
                <w:numId w:val="7"/>
              </w:numPr>
              <w:tabs>
                <w:tab w:val="left" w:pos="748"/>
                <w:tab w:val="left" w:pos="749"/>
              </w:tabs>
              <w:spacing w:before="1"/>
              <w:ind w:hanging="361"/>
              <w:rPr>
                <w:rFonts w:ascii="Times New Roman" w:hAnsi="Times New Roman" w:cs="Times New Roman"/>
                <w:sz w:val="24"/>
                <w:szCs w:val="24"/>
                <w:lang w:val="en-GB"/>
              </w:rPr>
            </w:pPr>
            <w:r>
              <w:rPr>
                <w:rFonts w:ascii="Times New Roman" w:hAnsi="Times New Roman" w:cs="Times New Roman"/>
                <w:sz w:val="24"/>
                <w:szCs w:val="24"/>
              </w:rPr>
              <w:t>Harsh criticism owing to its repeated violation of labour rights in manufacturing facilities (Washington Post, 2022)</w:t>
            </w:r>
          </w:p>
          <w:p>
            <w:pPr>
              <w:pStyle w:val="14"/>
              <w:numPr>
                <w:ilvl w:val="0"/>
                <w:numId w:val="7"/>
              </w:numPr>
              <w:tabs>
                <w:tab w:val="left" w:pos="748"/>
                <w:tab w:val="left" w:pos="749"/>
              </w:tabs>
              <w:spacing w:before="1"/>
              <w:ind w:hanging="361"/>
              <w:rPr>
                <w:rFonts w:ascii="Times New Roman" w:hAnsi="Times New Roman" w:cs="Times New Roman"/>
                <w:sz w:val="24"/>
                <w:szCs w:val="24"/>
                <w:lang w:val="en-GB"/>
              </w:rPr>
            </w:pPr>
            <w:r>
              <w:rPr>
                <w:rFonts w:ascii="Times New Roman" w:hAnsi="Times New Roman" w:cs="Times New Roman"/>
                <w:sz w:val="24"/>
                <w:szCs w:val="24"/>
              </w:rPr>
              <w:t>Declining consumer buying power as a consequence of the pandemic</w:t>
            </w:r>
          </w:p>
          <w:p>
            <w:pPr>
              <w:pStyle w:val="14"/>
              <w:numPr>
                <w:ilvl w:val="0"/>
                <w:numId w:val="7"/>
              </w:numPr>
              <w:tabs>
                <w:tab w:val="left" w:pos="748"/>
                <w:tab w:val="left" w:pos="749"/>
              </w:tabs>
              <w:spacing w:before="1"/>
              <w:ind w:hanging="361"/>
              <w:rPr>
                <w:rFonts w:ascii="Times New Roman" w:hAnsi="Times New Roman" w:cs="Times New Roman"/>
                <w:sz w:val="24"/>
                <w:szCs w:val="24"/>
                <w:lang w:val="en-GB"/>
              </w:rPr>
            </w:pPr>
            <w:r>
              <w:rPr>
                <w:rFonts w:ascii="Times New Roman" w:hAnsi="Times New Roman" w:cs="Times New Roman"/>
                <w:sz w:val="24"/>
                <w:szCs w:val="24"/>
              </w:rPr>
              <w:t>Tirade among consumers to eschew expensive products</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075" w:hRule="atLeast"/>
        </w:trPr>
        <w:tc>
          <w:tcPr>
            <w:tcW w:w="503" w:type="dxa"/>
            <w:vMerge w:val="restart"/>
            <w:tcBorders>
              <w:top w:val="double" w:color="5B9BD4" w:sz="0" w:space="0"/>
              <w:right w:val="double" w:color="5B9BD4" w:sz="0" w:space="0"/>
            </w:tcBorders>
            <w:shd w:val="clear" w:color="auto" w:fill="ADAAAA"/>
            <w:textDirection w:val="btLr"/>
          </w:tcPr>
          <w:p>
            <w:pPr>
              <w:pStyle w:val="14"/>
              <w:spacing w:before="107"/>
              <w:ind w:left="367" w:firstLine="0"/>
              <w:rPr>
                <w:rFonts w:ascii="Times New Roman" w:hAnsi="Times New Roman" w:cs="Times New Roman"/>
                <w:sz w:val="24"/>
                <w:szCs w:val="24"/>
                <w:lang w:val="en-GB"/>
              </w:rPr>
            </w:pPr>
            <w:r>
              <w:rPr>
                <w:rFonts w:ascii="Times New Roman" w:hAnsi="Times New Roman" w:cs="Times New Roman"/>
                <w:sz w:val="24"/>
                <w:szCs w:val="24"/>
                <w:lang w:val="en-GB"/>
              </w:rPr>
              <w:t>Technological</w:t>
            </w:r>
          </w:p>
        </w:tc>
        <w:tc>
          <w:tcPr>
            <w:tcW w:w="509" w:type="dxa"/>
            <w:tcBorders>
              <w:top w:val="double" w:color="5B9BD4" w:sz="0" w:space="0"/>
              <w:left w:val="double" w:color="5B9BD4" w:sz="0" w:space="0"/>
              <w:bottom w:val="double" w:color="5B9BD4" w:sz="0" w:space="0"/>
              <w:right w:val="double" w:color="5B9BD4" w:sz="0" w:space="0"/>
            </w:tcBorders>
            <w:shd w:val="clear" w:color="auto" w:fill="00CC00"/>
            <w:textDirection w:val="btLr"/>
          </w:tcPr>
          <w:p>
            <w:pPr>
              <w:pStyle w:val="14"/>
              <w:spacing w:before="118"/>
              <w:ind w:left="109" w:firstLine="0"/>
              <w:rPr>
                <w:rFonts w:ascii="Times New Roman" w:hAnsi="Times New Roman" w:cs="Times New Roman"/>
                <w:sz w:val="24"/>
                <w:szCs w:val="24"/>
                <w:lang w:val="en-GB"/>
              </w:rPr>
            </w:pPr>
            <w:r>
              <w:rPr>
                <w:rFonts w:ascii="Times New Roman" w:hAnsi="Times New Roman" w:cs="Times New Roman"/>
                <w:sz w:val="24"/>
                <w:szCs w:val="24"/>
                <w:lang w:val="en-GB"/>
              </w:rPr>
              <w:t>Positive</w:t>
            </w:r>
          </w:p>
        </w:tc>
        <w:tc>
          <w:tcPr>
            <w:tcW w:w="8183" w:type="dxa"/>
            <w:tcBorders>
              <w:top w:val="double" w:color="5B9BD4" w:sz="0" w:space="0"/>
              <w:left w:val="double" w:color="5B9BD4" w:sz="0" w:space="0"/>
              <w:bottom w:val="double" w:color="5B9BD4" w:sz="0" w:space="0"/>
              <w:right w:val="double" w:color="5B9BD4" w:sz="0" w:space="0"/>
            </w:tcBorders>
          </w:tcPr>
          <w:p>
            <w:pPr>
              <w:pStyle w:val="14"/>
              <w:numPr>
                <w:ilvl w:val="0"/>
                <w:numId w:val="8"/>
              </w:numPr>
              <w:tabs>
                <w:tab w:val="left" w:pos="748"/>
                <w:tab w:val="left" w:pos="749"/>
              </w:tabs>
              <w:spacing w:before="21" w:line="259" w:lineRule="auto"/>
              <w:ind w:right="815"/>
              <w:rPr>
                <w:rFonts w:ascii="Times New Roman" w:hAnsi="Times New Roman" w:cs="Times New Roman"/>
                <w:sz w:val="24"/>
                <w:szCs w:val="24"/>
                <w:lang w:val="en-GB"/>
              </w:rPr>
            </w:pPr>
            <w:r>
              <w:rPr>
                <w:rFonts w:ascii="Times New Roman" w:hAnsi="Times New Roman" w:cs="Times New Roman"/>
                <w:sz w:val="24"/>
                <w:szCs w:val="24"/>
                <w:lang w:val="en-GB"/>
              </w:rPr>
              <w:t>Skyrocketing demand in  cloud technology segment (Apple, 2023)</w:t>
            </w:r>
          </w:p>
          <w:p>
            <w:pPr>
              <w:pStyle w:val="14"/>
              <w:numPr>
                <w:ilvl w:val="0"/>
                <w:numId w:val="8"/>
              </w:numPr>
              <w:tabs>
                <w:tab w:val="left" w:pos="748"/>
                <w:tab w:val="left" w:pos="749"/>
              </w:tabs>
              <w:spacing w:before="21" w:line="259" w:lineRule="auto"/>
              <w:ind w:right="815"/>
              <w:rPr>
                <w:rFonts w:ascii="Times New Roman" w:hAnsi="Times New Roman" w:cs="Times New Roman"/>
                <w:sz w:val="24"/>
                <w:szCs w:val="24"/>
                <w:lang w:val="en-GB"/>
              </w:rPr>
            </w:pPr>
            <w:r>
              <w:rPr>
                <w:rFonts w:ascii="Times New Roman" w:hAnsi="Times New Roman" w:cs="Times New Roman"/>
                <w:sz w:val="24"/>
                <w:szCs w:val="24"/>
                <w:lang w:val="en-GB"/>
              </w:rPr>
              <w:t xml:space="preserve">Amplifying technological integration </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079" w:hRule="atLeast"/>
        </w:trPr>
        <w:tc>
          <w:tcPr>
            <w:tcW w:w="503" w:type="dxa"/>
            <w:vMerge w:val="continue"/>
            <w:tcBorders>
              <w:top w:val="nil"/>
              <w:right w:val="double" w:color="5B9BD4" w:sz="0" w:space="0"/>
            </w:tcBorders>
            <w:shd w:val="clear" w:color="auto" w:fill="ADAAAA"/>
            <w:textDirection w:val="btLr"/>
          </w:tcPr>
          <w:p>
            <w:pPr>
              <w:rPr>
                <w:rFonts w:cs="Times New Roman"/>
                <w:szCs w:val="24"/>
              </w:rPr>
            </w:pPr>
          </w:p>
        </w:tc>
        <w:tc>
          <w:tcPr>
            <w:tcW w:w="509" w:type="dxa"/>
            <w:tcBorders>
              <w:top w:val="double" w:color="5B9BD4" w:sz="0" w:space="0"/>
              <w:left w:val="double" w:color="5B9BD4" w:sz="0" w:space="0"/>
              <w:right w:val="double" w:color="5B9BD4" w:sz="0" w:space="0"/>
            </w:tcBorders>
            <w:shd w:val="clear" w:color="auto" w:fill="FF3300"/>
            <w:textDirection w:val="btLr"/>
          </w:tcPr>
          <w:p>
            <w:pPr>
              <w:pStyle w:val="14"/>
              <w:spacing w:before="118"/>
              <w:ind w:left="71" w:firstLine="0"/>
              <w:rPr>
                <w:rFonts w:ascii="Times New Roman" w:hAnsi="Times New Roman" w:cs="Times New Roman"/>
                <w:sz w:val="24"/>
                <w:szCs w:val="24"/>
                <w:lang w:val="en-GB"/>
              </w:rPr>
            </w:pPr>
            <w:r>
              <w:rPr>
                <w:rFonts w:ascii="Times New Roman" w:hAnsi="Times New Roman" w:cs="Times New Roman"/>
                <w:sz w:val="24"/>
                <w:szCs w:val="24"/>
                <w:lang w:val="en-GB"/>
              </w:rPr>
              <w:t>Negative</w:t>
            </w:r>
          </w:p>
        </w:tc>
        <w:tc>
          <w:tcPr>
            <w:tcW w:w="8183" w:type="dxa"/>
            <w:tcBorders>
              <w:top w:val="double" w:color="5B9BD4" w:sz="0" w:space="0"/>
              <w:left w:val="double" w:color="5B9BD4" w:sz="0" w:space="0"/>
              <w:right w:val="double" w:color="5B9BD4" w:sz="0" w:space="0"/>
            </w:tcBorders>
          </w:tcPr>
          <w:p>
            <w:pPr>
              <w:pStyle w:val="14"/>
              <w:numPr>
                <w:ilvl w:val="0"/>
                <w:numId w:val="9"/>
              </w:numPr>
              <w:tabs>
                <w:tab w:val="left" w:pos="748"/>
                <w:tab w:val="left" w:pos="749"/>
              </w:tabs>
              <w:spacing w:line="242" w:lineRule="exact"/>
              <w:ind w:hanging="361"/>
              <w:rPr>
                <w:rFonts w:ascii="Times New Roman" w:hAnsi="Times New Roman" w:cs="Times New Roman"/>
                <w:sz w:val="24"/>
                <w:szCs w:val="24"/>
                <w:lang w:val="en-GB"/>
              </w:rPr>
            </w:pPr>
            <w:r>
              <w:rPr>
                <w:rFonts w:ascii="Times New Roman" w:hAnsi="Times New Roman" w:cs="Times New Roman"/>
                <w:sz w:val="24"/>
                <w:szCs w:val="24"/>
              </w:rPr>
              <w:t>Rival brands like Samsung and Google showed considerable expertise in new technologies</w:t>
            </w:r>
          </w:p>
          <w:p>
            <w:pPr>
              <w:pStyle w:val="14"/>
              <w:numPr>
                <w:ilvl w:val="0"/>
                <w:numId w:val="9"/>
              </w:numPr>
              <w:tabs>
                <w:tab w:val="left" w:pos="748"/>
                <w:tab w:val="left" w:pos="749"/>
              </w:tabs>
              <w:spacing w:line="242" w:lineRule="exact"/>
              <w:ind w:hanging="361"/>
              <w:rPr>
                <w:rFonts w:ascii="Times New Roman" w:hAnsi="Times New Roman" w:cs="Times New Roman"/>
                <w:sz w:val="24"/>
                <w:szCs w:val="24"/>
                <w:lang w:val="en-GB"/>
              </w:rPr>
            </w:pPr>
            <w:r>
              <w:rPr>
                <w:rFonts w:ascii="Times New Roman" w:hAnsi="Times New Roman" w:cs="Times New Roman"/>
                <w:sz w:val="24"/>
                <w:szCs w:val="24"/>
              </w:rPr>
              <w:t>Google's payment app has some similar features compared to Apple Pay (</w:t>
            </w:r>
            <w:r>
              <w:rPr>
                <w:rFonts w:ascii="Times New Roman" w:hAnsi="Times New Roman" w:cs="Times New Roman"/>
                <w:sz w:val="24"/>
                <w:szCs w:val="24"/>
                <w:shd w:val="clear" w:color="auto" w:fill="FFFFFF"/>
              </w:rPr>
              <w:t>Liébana-Cabanillas et al., 2020)</w:t>
            </w:r>
          </w:p>
          <w:p>
            <w:pPr>
              <w:pStyle w:val="14"/>
              <w:numPr>
                <w:ilvl w:val="0"/>
                <w:numId w:val="9"/>
              </w:numPr>
              <w:tabs>
                <w:tab w:val="left" w:pos="748"/>
                <w:tab w:val="left" w:pos="749"/>
              </w:tabs>
              <w:spacing w:line="242" w:lineRule="exact"/>
              <w:ind w:hanging="361"/>
              <w:rPr>
                <w:rFonts w:ascii="Times New Roman" w:hAnsi="Times New Roman" w:cs="Times New Roman"/>
                <w:sz w:val="24"/>
                <w:szCs w:val="24"/>
                <w:lang w:val="en-GB"/>
              </w:rPr>
            </w:pPr>
            <w:r>
              <w:rPr>
                <w:rFonts w:ascii="Times New Roman" w:hAnsi="Times New Roman" w:cs="Times New Roman"/>
                <w:sz w:val="24"/>
                <w:szCs w:val="24"/>
              </w:rPr>
              <w:t>Proprietary operating system of Apple has become a stumbling block for the company to amplify the sale of iPhone in numbers</w:t>
            </w:r>
          </w:p>
          <w:p>
            <w:pPr>
              <w:pStyle w:val="14"/>
              <w:spacing w:before="4" w:line="251" w:lineRule="exact"/>
              <w:ind w:firstLine="0"/>
              <w:rPr>
                <w:rFonts w:ascii="Times New Roman" w:hAnsi="Times New Roman" w:cs="Times New Roman"/>
                <w:sz w:val="24"/>
                <w:szCs w:val="24"/>
                <w:lang w:val="en-GB"/>
              </w:rPr>
            </w:pP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019" w:hRule="atLeast"/>
        </w:trPr>
        <w:tc>
          <w:tcPr>
            <w:tcW w:w="503" w:type="dxa"/>
            <w:vMerge w:val="restart"/>
            <w:tcBorders>
              <w:bottom w:val="double" w:color="5B9BD4" w:sz="0" w:space="0"/>
              <w:right w:val="double" w:color="5B9BD4" w:sz="0" w:space="0"/>
            </w:tcBorders>
            <w:shd w:val="clear" w:color="auto" w:fill="00AFEF"/>
            <w:textDirection w:val="btLr"/>
          </w:tcPr>
          <w:p>
            <w:pPr>
              <w:pStyle w:val="14"/>
              <w:spacing w:before="107"/>
              <w:ind w:left="676" w:firstLine="0"/>
              <w:rPr>
                <w:rFonts w:ascii="Times New Roman" w:hAnsi="Times New Roman" w:cs="Times New Roman"/>
                <w:sz w:val="24"/>
                <w:szCs w:val="24"/>
                <w:lang w:val="en-GB"/>
              </w:rPr>
            </w:pPr>
            <w:r>
              <w:rPr>
                <w:rFonts w:ascii="Times New Roman" w:hAnsi="Times New Roman" w:cs="Times New Roman"/>
                <w:sz w:val="24"/>
                <w:szCs w:val="24"/>
                <w:lang w:val="en-GB"/>
              </w:rPr>
              <w:t>Legal</w:t>
            </w:r>
          </w:p>
        </w:tc>
        <w:tc>
          <w:tcPr>
            <w:tcW w:w="509" w:type="dxa"/>
            <w:tcBorders>
              <w:left w:val="double" w:color="5B9BD4" w:sz="0" w:space="0"/>
              <w:bottom w:val="double" w:color="5B9BD4" w:sz="0" w:space="0"/>
              <w:right w:val="double" w:color="5B9BD4" w:sz="0" w:space="0"/>
            </w:tcBorders>
            <w:shd w:val="clear" w:color="auto" w:fill="00CC00"/>
            <w:textDirection w:val="btLr"/>
          </w:tcPr>
          <w:p>
            <w:pPr>
              <w:pStyle w:val="14"/>
              <w:spacing w:before="118"/>
              <w:ind w:left="88" w:firstLine="0"/>
              <w:rPr>
                <w:rFonts w:ascii="Times New Roman" w:hAnsi="Times New Roman" w:cs="Times New Roman"/>
                <w:sz w:val="24"/>
                <w:szCs w:val="24"/>
                <w:lang w:val="en-GB"/>
              </w:rPr>
            </w:pPr>
            <w:r>
              <w:rPr>
                <w:rFonts w:ascii="Times New Roman" w:hAnsi="Times New Roman" w:cs="Times New Roman"/>
                <w:sz w:val="24"/>
                <w:szCs w:val="24"/>
                <w:lang w:val="en-GB"/>
              </w:rPr>
              <w:t>Positive</w:t>
            </w:r>
          </w:p>
        </w:tc>
        <w:tc>
          <w:tcPr>
            <w:tcW w:w="8183" w:type="dxa"/>
            <w:tcBorders>
              <w:left w:val="double" w:color="5B9BD4" w:sz="0" w:space="0"/>
              <w:bottom w:val="double" w:color="5B9BD4" w:sz="0" w:space="0"/>
              <w:right w:val="double" w:color="5B9BD4" w:sz="0" w:space="0"/>
            </w:tcBorders>
          </w:tcPr>
          <w:p>
            <w:pPr>
              <w:pStyle w:val="14"/>
              <w:spacing w:before="10"/>
              <w:ind w:left="0" w:firstLine="0"/>
              <w:rPr>
                <w:rFonts w:ascii="Times New Roman" w:hAnsi="Times New Roman" w:cs="Times New Roman"/>
                <w:b/>
                <w:sz w:val="24"/>
                <w:szCs w:val="24"/>
                <w:lang w:val="en-GB"/>
              </w:rPr>
            </w:pPr>
          </w:p>
          <w:p>
            <w:pPr>
              <w:pStyle w:val="14"/>
              <w:numPr>
                <w:ilvl w:val="0"/>
                <w:numId w:val="2"/>
              </w:numPr>
              <w:tabs>
                <w:tab w:val="left" w:pos="748"/>
                <w:tab w:val="left" w:pos="749"/>
              </w:tabs>
              <w:ind w:hanging="361"/>
              <w:rPr>
                <w:rFonts w:ascii="Times New Roman" w:hAnsi="Times New Roman" w:cs="Times New Roman"/>
                <w:sz w:val="24"/>
                <w:szCs w:val="24"/>
                <w:lang w:val="en-GB"/>
              </w:rPr>
            </w:pPr>
            <w:r>
              <w:rPr>
                <w:rFonts w:ascii="Times New Roman" w:hAnsi="Times New Roman" w:cs="Times New Roman"/>
                <w:sz w:val="24"/>
                <w:szCs w:val="24"/>
                <w:lang w:val="en-GB"/>
              </w:rPr>
              <w:t xml:space="preserve">Having enhanced code of conduct </w:t>
            </w:r>
          </w:p>
          <w:p>
            <w:pPr>
              <w:pStyle w:val="14"/>
              <w:numPr>
                <w:ilvl w:val="0"/>
                <w:numId w:val="2"/>
              </w:numPr>
              <w:tabs>
                <w:tab w:val="left" w:pos="748"/>
                <w:tab w:val="left" w:pos="749"/>
              </w:tabs>
              <w:ind w:hanging="361"/>
              <w:rPr>
                <w:rFonts w:ascii="Times New Roman" w:hAnsi="Times New Roman" w:cs="Times New Roman"/>
                <w:sz w:val="24"/>
                <w:szCs w:val="24"/>
                <w:lang w:val="en-GB"/>
              </w:rPr>
            </w:pPr>
            <w:r>
              <w:rPr>
                <w:rFonts w:ascii="Times New Roman" w:hAnsi="Times New Roman" w:cs="Times New Roman"/>
                <w:sz w:val="24"/>
                <w:szCs w:val="24"/>
                <w:lang w:val="en-GB"/>
              </w:rPr>
              <w:t xml:space="preserve">Compliance with laws in home country </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1134" w:hRule="atLeast"/>
        </w:trPr>
        <w:tc>
          <w:tcPr>
            <w:tcW w:w="503" w:type="dxa"/>
            <w:vMerge w:val="continue"/>
            <w:tcBorders>
              <w:top w:val="nil"/>
              <w:bottom w:val="double" w:color="5B9BD4" w:sz="0" w:space="0"/>
              <w:right w:val="double" w:color="5B9BD4" w:sz="0" w:space="0"/>
            </w:tcBorders>
            <w:shd w:val="clear" w:color="auto" w:fill="00AFEF"/>
            <w:textDirection w:val="btLr"/>
          </w:tcPr>
          <w:p>
            <w:pPr>
              <w:rPr>
                <w:rFonts w:cs="Times New Roman"/>
                <w:szCs w:val="24"/>
              </w:rPr>
            </w:pPr>
          </w:p>
        </w:tc>
        <w:tc>
          <w:tcPr>
            <w:tcW w:w="509" w:type="dxa"/>
            <w:tcBorders>
              <w:top w:val="double" w:color="5B9BD4" w:sz="0" w:space="0"/>
              <w:left w:val="double" w:color="5B9BD4" w:sz="0" w:space="0"/>
              <w:bottom w:val="double" w:color="5B9BD4" w:sz="0" w:space="0"/>
              <w:right w:val="double" w:color="5B9BD4" w:sz="0" w:space="0"/>
            </w:tcBorders>
            <w:shd w:val="clear" w:color="auto" w:fill="FF3300"/>
            <w:textDirection w:val="btLr"/>
          </w:tcPr>
          <w:p>
            <w:pPr>
              <w:pStyle w:val="14"/>
              <w:spacing w:before="118"/>
              <w:ind w:left="90" w:firstLine="0"/>
              <w:rPr>
                <w:rFonts w:ascii="Times New Roman" w:hAnsi="Times New Roman" w:cs="Times New Roman"/>
                <w:sz w:val="24"/>
                <w:szCs w:val="24"/>
                <w:lang w:val="en-GB"/>
              </w:rPr>
            </w:pPr>
            <w:r>
              <w:rPr>
                <w:rFonts w:ascii="Times New Roman" w:hAnsi="Times New Roman" w:cs="Times New Roman"/>
                <w:sz w:val="24"/>
                <w:szCs w:val="24"/>
                <w:lang w:val="en-GB"/>
              </w:rPr>
              <w:t>Negative</w:t>
            </w:r>
          </w:p>
        </w:tc>
        <w:tc>
          <w:tcPr>
            <w:tcW w:w="8183" w:type="dxa"/>
            <w:tcBorders>
              <w:top w:val="double" w:color="5B9BD4" w:sz="0" w:space="0"/>
              <w:left w:val="double" w:color="5B9BD4" w:sz="0" w:space="0"/>
              <w:bottom w:val="double" w:color="5B9BD4" w:sz="0" w:space="0"/>
              <w:right w:val="double" w:color="5B9BD4" w:sz="0" w:space="0"/>
            </w:tcBorders>
          </w:tcPr>
          <w:p>
            <w:pPr>
              <w:pStyle w:val="14"/>
              <w:numPr>
                <w:ilvl w:val="0"/>
                <w:numId w:val="3"/>
              </w:numPr>
              <w:tabs>
                <w:tab w:val="left" w:pos="748"/>
                <w:tab w:val="left" w:pos="749"/>
              </w:tabs>
              <w:spacing w:before="20"/>
              <w:ind w:hanging="361"/>
              <w:rPr>
                <w:rFonts w:ascii="Times New Roman" w:hAnsi="Times New Roman" w:cs="Times New Roman"/>
                <w:sz w:val="24"/>
                <w:szCs w:val="24"/>
                <w:lang w:val="en-GB"/>
              </w:rPr>
            </w:pPr>
            <w:r>
              <w:rPr>
                <w:rFonts w:ascii="Times New Roman" w:hAnsi="Times New Roman" w:cs="Times New Roman"/>
                <w:sz w:val="24"/>
                <w:szCs w:val="24"/>
              </w:rPr>
              <w:t>Issues like property disputes, antitrust claims, corporate espionage and defamation claims and so on (</w:t>
            </w:r>
            <w:r>
              <w:rPr>
                <w:rFonts w:ascii="Times New Roman" w:hAnsi="Times New Roman" w:cs="Times New Roman"/>
                <w:sz w:val="24"/>
                <w:szCs w:val="24"/>
                <w:shd w:val="clear" w:color="auto" w:fill="FFFFFF"/>
              </w:rPr>
              <w:t>Kelly, 2019</w:t>
            </w:r>
            <w:r>
              <w:rPr>
                <w:rFonts w:ascii="Times New Roman" w:hAnsi="Times New Roman" w:cs="Times New Roman"/>
                <w:sz w:val="24"/>
                <w:szCs w:val="24"/>
              </w:rPr>
              <w:t>)</w:t>
            </w:r>
          </w:p>
          <w:p>
            <w:pPr>
              <w:pStyle w:val="14"/>
              <w:numPr>
                <w:ilvl w:val="0"/>
                <w:numId w:val="3"/>
              </w:numPr>
              <w:tabs>
                <w:tab w:val="left" w:pos="748"/>
                <w:tab w:val="left" w:pos="749"/>
              </w:tabs>
              <w:spacing w:before="20"/>
              <w:ind w:hanging="361"/>
              <w:rPr>
                <w:rFonts w:ascii="Times New Roman" w:hAnsi="Times New Roman" w:cs="Times New Roman"/>
                <w:sz w:val="24"/>
                <w:szCs w:val="24"/>
                <w:lang w:val="en-GB"/>
              </w:rPr>
            </w:pPr>
            <w:r>
              <w:rPr>
                <w:rFonts w:ascii="Times New Roman" w:hAnsi="Times New Roman" w:cs="Times New Roman"/>
                <w:sz w:val="24"/>
                <w:szCs w:val="24"/>
              </w:rPr>
              <w:t>Breaking the competition law of the UK (The Guardian, 2022)</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2007" w:hRule="atLeast"/>
        </w:trPr>
        <w:tc>
          <w:tcPr>
            <w:tcW w:w="503" w:type="dxa"/>
            <w:vMerge w:val="restart"/>
            <w:tcBorders>
              <w:top w:val="double" w:color="5B9BD4" w:sz="0" w:space="0"/>
              <w:bottom w:val="double" w:color="5B9BD4" w:sz="0" w:space="0"/>
              <w:right w:val="double" w:color="5B9BD4" w:sz="0" w:space="0"/>
            </w:tcBorders>
            <w:shd w:val="clear" w:color="auto" w:fill="FFFF00"/>
            <w:textDirection w:val="btLr"/>
          </w:tcPr>
          <w:p>
            <w:pPr>
              <w:pStyle w:val="14"/>
              <w:spacing w:before="107"/>
              <w:ind w:left="1105" w:right="1105" w:firstLine="0"/>
              <w:jc w:val="center"/>
              <w:rPr>
                <w:rFonts w:ascii="Times New Roman" w:hAnsi="Times New Roman" w:cs="Times New Roman"/>
                <w:sz w:val="24"/>
                <w:szCs w:val="24"/>
                <w:lang w:val="en-GB"/>
              </w:rPr>
            </w:pPr>
            <w:r>
              <w:rPr>
                <w:rFonts w:ascii="Times New Roman" w:hAnsi="Times New Roman" w:cs="Times New Roman"/>
                <w:sz w:val="24"/>
                <w:szCs w:val="24"/>
                <w:lang w:val="en-GB"/>
              </w:rPr>
              <w:t>Environmental</w:t>
            </w:r>
          </w:p>
        </w:tc>
        <w:tc>
          <w:tcPr>
            <w:tcW w:w="509" w:type="dxa"/>
            <w:tcBorders>
              <w:top w:val="double" w:color="5B9BD4" w:sz="0" w:space="0"/>
              <w:left w:val="double" w:color="5B9BD4" w:sz="0" w:space="0"/>
              <w:bottom w:val="double" w:color="5B9BD4" w:sz="0" w:space="0"/>
              <w:right w:val="double" w:color="5B9BD4" w:sz="0" w:space="0"/>
            </w:tcBorders>
            <w:shd w:val="clear" w:color="auto" w:fill="00CC00"/>
            <w:textDirection w:val="btLr"/>
          </w:tcPr>
          <w:p>
            <w:pPr>
              <w:pStyle w:val="14"/>
              <w:spacing w:before="118"/>
              <w:ind w:left="397" w:firstLine="0"/>
              <w:rPr>
                <w:rFonts w:ascii="Times New Roman" w:hAnsi="Times New Roman" w:cs="Times New Roman"/>
                <w:sz w:val="24"/>
                <w:szCs w:val="24"/>
                <w:lang w:val="en-GB"/>
              </w:rPr>
            </w:pPr>
            <w:r>
              <w:rPr>
                <w:rFonts w:ascii="Times New Roman" w:hAnsi="Times New Roman" w:cs="Times New Roman"/>
                <w:sz w:val="24"/>
                <w:szCs w:val="24"/>
                <w:lang w:val="en-GB"/>
              </w:rPr>
              <w:t>Positive</w:t>
            </w:r>
          </w:p>
        </w:tc>
        <w:tc>
          <w:tcPr>
            <w:tcW w:w="8183" w:type="dxa"/>
            <w:tcBorders>
              <w:top w:val="double" w:color="5B9BD4" w:sz="0" w:space="0"/>
              <w:left w:val="double" w:color="5B9BD4" w:sz="0" w:space="0"/>
              <w:bottom w:val="double" w:color="5B9BD4" w:sz="0" w:space="0"/>
              <w:right w:val="double" w:color="5B9BD4" w:sz="0" w:space="0"/>
            </w:tcBorders>
          </w:tcPr>
          <w:p>
            <w:pPr>
              <w:pStyle w:val="14"/>
              <w:tabs>
                <w:tab w:val="left" w:pos="748"/>
                <w:tab w:val="left" w:pos="749"/>
              </w:tabs>
              <w:spacing w:before="4" w:line="270" w:lineRule="atLeast"/>
              <w:ind w:right="-29" w:firstLine="0"/>
              <w:rPr>
                <w:rFonts w:ascii="Times New Roman" w:hAnsi="Times New Roman" w:cs="Times New Roman"/>
                <w:sz w:val="24"/>
                <w:szCs w:val="24"/>
                <w:lang w:val="en-GB"/>
              </w:rPr>
            </w:pPr>
          </w:p>
          <w:p>
            <w:pPr>
              <w:pStyle w:val="14"/>
              <w:numPr>
                <w:ilvl w:val="0"/>
                <w:numId w:val="4"/>
              </w:numPr>
              <w:tabs>
                <w:tab w:val="left" w:pos="748"/>
                <w:tab w:val="left" w:pos="749"/>
              </w:tabs>
              <w:spacing w:before="4" w:line="270" w:lineRule="atLeast"/>
              <w:ind w:right="-29"/>
              <w:rPr>
                <w:rFonts w:ascii="Times New Roman" w:hAnsi="Times New Roman" w:cs="Times New Roman"/>
                <w:sz w:val="24"/>
                <w:szCs w:val="24"/>
                <w:lang w:val="en-GB"/>
              </w:rPr>
            </w:pPr>
            <w:r>
              <w:rPr>
                <w:rFonts w:ascii="Times New Roman" w:hAnsi="Times New Roman" w:cs="Times New Roman"/>
                <w:sz w:val="24"/>
                <w:szCs w:val="24"/>
                <w:lang w:val="en-GB"/>
              </w:rPr>
              <w:t xml:space="preserve">Effective waste management system </w:t>
            </w:r>
          </w:p>
          <w:p>
            <w:pPr>
              <w:pStyle w:val="14"/>
              <w:numPr>
                <w:ilvl w:val="0"/>
                <w:numId w:val="4"/>
              </w:numPr>
              <w:tabs>
                <w:tab w:val="left" w:pos="748"/>
                <w:tab w:val="left" w:pos="749"/>
              </w:tabs>
              <w:spacing w:before="4" w:line="270" w:lineRule="atLeast"/>
              <w:ind w:right="-29"/>
              <w:rPr>
                <w:rFonts w:ascii="Times New Roman" w:hAnsi="Times New Roman" w:cs="Times New Roman"/>
                <w:sz w:val="24"/>
                <w:szCs w:val="24"/>
                <w:lang w:val="en-GB"/>
              </w:rPr>
            </w:pPr>
            <w:r>
              <w:rPr>
                <w:rFonts w:ascii="Times New Roman" w:hAnsi="Times New Roman" w:cs="Times New Roman"/>
                <w:sz w:val="24"/>
                <w:szCs w:val="24"/>
              </w:rPr>
              <w:t xml:space="preserve">Greater commitment towards sustainability and having effective policy </w:t>
            </w:r>
          </w:p>
        </w:tc>
      </w:tr>
      <w:tr>
        <w:tblPrEx>
          <w:tblBorders>
            <w:top w:val="single" w:color="5B9BD4" w:sz="24" w:space="0"/>
            <w:left w:val="single" w:color="5B9BD4" w:sz="24" w:space="0"/>
            <w:bottom w:val="single" w:color="5B9BD4" w:sz="24" w:space="0"/>
            <w:right w:val="single" w:color="5B9BD4" w:sz="24" w:space="0"/>
            <w:insideH w:val="single" w:color="5B9BD4" w:sz="24" w:space="0"/>
            <w:insideV w:val="single" w:color="5B9BD4" w:sz="24" w:space="0"/>
          </w:tblBorders>
          <w:tblCellMar>
            <w:top w:w="0" w:type="dxa"/>
            <w:left w:w="0" w:type="dxa"/>
            <w:bottom w:w="0" w:type="dxa"/>
            <w:right w:w="0" w:type="dxa"/>
          </w:tblCellMar>
        </w:tblPrEx>
        <w:trPr>
          <w:trHeight w:val="2234" w:hRule="atLeast"/>
        </w:trPr>
        <w:tc>
          <w:tcPr>
            <w:tcW w:w="503" w:type="dxa"/>
            <w:vMerge w:val="continue"/>
            <w:tcBorders>
              <w:top w:val="nil"/>
              <w:bottom w:val="double" w:color="5B9BD4" w:sz="0" w:space="0"/>
              <w:right w:val="double" w:color="5B9BD4" w:sz="0" w:space="0"/>
            </w:tcBorders>
            <w:shd w:val="clear" w:color="auto" w:fill="FFFF00"/>
            <w:textDirection w:val="btLr"/>
          </w:tcPr>
          <w:p>
            <w:pPr>
              <w:rPr>
                <w:rFonts w:cs="Times New Roman"/>
                <w:szCs w:val="24"/>
              </w:rPr>
            </w:pPr>
          </w:p>
        </w:tc>
        <w:tc>
          <w:tcPr>
            <w:tcW w:w="509" w:type="dxa"/>
            <w:tcBorders>
              <w:top w:val="double" w:color="5B9BD4" w:sz="0" w:space="0"/>
              <w:left w:val="double" w:color="5B9BD4" w:sz="0" w:space="0"/>
              <w:bottom w:val="double" w:color="5B9BD4" w:sz="0" w:space="0"/>
              <w:right w:val="double" w:color="5B9BD4" w:sz="0" w:space="0"/>
            </w:tcBorders>
            <w:shd w:val="clear" w:color="auto" w:fill="FF3300"/>
            <w:textDirection w:val="btLr"/>
          </w:tcPr>
          <w:p>
            <w:pPr>
              <w:pStyle w:val="14"/>
              <w:spacing w:before="118"/>
              <w:ind w:left="344" w:firstLine="0"/>
              <w:rPr>
                <w:rFonts w:ascii="Times New Roman" w:hAnsi="Times New Roman" w:cs="Times New Roman"/>
                <w:sz w:val="24"/>
                <w:szCs w:val="24"/>
                <w:lang w:val="en-GB"/>
              </w:rPr>
            </w:pPr>
            <w:r>
              <w:rPr>
                <w:rFonts w:ascii="Times New Roman" w:hAnsi="Times New Roman" w:cs="Times New Roman"/>
                <w:sz w:val="24"/>
                <w:szCs w:val="24"/>
                <w:lang w:val="en-GB"/>
              </w:rPr>
              <w:t>Negative</w:t>
            </w:r>
          </w:p>
        </w:tc>
        <w:tc>
          <w:tcPr>
            <w:tcW w:w="8183" w:type="dxa"/>
            <w:tcBorders>
              <w:top w:val="double" w:color="5B9BD4" w:sz="0" w:space="0"/>
              <w:left w:val="double" w:color="5B9BD4" w:sz="0" w:space="0"/>
              <w:bottom w:val="double" w:color="5B9BD4" w:sz="0" w:space="0"/>
              <w:right w:val="double" w:color="5B9BD4" w:sz="0" w:space="0"/>
            </w:tcBorders>
          </w:tcPr>
          <w:p>
            <w:pPr>
              <w:pStyle w:val="14"/>
              <w:tabs>
                <w:tab w:val="left" w:pos="748"/>
                <w:tab w:val="left" w:pos="749"/>
              </w:tabs>
              <w:spacing w:before="4"/>
              <w:ind w:firstLine="0"/>
              <w:rPr>
                <w:rFonts w:ascii="Times New Roman" w:hAnsi="Times New Roman" w:cs="Times New Roman"/>
                <w:sz w:val="24"/>
                <w:szCs w:val="24"/>
                <w:lang w:val="en-GB"/>
              </w:rPr>
            </w:pPr>
          </w:p>
          <w:p>
            <w:pPr>
              <w:pStyle w:val="14"/>
              <w:numPr>
                <w:ilvl w:val="0"/>
                <w:numId w:val="5"/>
              </w:numPr>
              <w:tabs>
                <w:tab w:val="left" w:pos="748"/>
                <w:tab w:val="left" w:pos="749"/>
              </w:tabs>
              <w:spacing w:before="4"/>
              <w:ind w:hanging="361"/>
              <w:rPr>
                <w:rFonts w:ascii="Times New Roman" w:hAnsi="Times New Roman" w:cs="Times New Roman"/>
                <w:sz w:val="24"/>
                <w:szCs w:val="24"/>
                <w:lang w:val="en-GB"/>
              </w:rPr>
            </w:pPr>
            <w:r>
              <w:rPr>
                <w:rFonts w:ascii="Times New Roman" w:hAnsi="Times New Roman" w:cs="Times New Roman"/>
                <w:sz w:val="24"/>
                <w:szCs w:val="24"/>
              </w:rPr>
              <w:t xml:space="preserve">China's consistent emphasis on controlling greenhouse and its negative effects in manufacturing </w:t>
            </w:r>
          </w:p>
          <w:p>
            <w:pPr>
              <w:pStyle w:val="14"/>
              <w:numPr>
                <w:ilvl w:val="0"/>
                <w:numId w:val="5"/>
              </w:numPr>
              <w:tabs>
                <w:tab w:val="left" w:pos="748"/>
                <w:tab w:val="left" w:pos="749"/>
              </w:tabs>
              <w:spacing w:before="4"/>
              <w:ind w:hanging="361"/>
              <w:rPr>
                <w:rFonts w:ascii="Times New Roman" w:hAnsi="Times New Roman" w:cs="Times New Roman"/>
                <w:sz w:val="24"/>
                <w:szCs w:val="24"/>
                <w:lang w:val="en-GB"/>
              </w:rPr>
            </w:pPr>
            <w:r>
              <w:rPr>
                <w:rFonts w:ascii="Times New Roman" w:hAnsi="Times New Roman" w:cs="Times New Roman"/>
                <w:sz w:val="24"/>
                <w:szCs w:val="24"/>
              </w:rPr>
              <w:t>Climate change induced by Global Warming</w:t>
            </w:r>
          </w:p>
          <w:p>
            <w:pPr>
              <w:pStyle w:val="14"/>
              <w:spacing w:before="4" w:line="270" w:lineRule="atLeast"/>
              <w:ind w:right="142" w:firstLine="0"/>
              <w:rPr>
                <w:rFonts w:ascii="Times New Roman" w:hAnsi="Times New Roman" w:cs="Times New Roman"/>
                <w:sz w:val="24"/>
                <w:szCs w:val="24"/>
                <w:lang w:val="en-GB"/>
              </w:rPr>
            </w:pPr>
          </w:p>
        </w:tc>
      </w:tr>
    </w:tbl>
    <w:p/>
    <w:p>
      <w:pPr>
        <w:jc w:val="center"/>
      </w:pPr>
      <w:r>
        <w:rPr>
          <w:lang w:val="en-US"/>
        </w:rPr>
        <w:drawing>
          <wp:inline distT="0" distB="0" distL="0" distR="0">
            <wp:extent cx="5295900" cy="3360420"/>
            <wp:effectExtent l="53975" t="38735" r="121285" b="1212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9"/>
                    <a:stretch>
                      <a:fillRect/>
                    </a:stretch>
                  </pic:blipFill>
                  <pic:spPr>
                    <a:xfrm>
                      <a:off x="0" y="0"/>
                      <a:ext cx="5295900" cy="336059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2: Alternation in labour cost in China, Vietnam and Mexico </w:t>
      </w:r>
    </w:p>
    <w:p>
      <w:pPr>
        <w:jc w:val="center"/>
      </w:pPr>
      <w:r>
        <w:t>(Source: Statista, 2022)</w:t>
      </w:r>
    </w:p>
    <w:p>
      <w:pPr>
        <w:pStyle w:val="2"/>
        <w:rPr>
          <w:u w:val="single"/>
        </w:rPr>
      </w:pPr>
      <w:bookmarkStart w:id="5" w:name="_Toc11701"/>
      <w:r>
        <w:rPr>
          <w:u w:val="single"/>
        </w:rPr>
        <w:t>Micro environment analysis</w:t>
      </w:r>
      <w:bookmarkEnd w:id="5"/>
    </w:p>
    <w:p>
      <w:r>
        <w:t>Micro</w:t>
      </w:r>
      <w:r>
        <w:rPr>
          <w:rFonts w:hint="default"/>
          <w:lang w:val="en-IN"/>
        </w:rPr>
        <w:t xml:space="preserve"> </w:t>
      </w:r>
      <w:r>
        <w:t xml:space="preserve">environment mainly suggests the immediate environment of a company that plays a crucial role in terms of influencing the performance of a business entity. As stated by </w:t>
      </w:r>
      <w:r>
        <w:rPr>
          <w:rFonts w:cs="Times New Roman"/>
          <w:szCs w:val="24"/>
          <w:shd w:val="clear" w:color="auto" w:fill="FFFFFF"/>
        </w:rPr>
        <w:t>Durmaz and DÜŞÜN (2016)</w:t>
      </w:r>
      <w:r>
        <w:t>, the micro</w:t>
      </w:r>
      <w:r>
        <w:rPr>
          <w:rFonts w:hint="default"/>
          <w:lang w:val="en-IN"/>
        </w:rPr>
        <w:t xml:space="preserve"> </w:t>
      </w:r>
      <w:r>
        <w:t xml:space="preserve">environment exerts effects on the specific business arena like the strategic group or the industry. </w:t>
      </w:r>
    </w:p>
    <w:p>
      <w:pPr>
        <w:pStyle w:val="3"/>
        <w:numPr>
          <w:ilvl w:val="0"/>
          <w:numId w:val="10"/>
        </w:numPr>
      </w:pPr>
      <w:bookmarkStart w:id="6" w:name="_Toc14322"/>
      <w:r>
        <w:t>Industry life cycle</w:t>
      </w:r>
      <w:bookmarkEnd w:id="6"/>
      <w:r>
        <w:t xml:space="preserve"> </w:t>
      </w:r>
    </w:p>
    <w:p>
      <w:r>
        <w:t xml:space="preserve">As mentioned by </w:t>
      </w:r>
      <w:r>
        <w:rPr>
          <w:shd w:val="clear" w:color="auto" w:fill="FFFFFF"/>
        </w:rPr>
        <w:t>Ocasio and Joseph (2018)</w:t>
      </w:r>
      <w:r>
        <w:t xml:space="preserve">, the industry life cycle informs the evolution of a particular industry or an organisation through four chronological stages. The four stages include the introduction phase, the growth phase, the phase of maturity, and the decline stages. </w:t>
      </w:r>
    </w:p>
    <w:p>
      <w:pPr>
        <w:rPr>
          <w:b/>
          <w:i/>
        </w:rPr>
      </w:pPr>
      <w:r>
        <w:rPr>
          <w:b/>
          <w:i/>
          <w:u w:val="single"/>
        </w:rPr>
        <w:t>Introduction stage:</w:t>
      </w:r>
      <w:r>
        <w:rPr>
          <w:b/>
          <w:i/>
        </w:rPr>
        <w:t xml:space="preserve"> </w:t>
      </w:r>
    </w:p>
    <w:p>
      <w:r>
        <w:t>The introduction phase plays a crucial role for a company in terms of developing a new product or chalking out early marketing tactics. Innovators seek to evolve the new business in pursuit of facilitating production and providing new services or products. At this stage, consumers tend to learn about the products offered by a company (</w:t>
      </w:r>
      <w:r>
        <w:rPr>
          <w:shd w:val="clear" w:color="auto" w:fill="FFFFFF"/>
        </w:rPr>
        <w:t>Ocasio and Joseph, 2018</w:t>
      </w:r>
      <w:r>
        <w:t xml:space="preserve">). The structure of the company remains exponentially fragmented at this phase. Apple was started in the year 1976 by Steve Jobs and Steve Wozniak. During the introduction phase, the predominant product offered by the company was Apple 1 which was devoid of primary features like a monitor and keyboard. Thereafter, Apple II Plus was introduced in 1979. Both products were designed by Steve Wozniak, the co-founder of Apple (Apple, 2023). At the phase of introduction, commercial success was far-fetched for the company since then products were in their prototype stage. However, the introduction stage has imparted a foundation to the company in terms of developing groundbreaking products during the consequent phases after learning from mistakes. </w:t>
      </w:r>
    </w:p>
    <w:p/>
    <w:p/>
    <w:p>
      <w:pPr>
        <w:rPr>
          <w:b/>
          <w:i/>
          <w:u w:val="single"/>
        </w:rPr>
      </w:pPr>
      <w:r>
        <w:rPr>
          <w:b/>
          <w:i/>
          <w:u w:val="single"/>
        </w:rPr>
        <w:t xml:space="preserve">Growth phase: </w:t>
      </w:r>
    </w:p>
    <w:p>
      <w:r>
        <w:t>Consumers associated with a new industry became well acquainted with the value provided by a new offering and demand amplifies exponentially. One of the striking features of the stage is associated with the improvement in product and business processes (</w:t>
      </w:r>
      <w:r>
        <w:rPr>
          <w:shd w:val="clear" w:color="auto" w:fill="FFFFFF"/>
        </w:rPr>
        <w:t>Ocasio and Joseph, 2018</w:t>
      </w:r>
      <w:r>
        <w:t xml:space="preserve">). After the return of Jobs to Apple in the year 1997, the company started to witness considerable growth. In the year 2001, the growth of the company started with the launch of a landmark product namely the iPod. Thereafter, with the launch of the iPhone, the company managed to disrupt the industry to a considerable extent.  As reported by Statista (2022), the total net sales of Apple touched 394.33 million USD in the year 2022 which was an acceleration from the historical record of the company of 274.52 USD in 2020. Therefore, the aforementioned statistics assert that the company is still in its growth phase. </w:t>
      </w:r>
    </w:p>
    <w:p>
      <w:pPr>
        <w:jc w:val="center"/>
      </w:pPr>
      <w:r>
        <w:rPr>
          <w:lang w:val="en-US"/>
        </w:rPr>
        <w:drawing>
          <wp:inline distT="0" distB="0" distL="0" distR="0">
            <wp:extent cx="4360545" cy="2638425"/>
            <wp:effectExtent l="53975" t="53975" r="111760" b="11176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a:stretch>
                      <a:fillRect/>
                    </a:stretch>
                  </pic:blipFill>
                  <pic:spPr>
                    <a:xfrm>
                      <a:off x="0" y="0"/>
                      <a:ext cx="4362097" cy="263900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3: Global revenue of Apple </w:t>
      </w:r>
    </w:p>
    <w:p>
      <w:pPr>
        <w:jc w:val="center"/>
      </w:pPr>
      <w:r>
        <w:t>(Source: Statista, 2022)</w:t>
      </w:r>
    </w:p>
    <w:p>
      <w:pPr>
        <w:rPr>
          <w:b/>
          <w:i/>
          <w:u w:val="single"/>
        </w:rPr>
      </w:pPr>
      <w:r>
        <w:rPr>
          <w:b/>
          <w:i/>
          <w:u w:val="single"/>
        </w:rPr>
        <w:t xml:space="preserve">Maturity phase: </w:t>
      </w:r>
    </w:p>
    <w:p>
      <w:r>
        <w:t xml:space="preserve">The third phase of the industry life cycle is known as the maturity phase. One of the salient features of this stage is that a company begins to witness a decline in this phase. Some enterprises accomplish economies of scale while negatively impacting the sustainability of their small rivals. From an industry point of view, when an industry becomes mature, it has become exponentially difficult for newcomers to enter that industry. As stated by </w:t>
      </w:r>
      <w:r>
        <w:rPr>
          <w:shd w:val="clear" w:color="auto" w:fill="FFFFFF"/>
        </w:rPr>
        <w:t>Ocasio and Joseph (2018)</w:t>
      </w:r>
      <w:r>
        <w:t xml:space="preserve">, one of the essential features of the maturity stage is an intensification of price competition with the decline of product differentiation. Apple operates in three key industries namely consumer electronics, software services and online services. Among them, as averred by </w:t>
      </w:r>
      <w:r>
        <w:rPr>
          <w:shd w:val="clear" w:color="auto" w:fill="FFFFFF"/>
        </w:rPr>
        <w:t>Wagire et al. (2021)</w:t>
      </w:r>
      <w:r>
        <w:t xml:space="preserve">, the consumer electronics industry has entered the mature stage with the intensification of a price war. </w:t>
      </w:r>
    </w:p>
    <w:p>
      <w:pPr>
        <w:rPr>
          <w:b/>
          <w:i/>
        </w:rPr>
      </w:pPr>
      <w:r>
        <w:rPr>
          <w:b/>
          <w:i/>
          <w:u w:val="single"/>
        </w:rPr>
        <w:t xml:space="preserve">Decline phase: </w:t>
      </w:r>
    </w:p>
    <w:p>
      <w:r>
        <w:t>The decline phase determines the end of the ability of an industry in terms of support growth. When an industry enters the decline stage, key players associated with the industry tend to feel revenue pressure. In the context of an enterprise, decline often raises the question of the viability of the incumbent business model (</w:t>
      </w:r>
      <w:r>
        <w:rPr>
          <w:shd w:val="clear" w:color="auto" w:fill="FFFFFF"/>
        </w:rPr>
        <w:t>Barney and Hesterly, 2018)</w:t>
      </w:r>
      <w:r>
        <w:t xml:space="preserve">. When an industry witnesses a decline, it enforces the players operating in the industry to move to associated markets. As avouched by </w:t>
      </w:r>
      <w:r>
        <w:rPr>
          <w:shd w:val="clear" w:color="auto" w:fill="FFFFFF"/>
        </w:rPr>
        <w:t>Wagire et al. (2021)</w:t>
      </w:r>
      <w:r>
        <w:t>, the decline phase can be elongated with extensive product repurposing and improvements.</w:t>
      </w:r>
    </w:p>
    <w:p/>
    <w:p>
      <w:pPr>
        <w:rPr>
          <w:rFonts w:hint="default"/>
          <w:lang w:val="en-IN"/>
        </w:rPr>
      </w:pPr>
      <w:r>
        <w:rPr>
          <w:b/>
          <w:bCs/>
          <w:sz w:val="28"/>
          <w:szCs w:val="28"/>
          <w:u w:val="single"/>
        </w:rPr>
        <w:t xml:space="preserve"> </w:t>
      </w:r>
      <w:r>
        <w:rPr>
          <w:rFonts w:hint="default"/>
          <w:b/>
          <w:bCs/>
          <w:sz w:val="28"/>
          <w:szCs w:val="28"/>
          <w:u w:val="single"/>
          <w:lang w:val="en-IN"/>
        </w:rPr>
        <w:t>2.The Five Force Analysis</w:t>
      </w:r>
    </w:p>
    <w:p>
      <w:r>
        <w:t>In the contemporary volatile and unpredictable business environment, business performance has become a major concern for contemporary companies (</w:t>
      </w:r>
      <w:r>
        <w:rPr>
          <w:shd w:val="clear" w:color="auto" w:fill="FFFFFF"/>
        </w:rPr>
        <w:t>Whittington et al., 2019)</w:t>
      </w:r>
      <w:r>
        <w:t>. It has enforced the researchers in terms of imparting a greater emphasis on industrial sectors, clusters and regions. Developed by Professor Michael Porter, the Five Force Model is a proven framework in terms of developing effective comprehension of the competitive nature of an industry (</w:t>
      </w:r>
      <w:r>
        <w:rPr>
          <w:rFonts w:cs="Times New Roman"/>
          <w:szCs w:val="24"/>
          <w:shd w:val="clear" w:color="auto" w:fill="FFFFFF"/>
        </w:rPr>
        <w:t>Mahat, 2019)</w:t>
      </w:r>
      <w:r>
        <w:t xml:space="preserve">.  The industry competitiveness of Apple has been explained below by the application of the Five Force Diagram. </w:t>
      </w:r>
    </w:p>
    <w:p>
      <w:pPr>
        <w:rPr>
          <w:b/>
          <w:i/>
          <w:u w:val="single"/>
        </w:rPr>
      </w:pPr>
      <w:r>
        <w:rPr>
          <w:b/>
          <w:i/>
          <w:u w:val="single"/>
        </w:rPr>
        <w:t xml:space="preserve">Competitive rivalry: </w:t>
      </w:r>
    </w:p>
    <w:p>
      <w:r>
        <w:t>Apple has been facing cut-throat competition with tech-giant Google, Samsung, Hewlett-Packard and Amazon and so on. One of the major elements that have resulted in higher competitiveness in the industry includes the lower cost of switching. It does not entail a remarkable cost for a customer to shun the iPad of Apple for availing Amazon's Kindle. Companies imposing direct competitive challenges on Apple encompass Samsung, Google Dell Technologies and Amazon (</w:t>
      </w:r>
      <w:r>
        <w:rPr>
          <w:rFonts w:cs="Times New Roman"/>
          <w:szCs w:val="24"/>
          <w:shd w:val="clear" w:color="auto" w:fill="FFFFFF"/>
        </w:rPr>
        <w:t>Gołębiewska, Kalinowska and Yildiz, 2022)</w:t>
      </w:r>
      <w:r>
        <w:t xml:space="preserve">. Considering the huge investment capability of the competitors, they are trying to innovate something new in order to capture new consumers. Further, owing to the similar feature loaded in Android, consumers are tilting towards Android rather than IOs which is expensive. </w:t>
      </w:r>
    </w:p>
    <w:p>
      <w:pPr>
        <w:rPr>
          <w:b/>
          <w:i/>
          <w:u w:val="single"/>
        </w:rPr>
      </w:pPr>
      <w:r>
        <w:rPr>
          <w:b/>
          <w:i/>
          <w:u w:val="single"/>
        </w:rPr>
        <w:t xml:space="preserve">Threats imposed by new entrants: </w:t>
      </w:r>
    </w:p>
    <w:p>
      <w:r>
        <w:t xml:space="preserve">The possibility of threats exerted by new entrants is low to moderate level. At present given the economic downturn generated by the pandemic, it is near to impossible for a new company to compete with Apple. However, as observed by </w:t>
      </w:r>
      <w:r>
        <w:rPr>
          <w:rFonts w:cs="Times New Roman"/>
          <w:szCs w:val="24"/>
          <w:shd w:val="clear" w:color="auto" w:fill="FFFFFF"/>
        </w:rPr>
        <w:t>Zhang (2017)</w:t>
      </w:r>
      <w:r>
        <w:t>, some government-backed Chinese companies can pose a considerable challenge to the dominance of Apple in the coming days. Moreover, Microsoft and Google have incorporated new smart</w:t>
      </w:r>
      <w:r>
        <w:rPr>
          <w:rFonts w:hint="default"/>
          <w:lang w:val="en-IN"/>
        </w:rPr>
        <w:t xml:space="preserve"> </w:t>
      </w:r>
      <w:r>
        <w:t xml:space="preserve">phones in pursuit of competing with Apple. However, brand image and brand loyalty have gone a long way for Apple in terms of decreasing new entry threats to some extent. </w:t>
      </w:r>
    </w:p>
    <w:p>
      <w:pPr>
        <w:rPr>
          <w:b/>
          <w:i/>
          <w:u w:val="single"/>
        </w:rPr>
      </w:pPr>
      <w:r>
        <w:rPr>
          <w:b/>
          <w:i/>
          <w:u w:val="single"/>
        </w:rPr>
        <w:t>Suppliers’ power of bargaining:</w:t>
      </w:r>
    </w:p>
    <w:p>
      <w:r>
        <w:t xml:space="preserve">Owing to its large size and considerable international presence, Apple has managed to thwart the bargaining power of the suppliers to a considerable extent. The easier availability of spare parts is one of the key reasons behind the weaker power of suppliers (Apple, 2023). </w:t>
      </w:r>
    </w:p>
    <w:p>
      <w:pPr>
        <w:rPr>
          <w:b/>
          <w:i/>
          <w:u w:val="single"/>
        </w:rPr>
      </w:pPr>
      <w:r>
        <w:rPr>
          <w:b/>
          <w:i/>
          <w:u w:val="single"/>
        </w:rPr>
        <w:t>Consumers’ power of bargaining:</w:t>
      </w:r>
    </w:p>
    <w:p>
      <w:r>
        <w:t>In the realm of electronics industry, consumers usually enjoy high bargaining power. However, in Apple's context, the bargaining power of the consumers is mod</w:t>
      </w:r>
      <w:r>
        <w:rPr>
          <w:rFonts w:hint="default"/>
          <w:lang w:val="en-IN"/>
        </w:rPr>
        <w:t xml:space="preserve">rate in </w:t>
      </w:r>
      <w:r>
        <w:t xml:space="preserve"> the industry’s average. As averred by </w:t>
      </w:r>
      <w:r>
        <w:rPr>
          <w:rFonts w:cs="Times New Roman"/>
          <w:szCs w:val="24"/>
          <w:shd w:val="clear" w:color="auto" w:fill="FFFFFF"/>
        </w:rPr>
        <w:t>Zhang (2017)</w:t>
      </w:r>
      <w:r>
        <w:t xml:space="preserve">, enhanced consumer loyalty is one of the major reasons behind the lower bargaining power of consumers. </w:t>
      </w:r>
    </w:p>
    <w:p>
      <w:pPr>
        <w:rPr>
          <w:b/>
          <w:i/>
        </w:rPr>
      </w:pPr>
      <w:r>
        <w:rPr>
          <w:b/>
          <w:i/>
          <w:u w:val="single"/>
        </w:rPr>
        <w:t xml:space="preserve">Product substitution threat: </w:t>
      </w:r>
    </w:p>
    <w:p>
      <w:r>
        <w:t>At present, the product substitution threat on Apple is exponentially low due to the fact that substitute products possess limited capabilities compared to the products and services offered by Apple. Pioneering innovation has gone a long way for Apple in terms of keeping this force low (</w:t>
      </w:r>
      <w:r>
        <w:rPr>
          <w:rFonts w:cs="Times New Roman"/>
          <w:szCs w:val="24"/>
          <w:shd w:val="clear" w:color="auto" w:fill="FFFFFF"/>
        </w:rPr>
        <w:t>Zhang, 2017)</w:t>
      </w:r>
      <w:r>
        <w:t xml:space="preserve">. </w:t>
      </w:r>
    </w:p>
    <w:p/>
    <w:p/>
    <w:tbl>
      <w:tblPr>
        <w:tblStyle w:val="11"/>
        <w:tblW w:w="0" w:type="auto"/>
        <w:tblInd w:w="0" w:type="dxa"/>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Layout w:type="autofit"/>
        <w:tblCellMar>
          <w:top w:w="0" w:type="dxa"/>
          <w:left w:w="108" w:type="dxa"/>
          <w:bottom w:w="0" w:type="dxa"/>
          <w:right w:w="108" w:type="dxa"/>
        </w:tblCellMar>
      </w:tblPr>
      <w:tblGrid>
        <w:gridCol w:w="4788"/>
        <w:gridCol w:w="4788"/>
      </w:tblGrid>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PrEx>
        <w:tc>
          <w:tcPr>
            <w:tcW w:w="4788" w:type="dxa"/>
            <w:tcBorders>
              <w:top w:val="single" w:color="CEC597" w:themeColor="accent5" w:sz="8" w:space="0"/>
              <w:left w:val="single" w:color="CEC597" w:themeColor="accent5" w:sz="8" w:space="0"/>
              <w:bottom w:val="single" w:color="CEC597" w:themeColor="accent5" w:sz="18" w:space="0"/>
              <w:right w:val="single" w:color="CEC597" w:themeColor="accent5" w:sz="8" w:space="0"/>
              <w:insideH w:val="single" w:sz="18" w:space="0"/>
              <w:insideV w:val="single" w:sz="8" w:space="0"/>
            </w:tcBorders>
            <w:shd w:val="clear" w:color="auto" w:fill="AAC7AC" w:themeFill="accent1" w:themeFillTint="99"/>
          </w:tcPr>
          <w:p>
            <w:pPr>
              <w:spacing w:before="0" w:after="0"/>
              <w:jc w:val="center"/>
              <w:rPr>
                <w:rFonts w:eastAsiaTheme="majorEastAsia" w:cstheme="majorBidi"/>
                <w:b/>
                <w:bCs/>
                <w:sz w:val="24"/>
                <w:szCs w:val="24"/>
              </w:rPr>
            </w:pPr>
            <w:r>
              <w:rPr>
                <w:rFonts w:eastAsiaTheme="majorEastAsia" w:cstheme="majorBidi"/>
                <w:b/>
                <w:bCs/>
                <w:sz w:val="24"/>
                <w:szCs w:val="24"/>
              </w:rPr>
              <w:t>Five forces</w:t>
            </w:r>
          </w:p>
        </w:tc>
        <w:tc>
          <w:tcPr>
            <w:tcW w:w="4788" w:type="dxa"/>
            <w:tcBorders>
              <w:top w:val="single" w:color="CEC597" w:themeColor="accent5" w:sz="8" w:space="0"/>
              <w:bottom w:val="single" w:color="CEC597" w:themeColor="accent5" w:sz="18" w:space="0"/>
              <w:right w:val="single" w:color="CEC597" w:themeColor="accent5" w:sz="8" w:space="0"/>
              <w:insideH w:val="single" w:sz="18" w:space="0"/>
              <w:insideV w:val="single" w:sz="8" w:space="0"/>
            </w:tcBorders>
            <w:shd w:val="clear" w:color="auto" w:fill="AAC7AC" w:themeFill="accent1" w:themeFillTint="99"/>
          </w:tcPr>
          <w:p>
            <w:pPr>
              <w:spacing w:before="0" w:after="0"/>
              <w:jc w:val="center"/>
              <w:rPr>
                <w:rFonts w:eastAsiaTheme="majorEastAsia" w:cstheme="majorBidi"/>
                <w:b/>
                <w:bCs/>
                <w:sz w:val="24"/>
                <w:szCs w:val="24"/>
              </w:rPr>
            </w:pPr>
            <w:r>
              <w:rPr>
                <w:rFonts w:eastAsiaTheme="majorEastAsia" w:cstheme="majorBidi"/>
                <w:b/>
                <w:bCs/>
                <w:sz w:val="24"/>
                <w:szCs w:val="24"/>
              </w:rPr>
              <w:t>The extent of the force</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rFonts w:eastAsiaTheme="majorEastAsia" w:cstheme="majorBidi"/>
                <w:b/>
                <w:bCs/>
                <w:sz w:val="24"/>
                <w:szCs w:val="24"/>
              </w:rPr>
            </w:pPr>
            <w:r>
              <w:rPr>
                <w:rFonts w:eastAsiaTheme="majorEastAsia" w:cstheme="majorBidi"/>
                <w:b w:val="0"/>
                <w:bCs/>
                <w:sz w:val="24"/>
                <w:szCs w:val="24"/>
              </w:rPr>
              <w:t xml:space="preserve">Competitive rivalry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sz w:val="24"/>
                <w:szCs w:val="24"/>
              </w:rPr>
            </w:pPr>
            <w:r>
              <w:rPr>
                <w:sz w:val="24"/>
                <w:szCs w:val="24"/>
              </w:rPr>
              <w:t xml:space="preserve">Extremely high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rFonts w:eastAsiaTheme="majorEastAsia" w:cstheme="majorBidi"/>
                <w:b/>
                <w:bCs/>
                <w:sz w:val="24"/>
                <w:szCs w:val="24"/>
              </w:rPr>
            </w:pPr>
            <w:r>
              <w:rPr>
                <w:rFonts w:eastAsiaTheme="majorEastAsia" w:cstheme="majorBidi"/>
                <w:b w:val="0"/>
                <w:bCs/>
                <w:sz w:val="24"/>
                <w:szCs w:val="24"/>
              </w:rPr>
              <w:t xml:space="preserve">New entrants threat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sz w:val="24"/>
                <w:szCs w:val="24"/>
              </w:rPr>
            </w:pPr>
            <w:r>
              <w:rPr>
                <w:sz w:val="24"/>
                <w:szCs w:val="24"/>
              </w:rPr>
              <w:t xml:space="preserve">Low to moderate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rFonts w:eastAsiaTheme="majorEastAsia" w:cstheme="majorBidi"/>
                <w:b/>
                <w:bCs/>
                <w:sz w:val="24"/>
                <w:szCs w:val="24"/>
              </w:rPr>
            </w:pPr>
            <w:r>
              <w:rPr>
                <w:rFonts w:eastAsiaTheme="majorEastAsia" w:cstheme="majorBidi"/>
                <w:b w:val="0"/>
                <w:bCs/>
                <w:sz w:val="24"/>
                <w:szCs w:val="24"/>
              </w:rPr>
              <w:t xml:space="preserve">Suppliers’ power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sz w:val="24"/>
                <w:szCs w:val="24"/>
              </w:rPr>
            </w:pPr>
            <w:r>
              <w:rPr>
                <w:sz w:val="24"/>
                <w:szCs w:val="24"/>
              </w:rPr>
              <w:t xml:space="preserve">Weak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rFonts w:eastAsiaTheme="majorEastAsia" w:cstheme="majorBidi"/>
                <w:b/>
                <w:bCs/>
                <w:sz w:val="24"/>
                <w:szCs w:val="24"/>
              </w:rPr>
            </w:pPr>
            <w:r>
              <w:rPr>
                <w:rFonts w:eastAsiaTheme="majorEastAsia" w:cstheme="majorBidi"/>
                <w:b w:val="0"/>
                <w:bCs/>
                <w:sz w:val="24"/>
                <w:szCs w:val="24"/>
              </w:rPr>
              <w:t xml:space="preserve">Consumers’ power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tcPr>
          <w:p>
            <w:pPr>
              <w:spacing w:after="0"/>
              <w:rPr>
                <w:sz w:val="24"/>
                <w:szCs w:val="24"/>
              </w:rPr>
            </w:pPr>
            <w:r>
              <w:rPr>
                <w:sz w:val="24"/>
                <w:szCs w:val="24"/>
              </w:rPr>
              <w:t xml:space="preserve">Moderate </w:t>
            </w:r>
          </w:p>
        </w:tc>
      </w:tr>
      <w:tr>
        <w:tblPrEx>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Ex>
        <w:tc>
          <w:tcPr>
            <w:tcW w:w="4788" w:type="dxa"/>
            <w:tcBorders>
              <w:top w:val="single" w:color="CEC597" w:themeColor="accent5" w:sz="8" w:space="0"/>
              <w:left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rFonts w:eastAsiaTheme="majorEastAsia" w:cstheme="majorBidi"/>
                <w:b/>
                <w:bCs/>
                <w:sz w:val="24"/>
                <w:szCs w:val="24"/>
              </w:rPr>
            </w:pPr>
            <w:r>
              <w:rPr>
                <w:rFonts w:eastAsiaTheme="majorEastAsia" w:cstheme="majorBidi"/>
                <w:b w:val="0"/>
                <w:bCs/>
                <w:sz w:val="24"/>
                <w:szCs w:val="24"/>
              </w:rPr>
              <w:t xml:space="preserve">Product alternation threat </w:t>
            </w:r>
          </w:p>
        </w:tc>
        <w:tc>
          <w:tcPr>
            <w:tcW w:w="4788" w:type="dxa"/>
            <w:tcBorders>
              <w:top w:val="single" w:color="CEC597" w:themeColor="accent5" w:sz="8" w:space="0"/>
              <w:bottom w:val="single" w:color="CEC597" w:themeColor="accent5" w:sz="8" w:space="0"/>
              <w:right w:val="single" w:color="CEC597" w:themeColor="accent5" w:sz="8" w:space="0"/>
              <w:insideH w:val="single" w:sz="8" w:space="0"/>
              <w:insideV w:val="single" w:sz="8" w:space="0"/>
            </w:tcBorders>
            <w:shd w:val="clear" w:color="auto" w:fill="F2F0E5" w:themeFill="accent5" w:themeFillTint="3F"/>
          </w:tcPr>
          <w:p>
            <w:pPr>
              <w:spacing w:after="0"/>
              <w:rPr>
                <w:sz w:val="24"/>
                <w:szCs w:val="24"/>
              </w:rPr>
            </w:pPr>
            <w:r>
              <w:rPr>
                <w:sz w:val="24"/>
                <w:szCs w:val="24"/>
              </w:rPr>
              <w:t>Low</w:t>
            </w:r>
          </w:p>
        </w:tc>
      </w:tr>
    </w:tbl>
    <w:p/>
    <w:p>
      <w:pPr>
        <w:pStyle w:val="2"/>
        <w:rPr>
          <w:u w:val="single"/>
        </w:rPr>
      </w:pPr>
      <w:bookmarkStart w:id="7" w:name="_Toc12895"/>
      <w:r>
        <w:rPr>
          <w:u w:val="single"/>
        </w:rPr>
        <w:t>Internal analysis</w:t>
      </w:r>
      <w:bookmarkEnd w:id="7"/>
    </w:p>
    <w:p>
      <w:pPr>
        <w:pStyle w:val="3"/>
      </w:pPr>
      <w:bookmarkStart w:id="8" w:name="_Toc26716"/>
      <w:r>
        <w:t>Apple’s strategic resources and capabilities</w:t>
      </w:r>
      <w:bookmarkEnd w:id="8"/>
      <w:r>
        <w:t xml:space="preserve"> </w:t>
      </w:r>
    </w:p>
    <w:p>
      <w:pPr>
        <w:rPr>
          <w:shd w:val="clear" w:color="auto" w:fill="FFFFFF"/>
        </w:rPr>
      </w:pPr>
      <w:r>
        <w:t xml:space="preserve">As explicated by </w:t>
      </w:r>
      <w:r>
        <w:rPr>
          <w:rFonts w:cs="Times New Roman"/>
          <w:szCs w:val="24"/>
          <w:shd w:val="clear" w:color="auto" w:fill="FFFFFF"/>
        </w:rPr>
        <w:t>Nason and Wiklund (2018)</w:t>
      </w:r>
      <w:r>
        <w:t>, a strategic resource is regarded as an asset that is regarded as valuable, complicated to imitate, rare and organi</w:t>
      </w:r>
      <w:r>
        <w:rPr>
          <w:rFonts w:hint="default"/>
          <w:lang w:val="en-IN"/>
        </w:rPr>
        <w:t>z</w:t>
      </w:r>
      <w:r>
        <w:t xml:space="preserve">ed efficiently in pursuit of capturing a great value. As stated by </w:t>
      </w:r>
      <w:r>
        <w:rPr>
          <w:shd w:val="clear" w:color="auto" w:fill="FFFFFF"/>
        </w:rPr>
        <w:t>Barney and Hesterly (2018), the Resource-based View is an economic theory that posits that firm performance is regarded as a function of the types of capabilities and resources governed by the firms. In line with the theory, resources can be intangible and tangible in nature that a firm utili</w:t>
      </w:r>
      <w:r>
        <w:rPr>
          <w:rFonts w:hint="default"/>
          <w:shd w:val="clear" w:color="auto" w:fill="FFFFFF"/>
          <w:lang w:val="en-IN"/>
        </w:rPr>
        <w:t>z</w:t>
      </w:r>
      <w:r>
        <w:rPr>
          <w:shd w:val="clear" w:color="auto" w:fill="FFFFFF"/>
        </w:rPr>
        <w:t>es for implementing strategies. Besides, capabilities are explicated as a subset of resources that facilitates a firm in terms of adopting advantages of various other resources. Resources and capabilities can be explored as financial, organi</w:t>
      </w:r>
      <w:r>
        <w:rPr>
          <w:rFonts w:hint="default"/>
          <w:shd w:val="clear" w:color="auto" w:fill="FFFFFF"/>
          <w:lang w:val="en-IN"/>
        </w:rPr>
        <w:t>z</w:t>
      </w:r>
      <w:r>
        <w:rPr>
          <w:shd w:val="clear" w:color="auto" w:fill="FFFFFF"/>
        </w:rPr>
        <w:t>ational, physical and human (Barney and Hesterly, 2018). As far as financial resources are concerned, Apple has net sales worth 394.33 billion USD in FY 2022. Further, as reported by Macrot</w:t>
      </w:r>
      <w:r>
        <w:rPr>
          <w:rFonts w:hint="default"/>
          <w:shd w:val="clear" w:color="auto" w:fill="FFFFFF"/>
          <w:lang w:val="en-IN"/>
        </w:rPr>
        <w:t>re</w:t>
      </w:r>
      <w:r>
        <w:rPr>
          <w:shd w:val="clear" w:color="auto" w:fill="FFFFFF"/>
        </w:rPr>
        <w:t xml:space="preserve">nds (2022), the gross profit of Apple for the last 12 months was around $ 166.871 billion in the year 2022 which was a 2.53% amplification compared to the previous year. Moreover, as stated by Statista (2022), as of 2022, Apple has a staff strength of 164 thousand. </w:t>
      </w:r>
    </w:p>
    <w:p>
      <w:pPr>
        <w:rPr>
          <w:shd w:val="clear" w:color="auto" w:fill="FFFFFF"/>
        </w:rPr>
      </w:pPr>
      <w:r>
        <w:rPr>
          <w:shd w:val="clear" w:color="auto" w:fill="FFFFFF"/>
        </w:rPr>
        <w:t xml:space="preserve">Moreover, a salient aspect of human resource management is that employees are given frequent training so that they can efface their best for Apple. It has assisted the company in terms of retaining its brand image for a long. Besides, as far as the physical assets of Apple are concerned, as reported by </w:t>
      </w:r>
      <w:r>
        <w:rPr>
          <w:rFonts w:cs="Times New Roman"/>
          <w:szCs w:val="24"/>
          <w:shd w:val="clear" w:color="auto" w:fill="FFFFFF"/>
        </w:rPr>
        <w:t>Monczka et al. (2020)</w:t>
      </w:r>
      <w:r>
        <w:rPr>
          <w:shd w:val="clear" w:color="auto" w:fill="FFFFFF"/>
        </w:rPr>
        <w:t xml:space="preserve">, it is worth 352.76 billion USD. Further, Apple stores are located in all the major cities across the globe. All these have contributed to the competitive edge of Apple. </w:t>
      </w:r>
    </w:p>
    <w:p>
      <w:pPr>
        <w:rPr>
          <w:shd w:val="clear" w:color="auto" w:fill="FFFFFF"/>
        </w:rPr>
      </w:pPr>
    </w:p>
    <w:p>
      <w:pPr>
        <w:pStyle w:val="3"/>
        <w:rPr>
          <w:sz w:val="28"/>
          <w:szCs w:val="28"/>
        </w:rPr>
      </w:pPr>
      <w:bookmarkStart w:id="9" w:name="_Toc17549"/>
      <w:r>
        <w:rPr>
          <w:rFonts w:hint="default"/>
          <w:sz w:val="28"/>
          <w:szCs w:val="28"/>
          <w:lang w:val="en-US"/>
        </w:rPr>
        <w:t>1.</w:t>
      </w:r>
      <w:r>
        <w:rPr>
          <w:sz w:val="28"/>
          <w:szCs w:val="28"/>
        </w:rPr>
        <w:t>Value chain analysis</w:t>
      </w:r>
      <w:r>
        <w:rPr>
          <w:rFonts w:hint="default"/>
          <w:sz w:val="28"/>
          <w:szCs w:val="28"/>
          <w:lang w:val="en-US"/>
        </w:rPr>
        <w:t>:</w:t>
      </w:r>
      <w:bookmarkEnd w:id="9"/>
      <w:r>
        <w:rPr>
          <w:sz w:val="28"/>
          <w:szCs w:val="28"/>
        </w:rPr>
        <w:t xml:space="preserve"> </w:t>
      </w:r>
    </w:p>
    <w:p>
      <w:pPr>
        <w:rPr>
          <w:rFonts w:hint="default"/>
          <w:b/>
          <w:lang w:val="en-IN"/>
        </w:rPr>
      </w:pPr>
      <w:r>
        <w:rPr>
          <w:rFonts w:hint="default" w:ascii="Times New Roman" w:hAnsi="Times New Roman" w:eastAsia="sans-serif" w:cs="Times New Roman"/>
          <w:b w:val="0"/>
          <w:bCs w:val="0"/>
          <w:i w:val="0"/>
          <w:iCs w:val="0"/>
          <w:caps w:val="0"/>
          <w:color w:val="auto"/>
          <w:spacing w:val="0"/>
          <w:sz w:val="24"/>
          <w:szCs w:val="24"/>
        </w:rPr>
        <w:t>A</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value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chain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represents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the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categories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of</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activities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within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organization</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that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together</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create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product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or</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service.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Most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organizations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are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also</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part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of</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broader</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value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system,</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the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set</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of</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inter-organizational</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connections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and</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relationships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necessary</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to</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create</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products</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and</w:t>
      </w:r>
      <w:r>
        <w:rPr>
          <w:rFonts w:hint="default" w:ascii="Times New Roman" w:hAnsi="Times New Roman" w:eastAsia="sans-serif" w:cs="Times New Roman"/>
          <w:b w:val="0"/>
          <w:bCs w:val="0"/>
          <w:i w:val="0"/>
          <w:iCs w:val="0"/>
          <w:caps w:val="0"/>
          <w:color w:val="auto"/>
          <w:spacing w:val="0"/>
          <w:sz w:val="24"/>
          <w:szCs w:val="24"/>
          <w:shd w:val="clear" w:fill="FFFFFF"/>
        </w:rPr>
        <w:t xml:space="preserve"> </w:t>
      </w:r>
      <w:r>
        <w:rPr>
          <w:rFonts w:hint="default" w:ascii="Times New Roman" w:hAnsi="Times New Roman" w:eastAsia="sans-serif" w:cs="Times New Roman"/>
          <w:b w:val="0"/>
          <w:bCs w:val="0"/>
          <w:i w:val="0"/>
          <w:iCs w:val="0"/>
          <w:caps w:val="0"/>
          <w:color w:val="auto"/>
          <w:spacing w:val="0"/>
          <w:sz w:val="24"/>
          <w:szCs w:val="24"/>
        </w:rPr>
        <w:t>services.</w:t>
      </w:r>
      <w:r>
        <w:rPr>
          <w:rFonts w:hint="default" w:ascii="Times New Roman" w:hAnsi="Times New Roman" w:eastAsia="sans-serif" w:cs="Times New Roman"/>
          <w:b w:val="0"/>
          <w:bCs w:val="0"/>
          <w:i w:val="0"/>
          <w:iCs w:val="0"/>
          <w:caps w:val="0"/>
          <w:color w:val="auto"/>
          <w:spacing w:val="0"/>
          <w:sz w:val="24"/>
          <w:szCs w:val="24"/>
          <w:shd w:val="clear" w:fill="FFFFFF"/>
        </w:rPr>
        <w:t> </w:t>
      </w:r>
    </w:p>
    <w:p>
      <w:pPr>
        <w:rPr>
          <w:rFonts w:hint="default"/>
          <w:b/>
          <w:lang w:val="en-IN"/>
        </w:rPr>
      </w:pPr>
    </w:p>
    <w:p>
      <w:pPr>
        <w:numPr>
          <w:ilvl w:val="0"/>
          <w:numId w:val="11"/>
        </w:numPr>
        <w:ind w:left="420" w:leftChars="0" w:hanging="420" w:firstLineChars="0"/>
        <w:rPr>
          <w:b/>
          <w:i/>
          <w:sz w:val="28"/>
          <w:szCs w:val="28"/>
          <w:u w:val="single"/>
        </w:rPr>
      </w:pPr>
      <w:r>
        <w:rPr>
          <w:b/>
          <w:sz w:val="28"/>
          <w:szCs w:val="28"/>
        </w:rPr>
        <w:t xml:space="preserve">Primary activities </w:t>
      </w:r>
    </w:p>
    <w:p>
      <w:r>
        <w:rPr>
          <w:b/>
          <w:i/>
          <w:u w:val="single"/>
        </w:rPr>
        <w:t>Inbound logistics:</w:t>
      </w:r>
    </w:p>
    <w:p>
      <w:r>
        <w:t>Apple possesses a wider supply chain and it assisted the company in terms of procuring raw materials more conveniently. Some of the predominant suppliers of the company are from Asian countries like Japan and India (</w:t>
      </w:r>
      <w:r>
        <w:rPr>
          <w:rFonts w:cs="Times New Roman"/>
          <w:szCs w:val="24"/>
          <w:shd w:val="clear" w:color="auto" w:fill="FFFFFF"/>
        </w:rPr>
        <w:t>Lockamy 2017</w:t>
      </w:r>
      <w:r>
        <w:t xml:space="preserve">). Further, thanks to its outstanding financial capability, the company enjoys a sharp edge over its rivals. </w:t>
      </w:r>
    </w:p>
    <w:p>
      <w:pPr>
        <w:rPr>
          <w:b/>
          <w:i/>
          <w:u w:val="single"/>
        </w:rPr>
      </w:pPr>
      <w:r>
        <w:rPr>
          <w:b/>
          <w:i/>
          <w:u w:val="single"/>
        </w:rPr>
        <w:t xml:space="preserve">Operations: </w:t>
      </w:r>
    </w:p>
    <w:p>
      <w:r>
        <w:t xml:space="preserve">In terms of production, Apple has opted for extensive outsourcing and it has gone a long way for the company in terms of availing exponential cost-cutting. Most of the activities associated with assembling take place in China. Further, as observed by </w:t>
      </w:r>
      <w:r>
        <w:rPr>
          <w:rFonts w:cs="Times New Roman"/>
          <w:szCs w:val="24"/>
          <w:shd w:val="clear" w:color="auto" w:fill="FFFFFF"/>
        </w:rPr>
        <w:t>Aversa, Haefliger and Reza (2017)</w:t>
      </w:r>
      <w:r>
        <w:t xml:space="preserve">, Apple utilises robotics in order to process the recycling of old devices. </w:t>
      </w:r>
    </w:p>
    <w:p>
      <w:pPr>
        <w:rPr>
          <w:b/>
          <w:i/>
          <w:u w:val="single"/>
        </w:rPr>
      </w:pPr>
      <w:r>
        <w:rPr>
          <w:b/>
          <w:i/>
          <w:u w:val="single"/>
        </w:rPr>
        <w:t>Outbound logistics:</w:t>
      </w:r>
    </w:p>
    <w:p>
      <w:r>
        <w:t xml:space="preserve">As observed by </w:t>
      </w:r>
      <w:r>
        <w:rPr>
          <w:rFonts w:cs="Times New Roman"/>
          <w:szCs w:val="24"/>
          <w:shd w:val="clear" w:color="auto" w:fill="FFFFFF"/>
        </w:rPr>
        <w:t>Lockamy (2017)</w:t>
      </w:r>
      <w:r>
        <w:t xml:space="preserve">, the largest distribution channel Apple is comprised of the utilisation of both indirect and direct channels. In recent times, the company has adopted multiple initiatives in pursuit of decarbonising logistics management. Further, effective utilisation of direct and indirect distribution channels has also assisted Apple to mobilise outbound logistics. </w:t>
      </w:r>
    </w:p>
    <w:p>
      <w:pPr>
        <w:rPr>
          <w:b/>
          <w:i/>
          <w:u w:val="single"/>
        </w:rPr>
      </w:pPr>
      <w:r>
        <w:rPr>
          <w:b/>
          <w:i/>
          <w:u w:val="single"/>
        </w:rPr>
        <w:t>Marketing and sales:</w:t>
      </w:r>
    </w:p>
    <w:p>
      <w:r>
        <w:t xml:space="preserve">Apple has resorted to extensive social media promotion in recent times. Further, it has also managed to harness its brand loyalty to market its product extensively. Moreover, as observed by </w:t>
      </w:r>
      <w:r>
        <w:rPr>
          <w:rFonts w:cs="Times New Roman"/>
          <w:szCs w:val="24"/>
          <w:shd w:val="clear" w:color="auto" w:fill="FFFFFF"/>
        </w:rPr>
        <w:t>He et al. (2019)</w:t>
      </w:r>
      <w:r>
        <w:t xml:space="preserve">, innovation and creativity embedded in adverting Apple have managed to excel from other brands. </w:t>
      </w:r>
    </w:p>
    <w:p/>
    <w:p>
      <w:pPr>
        <w:numPr>
          <w:ilvl w:val="0"/>
          <w:numId w:val="11"/>
        </w:numPr>
        <w:ind w:left="420" w:leftChars="0" w:hanging="420" w:firstLineChars="0"/>
        <w:rPr>
          <w:b/>
        </w:rPr>
      </w:pPr>
      <w:r>
        <w:rPr>
          <w:b/>
          <w:sz w:val="28"/>
          <w:szCs w:val="28"/>
        </w:rPr>
        <w:t xml:space="preserve">Secondary activities: </w:t>
      </w:r>
    </w:p>
    <w:p>
      <w:pPr>
        <w:rPr>
          <w:b/>
          <w:i/>
          <w:u w:val="single"/>
        </w:rPr>
      </w:pPr>
      <w:r>
        <w:rPr>
          <w:b/>
          <w:i/>
          <w:u w:val="single"/>
        </w:rPr>
        <w:t>Technology development:</w:t>
      </w:r>
    </w:p>
    <w:p>
      <w:r>
        <w:t>One of the supporting activities contributing relentlessly to Apple's increasing popularity is research and development. The company invested a lion's share worth 11.6 billion USD in R&amp;D in the year 2017 (</w:t>
      </w:r>
      <w:r>
        <w:rPr>
          <w:rFonts w:cs="Times New Roman"/>
          <w:szCs w:val="24"/>
          <w:shd w:val="clear" w:color="auto" w:fill="FFFFFF"/>
        </w:rPr>
        <w:t>He et al., 2019</w:t>
      </w:r>
      <w:r>
        <w:t xml:space="preserve">). Some of the major technological development of Apple encompasses Face ID, Siri and other AI-led solutions. </w:t>
      </w:r>
    </w:p>
    <w:p>
      <w:pPr>
        <w:rPr>
          <w:b/>
          <w:i/>
          <w:u w:val="single"/>
        </w:rPr>
      </w:pPr>
      <w:r>
        <w:rPr>
          <w:b/>
          <w:i/>
          <w:u w:val="single"/>
        </w:rPr>
        <w:t xml:space="preserve">Human resource management: </w:t>
      </w:r>
    </w:p>
    <w:p>
      <w:r>
        <w:t>One of the impressive aspects of human resource management practices embraced by Apple is that the company has been utilising a unique training technique so that employees are well acquainted with emerging technologies and the right skills in order to administer their day-to-day jobs efficiently (</w:t>
      </w:r>
      <w:r>
        <w:rPr>
          <w:rFonts w:cs="Times New Roman"/>
          <w:szCs w:val="24"/>
          <w:shd w:val="clear" w:color="auto" w:fill="FFFFFF"/>
        </w:rPr>
        <w:t>Clarke and Boersma, 2017</w:t>
      </w:r>
      <w:r>
        <w:t xml:space="preserve">). </w:t>
      </w:r>
    </w:p>
    <w:p>
      <w:pPr>
        <w:rPr>
          <w:b/>
          <w:i/>
          <w:u w:val="single"/>
        </w:rPr>
      </w:pPr>
      <w:r>
        <w:rPr>
          <w:b/>
          <w:i/>
          <w:u w:val="single"/>
        </w:rPr>
        <w:t>Firm infrastructure:</w:t>
      </w:r>
    </w:p>
    <w:p>
      <w:r>
        <w:t>The firm infrastructure of Apple encompasses its administrative and general management sectors, accounting and financial management and technological infrastructures like AI, blockchain, and data analytics (</w:t>
      </w:r>
      <w:r>
        <w:rPr>
          <w:rFonts w:cs="Times New Roman"/>
          <w:szCs w:val="24"/>
          <w:shd w:val="clear" w:color="auto" w:fill="FFFFFF"/>
        </w:rPr>
        <w:t>Monczka et al., 2020</w:t>
      </w:r>
      <w:r>
        <w:t xml:space="preserve">). </w:t>
      </w:r>
    </w:p>
    <w:p>
      <w:pPr>
        <w:rPr>
          <w:b/>
          <w:i/>
          <w:u w:val="single"/>
        </w:rPr>
      </w:pPr>
      <w:r>
        <w:rPr>
          <w:b/>
          <w:i/>
          <w:u w:val="single"/>
        </w:rPr>
        <w:t>Procurement:</w:t>
      </w:r>
    </w:p>
    <w:p>
      <w:r>
        <w:t xml:space="preserve">As stated by </w:t>
      </w:r>
      <w:r>
        <w:rPr>
          <w:rFonts w:cs="Times New Roman"/>
          <w:szCs w:val="24"/>
          <w:shd w:val="clear" w:color="auto" w:fill="FFFFFF"/>
        </w:rPr>
        <w:t>He et al. (2019)</w:t>
      </w:r>
      <w:r>
        <w:t xml:space="preserve">, procurement activities encompass the purchase of raw materials, supplies and machines that are utilised for developing products and/or services. For the suppliers of Apple, it is concerned with large purchasers creating a mutually beneficial association that facilitates superior practices associated with procurement. </w:t>
      </w:r>
    </w:p>
    <w:p>
      <w:pPr>
        <w:jc w:val="center"/>
      </w:pPr>
      <w:r>
        <w:rPr>
          <w:lang w:val="en-US"/>
        </w:rPr>
        <w:drawing>
          <wp:inline distT="0" distB="0" distL="0" distR="0">
            <wp:extent cx="5162550" cy="2600325"/>
            <wp:effectExtent l="53975" t="38735" r="117475" b="119380"/>
            <wp:docPr id="5" name="Picture 1"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Value Chain Analysis EXPLAINED with EXAMPLES | B2U"/>
                    <pic:cNvPicPr>
                      <a:picLocks noChangeAspect="1" noChangeArrowheads="1"/>
                    </pic:cNvPicPr>
                  </pic:nvPicPr>
                  <pic:blipFill>
                    <a:blip r:embed="rId11"/>
                    <a:stretch>
                      <a:fillRect/>
                    </a:stretch>
                  </pic:blipFill>
                  <pic:spPr>
                    <a:xfrm>
                      <a:off x="0" y="0"/>
                      <a:ext cx="5170997" cy="260458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4: The value chain framework </w:t>
      </w:r>
    </w:p>
    <w:p>
      <w:pPr>
        <w:jc w:val="center"/>
      </w:pPr>
      <w:r>
        <w:t xml:space="preserve">(Source: </w:t>
      </w:r>
      <w:r>
        <w:rPr>
          <w:rFonts w:cs="Times New Roman"/>
          <w:szCs w:val="24"/>
          <w:shd w:val="clear" w:color="auto" w:fill="FFFFFF"/>
        </w:rPr>
        <w:t>Clarke and Boersma, 2017</w:t>
      </w:r>
      <w:r>
        <w:t>)</w:t>
      </w:r>
    </w:p>
    <w:p>
      <w:pPr>
        <w:pStyle w:val="3"/>
        <w:rPr>
          <w:rFonts w:hint="default"/>
          <w:lang w:val="en-US"/>
        </w:rPr>
      </w:pPr>
      <w:bookmarkStart w:id="10" w:name="_Toc11186"/>
      <w:r>
        <w:rPr>
          <w:rFonts w:hint="default"/>
          <w:u w:val="single"/>
          <w:lang w:val="en-IN"/>
        </w:rPr>
        <w:t>2.</w:t>
      </w:r>
      <w:r>
        <w:rPr>
          <w:u w:val="single"/>
        </w:rPr>
        <w:t xml:space="preserve">VRIO analysis </w:t>
      </w:r>
      <w:r>
        <w:rPr>
          <w:rFonts w:hint="default"/>
          <w:u w:val="single"/>
          <w:lang w:val="en-US"/>
        </w:rPr>
        <w:t>:</w:t>
      </w:r>
      <w:bookmarkEnd w:id="10"/>
    </w:p>
    <w:p>
      <w:pPr>
        <w:rPr>
          <w:rFonts w:hint="default"/>
          <w:shd w:val="clear" w:color="auto" w:fill="FFFFFF"/>
          <w:lang w:val="en-US"/>
        </w:rPr>
      </w:pPr>
      <w:r>
        <w:rPr>
          <w:rFonts w:hint="default"/>
          <w:lang w:val="en-US"/>
        </w:rPr>
        <w:t xml:space="preserve">VRIO framework is tool used to analyze firm’s  internal resource and capabilities to find out is they can be a sources of sustained competitive advanatage. </w:t>
      </w:r>
      <w:r>
        <w:t xml:space="preserve">As averred by </w:t>
      </w:r>
      <w:r>
        <w:rPr>
          <w:shd w:val="clear" w:color="auto" w:fill="FFFFFF"/>
        </w:rPr>
        <w:t xml:space="preserve">Barney and Hesterly , the VRIO is explicated as a framework that confluences two subsisting theoretical aspects, including the resource-based view and positioning point of view. </w:t>
      </w:r>
      <w:r>
        <w:rPr>
          <w:rFonts w:hint="default"/>
          <w:shd w:val="clear" w:color="auto" w:fill="FFFFFF"/>
          <w:lang w:val="en-US"/>
        </w:rPr>
        <w:t xml:space="preserve">Term VRIO comes from word </w:t>
      </w:r>
      <w:r>
        <w:rPr>
          <w:rFonts w:hint="default"/>
          <w:b/>
          <w:bCs/>
          <w:shd w:val="clear" w:color="auto" w:fill="FFFFFF"/>
          <w:lang w:val="en-US"/>
        </w:rPr>
        <w:t xml:space="preserve">value, rarity, imitability,and organization. </w:t>
      </w:r>
    </w:p>
    <w:p>
      <w:pPr>
        <w:rPr>
          <w:shd w:val="clear" w:color="auto" w:fill="FFFFFF"/>
        </w:rPr>
      </w:pPr>
      <w:r>
        <w:rPr>
          <w:shd w:val="clear" w:color="auto" w:fill="FFFFFF"/>
        </w:rPr>
        <w:t>The VRIO analysis of Apple has been accomplished below:</w:t>
      </w:r>
    </w:p>
    <w:tbl>
      <w:tblPr>
        <w:tblStyle w:val="8"/>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1596"/>
        <w:gridCol w:w="1596"/>
        <w:gridCol w:w="1596"/>
        <w:gridCol w:w="1596"/>
        <w:gridCol w:w="1596"/>
        <w:gridCol w:w="1596"/>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D9D7CE" w:themeFill="accent4" w:themeFillTint="99"/>
          </w:tcPr>
          <w:p>
            <w:pPr>
              <w:spacing w:after="0"/>
              <w:rPr>
                <w:b/>
              </w:rPr>
            </w:pPr>
            <w:r>
              <w:rPr>
                <w:b/>
              </w:rPr>
              <w:t xml:space="preserve">Key resources </w:t>
            </w:r>
          </w:p>
        </w:tc>
        <w:tc>
          <w:tcPr>
            <w:tcW w:w="1596" w:type="dxa"/>
            <w:shd w:val="clear" w:color="auto" w:fill="D9D7CE" w:themeFill="accent4" w:themeFillTint="99"/>
          </w:tcPr>
          <w:p>
            <w:pPr>
              <w:spacing w:after="0"/>
              <w:rPr>
                <w:b/>
              </w:rPr>
            </w:pPr>
            <w:r>
              <w:rPr>
                <w:b/>
              </w:rPr>
              <w:t xml:space="preserve">Value </w:t>
            </w:r>
          </w:p>
        </w:tc>
        <w:tc>
          <w:tcPr>
            <w:tcW w:w="1596" w:type="dxa"/>
            <w:shd w:val="clear" w:color="auto" w:fill="D9D7CE" w:themeFill="accent4" w:themeFillTint="99"/>
          </w:tcPr>
          <w:p>
            <w:pPr>
              <w:spacing w:after="0"/>
              <w:rPr>
                <w:b/>
              </w:rPr>
            </w:pPr>
            <w:r>
              <w:rPr>
                <w:b/>
              </w:rPr>
              <w:t>Rare</w:t>
            </w:r>
          </w:p>
        </w:tc>
        <w:tc>
          <w:tcPr>
            <w:tcW w:w="1596" w:type="dxa"/>
            <w:shd w:val="clear" w:color="auto" w:fill="D9D7CE" w:themeFill="accent4" w:themeFillTint="99"/>
          </w:tcPr>
          <w:p>
            <w:pPr>
              <w:spacing w:after="0"/>
              <w:rPr>
                <w:b/>
              </w:rPr>
            </w:pPr>
            <w:r>
              <w:rPr>
                <w:b/>
              </w:rPr>
              <w:t xml:space="preserve">Imitable </w:t>
            </w:r>
          </w:p>
        </w:tc>
        <w:tc>
          <w:tcPr>
            <w:tcW w:w="1596" w:type="dxa"/>
            <w:shd w:val="clear" w:color="auto" w:fill="D9D7CE" w:themeFill="accent4" w:themeFillTint="99"/>
          </w:tcPr>
          <w:p>
            <w:pPr>
              <w:spacing w:after="0"/>
              <w:rPr>
                <w:b/>
              </w:rPr>
            </w:pPr>
            <w:r>
              <w:rPr>
                <w:b/>
              </w:rPr>
              <w:t xml:space="preserve">Organisation </w:t>
            </w:r>
          </w:p>
        </w:tc>
        <w:tc>
          <w:tcPr>
            <w:tcW w:w="1596" w:type="dxa"/>
            <w:shd w:val="clear" w:color="auto" w:fill="D9D7CE" w:themeFill="accent4" w:themeFillTint="99"/>
          </w:tcPr>
          <w:p>
            <w:pPr>
              <w:spacing w:after="0"/>
              <w:rPr>
                <w:b/>
              </w:rPr>
            </w:pPr>
            <w:r>
              <w:rPr>
                <w:b/>
              </w:rPr>
              <w:t xml:space="preserve">Competitive advantage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E5E4DE" w:themeFill="accent4" w:themeFillTint="66"/>
          </w:tcPr>
          <w:p>
            <w:pPr>
              <w:spacing w:after="0"/>
            </w:pPr>
            <w:r>
              <w:t xml:space="preserve">Brand image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Sustained advantage in completion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1135" w:hRule="atLeast"/>
        </w:trPr>
        <w:tc>
          <w:tcPr>
            <w:tcW w:w="1596" w:type="dxa"/>
            <w:shd w:val="clear" w:color="auto" w:fill="E5E4DE" w:themeFill="accent4" w:themeFillTint="66"/>
          </w:tcPr>
          <w:p>
            <w:pPr>
              <w:spacing w:after="0"/>
            </w:pPr>
            <w:r>
              <w:t xml:space="preserve">Product Value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Yes</w:t>
            </w:r>
          </w:p>
        </w:tc>
        <w:tc>
          <w:tcPr>
            <w:tcW w:w="1596" w:type="dxa"/>
            <w:shd w:val="clear" w:color="auto" w:fill="E5E4DE" w:themeFill="accent4" w:themeFillTint="66"/>
          </w:tcPr>
          <w:p>
            <w:pPr>
              <w:spacing w:after="0"/>
            </w:pPr>
            <w:r>
              <w:t>No</w:t>
            </w:r>
          </w:p>
        </w:tc>
        <w:tc>
          <w:tcPr>
            <w:tcW w:w="1596" w:type="dxa"/>
            <w:shd w:val="clear" w:color="auto" w:fill="E5E4DE" w:themeFill="accent4" w:themeFillTint="66"/>
          </w:tcPr>
          <w:p>
            <w:pPr>
              <w:spacing w:after="0"/>
            </w:pPr>
            <w:r>
              <w:t xml:space="preserve">Lack of competitive advantage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E5E4DE" w:themeFill="accent4" w:themeFillTint="66"/>
          </w:tcPr>
          <w:p>
            <w:pPr>
              <w:spacing w:after="0"/>
            </w:pPr>
            <w:r>
              <w:t xml:space="preserve">Supply chain management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Yes</w:t>
            </w:r>
          </w:p>
        </w:tc>
        <w:tc>
          <w:tcPr>
            <w:tcW w:w="1596" w:type="dxa"/>
            <w:shd w:val="clear" w:color="auto" w:fill="E5E4DE" w:themeFill="accent4" w:themeFillTint="66"/>
          </w:tcPr>
          <w:p>
            <w:pPr>
              <w:spacing w:after="0"/>
            </w:pPr>
            <w:r>
              <w:t>Yes</w:t>
            </w:r>
          </w:p>
        </w:tc>
        <w:tc>
          <w:tcPr>
            <w:tcW w:w="1596" w:type="dxa"/>
            <w:shd w:val="clear" w:color="auto" w:fill="E5E4DE" w:themeFill="accent4" w:themeFillTint="66"/>
          </w:tcPr>
          <w:p>
            <w:pPr>
              <w:spacing w:after="0"/>
            </w:pPr>
            <w:r>
              <w:t>Long-term advantage in competition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1596" w:type="dxa"/>
            <w:shd w:val="clear" w:color="auto" w:fill="E5E4DE" w:themeFill="accent4" w:themeFillTint="66"/>
          </w:tcPr>
          <w:p>
            <w:pPr>
              <w:spacing w:after="0"/>
            </w:pPr>
            <w:r>
              <w:t>Product quality</w:t>
            </w:r>
            <w:r>
              <w:rPr>
                <w:rFonts w:hint="default"/>
                <w:lang w:val="en-US"/>
              </w:rPr>
              <w:t xml:space="preserve"> </w:t>
            </w:r>
            <w:r>
              <w:t xml:space="preserve">and range </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 xml:space="preserve">No </w:t>
            </w:r>
          </w:p>
        </w:tc>
        <w:tc>
          <w:tcPr>
            <w:tcW w:w="1596" w:type="dxa"/>
            <w:shd w:val="clear" w:color="auto" w:fill="E5E4DE" w:themeFill="accent4" w:themeFillTint="66"/>
          </w:tcPr>
          <w:p>
            <w:pPr>
              <w:spacing w:after="0"/>
            </w:pPr>
            <w:r>
              <w:t>No</w:t>
            </w:r>
          </w:p>
        </w:tc>
        <w:tc>
          <w:tcPr>
            <w:tcW w:w="1596" w:type="dxa"/>
            <w:shd w:val="clear" w:color="auto" w:fill="E5E4DE" w:themeFill="accent4" w:themeFillTint="66"/>
          </w:tcPr>
          <w:p>
            <w:pPr>
              <w:spacing w:after="0"/>
            </w:pPr>
            <w:r>
              <w:t xml:space="preserve">Yes </w:t>
            </w:r>
          </w:p>
        </w:tc>
        <w:tc>
          <w:tcPr>
            <w:tcW w:w="1596" w:type="dxa"/>
            <w:shd w:val="clear" w:color="auto" w:fill="E5E4DE" w:themeFill="accent4" w:themeFillTint="66"/>
          </w:tcPr>
          <w:p>
            <w:pPr>
              <w:spacing w:after="0"/>
            </w:pPr>
            <w:r>
              <w:t>Long-term advantage in competition</w:t>
            </w:r>
          </w:p>
        </w:tc>
      </w:tr>
    </w:tbl>
    <w:p/>
    <w:p>
      <w:pPr>
        <w:numPr>
          <w:ilvl w:val="0"/>
          <w:numId w:val="12"/>
        </w:numPr>
        <w:ind w:left="420" w:leftChars="0" w:hanging="420" w:firstLineChars="0"/>
        <w:rPr>
          <w:rFonts w:hint="default"/>
          <w:lang w:val="en-US"/>
        </w:rPr>
      </w:pPr>
      <w:r>
        <w:rPr>
          <w:rFonts w:hint="default"/>
          <w:lang w:val="en-US"/>
        </w:rPr>
        <w:t>What is Valuable Resource for Apple?</w:t>
      </w:r>
    </w:p>
    <w:p>
      <w:pPr>
        <w:numPr>
          <w:ilvl w:val="0"/>
          <w:numId w:val="0"/>
        </w:numPr>
        <w:ind w:leftChars="0"/>
      </w:pPr>
      <w:r>
        <w:rPr>
          <w:rFonts w:hint="default"/>
          <w:lang w:val="en-US"/>
        </w:rPr>
        <w:t xml:space="preserve">         Apple is a multinational company so its resources and capability is considered as valuable, its also allow apple to grab opportunities and neglect threats for both micro and macro environment. For example Apple Brand Image and its product value is consider as there best valuable resource, due to this apple gets the sustainable competitiveness. </w:t>
      </w:r>
    </w:p>
    <w:p>
      <w:pPr>
        <w:numPr>
          <w:ilvl w:val="0"/>
          <w:numId w:val="12"/>
        </w:numPr>
        <w:ind w:left="420" w:leftChars="0" w:hanging="420" w:firstLineChars="0"/>
      </w:pPr>
      <w:r>
        <w:rPr>
          <w:rFonts w:hint="default"/>
          <w:lang w:val="en-US"/>
        </w:rPr>
        <w:t>What is Rare Resource for Apple?</w:t>
      </w:r>
    </w:p>
    <w:p>
      <w:pPr>
        <w:numPr>
          <w:ilvl w:val="0"/>
          <w:numId w:val="0"/>
        </w:numPr>
        <w:ind w:leftChars="0"/>
        <w:rPr>
          <w:rFonts w:hint="default"/>
          <w:lang w:val="en-US"/>
        </w:rPr>
      </w:pPr>
      <w:r>
        <w:rPr>
          <w:rFonts w:hint="default"/>
          <w:lang w:val="en-US"/>
        </w:rPr>
        <w:t xml:space="preserve">          As we know Apple’s Brand image and product value is valuable, but nowadays any industry can make products and brand image by advertising, thus its so important to make </w:t>
      </w:r>
      <w:r>
        <w:rPr>
          <w:rFonts w:hint="default"/>
          <w:b/>
          <w:bCs/>
          <w:lang w:val="en-US"/>
        </w:rPr>
        <w:t xml:space="preserve">RARE  </w:t>
      </w:r>
      <w:r>
        <w:rPr>
          <w:rFonts w:hint="default"/>
          <w:b w:val="0"/>
          <w:bCs w:val="0"/>
          <w:lang w:val="en-US"/>
        </w:rPr>
        <w:t xml:space="preserve">resources to  compete in industry.  Apple has that compability to stand alone in market because of there products every year they are innovating something new in there product.                                         </w:t>
      </w:r>
      <w:r>
        <w:rPr>
          <w:rFonts w:hint="default"/>
          <w:lang w:val="en-US"/>
        </w:rPr>
        <w:t>Thus holding rare resources can provide Apple competitive advantage against players that don’t have those rare resources.</w:t>
      </w:r>
    </w:p>
    <w:p>
      <w:pPr>
        <w:numPr>
          <w:ilvl w:val="0"/>
          <w:numId w:val="12"/>
        </w:numPr>
        <w:ind w:left="420" w:leftChars="0" w:hanging="420" w:firstLineChars="0"/>
        <w:rPr>
          <w:rFonts w:hint="default"/>
          <w:lang w:val="en-US"/>
        </w:rPr>
      </w:pPr>
      <w:r>
        <w:rPr>
          <w:rFonts w:hint="default"/>
          <w:lang w:val="en-US"/>
        </w:rPr>
        <w:t>What is Inimitable Resource for Apple?</w:t>
      </w:r>
    </w:p>
    <w:p>
      <w:pPr>
        <w:numPr>
          <w:ilvl w:val="0"/>
          <w:numId w:val="0"/>
        </w:numPr>
        <w:ind w:leftChars="0"/>
        <w:rPr>
          <w:rFonts w:hint="default"/>
          <w:lang w:val="en-US"/>
        </w:rPr>
      </w:pPr>
      <w:r>
        <w:rPr>
          <w:rFonts w:hint="default"/>
          <w:lang w:val="en-US"/>
        </w:rPr>
        <w:t xml:space="preserve">          A precious and scarce resource can give Apple a competitive advantage for a period of time, as all competitors will try to imitate or duplicate that resource. A sustainable competitive advantage arises when it is difficult for competitors to imitate resources. By innovating in our products, reducing service delivery pain points, and pursuing effective after-sales service strategies, Apple is in a unique position. </w:t>
      </w:r>
    </w:p>
    <w:p>
      <w:pPr>
        <w:numPr>
          <w:ilvl w:val="0"/>
          <w:numId w:val="0"/>
        </w:numPr>
        <w:ind w:leftChars="0"/>
        <w:rPr>
          <w:rFonts w:hint="default"/>
          <w:lang w:val="en-US"/>
        </w:rPr>
      </w:pPr>
    </w:p>
    <w:p>
      <w:pPr>
        <w:numPr>
          <w:ilvl w:val="0"/>
          <w:numId w:val="0"/>
        </w:numPr>
        <w:ind w:leftChars="0"/>
        <w:rPr>
          <w:rFonts w:hint="default"/>
          <w:lang w:val="en-US"/>
        </w:rPr>
      </w:pPr>
    </w:p>
    <w:p>
      <w:pPr>
        <w:numPr>
          <w:ilvl w:val="0"/>
          <w:numId w:val="12"/>
        </w:numPr>
        <w:ind w:left="420" w:leftChars="0" w:hanging="420" w:firstLineChars="0"/>
        <w:rPr>
          <w:rFonts w:hint="default"/>
          <w:lang w:val="en-US"/>
        </w:rPr>
      </w:pPr>
      <w:r>
        <w:rPr>
          <w:rFonts w:hint="default"/>
          <w:lang w:val="en-US"/>
        </w:rPr>
        <w:t>What is  Organization for Apple?</w:t>
      </w:r>
    </w:p>
    <w:p>
      <w:pPr>
        <w:numPr>
          <w:ilvl w:val="0"/>
          <w:numId w:val="0"/>
        </w:numPr>
        <w:ind w:leftChars="0"/>
      </w:pPr>
      <w:r>
        <w:rPr>
          <w:rFonts w:hint="default"/>
          <w:lang w:val="en-US"/>
        </w:rPr>
        <w:t xml:space="preserve">  Even if Apple had all the rare, elusive and valuable resources, that doesn't automatically translate into a sustainable competitive advantage. The key to building a sustainable competitive advantage is having organizational skills, expertise and structure to leverage resources. If Apple isn't organized around its strengths, it can't take advantage of all the resources it has. </w:t>
      </w:r>
    </w:p>
    <w:p/>
    <w:p>
      <w:pPr>
        <w:pStyle w:val="3"/>
      </w:pPr>
      <w:bookmarkStart w:id="11" w:name="_Toc24712"/>
      <w:r>
        <w:rPr>
          <w:rFonts w:hint="default"/>
          <w:u w:val="single"/>
          <w:lang w:val="en-IN"/>
        </w:rPr>
        <w:t>3.</w:t>
      </w:r>
      <w:r>
        <w:rPr>
          <w:u w:val="single"/>
        </w:rPr>
        <w:t>SWOT analysis</w:t>
      </w:r>
      <w:bookmarkEnd w:id="11"/>
      <w:r>
        <w:rPr>
          <w:u w:val="single"/>
        </w:rPr>
        <w:t xml:space="preserve"> </w:t>
      </w:r>
    </w:p>
    <w:p>
      <w:r>
        <w:t xml:space="preserve">As averred by </w:t>
      </w:r>
      <w:r>
        <w:rPr>
          <w:shd w:val="clear" w:color="auto" w:fill="FFFFFF"/>
        </w:rPr>
        <w:t>Barney and Hesterly (2018)</w:t>
      </w:r>
      <w:r>
        <w:t>, SWOT analysis is a viable tool to explore strategies utilised for generating a particular business framework in accordance with the available resources and capabilities possessed by a  business entity. The SWOT analysis of Apple INC is accomplished below:</w:t>
      </w:r>
    </w:p>
    <w:p>
      <w:pPr>
        <w:rPr>
          <w:rFonts w:hint="default"/>
          <w:lang w:val="en-IN"/>
        </w:rPr>
      </w:pPr>
      <w:r>
        <w:rPr>
          <w:rFonts w:hint="default"/>
          <w:lang w:val="en-IN"/>
        </w:rPr>
        <w:drawing>
          <wp:inline distT="0" distB="0" distL="114300" distR="114300">
            <wp:extent cx="6012815" cy="4157345"/>
            <wp:effectExtent l="0" t="0" r="6985" b="3175"/>
            <wp:docPr id="12" name="Picture 12" descr="WhatsApp Image 2023-04-21 at 12.13.33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WhatsApp Image 2023-04-21 at 12.13.33 AM"/>
                    <pic:cNvPicPr>
                      <a:picLocks noChangeAspect="1"/>
                    </pic:cNvPicPr>
                  </pic:nvPicPr>
                  <pic:blipFill>
                    <a:blip r:embed="rId12"/>
                    <a:stretch>
                      <a:fillRect/>
                    </a:stretch>
                  </pic:blipFill>
                  <pic:spPr>
                    <a:xfrm>
                      <a:off x="0" y="0"/>
                      <a:ext cx="6012815" cy="4157345"/>
                    </a:xfrm>
                    <a:prstGeom prst="rect">
                      <a:avLst/>
                    </a:prstGeom>
                  </pic:spPr>
                </pic:pic>
              </a:graphicData>
            </a:graphic>
          </wp:inline>
        </w:drawing>
      </w:r>
    </w:p>
    <w:p>
      <w:pPr>
        <w:ind w:firstLine="3480" w:firstLineChars="1450"/>
      </w:pPr>
      <w:r>
        <w:rPr>
          <w:rFonts w:hint="default"/>
          <w:lang w:val="en-IN"/>
        </w:rPr>
        <w:t xml:space="preserve"> Source: Market line</w:t>
      </w:r>
    </w:p>
    <w:p/>
    <w:tbl>
      <w:tblPr>
        <w:tblStyle w:val="8"/>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4788"/>
        <w:gridCol w:w="4788"/>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CFE0CF" w:themeFill="accent2" w:themeFillTint="99"/>
          </w:tcPr>
          <w:p>
            <w:pPr>
              <w:spacing w:after="0"/>
              <w:ind w:firstLine="1321" w:firstLineChars="550"/>
              <w:jc w:val="both"/>
              <w:rPr>
                <w:b/>
                <w:sz w:val="24"/>
                <w:szCs w:val="24"/>
              </w:rPr>
            </w:pPr>
            <w:r>
              <w:rPr>
                <w:b/>
                <w:sz w:val="24"/>
                <w:szCs w:val="24"/>
              </w:rPr>
              <w:t>Strength</w:t>
            </w:r>
          </w:p>
        </w:tc>
        <w:tc>
          <w:tcPr>
            <w:tcW w:w="4788" w:type="dxa"/>
            <w:shd w:val="clear" w:color="auto" w:fill="CFE0CF" w:themeFill="accent2" w:themeFillTint="99"/>
          </w:tcPr>
          <w:p>
            <w:pPr>
              <w:spacing w:after="0"/>
              <w:jc w:val="center"/>
              <w:rPr>
                <w:b/>
                <w:sz w:val="24"/>
                <w:szCs w:val="24"/>
              </w:rPr>
            </w:pPr>
            <w:r>
              <w:rPr>
                <w:b/>
                <w:sz w:val="24"/>
                <w:szCs w:val="24"/>
              </w:rPr>
              <w:t>Weaknesses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DFEADF" w:themeFill="accent2" w:themeFillTint="66"/>
          </w:tcPr>
          <w:p>
            <w:pPr>
              <w:pStyle w:val="13"/>
              <w:numPr>
                <w:ilvl w:val="0"/>
                <w:numId w:val="13"/>
              </w:numPr>
              <w:spacing w:after="0"/>
              <w:rPr>
                <w:sz w:val="24"/>
                <w:szCs w:val="24"/>
              </w:rPr>
            </w:pPr>
            <w:r>
              <w:rPr>
                <w:sz w:val="24"/>
                <w:szCs w:val="24"/>
              </w:rPr>
              <w:t>Appl</w:t>
            </w:r>
            <w:r>
              <w:rPr>
                <w:rFonts w:hint="default"/>
                <w:sz w:val="24"/>
                <w:szCs w:val="24"/>
                <w:lang w:val="en-IN"/>
              </w:rPr>
              <w:t>e uses both direct and indirect distribution channels to effectively reach its cutomers.</w:t>
            </w:r>
          </w:p>
          <w:p>
            <w:pPr>
              <w:pStyle w:val="13"/>
              <w:numPr>
                <w:ilvl w:val="0"/>
                <w:numId w:val="13"/>
              </w:numPr>
              <w:spacing w:after="0"/>
              <w:rPr>
                <w:sz w:val="24"/>
                <w:szCs w:val="24"/>
              </w:rPr>
            </w:pPr>
            <w:r>
              <w:rPr>
                <w:rFonts w:hint="default"/>
                <w:sz w:val="24"/>
                <w:szCs w:val="24"/>
              </w:rPr>
              <w:t>Apple’s ability to compete with peers depends upon its ability to ensure a continuous</w:t>
            </w:r>
            <w:r>
              <w:rPr>
                <w:rFonts w:hint="default"/>
                <w:sz w:val="24"/>
                <w:szCs w:val="24"/>
                <w:lang w:val="en-IN"/>
              </w:rPr>
              <w:t xml:space="preserve"> </w:t>
            </w:r>
            <w:r>
              <w:rPr>
                <w:rFonts w:hint="default"/>
                <w:sz w:val="24"/>
                <w:szCs w:val="24"/>
              </w:rPr>
              <w:t>and timely introduction of innovative and competitive products, services, and technologies.</w:t>
            </w:r>
          </w:p>
          <w:p>
            <w:pPr>
              <w:pStyle w:val="13"/>
              <w:numPr>
                <w:ilvl w:val="0"/>
                <w:numId w:val="13"/>
              </w:numPr>
              <w:spacing w:after="0"/>
              <w:rPr>
                <w:sz w:val="24"/>
                <w:szCs w:val="24"/>
              </w:rPr>
            </w:pPr>
            <w:r>
              <w:rPr>
                <w:sz w:val="24"/>
                <w:szCs w:val="24"/>
              </w:rPr>
              <w:t xml:space="preserve">As reported by Statista (2022), the net income of Apple reached 99.8 billion USD in the year 2022 </w:t>
            </w:r>
          </w:p>
          <w:p>
            <w:pPr>
              <w:pStyle w:val="13"/>
              <w:numPr>
                <w:ilvl w:val="0"/>
                <w:numId w:val="13"/>
              </w:numPr>
              <w:spacing w:after="0"/>
              <w:rPr>
                <w:sz w:val="24"/>
                <w:szCs w:val="24"/>
              </w:rPr>
            </w:pPr>
            <w:r>
              <w:rPr>
                <w:sz w:val="24"/>
                <w:szCs w:val="24"/>
              </w:rPr>
              <w:t>Another strength of Apple is associated with its extraordinary capability of innovation and offering ingenious products l</w:t>
            </w:r>
            <w:r>
              <w:rPr>
                <w:rFonts w:hint="default"/>
                <w:sz w:val="24"/>
                <w:szCs w:val="24"/>
                <w:lang w:val="en-IN"/>
              </w:rPr>
              <w:t>w</w:t>
            </w:r>
            <w:r>
              <w:rPr>
                <w:sz w:val="24"/>
                <w:szCs w:val="24"/>
              </w:rPr>
              <w:t>ike iPhone, Ipad, Mac and so on.</w:t>
            </w:r>
          </w:p>
          <w:p>
            <w:pPr>
              <w:spacing w:after="0"/>
              <w:rPr>
                <w:sz w:val="24"/>
                <w:szCs w:val="24"/>
              </w:rPr>
            </w:pPr>
          </w:p>
        </w:tc>
        <w:tc>
          <w:tcPr>
            <w:tcW w:w="4788" w:type="dxa"/>
            <w:shd w:val="clear" w:color="auto" w:fill="DFEADF" w:themeFill="accent2" w:themeFillTint="66"/>
          </w:tcPr>
          <w:p>
            <w:pPr>
              <w:pStyle w:val="13"/>
              <w:numPr>
                <w:ilvl w:val="0"/>
                <w:numId w:val="13"/>
              </w:numPr>
              <w:spacing w:after="0"/>
              <w:rPr>
                <w:sz w:val="24"/>
                <w:szCs w:val="24"/>
              </w:rPr>
            </w:pPr>
            <w:r>
              <w:rPr>
                <w:rFonts w:hint="default"/>
                <w:sz w:val="24"/>
                <w:szCs w:val="24"/>
              </w:rPr>
              <w:t>Lawsuits may damage the company’s brand image</w:t>
            </w:r>
            <w:r>
              <w:rPr>
                <w:rFonts w:hint="default"/>
                <w:sz w:val="24"/>
                <w:szCs w:val="24"/>
                <w:lang w:val="en-IN"/>
              </w:rPr>
              <w:t>, In August 2022, a lawsuit was filed against the company in the UK for misleading Iphone users on a controversial power management tool.</w:t>
            </w:r>
          </w:p>
          <w:p>
            <w:pPr>
              <w:pStyle w:val="13"/>
              <w:numPr>
                <w:ilvl w:val="0"/>
                <w:numId w:val="13"/>
              </w:numPr>
              <w:spacing w:after="0"/>
              <w:rPr>
                <w:sz w:val="24"/>
                <w:szCs w:val="24"/>
              </w:rPr>
            </w:pPr>
            <w:r>
              <w:rPr>
                <w:sz w:val="24"/>
                <w:szCs w:val="24"/>
              </w:rPr>
              <w:t>The company has been encountering production challenges regarding iPhone 14 Pro and iPhone 14 Pro Max</w:t>
            </w:r>
            <w:r>
              <w:rPr>
                <w:rFonts w:hint="default"/>
                <w:sz w:val="24"/>
                <w:szCs w:val="24"/>
                <w:lang w:val="en-IN"/>
              </w:rPr>
              <w:t>.</w:t>
            </w:r>
          </w:p>
          <w:p>
            <w:pPr>
              <w:pStyle w:val="13"/>
              <w:numPr>
                <w:ilvl w:val="0"/>
                <w:numId w:val="13"/>
              </w:numPr>
              <w:shd w:val="clear" w:color="auto" w:fill="DFEADF" w:themeFill="accent2" w:themeFillTint="66"/>
              <w:spacing w:after="0"/>
              <w:rPr>
                <w:sz w:val="24"/>
                <w:szCs w:val="24"/>
              </w:rPr>
            </w:pPr>
            <w:r>
              <w:rPr>
                <w:sz w:val="24"/>
                <w:szCs w:val="24"/>
              </w:rPr>
              <w:t xml:space="preserve">Highly expensive products analogising with the competitors are regarded as one of the pressing weaknesses of Apple </w:t>
            </w:r>
            <w:r>
              <w:rPr>
                <w:rFonts w:hint="default"/>
                <w:sz w:val="24"/>
                <w:szCs w:val="24"/>
                <w:lang w:val="en-IN"/>
              </w:rPr>
              <w:t>.</w:t>
            </w:r>
          </w:p>
          <w:p>
            <w:pPr>
              <w:pStyle w:val="13"/>
              <w:numPr>
                <w:ilvl w:val="0"/>
                <w:numId w:val="13"/>
              </w:numPr>
              <w:spacing w:after="0"/>
              <w:rPr>
                <w:sz w:val="24"/>
                <w:szCs w:val="24"/>
              </w:rPr>
            </w:pPr>
            <w:r>
              <w:rPr>
                <w:sz w:val="24"/>
                <w:szCs w:val="24"/>
              </w:rPr>
              <w:t xml:space="preserve">High extent of litigation has been creating a bad consumer perception of Apple across the world </w:t>
            </w:r>
            <w:r>
              <w:rPr>
                <w:rFonts w:hint="default"/>
                <w:sz w:val="24"/>
                <w:szCs w:val="24"/>
                <w:lang w:val="en-IN"/>
              </w:rPr>
              <w:t>.</w:t>
            </w:r>
            <w:r>
              <w:rPr>
                <w:sz w:val="24"/>
                <w:szCs w:val="24"/>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DFEADF" w:themeFill="accent2" w:themeFillTint="66"/>
          </w:tcPr>
          <w:p>
            <w:pPr>
              <w:spacing w:after="0"/>
              <w:jc w:val="center"/>
              <w:rPr>
                <w:b/>
                <w:sz w:val="24"/>
                <w:szCs w:val="24"/>
              </w:rPr>
            </w:pPr>
            <w:r>
              <w:rPr>
                <w:b/>
                <w:sz w:val="24"/>
                <w:szCs w:val="24"/>
              </w:rPr>
              <w:t>Opportunities</w:t>
            </w:r>
          </w:p>
        </w:tc>
        <w:tc>
          <w:tcPr>
            <w:tcW w:w="4788" w:type="dxa"/>
            <w:shd w:val="clear" w:color="auto" w:fill="DFEADF" w:themeFill="accent2" w:themeFillTint="66"/>
          </w:tcPr>
          <w:p>
            <w:pPr>
              <w:spacing w:after="0"/>
              <w:jc w:val="center"/>
              <w:rPr>
                <w:b/>
                <w:sz w:val="24"/>
                <w:szCs w:val="24"/>
              </w:rPr>
            </w:pPr>
            <w:r>
              <w:rPr>
                <w:b/>
                <w:sz w:val="24"/>
                <w:szCs w:val="24"/>
              </w:rPr>
              <w:t>Threats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788" w:type="dxa"/>
            <w:shd w:val="clear" w:color="auto" w:fill="DFEADF" w:themeFill="accent2" w:themeFillTint="66"/>
          </w:tcPr>
          <w:p>
            <w:pPr>
              <w:pStyle w:val="13"/>
              <w:numPr>
                <w:ilvl w:val="0"/>
                <w:numId w:val="14"/>
              </w:numPr>
              <w:spacing w:after="0"/>
              <w:rPr>
                <w:sz w:val="24"/>
                <w:szCs w:val="24"/>
              </w:rPr>
            </w:pPr>
            <w:r>
              <w:rPr>
                <w:rFonts w:hint="default"/>
                <w:sz w:val="24"/>
                <w:szCs w:val="24"/>
              </w:rPr>
              <w:t xml:space="preserve">The company has entered into various agreement and partnerships to expand its business operations. </w:t>
            </w:r>
          </w:p>
          <w:p>
            <w:pPr>
              <w:pStyle w:val="13"/>
              <w:numPr>
                <w:ilvl w:val="0"/>
                <w:numId w:val="14"/>
              </w:numPr>
              <w:spacing w:after="0"/>
              <w:rPr>
                <w:sz w:val="24"/>
                <w:szCs w:val="24"/>
              </w:rPr>
            </w:pPr>
            <w:r>
              <w:rPr>
                <w:rFonts w:hint="default"/>
                <w:sz w:val="24"/>
                <w:szCs w:val="24"/>
              </w:rPr>
              <w:t>In December 2022, the company and Ericsson entered into a global patent license agreement to end a row over royalty payments for the use of 5G wireless patents in iPhones.</w:t>
            </w:r>
          </w:p>
          <w:p>
            <w:pPr>
              <w:pStyle w:val="13"/>
              <w:numPr>
                <w:ilvl w:val="0"/>
                <w:numId w:val="14"/>
              </w:numPr>
              <w:spacing w:after="0"/>
              <w:rPr>
                <w:sz w:val="24"/>
                <w:szCs w:val="24"/>
              </w:rPr>
            </w:pPr>
            <w:r>
              <w:rPr>
                <w:rFonts w:hint="default"/>
                <w:sz w:val="24"/>
                <w:szCs w:val="24"/>
                <w:lang w:val="en-IN"/>
              </w:rPr>
              <w:t>I</w:t>
            </w:r>
            <w:r>
              <w:rPr>
                <w:rFonts w:hint="default"/>
                <w:sz w:val="24"/>
                <w:szCs w:val="24"/>
              </w:rPr>
              <w:t>n October 2022, the company partnered with Mercedes-Benz AG, to provide spatial audio to drivers worldwide.</w:t>
            </w:r>
          </w:p>
        </w:tc>
        <w:tc>
          <w:tcPr>
            <w:tcW w:w="4788" w:type="dxa"/>
            <w:shd w:val="clear" w:color="auto" w:fill="DFEADF" w:themeFill="accent2" w:themeFillTint="66"/>
          </w:tcPr>
          <w:p>
            <w:pPr>
              <w:pStyle w:val="13"/>
              <w:numPr>
                <w:ilvl w:val="0"/>
                <w:numId w:val="14"/>
              </w:numPr>
              <w:spacing w:after="0"/>
              <w:rPr>
                <w:sz w:val="24"/>
                <w:szCs w:val="24"/>
              </w:rPr>
            </w:pPr>
            <w:r>
              <w:rPr>
                <w:sz w:val="24"/>
                <w:szCs w:val="24"/>
              </w:rPr>
              <w:t>One of the biggest possible</w:t>
            </w:r>
            <w:r>
              <w:rPr>
                <w:rFonts w:hint="default"/>
                <w:sz w:val="24"/>
                <w:szCs w:val="24"/>
                <w:lang w:val="en-IN"/>
              </w:rPr>
              <w:t xml:space="preserve"> threats is exchange rate which may effects its agreements and also the power of customers becomes low.</w:t>
            </w:r>
          </w:p>
          <w:p>
            <w:pPr>
              <w:pStyle w:val="13"/>
              <w:numPr>
                <w:ilvl w:val="0"/>
                <w:numId w:val="14"/>
              </w:numPr>
              <w:spacing w:after="0"/>
              <w:rPr>
                <w:sz w:val="24"/>
                <w:szCs w:val="24"/>
              </w:rPr>
            </w:pPr>
            <w:r>
              <w:rPr>
                <w:sz w:val="24"/>
                <w:szCs w:val="24"/>
              </w:rPr>
              <w:t xml:space="preserve">Increasing completion with Google's Android operating system can affect the market share of Apple in future to a great magnitude </w:t>
            </w:r>
          </w:p>
          <w:p>
            <w:pPr>
              <w:pStyle w:val="13"/>
              <w:numPr>
                <w:ilvl w:val="0"/>
                <w:numId w:val="14"/>
              </w:numPr>
              <w:spacing w:after="0"/>
              <w:rPr>
                <w:sz w:val="24"/>
                <w:szCs w:val="24"/>
              </w:rPr>
            </w:pPr>
            <w:r>
              <w:rPr>
                <w:sz w:val="24"/>
                <w:szCs w:val="24"/>
              </w:rPr>
              <w:t xml:space="preserve">High product pricing and economic downturn may further lower the demand for Apple's products </w:t>
            </w:r>
          </w:p>
        </w:tc>
      </w:tr>
    </w:tbl>
    <w:p/>
    <w:p>
      <w:pPr>
        <w:pStyle w:val="2"/>
        <w:rPr>
          <w:u w:val="single"/>
        </w:rPr>
      </w:pPr>
      <w:bookmarkStart w:id="12" w:name="_Toc10981"/>
      <w:r>
        <w:rPr>
          <w:u w:val="single"/>
        </w:rPr>
        <w:t>Strategies to sustain competitive advantage</w:t>
      </w:r>
      <w:bookmarkEnd w:id="12"/>
      <w:r>
        <w:rPr>
          <w:u w:val="single"/>
        </w:rPr>
        <w:t xml:space="preserve"> </w:t>
      </w:r>
    </w:p>
    <w:p>
      <w:pPr>
        <w:rPr>
          <w:b/>
        </w:rPr>
      </w:pPr>
      <w:r>
        <w:rPr>
          <w:b/>
        </w:rPr>
        <w:t xml:space="preserve">Application of Porter’s generic strategy: </w:t>
      </w:r>
    </w:p>
    <w:p>
      <w:r>
        <w:t>Porter’s Generic Strategies are regarded as a constellation of procedures that are incorporated for ascertaining competitive advantage at the level of business (</w:t>
      </w:r>
      <w:r>
        <w:rPr>
          <w:shd w:val="clear" w:color="auto" w:fill="FFFFFF"/>
        </w:rPr>
        <w:t>Lynch, 2018)</w:t>
      </w:r>
      <w:r>
        <w:t xml:space="preserve">. As stated by </w:t>
      </w:r>
      <w:r>
        <w:rPr>
          <w:rFonts w:cs="Times New Roman"/>
          <w:szCs w:val="24"/>
          <w:shd w:val="clear" w:color="auto" w:fill="FFFFFF"/>
        </w:rPr>
        <w:t>Islami et al. (2020)</w:t>
      </w:r>
      <w:r>
        <w:t xml:space="preserve">, one of the salient advantages associated with Porter's Generic strategy is that it assists organisations in effective comprehend their competitive landscape. </w:t>
      </w:r>
    </w:p>
    <w:p>
      <w:pPr>
        <w:jc w:val="center"/>
      </w:pPr>
      <w:r>
        <w:rPr>
          <w:lang w:val="en-US"/>
        </w:rPr>
        <w:drawing>
          <wp:inline distT="0" distB="0" distL="0" distR="0">
            <wp:extent cx="4705350" cy="2886075"/>
            <wp:effectExtent l="53975" t="38735" r="117475" b="10795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3"/>
                    <a:stretch>
                      <a:fillRect/>
                    </a:stretch>
                  </pic:blipFill>
                  <pic:spPr>
                    <a:xfrm>
                      <a:off x="0" y="0"/>
                      <a:ext cx="4705350" cy="288607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5: Porter’s Generic Strategies </w:t>
      </w:r>
    </w:p>
    <w:p>
      <w:pPr>
        <w:jc w:val="center"/>
      </w:pPr>
      <w:r>
        <w:t xml:space="preserve">(Source: </w:t>
      </w:r>
      <w:r>
        <w:rPr>
          <w:rFonts w:cs="Times New Roman"/>
          <w:szCs w:val="24"/>
          <w:shd w:val="clear" w:color="auto" w:fill="FFFFFF"/>
        </w:rPr>
        <w:t>Islami et al., 2020</w:t>
      </w:r>
      <w:r>
        <w:t>)</w:t>
      </w:r>
    </w:p>
    <w:p>
      <w:r>
        <w:t xml:space="preserve">Among the four Generic strategies, Apple has extensively availed of differentiation strategy. As explicated by </w:t>
      </w:r>
      <w:r>
        <w:rPr>
          <w:rFonts w:cs="Times New Roman"/>
          <w:szCs w:val="24"/>
          <w:shd w:val="clear" w:color="auto" w:fill="FFFFFF"/>
        </w:rPr>
        <w:t>Islami et al, (2020)</w:t>
      </w:r>
      <w:r>
        <w:t>, product differentiation suggests the procedure of finding and showcasing the unique product qualities entailed in a service or product offered by a company while demonstrating the clear demarcation between the service or product or the company and its rivals. Apple has been differentiating its products by embedding them with cutting-edge technology that is far-fetched for rival brands (</w:t>
      </w:r>
      <w:r>
        <w:rPr>
          <w:rFonts w:cs="Times New Roman"/>
          <w:szCs w:val="24"/>
          <w:shd w:val="clear" w:color="auto" w:fill="FFFFFF"/>
        </w:rPr>
        <w:t>Glimstedt, 2020</w:t>
      </w:r>
      <w:r>
        <w:t>). Further, the company also evokes consumer attention by introducing exponential hype before the launch of new products. The company has received wider brand exposure in the market for several products like iPhone, Mac and iPod. Extensive differentiation has exerted exponential effectuation on strategic objective of Apple (</w:t>
      </w:r>
      <w:r>
        <w:rPr>
          <w:rFonts w:cs="Times New Roman"/>
          <w:szCs w:val="24"/>
          <w:shd w:val="clear" w:color="auto" w:fill="FFFFFF"/>
        </w:rPr>
        <w:t>Kabeyi, 2018</w:t>
      </w:r>
      <w:r>
        <w:t xml:space="preserve">). It has led Apple to invest a lion's share in research and development so that the company can bring something new in those segments where competitors cannot match itself. </w:t>
      </w:r>
    </w:p>
    <w:p>
      <w:r>
        <w:t xml:space="preserve">Apart from product differentiation, brand loyalty has also become an important aspect of corporate strategy of Apple. As stated by </w:t>
      </w:r>
      <w:r>
        <w:rPr>
          <w:rFonts w:cs="Times New Roman"/>
          <w:szCs w:val="24"/>
          <w:shd w:val="clear" w:color="auto" w:fill="FFFFFF"/>
        </w:rPr>
        <w:t>Kabeyi (2018)</w:t>
      </w:r>
      <w:r>
        <w:t xml:space="preserve">, Apple has been regarded as one of the most successful companies that possess a large number of loyal consumers. Thanks to its extended brand loyalty, the company can make consumers wait to buy the latest models of iPhone, and Mac and Watch the latest shows on Apple TV. As stated by </w:t>
      </w:r>
      <w:r>
        <w:rPr>
          <w:rFonts w:cs="Times New Roman"/>
          <w:szCs w:val="24"/>
          <w:shd w:val="clear" w:color="auto" w:fill="FFFFFF"/>
        </w:rPr>
        <w:t>Kabeyi (2018)</w:t>
      </w:r>
      <w:r>
        <w:t xml:space="preserve">, the consistent effort of the company to establish brand loyalty has enabled Apple in terms of differentiating itself from its nearing rivals like Samsung, Microsoft and other tech giants in different arenas. Further, as pointed out by </w:t>
      </w:r>
      <w:r>
        <w:rPr>
          <w:rFonts w:cs="Times New Roman"/>
          <w:szCs w:val="24"/>
          <w:shd w:val="clear" w:color="auto" w:fill="FFFFFF"/>
        </w:rPr>
        <w:t>Glimstedt (2020)</w:t>
      </w:r>
      <w:r>
        <w:t xml:space="preserve">, the notion of differentiation has enabled Apple in terms of generating a virtual split in the domain of electric devices. It has also resulted in a vision of exclusivity that imparts Apple a sharp edge within the market, assisting them in terms of keeping their products atop among a large number of products. </w:t>
      </w:r>
    </w:p>
    <w:p>
      <w:pPr>
        <w:pStyle w:val="2"/>
      </w:pPr>
      <w:bookmarkStart w:id="13" w:name="_Toc23076"/>
      <w:r>
        <w:rPr>
          <w:u w:val="single"/>
        </w:rPr>
        <w:t>Growth strategies</w:t>
      </w:r>
      <w:bookmarkEnd w:id="13"/>
      <w:r>
        <w:rPr>
          <w:u w:val="single"/>
        </w:rPr>
        <w:t xml:space="preserve"> </w:t>
      </w:r>
    </w:p>
    <w:p>
      <w:pPr>
        <w:rPr>
          <w:b/>
        </w:rPr>
      </w:pPr>
      <w:r>
        <w:rPr>
          <w:b/>
        </w:rPr>
        <w:t>Application of Ansoff Matrix:</w:t>
      </w:r>
    </w:p>
    <w:p>
      <w:r>
        <w:t>The Ansoff reflects four distinguished strategies that can offer necessary support to the expansion and growth of a company while evaluating associated growth (</w:t>
      </w:r>
      <w:r>
        <w:rPr>
          <w:shd w:val="clear" w:color="auto" w:fill="FFFFFF"/>
        </w:rPr>
        <w:t>Lynch, 2018</w:t>
      </w:r>
      <w:r>
        <w:rPr>
          <w:rFonts w:cs="Times New Roman"/>
          <w:szCs w:val="24"/>
          <w:shd w:val="clear" w:color="auto" w:fill="FFFFFF"/>
        </w:rPr>
        <w:t>)</w:t>
      </w:r>
      <w:r>
        <w:t xml:space="preserve">. This model can assist leaders in terms of finalising the best possible plan in order to garner future growth. </w:t>
      </w:r>
    </w:p>
    <w:p>
      <w:pPr>
        <w:jc w:val="center"/>
      </w:pPr>
      <w:r>
        <w:rPr>
          <w:lang w:val="en-US"/>
        </w:rPr>
        <w:drawing>
          <wp:inline distT="0" distB="0" distL="0" distR="0">
            <wp:extent cx="4686300" cy="3286125"/>
            <wp:effectExtent l="53975" t="38735" r="121285" b="11938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4"/>
                    <a:stretch>
                      <a:fillRect/>
                    </a:stretch>
                  </pic:blipFill>
                  <pic:spPr>
                    <a:xfrm>
                      <a:off x="0" y="0"/>
                      <a:ext cx="4686300" cy="32861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6: Ansoff Matrix </w:t>
      </w:r>
    </w:p>
    <w:p>
      <w:pPr>
        <w:jc w:val="center"/>
      </w:pPr>
      <w:r>
        <w:t xml:space="preserve">(Source: </w:t>
      </w:r>
      <w:r>
        <w:rPr>
          <w:rFonts w:cs="Times New Roman"/>
          <w:szCs w:val="24"/>
          <w:shd w:val="clear" w:color="auto" w:fill="FFFFFF"/>
        </w:rPr>
        <w:t>Zanjani et al., 2020</w:t>
      </w:r>
      <w:r>
        <w:t>)</w:t>
      </w:r>
    </w:p>
    <w:p>
      <w:r>
        <w:t>Based on the elucidation of the growth strategies of Apple, it is evident that Apple has been successfully utilising all four strategies mentioned in Ansoff Matrix as per requirements. They are explicated below:</w:t>
      </w:r>
    </w:p>
    <w:p/>
    <w:p>
      <w:pPr>
        <w:rPr>
          <w:b/>
          <w:i/>
          <w:u w:val="single"/>
        </w:rPr>
      </w:pPr>
      <w:r>
        <w:rPr>
          <w:b/>
          <w:i/>
          <w:u w:val="single"/>
        </w:rPr>
        <w:t>Market penetration:</w:t>
      </w:r>
    </w:p>
    <w:p>
      <w:r>
        <w:t xml:space="preserve">A market penetration strategy takes place when a business makes effort to increase the sale of its service or product to the already available customer base and amplify market share. For example, Apple's attempt to amplify the sale of iPhones within the existing market is indicative of the application of a market penetration strategy. Further, as observed by </w:t>
      </w:r>
      <w:r>
        <w:rPr>
          <w:rFonts w:cs="Times New Roman"/>
          <w:szCs w:val="24"/>
          <w:shd w:val="clear" w:color="auto" w:fill="FFFFFF"/>
        </w:rPr>
        <w:t>Reshetko et al. (2020)</w:t>
      </w:r>
      <w:r>
        <w:t xml:space="preserve">, the company has also implemented a market penetration strategy by available iPhone on various platforms, including online, e-commerce stores and also with leading telecommunication companies like O2, BT and EE (Ibid, 2020). </w:t>
      </w:r>
    </w:p>
    <w:p>
      <w:pPr>
        <w:rPr>
          <w:b/>
          <w:i/>
          <w:u w:val="single"/>
        </w:rPr>
      </w:pPr>
      <w:r>
        <w:rPr>
          <w:b/>
          <w:i/>
          <w:u w:val="single"/>
        </w:rPr>
        <w:t>Market development:</w:t>
      </w:r>
    </w:p>
    <w:p>
      <w:r>
        <w:t>Market development relates to selling already available commodities to a new region or marketplace (</w:t>
      </w:r>
      <w:r>
        <w:rPr>
          <w:rFonts w:cs="Times New Roman"/>
          <w:szCs w:val="24"/>
          <w:shd w:val="clear" w:color="auto" w:fill="FFFFFF"/>
        </w:rPr>
        <w:t>Zanjani et al., 2020</w:t>
      </w:r>
      <w:r>
        <w:t xml:space="preserve">). As a part of its market development strategy, rather than confining itself in China, the United States and Europe, Apple has enhanced its presence in emerging countries like Indonesia and India. </w:t>
      </w:r>
    </w:p>
    <w:p>
      <w:pPr>
        <w:rPr>
          <w:b/>
          <w:i/>
          <w:u w:val="single"/>
        </w:rPr>
      </w:pPr>
      <w:r>
        <w:rPr>
          <w:b/>
          <w:i/>
          <w:u w:val="single"/>
        </w:rPr>
        <w:t>Product development:</w:t>
      </w:r>
    </w:p>
    <w:p>
      <w:r>
        <w:t xml:space="preserve">The third strategy mentioned in Ansoff Matrix namely product development is associated with the development of new offerings and introduce them within existing marketplaces. As mentioned by </w:t>
      </w:r>
      <w:r>
        <w:rPr>
          <w:rFonts w:cs="Times New Roman"/>
          <w:szCs w:val="24"/>
          <w:shd w:val="clear" w:color="auto" w:fill="FFFFFF"/>
        </w:rPr>
        <w:t>Verhoef et al. (2021)</w:t>
      </w:r>
      <w:r>
        <w:t xml:space="preserve">, Apple has already differentiated itself from its competitors by innovating and designing ground-breaking products. Therefore, product development has become one of the crucial aspects of Apple’s growth strategy. </w:t>
      </w:r>
    </w:p>
    <w:p>
      <w:pPr>
        <w:rPr>
          <w:b/>
          <w:i/>
          <w:u w:val="single"/>
        </w:rPr>
      </w:pPr>
      <w:r>
        <w:rPr>
          <w:b/>
          <w:i/>
          <w:u w:val="single"/>
        </w:rPr>
        <w:t xml:space="preserve">Diversification: </w:t>
      </w:r>
    </w:p>
    <w:p>
      <w:r>
        <w:t>The last growth strategy mentioned in Ansoff Matrix namely diversification relates to the act of introducing new products to new marketplaces (</w:t>
      </w:r>
      <w:r>
        <w:rPr>
          <w:rFonts w:cs="Times New Roman"/>
          <w:szCs w:val="24"/>
          <w:shd w:val="clear" w:color="auto" w:fill="FFFFFF"/>
        </w:rPr>
        <w:t>Verhoef et al., 2021)</w:t>
      </w:r>
      <w:r>
        <w:t xml:space="preserve">. However, this strategy often comes under the scanner of critics owing to its risk prospect. For instance, the development of products and services like Apple Pay, Apple Card and Apple Watch testifies that Apple has been opting for diversification. </w:t>
      </w:r>
    </w:p>
    <w:p>
      <w:pPr>
        <w:pStyle w:val="2"/>
        <w:rPr>
          <w:u w:val="single"/>
        </w:rPr>
      </w:pPr>
      <w:bookmarkStart w:id="14" w:name="_Toc1682"/>
      <w:r>
        <w:rPr>
          <w:u w:val="single"/>
        </w:rPr>
        <w:t>Green Strategy and CSR</w:t>
      </w:r>
      <w:bookmarkEnd w:id="14"/>
      <w:r>
        <w:rPr>
          <w:u w:val="single"/>
        </w:rPr>
        <w:t xml:space="preserve"> </w:t>
      </w:r>
    </w:p>
    <w:p>
      <w:r>
        <w:t>Sustainable business practices have been gaining exponential momentum in the business world owing to various reasons like climate change, rising pollution levels and so on. Therefore, sustainable business practices commence with the development of awareness of various issues. As far as the triple bottom line is concerned, it has been observed that the framework comprises three predominant dimensions including environmental, financial and social. The TBL Dimension is also referred to as the planet, people and profit dimension. In order to explicate the green strategy of Apple, emphasis will be emplaced on planet dimensions (</w:t>
      </w:r>
      <w:r>
        <w:rPr>
          <w:rFonts w:cs="Times New Roman"/>
          <w:szCs w:val="24"/>
          <w:shd w:val="clear" w:color="auto" w:fill="FFFFFF"/>
        </w:rPr>
        <w:t>Clarke and Boersma, 2017)</w:t>
      </w:r>
      <w:r>
        <w:t xml:space="preserve">. </w:t>
      </w:r>
    </w:p>
    <w:p>
      <w:pPr>
        <w:jc w:val="center"/>
      </w:pPr>
      <w:r>
        <w:rPr>
          <w:lang w:val="en-US"/>
        </w:rPr>
        <w:drawing>
          <wp:inline distT="0" distB="0" distL="0" distR="0">
            <wp:extent cx="4143375" cy="3286125"/>
            <wp:effectExtent l="53975" t="38735" r="115570" b="11938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noChangeArrowheads="1"/>
                    </pic:cNvPicPr>
                  </pic:nvPicPr>
                  <pic:blipFill>
                    <a:blip r:embed="rId15"/>
                    <a:stretch>
                      <a:fillRect/>
                    </a:stretch>
                  </pic:blipFill>
                  <pic:spPr>
                    <a:xfrm>
                      <a:off x="0" y="0"/>
                      <a:ext cx="4143375" cy="32861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7: Triple Bottomline of Apple </w:t>
      </w:r>
    </w:p>
    <w:p>
      <w:pPr>
        <w:jc w:val="center"/>
      </w:pPr>
      <w:r>
        <w:t xml:space="preserve">(Source: </w:t>
      </w:r>
      <w:r>
        <w:rPr>
          <w:rFonts w:cs="Times New Roman"/>
          <w:szCs w:val="24"/>
          <w:shd w:val="clear" w:color="auto" w:fill="FFFFFF"/>
        </w:rPr>
        <w:t>Clarke and Boersma, 2017</w:t>
      </w:r>
      <w:r>
        <w:t>)</w:t>
      </w:r>
    </w:p>
    <w:p>
      <w:r>
        <w:t xml:space="preserve">One of the essential aspects of the green strategy of Apple is green supply chain management. As observed by </w:t>
      </w:r>
      <w:r>
        <w:rPr>
          <w:rFonts w:cs="Times New Roman"/>
          <w:szCs w:val="24"/>
          <w:shd w:val="clear" w:color="auto" w:fill="FFFFFF"/>
        </w:rPr>
        <w:t>Clarke and Boersma (2017)</w:t>
      </w:r>
      <w:r>
        <w:t>, the effort of Apple to create a green supply chain has effectuated considerable progress in recent times. In order to excel in green supply chain management, the company has trained around 15mn employees (</w:t>
      </w:r>
      <w:r>
        <w:rPr>
          <w:rFonts w:cs="Times New Roman"/>
          <w:szCs w:val="24"/>
          <w:shd w:val="clear" w:color="auto" w:fill="FFFFFF"/>
        </w:rPr>
        <w:t>Clarke and Boersma, 2017)</w:t>
      </w:r>
      <w:r>
        <w:t xml:space="preserve">. All of the assembling sites of Apple have been awarded the certificate of zero waste. Further, Apple has now been utilising renewable energy to develop and design products. In order to ensure a healthy and pollution-free environment for all, the company has taken steps for improving the design of its product, recycling programs and manufacturing and so on. As reported by Apple (2022), the company is exponentially committed to eradicate the utilisation of plastics by 2025. </w:t>
      </w:r>
    </w:p>
    <w:p>
      <w:r>
        <w:t xml:space="preserve">Moreover, the company has also been working relentlessly to switch to renewable plastics within its products. The company has also witnessed considerable progress to reduce plastics from product packaging. Since the year 2015, the company has managed to decrease plastic packaging by 75% (Apple, 2023). </w:t>
      </w:r>
    </w:p>
    <w:p>
      <w:pPr>
        <w:rPr>
          <w:b/>
        </w:rPr>
      </w:pPr>
      <w:r>
        <w:rPr>
          <w:b/>
        </w:rPr>
        <w:t>Corporate Social Responsibility of Apple:</w:t>
      </w:r>
    </w:p>
    <w:p>
      <w:pPr>
        <w:rPr>
          <w:b/>
          <w:i/>
          <w:u w:val="single"/>
        </w:rPr>
      </w:pPr>
      <w:r>
        <w:rPr>
          <w:b/>
          <w:i/>
          <w:u w:val="single"/>
        </w:rPr>
        <w:t>Application of Carroll’s Pyramid:</w:t>
      </w:r>
    </w:p>
    <w:p>
      <w:r>
        <w:t xml:space="preserve">Carroll's Pyramid is composed of a four-part explication of corporate social responsibility, including economic responsibilities, legal responsibilities, ethical responsibilities and philanthropic responsibilities. </w:t>
      </w:r>
    </w:p>
    <w:p>
      <w:pPr>
        <w:jc w:val="center"/>
      </w:pPr>
      <w:r>
        <w:rPr>
          <w:lang w:val="en-US"/>
        </w:rPr>
        <w:drawing>
          <wp:inline distT="0" distB="0" distL="0" distR="0">
            <wp:extent cx="4695825" cy="2759710"/>
            <wp:effectExtent l="53975" t="53975" r="111760" b="112395"/>
            <wp:docPr id="13" name="Picture 13" descr="AQA | Teaching guide: Carroll's corporate social responsibilit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QA | Teaching guide: Carroll's corporate social responsibility pyramid"/>
                    <pic:cNvPicPr>
                      <a:picLocks noChangeAspect="1" noChangeArrowheads="1"/>
                    </pic:cNvPicPr>
                  </pic:nvPicPr>
                  <pic:blipFill>
                    <a:blip r:embed="rId16"/>
                    <a:stretch>
                      <a:fillRect/>
                    </a:stretch>
                  </pic:blipFill>
                  <pic:spPr>
                    <a:xfrm>
                      <a:off x="0" y="0"/>
                      <a:ext cx="4695825" cy="275986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8: Carroll’s Pyramid </w:t>
      </w:r>
    </w:p>
    <w:p>
      <w:pPr>
        <w:jc w:val="center"/>
      </w:pPr>
      <w:r>
        <w:t xml:space="preserve">(Source: </w:t>
      </w:r>
      <w:r>
        <w:rPr>
          <w:rFonts w:cs="Times New Roman"/>
          <w:szCs w:val="24"/>
          <w:shd w:val="clear" w:color="auto" w:fill="FFFFFF"/>
        </w:rPr>
        <w:t>Carroll and Brown, 2022</w:t>
      </w:r>
      <w:r>
        <w:t>)</w:t>
      </w:r>
    </w:p>
    <w:p>
      <w:pPr>
        <w:rPr>
          <w:b/>
          <w:i/>
        </w:rPr>
      </w:pPr>
      <w:r>
        <w:rPr>
          <w:b/>
          <w:i/>
          <w:u w:val="single"/>
        </w:rPr>
        <w:t>Economic responsibility:</w:t>
      </w:r>
    </w:p>
    <w:p>
      <w:r>
        <w:t xml:space="preserve">As a predominant necessity, fulfilling economic responsibility is a salient imperative for businesses to sustain in highly challenging contemporary business settings.  As mentioned by </w:t>
      </w:r>
      <w:r>
        <w:rPr>
          <w:rFonts w:cs="Times New Roman"/>
          <w:szCs w:val="24"/>
          <w:shd w:val="clear" w:color="auto" w:fill="FFFFFF"/>
        </w:rPr>
        <w:t>Carroll and Brown (2022)</w:t>
      </w:r>
      <w:r>
        <w:t xml:space="preserve">, economic responsibility is considered the chief foundation of Apple. For instance, the utilisation of transformable plastics in product development reflects a crucial strategy in Apple's product development. Further, in recent times, with the intensification of a trade war between the US and China, Apple has been shifting its production facilities to countries like India (The Guardian, 2022). </w:t>
      </w:r>
    </w:p>
    <w:p>
      <w:pPr>
        <w:rPr>
          <w:b/>
          <w:i/>
        </w:rPr>
      </w:pPr>
    </w:p>
    <w:p>
      <w:pPr>
        <w:rPr>
          <w:u w:val="single"/>
        </w:rPr>
      </w:pPr>
      <w:r>
        <w:rPr>
          <w:b/>
          <w:i/>
          <w:u w:val="single"/>
        </w:rPr>
        <w:t>Legal responsibility:</w:t>
      </w:r>
    </w:p>
    <w:p>
      <w:r>
        <w:t>In Carroll's CSR Pyramid, legal responsibility infers the obligation of the company in terms of adhering to pertinent laws and regulations (</w:t>
      </w:r>
      <w:r>
        <w:rPr>
          <w:rFonts w:cs="Times New Roman"/>
          <w:szCs w:val="24"/>
          <w:shd w:val="clear" w:color="auto" w:fill="FFFFFF"/>
        </w:rPr>
        <w:t>Carroll and Brown, 2022)</w:t>
      </w:r>
      <w:r>
        <w:t xml:space="preserve">. These codes and legislations can be associated with employee health and safety, employment laws, anti-competitive law compliance and so on. As reported by Irish times (2022), in the United States Apple faced legal challenges on account of its misguiding data collection policies. Further, the European Competition Commission has also made Apple alert regarding its violation of anti-competitive conduct.  </w:t>
      </w:r>
    </w:p>
    <w:p>
      <w:pPr>
        <w:rPr>
          <w:b/>
          <w:i/>
          <w:u w:val="single"/>
        </w:rPr>
      </w:pPr>
      <w:r>
        <w:rPr>
          <w:b/>
          <w:i/>
          <w:u w:val="single"/>
        </w:rPr>
        <w:t>Ethical responsibility:</w:t>
      </w:r>
    </w:p>
    <w:p>
      <w:r>
        <w:t>Quite different to legal and economic responsibility, the ethical layer is more preoccupied with ethics and morals (</w:t>
      </w:r>
      <w:r>
        <w:rPr>
          <w:rFonts w:cs="Times New Roman"/>
          <w:szCs w:val="24"/>
          <w:shd w:val="clear" w:color="auto" w:fill="FFFFFF"/>
        </w:rPr>
        <w:t>Carroll and Brown, 2022</w:t>
      </w:r>
      <w:r>
        <w:t xml:space="preserve">). As stated by </w:t>
      </w:r>
      <w:r>
        <w:rPr>
          <w:rFonts w:cs="Times New Roman"/>
          <w:szCs w:val="24"/>
          <w:shd w:val="clear" w:color="auto" w:fill="FFFFFF"/>
        </w:rPr>
        <w:t>Reeve and Pincin (2018)</w:t>
      </w:r>
      <w:r>
        <w:t xml:space="preserve">, Apple suppliers have ascertained the highest magnitude of ethical standards as far as the context of protecting human rights is concerned. However, as reported by Dailymail (2022), some of the China-based suppliers of Apple sweatshops. Therefore, Apple has the scope of further breakthroughs to embolden its ethical standards. </w:t>
      </w:r>
    </w:p>
    <w:p>
      <w:pPr>
        <w:rPr>
          <w:b/>
          <w:i/>
        </w:rPr>
      </w:pPr>
      <w:r>
        <w:rPr>
          <w:b/>
          <w:i/>
          <w:u w:val="single"/>
        </w:rPr>
        <w:t>Philanthropic responsibility:</w:t>
      </w:r>
      <w:r>
        <w:rPr>
          <w:b/>
          <w:i/>
        </w:rPr>
        <w:t xml:space="preserve"> </w:t>
      </w:r>
    </w:p>
    <w:p>
      <w:r>
        <w:t>Emplaced atop the Carroll's Pyramid, philanthropic responsibility talks about taking care of community welfare and returning something good to the community. To fulfil its philanthropic responsibility, Apple has demonstrated enough commitment. For instance, the company has opted for a partnership with Bluestone Natural Farms in pursuit of encouraging organic farming (</w:t>
      </w:r>
      <w:r>
        <w:rPr>
          <w:rFonts w:cs="Times New Roman"/>
          <w:szCs w:val="24"/>
          <w:shd w:val="clear" w:color="auto" w:fill="FFFFFF"/>
        </w:rPr>
        <w:t>Chen et al., 2020)</w:t>
      </w:r>
      <w:r>
        <w:t xml:space="preserve">.  Further, Apple has been targeting, the environment, and education sectors for its philanthropic activities. It has taken part in the ConnectED initiative of President Obama (O'Brien, 2017). Under the program, the company has been donating iPad to every student. Further, the company has also supplied Apple TV to every classroom as well as professional development opportunities for the teacher. </w:t>
      </w:r>
    </w:p>
    <w:p>
      <w:pPr>
        <w:pStyle w:val="2"/>
      </w:pPr>
      <w:bookmarkStart w:id="15" w:name="_Toc25403"/>
      <w:r>
        <w:t>Conclusion</w:t>
      </w:r>
      <w:bookmarkEnd w:id="15"/>
      <w:r>
        <w:t xml:space="preserve"> </w:t>
      </w:r>
    </w:p>
    <w:p>
      <w:r>
        <w:t xml:space="preserve">The report was designed to revolve around how Apple demonstrated its preparedness in pursuit of addressing emerging challenges and what strategies the company has incorporated to ascertain sustainable business operations. Based on the macro environment analysis, it has been observed that the company is on the verge of a challenge owing to the US-China Trade War. Further, with the rising labour costs in China, Apple's profit margin can be affected considerably. Moreover, violations of human rights by Apple's suppliers have also allured a spiral of criticism. Technologically, Google and Samsung have thrown considerable challenges at Apple. Moreover, it has also been witnessed that Apple has been encountering considerable legal challenges in recent times owing to noncompliance with consumer privacy and infringing competition law. Based on micro environment analysis, it has become apparent that Apple has been explored to overwhelming competitive rivalry since its competitors are also offering similar products at attractive pricing. However, in other quadrants of the five force analysis, Apple has been enjoying a sharp edge. The findings generated from value chain analysis reveal that Apple has excellent logistics capability that is pervaded across the globe. Moreover, the company has been doing well in human resource management, technology development and firm infrastructure development. Based on SWOT analysis, some of the major weaknesses of Apple include declining sales, rising production challenges in China, expensive products and frequent litigation. </w:t>
      </w:r>
    </w:p>
    <w:p>
      <w:r>
        <w:t xml:space="preserve">Based on the application of Porter’s Generic Strategy, it has become apparent that Apple has utilised differentiation to a great extent to ensure a competitive advantage. Moreover, based on the application of the Ansoff Matrix, it has been observed that Apple has been utilising market penetration, diversification, market development and product development quite successfully. However, significant weaknesses have been observed in the company's CSR strategy, especially in quadrants like legal and ethical responsibility. Summing up, Apple needs to emphasise a number of areas to ascertain more profitability, including pricing, business level strategy, and fostering in-house production. </w:t>
      </w:r>
    </w:p>
    <w:p>
      <w:pPr>
        <w:pStyle w:val="2"/>
      </w:pPr>
      <w:bookmarkStart w:id="16" w:name="_Toc13843"/>
      <w:r>
        <w:t>Recommendations</w:t>
      </w:r>
      <w:bookmarkEnd w:id="16"/>
      <w:r>
        <w:t xml:space="preserve"> </w:t>
      </w:r>
    </w:p>
    <w:p>
      <w:r>
        <w:t xml:space="preserve">Based on the internal analysis of Apple, it has been observed that the company has been encountering exponential threat due to the intensification of competition. At present, for international expansion, the company has opted for market development and diversification. However, diversification strategy of Apple is limited to related diversification only. Thus, amidst rising competitive rivalry, it is of immense importance for Apple to opt for unrelated diversification. Rather than focussing solely on electronic gadgets, the company can also target the consumer electric appliance market which has tremendous growth potential. It can go a long way for Apple to decrease its over-dependence on iPhone to gain maximum revenue. </w:t>
      </w:r>
    </w:p>
    <w:p>
      <w:r>
        <w:t xml:space="preserve">Further, the findings of the report highlighted the fact the growing tendency of counterfeit products can affect Apple's revenue in the coming days. Therefore, it is recommended that the company needs to carry on aggressive innovation to develop brand-new products. Technological innovation can go a long way for Apple in terms of curtailing the adverse effectuation of imitation. </w:t>
      </w:r>
    </w:p>
    <w:p>
      <w:r>
        <w:t xml:space="preserve">Another challenge encountered by Apple is rising labour costs in China. Moreover, the ongoing trade war between the US and China can also impart a sudden jolt to the company. Therefore, it is recommended that the company needs to opt for Robotics and automation to a large extent in order to decrease dependence on human labour. Another recommendation is to set up an in-house production facility that can assist Apple in a number of ways, including exerting more control over production, address the issue of human rights violations and thwarting the possibility of counterfeiting. </w:t>
      </w:r>
    </w:p>
    <w:p>
      <w:r>
        <w:t>Based on the findings of the report, it has become apparent that the current business-level strategy of Apple is limited to differentiation. Since Apple has gained a unique brand image among its targeted segment and consumers agree to pay higher depending on product quality, it is recommended that Apple needs to opt for a differentiation focus. It can assist Apple to ascertain competitive advantage by outperforming rivals by proffering a product that consumers consider superior even if the price of the product is high. Moreover, a differentiation focus can also assist Apple to develop value. When a business emphasises on small consumer group, it can impart more qualified services compared to the consumers. Further, Apple can also excel in differentiation focus by improving its customer service compared to the rival brands.</w:t>
      </w:r>
      <w:r>
        <w:br w:type="page"/>
      </w:r>
    </w:p>
    <w:p>
      <w:pPr>
        <w:pStyle w:val="2"/>
      </w:pPr>
      <w:bookmarkStart w:id="17" w:name="_Toc5886"/>
      <w:r>
        <w:t>References</w:t>
      </w:r>
      <w:bookmarkEnd w:id="17"/>
      <w:r>
        <w:t xml:space="preserve"> </w:t>
      </w:r>
    </w:p>
    <w:p>
      <w:pPr>
        <w:rPr>
          <w:rFonts w:cs="Times New Roman"/>
        </w:rPr>
      </w:pPr>
      <w:r>
        <w:rPr>
          <w:rFonts w:cs="Times New Roman"/>
          <w:iCs/>
        </w:rPr>
        <w:t>Apple</w:t>
      </w:r>
      <w:r>
        <w:rPr>
          <w:rFonts w:cs="Times New Roman"/>
        </w:rPr>
        <w:t xml:space="preserve"> (2023). </w:t>
      </w:r>
      <w:r>
        <w:rPr>
          <w:rFonts w:cs="Times New Roman"/>
          <w:i/>
        </w:rPr>
        <w:t>Life Cycle Management</w:t>
      </w:r>
      <w:r>
        <w:rPr>
          <w:rFonts w:cs="Times New Roman"/>
        </w:rPr>
        <w:t xml:space="preserve">. Available at: https://www.apple.com/ca/business/docs/resources/Apple_Lifecycle_Management.pdf (Accessed: March 31, 2023). </w:t>
      </w:r>
    </w:p>
    <w:p>
      <w:pPr>
        <w:rPr>
          <w:rFonts w:cs="Times New Roman"/>
        </w:rPr>
      </w:pPr>
      <w:r>
        <w:rPr>
          <w:rFonts w:cs="Times New Roman"/>
        </w:rPr>
        <w:t xml:space="preserve">Apple. (2022). </w:t>
      </w:r>
      <w:r>
        <w:rPr>
          <w:rFonts w:cs="Times New Roman"/>
          <w:i/>
          <w:iCs/>
        </w:rPr>
        <w:t>Environment - answers</w:t>
      </w:r>
      <w:r>
        <w:rPr>
          <w:rFonts w:cs="Times New Roman"/>
        </w:rPr>
        <w:t xml:space="preserve"> (no date) </w:t>
      </w:r>
      <w:r>
        <w:rPr>
          <w:rFonts w:cs="Times New Roman"/>
          <w:i/>
          <w:iCs/>
        </w:rPr>
        <w:t>Apple (India)</w:t>
      </w:r>
      <w:r>
        <w:rPr>
          <w:rFonts w:cs="Times New Roman"/>
        </w:rPr>
        <w:t xml:space="preserve">. Available at: https://www.apple.com/in/environment/answers/#:~:text=Apple%20is%20committed%20to%20eliminating,our%20product%20packaging%20by%2075%25. (Accessed: April 18, 2023). </w:t>
      </w:r>
    </w:p>
    <w:p>
      <w:pPr>
        <w:rPr>
          <w:rFonts w:cs="Times New Roman"/>
        </w:rPr>
      </w:pPr>
      <w:r>
        <w:rPr>
          <w:rFonts w:cs="Times New Roman"/>
        </w:rPr>
        <w:t>Apple</w:t>
      </w:r>
      <w:r>
        <w:rPr>
          <w:rFonts w:cs="Times New Roman"/>
          <w:iCs/>
        </w:rPr>
        <w:t>. (2023).</w:t>
      </w:r>
      <w:r>
        <w:rPr>
          <w:rFonts w:cs="Times New Roman"/>
          <w:i/>
          <w:iCs/>
        </w:rPr>
        <w:t xml:space="preserve"> Apple services now available in more countries around the world</w:t>
      </w:r>
      <w:r>
        <w:rPr>
          <w:rFonts w:cs="Times New Roman"/>
        </w:rPr>
        <w:t xml:space="preserve"> (2023) </w:t>
      </w:r>
      <w:r>
        <w:rPr>
          <w:rFonts w:cs="Times New Roman"/>
          <w:i/>
          <w:iCs/>
        </w:rPr>
        <w:t>Apple Newsroom</w:t>
      </w:r>
      <w:r>
        <w:rPr>
          <w:rFonts w:cs="Times New Roman"/>
        </w:rPr>
        <w:t xml:space="preserve">. Available at: https://www.apple.com/newsroom/2020/04/apple-services-now-available-in-more-countries-around-the-world/ (Accessed: March 24, 2023). </w:t>
      </w:r>
    </w:p>
    <w:p>
      <w:pPr>
        <w:rPr>
          <w:rFonts w:cs="Times New Roman"/>
        </w:rPr>
      </w:pPr>
      <w:r>
        <w:rPr>
          <w:rFonts w:cs="Times New Roman"/>
        </w:rPr>
        <w:t>Apple</w:t>
      </w:r>
      <w:r>
        <w:rPr>
          <w:rFonts w:cs="Times New Roman"/>
          <w:iCs/>
        </w:rPr>
        <w:t>. (2023).</w:t>
      </w:r>
      <w:r>
        <w:rPr>
          <w:rFonts w:cs="Times New Roman"/>
          <w:i/>
          <w:iCs/>
        </w:rPr>
        <w:t xml:space="preserve"> Business</w:t>
      </w:r>
      <w:r>
        <w:rPr>
          <w:rFonts w:cs="Times New Roman"/>
        </w:rPr>
        <w:t xml:space="preserve">. </w:t>
      </w:r>
      <w:r>
        <w:rPr>
          <w:rFonts w:cs="Times New Roman"/>
          <w:i/>
          <w:iCs/>
        </w:rPr>
        <w:t xml:space="preserve">Apple. </w:t>
      </w:r>
      <w:r>
        <w:rPr>
          <w:rFonts w:cs="Times New Roman"/>
        </w:rPr>
        <w:t xml:space="preserve">Available at: https://www.apple.com/in/business/ (Accessed: March 24, 2023). </w:t>
      </w:r>
    </w:p>
    <w:p>
      <w:pPr>
        <w:rPr>
          <w:rFonts w:cs="Times New Roman"/>
          <w:szCs w:val="24"/>
          <w:shd w:val="clear" w:color="auto" w:fill="FFFFFF"/>
        </w:rPr>
      </w:pPr>
      <w:r>
        <w:rPr>
          <w:rFonts w:cs="Times New Roman"/>
          <w:szCs w:val="24"/>
          <w:shd w:val="clear" w:color="auto" w:fill="FFFFFF"/>
        </w:rPr>
        <w:t>Aversa, P., Haefliger, S. and Reza, D.G., (2017). Building a winning business model portfolio. </w:t>
      </w:r>
      <w:r>
        <w:rPr>
          <w:rFonts w:cs="Times New Roman"/>
          <w:i/>
          <w:iCs/>
          <w:szCs w:val="24"/>
          <w:shd w:val="clear" w:color="auto" w:fill="FFFFFF"/>
        </w:rPr>
        <w:t>MIT Sloan Management Review</w:t>
      </w:r>
      <w:r>
        <w:rPr>
          <w:rFonts w:cs="Times New Roman"/>
          <w:szCs w:val="24"/>
          <w:shd w:val="clear" w:color="auto" w:fill="FFFFFF"/>
        </w:rPr>
        <w:t>, </w:t>
      </w:r>
      <w:r>
        <w:rPr>
          <w:rFonts w:cs="Times New Roman"/>
          <w:i/>
          <w:iCs/>
          <w:szCs w:val="24"/>
          <w:shd w:val="clear" w:color="auto" w:fill="FFFFFF"/>
        </w:rPr>
        <w:t>58</w:t>
      </w:r>
      <w:r>
        <w:rPr>
          <w:rFonts w:cs="Times New Roman"/>
          <w:szCs w:val="24"/>
          <w:shd w:val="clear" w:color="auto" w:fill="FFFFFF"/>
        </w:rPr>
        <w:t>(4), pp.49-54.</w:t>
      </w:r>
    </w:p>
    <w:p>
      <w:pPr>
        <w:rPr>
          <w:rFonts w:cs="Times New Roman"/>
          <w:shd w:val="clear" w:color="auto" w:fill="FFFFFF"/>
        </w:rPr>
      </w:pPr>
      <w:r>
        <w:rPr>
          <w:rFonts w:cs="Times New Roman"/>
          <w:shd w:val="clear" w:color="auto" w:fill="FFFFFF"/>
        </w:rPr>
        <w:t>Barney, J.B. and Hesterly, W.S., (2018). Strategic management and competitive advantage: Concepts and cases. Pearson Higher Ed.</w:t>
      </w:r>
    </w:p>
    <w:p>
      <w:pPr>
        <w:tabs>
          <w:tab w:val="left" w:pos="4095"/>
        </w:tabs>
        <w:rPr>
          <w:rFonts w:cs="Times New Roman"/>
          <w:b/>
          <w:szCs w:val="24"/>
        </w:rPr>
      </w:pPr>
      <w:r>
        <w:rPr>
          <w:rFonts w:cs="Times New Roman"/>
          <w:szCs w:val="24"/>
          <w:shd w:val="clear" w:color="auto" w:fill="FFFFFF"/>
        </w:rPr>
        <w:t>Carroll, A.B. and Brown, J., (2022). </w:t>
      </w:r>
      <w:r>
        <w:rPr>
          <w:rFonts w:cs="Times New Roman"/>
          <w:i/>
          <w:iCs/>
          <w:szCs w:val="24"/>
          <w:shd w:val="clear" w:color="auto" w:fill="FFFFFF"/>
        </w:rPr>
        <w:t>Business &amp; society: Ethics, sustainability &amp; stakeholder management</w:t>
      </w:r>
      <w:r>
        <w:rPr>
          <w:rFonts w:cs="Times New Roman"/>
          <w:szCs w:val="24"/>
          <w:shd w:val="clear" w:color="auto" w:fill="FFFFFF"/>
        </w:rPr>
        <w:t>. Cengage Learning.</w:t>
      </w:r>
    </w:p>
    <w:p>
      <w:pPr>
        <w:tabs>
          <w:tab w:val="left" w:pos="4095"/>
        </w:tabs>
        <w:rPr>
          <w:rFonts w:cs="Times New Roman"/>
          <w:szCs w:val="24"/>
        </w:rPr>
      </w:pPr>
      <w:r>
        <w:rPr>
          <w:rFonts w:cs="Times New Roman"/>
          <w:szCs w:val="24"/>
          <w:shd w:val="clear" w:color="auto" w:fill="FFFFFF"/>
        </w:rPr>
        <w:t>Chen, Q., Mladenova, M.L., Liao, C.Y. and Gong, K.J., (2020). Why and how should MNEs adapt their CSR in a specific host country. </w:t>
      </w:r>
      <w:r>
        <w:rPr>
          <w:rFonts w:cs="Times New Roman"/>
          <w:i/>
          <w:iCs/>
          <w:szCs w:val="24"/>
          <w:shd w:val="clear" w:color="auto" w:fill="FFFFFF"/>
        </w:rPr>
        <w:t>Academic Journal of Business &amp; Management</w:t>
      </w:r>
      <w:r>
        <w:rPr>
          <w:rFonts w:cs="Times New Roman"/>
          <w:szCs w:val="24"/>
          <w:shd w:val="clear" w:color="auto" w:fill="FFFFFF"/>
        </w:rPr>
        <w:t>, </w:t>
      </w:r>
      <w:r>
        <w:rPr>
          <w:rFonts w:cs="Times New Roman"/>
          <w:i/>
          <w:iCs/>
          <w:szCs w:val="24"/>
          <w:shd w:val="clear" w:color="auto" w:fill="FFFFFF"/>
        </w:rPr>
        <w:t>2</w:t>
      </w:r>
      <w:r>
        <w:rPr>
          <w:rFonts w:cs="Times New Roman"/>
          <w:szCs w:val="24"/>
          <w:shd w:val="clear" w:color="auto" w:fill="FFFFFF"/>
        </w:rPr>
        <w:t>(7), pp.45-56.</w:t>
      </w:r>
    </w:p>
    <w:p>
      <w:pPr>
        <w:rPr>
          <w:rFonts w:cs="Times New Roman"/>
          <w:szCs w:val="24"/>
          <w:shd w:val="clear" w:color="auto" w:fill="FFFFFF"/>
        </w:rPr>
      </w:pPr>
      <w:r>
        <w:rPr>
          <w:rFonts w:cs="Times New Roman"/>
          <w:szCs w:val="24"/>
          <w:shd w:val="clear" w:color="auto" w:fill="FFFFFF"/>
        </w:rPr>
        <w:t>Clarke, T. and Boersma, M., (2017). The governance of global value chains: Unresolved human rights, environmental and ethical dilemmas in the apple supply chain. </w:t>
      </w:r>
      <w:r>
        <w:rPr>
          <w:rFonts w:cs="Times New Roman"/>
          <w:i/>
          <w:iCs/>
          <w:szCs w:val="24"/>
          <w:shd w:val="clear" w:color="auto" w:fill="FFFFFF"/>
        </w:rPr>
        <w:t>Journal of business ethics</w:t>
      </w:r>
      <w:r>
        <w:rPr>
          <w:rFonts w:cs="Times New Roman"/>
          <w:szCs w:val="24"/>
          <w:shd w:val="clear" w:color="auto" w:fill="FFFFFF"/>
        </w:rPr>
        <w:t>, </w:t>
      </w:r>
      <w:r>
        <w:rPr>
          <w:rFonts w:cs="Times New Roman"/>
          <w:i/>
          <w:iCs/>
          <w:szCs w:val="24"/>
          <w:shd w:val="clear" w:color="auto" w:fill="FFFFFF"/>
        </w:rPr>
        <w:t>143</w:t>
      </w:r>
      <w:r>
        <w:rPr>
          <w:rFonts w:cs="Times New Roman"/>
          <w:szCs w:val="24"/>
          <w:shd w:val="clear" w:color="auto" w:fill="FFFFFF"/>
        </w:rPr>
        <w:t>, pp.111-131.</w:t>
      </w:r>
    </w:p>
    <w:p>
      <w:pPr>
        <w:tabs>
          <w:tab w:val="left" w:pos="4095"/>
        </w:tabs>
        <w:rPr>
          <w:rFonts w:cs="Times New Roman"/>
          <w:b/>
          <w:szCs w:val="24"/>
        </w:rPr>
      </w:pPr>
    </w:p>
    <w:p>
      <w:pPr>
        <w:rPr>
          <w:rFonts w:cs="Times New Roman"/>
        </w:rPr>
      </w:pPr>
      <w:r>
        <w:rPr>
          <w:rFonts w:cs="Times New Roman"/>
        </w:rPr>
        <w:t xml:space="preserve">CNBC (2023) </w:t>
      </w:r>
      <w:r>
        <w:rPr>
          <w:rFonts w:cs="Times New Roman"/>
          <w:i/>
          <w:iCs/>
        </w:rPr>
        <w:t>Apple Sales Drop 5% in largest quarterly revenue decline since 2016</w:t>
      </w:r>
      <w:r>
        <w:rPr>
          <w:rFonts w:cs="Times New Roman"/>
        </w:rPr>
        <w:t xml:space="preserve">. Available at: https://www.cnbc.com/2023/02/02/apple-aapl-earnings-q1-2023.html (Accessed: April 18, 2023). </w:t>
      </w:r>
    </w:p>
    <w:p>
      <w:pPr>
        <w:rPr>
          <w:rFonts w:cs="Times New Roman"/>
        </w:rPr>
      </w:pPr>
      <w:r>
        <w:rPr>
          <w:rFonts w:cs="Times New Roman"/>
        </w:rPr>
        <w:t>Daily Mail (2023).</w:t>
      </w:r>
      <w:r>
        <w:rPr>
          <w:rFonts w:cs="Times New Roman"/>
          <w:i/>
        </w:rPr>
        <w:t xml:space="preserve"> Revealed: Inside Apple's Chinese 'sweatshop' factory where workers are paid just £1.12 per hour</w:t>
      </w:r>
      <w:r>
        <w:rPr>
          <w:rFonts w:cs="Times New Roman"/>
        </w:rPr>
        <w:t xml:space="preserve">, </w:t>
      </w:r>
      <w:r>
        <w:rPr>
          <w:rFonts w:cs="Times New Roman"/>
          <w:i/>
        </w:rPr>
        <w:t>Daily Mail Online</w:t>
      </w:r>
      <w:r>
        <w:rPr>
          <w:rFonts w:cs="Times New Roman"/>
        </w:rPr>
        <w:t xml:space="preserve">. Associated Newspapers. Available at: https://www.dailymail.co.uk/news/article-2103798/Revealed-Inside-Apples-Chinese-sweatshop-factory-workers-paid-just-1-12-hour.html (Accessed: April 18, 2023). </w:t>
      </w:r>
    </w:p>
    <w:p>
      <w:pPr>
        <w:spacing w:line="276" w:lineRule="auto"/>
        <w:rPr>
          <w:rFonts w:cs="Times New Roman"/>
          <w:szCs w:val="24"/>
        </w:rPr>
      </w:pPr>
      <w:r>
        <w:rPr>
          <w:rFonts w:cs="Times New Roman"/>
          <w:szCs w:val="24"/>
          <w:shd w:val="clear" w:color="auto" w:fill="FFFFFF"/>
        </w:rPr>
        <w:t>Durmaz, Y. and DÜŞÜN, Z.D.,(2016). Importance of strategic management in business. </w:t>
      </w:r>
      <w:r>
        <w:rPr>
          <w:rFonts w:cs="Times New Roman"/>
          <w:i/>
          <w:iCs/>
          <w:szCs w:val="24"/>
          <w:shd w:val="clear" w:color="auto" w:fill="FFFFFF"/>
        </w:rPr>
        <w:t>Expert Journal of Business and Management</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(1).</w:t>
      </w:r>
    </w:p>
    <w:p>
      <w:pPr>
        <w:tabs>
          <w:tab w:val="left" w:pos="4095"/>
        </w:tabs>
        <w:rPr>
          <w:rFonts w:cs="Times New Roman"/>
          <w:szCs w:val="24"/>
          <w:shd w:val="clear" w:color="auto" w:fill="FFFFFF"/>
        </w:rPr>
      </w:pPr>
      <w:r>
        <w:rPr>
          <w:rFonts w:cs="Times New Roman"/>
          <w:szCs w:val="24"/>
          <w:shd w:val="clear" w:color="auto" w:fill="FFFFFF"/>
        </w:rPr>
        <w:t>Glimstedt, H., (2020). The iPhone and its antecedents: Re-thinking entry and the evolution of platform strategies at Apple Inc. </w:t>
      </w:r>
      <w:r>
        <w:rPr>
          <w:rFonts w:cs="Times New Roman"/>
          <w:i/>
          <w:iCs/>
          <w:szCs w:val="24"/>
          <w:shd w:val="clear" w:color="auto" w:fill="FFFFFF"/>
        </w:rPr>
        <w:t>Entreprises et histoire</w:t>
      </w:r>
      <w:r>
        <w:rPr>
          <w:rFonts w:cs="Times New Roman"/>
          <w:szCs w:val="24"/>
          <w:shd w:val="clear" w:color="auto" w:fill="FFFFFF"/>
        </w:rPr>
        <w:t>, (1), pp.120-151.</w:t>
      </w:r>
    </w:p>
    <w:p>
      <w:pPr>
        <w:rPr>
          <w:rFonts w:cs="Times New Roman"/>
          <w:szCs w:val="24"/>
          <w:shd w:val="clear" w:color="auto" w:fill="FFFFFF"/>
        </w:rPr>
      </w:pPr>
      <w:r>
        <w:rPr>
          <w:rFonts w:cs="Times New Roman"/>
          <w:szCs w:val="24"/>
          <w:shd w:val="clear" w:color="auto" w:fill="FFFFFF"/>
        </w:rPr>
        <w:t>Gołębiewska, E., Kalinowska, M. and Yildiz, G., (2022). Sustainable use of apple pomace (AP) in different industrial sectors. </w:t>
      </w:r>
      <w:r>
        <w:rPr>
          <w:rFonts w:cs="Times New Roman"/>
          <w:i/>
          <w:iCs/>
          <w:szCs w:val="24"/>
          <w:shd w:val="clear" w:color="auto" w:fill="FFFFFF"/>
        </w:rPr>
        <w:t>Materials</w:t>
      </w:r>
      <w:r>
        <w:rPr>
          <w:rFonts w:cs="Times New Roman"/>
          <w:szCs w:val="24"/>
          <w:shd w:val="clear" w:color="auto" w:fill="FFFFFF"/>
        </w:rPr>
        <w:t>, </w:t>
      </w:r>
      <w:r>
        <w:rPr>
          <w:rFonts w:cs="Times New Roman"/>
          <w:i/>
          <w:iCs/>
          <w:szCs w:val="24"/>
          <w:shd w:val="clear" w:color="auto" w:fill="FFFFFF"/>
        </w:rPr>
        <w:t>15</w:t>
      </w:r>
      <w:r>
        <w:rPr>
          <w:rFonts w:cs="Times New Roman"/>
          <w:szCs w:val="24"/>
          <w:shd w:val="clear" w:color="auto" w:fill="FFFFFF"/>
        </w:rPr>
        <w:t>(5), p.1788.</w:t>
      </w:r>
    </w:p>
    <w:p>
      <w:pPr>
        <w:rPr>
          <w:rFonts w:cs="Times New Roman"/>
          <w:szCs w:val="24"/>
          <w:shd w:val="clear" w:color="auto" w:fill="FFFFFF"/>
        </w:rPr>
      </w:pPr>
      <w:r>
        <w:rPr>
          <w:rFonts w:cs="Times New Roman"/>
          <w:szCs w:val="24"/>
          <w:shd w:val="clear" w:color="auto" w:fill="FFFFFF"/>
        </w:rPr>
        <w:t>Gündüç, S., (2018). A case study of diffusion of innovation under competition. </w:t>
      </w:r>
      <w:r>
        <w:rPr>
          <w:rFonts w:cs="Times New Roman"/>
          <w:i/>
          <w:iCs/>
          <w:szCs w:val="24"/>
          <w:shd w:val="clear" w:color="auto" w:fill="FFFFFF"/>
        </w:rPr>
        <w:t>Acta Physica Polonica A</w:t>
      </w:r>
      <w:r>
        <w:rPr>
          <w:rFonts w:cs="Times New Roman"/>
          <w:szCs w:val="24"/>
          <w:shd w:val="clear" w:color="auto" w:fill="FFFFFF"/>
        </w:rPr>
        <w:t>, </w:t>
      </w:r>
      <w:r>
        <w:rPr>
          <w:rFonts w:cs="Times New Roman"/>
          <w:i/>
          <w:iCs/>
          <w:szCs w:val="24"/>
          <w:shd w:val="clear" w:color="auto" w:fill="FFFFFF"/>
        </w:rPr>
        <w:t>133</w:t>
      </w:r>
      <w:r>
        <w:rPr>
          <w:rFonts w:cs="Times New Roman"/>
          <w:szCs w:val="24"/>
          <w:shd w:val="clear" w:color="auto" w:fill="FFFFFF"/>
        </w:rPr>
        <w:t>(6), pp.1465-1469.</w:t>
      </w:r>
    </w:p>
    <w:p>
      <w:pPr>
        <w:rPr>
          <w:rFonts w:cs="Times New Roman"/>
          <w:szCs w:val="24"/>
          <w:shd w:val="clear" w:color="auto" w:fill="FFFFFF"/>
        </w:rPr>
      </w:pPr>
      <w:r>
        <w:rPr>
          <w:rFonts w:cs="Times New Roman"/>
          <w:szCs w:val="24"/>
          <w:shd w:val="clear" w:color="auto" w:fill="FFFFFF"/>
        </w:rPr>
        <w:t>He, Q., Wang, N., Yang, Z., He, Z. and Jiang, B., 2019. Competitive collection under channel inconvenience in closed-loop supply chain. </w:t>
      </w:r>
      <w:r>
        <w:rPr>
          <w:rFonts w:cs="Times New Roman"/>
          <w:i/>
          <w:iCs/>
          <w:szCs w:val="24"/>
          <w:shd w:val="clear" w:color="auto" w:fill="FFFFFF"/>
        </w:rPr>
        <w:t>European Journal of Operational Research</w:t>
      </w:r>
      <w:r>
        <w:rPr>
          <w:rFonts w:cs="Times New Roman"/>
          <w:szCs w:val="24"/>
          <w:shd w:val="clear" w:color="auto" w:fill="FFFFFF"/>
        </w:rPr>
        <w:t>, </w:t>
      </w:r>
      <w:r>
        <w:rPr>
          <w:rFonts w:cs="Times New Roman"/>
          <w:i/>
          <w:iCs/>
          <w:szCs w:val="24"/>
          <w:shd w:val="clear" w:color="auto" w:fill="FFFFFF"/>
        </w:rPr>
        <w:t>275</w:t>
      </w:r>
      <w:r>
        <w:rPr>
          <w:rFonts w:cs="Times New Roman"/>
          <w:szCs w:val="24"/>
          <w:shd w:val="clear" w:color="auto" w:fill="FFFFFF"/>
        </w:rPr>
        <w:t>(1), pp.155-166.</w:t>
      </w:r>
    </w:p>
    <w:p>
      <w:pPr>
        <w:rPr>
          <w:rFonts w:cs="Times New Roman"/>
        </w:rPr>
      </w:pPr>
      <w:r>
        <w:rPr>
          <w:rFonts w:cs="Times New Roman"/>
        </w:rPr>
        <w:t xml:space="preserve">Irishtimes (2022) </w:t>
      </w:r>
      <w:r>
        <w:rPr>
          <w:rFonts w:cs="Times New Roman"/>
          <w:i/>
          <w:iCs/>
        </w:rPr>
        <w:t>Apple facing US Legal Challenge over privacy changes</w:t>
      </w:r>
      <w:r>
        <w:rPr>
          <w:rFonts w:cs="Times New Roman"/>
        </w:rPr>
        <w:t xml:space="preserve">, </w:t>
      </w:r>
      <w:r>
        <w:rPr>
          <w:rFonts w:cs="Times New Roman"/>
          <w:i/>
          <w:iCs/>
        </w:rPr>
        <w:t>The Irish Times</w:t>
      </w:r>
      <w:r>
        <w:rPr>
          <w:rFonts w:cs="Times New Roman"/>
        </w:rPr>
        <w:t xml:space="preserve">. The Irish Times. Available at: https://www.irishtimes.com/business/2022/11/22/apple-facing-us-legal-challenge-over-privacy-changes/ (Accessed: March 24, 2023). </w:t>
      </w:r>
    </w:p>
    <w:p>
      <w:pPr>
        <w:rPr>
          <w:rFonts w:cs="Times New Roman"/>
        </w:rPr>
      </w:pPr>
      <w:r>
        <w:rPr>
          <w:rFonts w:cs="Times New Roman"/>
        </w:rPr>
        <w:t xml:space="preserve">Irishtimes (2022) </w:t>
      </w:r>
      <w:r>
        <w:rPr>
          <w:rFonts w:cs="Times New Roman"/>
          <w:i/>
          <w:iCs/>
        </w:rPr>
        <w:t>Apple facing US Legal Challenge over privacy changes</w:t>
      </w:r>
      <w:r>
        <w:rPr>
          <w:rFonts w:cs="Times New Roman"/>
        </w:rPr>
        <w:t xml:space="preserve">, </w:t>
      </w:r>
      <w:r>
        <w:rPr>
          <w:rFonts w:cs="Times New Roman"/>
          <w:i/>
          <w:iCs/>
        </w:rPr>
        <w:t>The Irish Times</w:t>
      </w:r>
      <w:r>
        <w:rPr>
          <w:rFonts w:cs="Times New Roman"/>
        </w:rPr>
        <w:t xml:space="preserve">. The Irish Times. Available at: https://www.irishtimes.com/business/2022/11/22/apple-facing-us-legal-challenge-over-privacy-changes/ (Accessed: April 18, 2023). </w:t>
      </w:r>
    </w:p>
    <w:p>
      <w:pPr>
        <w:rPr>
          <w:rFonts w:cs="Times New Roman"/>
          <w:b/>
          <w:szCs w:val="24"/>
        </w:rPr>
      </w:pPr>
      <w:r>
        <w:rPr>
          <w:rFonts w:cs="Times New Roman"/>
          <w:szCs w:val="24"/>
          <w:shd w:val="clear" w:color="auto" w:fill="FFFFFF"/>
        </w:rPr>
        <w:t>Islami, X., Mustafa, N. and Topuzovska Latkovikj, M., (2020). Linking Porter’s generic strategies to firm performance. </w:t>
      </w:r>
      <w:r>
        <w:rPr>
          <w:rFonts w:cs="Times New Roman"/>
          <w:i/>
          <w:iCs/>
          <w:szCs w:val="24"/>
          <w:shd w:val="clear" w:color="auto" w:fill="FFFFFF"/>
        </w:rPr>
        <w:t>Future Business Journal</w:t>
      </w:r>
      <w:r>
        <w:rPr>
          <w:rFonts w:cs="Times New Roman"/>
          <w:szCs w:val="24"/>
          <w:shd w:val="clear" w:color="auto" w:fill="FFFFFF"/>
        </w:rPr>
        <w:t>, </w:t>
      </w:r>
      <w:r>
        <w:rPr>
          <w:rFonts w:cs="Times New Roman"/>
          <w:i/>
          <w:iCs/>
          <w:szCs w:val="24"/>
          <w:shd w:val="clear" w:color="auto" w:fill="FFFFFF"/>
        </w:rPr>
        <w:t>6</w:t>
      </w:r>
      <w:r>
        <w:rPr>
          <w:rFonts w:cs="Times New Roman"/>
          <w:szCs w:val="24"/>
          <w:shd w:val="clear" w:color="auto" w:fill="FFFFFF"/>
        </w:rPr>
        <w:t>, pp.1-15.</w:t>
      </w:r>
    </w:p>
    <w:p>
      <w:pPr>
        <w:tabs>
          <w:tab w:val="left" w:pos="4095"/>
        </w:tabs>
        <w:rPr>
          <w:rFonts w:cs="Times New Roman"/>
          <w:b/>
          <w:szCs w:val="24"/>
        </w:rPr>
      </w:pPr>
      <w:r>
        <w:rPr>
          <w:rFonts w:cs="Times New Roman"/>
          <w:szCs w:val="24"/>
          <w:shd w:val="clear" w:color="auto" w:fill="FFFFFF"/>
        </w:rPr>
        <w:t>Kabeyi, M.J.B., 2018. Michael porter’s five competitive forces and generetic strategies, market segmentation strategy and case study of competition in global smartphone manufacturing industry. </w:t>
      </w:r>
      <w:r>
        <w:rPr>
          <w:rFonts w:cs="Times New Roman"/>
          <w:i/>
          <w:iCs/>
          <w:szCs w:val="24"/>
          <w:shd w:val="clear" w:color="auto" w:fill="FFFFFF"/>
        </w:rPr>
        <w:t>IJAR</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(10), pp.39-45.</w:t>
      </w:r>
    </w:p>
    <w:p>
      <w:pPr>
        <w:spacing w:line="276" w:lineRule="auto"/>
        <w:rPr>
          <w:rFonts w:cs="Times New Roman"/>
          <w:szCs w:val="24"/>
        </w:rPr>
      </w:pPr>
      <w:r>
        <w:rPr>
          <w:rFonts w:cs="Times New Roman"/>
          <w:szCs w:val="24"/>
          <w:shd w:val="clear" w:color="auto" w:fill="FFFFFF"/>
        </w:rPr>
        <w:t>Kelly, A., (2019). Apple and Google named in US lawsuit over Congolese child cobalt mining deaths. </w:t>
      </w:r>
      <w:r>
        <w:rPr>
          <w:rFonts w:cs="Times New Roman"/>
          <w:i/>
          <w:iCs/>
          <w:szCs w:val="24"/>
          <w:shd w:val="clear" w:color="auto" w:fill="FFFFFF"/>
        </w:rPr>
        <w:t>The Guardian</w:t>
      </w:r>
      <w:r>
        <w:rPr>
          <w:rFonts w:cs="Times New Roman"/>
          <w:szCs w:val="24"/>
          <w:shd w:val="clear" w:color="auto" w:fill="FFFFFF"/>
        </w:rPr>
        <w:t>, </w:t>
      </w:r>
      <w:r>
        <w:rPr>
          <w:rFonts w:cs="Times New Roman"/>
          <w:i/>
          <w:iCs/>
          <w:szCs w:val="24"/>
          <w:shd w:val="clear" w:color="auto" w:fill="FFFFFF"/>
        </w:rPr>
        <w:t>16</w:t>
      </w:r>
      <w:r>
        <w:rPr>
          <w:rFonts w:cs="Times New Roman"/>
          <w:szCs w:val="24"/>
          <w:shd w:val="clear" w:color="auto" w:fill="FFFFFF"/>
        </w:rPr>
        <w:t>.</w:t>
      </w:r>
    </w:p>
    <w:p>
      <w:pPr>
        <w:rPr>
          <w:rFonts w:cs="Times New Roman"/>
          <w:szCs w:val="24"/>
        </w:rPr>
      </w:pPr>
      <w:r>
        <w:rPr>
          <w:rFonts w:cs="Times New Roman"/>
          <w:szCs w:val="24"/>
        </w:rPr>
        <w:t xml:space="preserve">Laricchia, F. (2022) </w:t>
      </w:r>
      <w:r>
        <w:rPr>
          <w:rFonts w:cs="Times New Roman"/>
          <w:i/>
          <w:iCs/>
          <w:szCs w:val="24"/>
        </w:rPr>
        <w:t>Apple Revenue Worldwide 2022</w:t>
      </w:r>
      <w:r>
        <w:rPr>
          <w:rFonts w:cs="Times New Roman"/>
          <w:szCs w:val="24"/>
        </w:rPr>
        <w:t xml:space="preserve">, </w:t>
      </w:r>
      <w:r>
        <w:rPr>
          <w:rFonts w:cs="Times New Roman"/>
          <w:i/>
          <w:iCs/>
          <w:szCs w:val="24"/>
        </w:rPr>
        <w:t>Statista</w:t>
      </w:r>
      <w:r>
        <w:rPr>
          <w:rFonts w:cs="Times New Roman"/>
          <w:szCs w:val="24"/>
        </w:rPr>
        <w:t xml:space="preserve">. Available at: https://www.statista.com/statistics/265125/total-net-sales-of-apple-since-2004/#:~:text=Apple's%20total%20net%20sales%20amounted,in%20the%20last%20ten%20years. (Accessed: March 31, 2023). </w:t>
      </w:r>
    </w:p>
    <w:p>
      <w:pPr>
        <w:rPr>
          <w:rFonts w:cs="Times New Roman"/>
        </w:rPr>
      </w:pPr>
      <w:r>
        <w:rPr>
          <w:rFonts w:cs="Times New Roman"/>
        </w:rPr>
        <w:t xml:space="preserve">Laricchia, F. (2022) </w:t>
      </w:r>
      <w:r>
        <w:rPr>
          <w:rFonts w:cs="Times New Roman"/>
          <w:i/>
          <w:iCs/>
        </w:rPr>
        <w:t>Apple's total assets worldwide 2004-2022</w:t>
      </w:r>
      <w:r>
        <w:rPr>
          <w:rFonts w:cs="Times New Roman"/>
        </w:rPr>
        <w:t xml:space="preserve">, </w:t>
      </w:r>
      <w:r>
        <w:rPr>
          <w:rFonts w:cs="Times New Roman"/>
          <w:i/>
          <w:iCs/>
        </w:rPr>
        <w:t>Statista</w:t>
      </w:r>
      <w:r>
        <w:rPr>
          <w:rFonts w:cs="Times New Roman"/>
        </w:rPr>
        <w:t xml:space="preserve">. Available at: https://www.statista.com/statistics/796433/total-assets-of-apple-since-2004/\ (Accessed: April 18, 2023). </w:t>
      </w:r>
    </w:p>
    <w:p>
      <w:pPr>
        <w:rPr>
          <w:rFonts w:cs="Times New Roman"/>
        </w:rPr>
      </w:pPr>
      <w:r>
        <w:rPr>
          <w:rFonts w:cs="Times New Roman"/>
        </w:rPr>
        <w:t xml:space="preserve">Laricchia, F. (2023) </w:t>
      </w:r>
      <w:r>
        <w:rPr>
          <w:rFonts w:cs="Times New Roman"/>
          <w:i/>
          <w:iCs/>
        </w:rPr>
        <w:t>Apple number of employees 2005-2022</w:t>
      </w:r>
      <w:r>
        <w:rPr>
          <w:rFonts w:cs="Times New Roman"/>
        </w:rPr>
        <w:t xml:space="preserve">, </w:t>
      </w:r>
      <w:r>
        <w:rPr>
          <w:rFonts w:cs="Times New Roman"/>
          <w:i/>
          <w:iCs/>
        </w:rPr>
        <w:t>Statista</w:t>
      </w:r>
      <w:r>
        <w:rPr>
          <w:rFonts w:cs="Times New Roman"/>
        </w:rPr>
        <w:t xml:space="preserve">. Available at: https://www.statista.com/statistics/273439/number-of-employees-of-apple-since-2005/#:~:text=As%20of%20FY%202022%2C%20the,counting%20full%2Dtime%20equivalent) (Accessed: March 24, 2023). </w:t>
      </w:r>
    </w:p>
    <w:p>
      <w:pPr>
        <w:rPr>
          <w:rFonts w:cs="Times New Roman"/>
          <w:szCs w:val="24"/>
          <w:shd w:val="clear" w:color="auto" w:fill="FFFFFF"/>
        </w:rPr>
      </w:pPr>
      <w:r>
        <w:rPr>
          <w:rFonts w:cs="Times New Roman"/>
          <w:szCs w:val="24"/>
          <w:shd w:val="clear" w:color="auto" w:fill="FFFFFF"/>
        </w:rPr>
        <w:t>Li, Y., (2021). Apple Inc. Analysis and Forecast Evaluation. </w:t>
      </w:r>
      <w:r>
        <w:rPr>
          <w:rFonts w:cs="Times New Roman"/>
          <w:i/>
          <w:iCs/>
          <w:szCs w:val="24"/>
          <w:shd w:val="clear" w:color="auto" w:fill="FFFFFF"/>
        </w:rPr>
        <w:t>Proceedings of Business and Economic Studies</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(4), pp.71-78.</w:t>
      </w:r>
    </w:p>
    <w:p>
      <w:pPr>
        <w:spacing w:line="276" w:lineRule="auto"/>
        <w:rPr>
          <w:rFonts w:cs="Times New Roman"/>
          <w:szCs w:val="24"/>
        </w:rPr>
      </w:pPr>
      <w:r>
        <w:rPr>
          <w:rFonts w:cs="Times New Roman"/>
          <w:szCs w:val="24"/>
          <w:shd w:val="clear" w:color="auto" w:fill="FFFFFF"/>
        </w:rPr>
        <w:t>Li, Z., Shao, S., Shi, X., Sun, Y. and Zhang, X., (2019). Structural transformation of manufacturing, natural resource dependence, and carbon emissions reduction: Evidence of a threshold effect from China. </w:t>
      </w:r>
      <w:r>
        <w:rPr>
          <w:rFonts w:cs="Times New Roman"/>
          <w:i/>
          <w:iCs/>
          <w:szCs w:val="24"/>
          <w:shd w:val="clear" w:color="auto" w:fill="FFFFFF"/>
        </w:rPr>
        <w:t>Journal of cleaner production</w:t>
      </w:r>
      <w:r>
        <w:rPr>
          <w:rFonts w:cs="Times New Roman"/>
          <w:szCs w:val="24"/>
          <w:shd w:val="clear" w:color="auto" w:fill="FFFFFF"/>
        </w:rPr>
        <w:t>, </w:t>
      </w:r>
      <w:r>
        <w:rPr>
          <w:rFonts w:cs="Times New Roman"/>
          <w:i/>
          <w:iCs/>
          <w:szCs w:val="24"/>
          <w:shd w:val="clear" w:color="auto" w:fill="FFFFFF"/>
        </w:rPr>
        <w:t>206</w:t>
      </w:r>
      <w:r>
        <w:rPr>
          <w:rFonts w:cs="Times New Roman"/>
          <w:szCs w:val="24"/>
          <w:shd w:val="clear" w:color="auto" w:fill="FFFFFF"/>
        </w:rPr>
        <w:t>, pp.920-927.</w:t>
      </w:r>
    </w:p>
    <w:p>
      <w:pPr>
        <w:spacing w:line="276" w:lineRule="auto"/>
        <w:rPr>
          <w:rFonts w:cs="Times New Roman"/>
          <w:szCs w:val="24"/>
        </w:rPr>
      </w:pPr>
      <w:r>
        <w:rPr>
          <w:rFonts w:cs="Times New Roman"/>
          <w:szCs w:val="24"/>
          <w:shd w:val="clear" w:color="auto" w:fill="FFFFFF"/>
        </w:rPr>
        <w:t>Liébana-Cabanillas, F., García-Maroto, I., Muñoz-Leiva, F. and Ramos-de-Luna, I., (2020). Mobile payment adoption in the age of digital transformation: The case of Apple Pay. </w:t>
      </w:r>
      <w:r>
        <w:rPr>
          <w:rFonts w:cs="Times New Roman"/>
          <w:i/>
          <w:iCs/>
          <w:szCs w:val="24"/>
          <w:shd w:val="clear" w:color="auto" w:fill="FFFFFF"/>
        </w:rPr>
        <w:t>Sustainability</w:t>
      </w:r>
      <w:r>
        <w:rPr>
          <w:rFonts w:cs="Times New Roman"/>
          <w:szCs w:val="24"/>
          <w:shd w:val="clear" w:color="auto" w:fill="FFFFFF"/>
        </w:rPr>
        <w:t>, </w:t>
      </w:r>
      <w:r>
        <w:rPr>
          <w:rFonts w:cs="Times New Roman"/>
          <w:i/>
          <w:iCs/>
          <w:szCs w:val="24"/>
          <w:shd w:val="clear" w:color="auto" w:fill="FFFFFF"/>
        </w:rPr>
        <w:t>12</w:t>
      </w:r>
      <w:r>
        <w:rPr>
          <w:rFonts w:cs="Times New Roman"/>
          <w:szCs w:val="24"/>
          <w:shd w:val="clear" w:color="auto" w:fill="FFFFFF"/>
        </w:rPr>
        <w:t>(13), p.5443.</w:t>
      </w:r>
    </w:p>
    <w:p>
      <w:pPr>
        <w:rPr>
          <w:rFonts w:cs="Times New Roman"/>
          <w:szCs w:val="24"/>
          <w:shd w:val="clear" w:color="auto" w:fill="FFFFFF"/>
        </w:rPr>
      </w:pPr>
      <w:r>
        <w:rPr>
          <w:rFonts w:cs="Times New Roman"/>
          <w:szCs w:val="24"/>
          <w:shd w:val="clear" w:color="auto" w:fill="FFFFFF"/>
        </w:rPr>
        <w:t>Lockamy III, A., (2017), July. An examination of external risk factors in Apple Inc.’s supply chain. In </w:t>
      </w:r>
      <w:r>
        <w:rPr>
          <w:rFonts w:cs="Times New Roman"/>
          <w:i/>
          <w:iCs/>
          <w:szCs w:val="24"/>
          <w:shd w:val="clear" w:color="auto" w:fill="FFFFFF"/>
        </w:rPr>
        <w:t>Supply Chain Forum: An International Journal</w:t>
      </w:r>
      <w:r>
        <w:rPr>
          <w:rFonts w:cs="Times New Roman"/>
          <w:szCs w:val="24"/>
          <w:shd w:val="clear" w:color="auto" w:fill="FFFFFF"/>
        </w:rPr>
        <w:t> (Vol. 18, No. 3, pp. 177-188). Taylor &amp; Francis.</w:t>
      </w:r>
    </w:p>
    <w:p>
      <w:pPr>
        <w:rPr>
          <w:rFonts w:cs="Times New Roman"/>
        </w:rPr>
      </w:pPr>
      <w:r>
        <w:rPr>
          <w:rFonts w:cs="Times New Roman"/>
          <w:shd w:val="clear" w:color="auto" w:fill="FFFFFF"/>
        </w:rPr>
        <w:t>Lynch, R.L., (2018). </w:t>
      </w:r>
      <w:r>
        <w:rPr>
          <w:rFonts w:cs="Times New Roman"/>
          <w:i/>
          <w:iCs/>
          <w:shd w:val="clear" w:color="auto" w:fill="FFFFFF"/>
        </w:rPr>
        <w:t>Strategic Management</w:t>
      </w:r>
      <w:r>
        <w:rPr>
          <w:rFonts w:cs="Times New Roman"/>
          <w:shd w:val="clear" w:color="auto" w:fill="FFFFFF"/>
        </w:rPr>
        <w:t xml:space="preserve">. Harlow, England. </w:t>
      </w:r>
    </w:p>
    <w:p>
      <w:pPr>
        <w:rPr>
          <w:rFonts w:cs="Times New Roman"/>
        </w:rPr>
      </w:pPr>
      <w:r>
        <w:rPr>
          <w:rFonts w:cs="Times New Roman"/>
          <w:iCs/>
        </w:rPr>
        <w:t>Macrotrends</w:t>
      </w:r>
      <w:r>
        <w:rPr>
          <w:rFonts w:cs="Times New Roman"/>
        </w:rPr>
        <w:t xml:space="preserve">. (2022). </w:t>
      </w:r>
      <w:r>
        <w:rPr>
          <w:rFonts w:cs="Times New Roman"/>
          <w:i/>
          <w:iCs/>
        </w:rPr>
        <w:t>Apple Gross Profit 2010-2022: AAPL</w:t>
      </w:r>
      <w:r>
        <w:rPr>
          <w:rFonts w:cs="Times New Roman"/>
        </w:rPr>
        <w:t xml:space="preserve">. Available at: https://www.macrotrends.net/stocks/charts/AAPL/apple/gross-profit#:~:text=Apple%20gross%20profit%20for%20the%20twelve%20months%20ending%20December%2031,a%2045.62%25%20increase%20from%202020. (Accessed: April 18, 2023). </w:t>
      </w:r>
    </w:p>
    <w:p>
      <w:pPr>
        <w:rPr>
          <w:rFonts w:cs="Times New Roman"/>
          <w:szCs w:val="24"/>
          <w:shd w:val="clear" w:color="auto" w:fill="FFFFFF"/>
        </w:rPr>
      </w:pPr>
      <w:r>
        <w:rPr>
          <w:rFonts w:cs="Times New Roman"/>
          <w:szCs w:val="24"/>
          <w:shd w:val="clear" w:color="auto" w:fill="FFFFFF"/>
        </w:rPr>
        <w:t>Mahat, M., (2019). The competitive forces that shape Australian medical education: An industry analysis using Porter’s five forces framework. </w:t>
      </w:r>
      <w:r>
        <w:rPr>
          <w:rFonts w:cs="Times New Roman"/>
          <w:i/>
          <w:iCs/>
          <w:szCs w:val="24"/>
          <w:shd w:val="clear" w:color="auto" w:fill="FFFFFF"/>
        </w:rPr>
        <w:t>International Journal of Educational Management</w:t>
      </w:r>
      <w:r>
        <w:rPr>
          <w:rFonts w:cs="Times New Roman"/>
          <w:szCs w:val="24"/>
          <w:shd w:val="clear" w:color="auto" w:fill="FFFFFF"/>
        </w:rPr>
        <w:t>.</w:t>
      </w:r>
    </w:p>
    <w:p>
      <w:pPr>
        <w:rPr>
          <w:rFonts w:cs="Times New Roman"/>
        </w:rPr>
      </w:pPr>
      <w:r>
        <w:rPr>
          <w:rFonts w:cs="Times New Roman"/>
          <w:iCs/>
        </w:rPr>
        <w:t>Marketline</w:t>
      </w:r>
      <w:r>
        <w:rPr>
          <w:rFonts w:cs="Times New Roman"/>
        </w:rPr>
        <w:t xml:space="preserve">. (2020). </w:t>
      </w:r>
      <w:r>
        <w:rPr>
          <w:rFonts w:cs="Times New Roman"/>
          <w:i/>
          <w:iCs/>
        </w:rPr>
        <w:t>Apple Inc. - world's Most Valuable Company has perfected the luxury tech business model</w:t>
      </w:r>
      <w:r>
        <w:rPr>
          <w:rFonts w:cs="Times New Roman"/>
        </w:rPr>
        <w:t xml:space="preserve"> (2020) Available at: https://store.marketline.com/report/apple-inc-worlds-most-valuable-company-has-perfected-the-luxury-tech-business-model/ (Accessed: March 24, 2023). </w:t>
      </w:r>
    </w:p>
    <w:p>
      <w:pPr>
        <w:rPr>
          <w:rFonts w:cs="Times New Roman"/>
          <w:szCs w:val="24"/>
          <w:shd w:val="clear" w:color="auto" w:fill="FFFFFF"/>
        </w:rPr>
      </w:pPr>
      <w:r>
        <w:rPr>
          <w:rFonts w:cs="Times New Roman"/>
          <w:szCs w:val="24"/>
          <w:shd w:val="clear" w:color="auto" w:fill="FFFFFF"/>
        </w:rPr>
        <w:t>Monczka, R.M., Handfield, R.B., Giunipero, L.C. and Patterson, J.L., (2020). </w:t>
      </w:r>
      <w:r>
        <w:rPr>
          <w:rFonts w:cs="Times New Roman"/>
          <w:i/>
          <w:iCs/>
          <w:szCs w:val="24"/>
          <w:shd w:val="clear" w:color="auto" w:fill="FFFFFF"/>
        </w:rPr>
        <w:t>Purchasing and supply chain management</w:t>
      </w:r>
      <w:r>
        <w:rPr>
          <w:rFonts w:cs="Times New Roman"/>
          <w:szCs w:val="24"/>
          <w:shd w:val="clear" w:color="auto" w:fill="FFFFFF"/>
        </w:rPr>
        <w:t>. Cengage Learning.</w:t>
      </w:r>
    </w:p>
    <w:p>
      <w:pPr>
        <w:rPr>
          <w:rFonts w:cs="Times New Roman"/>
          <w:szCs w:val="24"/>
          <w:shd w:val="clear" w:color="auto" w:fill="FFFFFF"/>
        </w:rPr>
      </w:pPr>
      <w:r>
        <w:rPr>
          <w:rFonts w:cs="Times New Roman"/>
          <w:szCs w:val="24"/>
          <w:shd w:val="clear" w:color="auto" w:fill="FFFFFF"/>
        </w:rPr>
        <w:t>Nason, R.S. and Wiklund, J., (2018). An assessment of resource-based theorizing on firm growth and suggestions for the future. </w:t>
      </w:r>
      <w:r>
        <w:rPr>
          <w:rFonts w:cs="Times New Roman"/>
          <w:i/>
          <w:iCs/>
          <w:szCs w:val="24"/>
          <w:shd w:val="clear" w:color="auto" w:fill="FFFFFF"/>
        </w:rPr>
        <w:t>Journal of management</w:t>
      </w:r>
      <w:r>
        <w:rPr>
          <w:rFonts w:cs="Times New Roman"/>
          <w:szCs w:val="24"/>
          <w:shd w:val="clear" w:color="auto" w:fill="FFFFFF"/>
        </w:rPr>
        <w:t>, </w:t>
      </w:r>
      <w:r>
        <w:rPr>
          <w:rFonts w:cs="Times New Roman"/>
          <w:i/>
          <w:iCs/>
          <w:szCs w:val="24"/>
          <w:shd w:val="clear" w:color="auto" w:fill="FFFFFF"/>
        </w:rPr>
        <w:t>44</w:t>
      </w:r>
      <w:r>
        <w:rPr>
          <w:rFonts w:cs="Times New Roman"/>
          <w:szCs w:val="24"/>
          <w:shd w:val="clear" w:color="auto" w:fill="FFFFFF"/>
        </w:rPr>
        <w:t>(1), pp.32-60.</w:t>
      </w:r>
    </w:p>
    <w:p>
      <w:pPr>
        <w:rPr>
          <w:rFonts w:cs="Times New Roman"/>
        </w:rPr>
      </w:pPr>
      <w:r>
        <w:rPr>
          <w:rFonts w:cs="Times New Roman"/>
        </w:rPr>
        <w:t xml:space="preserve">O'Brien, C. (2017) </w:t>
      </w:r>
      <w:r>
        <w:rPr>
          <w:rFonts w:cs="Times New Roman"/>
          <w:i/>
          <w:iCs/>
        </w:rPr>
        <w:t>Apple says it's targeting health, environment, and education for its charitable giving</w:t>
      </w:r>
      <w:r>
        <w:rPr>
          <w:rFonts w:cs="Times New Roman"/>
        </w:rPr>
        <w:t xml:space="preserve">, </w:t>
      </w:r>
      <w:r>
        <w:rPr>
          <w:rFonts w:cs="Times New Roman"/>
          <w:i/>
          <w:iCs/>
        </w:rPr>
        <w:t>VentureBeat</w:t>
      </w:r>
      <w:r>
        <w:rPr>
          <w:rFonts w:cs="Times New Roman"/>
        </w:rPr>
        <w:t xml:space="preserve">. VentureBeat. Available at: https://venturebeat.com/business/apple-says-its-targeting-health-environment-and-education-for-its-charitable-giving/ (Accessed: April 18, 2023). </w:t>
      </w:r>
    </w:p>
    <w:p>
      <w:pPr>
        <w:rPr>
          <w:rFonts w:cs="Times New Roman"/>
          <w:shd w:val="clear" w:color="auto" w:fill="FFFFFF"/>
        </w:rPr>
      </w:pPr>
      <w:r>
        <w:rPr>
          <w:rFonts w:cs="Times New Roman"/>
          <w:shd w:val="clear" w:color="auto" w:fill="FFFFFF"/>
        </w:rPr>
        <w:t>Ocasio, W. and Joseph, J., (2018). The attention-based view of great strategies. </w:t>
      </w:r>
      <w:r>
        <w:rPr>
          <w:rFonts w:cs="Times New Roman"/>
          <w:i/>
          <w:iCs/>
          <w:shd w:val="clear" w:color="auto" w:fill="FFFFFF"/>
        </w:rPr>
        <w:t>Strategy Science</w:t>
      </w:r>
      <w:r>
        <w:rPr>
          <w:rFonts w:cs="Times New Roman"/>
          <w:shd w:val="clear" w:color="auto" w:fill="FFFFFF"/>
        </w:rPr>
        <w:t>, </w:t>
      </w:r>
      <w:r>
        <w:rPr>
          <w:rFonts w:cs="Times New Roman"/>
          <w:i/>
          <w:iCs/>
          <w:shd w:val="clear" w:color="auto" w:fill="FFFFFF"/>
        </w:rPr>
        <w:t>3</w:t>
      </w:r>
      <w:r>
        <w:rPr>
          <w:rFonts w:cs="Times New Roman"/>
          <w:shd w:val="clear" w:color="auto" w:fill="FFFFFF"/>
        </w:rPr>
        <w:t>(1), pp.289-294.</w:t>
      </w:r>
    </w:p>
    <w:p>
      <w:pPr>
        <w:tabs>
          <w:tab w:val="left" w:pos="4095"/>
        </w:tabs>
        <w:rPr>
          <w:rFonts w:cs="Times New Roman"/>
          <w:szCs w:val="24"/>
          <w:shd w:val="clear" w:color="auto" w:fill="FFFFFF"/>
        </w:rPr>
      </w:pPr>
      <w:r>
        <w:rPr>
          <w:rFonts w:cs="Times New Roman"/>
          <w:szCs w:val="24"/>
          <w:shd w:val="clear" w:color="auto" w:fill="FFFFFF"/>
        </w:rPr>
        <w:t>Reeve, K. and Pincin, J., (2018). CSR strategies in Sub-Saharan Africa: focusing on the bottom of the pyramid. </w:t>
      </w:r>
      <w:r>
        <w:rPr>
          <w:rFonts w:cs="Times New Roman"/>
          <w:i/>
          <w:iCs/>
          <w:szCs w:val="24"/>
          <w:shd w:val="clear" w:color="auto" w:fill="FFFFFF"/>
        </w:rPr>
        <w:t>The ISM Journal of International Business</w:t>
      </w:r>
      <w:r>
        <w:rPr>
          <w:rFonts w:cs="Times New Roman"/>
          <w:szCs w:val="24"/>
          <w:shd w:val="clear" w:color="auto" w:fill="FFFFFF"/>
        </w:rPr>
        <w:t>, </w:t>
      </w:r>
      <w:r>
        <w:rPr>
          <w:rFonts w:cs="Times New Roman"/>
          <w:i/>
          <w:iCs/>
          <w:szCs w:val="24"/>
          <w:shd w:val="clear" w:color="auto" w:fill="FFFFFF"/>
        </w:rPr>
        <w:t>2</w:t>
      </w:r>
      <w:r>
        <w:rPr>
          <w:rFonts w:cs="Times New Roman"/>
          <w:szCs w:val="24"/>
          <w:shd w:val="clear" w:color="auto" w:fill="FFFFFF"/>
        </w:rPr>
        <w:t>(2), pp.15-24.</w:t>
      </w:r>
    </w:p>
    <w:p>
      <w:pPr>
        <w:tabs>
          <w:tab w:val="left" w:pos="4095"/>
        </w:tabs>
        <w:rPr>
          <w:rFonts w:cs="Times New Roman"/>
          <w:szCs w:val="24"/>
          <w:shd w:val="clear" w:color="auto" w:fill="FFFFFF"/>
        </w:rPr>
      </w:pPr>
      <w:r>
        <w:rPr>
          <w:rFonts w:cs="Times New Roman"/>
          <w:szCs w:val="24"/>
          <w:shd w:val="clear" w:color="auto" w:fill="FFFFFF"/>
        </w:rPr>
        <w:t>Reshetko, N., Vakulenko, S., Kakhrimanova, D., Belozerov, V. and Gašparík, J., (2020). Analysis of the electric vehicle market and the company’s competitive development strategy on it (on the example of “Faraday Future”). In </w:t>
      </w:r>
      <w:r>
        <w:rPr>
          <w:rFonts w:cs="Times New Roman"/>
          <w:i/>
          <w:iCs/>
          <w:szCs w:val="24"/>
          <w:shd w:val="clear" w:color="auto" w:fill="FFFFFF"/>
        </w:rPr>
        <w:t>MATEC Web of Conferences</w:t>
      </w:r>
      <w:r>
        <w:rPr>
          <w:rFonts w:cs="Times New Roman"/>
          <w:szCs w:val="24"/>
          <w:shd w:val="clear" w:color="auto" w:fill="FFFFFF"/>
        </w:rPr>
        <w:t> (Vol. 329, p. 01016). EDP Sciences.</w:t>
      </w:r>
    </w:p>
    <w:p>
      <w:pPr>
        <w:rPr>
          <w:rFonts w:cs="Times New Roman"/>
        </w:rPr>
      </w:pPr>
      <w:r>
        <w:rPr>
          <w:rFonts w:cs="Times New Roman"/>
          <w:iCs/>
        </w:rPr>
        <w:t>Reuters</w:t>
      </w:r>
      <w:r>
        <w:rPr>
          <w:rFonts w:cs="Times New Roman"/>
        </w:rPr>
        <w:t xml:space="preserve">.  (2019) </w:t>
      </w:r>
      <w:r>
        <w:rPr>
          <w:rFonts w:cs="Times New Roman"/>
          <w:i/>
          <w:iCs/>
        </w:rPr>
        <w:t>New Apple Lab uses robots to rip apart devices for Recycling Materials</w:t>
      </w:r>
      <w:r>
        <w:rPr>
          <w:rFonts w:cs="Times New Roman"/>
        </w:rPr>
        <w:t xml:space="preserve">, Thomson Reuters. Available at: https://www.reuters.com/article/us-apple-environment-idUSKCN1RU1DW (Accessed: April 18, 2023). </w:t>
      </w:r>
    </w:p>
    <w:p>
      <w:pPr>
        <w:rPr>
          <w:rFonts w:cs="Times New Roman"/>
        </w:rPr>
      </w:pPr>
      <w:r>
        <w:rPr>
          <w:rFonts w:cs="Times New Roman"/>
        </w:rPr>
        <w:t xml:space="preserve">Statista (2023) </w:t>
      </w:r>
      <w:r>
        <w:rPr>
          <w:rFonts w:cs="Times New Roman"/>
          <w:i/>
          <w:iCs/>
        </w:rPr>
        <w:t>Apple number of employees 2005-2022</w:t>
      </w:r>
      <w:r>
        <w:rPr>
          <w:rFonts w:cs="Times New Roman"/>
        </w:rPr>
        <w:t xml:space="preserve">, </w:t>
      </w:r>
      <w:r>
        <w:rPr>
          <w:rFonts w:cs="Times New Roman"/>
          <w:i/>
          <w:iCs/>
        </w:rPr>
        <w:t>Statista</w:t>
      </w:r>
      <w:r>
        <w:rPr>
          <w:rFonts w:cs="Times New Roman"/>
        </w:rPr>
        <w:t xml:space="preserve">. Available at: https://www.statista.com/statistics/273439/number-of-employees-of-apple-since-2005/#:~:text=As%20of%20FY%202022%2C%20the,counting%20full%2Dtime%20equivalent (Accessed: April 18, 2023). </w:t>
      </w:r>
    </w:p>
    <w:p>
      <w:pPr>
        <w:rPr>
          <w:rFonts w:cs="Times New Roman"/>
        </w:rPr>
      </w:pPr>
      <w:r>
        <w:rPr>
          <w:rFonts w:cs="Times New Roman"/>
        </w:rPr>
        <w:t xml:space="preserve">Statista. (2022) </w:t>
      </w:r>
      <w:r>
        <w:rPr>
          <w:rFonts w:cs="Times New Roman"/>
          <w:i/>
          <w:iCs/>
        </w:rPr>
        <w:t>Apple Net Income 2005-2022</w:t>
      </w:r>
      <w:r>
        <w:rPr>
          <w:rFonts w:cs="Times New Roman"/>
        </w:rPr>
        <w:t xml:space="preserve">, </w:t>
      </w:r>
      <w:r>
        <w:rPr>
          <w:rFonts w:cs="Times New Roman"/>
          <w:i/>
          <w:iCs/>
        </w:rPr>
        <w:t>Statista</w:t>
      </w:r>
      <w:r>
        <w:rPr>
          <w:rFonts w:cs="Times New Roman"/>
        </w:rPr>
        <w:t xml:space="preserve">. Available at: https://www.statista.com/statistics/267728/apples-net-income-since-2005/ (Accessed: April 18, 2023). </w:t>
      </w:r>
    </w:p>
    <w:p>
      <w:pPr>
        <w:rPr>
          <w:rFonts w:cs="Times New Roman"/>
        </w:rPr>
      </w:pPr>
      <w:r>
        <w:rPr>
          <w:rFonts w:cs="Times New Roman"/>
          <w:iCs/>
        </w:rPr>
        <w:t>Statista</w:t>
      </w:r>
      <w:r>
        <w:rPr>
          <w:rFonts w:cs="Times New Roman"/>
        </w:rPr>
        <w:t xml:space="preserve">. (2022) </w:t>
      </w:r>
      <w:r>
        <w:rPr>
          <w:rFonts w:cs="Times New Roman"/>
          <w:i/>
          <w:iCs/>
        </w:rPr>
        <w:t>Manufacturing labor costs per hour: China, Vietnam, Mexico 2016-2020</w:t>
      </w:r>
      <w:r>
        <w:rPr>
          <w:rFonts w:cs="Times New Roman"/>
        </w:rPr>
        <w:t xml:space="preserve">, Available at: https://www.statista.com/statistics/744071/manufacturing-labor-costs-per-hour-china-vietnam-mexico/ (Accessed: March 24, 2023). </w:t>
      </w:r>
    </w:p>
    <w:p>
      <w:pPr>
        <w:rPr>
          <w:rFonts w:cs="Times New Roman"/>
        </w:rPr>
      </w:pPr>
      <w:r>
        <w:rPr>
          <w:rFonts w:cs="Times New Roman"/>
        </w:rPr>
        <w:t xml:space="preserve">Statista. (2023) </w:t>
      </w:r>
      <w:r>
        <w:rPr>
          <w:rFonts w:cs="Times New Roman"/>
          <w:i/>
          <w:iCs/>
        </w:rPr>
        <w:t>Apple Net Income by quarter 2023</w:t>
      </w:r>
      <w:r>
        <w:rPr>
          <w:rFonts w:cs="Times New Roman"/>
        </w:rPr>
        <w:t xml:space="preserve">, </w:t>
      </w:r>
      <w:r>
        <w:rPr>
          <w:rFonts w:cs="Times New Roman"/>
          <w:i/>
          <w:iCs/>
        </w:rPr>
        <w:t>Statista</w:t>
      </w:r>
      <w:r>
        <w:rPr>
          <w:rFonts w:cs="Times New Roman"/>
        </w:rPr>
        <w:t xml:space="preserve">. Available at: https://www.statista.com/statistics/263427/apples-net-income-since-first-quarter-2005/ (Accessed: March 24, 2023). </w:t>
      </w:r>
    </w:p>
    <w:p>
      <w:pPr>
        <w:rPr>
          <w:rFonts w:cs="Times New Roman"/>
        </w:rPr>
      </w:pPr>
      <w:r>
        <w:rPr>
          <w:rFonts w:cs="Times New Roman"/>
        </w:rPr>
        <w:t>The Guardian</w:t>
      </w:r>
      <w:r>
        <w:rPr>
          <w:rFonts w:cs="Times New Roman"/>
          <w:iCs/>
        </w:rPr>
        <w:t>. (2018</w:t>
      </w:r>
      <w:r>
        <w:rPr>
          <w:rFonts w:cs="Times New Roman"/>
          <w:i/>
          <w:iCs/>
        </w:rPr>
        <w:t>). Apple becomes world's first trillion-dollar company</w:t>
      </w:r>
      <w:r>
        <w:rPr>
          <w:rFonts w:cs="Times New Roman"/>
        </w:rPr>
        <w:t xml:space="preserve">. </w:t>
      </w:r>
      <w:r>
        <w:rPr>
          <w:rFonts w:cs="Times New Roman"/>
          <w:i/>
          <w:iCs/>
        </w:rPr>
        <w:t>The Guardian</w:t>
      </w:r>
      <w:r>
        <w:rPr>
          <w:rFonts w:cs="Times New Roman"/>
        </w:rPr>
        <w:t xml:space="preserve">. Guardian News and Media. Available at: https://www.theguardian.com/technology/2018/aug/02/apple-becomes-worlds-first-trillion-dollar-company (Accessed: April 18, 2023). </w:t>
      </w:r>
    </w:p>
    <w:p>
      <w:pPr>
        <w:rPr>
          <w:rFonts w:cs="Times New Roman"/>
        </w:rPr>
      </w:pPr>
      <w:r>
        <w:rPr>
          <w:rFonts w:cs="Times New Roman"/>
        </w:rPr>
        <w:t>The Guardian</w:t>
      </w:r>
      <w:r>
        <w:rPr>
          <w:rFonts w:cs="Times New Roman"/>
          <w:i/>
          <w:iCs/>
        </w:rPr>
        <w:t xml:space="preserve">. </w:t>
      </w:r>
      <w:r>
        <w:rPr>
          <w:rFonts w:cs="Times New Roman"/>
          <w:iCs/>
        </w:rPr>
        <w:t>(2022).</w:t>
      </w:r>
      <w:r>
        <w:rPr>
          <w:rFonts w:cs="Times New Roman"/>
          <w:i/>
          <w:iCs/>
        </w:rPr>
        <w:t xml:space="preserve"> Apple accused of breaking UK competition law by overcharging for apps</w:t>
      </w:r>
      <w:r>
        <w:rPr>
          <w:rFonts w:cs="Times New Roman"/>
        </w:rPr>
        <w:t xml:space="preserve"> (2021) </w:t>
      </w:r>
      <w:r>
        <w:rPr>
          <w:rFonts w:cs="Times New Roman"/>
          <w:i/>
          <w:iCs/>
        </w:rPr>
        <w:t>The Guardian</w:t>
      </w:r>
      <w:r>
        <w:rPr>
          <w:rFonts w:cs="Times New Roman"/>
        </w:rPr>
        <w:t xml:space="preserve">. Guardian News and Media. Available at: https://www.theguardian.com/technology/2021/may/11/apple-accused-of-breaking-uk-competition-law-by-overcharging-for-apps (Accessed: March 24, 2023). </w:t>
      </w:r>
    </w:p>
    <w:p>
      <w:pPr>
        <w:rPr>
          <w:rFonts w:cs="Times New Roman"/>
        </w:rPr>
      </w:pPr>
      <w:r>
        <w:rPr>
          <w:rFonts w:cs="Times New Roman"/>
          <w:iCs/>
        </w:rPr>
        <w:t>The Guardian</w:t>
      </w:r>
      <w:r>
        <w:rPr>
          <w:rFonts w:cs="Times New Roman"/>
        </w:rPr>
        <w:t xml:space="preserve">. (2022). </w:t>
      </w:r>
      <w:r>
        <w:rPr>
          <w:rFonts w:cs="Times New Roman"/>
          <w:i/>
          <w:iCs/>
        </w:rPr>
        <w:t>Apple shifts some iphone 14 production from China to India</w:t>
      </w:r>
      <w:r>
        <w:rPr>
          <w:rFonts w:cs="Times New Roman"/>
        </w:rPr>
        <w:t xml:space="preserve">. Guardian News and Media. Available at: https://www.theguardian.com/technology/2022/sep/27/apple-shifts-some-iphone-14-production-from-china-to-india (Accessed: April 18, 2023). </w:t>
      </w:r>
    </w:p>
    <w:p>
      <w:pPr>
        <w:rPr>
          <w:rFonts w:cs="Times New Roman"/>
        </w:rPr>
      </w:pPr>
      <w:r>
        <w:rPr>
          <w:rFonts w:cs="Times New Roman"/>
          <w:iCs/>
        </w:rPr>
        <w:t>The Guardian. (2022).</w:t>
      </w:r>
      <w:r>
        <w:rPr>
          <w:rFonts w:cs="Times New Roman"/>
          <w:i/>
          <w:iCs/>
        </w:rPr>
        <w:t xml:space="preserve"> Apple uses more suppliers from China than Taiwan for first time, Data Shows</w:t>
      </w:r>
      <w:r>
        <w:rPr>
          <w:rFonts w:cs="Times New Roman"/>
        </w:rPr>
        <w:t xml:space="preserve">. </w:t>
      </w:r>
      <w:r>
        <w:rPr>
          <w:rFonts w:cs="Times New Roman"/>
          <w:i/>
          <w:iCs/>
        </w:rPr>
        <w:t>The Guardian</w:t>
      </w:r>
      <w:r>
        <w:rPr>
          <w:rFonts w:cs="Times New Roman"/>
        </w:rPr>
        <w:t xml:space="preserve">. Guardian News and Media. Available at: https://www.theguardian.com/technology/2021/jun/03/apple-uses-more-suppliers-from-china-than-taiwan-for-first-time-data-shows (Accessed: March 24, 2023). </w:t>
      </w:r>
    </w:p>
    <w:p>
      <w:pPr>
        <w:rPr>
          <w:rFonts w:cs="Times New Roman"/>
          <w:szCs w:val="24"/>
          <w:shd w:val="clear" w:color="auto" w:fill="FFFFFF"/>
        </w:rPr>
      </w:pPr>
      <w:r>
        <w:rPr>
          <w:rFonts w:cs="Times New Roman"/>
          <w:szCs w:val="24"/>
          <w:shd w:val="clear" w:color="auto" w:fill="FFFFFF"/>
        </w:rPr>
        <w:t>Tien, N.H., (2019). International distribution policy comparative analysis between samsung and apple. </w:t>
      </w:r>
      <w:r>
        <w:rPr>
          <w:rFonts w:cs="Times New Roman"/>
          <w:i/>
          <w:iCs/>
          <w:szCs w:val="24"/>
          <w:shd w:val="clear" w:color="auto" w:fill="FFFFFF"/>
        </w:rPr>
        <w:t>International journal of research in marketing management and sales</w:t>
      </w:r>
      <w:r>
        <w:rPr>
          <w:rFonts w:cs="Times New Roman"/>
          <w:szCs w:val="24"/>
          <w:shd w:val="clear" w:color="auto" w:fill="FFFFFF"/>
        </w:rPr>
        <w:t>, </w:t>
      </w:r>
      <w:r>
        <w:rPr>
          <w:rFonts w:cs="Times New Roman"/>
          <w:i/>
          <w:iCs/>
          <w:szCs w:val="24"/>
          <w:shd w:val="clear" w:color="auto" w:fill="FFFFFF"/>
        </w:rPr>
        <w:t>2020</w:t>
      </w:r>
      <w:r>
        <w:rPr>
          <w:rFonts w:cs="Times New Roman"/>
          <w:szCs w:val="24"/>
          <w:shd w:val="clear" w:color="auto" w:fill="FFFFFF"/>
        </w:rPr>
        <w:t>(1), p.2.</w:t>
      </w:r>
    </w:p>
    <w:p>
      <w:pPr>
        <w:rPr>
          <w:rFonts w:cs="Times New Roman"/>
          <w:szCs w:val="24"/>
          <w:shd w:val="clear" w:color="auto" w:fill="FFFFFF"/>
        </w:rPr>
      </w:pPr>
      <w:r>
        <w:rPr>
          <w:rFonts w:cs="Times New Roman"/>
          <w:szCs w:val="24"/>
          <w:shd w:val="clear" w:color="auto" w:fill="FFFFFF"/>
        </w:rPr>
        <w:t>Todd, D., (2018). </w:t>
      </w:r>
      <w:r>
        <w:rPr>
          <w:rFonts w:cs="Times New Roman"/>
          <w:i/>
          <w:iCs/>
          <w:szCs w:val="24"/>
          <w:shd w:val="clear" w:color="auto" w:fill="FFFFFF"/>
        </w:rPr>
        <w:t>Routledge revivals: The world electronics industry (1990)</w:t>
      </w:r>
      <w:r>
        <w:rPr>
          <w:rFonts w:cs="Times New Roman"/>
          <w:szCs w:val="24"/>
          <w:shd w:val="clear" w:color="auto" w:fill="FFFFFF"/>
        </w:rPr>
        <w:t>. Routledge.</w:t>
      </w:r>
    </w:p>
    <w:p>
      <w:pPr>
        <w:tabs>
          <w:tab w:val="left" w:pos="4095"/>
        </w:tabs>
        <w:rPr>
          <w:rFonts w:cs="Times New Roman"/>
          <w:b/>
          <w:szCs w:val="24"/>
        </w:rPr>
      </w:pPr>
      <w:r>
        <w:rPr>
          <w:rFonts w:cs="Times New Roman"/>
          <w:szCs w:val="24"/>
          <w:shd w:val="clear" w:color="auto" w:fill="FFFFFF"/>
        </w:rPr>
        <w:t>Verhoef, P.C., Broekhuizen, T., Bart, Y., Bhattacharya, A., Dong, J.Q., Fabian, N. and Haenlein, M., 2021. Digital transformation: A multidisciplinary reflection and research agenda. </w:t>
      </w:r>
      <w:r>
        <w:rPr>
          <w:rFonts w:cs="Times New Roman"/>
          <w:i/>
          <w:iCs/>
          <w:szCs w:val="24"/>
          <w:shd w:val="clear" w:color="auto" w:fill="FFFFFF"/>
        </w:rPr>
        <w:t>Journal of business research</w:t>
      </w:r>
      <w:r>
        <w:rPr>
          <w:rFonts w:cs="Times New Roman"/>
          <w:szCs w:val="24"/>
          <w:shd w:val="clear" w:color="auto" w:fill="FFFFFF"/>
        </w:rPr>
        <w:t>, </w:t>
      </w:r>
      <w:r>
        <w:rPr>
          <w:rFonts w:cs="Times New Roman"/>
          <w:i/>
          <w:iCs/>
          <w:szCs w:val="24"/>
          <w:shd w:val="clear" w:color="auto" w:fill="FFFFFF"/>
        </w:rPr>
        <w:t>122</w:t>
      </w:r>
      <w:r>
        <w:rPr>
          <w:rFonts w:cs="Times New Roman"/>
          <w:szCs w:val="24"/>
          <w:shd w:val="clear" w:color="auto" w:fill="FFFFFF"/>
        </w:rPr>
        <w:t>, pp.889-901.</w:t>
      </w:r>
    </w:p>
    <w:p>
      <w:pPr>
        <w:rPr>
          <w:rFonts w:cs="Times New Roman"/>
          <w:szCs w:val="24"/>
          <w:shd w:val="clear" w:color="auto" w:fill="FFFFFF"/>
        </w:rPr>
      </w:pPr>
      <w:r>
        <w:rPr>
          <w:rFonts w:cs="Times New Roman"/>
          <w:shd w:val="clear" w:color="auto" w:fill="FFFFFF"/>
        </w:rPr>
        <w:t>Wagire, A.A., Joshi, R., Rathore, A.P.S. and Jain, R., (2021). Development of maturity model for assessing the implementation of Industry 4.0: learning from theory and practice. </w:t>
      </w:r>
      <w:r>
        <w:rPr>
          <w:rFonts w:cs="Times New Roman"/>
          <w:i/>
          <w:iCs/>
          <w:shd w:val="clear" w:color="auto" w:fill="FFFFFF"/>
        </w:rPr>
        <w:t>Production Planning &amp; Control</w:t>
      </w:r>
      <w:r>
        <w:rPr>
          <w:rFonts w:cs="Times New Roman"/>
          <w:shd w:val="clear" w:color="auto" w:fill="FFFFFF"/>
        </w:rPr>
        <w:t>, </w:t>
      </w:r>
      <w:r>
        <w:rPr>
          <w:rFonts w:cs="Times New Roman"/>
          <w:i/>
          <w:iCs/>
          <w:shd w:val="clear" w:color="auto" w:fill="FFFFFF"/>
        </w:rPr>
        <w:t>32</w:t>
      </w:r>
      <w:r>
        <w:rPr>
          <w:rFonts w:cs="Times New Roman"/>
          <w:shd w:val="clear" w:color="auto" w:fill="FFFFFF"/>
        </w:rPr>
        <w:t>(8), pp.603-622.</w:t>
      </w:r>
    </w:p>
    <w:p>
      <w:pPr>
        <w:rPr>
          <w:rFonts w:cs="Times New Roman"/>
        </w:rPr>
      </w:pPr>
      <w:r>
        <w:rPr>
          <w:rFonts w:cs="Times New Roman"/>
        </w:rPr>
        <w:t xml:space="preserve">Washingtonpost. (2022) </w:t>
      </w:r>
      <w:r>
        <w:rPr>
          <w:rFonts w:cs="Times New Roman"/>
          <w:i/>
          <w:iCs/>
        </w:rPr>
        <w:t>Apple accused of worker violations in Chinese factories</w:t>
      </w:r>
      <w:r>
        <w:rPr>
          <w:rFonts w:cs="Times New Roman"/>
        </w:rPr>
        <w:t xml:space="preserve">, </w:t>
      </w:r>
      <w:r>
        <w:rPr>
          <w:rFonts w:cs="Times New Roman"/>
          <w:i/>
          <w:iCs/>
        </w:rPr>
        <w:t>The Washington Post</w:t>
      </w:r>
      <w:r>
        <w:rPr>
          <w:rFonts w:cs="Times New Roman"/>
        </w:rPr>
        <w:t xml:space="preserve">. WP Company. Available at: https://www.washingtonpost.com/technology/2019/09/09/apple-accused-worker-violations-chinese-factories-by-labor-rights-group/ (Accessed: March 24, 2023). </w:t>
      </w:r>
    </w:p>
    <w:p>
      <w:pPr>
        <w:rPr>
          <w:rFonts w:cs="Times New Roman"/>
          <w:szCs w:val="24"/>
          <w:shd w:val="clear" w:color="auto" w:fill="FFFFFF"/>
        </w:rPr>
      </w:pPr>
      <w:r>
        <w:rPr>
          <w:rFonts w:cs="Times New Roman"/>
          <w:shd w:val="clear" w:color="auto" w:fill="FFFFFF"/>
        </w:rPr>
        <w:t>Whittington, R., Angwin, D., Regner, P., Johnson, G., Scholes, K. and Koleva, P., (2019). </w:t>
      </w:r>
      <w:r>
        <w:rPr>
          <w:rFonts w:cs="Times New Roman"/>
          <w:i/>
          <w:iCs/>
          <w:shd w:val="clear" w:color="auto" w:fill="FFFFFF"/>
        </w:rPr>
        <w:t>Exploring strategy, text and cases</w:t>
      </w:r>
      <w:r>
        <w:rPr>
          <w:rFonts w:cs="Times New Roman"/>
          <w:shd w:val="clear" w:color="auto" w:fill="FFFFFF"/>
        </w:rPr>
        <w:t>. Pearson Education.</w:t>
      </w:r>
    </w:p>
    <w:p>
      <w:pPr>
        <w:rPr>
          <w:rFonts w:cs="Times New Roman"/>
        </w:rPr>
      </w:pPr>
      <w:r>
        <w:rPr>
          <w:rFonts w:cs="Times New Roman"/>
        </w:rPr>
        <w:t>Wsj</w:t>
      </w:r>
      <w:r>
        <w:rPr>
          <w:rFonts w:cs="Times New Roman"/>
          <w:iCs/>
        </w:rPr>
        <w:t>. (2022).</w:t>
      </w:r>
      <w:r>
        <w:rPr>
          <w:rFonts w:cs="Times New Roman"/>
          <w:i/>
          <w:iCs/>
        </w:rPr>
        <w:t xml:space="preserve"> Apple makes plans to move production out of China</w:t>
      </w:r>
      <w:r>
        <w:rPr>
          <w:rFonts w:cs="Times New Roman"/>
        </w:rPr>
        <w:t xml:space="preserve"> (2022) </w:t>
      </w:r>
      <w:r>
        <w:rPr>
          <w:rFonts w:cs="Times New Roman"/>
          <w:i/>
          <w:iCs/>
        </w:rPr>
        <w:t>The Wall Street Journal</w:t>
      </w:r>
      <w:r>
        <w:rPr>
          <w:rFonts w:cs="Times New Roman"/>
        </w:rPr>
        <w:t xml:space="preserve">. Dow Jones &amp; Company. Available at: https://www.wsj.com/articles/apple-china-factory-protests-foxconn-manufacturing-production-supply-chain-11670023099 (Accessed: March 24, 2023). </w:t>
      </w:r>
    </w:p>
    <w:p>
      <w:pPr>
        <w:tabs>
          <w:tab w:val="left" w:pos="4095"/>
        </w:tabs>
        <w:rPr>
          <w:rFonts w:cs="Times New Roman"/>
          <w:b/>
          <w:szCs w:val="24"/>
        </w:rPr>
      </w:pPr>
      <w:r>
        <w:rPr>
          <w:rFonts w:cs="Times New Roman"/>
          <w:szCs w:val="24"/>
          <w:shd w:val="clear" w:color="auto" w:fill="FFFFFF"/>
        </w:rPr>
        <w:t>Zanjani, S., Iranzadeh, S., Khadivi, A. and Feghhi Farahmand, N., (2020). Designing a Corporate Growth Strategy Based on Ansoff Matrix Using Fuzzy Inference System. </w:t>
      </w:r>
      <w:r>
        <w:rPr>
          <w:rFonts w:cs="Times New Roman"/>
          <w:i/>
          <w:iCs/>
          <w:szCs w:val="24"/>
          <w:shd w:val="clear" w:color="auto" w:fill="FFFFFF"/>
        </w:rPr>
        <w:t>Innovation Management in Defensive Organizations</w:t>
      </w:r>
      <w:r>
        <w:rPr>
          <w:rFonts w:cs="Times New Roman"/>
          <w:szCs w:val="24"/>
          <w:shd w:val="clear" w:color="auto" w:fill="FFFFFF"/>
        </w:rPr>
        <w:t>, </w:t>
      </w:r>
      <w:r>
        <w:rPr>
          <w:rFonts w:cs="Times New Roman"/>
          <w:i/>
          <w:iCs/>
          <w:szCs w:val="24"/>
          <w:shd w:val="clear" w:color="auto" w:fill="FFFFFF"/>
        </w:rPr>
        <w:t>3</w:t>
      </w:r>
      <w:r>
        <w:rPr>
          <w:rFonts w:cs="Times New Roman"/>
          <w:szCs w:val="24"/>
          <w:shd w:val="clear" w:color="auto" w:fill="FFFFFF"/>
        </w:rPr>
        <w:t>(2), pp.151-178.</w:t>
      </w:r>
    </w:p>
    <w:p>
      <w:pPr>
        <w:rPr>
          <w:rFonts w:cs="Times New Roman"/>
          <w:szCs w:val="24"/>
          <w:shd w:val="clear" w:color="auto" w:fill="FFFFFF"/>
        </w:rPr>
      </w:pPr>
      <w:r>
        <w:rPr>
          <w:rFonts w:cs="Times New Roman"/>
          <w:szCs w:val="24"/>
          <w:shd w:val="clear" w:color="auto" w:fill="FFFFFF"/>
        </w:rPr>
        <w:t>Zhang, Q., (2017). Research on Apple Inc’s Current Developing Conditions. </w:t>
      </w:r>
      <w:r>
        <w:rPr>
          <w:rFonts w:cs="Times New Roman"/>
          <w:i/>
          <w:iCs/>
          <w:szCs w:val="24"/>
          <w:shd w:val="clear" w:color="auto" w:fill="FFFFFF"/>
        </w:rPr>
        <w:t>Open Journal of Business and Management</w:t>
      </w:r>
      <w:r>
        <w:rPr>
          <w:rFonts w:cs="Times New Roman"/>
          <w:szCs w:val="24"/>
          <w:shd w:val="clear" w:color="auto" w:fill="FFFFFF"/>
        </w:rPr>
        <w:t>, </w:t>
      </w:r>
      <w:r>
        <w:rPr>
          <w:rFonts w:cs="Times New Roman"/>
          <w:i/>
          <w:iCs/>
          <w:szCs w:val="24"/>
          <w:shd w:val="clear" w:color="auto" w:fill="FFFFFF"/>
        </w:rPr>
        <w:t>6</w:t>
      </w:r>
      <w:r>
        <w:rPr>
          <w:rFonts w:cs="Times New Roman"/>
          <w:szCs w:val="24"/>
          <w:shd w:val="clear" w:color="auto" w:fill="FFFFFF"/>
        </w:rPr>
        <w:t>(01), p.39.</w:t>
      </w:r>
    </w:p>
    <w:p>
      <w:pPr>
        <w:rPr>
          <w:rFonts w:cs="Times New Roman"/>
          <w:szCs w:val="24"/>
          <w:shd w:val="clear" w:color="auto" w:fill="FFFFFF"/>
        </w:rPr>
      </w:pPr>
    </w:p>
    <w:p>
      <w:pPr>
        <w:rPr>
          <w:rFonts w:cs="Times New Roman"/>
          <w:szCs w:val="24"/>
          <w:shd w:val="clear" w:color="auto" w:fill="FFFFFF"/>
        </w:rPr>
      </w:pPr>
    </w:p>
    <w:p>
      <w:pPr>
        <w:spacing w:line="276" w:lineRule="auto"/>
        <w:jc w:val="left"/>
        <w:rPr>
          <w:rFonts w:cs="Times New Roman"/>
          <w:szCs w:val="24"/>
          <w:shd w:val="clear" w:color="auto" w:fill="FFFFFF"/>
        </w:rPr>
      </w:pPr>
      <w:r>
        <w:rPr>
          <w:rFonts w:cs="Times New Roman"/>
          <w:szCs w:val="24"/>
          <w:shd w:val="clear" w:color="auto" w:fill="FFFFFF"/>
        </w:rPr>
        <w:br w:type="page"/>
      </w:r>
    </w:p>
    <w:p>
      <w:pPr>
        <w:pStyle w:val="2"/>
        <w:rPr>
          <w:shd w:val="clear" w:color="auto" w:fill="FFFFFF"/>
        </w:rPr>
      </w:pPr>
      <w:bookmarkStart w:id="18" w:name="_Toc27669"/>
      <w:r>
        <w:rPr>
          <w:shd w:val="clear" w:color="auto" w:fill="FFFFFF"/>
        </w:rPr>
        <w:t>Appendices</w:t>
      </w:r>
      <w:bookmarkEnd w:id="18"/>
      <w:r>
        <w:rPr>
          <w:shd w:val="clear" w:color="auto" w:fill="FFFFFF"/>
        </w:rPr>
        <w:t xml:space="preserve"> </w:t>
      </w:r>
    </w:p>
    <w:p>
      <w:pPr>
        <w:pStyle w:val="3"/>
        <w:rPr>
          <w:shd w:val="clear" w:color="auto" w:fill="FFFFFF"/>
        </w:rPr>
      </w:pPr>
      <w:bookmarkStart w:id="19" w:name="_Toc14526"/>
      <w:r>
        <w:rPr>
          <w:shd w:val="clear" w:color="auto" w:fill="FFFFFF"/>
        </w:rPr>
        <w:t>Appendix 1: Different layers of business environment</w:t>
      </w:r>
      <w:bookmarkEnd w:id="19"/>
      <w:r>
        <w:rPr>
          <w:shd w:val="clear" w:color="auto" w:fill="FFFFFF"/>
        </w:rPr>
        <w:t xml:space="preserve"> </w:t>
      </w:r>
    </w:p>
    <w:p>
      <w:pPr>
        <w:jc w:val="center"/>
        <w:rPr>
          <w:rFonts w:cs="Times New Roman"/>
          <w:szCs w:val="24"/>
          <w:shd w:val="clear" w:color="auto" w:fill="FFFFFF"/>
        </w:rPr>
      </w:pPr>
      <w:r>
        <w:rPr>
          <w:rFonts w:cs="Times New Roman"/>
          <w:szCs w:val="24"/>
          <w:shd w:val="clear" w:color="auto" w:fill="FFFFFF"/>
          <w:lang w:val="en-US"/>
        </w:rPr>
        <w:drawing>
          <wp:inline distT="0" distB="0" distL="0" distR="0">
            <wp:extent cx="5172075" cy="3095625"/>
            <wp:effectExtent l="53975" t="53975" r="107950" b="11176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7"/>
                    <a:stretch>
                      <a:fillRect/>
                    </a:stretch>
                  </pic:blipFill>
                  <pic:spPr>
                    <a:xfrm>
                      <a:off x="0" y="0"/>
                      <a:ext cx="5172075" cy="30956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cs="Times New Roman"/>
          <w:szCs w:val="24"/>
          <w:shd w:val="clear" w:color="auto" w:fill="FFFFFF"/>
        </w:rPr>
      </w:pPr>
      <w:r>
        <w:rPr>
          <w:rFonts w:cs="Times New Roman"/>
          <w:szCs w:val="24"/>
          <w:shd w:val="clear" w:color="auto" w:fill="FFFFFF"/>
        </w:rPr>
        <w:t>(Source: Whittington, 2020)</w:t>
      </w:r>
    </w:p>
    <w:p>
      <w:pPr>
        <w:spacing w:line="276" w:lineRule="auto"/>
        <w:jc w:val="left"/>
        <w:rPr>
          <w:rFonts w:eastAsiaTheme="majorEastAsia" w:cstheme="majorBidi"/>
          <w:b/>
          <w:bCs/>
          <w:sz w:val="26"/>
          <w:szCs w:val="26"/>
          <w:shd w:val="clear" w:color="auto" w:fill="FFFFFF"/>
        </w:rPr>
      </w:pPr>
      <w:r>
        <w:rPr>
          <w:shd w:val="clear" w:color="auto" w:fill="FFFFFF"/>
        </w:rPr>
        <w:br w:type="page"/>
      </w:r>
    </w:p>
    <w:p>
      <w:pPr>
        <w:pStyle w:val="3"/>
        <w:rPr>
          <w:shd w:val="clear" w:color="auto" w:fill="FFFFFF"/>
        </w:rPr>
      </w:pPr>
      <w:bookmarkStart w:id="20" w:name="_Toc5290"/>
      <w:r>
        <w:rPr>
          <w:shd w:val="clear" w:color="auto" w:fill="FFFFFF"/>
        </w:rPr>
        <w:t>Appendix 2: Net income of Apple</w:t>
      </w:r>
      <w:bookmarkEnd w:id="20"/>
      <w:r>
        <w:rPr>
          <w:shd w:val="clear" w:color="auto" w:fill="FFFFFF"/>
        </w:rPr>
        <w:t xml:space="preserve"> </w:t>
      </w:r>
    </w:p>
    <w:p>
      <w:pPr>
        <w:rPr>
          <w:rFonts w:cs="Times New Roman"/>
          <w:szCs w:val="24"/>
          <w:shd w:val="clear" w:color="auto" w:fill="FFFFFF"/>
        </w:rPr>
      </w:pPr>
      <w:r>
        <w:rPr>
          <w:rFonts w:cs="Times New Roman"/>
          <w:szCs w:val="24"/>
          <w:shd w:val="clear" w:color="auto" w:fill="FFFFFF"/>
          <w:lang w:val="en-US"/>
        </w:rPr>
        <w:drawing>
          <wp:inline distT="0" distB="0" distL="0" distR="0">
            <wp:extent cx="5943600" cy="3829050"/>
            <wp:effectExtent l="53975" t="53975" r="113665" b="1098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8"/>
                    <a:stretch>
                      <a:fillRect/>
                    </a:stretch>
                  </pic:blipFill>
                  <pic:spPr>
                    <a:xfrm>
                      <a:off x="0" y="0"/>
                      <a:ext cx="5943600" cy="38290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cs="Times New Roman"/>
          <w:szCs w:val="24"/>
          <w:shd w:val="clear" w:color="auto" w:fill="FFFFFF"/>
        </w:rPr>
      </w:pPr>
      <w:r>
        <w:rPr>
          <w:rFonts w:cs="Times New Roman"/>
          <w:szCs w:val="24"/>
          <w:shd w:val="clear" w:color="auto" w:fill="FFFFFF"/>
        </w:rPr>
        <w:t>(Source: Statista, 2022)</w:t>
      </w:r>
    </w:p>
    <w:p/>
    <w:sectPr>
      <w:footerReference r:id="rId5" w:type="default"/>
      <w:pgSz w:w="12240" w:h="15840"/>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66080735"/>
      <w:docPartObj>
        <w:docPartGallery w:val="autotext"/>
      </w:docPartObj>
    </w:sdtPr>
    <w:sdtContent>
      <w:p>
        <w:pPr>
          <w:pStyle w:val="6"/>
          <w:jc w:val="right"/>
        </w:pPr>
        <w:r>
          <w:fldChar w:fldCharType="begin"/>
        </w:r>
        <w:r>
          <w:instrText xml:space="preserve"> PAGE   \* MERGEFORMAT </w:instrText>
        </w:r>
        <w:r>
          <w:fldChar w:fldCharType="separate"/>
        </w:r>
        <w:r>
          <w:t>14</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73C5A9"/>
    <w:multiLevelType w:val="singleLevel"/>
    <w:tmpl w:val="F973C5A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F982D607"/>
    <w:multiLevelType w:val="singleLevel"/>
    <w:tmpl w:val="F982D60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01AF3B61"/>
    <w:multiLevelType w:val="multilevel"/>
    <w:tmpl w:val="01AF3B61"/>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3">
    <w:nsid w:val="15811DDC"/>
    <w:multiLevelType w:val="multilevel"/>
    <w:tmpl w:val="15811DDC"/>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4">
    <w:nsid w:val="18AF1C3B"/>
    <w:multiLevelType w:val="multilevel"/>
    <w:tmpl w:val="18AF1C3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25E7599A"/>
    <w:multiLevelType w:val="multilevel"/>
    <w:tmpl w:val="25E7599A"/>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6">
    <w:nsid w:val="3DFC3D11"/>
    <w:multiLevelType w:val="multilevel"/>
    <w:tmpl w:val="3DFC3D11"/>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7">
    <w:nsid w:val="44B87AF0"/>
    <w:multiLevelType w:val="multilevel"/>
    <w:tmpl w:val="44B87AF0"/>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8">
    <w:nsid w:val="4EB00519"/>
    <w:multiLevelType w:val="multilevel"/>
    <w:tmpl w:val="4EB00519"/>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9">
    <w:nsid w:val="52DE67D2"/>
    <w:multiLevelType w:val="multilevel"/>
    <w:tmpl w:val="52DE67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5940BF5F"/>
    <w:multiLevelType w:val="singleLevel"/>
    <w:tmpl w:val="5940BF5F"/>
    <w:lvl w:ilvl="0" w:tentative="0">
      <w:start w:val="1"/>
      <w:numFmt w:val="decimal"/>
      <w:suff w:val="space"/>
      <w:lvlText w:val="%1."/>
      <w:lvlJc w:val="left"/>
    </w:lvl>
  </w:abstractNum>
  <w:abstractNum w:abstractNumId="11">
    <w:nsid w:val="74FA5C83"/>
    <w:multiLevelType w:val="multilevel"/>
    <w:tmpl w:val="74FA5C83"/>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12">
    <w:nsid w:val="752B4D6E"/>
    <w:multiLevelType w:val="multilevel"/>
    <w:tmpl w:val="752B4D6E"/>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abstractNum w:abstractNumId="13">
    <w:nsid w:val="79352F2C"/>
    <w:multiLevelType w:val="multilevel"/>
    <w:tmpl w:val="79352F2C"/>
    <w:lvl w:ilvl="0" w:tentative="0">
      <w:start w:val="0"/>
      <w:numFmt w:val="bullet"/>
      <w:lvlText w:val=""/>
      <w:lvlJc w:val="left"/>
      <w:pPr>
        <w:ind w:left="748" w:hanging="360"/>
      </w:pPr>
      <w:rPr>
        <w:rFonts w:hint="default" w:ascii="Wingdings" w:hAnsi="Wingdings" w:eastAsia="Wingdings" w:cs="Wingdings"/>
        <w:w w:val="100"/>
        <w:sz w:val="22"/>
        <w:szCs w:val="22"/>
        <w:lang w:val="en-US" w:eastAsia="en-US" w:bidi="ar-SA"/>
      </w:rPr>
    </w:lvl>
    <w:lvl w:ilvl="1" w:tentative="0">
      <w:start w:val="0"/>
      <w:numFmt w:val="bullet"/>
      <w:lvlText w:val="•"/>
      <w:lvlJc w:val="left"/>
      <w:pPr>
        <w:ind w:left="1051" w:hanging="360"/>
      </w:pPr>
      <w:rPr>
        <w:rFonts w:hint="default"/>
        <w:lang w:val="en-US" w:eastAsia="en-US" w:bidi="ar-SA"/>
      </w:rPr>
    </w:lvl>
    <w:lvl w:ilvl="2" w:tentative="0">
      <w:start w:val="0"/>
      <w:numFmt w:val="bullet"/>
      <w:lvlText w:val="•"/>
      <w:lvlJc w:val="left"/>
      <w:pPr>
        <w:ind w:left="1363" w:hanging="360"/>
      </w:pPr>
      <w:rPr>
        <w:rFonts w:hint="default"/>
        <w:lang w:val="en-US" w:eastAsia="en-US" w:bidi="ar-SA"/>
      </w:rPr>
    </w:lvl>
    <w:lvl w:ilvl="3" w:tentative="0">
      <w:start w:val="0"/>
      <w:numFmt w:val="bullet"/>
      <w:lvlText w:val="•"/>
      <w:lvlJc w:val="left"/>
      <w:pPr>
        <w:ind w:left="1675" w:hanging="360"/>
      </w:pPr>
      <w:rPr>
        <w:rFonts w:hint="default"/>
        <w:lang w:val="en-US" w:eastAsia="en-US" w:bidi="ar-SA"/>
      </w:rPr>
    </w:lvl>
    <w:lvl w:ilvl="4" w:tentative="0">
      <w:start w:val="0"/>
      <w:numFmt w:val="bullet"/>
      <w:lvlText w:val="•"/>
      <w:lvlJc w:val="left"/>
      <w:pPr>
        <w:ind w:left="1986" w:hanging="360"/>
      </w:pPr>
      <w:rPr>
        <w:rFonts w:hint="default"/>
        <w:lang w:val="en-US" w:eastAsia="en-US" w:bidi="ar-SA"/>
      </w:rPr>
    </w:lvl>
    <w:lvl w:ilvl="5" w:tentative="0">
      <w:start w:val="0"/>
      <w:numFmt w:val="bullet"/>
      <w:lvlText w:val="•"/>
      <w:lvlJc w:val="left"/>
      <w:pPr>
        <w:ind w:left="2298" w:hanging="360"/>
      </w:pPr>
      <w:rPr>
        <w:rFonts w:hint="default"/>
        <w:lang w:val="en-US" w:eastAsia="en-US" w:bidi="ar-SA"/>
      </w:rPr>
    </w:lvl>
    <w:lvl w:ilvl="6" w:tentative="0">
      <w:start w:val="0"/>
      <w:numFmt w:val="bullet"/>
      <w:lvlText w:val="•"/>
      <w:lvlJc w:val="left"/>
      <w:pPr>
        <w:ind w:left="2610" w:hanging="360"/>
      </w:pPr>
      <w:rPr>
        <w:rFonts w:hint="default"/>
        <w:lang w:val="en-US" w:eastAsia="en-US" w:bidi="ar-SA"/>
      </w:rPr>
    </w:lvl>
    <w:lvl w:ilvl="7" w:tentative="0">
      <w:start w:val="0"/>
      <w:numFmt w:val="bullet"/>
      <w:lvlText w:val="•"/>
      <w:lvlJc w:val="left"/>
      <w:pPr>
        <w:ind w:left="2921" w:hanging="360"/>
      </w:pPr>
      <w:rPr>
        <w:rFonts w:hint="default"/>
        <w:lang w:val="en-US" w:eastAsia="en-US" w:bidi="ar-SA"/>
      </w:rPr>
    </w:lvl>
    <w:lvl w:ilvl="8" w:tentative="0">
      <w:start w:val="0"/>
      <w:numFmt w:val="bullet"/>
      <w:lvlText w:val="•"/>
      <w:lvlJc w:val="left"/>
      <w:pPr>
        <w:ind w:left="3233" w:hanging="360"/>
      </w:pPr>
      <w:rPr>
        <w:rFonts w:hint="default"/>
        <w:lang w:val="en-US" w:eastAsia="en-US" w:bidi="ar-SA"/>
      </w:rPr>
    </w:lvl>
  </w:abstractNum>
  <w:num w:numId="1">
    <w:abstractNumId w:val="9"/>
  </w:num>
  <w:num w:numId="2">
    <w:abstractNumId w:val="3"/>
  </w:num>
  <w:num w:numId="3">
    <w:abstractNumId w:val="7"/>
  </w:num>
  <w:num w:numId="4">
    <w:abstractNumId w:val="8"/>
  </w:num>
  <w:num w:numId="5">
    <w:abstractNumId w:val="6"/>
  </w:num>
  <w:num w:numId="6">
    <w:abstractNumId w:val="2"/>
  </w:num>
  <w:num w:numId="7">
    <w:abstractNumId w:val="13"/>
  </w:num>
  <w:num w:numId="8">
    <w:abstractNumId w:val="12"/>
  </w:num>
  <w:num w:numId="9">
    <w:abstractNumId w:val="11"/>
  </w:num>
  <w:num w:numId="10">
    <w:abstractNumId w:val="10"/>
  </w:num>
  <w:num w:numId="11">
    <w:abstractNumId w:val="0"/>
  </w:num>
  <w:num w:numId="12">
    <w:abstractNumId w:val="1"/>
  </w:num>
  <w:num w:numId="13">
    <w:abstractNumId w:val="4"/>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isplayBackgroundShape w:val="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8F7F1B"/>
    <w:rsid w:val="01B45EC4"/>
    <w:rsid w:val="01FA47FF"/>
    <w:rsid w:val="03AC1205"/>
    <w:rsid w:val="04387860"/>
    <w:rsid w:val="04477AA3"/>
    <w:rsid w:val="04AC145E"/>
    <w:rsid w:val="058A5E9A"/>
    <w:rsid w:val="06B07B82"/>
    <w:rsid w:val="087B7BF3"/>
    <w:rsid w:val="0CF07D46"/>
    <w:rsid w:val="0D407F3C"/>
    <w:rsid w:val="0E1C3D4F"/>
    <w:rsid w:val="0F0B3B37"/>
    <w:rsid w:val="0F87169C"/>
    <w:rsid w:val="11FF19BD"/>
    <w:rsid w:val="13207E3D"/>
    <w:rsid w:val="14125B34"/>
    <w:rsid w:val="15BB3E4D"/>
    <w:rsid w:val="1A2A15A2"/>
    <w:rsid w:val="1B48577A"/>
    <w:rsid w:val="1C24274C"/>
    <w:rsid w:val="1C506CB3"/>
    <w:rsid w:val="1C575F29"/>
    <w:rsid w:val="1D3E783E"/>
    <w:rsid w:val="1E4C5F8A"/>
    <w:rsid w:val="215533A8"/>
    <w:rsid w:val="21D56297"/>
    <w:rsid w:val="22D7265F"/>
    <w:rsid w:val="23515DF1"/>
    <w:rsid w:val="23616034"/>
    <w:rsid w:val="23C30A9D"/>
    <w:rsid w:val="23F70746"/>
    <w:rsid w:val="24111CD9"/>
    <w:rsid w:val="265B2B88"/>
    <w:rsid w:val="2694227D"/>
    <w:rsid w:val="27D33279"/>
    <w:rsid w:val="2BA50EBE"/>
    <w:rsid w:val="2BDC28EA"/>
    <w:rsid w:val="2CEB2E12"/>
    <w:rsid w:val="2D3C35B2"/>
    <w:rsid w:val="2E105DEC"/>
    <w:rsid w:val="2F4A316E"/>
    <w:rsid w:val="30112B90"/>
    <w:rsid w:val="30B023A9"/>
    <w:rsid w:val="30EE1C38"/>
    <w:rsid w:val="336D0A88"/>
    <w:rsid w:val="33A8380B"/>
    <w:rsid w:val="3402116D"/>
    <w:rsid w:val="34337579"/>
    <w:rsid w:val="35A46254"/>
    <w:rsid w:val="3679148F"/>
    <w:rsid w:val="37C60704"/>
    <w:rsid w:val="38342FC3"/>
    <w:rsid w:val="3C4A1903"/>
    <w:rsid w:val="414E7AD6"/>
    <w:rsid w:val="416845DA"/>
    <w:rsid w:val="44780FD8"/>
    <w:rsid w:val="476F66C2"/>
    <w:rsid w:val="48904B42"/>
    <w:rsid w:val="48C90054"/>
    <w:rsid w:val="4A062BE2"/>
    <w:rsid w:val="4A190B67"/>
    <w:rsid w:val="4B8B7843"/>
    <w:rsid w:val="4C2C4B82"/>
    <w:rsid w:val="4C602A7D"/>
    <w:rsid w:val="4DA30E74"/>
    <w:rsid w:val="4EC92B5C"/>
    <w:rsid w:val="530323B4"/>
    <w:rsid w:val="54D2251B"/>
    <w:rsid w:val="55093446"/>
    <w:rsid w:val="57D345F1"/>
    <w:rsid w:val="5B392E17"/>
    <w:rsid w:val="5C3B2BBF"/>
    <w:rsid w:val="5DD92690"/>
    <w:rsid w:val="5DDE7CA6"/>
    <w:rsid w:val="61720E31"/>
    <w:rsid w:val="61F74C1C"/>
    <w:rsid w:val="62620EA5"/>
    <w:rsid w:val="661B018A"/>
    <w:rsid w:val="681816C1"/>
    <w:rsid w:val="68863414"/>
    <w:rsid w:val="696E6382"/>
    <w:rsid w:val="6AA858C3"/>
    <w:rsid w:val="6C5F0F00"/>
    <w:rsid w:val="718A3BCA"/>
    <w:rsid w:val="71CD3E62"/>
    <w:rsid w:val="728F7F1B"/>
    <w:rsid w:val="73875C6D"/>
    <w:rsid w:val="75170259"/>
    <w:rsid w:val="75921B13"/>
    <w:rsid w:val="78872FBC"/>
    <w:rsid w:val="791B1956"/>
    <w:rsid w:val="79A100AE"/>
    <w:rsid w:val="7A794B87"/>
    <w:rsid w:val="7ADD5115"/>
    <w:rsid w:val="7BA3043B"/>
    <w:rsid w:val="7C6F0797"/>
    <w:rsid w:val="7E1F5A45"/>
    <w:rsid w:val="7E6D4A02"/>
    <w:rsid w:val="7EB62349"/>
    <w:rsid w:val="7F4763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qFormat="1"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qFormat/>
    <w:uiPriority w:val="9"/>
    <w:pPr>
      <w:keepNext/>
      <w:keepLines/>
      <w:spacing w:before="480" w:after="0"/>
      <w:outlineLvl w:val="0"/>
    </w:pPr>
    <w:rPr>
      <w:rFonts w:eastAsiaTheme="majorEastAsia" w:cstheme="majorBidi"/>
      <w:b/>
      <w:bCs/>
      <w:sz w:val="28"/>
      <w:szCs w:val="28"/>
    </w:rPr>
  </w:style>
  <w:style w:type="paragraph" w:styleId="3">
    <w:name w:val="heading 2"/>
    <w:basedOn w:val="1"/>
    <w:next w:val="1"/>
    <w:unhideWhenUsed/>
    <w:qFormat/>
    <w:uiPriority w:val="9"/>
    <w:pPr>
      <w:keepNext/>
      <w:keepLines/>
      <w:spacing w:before="200" w:after="0"/>
      <w:outlineLvl w:val="1"/>
    </w:pPr>
    <w:rPr>
      <w:rFonts w:eastAsiaTheme="majorEastAsia" w:cstheme="majorBidi"/>
      <w:b/>
      <w:bCs/>
      <w:sz w:val="26"/>
      <w:szCs w:val="26"/>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nhideWhenUsed/>
    <w:uiPriority w:val="99"/>
    <w:pPr>
      <w:tabs>
        <w:tab w:val="center" w:pos="4680"/>
        <w:tab w:val="right" w:pos="9360"/>
      </w:tabs>
      <w:spacing w:after="0" w:line="240" w:lineRule="auto"/>
    </w:pPr>
  </w:style>
  <w:style w:type="character" w:styleId="7">
    <w:name w:val="Hyperlink"/>
    <w:basedOn w:val="4"/>
    <w:unhideWhenUsed/>
    <w:qFormat/>
    <w:uiPriority w:val="99"/>
    <w:rPr>
      <w:color w:val="DB5353" w:themeColor="hyperlink"/>
      <w:u w:val="single"/>
      <w14:textFill>
        <w14:solidFill>
          <w14:schemeClr w14:val="hlink"/>
        </w14:solidFill>
      </w14:textFill>
    </w:rPr>
  </w:style>
  <w:style w:type="table" w:styleId="8">
    <w:name w:val="Table Grid"/>
    <w:basedOn w:val="5"/>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9">
    <w:name w:val="toc 1"/>
    <w:basedOn w:val="1"/>
    <w:next w:val="1"/>
    <w:unhideWhenUsed/>
    <w:uiPriority w:val="39"/>
    <w:pPr>
      <w:spacing w:after="100"/>
    </w:pPr>
  </w:style>
  <w:style w:type="paragraph" w:styleId="10">
    <w:name w:val="toc 2"/>
    <w:basedOn w:val="1"/>
    <w:next w:val="1"/>
    <w:unhideWhenUsed/>
    <w:qFormat/>
    <w:uiPriority w:val="39"/>
    <w:pPr>
      <w:spacing w:after="100"/>
      <w:ind w:left="240"/>
    </w:pPr>
  </w:style>
  <w:style w:type="table" w:styleId="11">
    <w:name w:val="Light Grid Accent 5"/>
    <w:basedOn w:val="5"/>
    <w:qFormat/>
    <w:uiPriority w:val="62"/>
    <w:pPr>
      <w:spacing w:after="0" w:line="240" w:lineRule="auto"/>
    </w:pPr>
    <w:tblPr>
      <w:tblBorders>
        <w:top w:val="single" w:color="CEC597" w:themeColor="accent5" w:sz="8" w:space="0"/>
        <w:left w:val="single" w:color="CEC597" w:themeColor="accent5" w:sz="8" w:space="0"/>
        <w:bottom w:val="single" w:color="CEC597" w:themeColor="accent5" w:sz="8" w:space="0"/>
        <w:right w:val="single" w:color="CEC597" w:themeColor="accent5" w:sz="8" w:space="0"/>
        <w:insideH w:val="single" w:color="CEC597" w:themeColor="accent5" w:sz="8" w:space="0"/>
        <w:insideV w:val="single" w:color="CEC597"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EC597" w:themeColor="accent5" w:sz="8" w:space="0"/>
          <w:left w:val="single" w:color="CEC597" w:themeColor="accent5" w:sz="8" w:space="0"/>
          <w:bottom w:val="single" w:color="CEC597" w:themeColor="accent5" w:sz="18" w:space="0"/>
          <w:right w:val="single" w:color="CEC597"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EC597" w:themeColor="accent5" w:sz="6" w:space="0"/>
          <w:left w:val="single" w:color="CEC597" w:themeColor="accent5" w:sz="8" w:space="0"/>
          <w:bottom w:val="single" w:color="CEC597" w:themeColor="accent5" w:sz="8" w:space="0"/>
          <w:right w:val="single" w:color="CEC597"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EC597" w:themeColor="accent5" w:sz="8" w:space="0"/>
          <w:left w:val="single" w:color="CEC597" w:themeColor="accent5" w:sz="8" w:space="0"/>
          <w:bottom w:val="single" w:color="CEC597" w:themeColor="accent5" w:sz="8" w:space="0"/>
          <w:right w:val="single" w:color="CEC597" w:themeColor="accent5" w:sz="8" w:space="0"/>
        </w:tcBorders>
      </w:tcPr>
    </w:tblStylePr>
    <w:tblStylePr w:type="band1Vert">
      <w:tblPr/>
      <w:tcPr>
        <w:tcBorders>
          <w:top w:val="single" w:color="CEC597" w:themeColor="accent5" w:sz="8" w:space="0"/>
          <w:left w:val="single" w:color="CEC597" w:themeColor="accent5" w:sz="8" w:space="0"/>
          <w:bottom w:val="single" w:color="CEC597" w:themeColor="accent5" w:sz="8" w:space="0"/>
          <w:right w:val="single" w:color="CEC597" w:themeColor="accent5" w:sz="8" w:space="0"/>
        </w:tcBorders>
        <w:shd w:val="clear" w:color="auto" w:fill="F2F0E5" w:themeFill="accent5" w:themeFillTint="3F"/>
      </w:tcPr>
    </w:tblStylePr>
    <w:tblStylePr w:type="band1Horz">
      <w:tblPr/>
      <w:tcPr>
        <w:tcBorders>
          <w:top w:val="single" w:color="CEC597" w:themeColor="accent5" w:sz="8" w:space="0"/>
          <w:left w:val="single" w:color="CEC597" w:themeColor="accent5" w:sz="8" w:space="0"/>
          <w:bottom w:val="single" w:color="CEC597" w:themeColor="accent5" w:sz="8" w:space="0"/>
          <w:right w:val="single" w:color="CEC597" w:themeColor="accent5" w:sz="8" w:space="0"/>
          <w:insideV w:val="single" w:sz="8" w:space="0"/>
        </w:tcBorders>
        <w:shd w:val="clear" w:color="auto" w:fill="F2F0E5" w:themeFill="accent5" w:themeFillTint="3F"/>
      </w:tcPr>
    </w:tblStylePr>
    <w:tblStylePr w:type="band2Horz">
      <w:tblPr/>
      <w:tcPr>
        <w:tcBorders>
          <w:top w:val="single" w:color="CEC597" w:themeColor="accent5" w:sz="8" w:space="0"/>
          <w:left w:val="single" w:color="CEC597" w:themeColor="accent5" w:sz="8" w:space="0"/>
          <w:bottom w:val="single" w:color="CEC597" w:themeColor="accent5" w:sz="8" w:space="0"/>
          <w:right w:val="single" w:color="CEC597" w:themeColor="accent5" w:sz="8" w:space="0"/>
          <w:insideV w:val="single" w:sz="8" w:space="0"/>
        </w:tcBorders>
      </w:tcPr>
    </w:tblStylePr>
  </w:style>
  <w:style w:type="paragraph" w:customStyle="1" w:styleId="12">
    <w:name w:val="TOC Heading"/>
    <w:basedOn w:val="2"/>
    <w:next w:val="1"/>
    <w:semiHidden/>
    <w:unhideWhenUsed/>
    <w:qFormat/>
    <w:uiPriority w:val="39"/>
    <w:pPr>
      <w:spacing w:line="276" w:lineRule="auto"/>
      <w:jc w:val="left"/>
      <w:outlineLvl w:val="9"/>
    </w:pPr>
    <w:rPr>
      <w:rFonts w:asciiTheme="majorHAnsi" w:hAnsiTheme="majorHAnsi"/>
      <w:color w:val="527E56" w:themeColor="accent1" w:themeShade="BF"/>
      <w:lang w:val="en-US"/>
    </w:rPr>
  </w:style>
  <w:style w:type="paragraph" w:styleId="13">
    <w:name w:val="List Paragraph"/>
    <w:basedOn w:val="1"/>
    <w:qFormat/>
    <w:uiPriority w:val="34"/>
    <w:pPr>
      <w:ind w:left="720"/>
      <w:contextualSpacing/>
    </w:pPr>
  </w:style>
  <w:style w:type="paragraph" w:customStyle="1" w:styleId="14">
    <w:name w:val="Table Paragraph"/>
    <w:basedOn w:val="1"/>
    <w:qFormat/>
    <w:uiPriority w:val="1"/>
    <w:pPr>
      <w:widowControl w:val="0"/>
      <w:autoSpaceDE w:val="0"/>
      <w:autoSpaceDN w:val="0"/>
      <w:spacing w:after="0" w:line="240" w:lineRule="auto"/>
      <w:ind w:left="748" w:hanging="361"/>
      <w:jc w:val="left"/>
    </w:pPr>
    <w:rPr>
      <w:rFonts w:ascii="Arial" w:hAnsi="Arial" w:eastAsia="Arial" w:cs="Arial"/>
      <w:sz w:val="2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2023-04-20T21:07:00Z</dcterms:created>
  <dc:creator>jainu soni</dc:creator>
  <cp:lastModifiedBy>jainu soni</cp:lastModifiedBy>
  <dcterms:modified xsi:type="dcterms:W3CDTF">2023-05-08T19:27:35Z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04AB64597E364EB5B70AF7188685AA17</vt:lpwstr>
  </property>
</Properties>
</file>