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5C2BDE" w14:textId="0AC4D398" w:rsidR="00C56805" w:rsidRDefault="00135968">
      <w:pPr>
        <w:rPr>
          <w:rFonts w:ascii="Times New Roman" w:hAnsi="Times New Roman" w:cs="Times New Roman"/>
          <w:color w:val="000000"/>
          <w:sz w:val="24"/>
          <w:szCs w:val="24"/>
          <w:shd w:val="clear" w:color="auto" w:fill="FFFFFF"/>
        </w:rPr>
      </w:pPr>
      <w:r w:rsidRPr="00404DDC">
        <w:rPr>
          <w:rFonts w:ascii="Times New Roman" w:hAnsi="Times New Roman" w:cs="Times New Roman"/>
          <w:sz w:val="24"/>
          <w:szCs w:val="24"/>
        </w:rPr>
        <w:t xml:space="preserve">The current study looked to investigate whether impulsivity and gambling frequency behaviour significantly </w:t>
      </w:r>
      <w:r w:rsidR="00813975" w:rsidRPr="00404DDC">
        <w:rPr>
          <w:rFonts w:ascii="Times New Roman" w:hAnsi="Times New Roman" w:cs="Times New Roman"/>
          <w:sz w:val="24"/>
          <w:szCs w:val="24"/>
        </w:rPr>
        <w:t>affected</w:t>
      </w:r>
      <w:r w:rsidRPr="00404DDC">
        <w:rPr>
          <w:rFonts w:ascii="Times New Roman" w:hAnsi="Times New Roman" w:cs="Times New Roman"/>
          <w:sz w:val="24"/>
          <w:szCs w:val="24"/>
        </w:rPr>
        <w:t xml:space="preserve"> risk-taking behaviour. The results indicated that</w:t>
      </w:r>
      <w:r w:rsidR="00977B80" w:rsidRPr="00404DDC">
        <w:rPr>
          <w:rFonts w:ascii="Times New Roman" w:hAnsi="Times New Roman" w:cs="Times New Roman"/>
          <w:sz w:val="24"/>
          <w:szCs w:val="24"/>
        </w:rPr>
        <w:t xml:space="preserve"> the main effect of</w:t>
      </w:r>
      <w:r w:rsidRPr="00404DDC">
        <w:rPr>
          <w:rFonts w:ascii="Times New Roman" w:hAnsi="Times New Roman" w:cs="Times New Roman"/>
          <w:sz w:val="24"/>
          <w:szCs w:val="24"/>
        </w:rPr>
        <w:t xml:space="preserve"> impulsivity nor gambling frequency significantly </w:t>
      </w:r>
      <w:r w:rsidR="002536CD" w:rsidRPr="00404DDC">
        <w:rPr>
          <w:rFonts w:ascii="Times New Roman" w:hAnsi="Times New Roman" w:cs="Times New Roman"/>
          <w:sz w:val="24"/>
          <w:szCs w:val="24"/>
        </w:rPr>
        <w:t>affected</w:t>
      </w:r>
      <w:r w:rsidRPr="00404DDC">
        <w:rPr>
          <w:rFonts w:ascii="Times New Roman" w:hAnsi="Times New Roman" w:cs="Times New Roman"/>
          <w:sz w:val="24"/>
          <w:szCs w:val="24"/>
        </w:rPr>
        <w:t xml:space="preserve"> risk-taking behaviour</w:t>
      </w:r>
      <w:r w:rsidR="00977B80" w:rsidRPr="00404DDC">
        <w:rPr>
          <w:rFonts w:ascii="Times New Roman" w:hAnsi="Times New Roman" w:cs="Times New Roman"/>
          <w:sz w:val="24"/>
          <w:szCs w:val="24"/>
        </w:rPr>
        <w:t>.</w:t>
      </w:r>
      <w:r w:rsidRPr="00404DDC">
        <w:rPr>
          <w:rFonts w:ascii="Times New Roman" w:hAnsi="Times New Roman" w:cs="Times New Roman"/>
          <w:sz w:val="24"/>
          <w:szCs w:val="24"/>
        </w:rPr>
        <w:t xml:space="preserve"> </w:t>
      </w:r>
      <w:r w:rsidR="00977B80" w:rsidRPr="00404DDC">
        <w:rPr>
          <w:rFonts w:ascii="Times New Roman" w:hAnsi="Times New Roman" w:cs="Times New Roman"/>
          <w:sz w:val="24"/>
          <w:szCs w:val="24"/>
        </w:rPr>
        <w:t>In addition, the</w:t>
      </w:r>
      <w:r w:rsidRPr="00404DDC">
        <w:rPr>
          <w:rFonts w:ascii="Times New Roman" w:hAnsi="Times New Roman" w:cs="Times New Roman"/>
          <w:sz w:val="24"/>
          <w:szCs w:val="24"/>
        </w:rPr>
        <w:t xml:space="preserve"> interaction effect </w:t>
      </w:r>
      <w:r w:rsidR="00977B80" w:rsidRPr="00404DDC">
        <w:rPr>
          <w:rFonts w:ascii="Times New Roman" w:hAnsi="Times New Roman" w:cs="Times New Roman"/>
          <w:sz w:val="24"/>
          <w:szCs w:val="24"/>
        </w:rPr>
        <w:t xml:space="preserve">between gambling frequency and gambling behaviour </w:t>
      </w:r>
      <w:r w:rsidRPr="00404DDC">
        <w:rPr>
          <w:rFonts w:ascii="Times New Roman" w:hAnsi="Times New Roman" w:cs="Times New Roman"/>
          <w:sz w:val="24"/>
          <w:szCs w:val="24"/>
        </w:rPr>
        <w:t>a</w:t>
      </w:r>
      <w:r w:rsidR="00977B80" w:rsidRPr="00404DDC">
        <w:rPr>
          <w:rFonts w:ascii="Times New Roman" w:hAnsi="Times New Roman" w:cs="Times New Roman"/>
          <w:sz w:val="24"/>
          <w:szCs w:val="24"/>
        </w:rPr>
        <w:t>lso</w:t>
      </w:r>
      <w:r w:rsidRPr="00404DDC">
        <w:rPr>
          <w:rFonts w:ascii="Times New Roman" w:hAnsi="Times New Roman" w:cs="Times New Roman"/>
          <w:sz w:val="24"/>
          <w:szCs w:val="24"/>
        </w:rPr>
        <w:t xml:space="preserve"> did not provide a significant result. These results contradict past research</w:t>
      </w:r>
      <w:r w:rsidR="00906C8E" w:rsidRPr="00404DDC">
        <w:rPr>
          <w:rFonts w:ascii="Times New Roman" w:hAnsi="Times New Roman" w:cs="Times New Roman"/>
          <w:sz w:val="24"/>
          <w:szCs w:val="24"/>
        </w:rPr>
        <w:t xml:space="preserve"> </w:t>
      </w:r>
      <w:r w:rsidR="00906C8E" w:rsidRPr="00404DDC">
        <w:rPr>
          <w:rFonts w:ascii="Times New Roman" w:hAnsi="Times New Roman" w:cs="Times New Roman"/>
          <w:color w:val="000000"/>
          <w:sz w:val="24"/>
          <w:szCs w:val="24"/>
          <w:shd w:val="clear" w:color="auto" w:fill="FFFFFF"/>
        </w:rPr>
        <w:t>(</w:t>
      </w:r>
      <w:proofErr w:type="spellStart"/>
      <w:r w:rsidR="00906C8E" w:rsidRPr="00404DDC">
        <w:rPr>
          <w:rFonts w:ascii="Times New Roman" w:hAnsi="Times New Roman" w:cs="Times New Roman"/>
          <w:color w:val="000000"/>
          <w:sz w:val="24"/>
          <w:szCs w:val="24"/>
          <w:shd w:val="clear" w:color="auto" w:fill="FFFFFF"/>
        </w:rPr>
        <w:t>Kräplin</w:t>
      </w:r>
      <w:proofErr w:type="spellEnd"/>
      <w:r w:rsidR="00906C8E" w:rsidRPr="00404DDC">
        <w:rPr>
          <w:rFonts w:ascii="Times New Roman" w:hAnsi="Times New Roman" w:cs="Times New Roman"/>
          <w:color w:val="000000"/>
          <w:sz w:val="24"/>
          <w:szCs w:val="24"/>
          <w:shd w:val="clear" w:color="auto" w:fill="FFFFFF"/>
        </w:rPr>
        <w:t xml:space="preserve"> et al., 2014</w:t>
      </w:r>
      <w:r w:rsidR="00931EF7" w:rsidRPr="00404DDC">
        <w:rPr>
          <w:rFonts w:ascii="Times New Roman" w:hAnsi="Times New Roman" w:cs="Times New Roman"/>
          <w:color w:val="000000"/>
          <w:sz w:val="24"/>
          <w:szCs w:val="24"/>
          <w:shd w:val="clear" w:color="auto" w:fill="FFFFFF"/>
        </w:rPr>
        <w:t xml:space="preserve">; </w:t>
      </w:r>
      <w:proofErr w:type="spellStart"/>
      <w:r w:rsidR="00931EF7" w:rsidRPr="00404DDC">
        <w:rPr>
          <w:rFonts w:ascii="Times New Roman" w:hAnsi="Times New Roman" w:cs="Times New Roman"/>
          <w:color w:val="000000"/>
          <w:sz w:val="24"/>
          <w:szCs w:val="24"/>
          <w:shd w:val="clear" w:color="auto" w:fill="FFFFFF"/>
        </w:rPr>
        <w:t>Leppink</w:t>
      </w:r>
      <w:proofErr w:type="spellEnd"/>
      <w:r w:rsidR="00931EF7" w:rsidRPr="00404DDC">
        <w:rPr>
          <w:rFonts w:ascii="Times New Roman" w:hAnsi="Times New Roman" w:cs="Times New Roman"/>
          <w:color w:val="000000"/>
          <w:sz w:val="24"/>
          <w:szCs w:val="24"/>
          <w:shd w:val="clear" w:color="auto" w:fill="FFFFFF"/>
        </w:rPr>
        <w:t>, Redden, Chamberlain &amp; Grant, 2016).</w:t>
      </w:r>
      <w:r w:rsidR="00912C6A" w:rsidRPr="00404DDC">
        <w:rPr>
          <w:rFonts w:ascii="Times New Roman" w:hAnsi="Times New Roman" w:cs="Times New Roman"/>
          <w:color w:val="000000"/>
          <w:sz w:val="24"/>
          <w:szCs w:val="24"/>
          <w:shd w:val="clear" w:color="auto" w:fill="FFFFFF"/>
        </w:rPr>
        <w:t xml:space="preserve"> This could lead to the implication that these variables are directly not responsible for risk-taking </w:t>
      </w:r>
      <w:r w:rsidR="00267136" w:rsidRPr="00404DDC">
        <w:rPr>
          <w:rFonts w:ascii="Times New Roman" w:hAnsi="Times New Roman" w:cs="Times New Roman"/>
          <w:color w:val="000000"/>
          <w:sz w:val="24"/>
          <w:szCs w:val="24"/>
          <w:shd w:val="clear" w:color="auto" w:fill="FFFFFF"/>
        </w:rPr>
        <w:t>behaviour but</w:t>
      </w:r>
      <w:r w:rsidR="00912C6A" w:rsidRPr="00404DDC">
        <w:rPr>
          <w:rFonts w:ascii="Times New Roman" w:hAnsi="Times New Roman" w:cs="Times New Roman"/>
          <w:color w:val="000000"/>
          <w:sz w:val="24"/>
          <w:szCs w:val="24"/>
          <w:shd w:val="clear" w:color="auto" w:fill="FFFFFF"/>
        </w:rPr>
        <w:t xml:space="preserve"> could also be a result of other factors that may have implicitly influenced the results. </w:t>
      </w:r>
    </w:p>
    <w:p w14:paraId="6C82FAD1" w14:textId="2E01AF9E" w:rsidR="00090721" w:rsidRDefault="00090721" w:rsidP="00090721">
      <w:pPr>
        <w:rPr>
          <w:rFonts w:ascii="Times New Roman" w:hAnsi="Times New Roman" w:cs="Times New Roman"/>
          <w:sz w:val="24"/>
          <w:szCs w:val="24"/>
        </w:rPr>
      </w:pPr>
      <w:r w:rsidRPr="00A3206B">
        <w:rPr>
          <w:rFonts w:ascii="Times New Roman" w:hAnsi="Times New Roman" w:cs="Times New Roman"/>
          <w:sz w:val="24"/>
          <w:szCs w:val="24"/>
        </w:rPr>
        <w:t xml:space="preserve">However, a significant result was found between motor impulsivity and risk-taking behaviour. This significant finding has been supported by past research (Chowdhury, Livesey, </w:t>
      </w:r>
      <w:proofErr w:type="spellStart"/>
      <w:r w:rsidRPr="00A3206B">
        <w:rPr>
          <w:rFonts w:ascii="Times New Roman" w:hAnsi="Times New Roman" w:cs="Times New Roman"/>
          <w:sz w:val="24"/>
          <w:szCs w:val="24"/>
        </w:rPr>
        <w:t>Blascynski</w:t>
      </w:r>
      <w:proofErr w:type="spellEnd"/>
      <w:r w:rsidRPr="00A3206B">
        <w:rPr>
          <w:rFonts w:ascii="Times New Roman" w:hAnsi="Times New Roman" w:cs="Times New Roman"/>
          <w:sz w:val="24"/>
          <w:szCs w:val="24"/>
        </w:rPr>
        <w:t xml:space="preserve"> &amp; Harris, 2017).</w:t>
      </w:r>
      <w:r>
        <w:rPr>
          <w:rFonts w:ascii="Times New Roman" w:hAnsi="Times New Roman" w:cs="Times New Roman"/>
          <w:sz w:val="24"/>
          <w:szCs w:val="24"/>
        </w:rPr>
        <w:t xml:space="preserve"> Which suggests that when completing the GDT, participants who scored high on motor impulsivity were more likely to engage with the task without prior thought, and as a result gamble with more risk. </w:t>
      </w:r>
      <w:proofErr w:type="spellStart"/>
      <w:r>
        <w:rPr>
          <w:rFonts w:ascii="Times New Roman" w:hAnsi="Times New Roman" w:cs="Times New Roman"/>
          <w:sz w:val="24"/>
          <w:szCs w:val="24"/>
        </w:rPr>
        <w:t>Chowdbury</w:t>
      </w:r>
      <w:proofErr w:type="spellEnd"/>
      <w:r>
        <w:rPr>
          <w:rFonts w:ascii="Times New Roman" w:hAnsi="Times New Roman" w:cs="Times New Roman"/>
          <w:sz w:val="24"/>
          <w:szCs w:val="24"/>
        </w:rPr>
        <w:t xml:space="preserve"> and colleagues suggest that this could be explained due to deficits in sustained attention, which could indicate that less attention was being given when completing the risk-taking task. This could lead to clinical implications as a development of motor impulsivity scales could help in distinguishing and categorising different gamblers for more efficient treatments. Furthermore, the current research further stipulates a greater expansion of motor impulsivity research being required. As supported by </w:t>
      </w:r>
      <w:proofErr w:type="spellStart"/>
      <w:r>
        <w:rPr>
          <w:rFonts w:ascii="Times New Roman" w:hAnsi="Times New Roman" w:cs="Times New Roman"/>
          <w:sz w:val="24"/>
          <w:szCs w:val="24"/>
        </w:rPr>
        <w:t>Chowdbury</w:t>
      </w:r>
      <w:proofErr w:type="spellEnd"/>
      <w:r>
        <w:rPr>
          <w:rFonts w:ascii="Times New Roman" w:hAnsi="Times New Roman" w:cs="Times New Roman"/>
          <w:sz w:val="24"/>
          <w:szCs w:val="24"/>
        </w:rPr>
        <w:t>, there is not enough research assessing the relationship of gambling and motor impulsivity.</w:t>
      </w:r>
    </w:p>
    <w:p w14:paraId="11BB0AE1" w14:textId="5A3B642E" w:rsidR="00F76A67" w:rsidRDefault="00F76A67" w:rsidP="00090721">
      <w:pPr>
        <w:rPr>
          <w:rFonts w:ascii="Times New Roman" w:hAnsi="Times New Roman" w:cs="Times New Roman"/>
          <w:sz w:val="24"/>
          <w:szCs w:val="24"/>
        </w:rPr>
      </w:pPr>
      <w:r>
        <w:rPr>
          <w:rFonts w:ascii="Times New Roman" w:hAnsi="Times New Roman" w:cs="Times New Roman"/>
          <w:sz w:val="24"/>
          <w:szCs w:val="24"/>
        </w:rPr>
        <w:t xml:space="preserve">Furthermore, research has suggested that personality questionnaires such as the BIS-11 and risky-decision making tasks are likely to measure different components of impulsive behaviour and could further be unrelated </w:t>
      </w:r>
      <w:r w:rsidRPr="00090721">
        <w:rPr>
          <w:rFonts w:ascii="Times New Roman" w:hAnsi="Times New Roman" w:cs="Times New Roman"/>
          <w:sz w:val="24"/>
          <w:szCs w:val="24"/>
        </w:rPr>
        <w:t xml:space="preserve">(Reynolds, </w:t>
      </w:r>
      <w:proofErr w:type="spellStart"/>
      <w:r w:rsidRPr="00090721">
        <w:rPr>
          <w:rFonts w:ascii="Times New Roman" w:hAnsi="Times New Roman" w:cs="Times New Roman"/>
          <w:sz w:val="24"/>
          <w:szCs w:val="24"/>
        </w:rPr>
        <w:t>Ortengren</w:t>
      </w:r>
      <w:proofErr w:type="spellEnd"/>
      <w:r w:rsidRPr="00090721">
        <w:rPr>
          <w:rFonts w:ascii="Times New Roman" w:hAnsi="Times New Roman" w:cs="Times New Roman"/>
          <w:sz w:val="24"/>
          <w:szCs w:val="24"/>
        </w:rPr>
        <w:t>, Richards &amp; de Wit, 2006)</w:t>
      </w:r>
      <w:r>
        <w:rPr>
          <w:rFonts w:ascii="Times New Roman" w:hAnsi="Times New Roman" w:cs="Times New Roman"/>
          <w:sz w:val="24"/>
          <w:szCs w:val="24"/>
        </w:rPr>
        <w:t xml:space="preserve">. While the research targeted impulsive decision making using the Delay-Discounting Task </w:t>
      </w:r>
      <w:r w:rsidRPr="00090721">
        <w:rPr>
          <w:rFonts w:ascii="Times New Roman" w:hAnsi="Times New Roman" w:cs="Times New Roman"/>
          <w:sz w:val="24"/>
          <w:szCs w:val="24"/>
        </w:rPr>
        <w:t xml:space="preserve">(Bickel, </w:t>
      </w:r>
      <w:proofErr w:type="spellStart"/>
      <w:r w:rsidRPr="00090721">
        <w:rPr>
          <w:rFonts w:ascii="Times New Roman" w:hAnsi="Times New Roman" w:cs="Times New Roman"/>
          <w:sz w:val="24"/>
          <w:szCs w:val="24"/>
        </w:rPr>
        <w:t>Odum</w:t>
      </w:r>
      <w:proofErr w:type="spellEnd"/>
      <w:r w:rsidRPr="00090721">
        <w:rPr>
          <w:rFonts w:ascii="Times New Roman" w:hAnsi="Times New Roman" w:cs="Times New Roman"/>
          <w:sz w:val="24"/>
          <w:szCs w:val="24"/>
        </w:rPr>
        <w:t xml:space="preserve"> &amp; Madden, 1999)</w:t>
      </w:r>
      <w:r>
        <w:rPr>
          <w:rFonts w:ascii="Times New Roman" w:hAnsi="Times New Roman" w:cs="Times New Roman"/>
          <w:sz w:val="24"/>
          <w:szCs w:val="24"/>
        </w:rPr>
        <w:t xml:space="preserve">, and the </w:t>
      </w:r>
      <w:proofErr w:type="spellStart"/>
      <w:r>
        <w:rPr>
          <w:rFonts w:ascii="Times New Roman" w:hAnsi="Times New Roman" w:cs="Times New Roman"/>
          <w:sz w:val="24"/>
          <w:szCs w:val="24"/>
        </w:rPr>
        <w:t>Ballon</w:t>
      </w:r>
      <w:proofErr w:type="spellEnd"/>
      <w:r>
        <w:rPr>
          <w:rFonts w:ascii="Times New Roman" w:hAnsi="Times New Roman" w:cs="Times New Roman"/>
          <w:sz w:val="24"/>
          <w:szCs w:val="24"/>
        </w:rPr>
        <w:t xml:space="preserve"> Analogue Risk Task (BART), (</w:t>
      </w:r>
      <w:proofErr w:type="spellStart"/>
      <w:r>
        <w:rPr>
          <w:rFonts w:ascii="Times New Roman" w:hAnsi="Times New Roman" w:cs="Times New Roman"/>
          <w:sz w:val="24"/>
          <w:szCs w:val="24"/>
        </w:rPr>
        <w:t>Lejuez</w:t>
      </w:r>
      <w:proofErr w:type="spellEnd"/>
      <w:r>
        <w:rPr>
          <w:rFonts w:ascii="Times New Roman" w:hAnsi="Times New Roman" w:cs="Times New Roman"/>
          <w:sz w:val="24"/>
          <w:szCs w:val="24"/>
        </w:rPr>
        <w:t xml:space="preserve"> et al., 2002), they did not investigate the GDT. Reynold and colleagues research could indicate a gap in the research where further risk-taking behaviour measures such as the GDT should be investigated to assess its applicability to the BIS-11.</w:t>
      </w:r>
    </w:p>
    <w:p w14:paraId="3BF621FF" w14:textId="4CDAE3D2" w:rsidR="00090721" w:rsidRDefault="00090721">
      <w:pPr>
        <w:rPr>
          <w:rFonts w:ascii="Times New Roman" w:hAnsi="Times New Roman" w:cs="Times New Roman"/>
          <w:sz w:val="24"/>
          <w:szCs w:val="24"/>
        </w:rPr>
      </w:pPr>
      <w:r>
        <w:rPr>
          <w:rFonts w:ascii="Times New Roman" w:hAnsi="Times New Roman" w:cs="Times New Roman"/>
          <w:sz w:val="24"/>
          <w:szCs w:val="24"/>
        </w:rPr>
        <w:t xml:space="preserve">However, research has also suggested that there is no empirical support that the current BIS-11 can be used to measure each second-order factor </w:t>
      </w:r>
      <w:r w:rsidRPr="00C327BD">
        <w:rPr>
          <w:rFonts w:ascii="Times New Roman" w:hAnsi="Times New Roman" w:cs="Times New Roman"/>
          <w:sz w:val="24"/>
          <w:szCs w:val="24"/>
        </w:rPr>
        <w:t xml:space="preserve">meaningfully </w:t>
      </w:r>
      <w:r>
        <w:rPr>
          <w:rFonts w:ascii="Times New Roman" w:hAnsi="Times New Roman" w:cs="Times New Roman"/>
          <w:sz w:val="24"/>
          <w:szCs w:val="24"/>
        </w:rPr>
        <w:t>(</w:t>
      </w:r>
      <w:proofErr w:type="spellStart"/>
      <w:r w:rsidRPr="00C327BD">
        <w:rPr>
          <w:rFonts w:ascii="Times New Roman" w:hAnsi="Times New Roman" w:cs="Times New Roman"/>
          <w:sz w:val="24"/>
          <w:szCs w:val="24"/>
        </w:rPr>
        <w:t>Reise</w:t>
      </w:r>
      <w:proofErr w:type="spellEnd"/>
      <w:r w:rsidRPr="00C327BD">
        <w:rPr>
          <w:rFonts w:ascii="Times New Roman" w:hAnsi="Times New Roman" w:cs="Times New Roman"/>
          <w:sz w:val="24"/>
          <w:szCs w:val="24"/>
        </w:rPr>
        <w:t xml:space="preserve">, Moore, </w:t>
      </w:r>
      <w:proofErr w:type="spellStart"/>
      <w:r w:rsidRPr="00C327BD">
        <w:rPr>
          <w:rFonts w:ascii="Times New Roman" w:hAnsi="Times New Roman" w:cs="Times New Roman"/>
          <w:sz w:val="24"/>
          <w:szCs w:val="24"/>
        </w:rPr>
        <w:t>Sabb</w:t>
      </w:r>
      <w:proofErr w:type="spellEnd"/>
      <w:r w:rsidRPr="00C327BD">
        <w:rPr>
          <w:rFonts w:ascii="Times New Roman" w:hAnsi="Times New Roman" w:cs="Times New Roman"/>
          <w:sz w:val="24"/>
          <w:szCs w:val="24"/>
        </w:rPr>
        <w:t>, Brown &amp; London, 2013)</w:t>
      </w:r>
      <w:r>
        <w:rPr>
          <w:rFonts w:ascii="Times New Roman" w:hAnsi="Times New Roman" w:cs="Times New Roman"/>
          <w:sz w:val="24"/>
          <w:szCs w:val="24"/>
        </w:rPr>
        <w:t xml:space="preserve">. This could be due to </w:t>
      </w:r>
      <w:proofErr w:type="spellStart"/>
      <w:r>
        <w:rPr>
          <w:rFonts w:ascii="Times New Roman" w:hAnsi="Times New Roman" w:cs="Times New Roman"/>
          <w:sz w:val="24"/>
          <w:szCs w:val="24"/>
        </w:rPr>
        <w:t>Reise</w:t>
      </w:r>
      <w:proofErr w:type="spellEnd"/>
      <w:r>
        <w:rPr>
          <w:rFonts w:ascii="Times New Roman" w:hAnsi="Times New Roman" w:cs="Times New Roman"/>
          <w:sz w:val="24"/>
          <w:szCs w:val="24"/>
        </w:rPr>
        <w:t xml:space="preserve"> and colleagues finding weak correlation between items used within the scale. Their research suggested that other psychometric tools should be used instead when measuring impulsivity as the criteria for subscale measurements are flawed.</w:t>
      </w:r>
      <w:r w:rsidR="00F76A67">
        <w:rPr>
          <w:rFonts w:ascii="Times New Roman" w:hAnsi="Times New Roman" w:cs="Times New Roman"/>
          <w:sz w:val="24"/>
          <w:szCs w:val="24"/>
        </w:rPr>
        <w:t xml:space="preserve"> Examples of such tools </w:t>
      </w:r>
      <w:r w:rsidR="00F76A67" w:rsidRPr="00F76A67">
        <w:rPr>
          <w:rFonts w:ascii="Times New Roman" w:hAnsi="Times New Roman" w:cs="Times New Roman"/>
          <w:sz w:val="24"/>
          <w:szCs w:val="24"/>
        </w:rPr>
        <w:t xml:space="preserve">included the </w:t>
      </w:r>
      <w:r w:rsidR="00F76A67" w:rsidRPr="00F76A67">
        <w:rPr>
          <w:rFonts w:ascii="Times New Roman" w:hAnsi="Times New Roman" w:cs="Times New Roman"/>
          <w:color w:val="000000"/>
          <w:sz w:val="24"/>
          <w:szCs w:val="24"/>
          <w:shd w:val="clear" w:color="auto" w:fill="FFFFFF"/>
        </w:rPr>
        <w:t>I</w:t>
      </w:r>
      <w:r w:rsidR="00F76A67" w:rsidRPr="00F76A67">
        <w:rPr>
          <w:rFonts w:ascii="Times New Roman" w:hAnsi="Times New Roman" w:cs="Times New Roman"/>
          <w:color w:val="000000"/>
          <w:sz w:val="24"/>
          <w:szCs w:val="24"/>
          <w:shd w:val="clear" w:color="auto" w:fill="FFFFFF"/>
          <w:vertAlign w:val="subscript"/>
        </w:rPr>
        <w:t>7</w:t>
      </w:r>
      <w:r w:rsidR="00F76A67">
        <w:rPr>
          <w:rFonts w:ascii="Times New Roman" w:hAnsi="Times New Roman" w:cs="Times New Roman"/>
          <w:color w:val="000000"/>
          <w:sz w:val="24"/>
          <w:szCs w:val="24"/>
          <w:shd w:val="clear" w:color="auto" w:fill="FFFFFF"/>
          <w:vertAlign w:val="subscript"/>
        </w:rPr>
        <w:t xml:space="preserve"> </w:t>
      </w:r>
      <w:r w:rsidR="00F76A67" w:rsidRPr="00F76A67">
        <w:rPr>
          <w:rFonts w:ascii="Times New Roman" w:hAnsi="Times New Roman" w:cs="Times New Roman"/>
          <w:sz w:val="24"/>
          <w:szCs w:val="24"/>
        </w:rPr>
        <w:t>(Eysenck, Pearson, Easting &amp; Allsopp, 1985)</w:t>
      </w:r>
      <w:r w:rsidR="00F76A67">
        <w:rPr>
          <w:rFonts w:ascii="Times New Roman" w:hAnsi="Times New Roman" w:cs="Times New Roman"/>
          <w:sz w:val="24"/>
          <w:szCs w:val="24"/>
        </w:rPr>
        <w:t xml:space="preserve">, and the </w:t>
      </w:r>
      <w:r w:rsidR="00F41A2D">
        <w:rPr>
          <w:rFonts w:ascii="Times New Roman" w:hAnsi="Times New Roman" w:cs="Times New Roman"/>
          <w:sz w:val="24"/>
          <w:szCs w:val="24"/>
        </w:rPr>
        <w:t>Multidimensional Personality Questionnaire (</w:t>
      </w:r>
      <w:proofErr w:type="spellStart"/>
      <w:r w:rsidR="00F41A2D">
        <w:rPr>
          <w:rFonts w:ascii="Times New Roman" w:hAnsi="Times New Roman" w:cs="Times New Roman"/>
          <w:sz w:val="24"/>
          <w:szCs w:val="24"/>
        </w:rPr>
        <w:t>Tellegen</w:t>
      </w:r>
      <w:proofErr w:type="spellEnd"/>
      <w:r w:rsidR="00F41A2D">
        <w:rPr>
          <w:rFonts w:ascii="Times New Roman" w:hAnsi="Times New Roman" w:cs="Times New Roman"/>
          <w:sz w:val="24"/>
          <w:szCs w:val="24"/>
        </w:rPr>
        <w:t xml:space="preserve"> &amp; Waller, 2008). </w:t>
      </w:r>
    </w:p>
    <w:p w14:paraId="4DB125EC" w14:textId="0201F1D4" w:rsidR="00267136" w:rsidRDefault="00912C6A">
      <w:pPr>
        <w:rPr>
          <w:rFonts w:ascii="Times New Roman" w:hAnsi="Times New Roman" w:cs="Times New Roman"/>
          <w:sz w:val="24"/>
          <w:szCs w:val="24"/>
        </w:rPr>
      </w:pPr>
      <w:r w:rsidRPr="00404DDC">
        <w:rPr>
          <w:rFonts w:ascii="Times New Roman" w:hAnsi="Times New Roman" w:cs="Times New Roman"/>
          <w:color w:val="000000"/>
          <w:sz w:val="24"/>
          <w:szCs w:val="24"/>
          <w:shd w:val="clear" w:color="auto" w:fill="FFFFFF"/>
        </w:rPr>
        <w:t xml:space="preserve">Research has identified a non-significant result in the GDT being able to accurately identify gambling severity and frequency in </w:t>
      </w:r>
      <w:r w:rsidR="00404DDC" w:rsidRPr="00404DDC">
        <w:rPr>
          <w:rFonts w:ascii="Times New Roman" w:hAnsi="Times New Roman" w:cs="Times New Roman"/>
          <w:color w:val="000000"/>
          <w:sz w:val="24"/>
          <w:szCs w:val="24"/>
          <w:shd w:val="clear" w:color="auto" w:fill="FFFFFF"/>
        </w:rPr>
        <w:t xml:space="preserve">adolescents diagnosed with problem gambling using the SOGS-RA </w:t>
      </w:r>
      <w:r w:rsidR="00404DDC" w:rsidRPr="00404DDC">
        <w:rPr>
          <w:rFonts w:ascii="Times New Roman" w:hAnsi="Times New Roman" w:cs="Times New Roman"/>
          <w:sz w:val="24"/>
          <w:szCs w:val="24"/>
        </w:rPr>
        <w:t>(</w:t>
      </w:r>
      <w:proofErr w:type="spellStart"/>
      <w:r w:rsidR="00404DDC" w:rsidRPr="00404DDC">
        <w:rPr>
          <w:rFonts w:ascii="Times New Roman" w:hAnsi="Times New Roman" w:cs="Times New Roman"/>
          <w:sz w:val="24"/>
          <w:szCs w:val="24"/>
        </w:rPr>
        <w:t>Donati</w:t>
      </w:r>
      <w:proofErr w:type="spellEnd"/>
      <w:r w:rsidR="00404DDC" w:rsidRPr="00404DDC">
        <w:rPr>
          <w:rFonts w:ascii="Times New Roman" w:hAnsi="Times New Roman" w:cs="Times New Roman"/>
          <w:sz w:val="24"/>
          <w:szCs w:val="24"/>
        </w:rPr>
        <w:t xml:space="preserve">, </w:t>
      </w:r>
      <w:proofErr w:type="spellStart"/>
      <w:r w:rsidR="00404DDC" w:rsidRPr="00404DDC">
        <w:rPr>
          <w:rFonts w:ascii="Times New Roman" w:hAnsi="Times New Roman" w:cs="Times New Roman"/>
          <w:sz w:val="24"/>
          <w:szCs w:val="24"/>
        </w:rPr>
        <w:t>Frosini</w:t>
      </w:r>
      <w:proofErr w:type="spellEnd"/>
      <w:r w:rsidR="00404DDC" w:rsidRPr="00404DDC">
        <w:rPr>
          <w:rFonts w:ascii="Times New Roman" w:hAnsi="Times New Roman" w:cs="Times New Roman"/>
          <w:sz w:val="24"/>
          <w:szCs w:val="24"/>
        </w:rPr>
        <w:t xml:space="preserve">, Izzo &amp; </w:t>
      </w:r>
      <w:proofErr w:type="spellStart"/>
      <w:r w:rsidR="00404DDC" w:rsidRPr="00404DDC">
        <w:rPr>
          <w:rFonts w:ascii="Times New Roman" w:hAnsi="Times New Roman" w:cs="Times New Roman"/>
          <w:sz w:val="24"/>
          <w:szCs w:val="24"/>
        </w:rPr>
        <w:t>Primi</w:t>
      </w:r>
      <w:proofErr w:type="spellEnd"/>
      <w:r w:rsidR="00404DDC" w:rsidRPr="00404DDC">
        <w:rPr>
          <w:rFonts w:ascii="Times New Roman" w:hAnsi="Times New Roman" w:cs="Times New Roman"/>
          <w:sz w:val="24"/>
          <w:szCs w:val="24"/>
        </w:rPr>
        <w:t>, 2018).</w:t>
      </w:r>
      <w:r w:rsidR="00404DDC">
        <w:rPr>
          <w:rFonts w:ascii="Times New Roman" w:hAnsi="Times New Roman" w:cs="Times New Roman"/>
          <w:sz w:val="24"/>
          <w:szCs w:val="24"/>
        </w:rPr>
        <w:t xml:space="preserve"> This could indicate that the GDT is not a </w:t>
      </w:r>
      <w:proofErr w:type="gramStart"/>
      <w:r w:rsidR="00404DDC">
        <w:rPr>
          <w:rFonts w:ascii="Times New Roman" w:hAnsi="Times New Roman" w:cs="Times New Roman"/>
          <w:sz w:val="24"/>
          <w:szCs w:val="24"/>
        </w:rPr>
        <w:t>sufficient</w:t>
      </w:r>
      <w:proofErr w:type="gramEnd"/>
      <w:r w:rsidR="00404DDC">
        <w:rPr>
          <w:rFonts w:ascii="Times New Roman" w:hAnsi="Times New Roman" w:cs="Times New Roman"/>
          <w:sz w:val="24"/>
          <w:szCs w:val="24"/>
        </w:rPr>
        <w:t xml:space="preserve"> </w:t>
      </w:r>
      <w:r w:rsidR="005B234B">
        <w:rPr>
          <w:rFonts w:ascii="Times New Roman" w:hAnsi="Times New Roman" w:cs="Times New Roman"/>
          <w:sz w:val="24"/>
          <w:szCs w:val="24"/>
        </w:rPr>
        <w:t xml:space="preserve">risk-taking behaviour task </w:t>
      </w:r>
      <w:r w:rsidR="00404DDC">
        <w:rPr>
          <w:rFonts w:ascii="Times New Roman" w:hAnsi="Times New Roman" w:cs="Times New Roman"/>
          <w:sz w:val="24"/>
          <w:szCs w:val="24"/>
        </w:rPr>
        <w:t>as it was unable to distinguish between varying levels of gambling severity and frequency.</w:t>
      </w:r>
      <w:r w:rsidR="005B234B">
        <w:rPr>
          <w:rFonts w:ascii="Times New Roman" w:hAnsi="Times New Roman" w:cs="Times New Roman"/>
          <w:sz w:val="24"/>
          <w:szCs w:val="24"/>
        </w:rPr>
        <w:t xml:space="preserve"> </w:t>
      </w:r>
      <w:r w:rsidR="009A7D39">
        <w:rPr>
          <w:rFonts w:ascii="Times New Roman" w:hAnsi="Times New Roman" w:cs="Times New Roman"/>
          <w:sz w:val="24"/>
          <w:szCs w:val="24"/>
        </w:rPr>
        <w:t>However, research has suggested that the GDT is more capable of predicting the tendencies of higher risk-taking behaviour when controlling for impulsivity in contrast to the Iowa Gambling Task</w:t>
      </w:r>
      <w:r w:rsidR="009A7D39" w:rsidRPr="009A7D39">
        <w:rPr>
          <w:rFonts w:ascii="Times New Roman" w:hAnsi="Times New Roman" w:cs="Times New Roman"/>
          <w:sz w:val="24"/>
          <w:szCs w:val="24"/>
        </w:rPr>
        <w:t xml:space="preserve">. (Bayard, </w:t>
      </w:r>
      <w:proofErr w:type="spellStart"/>
      <w:r w:rsidR="009A7D39" w:rsidRPr="009A7D39">
        <w:rPr>
          <w:rFonts w:ascii="Times New Roman" w:hAnsi="Times New Roman" w:cs="Times New Roman"/>
          <w:sz w:val="24"/>
          <w:szCs w:val="24"/>
        </w:rPr>
        <w:t>Raffard</w:t>
      </w:r>
      <w:proofErr w:type="spellEnd"/>
      <w:r w:rsidR="009A7D39" w:rsidRPr="009A7D39">
        <w:rPr>
          <w:rFonts w:ascii="Times New Roman" w:hAnsi="Times New Roman" w:cs="Times New Roman"/>
          <w:sz w:val="24"/>
          <w:szCs w:val="24"/>
        </w:rPr>
        <w:t xml:space="preserve"> &amp; </w:t>
      </w:r>
      <w:proofErr w:type="spellStart"/>
      <w:r w:rsidR="009A7D39" w:rsidRPr="009A7D39">
        <w:rPr>
          <w:rFonts w:ascii="Times New Roman" w:hAnsi="Times New Roman" w:cs="Times New Roman"/>
          <w:sz w:val="24"/>
          <w:szCs w:val="24"/>
        </w:rPr>
        <w:t>Gely-Nargeot</w:t>
      </w:r>
      <w:proofErr w:type="spellEnd"/>
      <w:r w:rsidR="009A7D39" w:rsidRPr="009A7D39">
        <w:rPr>
          <w:rFonts w:ascii="Times New Roman" w:hAnsi="Times New Roman" w:cs="Times New Roman"/>
          <w:sz w:val="24"/>
          <w:szCs w:val="24"/>
        </w:rPr>
        <w:t>, 2011)</w:t>
      </w:r>
      <w:r w:rsidR="009A7D39">
        <w:rPr>
          <w:rFonts w:ascii="Times New Roman" w:hAnsi="Times New Roman" w:cs="Times New Roman"/>
          <w:sz w:val="24"/>
          <w:szCs w:val="24"/>
        </w:rPr>
        <w:t>.</w:t>
      </w:r>
      <w:r w:rsidR="005B234B">
        <w:rPr>
          <w:rFonts w:ascii="Times New Roman" w:hAnsi="Times New Roman" w:cs="Times New Roman"/>
          <w:sz w:val="24"/>
          <w:szCs w:val="24"/>
        </w:rPr>
        <w:t xml:space="preserve"> Further research has also suggested there was no correlation between the performances of both the </w:t>
      </w:r>
      <w:r w:rsidR="00267136">
        <w:rPr>
          <w:rFonts w:ascii="Times New Roman" w:hAnsi="Times New Roman" w:cs="Times New Roman"/>
          <w:sz w:val="24"/>
          <w:szCs w:val="24"/>
        </w:rPr>
        <w:t xml:space="preserve">Iowa Gambling Task and the GDT when used with schizophrenic patients (Fond et </w:t>
      </w:r>
      <w:r w:rsidR="00267136">
        <w:rPr>
          <w:rFonts w:ascii="Times New Roman" w:hAnsi="Times New Roman" w:cs="Times New Roman"/>
          <w:sz w:val="24"/>
          <w:szCs w:val="24"/>
        </w:rPr>
        <w:lastRenderedPageBreak/>
        <w:t xml:space="preserve">al., 2012). </w:t>
      </w:r>
      <w:r w:rsidR="005B234B">
        <w:rPr>
          <w:rFonts w:ascii="Times New Roman" w:hAnsi="Times New Roman" w:cs="Times New Roman"/>
          <w:sz w:val="24"/>
          <w:szCs w:val="24"/>
        </w:rPr>
        <w:t xml:space="preserve">Therefore, the current appears to contrast in the most effective form of measuring risky </w:t>
      </w:r>
      <w:r w:rsidR="00267136">
        <w:rPr>
          <w:rFonts w:ascii="Times New Roman" w:hAnsi="Times New Roman" w:cs="Times New Roman"/>
          <w:sz w:val="24"/>
          <w:szCs w:val="24"/>
        </w:rPr>
        <w:t>decision-making</w:t>
      </w:r>
      <w:r w:rsidR="005B234B">
        <w:rPr>
          <w:rFonts w:ascii="Times New Roman" w:hAnsi="Times New Roman" w:cs="Times New Roman"/>
          <w:sz w:val="24"/>
          <w:szCs w:val="24"/>
        </w:rPr>
        <w:t xml:space="preserve"> behaviour.</w:t>
      </w:r>
      <w:r w:rsidR="00267136">
        <w:rPr>
          <w:rFonts w:ascii="Times New Roman" w:hAnsi="Times New Roman" w:cs="Times New Roman"/>
          <w:sz w:val="24"/>
          <w:szCs w:val="24"/>
        </w:rPr>
        <w:t xml:space="preserve"> As both tasks aim to assess risky decision-making behaviour from either an Implicit (IGT) or Explicit (GDT) perspective, future research should aim to assessing the difference between using these different measures with different patients. </w:t>
      </w:r>
    </w:p>
    <w:p w14:paraId="6E5C0ECF" w14:textId="499CB253" w:rsidR="00D1141E" w:rsidRPr="00D1141E" w:rsidRDefault="00B33B74" w:rsidP="00D1141E">
      <w:pPr>
        <w:rPr>
          <w:rFonts w:ascii="Times New Roman" w:hAnsi="Times New Roman" w:cs="Times New Roman"/>
          <w:sz w:val="24"/>
          <w:szCs w:val="24"/>
        </w:rPr>
      </w:pPr>
      <w:r w:rsidRPr="00D1141E">
        <w:rPr>
          <w:rFonts w:ascii="Times New Roman" w:hAnsi="Times New Roman" w:cs="Times New Roman"/>
          <w:sz w:val="24"/>
          <w:szCs w:val="24"/>
        </w:rPr>
        <w:t xml:space="preserve">However, one criticism of the GDT is that by using Explicit rules, participants are aware of the risk available, which could be suggested to be a unrealistic form of gambling in contrast to the Iowa Gambling Task, which has been suggested to have uncertain rewards (Burdick, Roy &amp; Raver, 2013). As a result, participants engaging with the GDT may not have considered the task to be a true form of gambling as they were entirely aware of the risk </w:t>
      </w:r>
      <w:r w:rsidR="00D1141E" w:rsidRPr="00D1141E">
        <w:rPr>
          <w:rFonts w:ascii="Times New Roman" w:hAnsi="Times New Roman" w:cs="Times New Roman"/>
          <w:sz w:val="24"/>
          <w:szCs w:val="24"/>
        </w:rPr>
        <w:t>involved with each decision. The use of this task could be considered a unrealistic representation of gambling as it also does not take into other factors of the gambling experience such as propitiatory rites, immediate betting of the winnings of gambling and factors such as continuous gambling in a gambling environment (</w:t>
      </w:r>
      <w:proofErr w:type="spellStart"/>
      <w:r w:rsidR="00D1141E" w:rsidRPr="00D1141E">
        <w:rPr>
          <w:rFonts w:ascii="Times New Roman" w:hAnsi="Times New Roman" w:cs="Times New Roman"/>
          <w:sz w:val="24"/>
          <w:szCs w:val="24"/>
        </w:rPr>
        <w:t>Donati</w:t>
      </w:r>
      <w:proofErr w:type="spellEnd"/>
      <w:r w:rsidR="00D1141E" w:rsidRPr="00D1141E">
        <w:rPr>
          <w:rFonts w:ascii="Times New Roman" w:hAnsi="Times New Roman" w:cs="Times New Roman"/>
          <w:sz w:val="24"/>
          <w:szCs w:val="24"/>
        </w:rPr>
        <w:t xml:space="preserve">, </w:t>
      </w:r>
      <w:proofErr w:type="spellStart"/>
      <w:r w:rsidR="00D1141E" w:rsidRPr="00D1141E">
        <w:rPr>
          <w:rFonts w:ascii="Times New Roman" w:hAnsi="Times New Roman" w:cs="Times New Roman"/>
          <w:sz w:val="24"/>
          <w:szCs w:val="24"/>
        </w:rPr>
        <w:t>Frosini</w:t>
      </w:r>
      <w:proofErr w:type="spellEnd"/>
      <w:r w:rsidR="00D1141E" w:rsidRPr="00D1141E">
        <w:rPr>
          <w:rFonts w:ascii="Times New Roman" w:hAnsi="Times New Roman" w:cs="Times New Roman"/>
          <w:sz w:val="24"/>
          <w:szCs w:val="24"/>
        </w:rPr>
        <w:t xml:space="preserve">, Izzo &amp; </w:t>
      </w:r>
      <w:proofErr w:type="spellStart"/>
      <w:r w:rsidR="00D1141E" w:rsidRPr="00D1141E">
        <w:rPr>
          <w:rFonts w:ascii="Times New Roman" w:hAnsi="Times New Roman" w:cs="Times New Roman"/>
          <w:sz w:val="24"/>
          <w:szCs w:val="24"/>
        </w:rPr>
        <w:t>Primi</w:t>
      </w:r>
      <w:proofErr w:type="spellEnd"/>
      <w:r w:rsidR="00D1141E" w:rsidRPr="00D1141E">
        <w:rPr>
          <w:rFonts w:ascii="Times New Roman" w:hAnsi="Times New Roman" w:cs="Times New Roman"/>
          <w:sz w:val="24"/>
          <w:szCs w:val="24"/>
        </w:rPr>
        <w:t>, 2018)</w:t>
      </w:r>
      <w:r w:rsidR="00D1141E">
        <w:rPr>
          <w:rFonts w:ascii="Times New Roman" w:hAnsi="Times New Roman" w:cs="Times New Roman"/>
          <w:sz w:val="24"/>
          <w:szCs w:val="24"/>
        </w:rPr>
        <w:t>.</w:t>
      </w:r>
    </w:p>
    <w:p w14:paraId="1FA6FD54" w14:textId="0DAD3A27" w:rsidR="00B33B74" w:rsidRDefault="00B33B74">
      <w:pPr>
        <w:rPr>
          <w:rFonts w:ascii="Times New Roman" w:hAnsi="Times New Roman" w:cs="Times New Roman"/>
          <w:sz w:val="24"/>
          <w:szCs w:val="24"/>
        </w:rPr>
      </w:pPr>
    </w:p>
    <w:p w14:paraId="3B2C4151" w14:textId="52A96829" w:rsidR="00404DDC" w:rsidRPr="00404DDC" w:rsidRDefault="00404DDC">
      <w:pPr>
        <w:rPr>
          <w:rFonts w:ascii="Times New Roman" w:hAnsi="Times New Roman" w:cs="Times New Roman"/>
          <w:sz w:val="24"/>
          <w:szCs w:val="24"/>
        </w:rPr>
      </w:pPr>
      <w:r>
        <w:rPr>
          <w:rFonts w:ascii="Times New Roman" w:hAnsi="Times New Roman" w:cs="Times New Roman"/>
          <w:sz w:val="24"/>
          <w:szCs w:val="24"/>
        </w:rPr>
        <w:t xml:space="preserve">One criticism of the SOGS variant used within the study is the scale not </w:t>
      </w:r>
      <w:proofErr w:type="gramStart"/>
      <w:r>
        <w:rPr>
          <w:rFonts w:ascii="Times New Roman" w:hAnsi="Times New Roman" w:cs="Times New Roman"/>
          <w:sz w:val="24"/>
          <w:szCs w:val="24"/>
        </w:rPr>
        <w:t>taking into account</w:t>
      </w:r>
      <w:proofErr w:type="gramEnd"/>
      <w:r>
        <w:rPr>
          <w:rFonts w:ascii="Times New Roman" w:hAnsi="Times New Roman" w:cs="Times New Roman"/>
          <w:sz w:val="24"/>
          <w:szCs w:val="24"/>
        </w:rPr>
        <w:t xml:space="preserve"> gambling versatility within the scoring of the gambling frequenc</w:t>
      </w:r>
      <w:r w:rsidR="00733D81">
        <w:rPr>
          <w:rFonts w:ascii="Times New Roman" w:hAnsi="Times New Roman" w:cs="Times New Roman"/>
          <w:sz w:val="24"/>
          <w:szCs w:val="24"/>
        </w:rPr>
        <w:t xml:space="preserve">y. </w:t>
      </w:r>
      <w:proofErr w:type="spellStart"/>
      <w:r w:rsidRPr="00404DDC">
        <w:rPr>
          <w:rFonts w:ascii="Times New Roman" w:hAnsi="Times New Roman" w:cs="Times New Roman"/>
          <w:sz w:val="24"/>
          <w:szCs w:val="24"/>
        </w:rPr>
        <w:t>Welte</w:t>
      </w:r>
      <w:proofErr w:type="spellEnd"/>
      <w:r w:rsidRPr="00404DDC">
        <w:rPr>
          <w:rFonts w:ascii="Times New Roman" w:hAnsi="Times New Roman" w:cs="Times New Roman"/>
          <w:sz w:val="24"/>
          <w:szCs w:val="24"/>
        </w:rPr>
        <w:t xml:space="preserve">, Barnes, </w:t>
      </w:r>
      <w:proofErr w:type="spellStart"/>
      <w:r w:rsidRPr="00404DDC">
        <w:rPr>
          <w:rFonts w:ascii="Times New Roman" w:hAnsi="Times New Roman" w:cs="Times New Roman"/>
          <w:sz w:val="24"/>
          <w:szCs w:val="24"/>
        </w:rPr>
        <w:t>Wieczorek</w:t>
      </w:r>
      <w:proofErr w:type="spellEnd"/>
      <w:r w:rsidRPr="00404DDC">
        <w:rPr>
          <w:rFonts w:ascii="Times New Roman" w:hAnsi="Times New Roman" w:cs="Times New Roman"/>
          <w:sz w:val="24"/>
          <w:szCs w:val="24"/>
        </w:rPr>
        <w:t xml:space="preserve">, Tidwell &amp; Parker, </w:t>
      </w:r>
      <w:r w:rsidR="00733D81">
        <w:rPr>
          <w:rFonts w:ascii="Times New Roman" w:hAnsi="Times New Roman" w:cs="Times New Roman"/>
          <w:sz w:val="24"/>
          <w:szCs w:val="24"/>
        </w:rPr>
        <w:t>(</w:t>
      </w:r>
      <w:r w:rsidRPr="00404DDC">
        <w:rPr>
          <w:rFonts w:ascii="Times New Roman" w:hAnsi="Times New Roman" w:cs="Times New Roman"/>
          <w:sz w:val="24"/>
          <w:szCs w:val="24"/>
        </w:rPr>
        <w:t>2004</w:t>
      </w:r>
      <w:r w:rsidR="00733D81">
        <w:rPr>
          <w:rFonts w:ascii="Times New Roman" w:hAnsi="Times New Roman" w:cs="Times New Roman"/>
          <w:sz w:val="24"/>
          <w:szCs w:val="24"/>
        </w:rPr>
        <w:t>)</w:t>
      </w:r>
      <w:r w:rsidRPr="00404DDC">
        <w:rPr>
          <w:rFonts w:ascii="Times New Roman" w:hAnsi="Times New Roman" w:cs="Times New Roman"/>
          <w:sz w:val="24"/>
          <w:szCs w:val="24"/>
        </w:rPr>
        <w:t>,</w:t>
      </w:r>
      <w:r w:rsidR="00733D81">
        <w:rPr>
          <w:rFonts w:ascii="Times New Roman" w:hAnsi="Times New Roman" w:cs="Times New Roman"/>
          <w:sz w:val="24"/>
          <w:szCs w:val="24"/>
        </w:rPr>
        <w:t xml:space="preserve"> identified that one risk factor in gambling pathology was gambling versatility, even when respondents have equal levels of gambling frequency and average turnover winnings (the average amount a person wins or loses during a bet). Gambling versatility can be defined by </w:t>
      </w:r>
      <w:proofErr w:type="spellStart"/>
      <w:r w:rsidR="00733D81">
        <w:rPr>
          <w:rFonts w:ascii="Times New Roman" w:hAnsi="Times New Roman" w:cs="Times New Roman"/>
          <w:sz w:val="24"/>
          <w:szCs w:val="24"/>
        </w:rPr>
        <w:t>Welte</w:t>
      </w:r>
      <w:proofErr w:type="spellEnd"/>
      <w:r w:rsidR="00733D81">
        <w:rPr>
          <w:rFonts w:ascii="Times New Roman" w:hAnsi="Times New Roman" w:cs="Times New Roman"/>
          <w:sz w:val="24"/>
          <w:szCs w:val="24"/>
        </w:rPr>
        <w:t xml:space="preserve"> and colleagues as the number of different types of gambling a person engages with. As the SOGS variant only measured gambling frequency through increments of increasing amounts of engagement with gambling; to further develop the use of the tool within assessing gambling frequency, researchers should seek to develop a standardised scaling of gambling versatility in addition to gambling frequency. This would allow for greater variance in scoring, as it would be expected that high gambling frequency and high gambling versatility would develop into greater gambling disorder, which could be interpreted to greater risk-taking behaviour.</w:t>
      </w:r>
    </w:p>
    <w:p w14:paraId="678A4232" w14:textId="1DC68C93" w:rsidR="00135968" w:rsidRDefault="00135968">
      <w:pPr>
        <w:rPr>
          <w:rFonts w:ascii="Times New Roman" w:hAnsi="Times New Roman" w:cs="Times New Roman"/>
          <w:sz w:val="24"/>
          <w:szCs w:val="24"/>
        </w:rPr>
      </w:pPr>
    </w:p>
    <w:p w14:paraId="7AE014C7" w14:textId="7644952F" w:rsidR="00C67CE8" w:rsidRDefault="00C67CE8">
      <w:pPr>
        <w:rPr>
          <w:rFonts w:ascii="Times New Roman" w:hAnsi="Times New Roman" w:cs="Times New Roman"/>
          <w:sz w:val="24"/>
          <w:szCs w:val="24"/>
        </w:rPr>
      </w:pPr>
      <w:r>
        <w:rPr>
          <w:rFonts w:ascii="Times New Roman" w:hAnsi="Times New Roman" w:cs="Times New Roman"/>
          <w:sz w:val="24"/>
          <w:szCs w:val="24"/>
        </w:rPr>
        <w:t>Inconsistent/Consistent with previous research, risk-taking behaviour</w:t>
      </w:r>
      <w:r w:rsidR="00AF7528">
        <w:rPr>
          <w:rFonts w:ascii="Times New Roman" w:hAnsi="Times New Roman" w:cs="Times New Roman"/>
          <w:sz w:val="24"/>
          <w:szCs w:val="24"/>
        </w:rPr>
        <w:t xml:space="preserve"> in the current study</w:t>
      </w:r>
      <w:bookmarkStart w:id="0" w:name="_GoBack"/>
      <w:bookmarkEnd w:id="0"/>
      <w:r>
        <w:rPr>
          <w:rFonts w:ascii="Times New Roman" w:hAnsi="Times New Roman" w:cs="Times New Roman"/>
          <w:sz w:val="24"/>
          <w:szCs w:val="24"/>
        </w:rPr>
        <w:t xml:space="preserve"> has been shown to be more prevalent in adolescents in contrast to adults</w:t>
      </w:r>
      <w:r w:rsidR="00DC3888">
        <w:rPr>
          <w:rFonts w:ascii="Times New Roman" w:hAnsi="Times New Roman" w:cs="Times New Roman"/>
          <w:sz w:val="24"/>
          <w:szCs w:val="24"/>
        </w:rPr>
        <w:t xml:space="preserve"> (Defoe, </w:t>
      </w:r>
      <w:proofErr w:type="spellStart"/>
      <w:r w:rsidR="00DC3888">
        <w:rPr>
          <w:rFonts w:ascii="Times New Roman" w:hAnsi="Times New Roman" w:cs="Times New Roman"/>
          <w:sz w:val="24"/>
          <w:szCs w:val="24"/>
        </w:rPr>
        <w:t>Dubas</w:t>
      </w:r>
      <w:proofErr w:type="spellEnd"/>
      <w:r w:rsidR="00DC3888">
        <w:rPr>
          <w:rFonts w:ascii="Times New Roman" w:hAnsi="Times New Roman" w:cs="Times New Roman"/>
          <w:sz w:val="24"/>
          <w:szCs w:val="24"/>
        </w:rPr>
        <w:t xml:space="preserve">, </w:t>
      </w:r>
      <w:proofErr w:type="spellStart"/>
      <w:r w:rsidR="00DC3888">
        <w:rPr>
          <w:rFonts w:ascii="Times New Roman" w:hAnsi="Times New Roman" w:cs="Times New Roman"/>
          <w:sz w:val="24"/>
          <w:szCs w:val="24"/>
        </w:rPr>
        <w:t>Figner</w:t>
      </w:r>
      <w:proofErr w:type="spellEnd"/>
      <w:r w:rsidR="00DC3888">
        <w:rPr>
          <w:rFonts w:ascii="Times New Roman" w:hAnsi="Times New Roman" w:cs="Times New Roman"/>
          <w:sz w:val="24"/>
          <w:szCs w:val="24"/>
        </w:rPr>
        <w:t xml:space="preserve"> &amp; van </w:t>
      </w:r>
      <w:proofErr w:type="spellStart"/>
      <w:r w:rsidR="00DC3888">
        <w:rPr>
          <w:rFonts w:ascii="Times New Roman" w:hAnsi="Times New Roman" w:cs="Times New Roman"/>
          <w:sz w:val="24"/>
          <w:szCs w:val="24"/>
        </w:rPr>
        <w:t>Aken</w:t>
      </w:r>
      <w:proofErr w:type="spellEnd"/>
      <w:r w:rsidR="00DC3888">
        <w:rPr>
          <w:rFonts w:ascii="Times New Roman" w:hAnsi="Times New Roman" w:cs="Times New Roman"/>
          <w:sz w:val="24"/>
          <w:szCs w:val="24"/>
        </w:rPr>
        <w:t>, 2015)</w:t>
      </w:r>
      <w:r>
        <w:rPr>
          <w:rFonts w:ascii="Times New Roman" w:hAnsi="Times New Roman" w:cs="Times New Roman"/>
          <w:sz w:val="24"/>
          <w:szCs w:val="24"/>
        </w:rPr>
        <w:t xml:space="preserve">. </w:t>
      </w:r>
      <w:r w:rsidR="00A3206B">
        <w:rPr>
          <w:rFonts w:ascii="Times New Roman" w:hAnsi="Times New Roman" w:cs="Times New Roman"/>
          <w:sz w:val="24"/>
          <w:szCs w:val="24"/>
        </w:rPr>
        <w:t>The current study supports/contrasts this study, as male adolescents were found to be more/less likely to engage in risk taking behaviour.</w:t>
      </w:r>
    </w:p>
    <w:p w14:paraId="79831C26" w14:textId="1ABDC851" w:rsidR="00A3206B" w:rsidRPr="00404DDC" w:rsidRDefault="00A3206B">
      <w:pPr>
        <w:rPr>
          <w:rFonts w:ascii="Times New Roman" w:hAnsi="Times New Roman" w:cs="Times New Roman"/>
          <w:sz w:val="24"/>
          <w:szCs w:val="24"/>
        </w:rPr>
      </w:pPr>
      <w:r>
        <w:rPr>
          <w:rFonts w:ascii="Times New Roman" w:hAnsi="Times New Roman" w:cs="Times New Roman"/>
          <w:sz w:val="24"/>
          <w:szCs w:val="24"/>
        </w:rPr>
        <w:t>Gender was additionally found to be a significant/non-significant factor within this study. Spritzers and colleagues research supported/challenges the current study</w:t>
      </w:r>
    </w:p>
    <w:p w14:paraId="438EB634" w14:textId="612CAFF7" w:rsidR="00813975" w:rsidRPr="00404DDC" w:rsidRDefault="00813975">
      <w:pPr>
        <w:rPr>
          <w:rFonts w:ascii="Times New Roman" w:hAnsi="Times New Roman" w:cs="Times New Roman"/>
          <w:sz w:val="24"/>
          <w:szCs w:val="24"/>
        </w:rPr>
      </w:pPr>
      <w:r w:rsidRPr="00404DDC">
        <w:rPr>
          <w:rFonts w:ascii="Times New Roman" w:hAnsi="Times New Roman" w:cs="Times New Roman"/>
          <w:sz w:val="24"/>
          <w:szCs w:val="24"/>
        </w:rPr>
        <w:t>There were several limitations to the current study.</w:t>
      </w:r>
    </w:p>
    <w:p w14:paraId="0A677153" w14:textId="4E99693A" w:rsidR="00813975" w:rsidRPr="00404DDC" w:rsidRDefault="00813975">
      <w:pPr>
        <w:rPr>
          <w:rFonts w:ascii="Times New Roman" w:hAnsi="Times New Roman" w:cs="Times New Roman"/>
          <w:sz w:val="24"/>
          <w:szCs w:val="24"/>
        </w:rPr>
      </w:pPr>
      <w:r w:rsidRPr="00404DDC">
        <w:rPr>
          <w:rFonts w:ascii="Times New Roman" w:hAnsi="Times New Roman" w:cs="Times New Roman"/>
          <w:sz w:val="24"/>
          <w:szCs w:val="24"/>
        </w:rPr>
        <w:t>Implications of this research could indicate</w:t>
      </w:r>
    </w:p>
    <w:p w14:paraId="6E66A5CB" w14:textId="382385D9" w:rsidR="00813975" w:rsidRPr="00404DDC" w:rsidRDefault="00813975">
      <w:pPr>
        <w:rPr>
          <w:rFonts w:ascii="Times New Roman" w:hAnsi="Times New Roman" w:cs="Times New Roman"/>
          <w:sz w:val="24"/>
          <w:szCs w:val="24"/>
        </w:rPr>
      </w:pPr>
      <w:r w:rsidRPr="00404DDC">
        <w:rPr>
          <w:rFonts w:ascii="Times New Roman" w:hAnsi="Times New Roman" w:cs="Times New Roman"/>
          <w:sz w:val="24"/>
          <w:szCs w:val="24"/>
        </w:rPr>
        <w:t>Future research should aim to</w:t>
      </w:r>
    </w:p>
    <w:p w14:paraId="45D2A375" w14:textId="09AD4CCC" w:rsidR="00813975" w:rsidRPr="00404DDC" w:rsidRDefault="00813975">
      <w:pPr>
        <w:rPr>
          <w:rFonts w:ascii="Times New Roman" w:hAnsi="Times New Roman" w:cs="Times New Roman"/>
          <w:sz w:val="24"/>
          <w:szCs w:val="24"/>
        </w:rPr>
      </w:pPr>
      <w:r w:rsidRPr="00404DDC">
        <w:rPr>
          <w:rFonts w:ascii="Times New Roman" w:hAnsi="Times New Roman" w:cs="Times New Roman"/>
          <w:sz w:val="24"/>
          <w:szCs w:val="24"/>
        </w:rPr>
        <w:t>In conclusion.</w:t>
      </w:r>
    </w:p>
    <w:sectPr w:rsidR="00813975" w:rsidRPr="00404D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178573" w14:textId="77777777" w:rsidR="00912C6A" w:rsidRDefault="00912C6A" w:rsidP="00912C6A">
      <w:pPr>
        <w:spacing w:after="0" w:line="240" w:lineRule="auto"/>
      </w:pPr>
      <w:r>
        <w:separator/>
      </w:r>
    </w:p>
  </w:endnote>
  <w:endnote w:type="continuationSeparator" w:id="0">
    <w:p w14:paraId="7AADAE45" w14:textId="77777777" w:rsidR="00912C6A" w:rsidRDefault="00912C6A" w:rsidP="00912C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476D5F" w14:textId="77777777" w:rsidR="00912C6A" w:rsidRDefault="00912C6A" w:rsidP="00912C6A">
      <w:pPr>
        <w:spacing w:after="0" w:line="240" w:lineRule="auto"/>
      </w:pPr>
      <w:r>
        <w:separator/>
      </w:r>
    </w:p>
  </w:footnote>
  <w:footnote w:type="continuationSeparator" w:id="0">
    <w:p w14:paraId="5DE1E8B0" w14:textId="77777777" w:rsidR="00912C6A" w:rsidRDefault="00912C6A" w:rsidP="00912C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968"/>
    <w:rsid w:val="00090721"/>
    <w:rsid w:val="00135968"/>
    <w:rsid w:val="002536CD"/>
    <w:rsid w:val="00267136"/>
    <w:rsid w:val="00404DDC"/>
    <w:rsid w:val="005B234B"/>
    <w:rsid w:val="00733D81"/>
    <w:rsid w:val="007D3A63"/>
    <w:rsid w:val="00813975"/>
    <w:rsid w:val="00906C8E"/>
    <w:rsid w:val="00912C6A"/>
    <w:rsid w:val="00931EF7"/>
    <w:rsid w:val="00977B80"/>
    <w:rsid w:val="009A7D39"/>
    <w:rsid w:val="00A3206B"/>
    <w:rsid w:val="00A96125"/>
    <w:rsid w:val="00AF7528"/>
    <w:rsid w:val="00B33B74"/>
    <w:rsid w:val="00BC5418"/>
    <w:rsid w:val="00C327BD"/>
    <w:rsid w:val="00C56805"/>
    <w:rsid w:val="00C67CE8"/>
    <w:rsid w:val="00D1141E"/>
    <w:rsid w:val="00DB3E6E"/>
    <w:rsid w:val="00DC3888"/>
    <w:rsid w:val="00F41A2D"/>
    <w:rsid w:val="00F76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8E756"/>
  <w15:chartTrackingRefBased/>
  <w15:docId w15:val="{71058285-48FD-4415-9B08-DB6A03654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2C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C6A"/>
  </w:style>
  <w:style w:type="paragraph" w:styleId="Footer">
    <w:name w:val="footer"/>
    <w:basedOn w:val="Normal"/>
    <w:link w:val="FooterChar"/>
    <w:uiPriority w:val="99"/>
    <w:unhideWhenUsed/>
    <w:rsid w:val="00912C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C6A"/>
  </w:style>
  <w:style w:type="paragraph" w:styleId="NormalWeb">
    <w:name w:val="Normal (Web)"/>
    <w:basedOn w:val="Normal"/>
    <w:uiPriority w:val="99"/>
    <w:semiHidden/>
    <w:unhideWhenUsed/>
    <w:rsid w:val="00D114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D114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3938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2041</TotalTime>
  <Pages>2</Pages>
  <Words>1014</Words>
  <Characters>5781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Jones</dc:creator>
  <cp:keywords/>
  <dc:description/>
  <cp:lastModifiedBy>Laurence Jones</cp:lastModifiedBy>
  <cp:revision>6</cp:revision>
  <dcterms:created xsi:type="dcterms:W3CDTF">2020-03-03T12:43:00Z</dcterms:created>
  <dcterms:modified xsi:type="dcterms:W3CDTF">2020-03-05T14:33:00Z</dcterms:modified>
</cp:coreProperties>
</file>