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893BF" w14:textId="44E91053" w:rsidR="007B574C" w:rsidRPr="00E97BB5" w:rsidRDefault="007B574C" w:rsidP="005D68CF">
      <w:pPr>
        <w:pStyle w:val="Title"/>
        <w:spacing w:line="276" w:lineRule="auto"/>
        <w:ind w:firstLine="397"/>
        <w:rPr>
          <w:rFonts w:ascii="Times New Roman" w:hAnsi="Times New Roman" w:cs="Times New Roman"/>
          <w:sz w:val="24"/>
          <w:szCs w:val="24"/>
        </w:rPr>
      </w:pPr>
      <w:r w:rsidRPr="00E97BB5">
        <w:rPr>
          <w:rFonts w:ascii="Times New Roman" w:hAnsi="Times New Roman" w:cs="Times New Roman"/>
          <w:sz w:val="24"/>
          <w:szCs w:val="24"/>
        </w:rPr>
        <w:t>Ana Tanase</w:t>
      </w:r>
    </w:p>
    <w:p w14:paraId="4F3CBFFF" w14:textId="244D3650" w:rsidR="007B574C" w:rsidRPr="00E97BB5" w:rsidRDefault="007B574C" w:rsidP="005D68CF">
      <w:pPr>
        <w:ind w:firstLine="397"/>
        <w:rPr>
          <w:rFonts w:ascii="Times New Roman" w:hAnsi="Times New Roman" w:cs="Times New Roman"/>
        </w:rPr>
      </w:pPr>
      <w:r w:rsidRPr="00E97BB5">
        <w:rPr>
          <w:rFonts w:ascii="Times New Roman" w:hAnsi="Times New Roman" w:cs="Times New Roman"/>
        </w:rPr>
        <w:t>Student number:1917778</w:t>
      </w:r>
    </w:p>
    <w:p w14:paraId="6F8B15C5" w14:textId="33DC17C4" w:rsidR="008078DF" w:rsidRPr="00E97BB5" w:rsidRDefault="008078DF" w:rsidP="005D68CF">
      <w:pPr>
        <w:pStyle w:val="Title"/>
        <w:spacing w:line="360" w:lineRule="auto"/>
        <w:ind w:firstLine="397"/>
        <w:jc w:val="center"/>
        <w:rPr>
          <w:rFonts w:ascii="Times New Roman" w:hAnsi="Times New Roman" w:cs="Times New Roman"/>
          <w:color w:val="000000" w:themeColor="text1"/>
          <w:sz w:val="24"/>
          <w:szCs w:val="24"/>
        </w:rPr>
      </w:pPr>
      <w:r w:rsidRPr="00E97BB5">
        <w:rPr>
          <w:rFonts w:ascii="Times New Roman" w:hAnsi="Times New Roman" w:cs="Times New Roman"/>
          <w:color w:val="000000" w:themeColor="text1"/>
          <w:sz w:val="24"/>
          <w:szCs w:val="24"/>
        </w:rPr>
        <w:t>Debate: For the Motion</w:t>
      </w:r>
    </w:p>
    <w:p w14:paraId="45CF233F" w14:textId="77777777" w:rsidR="008078DF" w:rsidRPr="00E97BB5" w:rsidRDefault="008078DF" w:rsidP="005D68CF">
      <w:pPr>
        <w:pStyle w:val="Subtitle"/>
        <w:spacing w:line="360" w:lineRule="auto"/>
        <w:ind w:firstLine="397"/>
        <w:jc w:val="center"/>
        <w:rPr>
          <w:rFonts w:ascii="Times New Roman" w:hAnsi="Times New Roman" w:cs="Times New Roman"/>
          <w:b/>
          <w:bCs/>
          <w:color w:val="000000" w:themeColor="text1"/>
          <w:sz w:val="24"/>
          <w:szCs w:val="24"/>
        </w:rPr>
      </w:pPr>
      <w:r w:rsidRPr="00E97BB5">
        <w:rPr>
          <w:rFonts w:ascii="Times New Roman" w:hAnsi="Times New Roman" w:cs="Times New Roman"/>
          <w:b/>
          <w:bCs/>
          <w:color w:val="000000" w:themeColor="text1"/>
          <w:sz w:val="24"/>
          <w:szCs w:val="24"/>
        </w:rPr>
        <w:t>Motion: "Emergent Technologies Are More Detrimental Than Beneficial to the Skillset, Mindset, and Social Interactions of Children and Young People."</w:t>
      </w:r>
    </w:p>
    <w:p w14:paraId="36880B51" w14:textId="77777777" w:rsidR="008078DF" w:rsidRPr="00E97BB5" w:rsidRDefault="008078DF" w:rsidP="005D68CF">
      <w:pPr>
        <w:pStyle w:val="Heading1"/>
        <w:spacing w:line="360" w:lineRule="auto"/>
        <w:ind w:firstLine="397"/>
        <w:jc w:val="both"/>
        <w:rPr>
          <w:rFonts w:ascii="Times New Roman" w:hAnsi="Times New Roman" w:cs="Times New Roman"/>
          <w:b/>
          <w:bCs/>
          <w:color w:val="000000" w:themeColor="text1"/>
          <w:sz w:val="24"/>
          <w:szCs w:val="24"/>
        </w:rPr>
      </w:pPr>
      <w:r w:rsidRPr="00E97BB5">
        <w:rPr>
          <w:rFonts w:ascii="Times New Roman" w:hAnsi="Times New Roman" w:cs="Times New Roman"/>
          <w:b/>
          <w:bCs/>
          <w:color w:val="000000" w:themeColor="text1"/>
          <w:sz w:val="24"/>
          <w:szCs w:val="24"/>
        </w:rPr>
        <w:t>Introduction (approximately 2 minutes)</w:t>
      </w:r>
    </w:p>
    <w:p w14:paraId="1C26FDB1" w14:textId="717FE0AB" w:rsidR="008078DF" w:rsidRPr="00E97BB5" w:rsidRDefault="008078DF" w:rsidP="005D68CF">
      <w:pPr>
        <w:pStyle w:val="NormalWeb"/>
        <w:spacing w:line="360" w:lineRule="auto"/>
        <w:ind w:firstLine="397"/>
        <w:jc w:val="both"/>
        <w:rPr>
          <w:color w:val="000000" w:themeColor="text1"/>
        </w:rPr>
      </w:pPr>
      <w:r w:rsidRPr="00E97BB5">
        <w:rPr>
          <w:color w:val="000000" w:themeColor="text1"/>
        </w:rPr>
        <w:t xml:space="preserve">      Good morning Chair, colleagues and audience. My name is Ana, and I am speaking in support of the motion that emergent technologies are more detrimental than beneficial to the skill set, mindset, social interactions, and overall well</w:t>
      </w:r>
      <w:r w:rsidR="00F4013A" w:rsidRPr="00E97BB5">
        <w:rPr>
          <w:color w:val="000000" w:themeColor="text1"/>
        </w:rPr>
        <w:t>-</w:t>
      </w:r>
      <w:r w:rsidRPr="00E97BB5">
        <w:rPr>
          <w:color w:val="000000" w:themeColor="text1"/>
        </w:rPr>
        <w:t>being of children and young people.</w:t>
      </w:r>
    </w:p>
    <w:p w14:paraId="1EDF2BEC" w14:textId="14B27412" w:rsidR="008078DF" w:rsidRPr="00E97BB5" w:rsidRDefault="008078DF" w:rsidP="005D68CF">
      <w:pPr>
        <w:pStyle w:val="NormalWeb"/>
        <w:spacing w:line="360" w:lineRule="auto"/>
        <w:ind w:firstLine="397"/>
        <w:jc w:val="both"/>
        <w:rPr>
          <w:color w:val="000000" w:themeColor="text1"/>
        </w:rPr>
      </w:pPr>
      <w:r w:rsidRPr="00E97BB5">
        <w:rPr>
          <w:color w:val="000000" w:themeColor="text1"/>
        </w:rPr>
        <w:t xml:space="preserve">     In education, emergent technologies are evolving digital tools used for teaching, learning, and communication (Veletsianos, 2016), such as smartphones, social media, game-based platforms, and generative artificial intelligence (AI). These technologies are characterised by uncertainty, change and disruption within educational settings (Veletsianos, 2016) and increasingly shape learning environments and classroom practice (Martin, Dennen and Bonk, 2020). Bronfenbrenner's </w:t>
      </w:r>
      <w:r w:rsidR="00341FFA">
        <w:rPr>
          <w:color w:val="000000" w:themeColor="text1"/>
        </w:rPr>
        <w:t>E</w:t>
      </w:r>
      <w:r w:rsidRPr="00E97BB5">
        <w:rPr>
          <w:color w:val="000000" w:themeColor="text1"/>
        </w:rPr>
        <w:t xml:space="preserve">cological </w:t>
      </w:r>
      <w:r w:rsidR="00341FFA">
        <w:rPr>
          <w:color w:val="000000" w:themeColor="text1"/>
        </w:rPr>
        <w:t>System</w:t>
      </w:r>
      <w:r w:rsidR="00E217B5">
        <w:rPr>
          <w:color w:val="000000" w:themeColor="text1"/>
        </w:rPr>
        <w:t>s</w:t>
      </w:r>
      <w:r w:rsidR="00341FFA">
        <w:rPr>
          <w:color w:val="000000" w:themeColor="text1"/>
        </w:rPr>
        <w:t xml:space="preserve"> </w:t>
      </w:r>
      <w:r w:rsidRPr="00E97BB5">
        <w:rPr>
          <w:color w:val="000000" w:themeColor="text1"/>
        </w:rPr>
        <w:t>theory emphasises that children's development is influenced by multiple environments, including family and school (El Zaatari and Maalouf, 2022). As emergent technologies become integral to children's lives, Navarro and Tudge (2022) suggest updating this theory to a "neo-ecological theory" that considers both physical and digital interactions. This framework includes the microsystem (home, school, online), mesosystem (connections between spaces), exosystem (policies), macrosystem (cultural norms), and chronosystem (the accumulation of digital influences over time)</w:t>
      </w:r>
      <w:r w:rsidR="00E217B5">
        <w:rPr>
          <w:color w:val="000000" w:themeColor="text1"/>
        </w:rPr>
        <w:t>,</w:t>
      </w:r>
      <w:r w:rsidRPr="00E97BB5">
        <w:rPr>
          <w:color w:val="000000" w:themeColor="text1"/>
        </w:rPr>
        <w:t xml:space="preserve"> which captures how digital influences accumulate over time to shape children's learning, behaviour, social, health and well</w:t>
      </w:r>
      <w:r w:rsidR="00F4013A" w:rsidRPr="00E97BB5">
        <w:rPr>
          <w:color w:val="000000" w:themeColor="text1"/>
        </w:rPr>
        <w:t>-</w:t>
      </w:r>
      <w:r w:rsidRPr="00E97BB5">
        <w:rPr>
          <w:color w:val="000000" w:themeColor="text1"/>
        </w:rPr>
        <w:t xml:space="preserve">being (Navarro and Tudge, 2022). </w:t>
      </w:r>
    </w:p>
    <w:p w14:paraId="72A4AE2F" w14:textId="1A66CC90" w:rsidR="008078DF" w:rsidRPr="00E97BB5" w:rsidRDefault="00E217B5" w:rsidP="005D68CF">
      <w:pPr>
        <w:pStyle w:val="NormalWeb"/>
        <w:spacing w:line="360" w:lineRule="auto"/>
        <w:ind w:firstLine="397"/>
        <w:jc w:val="both"/>
        <w:rPr>
          <w:color w:val="000000" w:themeColor="text1"/>
        </w:rPr>
      </w:pPr>
      <w:r>
        <w:rPr>
          <w:color w:val="000000" w:themeColor="text1"/>
        </w:rPr>
        <w:t xml:space="preserve">     </w:t>
      </w:r>
      <w:r w:rsidR="008078DF" w:rsidRPr="00E97BB5">
        <w:rPr>
          <w:color w:val="000000" w:themeColor="text1"/>
        </w:rPr>
        <w:t>My argument is that, although emergent technologies can support learning and communication, their overall impact is more often harmful than beneficial, particularly when attention, behaviour, safeguarding, and well</w:t>
      </w:r>
      <w:r w:rsidR="00F4013A" w:rsidRPr="00E97BB5">
        <w:rPr>
          <w:color w:val="000000" w:themeColor="text1"/>
        </w:rPr>
        <w:t>-</w:t>
      </w:r>
      <w:r w:rsidR="008078DF" w:rsidRPr="00E97BB5">
        <w:rPr>
          <w:color w:val="000000" w:themeColor="text1"/>
        </w:rPr>
        <w:t>being are considered.</w:t>
      </w:r>
    </w:p>
    <w:p w14:paraId="32BB3CC8" w14:textId="77777777" w:rsidR="008078DF" w:rsidRPr="00B91B1B" w:rsidRDefault="008078DF" w:rsidP="005D68CF">
      <w:pPr>
        <w:pStyle w:val="Heading1"/>
        <w:spacing w:line="360" w:lineRule="auto"/>
        <w:ind w:firstLine="397"/>
        <w:jc w:val="both"/>
        <w:rPr>
          <w:rFonts w:ascii="Times New Roman" w:hAnsi="Times New Roman" w:cs="Times New Roman"/>
          <w:b/>
          <w:bCs/>
          <w:color w:val="000000" w:themeColor="text1"/>
          <w:sz w:val="24"/>
          <w:szCs w:val="24"/>
        </w:rPr>
      </w:pPr>
      <w:r w:rsidRPr="00B91B1B">
        <w:rPr>
          <w:rFonts w:ascii="Times New Roman" w:hAnsi="Times New Roman" w:cs="Times New Roman"/>
          <w:b/>
          <w:bCs/>
          <w:color w:val="000000" w:themeColor="text1"/>
          <w:sz w:val="24"/>
          <w:szCs w:val="24"/>
        </w:rPr>
        <w:lastRenderedPageBreak/>
        <w:t>Round 1: Opening statement (approximately 4 minutes)</w:t>
      </w:r>
    </w:p>
    <w:p w14:paraId="54179A4C" w14:textId="505B0789" w:rsidR="008078DF" w:rsidRPr="00E97BB5" w:rsidRDefault="008078DF" w:rsidP="005D68CF">
      <w:pPr>
        <w:pStyle w:val="NormalWeb"/>
        <w:spacing w:line="360" w:lineRule="auto"/>
        <w:ind w:firstLine="397"/>
        <w:jc w:val="both"/>
        <w:rPr>
          <w:i/>
          <w:iCs/>
          <w:color w:val="000000" w:themeColor="text1"/>
        </w:rPr>
      </w:pPr>
      <w:r w:rsidRPr="00E97BB5">
        <w:rPr>
          <w:i/>
          <w:iCs/>
          <w:color w:val="000000" w:themeColor="text1"/>
        </w:rPr>
        <w:t>I will present four evidence-based arguments: emerging technologies diminish fundamental skill sets, disrupt mindset and emotional control, negatively affect social interactions and safeguarding, and adversely impact health and overall well</w:t>
      </w:r>
      <w:r w:rsidR="00F4013A" w:rsidRPr="00E97BB5">
        <w:rPr>
          <w:i/>
          <w:iCs/>
          <w:color w:val="000000" w:themeColor="text1"/>
        </w:rPr>
        <w:t>-</w:t>
      </w:r>
      <w:r w:rsidRPr="00E97BB5">
        <w:rPr>
          <w:i/>
          <w:iCs/>
          <w:color w:val="000000" w:themeColor="text1"/>
        </w:rPr>
        <w:t>being.</w:t>
      </w:r>
    </w:p>
    <w:p w14:paraId="4A61BFE0" w14:textId="63FD41FA" w:rsidR="00BD5C16" w:rsidRPr="00E97BB5" w:rsidRDefault="008078DF" w:rsidP="005D68CF">
      <w:pPr>
        <w:pStyle w:val="NormalWeb"/>
        <w:numPr>
          <w:ilvl w:val="0"/>
          <w:numId w:val="6"/>
        </w:numPr>
        <w:spacing w:line="360" w:lineRule="auto"/>
        <w:ind w:firstLine="397"/>
        <w:jc w:val="both"/>
        <w:rPr>
          <w:color w:val="000000" w:themeColor="text1"/>
        </w:rPr>
      </w:pPr>
      <w:r w:rsidRPr="00E97BB5">
        <w:rPr>
          <w:b/>
          <w:bCs/>
          <w:color w:val="000000" w:themeColor="text1"/>
        </w:rPr>
        <w:t>Damage to Skill Sets (Attention, Self-Regulation, and Learning):</w:t>
      </w:r>
      <w:r w:rsidRPr="00E97BB5">
        <w:rPr>
          <w:color w:val="000000" w:themeColor="text1"/>
        </w:rPr>
        <w:t xml:space="preserve"> </w:t>
      </w:r>
      <w:r w:rsidR="00BD5C16" w:rsidRPr="00E97BB5">
        <w:rPr>
          <w:color w:val="000000" w:themeColor="text1"/>
        </w:rPr>
        <w:t>Emergent technologies may improve basic digital familiarity, but that is not the same as developing the deeper skills education and employment require, such as sustained attention, self-regulation, critical thinking and task persistence</w:t>
      </w:r>
      <w:r w:rsidR="003D17DA" w:rsidRPr="00E97BB5">
        <w:rPr>
          <w:color w:val="000000" w:themeColor="text1"/>
        </w:rPr>
        <w:t xml:space="preserve">. In England, 58% of secondary pupils—65% of Key Stage 4 pupils—reported </w:t>
      </w:r>
      <w:r w:rsidR="00AD38F2" w:rsidRPr="00E97BB5">
        <w:rPr>
          <w:color w:val="000000" w:themeColor="text1"/>
        </w:rPr>
        <w:t>unauthorised</w:t>
      </w:r>
      <w:r w:rsidR="003D17DA" w:rsidRPr="00E97BB5">
        <w:rPr>
          <w:color w:val="000000" w:themeColor="text1"/>
        </w:rPr>
        <w:t xml:space="preserve"> phone use in lessons, </w:t>
      </w:r>
      <w:r w:rsidR="00AD38F2" w:rsidRPr="00E97BB5">
        <w:rPr>
          <w:color w:val="000000" w:themeColor="text1"/>
        </w:rPr>
        <w:t>which they linked</w:t>
      </w:r>
      <w:r w:rsidR="003D17DA" w:rsidRPr="00E97BB5">
        <w:rPr>
          <w:color w:val="000000" w:themeColor="text1"/>
        </w:rPr>
        <w:t xml:space="preserve"> to loss of focus, disruption, and bullying. Students aged 11 to 18 spend about one-third of the school day on smartphones, which are associated with poorer cognitive control. </w:t>
      </w:r>
      <w:r w:rsidR="00D92BD2">
        <w:rPr>
          <w:color w:val="000000" w:themeColor="text1"/>
        </w:rPr>
        <w:t>The pervasive restrictions on mobile phone usage in educational settings are evident, with 90% of secondary schools and an overwhelming 99.8% of primary schools implementing such policies. This trend underscores the prevailing consensus that unregulated digital exposure is perceived as a significant obstacle to effective learning (Department for Education, 2026).</w:t>
      </w:r>
      <w:r w:rsidR="00BD5C16" w:rsidRPr="00E97BB5">
        <w:rPr>
          <w:color w:val="000000" w:themeColor="text1"/>
        </w:rPr>
        <w:t xml:space="preserve"> </w:t>
      </w:r>
      <w:r w:rsidR="00AD38F2" w:rsidRPr="00E97BB5">
        <w:rPr>
          <w:color w:val="000000" w:themeColor="text1"/>
        </w:rPr>
        <w:t>Research suggests that routine exposure to digital media, particularly social media, poses developmental risks (Teague et al., 2026) by correlating frequent smartphone use with lower cognitive control, which is essential for concentration and task persistence (Telzer and Burnell, 2026, and may worsen ADHD symptoms, ultimately undermining support for learning (Thorell et al., 2024).</w:t>
      </w:r>
      <w:r w:rsidR="00666A0D" w:rsidRPr="00E97BB5">
        <w:rPr>
          <w:color w:val="000000" w:themeColor="text1"/>
        </w:rPr>
        <w:t xml:space="preserve"> </w:t>
      </w:r>
      <w:r w:rsidR="009C7F3E">
        <w:rPr>
          <w:color w:val="000000" w:themeColor="text1"/>
        </w:rPr>
        <w:t>While emerging technologies possess the potential to augment foundational digital literacy, imposing rigid boundaries may compromise the cognitive and behavioral underpinnings that are crucial for authentic learning experiences and the enhancement of future employment opportunities.</w:t>
      </w:r>
    </w:p>
    <w:p w14:paraId="68BD97B6" w14:textId="4F3CFA3F" w:rsidR="008078DF" w:rsidRPr="00E97BB5" w:rsidRDefault="008078DF" w:rsidP="005D68CF">
      <w:pPr>
        <w:pStyle w:val="NormalWeb"/>
        <w:numPr>
          <w:ilvl w:val="0"/>
          <w:numId w:val="6"/>
        </w:numPr>
        <w:spacing w:line="360" w:lineRule="auto"/>
        <w:ind w:firstLine="397"/>
        <w:jc w:val="both"/>
        <w:rPr>
          <w:color w:val="000000" w:themeColor="text1"/>
        </w:rPr>
      </w:pPr>
      <w:r w:rsidRPr="00E97BB5">
        <w:rPr>
          <w:b/>
          <w:bCs/>
          <w:color w:val="000000" w:themeColor="text1"/>
        </w:rPr>
        <w:t>Negative Impact on Mindset (Anxiety, Compulsion, and Emotional Strain):</w:t>
      </w:r>
      <w:r w:rsidRPr="00E97BB5">
        <w:rPr>
          <w:color w:val="000000" w:themeColor="text1"/>
        </w:rPr>
        <w:t xml:space="preserve"> Although emergent technologies may facilitate self-expression</w:t>
      </w:r>
      <w:r w:rsidR="00192588" w:rsidRPr="00E97BB5">
        <w:rPr>
          <w:color w:val="000000" w:themeColor="text1"/>
        </w:rPr>
        <w:t xml:space="preserve"> and confidence</w:t>
      </w:r>
      <w:r w:rsidRPr="00E97BB5">
        <w:rPr>
          <w:color w:val="000000" w:themeColor="text1"/>
        </w:rPr>
        <w:t>, excessive or compulsive use can lead to significant psychological challenges. Increased screen time in adolescents is linked to mental health issues, particularly with social media negatively impacting well</w:t>
      </w:r>
      <w:r w:rsidR="00F4013A" w:rsidRPr="00E97BB5">
        <w:rPr>
          <w:color w:val="000000" w:themeColor="text1"/>
        </w:rPr>
        <w:t>-</w:t>
      </w:r>
      <w:r w:rsidRPr="00E97BB5">
        <w:rPr>
          <w:color w:val="000000" w:themeColor="text1"/>
        </w:rPr>
        <w:t xml:space="preserve">being (Santos et al., 2023). Problematic social media use has been associated with higher levels of depression, anxiety, and stress in young people, with the most harmful effects arising from compulsive engagement and loss of control (Shannon et al., 2022). Studies indicate that the greatest harms stem not from </w:t>
      </w:r>
      <w:r w:rsidRPr="00E97BB5">
        <w:rPr>
          <w:color w:val="000000" w:themeColor="text1"/>
        </w:rPr>
        <w:lastRenderedPageBreak/>
        <w:t>all usage but from dysregulated behaviours, suggesting that platform designs may encourage damaging practices (Sala, Porcaro, and Gómez, 2024).</w:t>
      </w:r>
    </w:p>
    <w:p w14:paraId="4C7200BA" w14:textId="621B2979" w:rsidR="008078DF" w:rsidRPr="00E97BB5" w:rsidRDefault="008078DF" w:rsidP="005D68CF">
      <w:pPr>
        <w:pStyle w:val="NormalWeb"/>
        <w:numPr>
          <w:ilvl w:val="0"/>
          <w:numId w:val="6"/>
        </w:numPr>
        <w:spacing w:line="360" w:lineRule="auto"/>
        <w:ind w:firstLine="397"/>
        <w:jc w:val="both"/>
        <w:rPr>
          <w:color w:val="000000" w:themeColor="text1"/>
        </w:rPr>
      </w:pPr>
      <w:r w:rsidRPr="00E97BB5">
        <w:rPr>
          <w:b/>
          <w:bCs/>
          <w:color w:val="000000" w:themeColor="text1"/>
        </w:rPr>
        <w:t xml:space="preserve">Harm to social interactions and safeguarding (dependency, conflict, and online vulnerability): </w:t>
      </w:r>
      <w:r w:rsidRPr="00E97BB5">
        <w:rPr>
          <w:color w:val="000000" w:themeColor="text1"/>
        </w:rPr>
        <w:t xml:space="preserve">Digital connectivity is often seen as socially beneficial; however, increased connection does not guarantee healthier relationships. </w:t>
      </w:r>
      <w:r w:rsidR="006A4DAD" w:rsidRPr="00E97BB5">
        <w:rPr>
          <w:color w:val="000000" w:themeColor="text1"/>
        </w:rPr>
        <w:t xml:space="preserve">Recent data </w:t>
      </w:r>
      <w:r w:rsidR="00010BEC">
        <w:rPr>
          <w:color w:val="000000" w:themeColor="text1"/>
        </w:rPr>
        <w:t>reveal</w:t>
      </w:r>
      <w:r w:rsidR="006A4DAD" w:rsidRPr="00E97BB5">
        <w:rPr>
          <w:color w:val="000000" w:themeColor="text1"/>
        </w:rPr>
        <w:t xml:space="preserve"> that problematic social media use among adolescents in Europe increased from 7% in 2018 to 11% in 2022, with 12% at risk for problematic gaming, raising concerns about dependency and lower mental and social well-being, as problematic users often experience social strain rather than genuine connections (WHO Regional Office for Europe, 2024).</w:t>
      </w:r>
      <w:r w:rsidR="00405680" w:rsidRPr="00E97BB5">
        <w:rPr>
          <w:color w:val="000000" w:themeColor="text1"/>
        </w:rPr>
        <w:t xml:space="preserve"> </w:t>
      </w:r>
      <w:r w:rsidR="00C54AFF" w:rsidRPr="00E97BB5">
        <w:rPr>
          <w:color w:val="000000" w:themeColor="text1"/>
        </w:rPr>
        <w:t xml:space="preserve">In England and Wales, around 847,000 children aged 10 to 15 experienced online bullying in the year ending March 2023, representing 19.1% of this age group, indicating that online harm is a widespread issue (ONS, 2024). The NSPCC </w:t>
      </w:r>
      <w:r w:rsidR="00010BEC">
        <w:rPr>
          <w:color w:val="000000" w:themeColor="text1"/>
        </w:rPr>
        <w:t xml:space="preserve">(2024) </w:t>
      </w:r>
      <w:r w:rsidR="00C54AFF" w:rsidRPr="00E97BB5">
        <w:rPr>
          <w:color w:val="000000" w:themeColor="text1"/>
        </w:rPr>
        <w:t>reported over 7,000 Sexual Communication with a Child offences in 2023/24, an 89% increase since 2017/18, with nearly half occurring on Snapchat</w:t>
      </w:r>
      <w:r w:rsidR="00010BEC">
        <w:rPr>
          <w:color w:val="000000" w:themeColor="text1"/>
        </w:rPr>
        <w:t xml:space="preserve">. </w:t>
      </w:r>
      <w:r w:rsidR="00C54AFF" w:rsidRPr="00E97BB5">
        <w:rPr>
          <w:color w:val="000000" w:themeColor="text1"/>
        </w:rPr>
        <w:t>Moreover, Ofcom</w:t>
      </w:r>
      <w:r w:rsidR="00F94CB9">
        <w:rPr>
          <w:color w:val="000000" w:themeColor="text1"/>
        </w:rPr>
        <w:t xml:space="preserve"> (2022)</w:t>
      </w:r>
      <w:r w:rsidR="00C54AFF" w:rsidRPr="00E97BB5">
        <w:rPr>
          <w:color w:val="000000" w:themeColor="text1"/>
        </w:rPr>
        <w:t xml:space="preserve"> </w:t>
      </w:r>
      <w:r w:rsidR="0099300E">
        <w:rPr>
          <w:color w:val="000000" w:themeColor="text1"/>
        </w:rPr>
        <w:t>contend</w:t>
      </w:r>
      <w:r w:rsidR="00C54AFF" w:rsidRPr="00E97BB5">
        <w:rPr>
          <w:color w:val="000000" w:themeColor="text1"/>
        </w:rPr>
        <w:t xml:space="preserve"> that bullying among children aged 8 to 17 is more likely to happen online than face-to-face, suggesting that digital environments can exacerbate peer harm</w:t>
      </w:r>
      <w:r w:rsidR="00F94CB9">
        <w:rPr>
          <w:color w:val="000000" w:themeColor="text1"/>
        </w:rPr>
        <w:t xml:space="preserve">. </w:t>
      </w:r>
      <w:r w:rsidR="00CF1A06" w:rsidRPr="00E97BB5">
        <w:rPr>
          <w:color w:val="000000" w:themeColor="text1"/>
        </w:rPr>
        <w:t xml:space="preserve">In Wales, the "Keeping Learners Safe" program highlights the importance of education personnel </w:t>
      </w:r>
      <w:r w:rsidR="00405680" w:rsidRPr="00E97BB5">
        <w:rPr>
          <w:color w:val="000000" w:themeColor="text1"/>
        </w:rPr>
        <w:t>recognising</w:t>
      </w:r>
      <w:r w:rsidR="00CF1A06" w:rsidRPr="00E97BB5">
        <w:rPr>
          <w:color w:val="000000" w:themeColor="text1"/>
        </w:rPr>
        <w:t xml:space="preserve"> well</w:t>
      </w:r>
      <w:r w:rsidR="00F4013A" w:rsidRPr="00E97BB5">
        <w:rPr>
          <w:color w:val="000000" w:themeColor="text1"/>
        </w:rPr>
        <w:t>-</w:t>
      </w:r>
      <w:r w:rsidR="00CF1A06" w:rsidRPr="00E97BB5">
        <w:rPr>
          <w:color w:val="000000" w:themeColor="text1"/>
        </w:rPr>
        <w:t xml:space="preserve">being issues at an early stage and notes that digital engagement is regarded as a safeguarding concern (Welsh Government, 2021a). While it is crucial to bridge the digital divide, providing equal access to a potentially hazardous environment does not </w:t>
      </w:r>
      <w:r w:rsidR="00405680" w:rsidRPr="00E97BB5">
        <w:rPr>
          <w:color w:val="000000" w:themeColor="text1"/>
        </w:rPr>
        <w:t>prove</w:t>
      </w:r>
      <w:r w:rsidR="00CF1A06" w:rsidRPr="00E97BB5">
        <w:rPr>
          <w:color w:val="000000" w:themeColor="text1"/>
        </w:rPr>
        <w:t xml:space="preserve"> that the environment is beneficial for development.</w:t>
      </w:r>
    </w:p>
    <w:p w14:paraId="4C92B0B8" w14:textId="0C203B17" w:rsidR="008078DF" w:rsidRPr="00E97BB5" w:rsidRDefault="008078DF" w:rsidP="005D68CF">
      <w:pPr>
        <w:pStyle w:val="NormalWeb"/>
        <w:numPr>
          <w:ilvl w:val="0"/>
          <w:numId w:val="6"/>
        </w:numPr>
        <w:spacing w:line="360" w:lineRule="auto"/>
        <w:ind w:firstLine="397"/>
        <w:jc w:val="both"/>
        <w:rPr>
          <w:color w:val="000000" w:themeColor="text1"/>
        </w:rPr>
      </w:pPr>
      <w:r w:rsidRPr="00E97BB5">
        <w:rPr>
          <w:b/>
          <w:bCs/>
          <w:color w:val="000000" w:themeColor="text1"/>
        </w:rPr>
        <w:t>Emerging technologies significantly impact health and well</w:t>
      </w:r>
      <w:r w:rsidR="00F4013A" w:rsidRPr="00E97BB5">
        <w:rPr>
          <w:b/>
          <w:bCs/>
          <w:color w:val="000000" w:themeColor="text1"/>
        </w:rPr>
        <w:t>-</w:t>
      </w:r>
      <w:r w:rsidRPr="00E97BB5">
        <w:rPr>
          <w:b/>
          <w:bCs/>
          <w:color w:val="000000" w:themeColor="text1"/>
        </w:rPr>
        <w:t>being, affecting sleep, physical activity, and daily functioning.</w:t>
      </w:r>
      <w:r w:rsidRPr="00E97BB5">
        <w:rPr>
          <w:color w:val="000000" w:themeColor="text1"/>
        </w:rPr>
        <w:t xml:space="preserve"> Research shows that screen use can impair sleep health in children and adolescents, and that pre-bedtime screen exposure worsens these effects (Hartstein et al., 2024). Additionally, bedtime screen behaviours correlate with shorter sleep duration and increased disturbances, leading to fatigue and irritability that hinder learning (Nagata et al., 2024). Limited recreational screen time has been linked to increased physical activity among children (Pedersen et al., 2022). In Wales, a whole-school approach to mental well</w:t>
      </w:r>
      <w:r w:rsidR="00F4013A" w:rsidRPr="00E97BB5">
        <w:rPr>
          <w:color w:val="000000" w:themeColor="text1"/>
        </w:rPr>
        <w:t>-</w:t>
      </w:r>
      <w:r w:rsidRPr="00E97BB5">
        <w:rPr>
          <w:color w:val="000000" w:themeColor="text1"/>
        </w:rPr>
        <w:t>being emphasises fostering positive relationships and learner well</w:t>
      </w:r>
      <w:r w:rsidR="00F4013A" w:rsidRPr="00E97BB5">
        <w:rPr>
          <w:color w:val="000000" w:themeColor="text1"/>
        </w:rPr>
        <w:t>-</w:t>
      </w:r>
      <w:r w:rsidRPr="00E97BB5">
        <w:rPr>
          <w:color w:val="000000" w:themeColor="text1"/>
        </w:rPr>
        <w:t>being, while addressing the pressures intensified by digital environments (Welsh Government, 2021b).</w:t>
      </w:r>
    </w:p>
    <w:p w14:paraId="329251D2" w14:textId="2D904818" w:rsidR="008078DF" w:rsidRPr="00E97BB5" w:rsidRDefault="008078DF" w:rsidP="005D68CF">
      <w:pPr>
        <w:pStyle w:val="NormalWeb"/>
        <w:spacing w:line="360" w:lineRule="auto"/>
        <w:ind w:firstLine="397"/>
        <w:jc w:val="both"/>
        <w:rPr>
          <w:i/>
          <w:iCs/>
          <w:color w:val="000000" w:themeColor="text1"/>
        </w:rPr>
      </w:pPr>
      <w:r w:rsidRPr="00E97BB5">
        <w:rPr>
          <w:i/>
          <w:iCs/>
          <w:color w:val="000000" w:themeColor="text1"/>
        </w:rPr>
        <w:lastRenderedPageBreak/>
        <w:t>Emergent technologies do not simply expand opportunities; they are linked to reduced attention, emotional well</w:t>
      </w:r>
      <w:r w:rsidR="00F4013A" w:rsidRPr="00E97BB5">
        <w:rPr>
          <w:i/>
          <w:iCs/>
          <w:color w:val="000000" w:themeColor="text1"/>
        </w:rPr>
        <w:t>-</w:t>
      </w:r>
      <w:r w:rsidRPr="00E97BB5">
        <w:rPr>
          <w:i/>
          <w:iCs/>
          <w:color w:val="000000" w:themeColor="text1"/>
        </w:rPr>
        <w:t>being, and social engagement, as well as disrupted sleep and lower physical activity. Benefits depend on strong adult supervision, while negative impacts on education and children's well</w:t>
      </w:r>
      <w:r w:rsidR="00F4013A" w:rsidRPr="00E97BB5">
        <w:rPr>
          <w:i/>
          <w:iCs/>
          <w:color w:val="000000" w:themeColor="text1"/>
        </w:rPr>
        <w:t>-</w:t>
      </w:r>
      <w:r w:rsidRPr="00E97BB5">
        <w:rPr>
          <w:i/>
          <w:iCs/>
          <w:color w:val="000000" w:themeColor="text1"/>
        </w:rPr>
        <w:t>being are increasingly evident.</w:t>
      </w:r>
    </w:p>
    <w:p w14:paraId="3259AA00" w14:textId="77777777" w:rsidR="008078DF" w:rsidRPr="00AD1457" w:rsidRDefault="008078DF" w:rsidP="005D68CF">
      <w:pPr>
        <w:pStyle w:val="Heading1"/>
        <w:spacing w:line="360" w:lineRule="auto"/>
        <w:ind w:firstLine="397"/>
        <w:jc w:val="both"/>
        <w:rPr>
          <w:rFonts w:ascii="Times New Roman" w:hAnsi="Times New Roman" w:cs="Times New Roman"/>
          <w:b/>
          <w:bCs/>
          <w:color w:val="000000" w:themeColor="text1"/>
          <w:sz w:val="24"/>
          <w:szCs w:val="24"/>
        </w:rPr>
      </w:pPr>
      <w:r w:rsidRPr="00AD1457">
        <w:rPr>
          <w:rFonts w:ascii="Times New Roman" w:hAnsi="Times New Roman" w:cs="Times New Roman"/>
          <w:b/>
          <w:bCs/>
          <w:color w:val="000000" w:themeColor="text1"/>
          <w:sz w:val="24"/>
          <w:szCs w:val="24"/>
        </w:rPr>
        <w:t>Round 2: Rebuttal (approximately 4 minutes)</w:t>
      </w:r>
    </w:p>
    <w:p w14:paraId="34DB8B22" w14:textId="2E614262" w:rsidR="008078DF" w:rsidRPr="00E97BB5" w:rsidRDefault="008B2E9E" w:rsidP="005D68CF">
      <w:pPr>
        <w:pStyle w:val="NormalWeb"/>
        <w:numPr>
          <w:ilvl w:val="0"/>
          <w:numId w:val="3"/>
        </w:numPr>
        <w:spacing w:line="360" w:lineRule="auto"/>
        <w:ind w:firstLine="397"/>
        <w:jc w:val="both"/>
        <w:rPr>
          <w:b/>
          <w:bCs/>
          <w:color w:val="000000" w:themeColor="text1"/>
        </w:rPr>
      </w:pPr>
      <w:r w:rsidRPr="00E97BB5">
        <w:rPr>
          <w:b/>
          <w:bCs/>
          <w:color w:val="000000" w:themeColor="text1"/>
        </w:rPr>
        <w:t>My debate partner argues that stronger governance suggests emergent technologies can be beneficial if risks are managed.</w:t>
      </w:r>
      <w:r w:rsidRPr="00E97BB5">
        <w:rPr>
          <w:color w:val="000000" w:themeColor="text1"/>
        </w:rPr>
        <w:t xml:space="preserve"> However, I believe this framework indicates otherwise: the risks are significant enough to require ongoing regulation and intervention. The Online Safety Act was introduced because online spaces present serious threats to children (UK Government, 2023). Additionally, Ofcom's (2026) guidelines require services for children to conduct risk assessments and implement protections, underscoring the need for proactive measures before children engage with these platforms.</w:t>
      </w:r>
      <w:r w:rsidR="00AD1457">
        <w:rPr>
          <w:color w:val="000000" w:themeColor="text1"/>
        </w:rPr>
        <w:t xml:space="preserve"> </w:t>
      </w:r>
      <w:r w:rsidRPr="00E97BB5">
        <w:rPr>
          <w:color w:val="000000" w:themeColor="text1"/>
        </w:rPr>
        <w:t>While my partner may claim that the benefits of digital media outweigh the harms with proper controls, recent evidence links digital media use, especially social media, to risks affecting children's and adolescents' health (Teague et al., 2026). This necessitates targeted interventions. The conclusion is clear: the widespread nature of these harms calls for coordinated policy responses. According to Bronfenbrenner's theory, if schools, families, and policymakers must continuously monitor and regulate technology, these tools cannot be viewed as wholly beneficial to development; their advantages are conditional, while the harms are systemic (Navarro and Tudge, 2022).</w:t>
      </w:r>
    </w:p>
    <w:p w14:paraId="6575559D" w14:textId="77777777" w:rsidR="008078DF" w:rsidRPr="00E97BB5" w:rsidRDefault="008078DF" w:rsidP="005D68CF">
      <w:pPr>
        <w:pStyle w:val="NormalWeb"/>
        <w:numPr>
          <w:ilvl w:val="0"/>
          <w:numId w:val="2"/>
        </w:numPr>
        <w:spacing w:line="360" w:lineRule="auto"/>
        <w:ind w:firstLine="397"/>
        <w:jc w:val="both"/>
        <w:rPr>
          <w:color w:val="000000" w:themeColor="text1"/>
        </w:rPr>
      </w:pPr>
      <w:r w:rsidRPr="00E97BB5">
        <w:rPr>
          <w:b/>
          <w:bCs/>
          <w:color w:val="000000" w:themeColor="text1"/>
        </w:rPr>
        <w:t xml:space="preserve">My partner highlights that children's rights and privacy protections enhance digital participation. </w:t>
      </w:r>
      <w:r w:rsidRPr="00E97BB5">
        <w:rPr>
          <w:color w:val="000000" w:themeColor="text1"/>
        </w:rPr>
        <w:t>I agree these safeguards are crucial, but should be seen as defences against risks rather than guarantees of benefits. The Children's Code requires online services that target children to implement high-privacy defaults and prioritise their best interests (Information Commissioner's Office, 2021). This necessity underscores that many online platforms were not originally designed with children's developmental needs and safety in mind, revealing the potential risks present in an unregulated environment.</w:t>
      </w:r>
    </w:p>
    <w:p w14:paraId="16F26196" w14:textId="4EBD1DF4" w:rsidR="008078DF" w:rsidRPr="00E97BB5" w:rsidRDefault="006B0797" w:rsidP="005D68CF">
      <w:pPr>
        <w:pStyle w:val="NormalWeb"/>
        <w:numPr>
          <w:ilvl w:val="0"/>
          <w:numId w:val="2"/>
        </w:numPr>
        <w:spacing w:line="360" w:lineRule="auto"/>
        <w:ind w:firstLine="397"/>
        <w:jc w:val="both"/>
        <w:rPr>
          <w:b/>
          <w:bCs/>
          <w:color w:val="000000" w:themeColor="text1"/>
        </w:rPr>
      </w:pPr>
      <w:r w:rsidRPr="00E97BB5">
        <w:rPr>
          <w:b/>
          <w:bCs/>
          <w:color w:val="000000" w:themeColor="text1"/>
        </w:rPr>
        <w:t xml:space="preserve">The opposing perspective </w:t>
      </w:r>
      <w:r w:rsidR="001A6178">
        <w:rPr>
          <w:b/>
          <w:bCs/>
          <w:color w:val="000000" w:themeColor="text1"/>
        </w:rPr>
        <w:t>holds that advocating for a "better use" of technology is preferable to</w:t>
      </w:r>
      <w:r w:rsidRPr="00E97BB5">
        <w:rPr>
          <w:b/>
          <w:bCs/>
          <w:color w:val="000000" w:themeColor="text1"/>
        </w:rPr>
        <w:t xml:space="preserve"> promoting a reduction in its use.</w:t>
      </w:r>
      <w:r w:rsidR="00E75F61" w:rsidRPr="00E97BB5">
        <w:rPr>
          <w:b/>
          <w:bCs/>
          <w:color w:val="000000" w:themeColor="text1"/>
        </w:rPr>
        <w:t xml:space="preserve"> </w:t>
      </w:r>
      <w:r w:rsidR="00E75F61" w:rsidRPr="00E97BB5">
        <w:rPr>
          <w:color w:val="000000" w:themeColor="text1"/>
        </w:rPr>
        <w:t xml:space="preserve">However, I argue that this view serves as a defensive strategy. In England, the updated guidance on Relationships </w:t>
      </w:r>
      <w:r w:rsidR="00E75F61" w:rsidRPr="00E97BB5">
        <w:rPr>
          <w:color w:val="000000" w:themeColor="text1"/>
        </w:rPr>
        <w:lastRenderedPageBreak/>
        <w:t>Education, Relationships and Sex Education, and Health Education requires schools to educate students about harmful online content, manipulative interactions, and the commerciali</w:t>
      </w:r>
      <w:r w:rsidR="00F4013A" w:rsidRPr="00E97BB5">
        <w:rPr>
          <w:color w:val="000000" w:themeColor="text1"/>
        </w:rPr>
        <w:t>s</w:t>
      </w:r>
      <w:r w:rsidR="00E75F61" w:rsidRPr="00E97BB5">
        <w:rPr>
          <w:color w:val="000000" w:themeColor="text1"/>
        </w:rPr>
        <w:t>ation of personal data (Department for Education, 2025). Schools are therefore not just teaching children how to use technology but also equipping them to critically assess and protect themselves from its negative effects, reflecting a broader systemic concern.</w:t>
      </w:r>
      <w:r w:rsidR="005B525A" w:rsidRPr="00E97BB5">
        <w:rPr>
          <w:color w:val="000000" w:themeColor="text1"/>
        </w:rPr>
        <w:t xml:space="preserve"> </w:t>
      </w:r>
      <w:r w:rsidR="00E75F61" w:rsidRPr="00E97BB5">
        <w:rPr>
          <w:color w:val="000000" w:themeColor="text1"/>
        </w:rPr>
        <w:t>In Wales, the Hwb integrated impact assessment emphasi</w:t>
      </w:r>
      <w:r w:rsidR="00F4013A" w:rsidRPr="00E97BB5">
        <w:rPr>
          <w:color w:val="000000" w:themeColor="text1"/>
        </w:rPr>
        <w:t>s</w:t>
      </w:r>
      <w:r w:rsidR="00E75F61" w:rsidRPr="00E97BB5">
        <w:rPr>
          <w:color w:val="000000" w:themeColor="text1"/>
        </w:rPr>
        <w:t>es the potential for digital advancement while focusing on digital resilience and learner well</w:t>
      </w:r>
      <w:r w:rsidR="00F4013A" w:rsidRPr="00E97BB5">
        <w:rPr>
          <w:color w:val="000000" w:themeColor="text1"/>
        </w:rPr>
        <w:t>-</w:t>
      </w:r>
      <w:r w:rsidR="00E75F61" w:rsidRPr="00E97BB5">
        <w:rPr>
          <w:color w:val="000000" w:themeColor="text1"/>
        </w:rPr>
        <w:t>being (Welsh Government, 2026). The insistence on the safe and ethical use of generative AI highlights the need for cautious engagement with emerging technologies. If these technologies were inherently beneficial, such emphasis on safety and ethics would be unnecessary (Education Wales, 2026). Additionally, Welsh anti-bullying guidance addresses online harassment and harmful content as essential aspects of learner safety, complicating the perception of digital participation as purely beneficial (Welsh Government, 2025).</w:t>
      </w:r>
    </w:p>
    <w:p w14:paraId="57838DDF" w14:textId="3CFF7708" w:rsidR="008078DF" w:rsidRPr="001A6178" w:rsidRDefault="008078DF" w:rsidP="005D68CF">
      <w:pPr>
        <w:pStyle w:val="NormalWeb"/>
        <w:spacing w:line="360" w:lineRule="auto"/>
        <w:ind w:firstLine="397"/>
        <w:jc w:val="both"/>
        <w:rPr>
          <w:i/>
          <w:iCs/>
          <w:color w:val="000000" w:themeColor="text1"/>
        </w:rPr>
      </w:pPr>
      <w:r w:rsidRPr="00E97BB5">
        <w:rPr>
          <w:i/>
          <w:iCs/>
          <w:color w:val="000000" w:themeColor="text1"/>
        </w:rPr>
        <w:t>The opposition's argument is overly optimistic, conflating managed benefits with inherent advantages. Although emergent technologies can be useful in controlled settings, the evidence suggests their negative impacts on health, well</w:t>
      </w:r>
      <w:r w:rsidR="00F4013A" w:rsidRPr="00E97BB5">
        <w:rPr>
          <w:i/>
          <w:iCs/>
          <w:color w:val="000000" w:themeColor="text1"/>
        </w:rPr>
        <w:t>-</w:t>
      </w:r>
      <w:r w:rsidRPr="00E97BB5">
        <w:rPr>
          <w:i/>
          <w:iCs/>
          <w:color w:val="000000" w:themeColor="text1"/>
        </w:rPr>
        <w:t>being, social interaction, and safety often outweigh any benefits.</w:t>
      </w:r>
    </w:p>
    <w:p w14:paraId="6CE68D0F" w14:textId="77777777" w:rsidR="008078DF" w:rsidRPr="001A6178" w:rsidRDefault="008078DF" w:rsidP="005D68CF">
      <w:pPr>
        <w:pStyle w:val="Heading1"/>
        <w:spacing w:line="360" w:lineRule="auto"/>
        <w:ind w:firstLine="397"/>
        <w:jc w:val="both"/>
        <w:rPr>
          <w:rFonts w:ascii="Times New Roman" w:hAnsi="Times New Roman" w:cs="Times New Roman"/>
          <w:b/>
          <w:bCs/>
          <w:color w:val="000000" w:themeColor="text1"/>
          <w:sz w:val="24"/>
          <w:szCs w:val="24"/>
        </w:rPr>
      </w:pPr>
      <w:r w:rsidRPr="001A6178">
        <w:rPr>
          <w:rFonts w:ascii="Times New Roman" w:hAnsi="Times New Roman" w:cs="Times New Roman"/>
          <w:b/>
          <w:bCs/>
          <w:color w:val="000000" w:themeColor="text1"/>
          <w:sz w:val="24"/>
          <w:szCs w:val="24"/>
        </w:rPr>
        <w:t>Round 3: Cross-examination questions</w:t>
      </w:r>
    </w:p>
    <w:p w14:paraId="63BE6B9D" w14:textId="77777777" w:rsidR="008078DF" w:rsidRPr="00E97BB5" w:rsidRDefault="008078DF" w:rsidP="005D68CF">
      <w:pPr>
        <w:spacing w:line="360" w:lineRule="auto"/>
        <w:ind w:firstLine="397"/>
        <w:jc w:val="both"/>
        <w:rPr>
          <w:rFonts w:ascii="Times New Roman" w:eastAsia="Times New Roman" w:hAnsi="Times New Roman" w:cs="Times New Roman"/>
          <w:color w:val="000000" w:themeColor="text1"/>
        </w:rPr>
      </w:pPr>
      <w:r w:rsidRPr="00E97BB5">
        <w:rPr>
          <w:rFonts w:ascii="Times New Roman" w:eastAsia="Times New Roman" w:hAnsi="Times New Roman" w:cs="Times New Roman"/>
          <w:color w:val="000000" w:themeColor="text1"/>
        </w:rPr>
        <w:t xml:space="preserve">My questions </w:t>
      </w:r>
    </w:p>
    <w:p w14:paraId="1B3346EC" w14:textId="77777777" w:rsidR="008078DF" w:rsidRPr="00E97BB5" w:rsidRDefault="008078DF" w:rsidP="005D68CF">
      <w:pPr>
        <w:pStyle w:val="ListParagraph"/>
        <w:numPr>
          <w:ilvl w:val="1"/>
          <w:numId w:val="4"/>
        </w:numPr>
        <w:spacing w:after="120" w:line="360" w:lineRule="auto"/>
        <w:ind w:firstLine="397"/>
        <w:jc w:val="both"/>
        <w:rPr>
          <w:rFonts w:ascii="Times New Roman" w:eastAsia="Times New Roman" w:hAnsi="Times New Roman" w:cs="Times New Roman"/>
          <w:color w:val="000000" w:themeColor="text1"/>
        </w:rPr>
      </w:pPr>
      <w:r w:rsidRPr="00E97BB5">
        <w:rPr>
          <w:rFonts w:ascii="Times New Roman" w:hAnsi="Times New Roman" w:cs="Times New Roman"/>
          <w:color w:val="000000" w:themeColor="text1"/>
        </w:rPr>
        <w:t xml:space="preserve">If emergent technologies are more beneficial than detrimental, why do schools in both England and Wales now need extensive safeguarding measures, including filtering, monitoring, anti-bullying responses and online safety education, to protect children from their effects? </w:t>
      </w:r>
    </w:p>
    <w:p w14:paraId="193479E5" w14:textId="5348E1CF" w:rsidR="008078DF" w:rsidRPr="00E97BB5" w:rsidRDefault="008078DF" w:rsidP="005D68CF">
      <w:pPr>
        <w:pStyle w:val="ListParagraph"/>
        <w:numPr>
          <w:ilvl w:val="1"/>
          <w:numId w:val="4"/>
        </w:numPr>
        <w:spacing w:after="120" w:line="360" w:lineRule="auto"/>
        <w:ind w:firstLine="397"/>
        <w:jc w:val="both"/>
        <w:rPr>
          <w:rFonts w:ascii="Times New Roman" w:hAnsi="Times New Roman" w:cs="Times New Roman"/>
          <w:color w:val="000000" w:themeColor="text1"/>
        </w:rPr>
      </w:pPr>
      <w:r w:rsidRPr="00E97BB5">
        <w:rPr>
          <w:rFonts w:ascii="Times New Roman" w:hAnsi="Times New Roman" w:cs="Times New Roman"/>
          <w:color w:val="000000" w:themeColor="text1"/>
        </w:rPr>
        <w:t>If digital tools genuinely strengthen children's development in the long term, how do you explain the evidence linking frequent smartphone use and problematic social media use with lower cognitive control, poorer mental well</w:t>
      </w:r>
      <w:r w:rsidR="00F4013A" w:rsidRPr="00E97BB5">
        <w:rPr>
          <w:rFonts w:ascii="Times New Roman" w:hAnsi="Times New Roman" w:cs="Times New Roman"/>
          <w:color w:val="000000" w:themeColor="text1"/>
        </w:rPr>
        <w:t>-</w:t>
      </w:r>
      <w:r w:rsidRPr="00E97BB5">
        <w:rPr>
          <w:rFonts w:ascii="Times New Roman" w:hAnsi="Times New Roman" w:cs="Times New Roman"/>
          <w:color w:val="000000" w:themeColor="text1"/>
        </w:rPr>
        <w:t>being and weaker social functioning?</w:t>
      </w:r>
    </w:p>
    <w:p w14:paraId="5D72DE1E" w14:textId="48855F5A" w:rsidR="00D455A0" w:rsidRPr="00D455A0" w:rsidRDefault="008078DF" w:rsidP="005D68CF">
      <w:pPr>
        <w:ind w:firstLine="397"/>
      </w:pPr>
      <w:r w:rsidRPr="00E97BB5">
        <w:rPr>
          <w:rFonts w:ascii="Times New Roman" w:hAnsi="Times New Roman" w:cs="Times New Roman"/>
          <w:i/>
          <w:iCs/>
          <w:color w:val="000000" w:themeColor="text1"/>
        </w:rPr>
        <w:t>Answer to Question 1:</w:t>
      </w:r>
      <w:r w:rsidR="00D455A0">
        <w:rPr>
          <w:i/>
          <w:iCs/>
          <w:color w:val="000000" w:themeColor="text1"/>
        </w:rPr>
        <w:t xml:space="preserve"> </w:t>
      </w:r>
      <w:r w:rsidR="00D455A0" w:rsidRPr="00D455A0">
        <w:rPr>
          <w:u w:val="single"/>
        </w:rPr>
        <w:t>If emergent technologies are ‘more detrimental overall’, how do we justify Wales treating digital competence as a core curriculum expectation, with an explicit framework for building confident, creative and critical digital skills?</w:t>
      </w:r>
    </w:p>
    <w:p w14:paraId="43B9EE09" w14:textId="77777777" w:rsidR="008078DF" w:rsidRPr="00E97BB5" w:rsidRDefault="008078DF" w:rsidP="005D68CF">
      <w:pPr>
        <w:pStyle w:val="NormalWeb"/>
        <w:spacing w:line="360" w:lineRule="auto"/>
        <w:ind w:firstLine="397"/>
        <w:jc w:val="both"/>
        <w:rPr>
          <w:i/>
          <w:iCs/>
          <w:color w:val="000000" w:themeColor="text1"/>
        </w:rPr>
      </w:pPr>
      <w:r w:rsidRPr="00E97BB5">
        <w:rPr>
          <w:i/>
          <w:iCs/>
          <w:color w:val="000000" w:themeColor="text1"/>
        </w:rPr>
        <w:lastRenderedPageBreak/>
        <w:t>Wales treats digital competence as a curriculum expectation because children need to function in a digital society, but that does not mean current digital environments are developmentally beneficial overall. Although digital competence is embedded within the Curriculum for Wales (Welsh Government, 2026), recent evidence shows that frequent smartphone checking during the school day is associated with poorer cognitive control, which is fundamental to attention, memory, and self-regulation (Telzer and Burnell, 2026). This is reinforced by current English policy, which expects schools to prohibit mobile phone use during the school day due to concerns about distraction, disruption, and bullying (Department for Education, 2026). So, Wales teaches digital competence because it is necessary, not because unrestricted exposure to emergent technologies is harmless or net beneficial</w:t>
      </w:r>
    </w:p>
    <w:p w14:paraId="4EEDA942" w14:textId="6BF5D84E" w:rsidR="008078DF" w:rsidRPr="00E97BB5" w:rsidRDefault="008078DF" w:rsidP="005D68CF">
      <w:pPr>
        <w:pStyle w:val="NormalWeb"/>
        <w:numPr>
          <w:ilvl w:val="0"/>
          <w:numId w:val="7"/>
        </w:numPr>
        <w:spacing w:line="360" w:lineRule="auto"/>
        <w:ind w:firstLine="397"/>
        <w:jc w:val="both"/>
        <w:rPr>
          <w:i/>
          <w:iCs/>
          <w:color w:val="000000" w:themeColor="text1"/>
        </w:rPr>
      </w:pPr>
      <w:r w:rsidRPr="00E97BB5">
        <w:rPr>
          <w:i/>
          <w:iCs/>
          <w:color w:val="000000" w:themeColor="text1"/>
        </w:rPr>
        <w:t>Answer to Question 2:</w:t>
      </w:r>
      <w:r w:rsidR="00AE4712">
        <w:rPr>
          <w:i/>
          <w:iCs/>
          <w:color w:val="000000" w:themeColor="text1"/>
        </w:rPr>
        <w:t xml:space="preserve"> </w:t>
      </w:r>
      <w:r w:rsidR="00AE4712" w:rsidRPr="00AE4712">
        <w:rPr>
          <w:u w:val="single"/>
        </w:rPr>
        <w:t>Given the evidence that youth</w:t>
      </w:r>
      <w:r w:rsidR="00AE4712" w:rsidRPr="00AE4712">
        <w:rPr>
          <w:rFonts w:ascii="Cambria Math" w:hAnsi="Cambria Math" w:cs="Cambria Math"/>
          <w:u w:val="single"/>
        </w:rPr>
        <w:t>‑</w:t>
      </w:r>
      <w:r w:rsidR="00AE4712" w:rsidRPr="00AE4712">
        <w:rPr>
          <w:u w:val="single"/>
        </w:rPr>
        <w:t>designed digital mental health support can be acceptable in trusted settings like schools, why frame technology mainly as harm rather than as a tool that can lower barriers to early help?</w:t>
      </w:r>
    </w:p>
    <w:p w14:paraId="58B8D3A3" w14:textId="340DCC99" w:rsidR="008078DF" w:rsidRPr="00E97BB5" w:rsidRDefault="008078DF" w:rsidP="005D68CF">
      <w:pPr>
        <w:pStyle w:val="NormalWeb"/>
        <w:spacing w:line="360" w:lineRule="auto"/>
        <w:ind w:firstLine="397"/>
        <w:jc w:val="both"/>
        <w:rPr>
          <w:i/>
          <w:iCs/>
          <w:color w:val="000000" w:themeColor="text1"/>
        </w:rPr>
      </w:pPr>
      <w:r w:rsidRPr="00E97BB5">
        <w:rPr>
          <w:i/>
          <w:iCs/>
          <w:color w:val="000000" w:themeColor="text1"/>
        </w:rPr>
        <w:t>Evidence shows that youth-designed digital mental health support can be effective in trusted settings such as schools, because it differs from the broader digital environment children use daily. For example, MindMate2U was a co-designed six-week self-help web app for 14- to 18-year-olds in UK secondary schools, with a low-intensity parent component and clear signposting to school, local, and national support. Hugh-Jones et al. found it acceptable and feasible in that trusted setting, but it was designed as an adjunct to existing support pathways and still required further testing of its effectiveness. By contrast, the broader evidence shows that problematic social media use is associated with higher depression, anxiety and stress, and that digital media use is consistently linked with risks to child and adolescent health and development, particularly in relation to social media. So, a supervised intervention in a school cannot be used as evidence that the wider digital environment is beneficial overall (Hugh-Jones et al., 2022; Shannon et al., 2022; Teague et al., 2026).</w:t>
      </w:r>
    </w:p>
    <w:p w14:paraId="459C098D" w14:textId="77777777" w:rsidR="008078DF" w:rsidRPr="00BD116F" w:rsidRDefault="008078DF" w:rsidP="005D68CF">
      <w:pPr>
        <w:pStyle w:val="Heading1"/>
        <w:spacing w:line="360" w:lineRule="auto"/>
        <w:ind w:firstLine="397"/>
        <w:jc w:val="both"/>
        <w:rPr>
          <w:rFonts w:ascii="Times New Roman" w:hAnsi="Times New Roman" w:cs="Times New Roman"/>
          <w:b/>
          <w:bCs/>
          <w:color w:val="000000" w:themeColor="text1"/>
          <w:sz w:val="24"/>
          <w:szCs w:val="24"/>
        </w:rPr>
      </w:pPr>
      <w:r w:rsidRPr="00BD116F">
        <w:rPr>
          <w:rFonts w:ascii="Times New Roman" w:hAnsi="Times New Roman" w:cs="Times New Roman"/>
          <w:b/>
          <w:bCs/>
          <w:color w:val="000000" w:themeColor="text1"/>
          <w:sz w:val="24"/>
          <w:szCs w:val="24"/>
        </w:rPr>
        <w:t>Round 4: Closing statement (approximately 2 minutes)</w:t>
      </w:r>
    </w:p>
    <w:p w14:paraId="0E27514C" w14:textId="77777777" w:rsidR="008078DF" w:rsidRPr="00E97BB5" w:rsidRDefault="008078DF" w:rsidP="005D68CF">
      <w:pPr>
        <w:pStyle w:val="NormalWeb"/>
        <w:spacing w:line="360" w:lineRule="auto"/>
        <w:ind w:firstLine="397"/>
        <w:jc w:val="both"/>
        <w:rPr>
          <w:color w:val="000000" w:themeColor="text1"/>
        </w:rPr>
      </w:pPr>
      <w:r w:rsidRPr="00E97BB5">
        <w:rPr>
          <w:color w:val="000000" w:themeColor="text1"/>
        </w:rPr>
        <w:t>Chair, to conclude, this debate centres on the net impact of emerging technologies on the experiences of children and young people, revealing that these tools are more detrimental than beneficial.</w:t>
      </w:r>
    </w:p>
    <w:p w14:paraId="156699BE" w14:textId="77777777" w:rsidR="008078DF" w:rsidRPr="00E97BB5" w:rsidRDefault="008078DF" w:rsidP="005D68CF">
      <w:pPr>
        <w:pStyle w:val="NormalWeb"/>
        <w:numPr>
          <w:ilvl w:val="0"/>
          <w:numId w:val="5"/>
        </w:numPr>
        <w:spacing w:line="360" w:lineRule="auto"/>
        <w:ind w:firstLine="397"/>
        <w:jc w:val="both"/>
        <w:rPr>
          <w:color w:val="000000" w:themeColor="text1"/>
        </w:rPr>
      </w:pPr>
      <w:r w:rsidRPr="00E97BB5">
        <w:rPr>
          <w:color w:val="000000" w:themeColor="text1"/>
        </w:rPr>
        <w:lastRenderedPageBreak/>
        <w:t>Evidence indicates that frequent digital engagement leads to attentional fragmentation and reduced cognitive control, contradicting the notion of enhanced independent learning (Telzer and Burnell, 2026). Additionally, problematic social media use correlates with increased depression, anxiety, and emotional dysregulation among adolescents (Shannon et al., 2022). Online interactions often coincide with dependency and negative mental health outcomes, failing to strengthen healthy relationships (WHO Regional Office for Europe, 2024). Notably, excessive screen time impairs sleep quality in younger populations (Hartstein et al., 2024), and reducing screen use can boost physical activity levels (Pedersen et al., 2022).</w:t>
      </w:r>
    </w:p>
    <w:p w14:paraId="1C24CC4B" w14:textId="0E4B7EDC" w:rsidR="008078DF" w:rsidRPr="00E97BB5" w:rsidRDefault="008078DF" w:rsidP="005D68CF">
      <w:pPr>
        <w:pStyle w:val="NormalWeb"/>
        <w:numPr>
          <w:ilvl w:val="0"/>
          <w:numId w:val="5"/>
        </w:numPr>
        <w:spacing w:line="360" w:lineRule="auto"/>
        <w:ind w:firstLine="397"/>
        <w:jc w:val="both"/>
        <w:rPr>
          <w:color w:val="000000" w:themeColor="text1"/>
        </w:rPr>
      </w:pPr>
      <w:r w:rsidRPr="00E97BB5">
        <w:rPr>
          <w:color w:val="000000" w:themeColor="text1"/>
        </w:rPr>
        <w:t>Furthermore, UK and Welsh policies substantiate these findings. In England, schools are required to manage mobile phone use to address concerns about focus and bullying (Department for Education, 2024). In Wales, digital initiatives emphasise safeguarding and learner well</w:t>
      </w:r>
      <w:r w:rsidR="00F4013A" w:rsidRPr="00E97BB5">
        <w:rPr>
          <w:color w:val="000000" w:themeColor="text1"/>
        </w:rPr>
        <w:t>-</w:t>
      </w:r>
      <w:r w:rsidRPr="00E97BB5">
        <w:rPr>
          <w:color w:val="000000" w:themeColor="text1"/>
        </w:rPr>
        <w:t>being (Welsh Government, 2026), with guidelines calling for early identification of well</w:t>
      </w:r>
      <w:r w:rsidR="00F4013A" w:rsidRPr="00E97BB5">
        <w:rPr>
          <w:color w:val="000000" w:themeColor="text1"/>
        </w:rPr>
        <w:t>-</w:t>
      </w:r>
      <w:r w:rsidRPr="00E97BB5">
        <w:rPr>
          <w:color w:val="000000" w:themeColor="text1"/>
        </w:rPr>
        <w:t>being issues related to online risks (Welsh Government, 2021b).</w:t>
      </w:r>
    </w:p>
    <w:p w14:paraId="4ABE0A8C" w14:textId="77777777" w:rsidR="008078DF" w:rsidRPr="00E97BB5" w:rsidRDefault="008078DF" w:rsidP="005D68CF">
      <w:pPr>
        <w:pStyle w:val="NormalWeb"/>
        <w:numPr>
          <w:ilvl w:val="0"/>
          <w:numId w:val="5"/>
        </w:numPr>
        <w:spacing w:line="360" w:lineRule="auto"/>
        <w:ind w:firstLine="397"/>
        <w:jc w:val="both"/>
        <w:rPr>
          <w:color w:val="000000" w:themeColor="text1"/>
        </w:rPr>
      </w:pPr>
      <w:r w:rsidRPr="00E97BB5">
        <w:rPr>
          <w:color w:val="000000" w:themeColor="text1"/>
        </w:rPr>
        <w:t>This policy landscape does not support the notion of a predominantly positive developmental influence; instead, it underscores the need to protect children from a challenging environment. For these reasons, I urge the support of the motion: emerging technologies distort rather than enhance childhood and education, with developmental costs outweighing potential gains (Teague et al., 2026).</w:t>
      </w:r>
    </w:p>
    <w:p w14:paraId="2A3DBE32" w14:textId="77777777" w:rsidR="005F770B" w:rsidRDefault="005F770B" w:rsidP="005F770B">
      <w:pPr>
        <w:pStyle w:val="NormalWeb"/>
        <w:spacing w:line="276" w:lineRule="auto"/>
        <w:jc w:val="both"/>
        <w:rPr>
          <w:rFonts w:ascii="Arial" w:hAnsi="Arial" w:cs="Arial"/>
          <w:sz w:val="22"/>
          <w:szCs w:val="22"/>
        </w:rPr>
      </w:pPr>
    </w:p>
    <w:p w14:paraId="75F3D88B" w14:textId="77777777" w:rsidR="005F770B" w:rsidRDefault="005F770B" w:rsidP="005F770B">
      <w:pPr>
        <w:pStyle w:val="NormalWeb"/>
        <w:spacing w:line="276" w:lineRule="auto"/>
        <w:jc w:val="both"/>
        <w:rPr>
          <w:rFonts w:ascii="Arial" w:hAnsi="Arial" w:cs="Arial"/>
          <w:sz w:val="22"/>
          <w:szCs w:val="22"/>
        </w:rPr>
      </w:pPr>
    </w:p>
    <w:p w14:paraId="46E4A00D" w14:textId="77777777" w:rsidR="005F770B" w:rsidRDefault="005F770B" w:rsidP="005F770B">
      <w:pPr>
        <w:pStyle w:val="NormalWeb"/>
        <w:spacing w:line="276" w:lineRule="auto"/>
        <w:jc w:val="both"/>
        <w:rPr>
          <w:rFonts w:ascii="Arial" w:hAnsi="Arial" w:cs="Arial"/>
          <w:sz w:val="22"/>
          <w:szCs w:val="22"/>
        </w:rPr>
      </w:pPr>
    </w:p>
    <w:p w14:paraId="7804241B" w14:textId="77777777" w:rsidR="005F770B" w:rsidRDefault="005F770B" w:rsidP="005F770B">
      <w:pPr>
        <w:pStyle w:val="NormalWeb"/>
        <w:spacing w:line="276" w:lineRule="auto"/>
        <w:jc w:val="both"/>
        <w:rPr>
          <w:rFonts w:ascii="Arial" w:hAnsi="Arial" w:cs="Arial"/>
          <w:sz w:val="22"/>
          <w:szCs w:val="22"/>
        </w:rPr>
      </w:pPr>
    </w:p>
    <w:p w14:paraId="1EDAB941" w14:textId="77777777" w:rsidR="005F770B" w:rsidRDefault="005F770B" w:rsidP="005F770B">
      <w:pPr>
        <w:pStyle w:val="NormalWeb"/>
        <w:spacing w:line="276" w:lineRule="auto"/>
        <w:jc w:val="both"/>
        <w:rPr>
          <w:rFonts w:ascii="Arial" w:hAnsi="Arial" w:cs="Arial"/>
          <w:sz w:val="22"/>
          <w:szCs w:val="22"/>
        </w:rPr>
      </w:pPr>
    </w:p>
    <w:p w14:paraId="04C315B5" w14:textId="77777777" w:rsidR="005F770B" w:rsidRDefault="005F770B" w:rsidP="005F770B">
      <w:pPr>
        <w:pStyle w:val="NormalWeb"/>
        <w:spacing w:line="276" w:lineRule="auto"/>
        <w:jc w:val="both"/>
        <w:rPr>
          <w:rFonts w:ascii="Arial" w:hAnsi="Arial" w:cs="Arial"/>
          <w:sz w:val="22"/>
          <w:szCs w:val="22"/>
        </w:rPr>
      </w:pPr>
    </w:p>
    <w:p w14:paraId="27FFD721" w14:textId="77777777" w:rsidR="005D68CF" w:rsidRDefault="005D68CF" w:rsidP="005F770B">
      <w:pPr>
        <w:pStyle w:val="NormalWeb"/>
        <w:spacing w:line="276" w:lineRule="auto"/>
        <w:jc w:val="both"/>
        <w:rPr>
          <w:rFonts w:ascii="Arial" w:hAnsi="Arial" w:cs="Arial"/>
          <w:sz w:val="22"/>
          <w:szCs w:val="22"/>
        </w:rPr>
      </w:pPr>
    </w:p>
    <w:p w14:paraId="53350E74" w14:textId="77777777" w:rsidR="005F770B" w:rsidRPr="00006CFA" w:rsidRDefault="005F770B" w:rsidP="005F770B">
      <w:pPr>
        <w:pStyle w:val="NormalWeb"/>
        <w:spacing w:line="276" w:lineRule="auto"/>
        <w:jc w:val="both"/>
        <w:rPr>
          <w:rFonts w:ascii="Arial" w:hAnsi="Arial" w:cs="Arial"/>
          <w:sz w:val="22"/>
          <w:szCs w:val="22"/>
        </w:rPr>
      </w:pPr>
    </w:p>
    <w:p w14:paraId="77A78AA0" w14:textId="77777777" w:rsidR="008078DF" w:rsidRPr="005D68CF" w:rsidRDefault="008078DF" w:rsidP="008078DF">
      <w:pPr>
        <w:pStyle w:val="Heading1"/>
        <w:jc w:val="both"/>
        <w:rPr>
          <w:rFonts w:ascii="Arial" w:hAnsi="Arial" w:cs="Arial"/>
          <w:color w:val="000000" w:themeColor="text1"/>
          <w:sz w:val="22"/>
          <w:szCs w:val="22"/>
        </w:rPr>
      </w:pPr>
      <w:r w:rsidRPr="005D68CF">
        <w:rPr>
          <w:rFonts w:ascii="Arial" w:hAnsi="Arial" w:cs="Arial"/>
          <w:color w:val="000000" w:themeColor="text1"/>
          <w:sz w:val="22"/>
          <w:szCs w:val="22"/>
        </w:rPr>
        <w:lastRenderedPageBreak/>
        <w:t>Reference list</w:t>
      </w:r>
    </w:p>
    <w:p w14:paraId="29654F10" w14:textId="0DBCCE6E" w:rsidR="007336B7" w:rsidRPr="007336B7" w:rsidRDefault="007336B7" w:rsidP="007336B7">
      <w:pPr>
        <w:pStyle w:val="NormalWeb"/>
        <w:spacing w:before="240" w:beforeAutospacing="0" w:after="240" w:afterAutospacing="0" w:line="360" w:lineRule="auto"/>
        <w:jc w:val="both"/>
        <w:rPr>
          <w:rStyle w:val="HTMLCode"/>
          <w:rFonts w:ascii="Arial" w:hAnsi="Arial" w:cs="Arial"/>
          <w:b/>
          <w:bCs/>
          <w:sz w:val="22"/>
          <w:szCs w:val="22"/>
        </w:rPr>
      </w:pPr>
      <w:r w:rsidRPr="007336B7">
        <w:rPr>
          <w:rFonts w:ascii="Arial" w:hAnsi="Arial" w:cs="Arial"/>
          <w:sz w:val="22"/>
          <w:szCs w:val="22"/>
        </w:rPr>
        <w:t xml:space="preserve">Department for Education (2025) </w:t>
      </w:r>
      <w:r w:rsidRPr="007336B7">
        <w:rPr>
          <w:rStyle w:val="Emphasis"/>
          <w:rFonts w:ascii="Arial" w:eastAsiaTheme="majorEastAsia" w:hAnsi="Arial" w:cs="Arial"/>
          <w:sz w:val="22"/>
          <w:szCs w:val="22"/>
        </w:rPr>
        <w:t>Relationships Education, Relationships and Sex Education (RSE) and Health Education</w:t>
      </w:r>
      <w:r w:rsidRPr="007336B7">
        <w:rPr>
          <w:rFonts w:ascii="Arial" w:hAnsi="Arial" w:cs="Arial"/>
          <w:sz w:val="22"/>
          <w:szCs w:val="22"/>
        </w:rPr>
        <w:t xml:space="preserve">. Available at: </w:t>
      </w:r>
      <w:r w:rsidRPr="005D68CF">
        <w:rPr>
          <w:rFonts w:ascii="Arial" w:eastAsiaTheme="majorEastAsia" w:hAnsi="Arial" w:cs="Arial"/>
          <w:sz w:val="22"/>
          <w:szCs w:val="22"/>
        </w:rPr>
        <w:t>https://assets.publishing.service.gov.uk/media/6970e7e67e827090d02d42e0/Relationships_education_relationships_and_sex_education__RSE__and_health_education__for_intro_1_September_2026_.pdf</w:t>
      </w:r>
      <w:r w:rsidRPr="007336B7">
        <w:rPr>
          <w:rStyle w:val="HTMLCode"/>
          <w:rFonts w:ascii="Arial" w:eastAsiaTheme="majorEastAsia" w:hAnsi="Arial" w:cs="Arial"/>
          <w:sz w:val="22"/>
          <w:szCs w:val="22"/>
        </w:rPr>
        <w:t xml:space="preserve"> </w:t>
      </w:r>
      <w:r w:rsidRPr="007336B7">
        <w:rPr>
          <w:rFonts w:ascii="Arial" w:hAnsi="Arial" w:cs="Arial"/>
          <w:sz w:val="22"/>
          <w:szCs w:val="22"/>
        </w:rPr>
        <w:t xml:space="preserve">(Accessed: 10 April 2026). </w:t>
      </w:r>
    </w:p>
    <w:p w14:paraId="2E96F07B" w14:textId="46045456" w:rsidR="007336B7" w:rsidRPr="007336B7" w:rsidRDefault="007336B7" w:rsidP="007336B7">
      <w:pPr>
        <w:pStyle w:val="NormalWeb"/>
        <w:spacing w:before="0" w:beforeAutospacing="0" w:after="0" w:afterAutospacing="0" w:line="360" w:lineRule="auto"/>
        <w:rPr>
          <w:rFonts w:ascii="Arial" w:hAnsi="Arial" w:cs="Arial"/>
          <w:color w:val="000000"/>
          <w:sz w:val="22"/>
          <w:szCs w:val="22"/>
        </w:rPr>
      </w:pPr>
      <w:r w:rsidRPr="007336B7">
        <w:rPr>
          <w:rFonts w:ascii="Arial" w:hAnsi="Arial" w:cs="Arial"/>
          <w:color w:val="000000"/>
          <w:sz w:val="22"/>
          <w:szCs w:val="22"/>
        </w:rPr>
        <w:t>Department for Education (2026) </w:t>
      </w:r>
      <w:r w:rsidRPr="007336B7">
        <w:rPr>
          <w:rFonts w:ascii="Arial" w:hAnsi="Arial" w:cs="Arial"/>
          <w:i/>
          <w:iCs/>
          <w:color w:val="000000"/>
          <w:sz w:val="22"/>
          <w:szCs w:val="22"/>
        </w:rPr>
        <w:t>Communicating your policy for prohibiting the use of mobile phones in schools to parents</w:t>
      </w:r>
      <w:r w:rsidRPr="007336B7">
        <w:rPr>
          <w:rFonts w:ascii="Arial" w:hAnsi="Arial" w:cs="Arial"/>
          <w:color w:val="000000"/>
          <w:sz w:val="22"/>
          <w:szCs w:val="22"/>
        </w:rPr>
        <w:t xml:space="preserve">. Available at: </w:t>
      </w:r>
      <w:r w:rsidRPr="005D68CF">
        <w:rPr>
          <w:rFonts w:ascii="Arial" w:hAnsi="Arial" w:cs="Arial"/>
          <w:sz w:val="22"/>
          <w:szCs w:val="22"/>
        </w:rPr>
        <w:t>https://www.gov.uk/government/publications/mobile-phones-in-schools/communicating-your-policy-for-prohibiting-the-use-of-mobile-phones-in-schools-to-parents</w:t>
      </w:r>
      <w:r w:rsidRPr="007336B7">
        <w:rPr>
          <w:rFonts w:ascii="Arial" w:hAnsi="Arial" w:cs="Arial"/>
          <w:color w:val="000000"/>
          <w:sz w:val="22"/>
          <w:szCs w:val="22"/>
        </w:rPr>
        <w:t xml:space="preserve"> </w:t>
      </w:r>
      <w:r w:rsidRPr="007336B7">
        <w:rPr>
          <w:rFonts w:ascii="Arial" w:hAnsi="Arial" w:cs="Arial"/>
          <w:sz w:val="22"/>
          <w:szCs w:val="22"/>
        </w:rPr>
        <w:t xml:space="preserve">(Accessed: 14 April 2026). </w:t>
      </w:r>
    </w:p>
    <w:p w14:paraId="6F946616" w14:textId="1CCD7535" w:rsidR="007336B7" w:rsidRPr="007336B7" w:rsidRDefault="007336B7" w:rsidP="007336B7">
      <w:pPr>
        <w:pStyle w:val="NormalWeb"/>
        <w:spacing w:before="240" w:beforeAutospacing="0" w:after="240" w:afterAutospacing="0" w:line="360" w:lineRule="auto"/>
        <w:jc w:val="both"/>
        <w:rPr>
          <w:rFonts w:ascii="Arial" w:hAnsi="Arial" w:cs="Arial"/>
          <w:b/>
          <w:bCs/>
          <w:sz w:val="22"/>
          <w:szCs w:val="22"/>
        </w:rPr>
      </w:pPr>
      <w:r w:rsidRPr="007336B7">
        <w:rPr>
          <w:rFonts w:ascii="Arial" w:hAnsi="Arial" w:cs="Arial"/>
          <w:sz w:val="22"/>
          <w:szCs w:val="22"/>
        </w:rPr>
        <w:t xml:space="preserve">Education Wales (2026) </w:t>
      </w:r>
      <w:r w:rsidRPr="007336B7">
        <w:rPr>
          <w:rStyle w:val="Emphasis"/>
          <w:rFonts w:ascii="Arial" w:eastAsiaTheme="majorEastAsia" w:hAnsi="Arial" w:cs="Arial"/>
          <w:sz w:val="22"/>
          <w:szCs w:val="22"/>
        </w:rPr>
        <w:t>Generative AI in education: Wales</w:t>
      </w:r>
      <w:r w:rsidR="005D1AB9">
        <w:rPr>
          <w:rStyle w:val="Emphasis"/>
          <w:rFonts w:ascii="Arial" w:eastAsiaTheme="majorEastAsia" w:hAnsi="Arial" w:cs="Arial"/>
          <w:sz w:val="22"/>
          <w:szCs w:val="22"/>
        </w:rPr>
        <w:t>'</w:t>
      </w:r>
      <w:r w:rsidRPr="007336B7">
        <w:rPr>
          <w:rStyle w:val="Emphasis"/>
          <w:rFonts w:ascii="Arial" w:eastAsiaTheme="majorEastAsia" w:hAnsi="Arial" w:cs="Arial"/>
          <w:sz w:val="22"/>
          <w:szCs w:val="22"/>
        </w:rPr>
        <w:t xml:space="preserve"> national approach</w:t>
      </w:r>
      <w:r w:rsidRPr="007336B7">
        <w:rPr>
          <w:rFonts w:ascii="Arial" w:hAnsi="Arial" w:cs="Arial"/>
          <w:sz w:val="22"/>
          <w:szCs w:val="22"/>
        </w:rPr>
        <w:t xml:space="preserve">. Available at: </w:t>
      </w:r>
      <w:r w:rsidRPr="005D68CF">
        <w:rPr>
          <w:rFonts w:ascii="Arial" w:eastAsiaTheme="majorEastAsia" w:hAnsi="Arial" w:cs="Arial"/>
          <w:sz w:val="22"/>
          <w:szCs w:val="22"/>
        </w:rPr>
        <w:t>https://educationwales.blog.gov.wales/2026/02/27/generative-ai-in-education-wales-national-approach/</w:t>
      </w:r>
      <w:r w:rsidRPr="007336B7">
        <w:rPr>
          <w:rFonts w:ascii="Arial" w:hAnsi="Arial" w:cs="Arial"/>
          <w:sz w:val="22"/>
          <w:szCs w:val="22"/>
        </w:rPr>
        <w:t xml:space="preserve">  (Accessed: 10 April 2026). </w:t>
      </w:r>
    </w:p>
    <w:p w14:paraId="2B1D5E2B" w14:textId="06698F79" w:rsidR="007336B7" w:rsidRPr="007336B7" w:rsidRDefault="007336B7" w:rsidP="007336B7">
      <w:pPr>
        <w:spacing w:before="240" w:after="240" w:line="360" w:lineRule="auto"/>
        <w:jc w:val="both"/>
        <w:rPr>
          <w:rFonts w:ascii="Arial" w:hAnsi="Arial" w:cs="Arial"/>
          <w:sz w:val="22"/>
          <w:szCs w:val="22"/>
        </w:rPr>
      </w:pPr>
      <w:r w:rsidRPr="007336B7">
        <w:rPr>
          <w:rFonts w:ascii="Arial" w:hAnsi="Arial" w:cs="Arial"/>
          <w:sz w:val="22"/>
          <w:szCs w:val="22"/>
        </w:rPr>
        <w:t xml:space="preserve">El Zaatari, W. and Maalouf, I. (2022) </w:t>
      </w:r>
      <w:r w:rsidR="005D1AB9">
        <w:rPr>
          <w:rFonts w:ascii="Arial" w:hAnsi="Arial" w:cs="Arial"/>
          <w:sz w:val="22"/>
          <w:szCs w:val="22"/>
        </w:rPr>
        <w:t>'</w:t>
      </w:r>
      <w:r w:rsidRPr="007336B7">
        <w:rPr>
          <w:rFonts w:ascii="Arial" w:hAnsi="Arial" w:cs="Arial"/>
          <w:sz w:val="22"/>
          <w:szCs w:val="22"/>
        </w:rPr>
        <w:t>How the Bronfenbrenner bio-ecological system theory explains the development of students</w:t>
      </w:r>
      <w:r w:rsidR="005D1AB9">
        <w:rPr>
          <w:rFonts w:ascii="Arial" w:hAnsi="Arial" w:cs="Arial"/>
          <w:sz w:val="22"/>
          <w:szCs w:val="22"/>
        </w:rPr>
        <w:t>'</w:t>
      </w:r>
      <w:r w:rsidRPr="007336B7">
        <w:rPr>
          <w:rFonts w:ascii="Arial" w:hAnsi="Arial" w:cs="Arial"/>
          <w:sz w:val="22"/>
          <w:szCs w:val="22"/>
        </w:rPr>
        <w:t xml:space="preserve"> sense of belonging to school?</w:t>
      </w:r>
      <w:r w:rsidR="005D1AB9">
        <w:rPr>
          <w:rFonts w:ascii="Arial" w:hAnsi="Arial" w:cs="Arial"/>
          <w:sz w:val="22"/>
          <w:szCs w:val="22"/>
        </w:rPr>
        <w:t>'</w:t>
      </w:r>
      <w:r w:rsidRPr="007336B7">
        <w:rPr>
          <w:rFonts w:ascii="Arial" w:hAnsi="Arial" w:cs="Arial"/>
          <w:sz w:val="22"/>
          <w:szCs w:val="22"/>
        </w:rPr>
        <w:t xml:space="preserve">, SAGE Open, 12(4). Available at: </w:t>
      </w:r>
      <w:r w:rsidRPr="00E23425">
        <w:rPr>
          <w:rFonts w:ascii="Arial" w:hAnsi="Arial" w:cs="Arial"/>
          <w:sz w:val="22"/>
          <w:szCs w:val="22"/>
        </w:rPr>
        <w:t>https://doi.org/10.1177/21582440221134089</w:t>
      </w:r>
      <w:r w:rsidRPr="007336B7">
        <w:rPr>
          <w:rFonts w:ascii="Arial" w:hAnsi="Arial" w:cs="Arial"/>
          <w:sz w:val="22"/>
          <w:szCs w:val="22"/>
        </w:rPr>
        <w:t xml:space="preserve"> .</w:t>
      </w:r>
    </w:p>
    <w:p w14:paraId="20B25AFC" w14:textId="2FC24EC0" w:rsidR="007336B7" w:rsidRPr="007336B7" w:rsidRDefault="007336B7" w:rsidP="007336B7">
      <w:pPr>
        <w:pStyle w:val="NormalWeb"/>
        <w:spacing w:before="240" w:beforeAutospacing="0" w:after="240" w:afterAutospacing="0" w:line="360" w:lineRule="auto"/>
        <w:jc w:val="both"/>
        <w:rPr>
          <w:rFonts w:ascii="Arial" w:hAnsi="Arial" w:cs="Arial"/>
          <w:sz w:val="22"/>
          <w:szCs w:val="22"/>
        </w:rPr>
      </w:pPr>
      <w:r w:rsidRPr="007336B7">
        <w:rPr>
          <w:rFonts w:ascii="Arial" w:hAnsi="Arial" w:cs="Arial"/>
          <w:sz w:val="22"/>
          <w:szCs w:val="22"/>
        </w:rPr>
        <w:t xml:space="preserve">Hartstein, L.E., Mathew, G.M., Reichenberger, D.A., Rodriguez, I., Allen, N., Chang, A.-M., Chaput, J.-P., Christakis, D.A., Garrison, M., Gooley, J.J., Koos, J.A., Van den Bulck, J., Woods, H., Zeitzer, J.M., Dzierzewski, J.M. and Hale, L. (2024) </w:t>
      </w:r>
      <w:r w:rsidR="005D1AB9">
        <w:rPr>
          <w:rFonts w:ascii="Arial" w:hAnsi="Arial" w:cs="Arial"/>
          <w:sz w:val="22"/>
          <w:szCs w:val="22"/>
        </w:rPr>
        <w:t>'</w:t>
      </w:r>
      <w:r w:rsidRPr="007336B7">
        <w:rPr>
          <w:rFonts w:ascii="Arial" w:hAnsi="Arial" w:cs="Arial"/>
          <w:sz w:val="22"/>
          <w:szCs w:val="22"/>
        </w:rPr>
        <w:t>The impact of screen use on sleep health across the lifespan: A National Sleep Foundation consensus statement</w:t>
      </w:r>
      <w:r w:rsidR="005D1AB9">
        <w:rPr>
          <w:rFonts w:ascii="Arial" w:hAnsi="Arial" w:cs="Arial"/>
          <w:sz w:val="22"/>
          <w:szCs w:val="22"/>
        </w:rPr>
        <w:t>'</w:t>
      </w:r>
      <w:r w:rsidRPr="007336B7">
        <w:rPr>
          <w:rFonts w:ascii="Arial" w:hAnsi="Arial" w:cs="Arial"/>
          <w:sz w:val="22"/>
          <w:szCs w:val="22"/>
        </w:rPr>
        <w:t xml:space="preserve">, </w:t>
      </w:r>
      <w:r w:rsidRPr="007336B7">
        <w:rPr>
          <w:rStyle w:val="Emphasis"/>
          <w:rFonts w:ascii="Arial" w:eastAsiaTheme="majorEastAsia" w:hAnsi="Arial" w:cs="Arial"/>
          <w:sz w:val="22"/>
          <w:szCs w:val="22"/>
        </w:rPr>
        <w:t>Sleep Health</w:t>
      </w:r>
      <w:r w:rsidRPr="007336B7">
        <w:rPr>
          <w:rFonts w:ascii="Arial" w:hAnsi="Arial" w:cs="Arial"/>
          <w:sz w:val="22"/>
          <w:szCs w:val="22"/>
        </w:rPr>
        <w:t xml:space="preserve">, 10(4), pp. 373–384. Available at: </w:t>
      </w:r>
      <w:r w:rsidRPr="00E23425">
        <w:rPr>
          <w:rFonts w:ascii="Arial" w:eastAsiaTheme="majorEastAsia" w:hAnsi="Arial" w:cs="Arial"/>
          <w:sz w:val="22"/>
          <w:szCs w:val="22"/>
        </w:rPr>
        <w:t>https://doi.org/10.1016/j.sleh.2024.05.001</w:t>
      </w:r>
      <w:r w:rsidRPr="007336B7">
        <w:rPr>
          <w:rStyle w:val="HTMLCode"/>
          <w:rFonts w:ascii="Arial" w:eastAsiaTheme="majorEastAsia" w:hAnsi="Arial" w:cs="Arial"/>
          <w:sz w:val="22"/>
          <w:szCs w:val="22"/>
        </w:rPr>
        <w:t xml:space="preserve"> </w:t>
      </w:r>
      <w:r w:rsidRPr="007336B7">
        <w:rPr>
          <w:rFonts w:ascii="Arial" w:hAnsi="Arial" w:cs="Arial"/>
          <w:sz w:val="22"/>
          <w:szCs w:val="22"/>
        </w:rPr>
        <w:t xml:space="preserve">. </w:t>
      </w:r>
    </w:p>
    <w:p w14:paraId="75593455" w14:textId="4980705E" w:rsidR="007336B7" w:rsidRPr="007336B7" w:rsidRDefault="007336B7" w:rsidP="007336B7">
      <w:pPr>
        <w:pStyle w:val="NormalWeb"/>
        <w:spacing w:before="240" w:beforeAutospacing="0" w:after="240" w:afterAutospacing="0" w:line="360" w:lineRule="auto"/>
        <w:jc w:val="both"/>
        <w:rPr>
          <w:rFonts w:ascii="Arial" w:hAnsi="Arial" w:cs="Arial"/>
          <w:sz w:val="22"/>
          <w:szCs w:val="22"/>
        </w:rPr>
      </w:pPr>
      <w:r w:rsidRPr="007336B7">
        <w:rPr>
          <w:rFonts w:ascii="Arial" w:hAnsi="Arial" w:cs="Arial"/>
          <w:color w:val="000000"/>
          <w:sz w:val="22"/>
          <w:szCs w:val="22"/>
        </w:rPr>
        <w:t xml:space="preserve">Hugh-Jones, S., Pert, K., Kendal, S., Eltringham, S., Skelton, C., Yaziji, N. and West, R. (2022) </w:t>
      </w:r>
      <w:r w:rsidR="005D1AB9">
        <w:rPr>
          <w:rFonts w:ascii="Arial" w:hAnsi="Arial" w:cs="Arial"/>
          <w:color w:val="000000"/>
          <w:sz w:val="22"/>
          <w:szCs w:val="22"/>
        </w:rPr>
        <w:t>'</w:t>
      </w:r>
      <w:r w:rsidRPr="007336B7">
        <w:rPr>
          <w:rFonts w:ascii="Arial" w:hAnsi="Arial" w:cs="Arial"/>
          <w:color w:val="000000"/>
          <w:sz w:val="22"/>
          <w:szCs w:val="22"/>
        </w:rPr>
        <w:t>Adolescents accept digital mental health support in schools: A co-design and feasibility study of a school-based app for UK adolescents</w:t>
      </w:r>
      <w:r w:rsidR="005D1AB9">
        <w:rPr>
          <w:rFonts w:ascii="Arial" w:hAnsi="Arial" w:cs="Arial"/>
          <w:color w:val="000000"/>
          <w:sz w:val="22"/>
          <w:szCs w:val="22"/>
        </w:rPr>
        <w:t>'</w:t>
      </w:r>
      <w:r w:rsidRPr="007336B7">
        <w:rPr>
          <w:rFonts w:ascii="Arial" w:hAnsi="Arial" w:cs="Arial"/>
          <w:color w:val="000000"/>
          <w:sz w:val="22"/>
          <w:szCs w:val="22"/>
        </w:rPr>
        <w:t>, </w:t>
      </w:r>
      <w:r w:rsidRPr="007336B7">
        <w:rPr>
          <w:rFonts w:ascii="Arial" w:hAnsi="Arial" w:cs="Arial"/>
          <w:i/>
          <w:iCs/>
          <w:color w:val="000000"/>
          <w:sz w:val="22"/>
          <w:szCs w:val="22"/>
        </w:rPr>
        <w:t>Mental Health &amp; Prevention</w:t>
      </w:r>
      <w:r w:rsidRPr="007336B7">
        <w:rPr>
          <w:rFonts w:ascii="Arial" w:hAnsi="Arial" w:cs="Arial"/>
          <w:color w:val="000000"/>
          <w:sz w:val="22"/>
          <w:szCs w:val="22"/>
        </w:rPr>
        <w:t xml:space="preserve">, 27, p.200241. Available at: </w:t>
      </w:r>
      <w:r w:rsidRPr="00E23425">
        <w:rPr>
          <w:rFonts w:ascii="Arial" w:hAnsi="Arial" w:cs="Arial"/>
          <w:sz w:val="22"/>
          <w:szCs w:val="22"/>
        </w:rPr>
        <w:t>https://doi.org/10.1016/j.mhp.2022.200241</w:t>
      </w:r>
      <w:r w:rsidRPr="007336B7">
        <w:rPr>
          <w:rFonts w:ascii="Arial" w:hAnsi="Arial" w:cs="Arial"/>
          <w:color w:val="000000"/>
          <w:sz w:val="22"/>
          <w:szCs w:val="22"/>
        </w:rPr>
        <w:t xml:space="preserve"> .</w:t>
      </w:r>
    </w:p>
    <w:p w14:paraId="7A39A952" w14:textId="0BAA2256" w:rsidR="007336B7" w:rsidRPr="007336B7" w:rsidRDefault="007336B7" w:rsidP="007336B7">
      <w:pPr>
        <w:pStyle w:val="NormalWeb"/>
        <w:spacing w:before="240" w:beforeAutospacing="0" w:after="240" w:afterAutospacing="0" w:line="360" w:lineRule="auto"/>
        <w:jc w:val="both"/>
        <w:rPr>
          <w:rFonts w:ascii="Arial" w:hAnsi="Arial" w:cs="Arial"/>
          <w:sz w:val="22"/>
          <w:szCs w:val="22"/>
        </w:rPr>
      </w:pPr>
      <w:r w:rsidRPr="007336B7">
        <w:rPr>
          <w:rFonts w:ascii="Arial" w:hAnsi="Arial" w:cs="Arial"/>
          <w:sz w:val="22"/>
          <w:szCs w:val="22"/>
        </w:rPr>
        <w:t>Information Commissioner</w:t>
      </w:r>
      <w:r w:rsidR="005D1AB9">
        <w:rPr>
          <w:rFonts w:ascii="Arial" w:hAnsi="Arial" w:cs="Arial"/>
          <w:sz w:val="22"/>
          <w:szCs w:val="22"/>
        </w:rPr>
        <w:t>'</w:t>
      </w:r>
      <w:r w:rsidRPr="007336B7">
        <w:rPr>
          <w:rFonts w:ascii="Arial" w:hAnsi="Arial" w:cs="Arial"/>
          <w:sz w:val="22"/>
          <w:szCs w:val="22"/>
        </w:rPr>
        <w:t xml:space="preserve">s Office (2021) </w:t>
      </w:r>
      <w:r w:rsidRPr="007336B7">
        <w:rPr>
          <w:rStyle w:val="Emphasis"/>
          <w:rFonts w:ascii="Arial" w:eastAsiaTheme="majorEastAsia" w:hAnsi="Arial" w:cs="Arial"/>
          <w:sz w:val="22"/>
          <w:szCs w:val="22"/>
        </w:rPr>
        <w:t>Age appropriate design: a code of practice for online services</w:t>
      </w:r>
      <w:r w:rsidRPr="007336B7">
        <w:rPr>
          <w:rFonts w:ascii="Arial" w:hAnsi="Arial" w:cs="Arial"/>
          <w:sz w:val="22"/>
          <w:szCs w:val="22"/>
        </w:rPr>
        <w:t xml:space="preserve">. Available at: </w:t>
      </w:r>
      <w:r w:rsidRPr="00E23425">
        <w:rPr>
          <w:rFonts w:ascii="Arial" w:eastAsiaTheme="majorEastAsia" w:hAnsi="Arial" w:cs="Arial"/>
          <w:sz w:val="22"/>
          <w:szCs w:val="22"/>
        </w:rPr>
        <w:t>https://ico.org.uk/for-organisations/uk-gdpr-guidance-and-resources/childrens-information/childrens-code-guidance-and-resources/age-appropriate-design-a-code-of-practice-for-online-services/code-standards/</w:t>
      </w:r>
      <w:r w:rsidRPr="007336B7">
        <w:rPr>
          <w:rStyle w:val="HTMLCode"/>
          <w:rFonts w:ascii="Arial" w:eastAsiaTheme="majorEastAsia" w:hAnsi="Arial" w:cs="Arial"/>
          <w:sz w:val="22"/>
          <w:szCs w:val="22"/>
        </w:rPr>
        <w:t xml:space="preserve"> </w:t>
      </w:r>
      <w:r w:rsidRPr="007336B7">
        <w:rPr>
          <w:rFonts w:ascii="Arial" w:hAnsi="Arial" w:cs="Arial"/>
          <w:sz w:val="22"/>
          <w:szCs w:val="22"/>
        </w:rPr>
        <w:t xml:space="preserve">(Accessed: 10 April 2026). </w:t>
      </w:r>
    </w:p>
    <w:p w14:paraId="1121A627" w14:textId="61FEEDA9" w:rsidR="007336B7" w:rsidRPr="007336B7" w:rsidRDefault="007336B7" w:rsidP="007336B7">
      <w:pPr>
        <w:spacing w:before="240" w:after="240" w:line="360" w:lineRule="auto"/>
        <w:jc w:val="both"/>
        <w:rPr>
          <w:rFonts w:ascii="Arial" w:hAnsi="Arial" w:cs="Arial"/>
          <w:sz w:val="22"/>
          <w:szCs w:val="22"/>
        </w:rPr>
      </w:pPr>
      <w:r w:rsidRPr="007336B7">
        <w:rPr>
          <w:rFonts w:ascii="Arial" w:hAnsi="Arial" w:cs="Arial"/>
          <w:sz w:val="22"/>
          <w:szCs w:val="22"/>
        </w:rPr>
        <w:lastRenderedPageBreak/>
        <w:t xml:space="preserve">Martin, F., Dennen, V.P. and Bonk, C.J. (2020) </w:t>
      </w:r>
      <w:r w:rsidR="005D1AB9">
        <w:rPr>
          <w:rFonts w:ascii="Arial" w:hAnsi="Arial" w:cs="Arial"/>
          <w:sz w:val="22"/>
          <w:szCs w:val="22"/>
        </w:rPr>
        <w:t>'</w:t>
      </w:r>
      <w:r w:rsidRPr="007336B7">
        <w:rPr>
          <w:rFonts w:ascii="Arial" w:hAnsi="Arial" w:cs="Arial"/>
          <w:sz w:val="22"/>
          <w:szCs w:val="22"/>
        </w:rPr>
        <w:t>A synthesis of systematic review research on emerging learning environments and technologies</w:t>
      </w:r>
      <w:r w:rsidR="005D1AB9">
        <w:rPr>
          <w:rFonts w:ascii="Arial" w:hAnsi="Arial" w:cs="Arial"/>
          <w:sz w:val="22"/>
          <w:szCs w:val="22"/>
        </w:rPr>
        <w:t>'</w:t>
      </w:r>
      <w:r w:rsidRPr="007336B7">
        <w:rPr>
          <w:rFonts w:ascii="Arial" w:hAnsi="Arial" w:cs="Arial"/>
          <w:sz w:val="22"/>
          <w:szCs w:val="22"/>
        </w:rPr>
        <w:t xml:space="preserve">, Educational Technology Research and Development, 68, pp. 1613–1633. Available at: </w:t>
      </w:r>
      <w:r w:rsidRPr="00E23425">
        <w:rPr>
          <w:rFonts w:ascii="Arial" w:hAnsi="Arial" w:cs="Arial"/>
          <w:sz w:val="22"/>
          <w:szCs w:val="22"/>
        </w:rPr>
        <w:t>https://doi.org/10.1007/s11423-020-09812-2</w:t>
      </w:r>
      <w:r w:rsidRPr="007336B7">
        <w:rPr>
          <w:rFonts w:ascii="Arial" w:hAnsi="Arial" w:cs="Arial"/>
          <w:sz w:val="22"/>
          <w:szCs w:val="22"/>
        </w:rPr>
        <w:t xml:space="preserve"> .</w:t>
      </w:r>
    </w:p>
    <w:p w14:paraId="52EFE748" w14:textId="1D7549F1" w:rsidR="007336B7" w:rsidRPr="007336B7" w:rsidRDefault="007336B7" w:rsidP="005F770B">
      <w:pPr>
        <w:pStyle w:val="NormalWeb"/>
        <w:spacing w:before="240" w:beforeAutospacing="0" w:after="240" w:afterAutospacing="0" w:line="360" w:lineRule="auto"/>
        <w:jc w:val="both"/>
        <w:rPr>
          <w:rFonts w:ascii="Arial" w:hAnsi="Arial" w:cs="Arial"/>
          <w:sz w:val="22"/>
          <w:szCs w:val="22"/>
        </w:rPr>
      </w:pPr>
      <w:r w:rsidRPr="007336B7">
        <w:rPr>
          <w:rFonts w:ascii="Arial" w:hAnsi="Arial" w:cs="Arial"/>
          <w:sz w:val="22"/>
          <w:szCs w:val="22"/>
        </w:rPr>
        <w:t xml:space="preserve">Nagata, J.M., Cheng, C.M., Shim, J., Kiss, O., Ganson, K.T., Testa, A., He, J. and Baker, F.C. (2024) </w:t>
      </w:r>
      <w:r w:rsidR="005D1AB9">
        <w:rPr>
          <w:rFonts w:ascii="Arial" w:hAnsi="Arial" w:cs="Arial"/>
          <w:sz w:val="22"/>
          <w:szCs w:val="22"/>
        </w:rPr>
        <w:t>'</w:t>
      </w:r>
      <w:r w:rsidRPr="007336B7">
        <w:rPr>
          <w:rFonts w:ascii="Arial" w:hAnsi="Arial" w:cs="Arial"/>
          <w:sz w:val="22"/>
          <w:szCs w:val="22"/>
        </w:rPr>
        <w:t>Bedtime Screen Use Behaviors and Sleep Outcomes in Early Adolescents</w:t>
      </w:r>
      <w:r w:rsidR="005D1AB9">
        <w:rPr>
          <w:rFonts w:ascii="Arial" w:hAnsi="Arial" w:cs="Arial"/>
          <w:sz w:val="22"/>
          <w:szCs w:val="22"/>
        </w:rPr>
        <w:t>'</w:t>
      </w:r>
      <w:r w:rsidRPr="007336B7">
        <w:rPr>
          <w:rFonts w:ascii="Arial" w:hAnsi="Arial" w:cs="Arial"/>
          <w:sz w:val="22"/>
          <w:szCs w:val="22"/>
        </w:rPr>
        <w:t xml:space="preserve">, </w:t>
      </w:r>
      <w:r w:rsidRPr="007336B7">
        <w:rPr>
          <w:rStyle w:val="Emphasis"/>
          <w:rFonts w:ascii="Arial" w:eastAsiaTheme="majorEastAsia" w:hAnsi="Arial" w:cs="Arial"/>
          <w:sz w:val="22"/>
          <w:szCs w:val="22"/>
        </w:rPr>
        <w:t>Journal of Adolescent Health</w:t>
      </w:r>
      <w:r w:rsidRPr="007336B7">
        <w:rPr>
          <w:rFonts w:ascii="Arial" w:hAnsi="Arial" w:cs="Arial"/>
          <w:sz w:val="22"/>
          <w:szCs w:val="22"/>
        </w:rPr>
        <w:t xml:space="preserve">, 75(4), pp. 650–655. Available at: </w:t>
      </w:r>
      <w:r w:rsidRPr="00E23425">
        <w:rPr>
          <w:rFonts w:ascii="Arial" w:eastAsiaTheme="majorEastAsia" w:hAnsi="Arial" w:cs="Arial"/>
          <w:sz w:val="22"/>
          <w:szCs w:val="22"/>
        </w:rPr>
        <w:t>https://doi.org/10.1016/j.jadohealth.2024.06.006</w:t>
      </w:r>
      <w:r w:rsidRPr="007336B7">
        <w:rPr>
          <w:rStyle w:val="HTMLCode"/>
          <w:rFonts w:ascii="Arial" w:eastAsiaTheme="majorEastAsia" w:hAnsi="Arial" w:cs="Arial"/>
          <w:sz w:val="22"/>
          <w:szCs w:val="22"/>
        </w:rPr>
        <w:t xml:space="preserve"> </w:t>
      </w:r>
      <w:r w:rsidRPr="007336B7">
        <w:rPr>
          <w:rFonts w:ascii="Arial" w:hAnsi="Arial" w:cs="Arial"/>
          <w:sz w:val="22"/>
          <w:szCs w:val="22"/>
        </w:rPr>
        <w:t xml:space="preserve">. </w:t>
      </w:r>
    </w:p>
    <w:p w14:paraId="5CD37ADE" w14:textId="6E34C963" w:rsidR="007336B7" w:rsidRDefault="007336B7" w:rsidP="007336B7">
      <w:pPr>
        <w:spacing w:before="240" w:after="240" w:line="360" w:lineRule="auto"/>
        <w:jc w:val="both"/>
        <w:rPr>
          <w:rFonts w:ascii="Arial" w:hAnsi="Arial" w:cs="Arial"/>
          <w:sz w:val="22"/>
          <w:szCs w:val="22"/>
        </w:rPr>
      </w:pPr>
      <w:r w:rsidRPr="007336B7">
        <w:rPr>
          <w:rFonts w:ascii="Arial" w:hAnsi="Arial" w:cs="Arial"/>
          <w:sz w:val="22"/>
          <w:szCs w:val="22"/>
        </w:rPr>
        <w:t xml:space="preserve">Navarro, J.L. and Tudge, J.R.H. (2022) </w:t>
      </w:r>
      <w:r w:rsidR="005D1AB9">
        <w:rPr>
          <w:rFonts w:ascii="Arial" w:hAnsi="Arial" w:cs="Arial"/>
          <w:sz w:val="22"/>
          <w:szCs w:val="22"/>
        </w:rPr>
        <w:t>'</w:t>
      </w:r>
      <w:r w:rsidRPr="007336B7">
        <w:rPr>
          <w:rFonts w:ascii="Arial" w:hAnsi="Arial" w:cs="Arial"/>
          <w:sz w:val="22"/>
          <w:szCs w:val="22"/>
        </w:rPr>
        <w:t>Technologizing Bronfenbrenner: Neo-ecological theory</w:t>
      </w:r>
      <w:r w:rsidR="005D1AB9">
        <w:rPr>
          <w:rFonts w:ascii="Arial" w:hAnsi="Arial" w:cs="Arial"/>
          <w:sz w:val="22"/>
          <w:szCs w:val="22"/>
        </w:rPr>
        <w:t>'</w:t>
      </w:r>
      <w:r w:rsidRPr="007336B7">
        <w:rPr>
          <w:rFonts w:ascii="Arial" w:hAnsi="Arial" w:cs="Arial"/>
          <w:sz w:val="22"/>
          <w:szCs w:val="22"/>
        </w:rPr>
        <w:t xml:space="preserve">, Current Psychology. Available at: </w:t>
      </w:r>
      <w:r w:rsidRPr="00E23425">
        <w:rPr>
          <w:rFonts w:ascii="Arial" w:hAnsi="Arial" w:cs="Arial"/>
          <w:sz w:val="22"/>
          <w:szCs w:val="22"/>
        </w:rPr>
        <w:t>https://doi.org/10.1007/s12144-022-02738-3</w:t>
      </w:r>
      <w:r w:rsidRPr="007336B7">
        <w:rPr>
          <w:rFonts w:ascii="Arial" w:hAnsi="Arial" w:cs="Arial"/>
          <w:sz w:val="22"/>
          <w:szCs w:val="22"/>
        </w:rPr>
        <w:t xml:space="preserve"> </w:t>
      </w:r>
      <w:r>
        <w:rPr>
          <w:rFonts w:ascii="Arial" w:hAnsi="Arial" w:cs="Arial"/>
          <w:sz w:val="22"/>
          <w:szCs w:val="22"/>
        </w:rPr>
        <w:t>.</w:t>
      </w:r>
    </w:p>
    <w:p w14:paraId="488F63C8" w14:textId="0B7A8194" w:rsidR="007336B7" w:rsidRDefault="007336B7" w:rsidP="007336B7">
      <w:pPr>
        <w:spacing w:before="240" w:after="240" w:line="360" w:lineRule="auto"/>
        <w:jc w:val="both"/>
        <w:rPr>
          <w:rFonts w:ascii="Arial" w:hAnsi="Arial" w:cs="Arial"/>
          <w:sz w:val="22"/>
          <w:szCs w:val="22"/>
        </w:rPr>
      </w:pPr>
      <w:r w:rsidRPr="007336B7">
        <w:rPr>
          <w:rFonts w:ascii="Arial" w:hAnsi="Arial" w:cs="Arial"/>
          <w:color w:val="000000"/>
          <w:sz w:val="22"/>
          <w:szCs w:val="22"/>
        </w:rPr>
        <w:t>NSPCC (2024) </w:t>
      </w:r>
      <w:r w:rsidRPr="007336B7">
        <w:rPr>
          <w:rFonts w:ascii="Arial" w:hAnsi="Arial" w:cs="Arial"/>
          <w:i/>
          <w:iCs/>
          <w:color w:val="000000"/>
          <w:sz w:val="22"/>
          <w:szCs w:val="22"/>
        </w:rPr>
        <w:t>Online grooming crimes against children increase by 89% in six years</w:t>
      </w:r>
      <w:r w:rsidRPr="007336B7">
        <w:rPr>
          <w:rFonts w:ascii="Arial" w:hAnsi="Arial" w:cs="Arial"/>
          <w:color w:val="000000"/>
          <w:sz w:val="22"/>
          <w:szCs w:val="22"/>
        </w:rPr>
        <w:t xml:space="preserve">. Available at: </w:t>
      </w:r>
      <w:r w:rsidRPr="00E23425">
        <w:rPr>
          <w:rFonts w:ascii="Arial" w:hAnsi="Arial" w:cs="Arial"/>
          <w:sz w:val="22"/>
          <w:szCs w:val="22"/>
        </w:rPr>
        <w:t>https://www.nspcc.org.uk/about-us/news-opinion/2024/online-grooming-crimes-increase/</w:t>
      </w:r>
      <w:r w:rsidRPr="007336B7">
        <w:rPr>
          <w:rFonts w:ascii="Arial" w:hAnsi="Arial" w:cs="Arial"/>
          <w:color w:val="000000"/>
          <w:sz w:val="22"/>
          <w:szCs w:val="22"/>
        </w:rPr>
        <w:t xml:space="preserve"> </w:t>
      </w:r>
      <w:r w:rsidRPr="007336B7">
        <w:rPr>
          <w:rFonts w:ascii="Arial" w:hAnsi="Arial" w:cs="Arial"/>
          <w:sz w:val="22"/>
          <w:szCs w:val="22"/>
        </w:rPr>
        <w:t xml:space="preserve">(Accessed: 14 April 2026). </w:t>
      </w:r>
    </w:p>
    <w:p w14:paraId="4E2568BA" w14:textId="5721275E" w:rsidR="007336B7" w:rsidRPr="007336B7" w:rsidRDefault="007336B7" w:rsidP="007336B7">
      <w:pPr>
        <w:spacing w:before="240" w:after="240" w:line="360" w:lineRule="auto"/>
        <w:jc w:val="both"/>
        <w:rPr>
          <w:rFonts w:ascii="Arial" w:hAnsi="Arial" w:cs="Arial"/>
          <w:sz w:val="22"/>
          <w:szCs w:val="22"/>
        </w:rPr>
      </w:pPr>
      <w:r w:rsidRPr="007336B7">
        <w:rPr>
          <w:rFonts w:ascii="Arial" w:hAnsi="Arial" w:cs="Arial"/>
          <w:color w:val="000000"/>
          <w:sz w:val="22"/>
          <w:szCs w:val="22"/>
        </w:rPr>
        <w:t>O</w:t>
      </w:r>
      <w:r>
        <w:rPr>
          <w:rFonts w:ascii="Arial" w:hAnsi="Arial" w:cs="Arial"/>
          <w:color w:val="000000"/>
          <w:sz w:val="22"/>
          <w:szCs w:val="22"/>
        </w:rPr>
        <w:t>fcom</w:t>
      </w:r>
      <w:r w:rsidRPr="007336B7">
        <w:rPr>
          <w:rFonts w:ascii="Arial" w:hAnsi="Arial" w:cs="Arial"/>
          <w:color w:val="000000"/>
          <w:sz w:val="22"/>
          <w:szCs w:val="22"/>
        </w:rPr>
        <w:t xml:space="preserve"> (2022) </w:t>
      </w:r>
      <w:r w:rsidRPr="007336B7">
        <w:rPr>
          <w:rFonts w:ascii="Arial" w:hAnsi="Arial" w:cs="Arial"/>
          <w:i/>
          <w:iCs/>
          <w:color w:val="000000"/>
          <w:sz w:val="22"/>
          <w:szCs w:val="22"/>
        </w:rPr>
        <w:t>Threat of online bullying greater than offline</w:t>
      </w:r>
      <w:r w:rsidRPr="007336B7">
        <w:rPr>
          <w:rFonts w:ascii="Arial" w:hAnsi="Arial" w:cs="Arial"/>
          <w:color w:val="000000"/>
          <w:sz w:val="22"/>
          <w:szCs w:val="22"/>
        </w:rPr>
        <w:t xml:space="preserve">. [online] Available at: </w:t>
      </w:r>
      <w:r w:rsidRPr="00E23425">
        <w:rPr>
          <w:rFonts w:ascii="Arial" w:hAnsi="Arial" w:cs="Arial"/>
          <w:sz w:val="22"/>
          <w:szCs w:val="22"/>
        </w:rPr>
        <w:t>https://www.ofcom.org.uk/online-safety/protecting-children/threat-of-online-bullying-greater-than-offline</w:t>
      </w:r>
      <w:r w:rsidRPr="007336B7">
        <w:rPr>
          <w:rFonts w:ascii="Arial" w:hAnsi="Arial" w:cs="Arial"/>
          <w:color w:val="000000"/>
          <w:sz w:val="22"/>
          <w:szCs w:val="22"/>
        </w:rPr>
        <w:t xml:space="preserve"> </w:t>
      </w:r>
      <w:r w:rsidRPr="007336B7">
        <w:rPr>
          <w:rFonts w:ascii="Arial" w:hAnsi="Arial" w:cs="Arial"/>
          <w:sz w:val="22"/>
          <w:szCs w:val="22"/>
        </w:rPr>
        <w:t xml:space="preserve">(Accessed: 14 April 2026). </w:t>
      </w:r>
    </w:p>
    <w:p w14:paraId="0C2F7E91" w14:textId="70F19A70" w:rsidR="007336B7" w:rsidRPr="007336B7" w:rsidRDefault="007336B7" w:rsidP="007336B7">
      <w:pPr>
        <w:pStyle w:val="NormalWeb"/>
        <w:spacing w:before="240" w:beforeAutospacing="0" w:after="240" w:afterAutospacing="0" w:line="360" w:lineRule="auto"/>
        <w:jc w:val="both"/>
        <w:rPr>
          <w:rFonts w:ascii="Arial" w:hAnsi="Arial" w:cs="Arial"/>
          <w:b/>
          <w:bCs/>
          <w:sz w:val="22"/>
          <w:szCs w:val="22"/>
        </w:rPr>
      </w:pPr>
      <w:r w:rsidRPr="007336B7">
        <w:rPr>
          <w:rFonts w:ascii="Arial" w:hAnsi="Arial" w:cs="Arial"/>
          <w:sz w:val="22"/>
          <w:szCs w:val="22"/>
        </w:rPr>
        <w:t xml:space="preserve">Ofcom (2026) </w:t>
      </w:r>
      <w:r w:rsidRPr="007336B7">
        <w:rPr>
          <w:rStyle w:val="Emphasis"/>
          <w:rFonts w:ascii="Arial" w:eastAsiaTheme="majorEastAsia" w:hAnsi="Arial" w:cs="Arial"/>
          <w:sz w:val="22"/>
          <w:szCs w:val="22"/>
        </w:rPr>
        <w:t>Protection of children duties under the Online Safety Act</w:t>
      </w:r>
      <w:r w:rsidRPr="007336B7">
        <w:rPr>
          <w:rFonts w:ascii="Arial" w:hAnsi="Arial" w:cs="Arial"/>
          <w:sz w:val="22"/>
          <w:szCs w:val="22"/>
        </w:rPr>
        <w:t xml:space="preserve">. Available at: </w:t>
      </w:r>
      <w:r w:rsidRPr="00E23425">
        <w:rPr>
          <w:rFonts w:ascii="Arial" w:eastAsiaTheme="majorEastAsia" w:hAnsi="Arial" w:cs="Arial"/>
          <w:sz w:val="22"/>
          <w:szCs w:val="22"/>
        </w:rPr>
        <w:t>https://www.ofcom.org.uk/online-safety/protecting-children/protection-of-children-duties-under-the-online-safety-act</w:t>
      </w:r>
      <w:r w:rsidRPr="007336B7">
        <w:rPr>
          <w:rFonts w:ascii="Arial" w:hAnsi="Arial" w:cs="Arial"/>
          <w:sz w:val="22"/>
          <w:szCs w:val="22"/>
        </w:rPr>
        <w:t xml:space="preserve"> (Accessed: 10 April 2026). </w:t>
      </w:r>
    </w:p>
    <w:p w14:paraId="15172FBC" w14:textId="5398C8A0" w:rsidR="007336B7" w:rsidRPr="007336B7" w:rsidRDefault="007336B7" w:rsidP="007336B7">
      <w:pPr>
        <w:pStyle w:val="NormalWeb"/>
        <w:spacing w:before="0" w:beforeAutospacing="0" w:after="0" w:afterAutospacing="0" w:line="360" w:lineRule="auto"/>
        <w:rPr>
          <w:rFonts w:ascii="Arial" w:hAnsi="Arial" w:cs="Arial"/>
          <w:color w:val="000000"/>
          <w:sz w:val="22"/>
          <w:szCs w:val="22"/>
        </w:rPr>
      </w:pPr>
      <w:r w:rsidRPr="007336B7">
        <w:rPr>
          <w:rFonts w:ascii="Arial" w:hAnsi="Arial" w:cs="Arial"/>
          <w:sz w:val="22"/>
          <w:szCs w:val="22"/>
        </w:rPr>
        <w:t xml:space="preserve">Office for National Statistics [ONS] (2024) </w:t>
      </w:r>
      <w:r w:rsidRPr="007336B7">
        <w:rPr>
          <w:rStyle w:val="Emphasis"/>
          <w:rFonts w:ascii="Arial" w:eastAsiaTheme="majorEastAsia" w:hAnsi="Arial" w:cs="Arial"/>
          <w:sz w:val="22"/>
          <w:szCs w:val="22"/>
        </w:rPr>
        <w:t>Bullying and online experiences among children in England and Wales: year ending March 2023</w:t>
      </w:r>
      <w:r w:rsidRPr="007336B7">
        <w:rPr>
          <w:rFonts w:ascii="Arial" w:hAnsi="Arial" w:cs="Arial"/>
          <w:sz w:val="22"/>
          <w:szCs w:val="22"/>
        </w:rPr>
        <w:t xml:space="preserve">. Available at: </w:t>
      </w:r>
      <w:r w:rsidRPr="00E23425">
        <w:rPr>
          <w:rFonts w:ascii="Arial" w:hAnsi="Arial" w:cs="Arial"/>
          <w:sz w:val="22"/>
          <w:szCs w:val="22"/>
        </w:rPr>
        <w:t>https://www.ons.gov.uk/peoplepopulationandcommunity/crimeandjustice/bulletins/bullyingandonlineexperiencesamongchildreninenglandandwales/yearendingmarch2023</w:t>
      </w:r>
      <w:r w:rsidRPr="007336B7">
        <w:rPr>
          <w:rFonts w:ascii="Arial" w:hAnsi="Arial" w:cs="Arial"/>
          <w:sz w:val="22"/>
          <w:szCs w:val="22"/>
        </w:rPr>
        <w:t xml:space="preserve"> (Accessed: 14 April 2026). </w:t>
      </w:r>
    </w:p>
    <w:p w14:paraId="358EF579" w14:textId="16D4B525" w:rsidR="007336B7" w:rsidRPr="007336B7" w:rsidRDefault="007336B7" w:rsidP="005F770B">
      <w:pPr>
        <w:pStyle w:val="NormalWeb"/>
        <w:spacing w:before="240" w:beforeAutospacing="0" w:after="240" w:afterAutospacing="0" w:line="360" w:lineRule="auto"/>
        <w:jc w:val="both"/>
        <w:rPr>
          <w:rFonts w:ascii="Arial" w:hAnsi="Arial" w:cs="Arial"/>
          <w:sz w:val="22"/>
          <w:szCs w:val="22"/>
        </w:rPr>
      </w:pPr>
      <w:r w:rsidRPr="007336B7">
        <w:rPr>
          <w:rFonts w:ascii="Arial" w:hAnsi="Arial" w:cs="Arial"/>
          <w:sz w:val="22"/>
          <w:szCs w:val="22"/>
        </w:rPr>
        <w:t xml:space="preserve">Pedersen, J., Rasmussen, M.G.B., Sørensen, S.O., Mortensen, S.R., Olesen, L.G., Brønd, J.C., Brage, S., Kristensen, P.L. and Grøntved, A. (2022) </w:t>
      </w:r>
      <w:r w:rsidR="005D1AB9">
        <w:rPr>
          <w:rFonts w:ascii="Arial" w:hAnsi="Arial" w:cs="Arial"/>
          <w:sz w:val="22"/>
          <w:szCs w:val="22"/>
        </w:rPr>
        <w:t>'</w:t>
      </w:r>
      <w:r w:rsidRPr="007336B7">
        <w:rPr>
          <w:rFonts w:ascii="Arial" w:hAnsi="Arial" w:cs="Arial"/>
          <w:sz w:val="22"/>
          <w:szCs w:val="22"/>
        </w:rPr>
        <w:t>Effects of Limiting Recreational Screen Media Use on Physical Activity and Sleep in Families With Children: A Cluster Randomi</w:t>
      </w:r>
      <w:r w:rsidR="00F4013A">
        <w:rPr>
          <w:rFonts w:ascii="Arial" w:hAnsi="Arial" w:cs="Arial"/>
          <w:sz w:val="22"/>
          <w:szCs w:val="22"/>
        </w:rPr>
        <w:t>s</w:t>
      </w:r>
      <w:r w:rsidRPr="007336B7">
        <w:rPr>
          <w:rFonts w:ascii="Arial" w:hAnsi="Arial" w:cs="Arial"/>
          <w:sz w:val="22"/>
          <w:szCs w:val="22"/>
        </w:rPr>
        <w:t>ed Clinical Trial</w:t>
      </w:r>
      <w:r w:rsidR="005D1AB9">
        <w:rPr>
          <w:rFonts w:ascii="Arial" w:hAnsi="Arial" w:cs="Arial"/>
          <w:sz w:val="22"/>
          <w:szCs w:val="22"/>
        </w:rPr>
        <w:t>'</w:t>
      </w:r>
      <w:r w:rsidRPr="007336B7">
        <w:rPr>
          <w:rFonts w:ascii="Arial" w:hAnsi="Arial" w:cs="Arial"/>
          <w:sz w:val="22"/>
          <w:szCs w:val="22"/>
        </w:rPr>
        <w:t xml:space="preserve">, </w:t>
      </w:r>
      <w:r w:rsidRPr="007336B7">
        <w:rPr>
          <w:rStyle w:val="Emphasis"/>
          <w:rFonts w:ascii="Arial" w:eastAsiaTheme="majorEastAsia" w:hAnsi="Arial" w:cs="Arial"/>
          <w:sz w:val="22"/>
          <w:szCs w:val="22"/>
        </w:rPr>
        <w:t>JAMA Pediatrics</w:t>
      </w:r>
      <w:r w:rsidRPr="007336B7">
        <w:rPr>
          <w:rFonts w:ascii="Arial" w:hAnsi="Arial" w:cs="Arial"/>
          <w:sz w:val="22"/>
          <w:szCs w:val="22"/>
        </w:rPr>
        <w:t xml:space="preserve">, 176(8), pp. 741–749. Available at: </w:t>
      </w:r>
      <w:r w:rsidRPr="00E23425">
        <w:rPr>
          <w:rFonts w:ascii="Arial" w:eastAsiaTheme="majorEastAsia" w:hAnsi="Arial" w:cs="Arial"/>
          <w:sz w:val="22"/>
          <w:szCs w:val="22"/>
        </w:rPr>
        <w:t>https://doi.org/10.1001/jamapediatrics.2022.1519</w:t>
      </w:r>
      <w:r w:rsidRPr="007336B7">
        <w:rPr>
          <w:rStyle w:val="HTMLCode"/>
          <w:rFonts w:ascii="Arial" w:eastAsiaTheme="majorEastAsia" w:hAnsi="Arial" w:cs="Arial"/>
          <w:sz w:val="22"/>
          <w:szCs w:val="22"/>
        </w:rPr>
        <w:t xml:space="preserve"> </w:t>
      </w:r>
      <w:r w:rsidRPr="007336B7">
        <w:rPr>
          <w:rFonts w:ascii="Arial" w:hAnsi="Arial" w:cs="Arial"/>
          <w:sz w:val="22"/>
          <w:szCs w:val="22"/>
        </w:rPr>
        <w:t xml:space="preserve">. </w:t>
      </w:r>
    </w:p>
    <w:p w14:paraId="486BE2F2" w14:textId="2973975A" w:rsidR="007336B7" w:rsidRPr="007336B7" w:rsidRDefault="007336B7" w:rsidP="005F770B">
      <w:pPr>
        <w:pStyle w:val="NormalWeb"/>
        <w:spacing w:before="240" w:beforeAutospacing="0" w:after="240" w:afterAutospacing="0" w:line="360" w:lineRule="auto"/>
        <w:jc w:val="both"/>
        <w:rPr>
          <w:rStyle w:val="HTMLCode"/>
          <w:rFonts w:ascii="Arial" w:hAnsi="Arial" w:cs="Arial"/>
          <w:sz w:val="22"/>
          <w:szCs w:val="22"/>
        </w:rPr>
      </w:pPr>
      <w:r w:rsidRPr="007336B7">
        <w:rPr>
          <w:rFonts w:ascii="Arial" w:hAnsi="Arial" w:cs="Arial"/>
          <w:sz w:val="22"/>
          <w:szCs w:val="22"/>
        </w:rPr>
        <w:t xml:space="preserve">Sala, A., Porcaro, L. and Gómez, E. (2024) </w:t>
      </w:r>
      <w:r w:rsidR="005D1AB9">
        <w:rPr>
          <w:rFonts w:ascii="Arial" w:hAnsi="Arial" w:cs="Arial"/>
          <w:sz w:val="22"/>
          <w:szCs w:val="22"/>
        </w:rPr>
        <w:t>'</w:t>
      </w:r>
      <w:r w:rsidRPr="007336B7">
        <w:rPr>
          <w:rFonts w:ascii="Arial" w:hAnsi="Arial" w:cs="Arial"/>
          <w:sz w:val="22"/>
          <w:szCs w:val="22"/>
        </w:rPr>
        <w:t>Social Media Use and adolescents</w:t>
      </w:r>
      <w:r w:rsidR="005D1AB9">
        <w:rPr>
          <w:rFonts w:ascii="Arial" w:hAnsi="Arial" w:cs="Arial"/>
          <w:sz w:val="22"/>
          <w:szCs w:val="22"/>
        </w:rPr>
        <w:t>'</w:t>
      </w:r>
      <w:r w:rsidRPr="007336B7">
        <w:rPr>
          <w:rFonts w:ascii="Arial" w:hAnsi="Arial" w:cs="Arial"/>
          <w:sz w:val="22"/>
          <w:szCs w:val="22"/>
        </w:rPr>
        <w:t xml:space="preserve"> mental health and well-being: An umbrella review</w:t>
      </w:r>
      <w:r w:rsidR="005D1AB9">
        <w:rPr>
          <w:rFonts w:ascii="Arial" w:hAnsi="Arial" w:cs="Arial"/>
          <w:sz w:val="22"/>
          <w:szCs w:val="22"/>
        </w:rPr>
        <w:t>'</w:t>
      </w:r>
      <w:r w:rsidRPr="007336B7">
        <w:rPr>
          <w:rFonts w:ascii="Arial" w:hAnsi="Arial" w:cs="Arial"/>
          <w:sz w:val="22"/>
          <w:szCs w:val="22"/>
        </w:rPr>
        <w:t xml:space="preserve">, </w:t>
      </w:r>
      <w:r w:rsidRPr="007336B7">
        <w:rPr>
          <w:rStyle w:val="Emphasis"/>
          <w:rFonts w:ascii="Arial" w:eastAsiaTheme="majorEastAsia" w:hAnsi="Arial" w:cs="Arial"/>
          <w:sz w:val="22"/>
          <w:szCs w:val="22"/>
        </w:rPr>
        <w:t>Computers in Human Behavior Reports</w:t>
      </w:r>
      <w:r w:rsidRPr="007336B7">
        <w:rPr>
          <w:rFonts w:ascii="Arial" w:hAnsi="Arial" w:cs="Arial"/>
          <w:sz w:val="22"/>
          <w:szCs w:val="22"/>
        </w:rPr>
        <w:t xml:space="preserve">, 15, 100404. Available at: </w:t>
      </w:r>
      <w:r w:rsidRPr="00E23425">
        <w:rPr>
          <w:rFonts w:ascii="Arial" w:eastAsiaTheme="majorEastAsia" w:hAnsi="Arial" w:cs="Arial"/>
          <w:sz w:val="22"/>
          <w:szCs w:val="22"/>
        </w:rPr>
        <w:t>https://doi.org/10.1016/j.chbr.2024.100404</w:t>
      </w:r>
      <w:r w:rsidRPr="007336B7">
        <w:rPr>
          <w:rFonts w:ascii="Arial" w:hAnsi="Arial" w:cs="Arial"/>
          <w:sz w:val="22"/>
          <w:szCs w:val="22"/>
        </w:rPr>
        <w:t xml:space="preserve"> . </w:t>
      </w:r>
    </w:p>
    <w:p w14:paraId="6DEE3C65" w14:textId="6693B35F" w:rsidR="007336B7" w:rsidRPr="007336B7" w:rsidRDefault="007336B7" w:rsidP="005F770B">
      <w:pPr>
        <w:pStyle w:val="NormalWeb"/>
        <w:spacing w:before="240" w:beforeAutospacing="0" w:after="240" w:afterAutospacing="0" w:line="360" w:lineRule="auto"/>
        <w:jc w:val="both"/>
        <w:rPr>
          <w:rFonts w:ascii="Arial" w:hAnsi="Arial" w:cs="Arial"/>
          <w:sz w:val="22"/>
          <w:szCs w:val="22"/>
        </w:rPr>
      </w:pPr>
      <w:r w:rsidRPr="007336B7">
        <w:rPr>
          <w:rFonts w:ascii="Arial" w:hAnsi="Arial" w:cs="Arial"/>
          <w:sz w:val="22"/>
          <w:szCs w:val="22"/>
        </w:rPr>
        <w:lastRenderedPageBreak/>
        <w:t xml:space="preserve">Santos, R.M.S., Mendes, C.G., Bressani, G.Y.S., Ventura, S.A., Nogueira, Y.J.A., Miranda, D.M. and Romano-Silva, M.A. (2023) </w:t>
      </w:r>
      <w:r w:rsidR="005D1AB9">
        <w:rPr>
          <w:rFonts w:ascii="Arial" w:hAnsi="Arial" w:cs="Arial"/>
          <w:sz w:val="22"/>
          <w:szCs w:val="22"/>
        </w:rPr>
        <w:t>'</w:t>
      </w:r>
      <w:r w:rsidRPr="007336B7">
        <w:rPr>
          <w:rFonts w:ascii="Arial" w:hAnsi="Arial" w:cs="Arial"/>
          <w:sz w:val="22"/>
          <w:szCs w:val="22"/>
        </w:rPr>
        <w:t>The associations between screen time and mental health in adolescents: a systematic review</w:t>
      </w:r>
      <w:r w:rsidR="005D1AB9">
        <w:rPr>
          <w:rFonts w:ascii="Arial" w:hAnsi="Arial" w:cs="Arial"/>
          <w:sz w:val="22"/>
          <w:szCs w:val="22"/>
        </w:rPr>
        <w:t>'</w:t>
      </w:r>
      <w:r w:rsidRPr="007336B7">
        <w:rPr>
          <w:rFonts w:ascii="Arial" w:hAnsi="Arial" w:cs="Arial"/>
          <w:sz w:val="22"/>
          <w:szCs w:val="22"/>
        </w:rPr>
        <w:t xml:space="preserve">, </w:t>
      </w:r>
      <w:r w:rsidRPr="007336B7">
        <w:rPr>
          <w:rStyle w:val="Emphasis"/>
          <w:rFonts w:ascii="Arial" w:eastAsiaTheme="majorEastAsia" w:hAnsi="Arial" w:cs="Arial"/>
          <w:sz w:val="22"/>
          <w:szCs w:val="22"/>
        </w:rPr>
        <w:t>BMC Psychology</w:t>
      </w:r>
      <w:r w:rsidRPr="007336B7">
        <w:rPr>
          <w:rFonts w:ascii="Arial" w:hAnsi="Arial" w:cs="Arial"/>
          <w:sz w:val="22"/>
          <w:szCs w:val="22"/>
        </w:rPr>
        <w:t xml:space="preserve">, 11, 127. Available at: </w:t>
      </w:r>
      <w:r w:rsidRPr="00E23425">
        <w:rPr>
          <w:rFonts w:ascii="Arial" w:eastAsiaTheme="majorEastAsia" w:hAnsi="Arial" w:cs="Arial"/>
          <w:sz w:val="22"/>
          <w:szCs w:val="22"/>
        </w:rPr>
        <w:t>https://doi.org/10.1186/s40359-023-01166-7</w:t>
      </w:r>
      <w:r w:rsidRPr="007336B7">
        <w:rPr>
          <w:rFonts w:ascii="Arial" w:hAnsi="Arial" w:cs="Arial"/>
          <w:sz w:val="22"/>
          <w:szCs w:val="22"/>
        </w:rPr>
        <w:t xml:space="preserve"> .</w:t>
      </w:r>
    </w:p>
    <w:p w14:paraId="678FF0C4" w14:textId="56DB1F2D" w:rsidR="007336B7" w:rsidRPr="007336B7" w:rsidRDefault="007336B7" w:rsidP="005F770B">
      <w:pPr>
        <w:pStyle w:val="NormalWeb"/>
        <w:spacing w:before="240" w:beforeAutospacing="0" w:after="240" w:afterAutospacing="0" w:line="360" w:lineRule="auto"/>
        <w:jc w:val="both"/>
        <w:rPr>
          <w:rFonts w:ascii="Arial" w:hAnsi="Arial" w:cs="Arial"/>
          <w:sz w:val="22"/>
          <w:szCs w:val="22"/>
        </w:rPr>
      </w:pPr>
      <w:r w:rsidRPr="007336B7">
        <w:rPr>
          <w:rFonts w:ascii="Arial" w:hAnsi="Arial" w:cs="Arial"/>
          <w:sz w:val="22"/>
          <w:szCs w:val="22"/>
        </w:rPr>
        <w:t xml:space="preserve">Shannon, H., Bush, K., Villeneuve, P.J., Hellemans, K.G.C. and Guimond, S. (2022) </w:t>
      </w:r>
      <w:r w:rsidR="005D1AB9">
        <w:rPr>
          <w:rFonts w:ascii="Arial" w:hAnsi="Arial" w:cs="Arial"/>
          <w:sz w:val="22"/>
          <w:szCs w:val="22"/>
        </w:rPr>
        <w:t>'</w:t>
      </w:r>
      <w:r w:rsidRPr="007336B7">
        <w:rPr>
          <w:rFonts w:ascii="Arial" w:hAnsi="Arial" w:cs="Arial"/>
          <w:sz w:val="22"/>
          <w:szCs w:val="22"/>
        </w:rPr>
        <w:t>Problematic Social Media Use in Adolescents and Young Adults: Systematic Review and Meta-analysis</w:t>
      </w:r>
      <w:r w:rsidR="005D1AB9">
        <w:rPr>
          <w:rFonts w:ascii="Arial" w:hAnsi="Arial" w:cs="Arial"/>
          <w:sz w:val="22"/>
          <w:szCs w:val="22"/>
        </w:rPr>
        <w:t>'</w:t>
      </w:r>
      <w:r w:rsidRPr="007336B7">
        <w:rPr>
          <w:rFonts w:ascii="Arial" w:hAnsi="Arial" w:cs="Arial"/>
          <w:sz w:val="22"/>
          <w:szCs w:val="22"/>
        </w:rPr>
        <w:t xml:space="preserve">, </w:t>
      </w:r>
      <w:r w:rsidRPr="007336B7">
        <w:rPr>
          <w:rStyle w:val="Emphasis"/>
          <w:rFonts w:ascii="Arial" w:eastAsiaTheme="majorEastAsia" w:hAnsi="Arial" w:cs="Arial"/>
          <w:sz w:val="22"/>
          <w:szCs w:val="22"/>
        </w:rPr>
        <w:t>JMIR Mental Health</w:t>
      </w:r>
      <w:r w:rsidRPr="007336B7">
        <w:rPr>
          <w:rFonts w:ascii="Arial" w:hAnsi="Arial" w:cs="Arial"/>
          <w:sz w:val="22"/>
          <w:szCs w:val="22"/>
        </w:rPr>
        <w:t xml:space="preserve">, 9(4), e33450. Available at: </w:t>
      </w:r>
      <w:r w:rsidRPr="00E23425">
        <w:rPr>
          <w:rFonts w:ascii="Arial" w:eastAsiaTheme="majorEastAsia" w:hAnsi="Arial" w:cs="Arial"/>
          <w:sz w:val="22"/>
          <w:szCs w:val="22"/>
        </w:rPr>
        <w:t>https://doi.org/10.2196/33450</w:t>
      </w:r>
      <w:r w:rsidRPr="007336B7">
        <w:rPr>
          <w:rFonts w:ascii="Arial" w:hAnsi="Arial" w:cs="Arial"/>
          <w:sz w:val="22"/>
          <w:szCs w:val="22"/>
        </w:rPr>
        <w:t xml:space="preserve"> </w:t>
      </w:r>
    </w:p>
    <w:p w14:paraId="181475A2" w14:textId="08704A32" w:rsidR="007336B7" w:rsidRPr="007336B7" w:rsidRDefault="007336B7" w:rsidP="005F770B">
      <w:pPr>
        <w:pStyle w:val="NormalWeb"/>
        <w:spacing w:before="240" w:beforeAutospacing="0" w:after="240" w:afterAutospacing="0" w:line="360" w:lineRule="auto"/>
        <w:jc w:val="both"/>
        <w:rPr>
          <w:rFonts w:ascii="Arial" w:hAnsi="Arial" w:cs="Arial"/>
          <w:color w:val="000000"/>
          <w:sz w:val="22"/>
          <w:szCs w:val="22"/>
        </w:rPr>
      </w:pPr>
      <w:r w:rsidRPr="007336B7">
        <w:rPr>
          <w:rFonts w:ascii="Arial" w:hAnsi="Arial" w:cs="Arial"/>
          <w:color w:val="000000"/>
          <w:sz w:val="22"/>
          <w:szCs w:val="22"/>
        </w:rPr>
        <w:t>Teague, S., Klaire Somoray, Shatte, A., Miller, D., Moss, K., Crawford, A., Wildman, H., Kayal, D. and Hutchinson, D. (2026)</w:t>
      </w:r>
      <w:r w:rsidR="005D1AB9">
        <w:rPr>
          <w:rFonts w:ascii="Arial" w:hAnsi="Arial" w:cs="Arial"/>
          <w:color w:val="000000"/>
          <w:sz w:val="22"/>
          <w:szCs w:val="22"/>
        </w:rPr>
        <w:t xml:space="preserve">' </w:t>
      </w:r>
      <w:r w:rsidRPr="007336B7">
        <w:rPr>
          <w:rFonts w:ascii="Arial" w:hAnsi="Arial" w:cs="Arial"/>
          <w:color w:val="000000"/>
          <w:sz w:val="22"/>
          <w:szCs w:val="22"/>
        </w:rPr>
        <w:t>Digital Media Use and Child Health and Development: A Systematic Review and Meta-Analysis</w:t>
      </w:r>
      <w:r w:rsidR="005D1AB9">
        <w:rPr>
          <w:rFonts w:ascii="Arial" w:hAnsi="Arial" w:cs="Arial"/>
          <w:color w:val="000000"/>
          <w:sz w:val="22"/>
          <w:szCs w:val="22"/>
        </w:rPr>
        <w:t>'</w:t>
      </w:r>
      <w:r w:rsidRPr="007336B7">
        <w:rPr>
          <w:rFonts w:ascii="Arial" w:hAnsi="Arial" w:cs="Arial"/>
          <w:color w:val="000000"/>
          <w:sz w:val="22"/>
          <w:szCs w:val="22"/>
        </w:rPr>
        <w:t>,  </w:t>
      </w:r>
      <w:r w:rsidRPr="007336B7">
        <w:rPr>
          <w:rFonts w:ascii="Arial" w:hAnsi="Arial" w:cs="Arial"/>
          <w:i/>
          <w:iCs/>
          <w:color w:val="000000"/>
          <w:sz w:val="22"/>
          <w:szCs w:val="22"/>
        </w:rPr>
        <w:t>JAMA Pediatrics</w:t>
      </w:r>
      <w:r w:rsidRPr="007336B7">
        <w:rPr>
          <w:rFonts w:ascii="Arial" w:hAnsi="Arial" w:cs="Arial"/>
          <w:color w:val="000000"/>
          <w:sz w:val="22"/>
          <w:szCs w:val="22"/>
        </w:rPr>
        <w:t xml:space="preserve">. </w:t>
      </w:r>
      <w:r w:rsidRPr="007336B7">
        <w:rPr>
          <w:rFonts w:ascii="Arial" w:hAnsi="Arial" w:cs="Arial"/>
          <w:sz w:val="22"/>
          <w:szCs w:val="22"/>
        </w:rPr>
        <w:t xml:space="preserve">Available at: </w:t>
      </w:r>
      <w:r w:rsidRPr="007336B7">
        <w:rPr>
          <w:rFonts w:ascii="Arial" w:hAnsi="Arial" w:cs="Arial"/>
          <w:color w:val="000000"/>
          <w:sz w:val="22"/>
          <w:szCs w:val="22"/>
        </w:rPr>
        <w:t xml:space="preserve"> </w:t>
      </w:r>
      <w:r w:rsidRPr="00E23425">
        <w:rPr>
          <w:rFonts w:ascii="Arial" w:hAnsi="Arial" w:cs="Arial"/>
          <w:sz w:val="22"/>
          <w:szCs w:val="22"/>
        </w:rPr>
        <w:t>https://doi.org/10.1001/jamapediatrics.2026.0085</w:t>
      </w:r>
      <w:r w:rsidRPr="007336B7">
        <w:rPr>
          <w:rFonts w:ascii="Arial" w:hAnsi="Arial" w:cs="Arial"/>
          <w:color w:val="000000"/>
          <w:sz w:val="22"/>
          <w:szCs w:val="22"/>
        </w:rPr>
        <w:t xml:space="preserve"> .</w:t>
      </w:r>
    </w:p>
    <w:p w14:paraId="63F186F0" w14:textId="770EBFCC" w:rsidR="007336B7" w:rsidRPr="007336B7" w:rsidRDefault="007336B7" w:rsidP="005F770B">
      <w:pPr>
        <w:spacing w:before="240" w:after="240" w:line="360" w:lineRule="auto"/>
        <w:jc w:val="both"/>
        <w:rPr>
          <w:rStyle w:val="HTMLCode"/>
          <w:rFonts w:ascii="Arial" w:eastAsiaTheme="minorHAnsi" w:hAnsi="Arial" w:cs="Arial"/>
          <w:sz w:val="22"/>
          <w:szCs w:val="22"/>
        </w:rPr>
      </w:pPr>
      <w:r w:rsidRPr="007336B7">
        <w:rPr>
          <w:rFonts w:ascii="Arial" w:hAnsi="Arial" w:cs="Arial"/>
          <w:sz w:val="22"/>
          <w:szCs w:val="22"/>
        </w:rPr>
        <w:t xml:space="preserve">Telzer, E.H. and Burnell, K. (2026) </w:t>
      </w:r>
      <w:r w:rsidR="005D1AB9">
        <w:rPr>
          <w:rFonts w:ascii="Arial" w:hAnsi="Arial" w:cs="Arial"/>
          <w:sz w:val="22"/>
          <w:szCs w:val="22"/>
        </w:rPr>
        <w:t>'</w:t>
      </w:r>
      <w:r w:rsidRPr="007336B7">
        <w:rPr>
          <w:rFonts w:ascii="Arial" w:hAnsi="Arial" w:cs="Arial"/>
          <w:sz w:val="22"/>
          <w:szCs w:val="22"/>
        </w:rPr>
        <w:t>Smartphone Use During School Hours and Association With Cognitive Control in Youths Aged 11 to 18 Years</w:t>
      </w:r>
      <w:r w:rsidR="005D1AB9">
        <w:rPr>
          <w:rFonts w:ascii="Arial" w:hAnsi="Arial" w:cs="Arial"/>
          <w:sz w:val="22"/>
          <w:szCs w:val="22"/>
        </w:rPr>
        <w:t>'</w:t>
      </w:r>
      <w:r w:rsidRPr="007336B7">
        <w:rPr>
          <w:rFonts w:ascii="Arial" w:hAnsi="Arial" w:cs="Arial"/>
          <w:sz w:val="22"/>
          <w:szCs w:val="22"/>
        </w:rPr>
        <w:t xml:space="preserve">, </w:t>
      </w:r>
      <w:r w:rsidRPr="007336B7">
        <w:rPr>
          <w:rStyle w:val="Emphasis"/>
          <w:rFonts w:ascii="Arial" w:hAnsi="Arial" w:cs="Arial"/>
          <w:sz w:val="22"/>
          <w:szCs w:val="22"/>
        </w:rPr>
        <w:t>JAMA Network Open</w:t>
      </w:r>
      <w:r w:rsidRPr="007336B7">
        <w:rPr>
          <w:rFonts w:ascii="Arial" w:hAnsi="Arial" w:cs="Arial"/>
          <w:sz w:val="22"/>
          <w:szCs w:val="22"/>
        </w:rPr>
        <w:t xml:space="preserve">, 9(3), e261092. Available at: </w:t>
      </w:r>
      <w:r w:rsidRPr="00E23425">
        <w:rPr>
          <w:rFonts w:ascii="Arial" w:hAnsi="Arial" w:cs="Arial"/>
          <w:sz w:val="22"/>
          <w:szCs w:val="22"/>
        </w:rPr>
        <w:t>https://doi.org/10.1001/jamanetworkopen.2026.1092</w:t>
      </w:r>
      <w:r w:rsidRPr="007336B7">
        <w:rPr>
          <w:rStyle w:val="HTMLCode"/>
          <w:rFonts w:ascii="Arial" w:eastAsiaTheme="majorEastAsia" w:hAnsi="Arial" w:cs="Arial"/>
          <w:sz w:val="22"/>
          <w:szCs w:val="22"/>
        </w:rPr>
        <w:t xml:space="preserve"> .</w:t>
      </w:r>
    </w:p>
    <w:p w14:paraId="43D2A324" w14:textId="5157E290" w:rsidR="007336B7" w:rsidRPr="007336B7" w:rsidRDefault="007336B7" w:rsidP="005F770B">
      <w:pPr>
        <w:pStyle w:val="NormalWeb"/>
        <w:spacing w:before="240" w:beforeAutospacing="0" w:after="240" w:afterAutospacing="0" w:line="360" w:lineRule="auto"/>
        <w:jc w:val="both"/>
        <w:rPr>
          <w:rFonts w:ascii="Arial" w:hAnsi="Arial" w:cs="Arial"/>
          <w:sz w:val="22"/>
          <w:szCs w:val="22"/>
        </w:rPr>
      </w:pPr>
      <w:r w:rsidRPr="007336B7">
        <w:rPr>
          <w:rFonts w:ascii="Arial" w:hAnsi="Arial" w:cs="Arial"/>
          <w:sz w:val="22"/>
          <w:szCs w:val="22"/>
        </w:rPr>
        <w:t xml:space="preserve">Thorell, L.B., Burén, J., Ström Wiman, J., Sandberg, D. and Nutley, S.B. (2024) </w:t>
      </w:r>
      <w:r w:rsidR="005D1AB9">
        <w:rPr>
          <w:rFonts w:ascii="Arial" w:hAnsi="Arial" w:cs="Arial"/>
          <w:sz w:val="22"/>
          <w:szCs w:val="22"/>
        </w:rPr>
        <w:t>'</w:t>
      </w:r>
      <w:r w:rsidRPr="007336B7">
        <w:rPr>
          <w:rFonts w:ascii="Arial" w:hAnsi="Arial" w:cs="Arial"/>
          <w:sz w:val="22"/>
          <w:szCs w:val="22"/>
        </w:rPr>
        <w:t>Longitudinal associations between digital media use and ADHD symptoms in children and adolescents: a systematic literature review</w:t>
      </w:r>
      <w:r w:rsidR="005D1AB9">
        <w:rPr>
          <w:rFonts w:ascii="Arial" w:hAnsi="Arial" w:cs="Arial"/>
          <w:sz w:val="22"/>
          <w:szCs w:val="22"/>
        </w:rPr>
        <w:t>'</w:t>
      </w:r>
      <w:r w:rsidRPr="007336B7">
        <w:rPr>
          <w:rFonts w:ascii="Arial" w:hAnsi="Arial" w:cs="Arial"/>
          <w:sz w:val="22"/>
          <w:szCs w:val="22"/>
        </w:rPr>
        <w:t xml:space="preserve">, </w:t>
      </w:r>
      <w:r w:rsidRPr="007336B7">
        <w:rPr>
          <w:rStyle w:val="Emphasis"/>
          <w:rFonts w:ascii="Arial" w:eastAsiaTheme="majorEastAsia" w:hAnsi="Arial" w:cs="Arial"/>
          <w:sz w:val="22"/>
          <w:szCs w:val="22"/>
        </w:rPr>
        <w:t>European Child &amp; Adolescent Psychiatry</w:t>
      </w:r>
      <w:r w:rsidRPr="007336B7">
        <w:rPr>
          <w:rFonts w:ascii="Arial" w:hAnsi="Arial" w:cs="Arial"/>
          <w:sz w:val="22"/>
          <w:szCs w:val="22"/>
        </w:rPr>
        <w:t xml:space="preserve">, 33, pp. 2503–2526. Available at: </w:t>
      </w:r>
      <w:r w:rsidRPr="00E23425">
        <w:rPr>
          <w:rFonts w:ascii="Arial" w:eastAsiaTheme="majorEastAsia" w:hAnsi="Arial" w:cs="Arial"/>
          <w:sz w:val="22"/>
          <w:szCs w:val="22"/>
        </w:rPr>
        <w:t>https://doi.org/10.1007/s00787-022-02130-3</w:t>
      </w:r>
      <w:r w:rsidRPr="007336B7">
        <w:rPr>
          <w:rStyle w:val="HTMLCode"/>
          <w:rFonts w:ascii="Arial" w:eastAsiaTheme="majorEastAsia" w:hAnsi="Arial" w:cs="Arial"/>
          <w:sz w:val="22"/>
          <w:szCs w:val="22"/>
        </w:rPr>
        <w:t xml:space="preserve"> </w:t>
      </w:r>
      <w:r w:rsidRPr="007336B7">
        <w:rPr>
          <w:rFonts w:ascii="Arial" w:hAnsi="Arial" w:cs="Arial"/>
          <w:sz w:val="22"/>
          <w:szCs w:val="22"/>
        </w:rPr>
        <w:t xml:space="preserve">. </w:t>
      </w:r>
    </w:p>
    <w:p w14:paraId="02C982E2" w14:textId="77777777" w:rsidR="007336B7" w:rsidRPr="007336B7" w:rsidRDefault="007336B7" w:rsidP="005F770B">
      <w:pPr>
        <w:pStyle w:val="NormalWeb"/>
        <w:spacing w:before="240" w:beforeAutospacing="0" w:after="240" w:afterAutospacing="0" w:line="360" w:lineRule="auto"/>
        <w:jc w:val="both"/>
        <w:rPr>
          <w:rFonts w:ascii="Arial" w:hAnsi="Arial" w:cs="Arial"/>
          <w:b/>
          <w:bCs/>
          <w:sz w:val="22"/>
          <w:szCs w:val="22"/>
        </w:rPr>
      </w:pPr>
      <w:r w:rsidRPr="007336B7">
        <w:rPr>
          <w:rFonts w:ascii="Arial" w:hAnsi="Arial" w:cs="Arial"/>
          <w:sz w:val="22"/>
          <w:szCs w:val="22"/>
        </w:rPr>
        <w:t xml:space="preserve">UK Government (2023) </w:t>
      </w:r>
      <w:r w:rsidRPr="007336B7">
        <w:rPr>
          <w:rStyle w:val="Emphasis"/>
          <w:rFonts w:ascii="Arial" w:eastAsiaTheme="majorEastAsia" w:hAnsi="Arial" w:cs="Arial"/>
          <w:sz w:val="22"/>
          <w:szCs w:val="22"/>
        </w:rPr>
        <w:t>Online Safety Act: explainer</w:t>
      </w:r>
      <w:r w:rsidRPr="007336B7">
        <w:rPr>
          <w:rFonts w:ascii="Arial" w:hAnsi="Arial" w:cs="Arial"/>
          <w:sz w:val="22"/>
          <w:szCs w:val="22"/>
        </w:rPr>
        <w:t xml:space="preserve">. Available at: </w:t>
      </w:r>
      <w:hyperlink r:id="rId5" w:history="1">
        <w:r w:rsidRPr="007336B7">
          <w:rPr>
            <w:rStyle w:val="Hyperlink"/>
            <w:rFonts w:ascii="Arial" w:eastAsiaTheme="majorEastAsia" w:hAnsi="Arial" w:cs="Arial"/>
            <w:sz w:val="22"/>
            <w:szCs w:val="22"/>
          </w:rPr>
          <w:t>https://www.gov.uk/government/publications/online-safety-act-explainer/online-safety-act-explainer</w:t>
        </w:r>
      </w:hyperlink>
      <w:r w:rsidRPr="007336B7">
        <w:rPr>
          <w:rFonts w:ascii="Arial" w:hAnsi="Arial" w:cs="Arial"/>
          <w:sz w:val="22"/>
          <w:szCs w:val="22"/>
        </w:rPr>
        <w:t xml:space="preserve"> (Accessed: 10 April 2026). </w:t>
      </w:r>
    </w:p>
    <w:p w14:paraId="07AED3AC" w14:textId="77777777" w:rsidR="007336B7" w:rsidRPr="007336B7" w:rsidRDefault="007336B7" w:rsidP="005F770B">
      <w:pPr>
        <w:pStyle w:val="NormalWeb"/>
        <w:spacing w:before="240" w:beforeAutospacing="0" w:after="240" w:afterAutospacing="0" w:line="360" w:lineRule="auto"/>
        <w:jc w:val="both"/>
        <w:rPr>
          <w:rFonts w:ascii="Arial" w:hAnsi="Arial" w:cs="Arial"/>
          <w:color w:val="000000"/>
          <w:sz w:val="22"/>
          <w:szCs w:val="22"/>
        </w:rPr>
      </w:pPr>
      <w:r w:rsidRPr="007336B7">
        <w:rPr>
          <w:rFonts w:ascii="Arial" w:hAnsi="Arial" w:cs="Arial"/>
          <w:color w:val="000000"/>
          <w:sz w:val="22"/>
          <w:szCs w:val="22"/>
        </w:rPr>
        <w:t>Veletsianos, G. (2016) </w:t>
      </w:r>
      <w:r w:rsidRPr="007336B7">
        <w:rPr>
          <w:rFonts w:ascii="Arial" w:hAnsi="Arial" w:cs="Arial"/>
          <w:i/>
          <w:iCs/>
          <w:color w:val="000000"/>
          <w:sz w:val="22"/>
          <w:szCs w:val="22"/>
        </w:rPr>
        <w:t>Emergence and innovation in digital learning : foundations and applications</w:t>
      </w:r>
      <w:r w:rsidRPr="007336B7">
        <w:rPr>
          <w:rFonts w:ascii="Arial" w:hAnsi="Arial" w:cs="Arial"/>
          <w:color w:val="000000"/>
          <w:sz w:val="22"/>
          <w:szCs w:val="22"/>
        </w:rPr>
        <w:t>. Au Press.</w:t>
      </w:r>
    </w:p>
    <w:p w14:paraId="58FB3079" w14:textId="72699ED3" w:rsidR="007336B7" w:rsidRPr="007336B7" w:rsidRDefault="007336B7" w:rsidP="005F770B">
      <w:pPr>
        <w:pStyle w:val="NormalWeb"/>
        <w:spacing w:before="240" w:beforeAutospacing="0" w:after="240" w:afterAutospacing="0" w:line="360" w:lineRule="auto"/>
        <w:jc w:val="both"/>
        <w:rPr>
          <w:rFonts w:ascii="Arial" w:hAnsi="Arial" w:cs="Arial"/>
          <w:sz w:val="22"/>
          <w:szCs w:val="22"/>
        </w:rPr>
      </w:pPr>
      <w:r w:rsidRPr="007336B7">
        <w:rPr>
          <w:rFonts w:ascii="Arial" w:hAnsi="Arial" w:cs="Arial"/>
          <w:sz w:val="22"/>
          <w:szCs w:val="22"/>
        </w:rPr>
        <w:t xml:space="preserve">Welsh Government (2021a) </w:t>
      </w:r>
      <w:r w:rsidRPr="007336B7">
        <w:rPr>
          <w:rStyle w:val="Emphasis"/>
          <w:rFonts w:ascii="Arial" w:eastAsiaTheme="majorEastAsia" w:hAnsi="Arial" w:cs="Arial"/>
          <w:sz w:val="22"/>
          <w:szCs w:val="22"/>
        </w:rPr>
        <w:t>Keeping learners safe- The role of local authorities, governing bodies and proprietors of independent schools under the Education Act 2002</w:t>
      </w:r>
      <w:r w:rsidRPr="007336B7">
        <w:rPr>
          <w:rFonts w:ascii="Arial" w:hAnsi="Arial" w:cs="Arial"/>
          <w:sz w:val="22"/>
          <w:szCs w:val="22"/>
        </w:rPr>
        <w:t xml:space="preserve">. Cardiff: Welsh Government. Available at: </w:t>
      </w:r>
      <w:r w:rsidRPr="00E23425">
        <w:rPr>
          <w:rFonts w:ascii="Arial" w:eastAsiaTheme="majorEastAsia" w:hAnsi="Arial" w:cs="Arial"/>
          <w:sz w:val="22"/>
          <w:szCs w:val="22"/>
        </w:rPr>
        <w:t>https://www.gov.wales/sites/default/files/publications/2021-12/keeping-learners-safe.pdf</w:t>
      </w:r>
      <w:r w:rsidRPr="007336B7">
        <w:rPr>
          <w:rFonts w:ascii="Arial" w:hAnsi="Arial" w:cs="Arial"/>
          <w:sz w:val="22"/>
          <w:szCs w:val="22"/>
        </w:rPr>
        <w:t xml:space="preserve"> (Accessed: 10 April 2026). </w:t>
      </w:r>
    </w:p>
    <w:p w14:paraId="377F6B43" w14:textId="4B8C6A2B" w:rsidR="007336B7" w:rsidRPr="007336B7" w:rsidRDefault="007336B7" w:rsidP="005F770B">
      <w:pPr>
        <w:pStyle w:val="NormalWeb"/>
        <w:spacing w:before="240" w:beforeAutospacing="0" w:after="240" w:afterAutospacing="0" w:line="360" w:lineRule="auto"/>
        <w:jc w:val="both"/>
        <w:rPr>
          <w:rFonts w:ascii="Arial" w:hAnsi="Arial" w:cs="Arial"/>
          <w:sz w:val="22"/>
          <w:szCs w:val="22"/>
        </w:rPr>
      </w:pPr>
      <w:r w:rsidRPr="007336B7">
        <w:rPr>
          <w:rFonts w:ascii="Arial" w:hAnsi="Arial" w:cs="Arial"/>
          <w:sz w:val="22"/>
          <w:szCs w:val="22"/>
        </w:rPr>
        <w:t xml:space="preserve">Welsh Government (2021b) </w:t>
      </w:r>
      <w:r w:rsidRPr="007336B7">
        <w:rPr>
          <w:rStyle w:val="Emphasis"/>
          <w:rFonts w:ascii="Arial" w:eastAsiaTheme="majorEastAsia" w:hAnsi="Arial" w:cs="Arial"/>
          <w:sz w:val="22"/>
          <w:szCs w:val="22"/>
        </w:rPr>
        <w:t>Framework on embedding a whole-school approach to emotional and mental well</w:t>
      </w:r>
      <w:r w:rsidR="00F4013A">
        <w:rPr>
          <w:rStyle w:val="Emphasis"/>
          <w:rFonts w:ascii="Arial" w:eastAsiaTheme="majorEastAsia" w:hAnsi="Arial" w:cs="Arial"/>
          <w:sz w:val="22"/>
          <w:szCs w:val="22"/>
        </w:rPr>
        <w:t>-</w:t>
      </w:r>
      <w:r w:rsidRPr="007336B7">
        <w:rPr>
          <w:rStyle w:val="Emphasis"/>
          <w:rFonts w:ascii="Arial" w:eastAsiaTheme="majorEastAsia" w:hAnsi="Arial" w:cs="Arial"/>
          <w:sz w:val="22"/>
          <w:szCs w:val="22"/>
        </w:rPr>
        <w:t>being</w:t>
      </w:r>
      <w:r w:rsidRPr="007336B7">
        <w:rPr>
          <w:rFonts w:ascii="Arial" w:hAnsi="Arial" w:cs="Arial"/>
          <w:sz w:val="22"/>
          <w:szCs w:val="22"/>
        </w:rPr>
        <w:t xml:space="preserve">. Cardiff: Welsh Government. Available at: </w:t>
      </w:r>
      <w:r w:rsidRPr="00E23425">
        <w:rPr>
          <w:rFonts w:ascii="Arial" w:eastAsiaTheme="majorEastAsia" w:hAnsi="Arial" w:cs="Arial"/>
          <w:sz w:val="22"/>
          <w:szCs w:val="22"/>
        </w:rPr>
        <w:t>https://www.gov.wales/sites/default/files/publications/2021-03/framework-on-embedding-a-whole-school-approach-to-emotional-and-mental-well-being.pdf</w:t>
      </w:r>
      <w:r w:rsidRPr="007336B7">
        <w:rPr>
          <w:rStyle w:val="HTMLCode"/>
          <w:rFonts w:ascii="Arial" w:hAnsi="Arial" w:cs="Arial"/>
          <w:sz w:val="22"/>
          <w:szCs w:val="22"/>
        </w:rPr>
        <w:t xml:space="preserve"> </w:t>
      </w:r>
      <w:r w:rsidRPr="007336B7">
        <w:rPr>
          <w:rFonts w:ascii="Arial" w:hAnsi="Arial" w:cs="Arial"/>
          <w:sz w:val="22"/>
          <w:szCs w:val="22"/>
        </w:rPr>
        <w:t xml:space="preserve">(Accessed: 10 April 2026). </w:t>
      </w:r>
    </w:p>
    <w:p w14:paraId="2E42C7AD" w14:textId="6090105B" w:rsidR="007336B7" w:rsidRPr="007336B7" w:rsidRDefault="007336B7" w:rsidP="005F770B">
      <w:pPr>
        <w:pStyle w:val="NormalWeb"/>
        <w:spacing w:before="240" w:beforeAutospacing="0" w:after="240" w:afterAutospacing="0" w:line="360" w:lineRule="auto"/>
        <w:jc w:val="both"/>
        <w:rPr>
          <w:rFonts w:ascii="Arial" w:hAnsi="Arial" w:cs="Arial"/>
          <w:b/>
          <w:bCs/>
          <w:sz w:val="22"/>
          <w:szCs w:val="22"/>
        </w:rPr>
      </w:pPr>
      <w:r w:rsidRPr="007336B7">
        <w:rPr>
          <w:rFonts w:ascii="Arial" w:hAnsi="Arial" w:cs="Arial"/>
          <w:sz w:val="22"/>
          <w:szCs w:val="22"/>
        </w:rPr>
        <w:lastRenderedPageBreak/>
        <w:t xml:space="preserve">Welsh Government (2025) </w:t>
      </w:r>
      <w:r w:rsidRPr="007336B7">
        <w:rPr>
          <w:rStyle w:val="Emphasis"/>
          <w:rFonts w:ascii="Arial" w:eastAsiaTheme="majorEastAsia" w:hAnsi="Arial" w:cs="Arial"/>
          <w:sz w:val="22"/>
          <w:szCs w:val="22"/>
        </w:rPr>
        <w:t>Challenging bullying and harassment</w:t>
      </w:r>
      <w:r w:rsidRPr="007336B7">
        <w:rPr>
          <w:rFonts w:ascii="Arial" w:hAnsi="Arial" w:cs="Arial"/>
          <w:sz w:val="22"/>
          <w:szCs w:val="22"/>
        </w:rPr>
        <w:t xml:space="preserve">. Available at: </w:t>
      </w:r>
      <w:r w:rsidRPr="00E23425">
        <w:rPr>
          <w:rFonts w:ascii="Arial" w:eastAsiaTheme="majorEastAsia" w:hAnsi="Arial" w:cs="Arial"/>
          <w:sz w:val="22"/>
          <w:szCs w:val="22"/>
        </w:rPr>
        <w:t>https://www.gov.wales/sites/default/files/consultations/2025-05/rights-respect-equality-statutory-guidance.pdf</w:t>
      </w:r>
      <w:r w:rsidRPr="007336B7">
        <w:rPr>
          <w:rFonts w:ascii="Arial" w:hAnsi="Arial" w:cs="Arial"/>
          <w:sz w:val="22"/>
          <w:szCs w:val="22"/>
        </w:rPr>
        <w:t xml:space="preserve"> (Accessed: 10 April 2026). </w:t>
      </w:r>
    </w:p>
    <w:p w14:paraId="52F3059F" w14:textId="0136AD4E" w:rsidR="007336B7" w:rsidRPr="007336B7" w:rsidRDefault="007336B7" w:rsidP="005F770B">
      <w:pPr>
        <w:pStyle w:val="NormalWeb"/>
        <w:spacing w:before="240" w:beforeAutospacing="0" w:after="240" w:afterAutospacing="0" w:line="360" w:lineRule="auto"/>
        <w:jc w:val="both"/>
        <w:rPr>
          <w:rFonts w:ascii="Arial" w:hAnsi="Arial" w:cs="Arial"/>
          <w:sz w:val="22"/>
          <w:szCs w:val="22"/>
        </w:rPr>
      </w:pPr>
      <w:r w:rsidRPr="007336B7">
        <w:rPr>
          <w:rFonts w:ascii="Arial" w:hAnsi="Arial" w:cs="Arial"/>
          <w:sz w:val="22"/>
          <w:szCs w:val="22"/>
        </w:rPr>
        <w:t xml:space="preserve">Welsh Government (2026) </w:t>
      </w:r>
      <w:r w:rsidRPr="007336B7">
        <w:rPr>
          <w:rStyle w:val="Emphasis"/>
          <w:rFonts w:ascii="Arial" w:eastAsiaTheme="majorEastAsia" w:hAnsi="Arial" w:cs="Arial"/>
          <w:sz w:val="22"/>
          <w:szCs w:val="22"/>
        </w:rPr>
        <w:t>Hwb programme: integrated impact assessment</w:t>
      </w:r>
      <w:r w:rsidRPr="007336B7">
        <w:rPr>
          <w:rFonts w:ascii="Arial" w:hAnsi="Arial" w:cs="Arial"/>
          <w:sz w:val="22"/>
          <w:szCs w:val="22"/>
        </w:rPr>
        <w:t xml:space="preserve">. Available at: </w:t>
      </w:r>
      <w:r w:rsidRPr="00E23425">
        <w:rPr>
          <w:rFonts w:ascii="Arial" w:eastAsiaTheme="majorEastAsia" w:hAnsi="Arial" w:cs="Arial"/>
          <w:sz w:val="22"/>
          <w:szCs w:val="22"/>
        </w:rPr>
        <w:t>https://www.gov.wales/hwb-programme-integrated-impact-assessment-html</w:t>
      </w:r>
      <w:r w:rsidRPr="007336B7">
        <w:rPr>
          <w:rFonts w:ascii="Arial" w:hAnsi="Arial" w:cs="Arial"/>
          <w:sz w:val="22"/>
          <w:szCs w:val="22"/>
        </w:rPr>
        <w:t xml:space="preserve"> (Accessed: 10 April 2026). </w:t>
      </w:r>
    </w:p>
    <w:p w14:paraId="0C9D2CDD" w14:textId="770A619A" w:rsidR="00363723" w:rsidRPr="005F770B" w:rsidRDefault="007336B7" w:rsidP="005F770B">
      <w:pPr>
        <w:pStyle w:val="NormalWeb"/>
        <w:spacing w:before="240" w:beforeAutospacing="0" w:after="240" w:afterAutospacing="0" w:line="360" w:lineRule="auto"/>
        <w:jc w:val="both"/>
        <w:rPr>
          <w:rFonts w:ascii="Arial" w:hAnsi="Arial" w:cs="Arial"/>
          <w:sz w:val="22"/>
          <w:szCs w:val="22"/>
        </w:rPr>
      </w:pPr>
      <w:r w:rsidRPr="007336B7">
        <w:rPr>
          <w:rFonts w:ascii="Arial" w:hAnsi="Arial" w:cs="Arial"/>
          <w:sz w:val="22"/>
          <w:szCs w:val="22"/>
        </w:rPr>
        <w:t xml:space="preserve">WHO Regional Office for Europe (2024) </w:t>
      </w:r>
      <w:r w:rsidRPr="007336B7">
        <w:rPr>
          <w:rStyle w:val="Emphasis"/>
          <w:rFonts w:ascii="Arial" w:eastAsiaTheme="majorEastAsia" w:hAnsi="Arial" w:cs="Arial"/>
          <w:sz w:val="22"/>
          <w:szCs w:val="22"/>
        </w:rPr>
        <w:t>Teens, screens and mental health</w:t>
      </w:r>
      <w:r w:rsidRPr="007336B7">
        <w:rPr>
          <w:rFonts w:ascii="Arial" w:hAnsi="Arial" w:cs="Arial"/>
          <w:sz w:val="22"/>
          <w:szCs w:val="22"/>
        </w:rPr>
        <w:t xml:space="preserve">. Geneva. Available at: </w:t>
      </w:r>
      <w:r w:rsidRPr="00E23425">
        <w:rPr>
          <w:rFonts w:ascii="Arial" w:eastAsiaTheme="majorEastAsia" w:hAnsi="Arial" w:cs="Arial"/>
          <w:sz w:val="22"/>
          <w:szCs w:val="22"/>
        </w:rPr>
        <w:t>https://www.who.int/europe/news/item/25-09-2024-teens--screens-and-mental-health</w:t>
      </w:r>
      <w:r w:rsidRPr="007336B7">
        <w:rPr>
          <w:rFonts w:ascii="Arial" w:hAnsi="Arial" w:cs="Arial"/>
          <w:sz w:val="22"/>
          <w:szCs w:val="22"/>
        </w:rPr>
        <w:t xml:space="preserve"> (Accessed: 10 April 2026). </w:t>
      </w:r>
    </w:p>
    <w:p w14:paraId="65A6FE62" w14:textId="77777777" w:rsidR="00363723" w:rsidRDefault="00363723" w:rsidP="00B56768">
      <w:pPr>
        <w:pStyle w:val="NormalWeb"/>
        <w:spacing w:before="0" w:beforeAutospacing="0" w:after="0" w:afterAutospacing="0" w:line="360" w:lineRule="atLeast"/>
        <w:rPr>
          <w:rFonts w:ascii="Calibri" w:hAnsi="Calibri" w:cs="Calibri"/>
          <w:color w:val="000000"/>
          <w:sz w:val="27"/>
          <w:szCs w:val="27"/>
        </w:rPr>
      </w:pPr>
    </w:p>
    <w:p w14:paraId="2C0BFD42" w14:textId="77777777" w:rsidR="00B56768" w:rsidRDefault="00B56768" w:rsidP="00B56768">
      <w:pPr>
        <w:pStyle w:val="NormalWeb"/>
        <w:rPr>
          <w:rFonts w:ascii="Calibri" w:hAnsi="Calibri" w:cs="Calibri"/>
          <w:color w:val="000000"/>
          <w:sz w:val="27"/>
          <w:szCs w:val="27"/>
        </w:rPr>
      </w:pPr>
      <w:r>
        <w:rPr>
          <w:rFonts w:ascii="Calibri" w:hAnsi="Calibri" w:cs="Calibri"/>
          <w:color w:val="000000"/>
          <w:sz w:val="27"/>
          <w:szCs w:val="27"/>
        </w:rPr>
        <w:t>‌</w:t>
      </w:r>
    </w:p>
    <w:p w14:paraId="59377B43" w14:textId="77777777" w:rsidR="00B56768" w:rsidRDefault="00B56768" w:rsidP="00AB2AA1">
      <w:pPr>
        <w:pStyle w:val="NormalWeb"/>
        <w:spacing w:before="0" w:beforeAutospacing="0" w:after="0" w:afterAutospacing="0" w:line="360" w:lineRule="atLeast"/>
        <w:rPr>
          <w:rFonts w:ascii="Calibri" w:hAnsi="Calibri" w:cs="Calibri"/>
          <w:color w:val="000000"/>
          <w:sz w:val="27"/>
          <w:szCs w:val="27"/>
        </w:rPr>
      </w:pPr>
    </w:p>
    <w:p w14:paraId="5956F4E6" w14:textId="77777777" w:rsidR="00AB2AA1" w:rsidRDefault="00AB2AA1" w:rsidP="00AB2AA1">
      <w:pPr>
        <w:pStyle w:val="NormalWeb"/>
        <w:rPr>
          <w:rFonts w:ascii="Calibri" w:hAnsi="Calibri" w:cs="Calibri"/>
          <w:color w:val="000000"/>
          <w:sz w:val="27"/>
          <w:szCs w:val="27"/>
        </w:rPr>
      </w:pPr>
      <w:r>
        <w:rPr>
          <w:rFonts w:ascii="Calibri" w:hAnsi="Calibri" w:cs="Calibri"/>
          <w:color w:val="000000"/>
          <w:sz w:val="27"/>
          <w:szCs w:val="27"/>
        </w:rPr>
        <w:t>‌</w:t>
      </w:r>
    </w:p>
    <w:p w14:paraId="44BCF27D" w14:textId="77777777" w:rsidR="00AB2AA1" w:rsidRDefault="00AB2AA1" w:rsidP="00542D9A">
      <w:pPr>
        <w:pStyle w:val="NormalWeb"/>
        <w:spacing w:before="0" w:beforeAutospacing="0" w:after="0" w:afterAutospacing="0" w:line="360" w:lineRule="atLeast"/>
        <w:rPr>
          <w:rFonts w:ascii="Calibri" w:hAnsi="Calibri" w:cs="Calibri"/>
          <w:color w:val="000000"/>
          <w:sz w:val="27"/>
          <w:szCs w:val="27"/>
        </w:rPr>
      </w:pPr>
    </w:p>
    <w:p w14:paraId="0C6F17DF" w14:textId="77777777" w:rsidR="00542D9A" w:rsidRDefault="00542D9A" w:rsidP="00542D9A">
      <w:pPr>
        <w:pStyle w:val="NormalWeb"/>
        <w:rPr>
          <w:rFonts w:ascii="Calibri" w:hAnsi="Calibri" w:cs="Calibri"/>
          <w:color w:val="000000"/>
          <w:sz w:val="27"/>
          <w:szCs w:val="27"/>
        </w:rPr>
      </w:pPr>
      <w:r>
        <w:rPr>
          <w:rFonts w:ascii="Calibri" w:hAnsi="Calibri" w:cs="Calibri"/>
          <w:color w:val="000000"/>
          <w:sz w:val="27"/>
          <w:szCs w:val="27"/>
        </w:rPr>
        <w:t>‌</w:t>
      </w:r>
    </w:p>
    <w:p w14:paraId="641ADCA5" w14:textId="77777777" w:rsidR="00542D9A" w:rsidRPr="003259A7" w:rsidRDefault="00542D9A" w:rsidP="003259A7">
      <w:pPr>
        <w:pStyle w:val="NormalWeb"/>
        <w:spacing w:before="240" w:beforeAutospacing="0" w:after="240" w:afterAutospacing="0" w:line="360" w:lineRule="auto"/>
        <w:ind w:left="360"/>
        <w:jc w:val="both"/>
        <w:rPr>
          <w:rFonts w:ascii="Arial" w:hAnsi="Arial" w:cs="Arial"/>
          <w:sz w:val="22"/>
          <w:szCs w:val="22"/>
        </w:rPr>
      </w:pPr>
    </w:p>
    <w:p w14:paraId="344A4E7B" w14:textId="77777777" w:rsidR="000B2F89" w:rsidRDefault="000B2F89" w:rsidP="00FF055C">
      <w:pPr>
        <w:ind w:left="360"/>
      </w:pPr>
    </w:p>
    <w:p w14:paraId="1937AA59" w14:textId="77777777" w:rsidR="0043071B" w:rsidRDefault="0043071B" w:rsidP="0043071B">
      <w:pPr>
        <w:pStyle w:val="NormalWeb"/>
        <w:spacing w:before="0" w:beforeAutospacing="0" w:after="0" w:afterAutospacing="0" w:line="360" w:lineRule="atLeast"/>
        <w:rPr>
          <w:rFonts w:ascii="Calibri" w:hAnsi="Calibri" w:cs="Calibri"/>
          <w:color w:val="000000"/>
          <w:sz w:val="27"/>
          <w:szCs w:val="27"/>
        </w:rPr>
      </w:pPr>
    </w:p>
    <w:p w14:paraId="66BEB418" w14:textId="2778C94B" w:rsidR="0043071B" w:rsidRDefault="0043071B" w:rsidP="0043071B">
      <w:pPr>
        <w:pStyle w:val="NormalWeb"/>
        <w:rPr>
          <w:rFonts w:ascii="Calibri" w:hAnsi="Calibri" w:cs="Calibri"/>
          <w:color w:val="000000"/>
          <w:sz w:val="27"/>
          <w:szCs w:val="27"/>
        </w:rPr>
      </w:pPr>
    </w:p>
    <w:p w14:paraId="28161732" w14:textId="77777777" w:rsidR="0043071B" w:rsidRDefault="0043071B"/>
    <w:sectPr w:rsidR="004307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016D9"/>
    <w:multiLevelType w:val="hybridMultilevel"/>
    <w:tmpl w:val="6980B9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F3B44"/>
    <w:multiLevelType w:val="hybridMultilevel"/>
    <w:tmpl w:val="B88E97DC"/>
    <w:lvl w:ilvl="0" w:tplc="FFFFFFFF">
      <w:start w:val="1"/>
      <w:numFmt w:val="decimal"/>
      <w:lvlText w:val="%1."/>
      <w:lvlJc w:val="left"/>
      <w:pPr>
        <w:ind w:left="720" w:hanging="360"/>
      </w:pPr>
    </w:lvl>
    <w:lvl w:ilvl="1" w:tplc="08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2608CF"/>
    <w:multiLevelType w:val="hybridMultilevel"/>
    <w:tmpl w:val="2C9CB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3412DA"/>
    <w:multiLevelType w:val="hybridMultilevel"/>
    <w:tmpl w:val="D0AE4B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80104F"/>
    <w:multiLevelType w:val="hybridMultilevel"/>
    <w:tmpl w:val="22F0B006"/>
    <w:lvl w:ilvl="0" w:tplc="0809000B">
      <w:start w:val="1"/>
      <w:numFmt w:val="bullet"/>
      <w:lvlText w:val=""/>
      <w:lvlJc w:val="left"/>
      <w:pPr>
        <w:ind w:left="360" w:hanging="360"/>
      </w:pPr>
      <w:rPr>
        <w:rFonts w:ascii="Wingdings" w:hAnsi="Wingdings" w:hint="default"/>
      </w:rPr>
    </w:lvl>
    <w:lvl w:ilvl="1" w:tplc="34D2E876">
      <w:numFmt w:val="bullet"/>
      <w:lvlText w:val=""/>
      <w:lvlJc w:val="left"/>
      <w:pPr>
        <w:ind w:left="1440" w:hanging="360"/>
      </w:pPr>
      <w:rPr>
        <w:rFonts w:ascii="Symbol" w:eastAsia="Aptos"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9F523C"/>
    <w:multiLevelType w:val="hybridMultilevel"/>
    <w:tmpl w:val="EB5605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D4051FF"/>
    <w:multiLevelType w:val="hybridMultilevel"/>
    <w:tmpl w:val="E15C07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726992">
    <w:abstractNumId w:val="0"/>
  </w:num>
  <w:num w:numId="2" w16cid:durableId="678822576">
    <w:abstractNumId w:val="4"/>
  </w:num>
  <w:num w:numId="3" w16cid:durableId="1357583175">
    <w:abstractNumId w:val="3"/>
  </w:num>
  <w:num w:numId="4" w16cid:durableId="1603025255">
    <w:abstractNumId w:val="1"/>
  </w:num>
  <w:num w:numId="5" w16cid:durableId="2142989689">
    <w:abstractNumId w:val="6"/>
  </w:num>
  <w:num w:numId="6" w16cid:durableId="1002313115">
    <w:abstractNumId w:val="2"/>
  </w:num>
  <w:num w:numId="7" w16cid:durableId="10864195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AyMjI2MTA0tzA1MrJQ0lEKTi0uzszPAykwrQUABcybjSwAAAA="/>
  </w:docVars>
  <w:rsids>
    <w:rsidRoot w:val="00351793"/>
    <w:rsid w:val="000020E4"/>
    <w:rsid w:val="00010BEC"/>
    <w:rsid w:val="00021564"/>
    <w:rsid w:val="000B2F89"/>
    <w:rsid w:val="00123999"/>
    <w:rsid w:val="0012629C"/>
    <w:rsid w:val="00135D38"/>
    <w:rsid w:val="001462D6"/>
    <w:rsid w:val="00182916"/>
    <w:rsid w:val="00192588"/>
    <w:rsid w:val="001A6178"/>
    <w:rsid w:val="001D7B57"/>
    <w:rsid w:val="001E2CB2"/>
    <w:rsid w:val="00210F08"/>
    <w:rsid w:val="002C25BA"/>
    <w:rsid w:val="002F75B7"/>
    <w:rsid w:val="003259A7"/>
    <w:rsid w:val="00341FFA"/>
    <w:rsid w:val="00351793"/>
    <w:rsid w:val="00363723"/>
    <w:rsid w:val="003A511C"/>
    <w:rsid w:val="003D17DA"/>
    <w:rsid w:val="003D75AA"/>
    <w:rsid w:val="004045CE"/>
    <w:rsid w:val="00405680"/>
    <w:rsid w:val="004206F3"/>
    <w:rsid w:val="0043071B"/>
    <w:rsid w:val="00430824"/>
    <w:rsid w:val="00434A8A"/>
    <w:rsid w:val="00494D63"/>
    <w:rsid w:val="004E37B0"/>
    <w:rsid w:val="004E5FA0"/>
    <w:rsid w:val="005033C2"/>
    <w:rsid w:val="00503B19"/>
    <w:rsid w:val="00513ECD"/>
    <w:rsid w:val="00515216"/>
    <w:rsid w:val="00542D9A"/>
    <w:rsid w:val="00572AD8"/>
    <w:rsid w:val="005B525A"/>
    <w:rsid w:val="005D1AB9"/>
    <w:rsid w:val="005D68CF"/>
    <w:rsid w:val="005F770B"/>
    <w:rsid w:val="00614694"/>
    <w:rsid w:val="00646850"/>
    <w:rsid w:val="00666A0D"/>
    <w:rsid w:val="006A4DAD"/>
    <w:rsid w:val="006B0797"/>
    <w:rsid w:val="006B3239"/>
    <w:rsid w:val="006F28FE"/>
    <w:rsid w:val="007270D2"/>
    <w:rsid w:val="007336B7"/>
    <w:rsid w:val="007B574C"/>
    <w:rsid w:val="007C63F0"/>
    <w:rsid w:val="007D3AC2"/>
    <w:rsid w:val="008078DF"/>
    <w:rsid w:val="00843BEF"/>
    <w:rsid w:val="008B2E9E"/>
    <w:rsid w:val="008C2B98"/>
    <w:rsid w:val="008D71F5"/>
    <w:rsid w:val="00904920"/>
    <w:rsid w:val="0095328D"/>
    <w:rsid w:val="00976336"/>
    <w:rsid w:val="0099300E"/>
    <w:rsid w:val="009C7F3E"/>
    <w:rsid w:val="00A15519"/>
    <w:rsid w:val="00A23F89"/>
    <w:rsid w:val="00A7346C"/>
    <w:rsid w:val="00AB065A"/>
    <w:rsid w:val="00AB2AA1"/>
    <w:rsid w:val="00AB6B29"/>
    <w:rsid w:val="00AD1457"/>
    <w:rsid w:val="00AD3866"/>
    <w:rsid w:val="00AD38F2"/>
    <w:rsid w:val="00AE4712"/>
    <w:rsid w:val="00B363EC"/>
    <w:rsid w:val="00B55136"/>
    <w:rsid w:val="00B56768"/>
    <w:rsid w:val="00B57E19"/>
    <w:rsid w:val="00B91B1B"/>
    <w:rsid w:val="00BD116F"/>
    <w:rsid w:val="00BD1B98"/>
    <w:rsid w:val="00BD4F29"/>
    <w:rsid w:val="00BD5C16"/>
    <w:rsid w:val="00BE314B"/>
    <w:rsid w:val="00C20023"/>
    <w:rsid w:val="00C54AFF"/>
    <w:rsid w:val="00C66E11"/>
    <w:rsid w:val="00C82C53"/>
    <w:rsid w:val="00CC36D2"/>
    <w:rsid w:val="00CF1A06"/>
    <w:rsid w:val="00CF721A"/>
    <w:rsid w:val="00D239E3"/>
    <w:rsid w:val="00D455A0"/>
    <w:rsid w:val="00D51FC8"/>
    <w:rsid w:val="00D81C89"/>
    <w:rsid w:val="00D92BD2"/>
    <w:rsid w:val="00DC6A70"/>
    <w:rsid w:val="00E217B5"/>
    <w:rsid w:val="00E23425"/>
    <w:rsid w:val="00E25882"/>
    <w:rsid w:val="00E677AB"/>
    <w:rsid w:val="00E75F61"/>
    <w:rsid w:val="00E97BB5"/>
    <w:rsid w:val="00EA38F0"/>
    <w:rsid w:val="00EC5181"/>
    <w:rsid w:val="00ED7D6C"/>
    <w:rsid w:val="00F4013A"/>
    <w:rsid w:val="00F94B87"/>
    <w:rsid w:val="00F94CB9"/>
    <w:rsid w:val="00FC7E0B"/>
    <w:rsid w:val="00FF0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EF031"/>
  <w15:chartTrackingRefBased/>
  <w15:docId w15:val="{4A522902-146F-496B-BDC4-48CD592B6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ind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7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7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7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7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7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7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7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7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7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7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7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7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7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7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7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7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7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793"/>
    <w:rPr>
      <w:rFonts w:eastAsiaTheme="majorEastAsia" w:cstheme="majorBidi"/>
      <w:color w:val="272727" w:themeColor="text1" w:themeTint="D8"/>
    </w:rPr>
  </w:style>
  <w:style w:type="paragraph" w:styleId="Title">
    <w:name w:val="Title"/>
    <w:basedOn w:val="Normal"/>
    <w:next w:val="Normal"/>
    <w:link w:val="TitleChar"/>
    <w:uiPriority w:val="10"/>
    <w:qFormat/>
    <w:rsid w:val="003517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7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793"/>
    <w:pPr>
      <w:numPr>
        <w:ilvl w:val="1"/>
      </w:numPr>
      <w:ind w:firstLine="28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7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793"/>
    <w:pPr>
      <w:spacing w:before="160"/>
      <w:jc w:val="center"/>
    </w:pPr>
    <w:rPr>
      <w:i/>
      <w:iCs/>
      <w:color w:val="404040" w:themeColor="text1" w:themeTint="BF"/>
    </w:rPr>
  </w:style>
  <w:style w:type="character" w:customStyle="1" w:styleId="QuoteChar">
    <w:name w:val="Quote Char"/>
    <w:basedOn w:val="DefaultParagraphFont"/>
    <w:link w:val="Quote"/>
    <w:uiPriority w:val="29"/>
    <w:rsid w:val="00351793"/>
    <w:rPr>
      <w:i/>
      <w:iCs/>
      <w:color w:val="404040" w:themeColor="text1" w:themeTint="BF"/>
    </w:rPr>
  </w:style>
  <w:style w:type="paragraph" w:styleId="ListParagraph">
    <w:name w:val="List Paragraph"/>
    <w:basedOn w:val="Normal"/>
    <w:uiPriority w:val="34"/>
    <w:qFormat/>
    <w:rsid w:val="00351793"/>
    <w:pPr>
      <w:ind w:left="720"/>
      <w:contextualSpacing/>
    </w:pPr>
  </w:style>
  <w:style w:type="character" w:styleId="IntenseEmphasis">
    <w:name w:val="Intense Emphasis"/>
    <w:basedOn w:val="DefaultParagraphFont"/>
    <w:uiPriority w:val="21"/>
    <w:qFormat/>
    <w:rsid w:val="00351793"/>
    <w:rPr>
      <w:i/>
      <w:iCs/>
      <w:color w:val="0F4761" w:themeColor="accent1" w:themeShade="BF"/>
    </w:rPr>
  </w:style>
  <w:style w:type="paragraph" w:styleId="IntenseQuote">
    <w:name w:val="Intense Quote"/>
    <w:basedOn w:val="Normal"/>
    <w:next w:val="Normal"/>
    <w:link w:val="IntenseQuoteChar"/>
    <w:uiPriority w:val="30"/>
    <w:qFormat/>
    <w:rsid w:val="003517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793"/>
    <w:rPr>
      <w:i/>
      <w:iCs/>
      <w:color w:val="0F4761" w:themeColor="accent1" w:themeShade="BF"/>
    </w:rPr>
  </w:style>
  <w:style w:type="character" w:styleId="IntenseReference">
    <w:name w:val="Intense Reference"/>
    <w:basedOn w:val="DefaultParagraphFont"/>
    <w:uiPriority w:val="32"/>
    <w:qFormat/>
    <w:rsid w:val="00351793"/>
    <w:rPr>
      <w:b/>
      <w:bCs/>
      <w:smallCaps/>
      <w:color w:val="0F4761" w:themeColor="accent1" w:themeShade="BF"/>
      <w:spacing w:val="5"/>
    </w:rPr>
  </w:style>
  <w:style w:type="paragraph" w:styleId="NormalWeb">
    <w:name w:val="Normal (Web)"/>
    <w:basedOn w:val="Normal"/>
    <w:uiPriority w:val="99"/>
    <w:unhideWhenUsed/>
    <w:rsid w:val="0043071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B2F89"/>
    <w:rPr>
      <w:color w:val="467886" w:themeColor="hyperlink"/>
      <w:u w:val="single"/>
    </w:rPr>
  </w:style>
  <w:style w:type="character" w:styleId="UnresolvedMention">
    <w:name w:val="Unresolved Mention"/>
    <w:basedOn w:val="DefaultParagraphFont"/>
    <w:uiPriority w:val="99"/>
    <w:semiHidden/>
    <w:unhideWhenUsed/>
    <w:rsid w:val="000B2F89"/>
    <w:rPr>
      <w:color w:val="605E5C"/>
      <w:shd w:val="clear" w:color="auto" w:fill="E1DFDD"/>
    </w:rPr>
  </w:style>
  <w:style w:type="character" w:styleId="FollowedHyperlink">
    <w:name w:val="FollowedHyperlink"/>
    <w:basedOn w:val="DefaultParagraphFont"/>
    <w:uiPriority w:val="99"/>
    <w:semiHidden/>
    <w:unhideWhenUsed/>
    <w:rsid w:val="000B2F89"/>
    <w:rPr>
      <w:color w:val="96607D" w:themeColor="followedHyperlink"/>
      <w:u w:val="single"/>
    </w:rPr>
  </w:style>
  <w:style w:type="character" w:styleId="Emphasis">
    <w:name w:val="Emphasis"/>
    <w:basedOn w:val="DefaultParagraphFont"/>
    <w:uiPriority w:val="20"/>
    <w:qFormat/>
    <w:rsid w:val="00DC6A70"/>
    <w:rPr>
      <w:i/>
      <w:iCs/>
    </w:rPr>
  </w:style>
  <w:style w:type="character" w:styleId="HTMLCode">
    <w:name w:val="HTML Code"/>
    <w:basedOn w:val="DefaultParagraphFont"/>
    <w:uiPriority w:val="99"/>
    <w:semiHidden/>
    <w:unhideWhenUsed/>
    <w:rsid w:val="00DC6A7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publications/online-safety-act-explainer/online-safety-act-explain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123</TotalTime>
  <Pages>11</Pages>
  <Words>3531</Words>
  <Characters>20133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Tanase</dc:creator>
  <cp:keywords/>
  <dc:description/>
  <cp:lastModifiedBy>Ana Tanase</cp:lastModifiedBy>
  <cp:revision>101</cp:revision>
  <dcterms:created xsi:type="dcterms:W3CDTF">2026-04-09T15:32:00Z</dcterms:created>
  <dcterms:modified xsi:type="dcterms:W3CDTF">2026-04-26T18:29:00Z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562c9a5c-bd2f-4d5a-a020-b745cb92a85b</vt:lpwstr>
  </property>
</Properties>
</file>