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7247F" w14:textId="77777777" w:rsidR="004D10DC" w:rsidRPr="0014116F" w:rsidRDefault="004D10DC" w:rsidP="009663CA">
      <w:pPr>
        <w:jc w:val="center"/>
        <w:rPr>
          <w:rFonts w:cs="Arial"/>
          <w:sz w:val="48"/>
          <w:szCs w:val="48"/>
          <w:lang w:val="en-GB"/>
        </w:rPr>
      </w:pPr>
      <w:r w:rsidRPr="0014116F">
        <w:rPr>
          <w:rFonts w:cs="Arial"/>
          <w:sz w:val="48"/>
          <w:szCs w:val="48"/>
          <w:lang w:val="en-GB"/>
        </w:rPr>
        <w:t>Data Handling and Business Intelligence</w:t>
      </w:r>
    </w:p>
    <w:p w14:paraId="7A448E8F" w14:textId="77777777" w:rsidR="00880BB2" w:rsidRDefault="008503AB" w:rsidP="009663CA">
      <w:pPr>
        <w:jc w:val="center"/>
        <w:rPr>
          <w:rFonts w:cs="Arial"/>
          <w:sz w:val="48"/>
          <w:szCs w:val="48"/>
          <w:lang w:val="en-GB"/>
        </w:rPr>
      </w:pPr>
      <w:r w:rsidRPr="0014116F">
        <w:rPr>
          <w:rFonts w:cs="Arial"/>
          <w:sz w:val="48"/>
          <w:szCs w:val="48"/>
          <w:lang w:val="en-GB"/>
        </w:rPr>
        <w:t>LCBB5000</w:t>
      </w:r>
    </w:p>
    <w:p w14:paraId="48CB1ADB" w14:textId="77777777" w:rsidR="00880BB2" w:rsidRDefault="00880BB2" w:rsidP="009663CA">
      <w:pPr>
        <w:jc w:val="center"/>
        <w:rPr>
          <w:rFonts w:cs="Arial"/>
          <w:sz w:val="48"/>
          <w:szCs w:val="48"/>
          <w:lang w:val="en-GB"/>
        </w:rPr>
      </w:pPr>
      <w:r>
        <w:rPr>
          <w:rFonts w:cs="Arial"/>
          <w:sz w:val="48"/>
          <w:szCs w:val="48"/>
          <w:lang w:val="en-GB"/>
        </w:rPr>
        <w:t>Student name: Vasile Miculas</w:t>
      </w:r>
    </w:p>
    <w:p w14:paraId="0770331D" w14:textId="77777777" w:rsidR="00880BB2" w:rsidRDefault="00880BB2" w:rsidP="00880BB2">
      <w:pPr>
        <w:jc w:val="center"/>
        <w:rPr>
          <w:b/>
          <w:bCs/>
          <w:sz w:val="28"/>
        </w:rPr>
      </w:pPr>
      <w:r>
        <w:rPr>
          <w:rFonts w:cs="Arial"/>
          <w:sz w:val="48"/>
          <w:szCs w:val="48"/>
          <w:lang w:val="en-GB"/>
        </w:rPr>
        <w:t xml:space="preserve">Student ID: </w:t>
      </w:r>
      <w:r>
        <w:rPr>
          <w:b/>
          <w:bCs/>
          <w:sz w:val="28"/>
        </w:rPr>
        <w:t>2120834</w:t>
      </w:r>
    </w:p>
    <w:p w14:paraId="1EF26D7C" w14:textId="76659674" w:rsidR="001E6F34" w:rsidRPr="0014116F" w:rsidRDefault="001E6F34" w:rsidP="009663CA">
      <w:pPr>
        <w:jc w:val="center"/>
        <w:rPr>
          <w:rFonts w:cs="Arial"/>
          <w:lang w:val="en-GB"/>
        </w:rPr>
      </w:pPr>
      <w:r w:rsidRPr="0014116F">
        <w:rPr>
          <w:rFonts w:cs="Arial"/>
          <w:lang w:val="en-GB"/>
        </w:rPr>
        <w:br w:type="page"/>
      </w:r>
    </w:p>
    <w:sdt>
      <w:sdtPr>
        <w:rPr>
          <w:rFonts w:ascii="Arial" w:eastAsiaTheme="minorHAnsi" w:hAnsi="Arial" w:cs="Arial"/>
          <w:color w:val="auto"/>
          <w:kern w:val="2"/>
          <w:sz w:val="24"/>
          <w:szCs w:val="24"/>
          <w:lang w:val="en-GB"/>
          <w14:ligatures w14:val="standardContextual"/>
        </w:rPr>
        <w:id w:val="1257551039"/>
        <w:docPartObj>
          <w:docPartGallery w:val="Table of Contents"/>
          <w:docPartUnique/>
        </w:docPartObj>
      </w:sdtPr>
      <w:sdtEndPr>
        <w:rPr>
          <w:b/>
          <w:bCs/>
          <w:noProof/>
          <w:sz w:val="22"/>
        </w:rPr>
      </w:sdtEndPr>
      <w:sdtContent>
        <w:p w14:paraId="6116068A" w14:textId="37BA0126" w:rsidR="001E6F34" w:rsidRPr="0014116F" w:rsidRDefault="001E6F34" w:rsidP="003902B8">
          <w:pPr>
            <w:pStyle w:val="TOCHeading"/>
            <w:spacing w:before="120" w:after="120" w:line="360" w:lineRule="auto"/>
            <w:jc w:val="both"/>
            <w:rPr>
              <w:rFonts w:ascii="Arial" w:hAnsi="Arial" w:cs="Arial"/>
              <w:sz w:val="22"/>
              <w:szCs w:val="22"/>
              <w:lang w:val="en-GB"/>
            </w:rPr>
          </w:pPr>
          <w:r w:rsidRPr="0014116F">
            <w:rPr>
              <w:rFonts w:ascii="Arial" w:hAnsi="Arial" w:cs="Arial"/>
              <w:sz w:val="22"/>
              <w:szCs w:val="22"/>
              <w:lang w:val="en-GB"/>
            </w:rPr>
            <w:t>Table of Contents</w:t>
          </w:r>
        </w:p>
        <w:p w14:paraId="7A564895" w14:textId="62A4F898" w:rsidR="003902B8" w:rsidRPr="0014116F" w:rsidRDefault="001E6F34" w:rsidP="003902B8">
          <w:pPr>
            <w:pStyle w:val="TOC1"/>
            <w:tabs>
              <w:tab w:val="right" w:leader="dot" w:pos="9350"/>
            </w:tabs>
            <w:rPr>
              <w:rFonts w:eastAsiaTheme="minorEastAsia" w:cs="Arial"/>
              <w:noProof/>
              <w:szCs w:val="22"/>
              <w:lang w:val="en-GB"/>
            </w:rPr>
          </w:pPr>
          <w:r w:rsidRPr="0014116F">
            <w:rPr>
              <w:rFonts w:cs="Arial"/>
              <w:szCs w:val="22"/>
              <w:lang w:val="en-GB"/>
            </w:rPr>
            <w:fldChar w:fldCharType="begin"/>
          </w:r>
          <w:r w:rsidRPr="0014116F">
            <w:rPr>
              <w:rFonts w:cs="Arial"/>
              <w:szCs w:val="22"/>
              <w:lang w:val="en-GB"/>
            </w:rPr>
            <w:instrText xml:space="preserve"> TOC \o "1-3" \h \z \u </w:instrText>
          </w:r>
          <w:r w:rsidRPr="0014116F">
            <w:rPr>
              <w:rFonts w:cs="Arial"/>
              <w:szCs w:val="22"/>
              <w:lang w:val="en-GB"/>
            </w:rPr>
            <w:fldChar w:fldCharType="separate"/>
          </w:r>
          <w:hyperlink w:anchor="_Toc150646860" w:history="1">
            <w:r w:rsidR="003902B8" w:rsidRPr="0014116F">
              <w:rPr>
                <w:rStyle w:val="Hyperlink"/>
                <w:rFonts w:cs="Arial"/>
                <w:noProof/>
                <w:szCs w:val="22"/>
                <w:lang w:val="en-GB"/>
              </w:rPr>
              <w:t>Part 1: GreenMed dataset analysis</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_Toc150646860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3</w:t>
            </w:r>
            <w:r w:rsidR="003902B8" w:rsidRPr="0014116F">
              <w:rPr>
                <w:rFonts w:cs="Arial"/>
                <w:noProof/>
                <w:webHidden/>
                <w:szCs w:val="22"/>
                <w:lang w:val="en-GB"/>
              </w:rPr>
              <w:fldChar w:fldCharType="end"/>
            </w:r>
          </w:hyperlink>
        </w:p>
        <w:p w14:paraId="5B2B700B" w14:textId="0C704D7B" w:rsidR="003902B8" w:rsidRPr="0014116F" w:rsidRDefault="00000000" w:rsidP="003902B8">
          <w:pPr>
            <w:pStyle w:val="TOC2"/>
            <w:tabs>
              <w:tab w:val="right" w:leader="dot" w:pos="9350"/>
            </w:tabs>
            <w:rPr>
              <w:rFonts w:eastAsiaTheme="minorEastAsia" w:cs="Arial"/>
              <w:noProof/>
              <w:szCs w:val="22"/>
              <w:lang w:val="en-GB"/>
            </w:rPr>
          </w:pPr>
          <w:hyperlink w:anchor="_Toc150646861" w:history="1">
            <w:r w:rsidR="003902B8" w:rsidRPr="0014116F">
              <w:rPr>
                <w:rStyle w:val="Hyperlink"/>
                <w:rFonts w:cs="Arial"/>
                <w:noProof/>
                <w:szCs w:val="22"/>
                <w:lang w:val="en-GB"/>
              </w:rPr>
              <w:t>Introduction</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_Toc150646861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3</w:t>
            </w:r>
            <w:r w:rsidR="003902B8" w:rsidRPr="0014116F">
              <w:rPr>
                <w:rFonts w:cs="Arial"/>
                <w:noProof/>
                <w:webHidden/>
                <w:szCs w:val="22"/>
                <w:lang w:val="en-GB"/>
              </w:rPr>
              <w:fldChar w:fldCharType="end"/>
            </w:r>
          </w:hyperlink>
        </w:p>
        <w:p w14:paraId="2C762FD6" w14:textId="3417C9B5" w:rsidR="003902B8" w:rsidRPr="0014116F" w:rsidRDefault="00000000" w:rsidP="003902B8">
          <w:pPr>
            <w:pStyle w:val="TOC2"/>
            <w:tabs>
              <w:tab w:val="right" w:leader="dot" w:pos="9350"/>
            </w:tabs>
            <w:rPr>
              <w:rFonts w:eastAsiaTheme="minorEastAsia" w:cs="Arial"/>
              <w:noProof/>
              <w:szCs w:val="22"/>
              <w:lang w:val="en-GB"/>
            </w:rPr>
          </w:pPr>
          <w:hyperlink w:anchor="_Toc150646862" w:history="1">
            <w:r w:rsidR="003902B8" w:rsidRPr="0014116F">
              <w:rPr>
                <w:rStyle w:val="Hyperlink"/>
                <w:rFonts w:cs="Arial"/>
                <w:noProof/>
                <w:szCs w:val="22"/>
                <w:lang w:val="en-GB"/>
              </w:rPr>
              <w:t>a) Evaluation of the following</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_Toc150646862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4</w:t>
            </w:r>
            <w:r w:rsidR="003902B8" w:rsidRPr="0014116F">
              <w:rPr>
                <w:rFonts w:cs="Arial"/>
                <w:noProof/>
                <w:webHidden/>
                <w:szCs w:val="22"/>
                <w:lang w:val="en-GB"/>
              </w:rPr>
              <w:fldChar w:fldCharType="end"/>
            </w:r>
          </w:hyperlink>
        </w:p>
        <w:p w14:paraId="4D15F66A" w14:textId="5163C4E9" w:rsidR="003902B8" w:rsidRPr="0014116F" w:rsidRDefault="00000000" w:rsidP="003902B8">
          <w:pPr>
            <w:pStyle w:val="TOC3"/>
            <w:tabs>
              <w:tab w:val="right" w:leader="dot" w:pos="9350"/>
            </w:tabs>
            <w:rPr>
              <w:rFonts w:eastAsiaTheme="minorEastAsia" w:cs="Arial"/>
              <w:noProof/>
              <w:szCs w:val="22"/>
              <w:lang w:val="en-GB"/>
            </w:rPr>
          </w:pPr>
          <w:hyperlink w:anchor="_Toc150646863" w:history="1">
            <w:r w:rsidR="003902B8" w:rsidRPr="0014116F">
              <w:rPr>
                <w:rStyle w:val="Hyperlink"/>
                <w:rFonts w:cs="Arial"/>
                <w:noProof/>
                <w:szCs w:val="22"/>
                <w:lang w:val="en-GB"/>
              </w:rPr>
              <w:t>1. Mean processing time using Hadoop</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_Toc150646863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4</w:t>
            </w:r>
            <w:r w:rsidR="003902B8" w:rsidRPr="0014116F">
              <w:rPr>
                <w:rFonts w:cs="Arial"/>
                <w:noProof/>
                <w:webHidden/>
                <w:szCs w:val="22"/>
                <w:lang w:val="en-GB"/>
              </w:rPr>
              <w:fldChar w:fldCharType="end"/>
            </w:r>
          </w:hyperlink>
        </w:p>
        <w:p w14:paraId="5E9B19E5" w14:textId="60E1D8F4" w:rsidR="003902B8" w:rsidRPr="0014116F" w:rsidRDefault="00000000" w:rsidP="003902B8">
          <w:pPr>
            <w:pStyle w:val="TOC3"/>
            <w:tabs>
              <w:tab w:val="right" w:leader="dot" w:pos="9350"/>
            </w:tabs>
            <w:rPr>
              <w:rFonts w:eastAsiaTheme="minorEastAsia" w:cs="Arial"/>
              <w:noProof/>
              <w:szCs w:val="22"/>
              <w:lang w:val="en-GB"/>
            </w:rPr>
          </w:pPr>
          <w:hyperlink w:anchor="_Toc150646864" w:history="1">
            <w:r w:rsidR="003902B8" w:rsidRPr="0014116F">
              <w:rPr>
                <w:rStyle w:val="Hyperlink"/>
                <w:rFonts w:cs="Arial"/>
                <w:noProof/>
                <w:szCs w:val="22"/>
                <w:lang w:val="en-GB"/>
              </w:rPr>
              <w:t>2. Median processing time when using Spark</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_Toc150646864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4</w:t>
            </w:r>
            <w:r w:rsidR="003902B8" w:rsidRPr="0014116F">
              <w:rPr>
                <w:rFonts w:cs="Arial"/>
                <w:noProof/>
                <w:webHidden/>
                <w:szCs w:val="22"/>
                <w:lang w:val="en-GB"/>
              </w:rPr>
              <w:fldChar w:fldCharType="end"/>
            </w:r>
          </w:hyperlink>
        </w:p>
        <w:p w14:paraId="7F3D5AC7" w14:textId="4B3130F9" w:rsidR="003902B8" w:rsidRPr="0014116F" w:rsidRDefault="00000000" w:rsidP="003902B8">
          <w:pPr>
            <w:pStyle w:val="TOC3"/>
            <w:tabs>
              <w:tab w:val="right" w:leader="dot" w:pos="9350"/>
            </w:tabs>
            <w:rPr>
              <w:rFonts w:eastAsiaTheme="minorEastAsia" w:cs="Arial"/>
              <w:noProof/>
              <w:szCs w:val="22"/>
              <w:lang w:val="en-GB"/>
            </w:rPr>
          </w:pPr>
          <w:hyperlink w:anchor="_Toc150646865" w:history="1">
            <w:r w:rsidR="003902B8" w:rsidRPr="0014116F">
              <w:rPr>
                <w:rStyle w:val="Hyperlink"/>
                <w:rFonts w:cs="Arial"/>
                <w:noProof/>
                <w:szCs w:val="22"/>
                <w:lang w:val="en-GB"/>
              </w:rPr>
              <w:t>3. Highest processing time of R</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_Toc150646865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4</w:t>
            </w:r>
            <w:r w:rsidR="003902B8" w:rsidRPr="0014116F">
              <w:rPr>
                <w:rFonts w:cs="Arial"/>
                <w:noProof/>
                <w:webHidden/>
                <w:szCs w:val="22"/>
                <w:lang w:val="en-GB"/>
              </w:rPr>
              <w:fldChar w:fldCharType="end"/>
            </w:r>
          </w:hyperlink>
        </w:p>
        <w:p w14:paraId="6FD07668" w14:textId="166300E4" w:rsidR="003902B8" w:rsidRPr="0014116F" w:rsidRDefault="00000000" w:rsidP="003902B8">
          <w:pPr>
            <w:pStyle w:val="TOC3"/>
            <w:tabs>
              <w:tab w:val="right" w:leader="dot" w:pos="9350"/>
            </w:tabs>
            <w:rPr>
              <w:rFonts w:eastAsiaTheme="minorEastAsia" w:cs="Arial"/>
              <w:noProof/>
              <w:szCs w:val="22"/>
              <w:lang w:val="en-GB"/>
            </w:rPr>
          </w:pPr>
          <w:hyperlink w:anchor="_Toc150646866" w:history="1">
            <w:r w:rsidR="003902B8" w:rsidRPr="0014116F">
              <w:rPr>
                <w:rStyle w:val="Hyperlink"/>
                <w:rFonts w:cs="Arial"/>
                <w:noProof/>
                <w:szCs w:val="22"/>
                <w:lang w:val="en-GB"/>
              </w:rPr>
              <w:t>4. Standard deviation for processing time of Python</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_Toc150646866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4</w:t>
            </w:r>
            <w:r w:rsidR="003902B8" w:rsidRPr="0014116F">
              <w:rPr>
                <w:rFonts w:cs="Arial"/>
                <w:noProof/>
                <w:webHidden/>
                <w:szCs w:val="22"/>
                <w:lang w:val="en-GB"/>
              </w:rPr>
              <w:fldChar w:fldCharType="end"/>
            </w:r>
          </w:hyperlink>
        </w:p>
        <w:p w14:paraId="2B5B6633" w14:textId="1C4996F0" w:rsidR="003902B8" w:rsidRPr="0014116F" w:rsidRDefault="00000000" w:rsidP="003902B8">
          <w:pPr>
            <w:pStyle w:val="TOC3"/>
            <w:tabs>
              <w:tab w:val="right" w:leader="dot" w:pos="9350"/>
            </w:tabs>
            <w:rPr>
              <w:rFonts w:eastAsiaTheme="minorEastAsia" w:cs="Arial"/>
              <w:noProof/>
              <w:szCs w:val="22"/>
              <w:lang w:val="en-GB"/>
            </w:rPr>
          </w:pPr>
          <w:hyperlink w:anchor="_Toc150646867" w:history="1">
            <w:r w:rsidR="003902B8" w:rsidRPr="0014116F">
              <w:rPr>
                <w:rStyle w:val="Hyperlink"/>
                <w:rFonts w:cs="Arial"/>
                <w:noProof/>
                <w:szCs w:val="22"/>
                <w:lang w:val="en-GB"/>
              </w:rPr>
              <w:t>5. Lowest average processing time</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_Toc150646867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5</w:t>
            </w:r>
            <w:r w:rsidR="003902B8" w:rsidRPr="0014116F">
              <w:rPr>
                <w:rFonts w:cs="Arial"/>
                <w:noProof/>
                <w:webHidden/>
                <w:szCs w:val="22"/>
                <w:lang w:val="en-GB"/>
              </w:rPr>
              <w:fldChar w:fldCharType="end"/>
            </w:r>
          </w:hyperlink>
        </w:p>
        <w:p w14:paraId="6C6C7416" w14:textId="2D409DA2" w:rsidR="003902B8" w:rsidRPr="0014116F" w:rsidRDefault="00000000" w:rsidP="003902B8">
          <w:pPr>
            <w:pStyle w:val="TOC3"/>
            <w:tabs>
              <w:tab w:val="right" w:leader="dot" w:pos="9350"/>
            </w:tabs>
            <w:rPr>
              <w:rFonts w:eastAsiaTheme="minorEastAsia" w:cs="Arial"/>
              <w:noProof/>
              <w:szCs w:val="22"/>
              <w:lang w:val="en-GB"/>
            </w:rPr>
          </w:pPr>
          <w:hyperlink w:anchor="_Toc150646868" w:history="1">
            <w:r w:rsidR="003902B8" w:rsidRPr="0014116F">
              <w:rPr>
                <w:rStyle w:val="Hyperlink"/>
                <w:rFonts w:cs="Arial"/>
                <w:noProof/>
                <w:szCs w:val="22"/>
                <w:lang w:val="en-GB"/>
              </w:rPr>
              <w:t>6. Interpretation of different processing times across different tools and platforms</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_Toc150646868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5</w:t>
            </w:r>
            <w:r w:rsidR="003902B8" w:rsidRPr="0014116F">
              <w:rPr>
                <w:rFonts w:cs="Arial"/>
                <w:noProof/>
                <w:webHidden/>
                <w:szCs w:val="22"/>
                <w:lang w:val="en-GB"/>
              </w:rPr>
              <w:fldChar w:fldCharType="end"/>
            </w:r>
          </w:hyperlink>
        </w:p>
        <w:p w14:paraId="17AE6DBA" w14:textId="55032B45" w:rsidR="003902B8" w:rsidRPr="0014116F" w:rsidRDefault="00000000" w:rsidP="003902B8">
          <w:pPr>
            <w:pStyle w:val="TOC2"/>
            <w:tabs>
              <w:tab w:val="right" w:leader="dot" w:pos="9350"/>
            </w:tabs>
            <w:rPr>
              <w:rFonts w:eastAsiaTheme="minorEastAsia" w:cs="Arial"/>
              <w:noProof/>
              <w:szCs w:val="22"/>
              <w:lang w:val="en-GB"/>
            </w:rPr>
          </w:pPr>
          <w:hyperlink w:anchor="_Toc150646869" w:history="1">
            <w:r w:rsidR="003902B8" w:rsidRPr="0014116F">
              <w:rPr>
                <w:rStyle w:val="Hyperlink"/>
                <w:rFonts w:cs="Arial"/>
                <w:noProof/>
                <w:szCs w:val="22"/>
                <w:lang w:val="en-GB"/>
              </w:rPr>
              <w:t>b) Using MS Excel</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_Toc150646869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5</w:t>
            </w:r>
            <w:r w:rsidR="003902B8" w:rsidRPr="0014116F">
              <w:rPr>
                <w:rFonts w:cs="Arial"/>
                <w:noProof/>
                <w:webHidden/>
                <w:szCs w:val="22"/>
                <w:lang w:val="en-GB"/>
              </w:rPr>
              <w:fldChar w:fldCharType="end"/>
            </w:r>
          </w:hyperlink>
        </w:p>
        <w:p w14:paraId="19B42442" w14:textId="11872B78" w:rsidR="003902B8" w:rsidRPr="0014116F" w:rsidRDefault="00000000" w:rsidP="003902B8">
          <w:pPr>
            <w:pStyle w:val="TOC2"/>
            <w:tabs>
              <w:tab w:val="right" w:leader="dot" w:pos="9350"/>
            </w:tabs>
            <w:rPr>
              <w:rFonts w:eastAsiaTheme="minorEastAsia" w:cs="Arial"/>
              <w:noProof/>
              <w:szCs w:val="22"/>
              <w:lang w:val="en-GB"/>
            </w:rPr>
          </w:pPr>
          <w:hyperlink w:anchor="_Toc150646870" w:history="1">
            <w:r w:rsidR="003902B8" w:rsidRPr="0014116F">
              <w:rPr>
                <w:rStyle w:val="Hyperlink"/>
                <w:rFonts w:cs="Arial"/>
                <w:noProof/>
                <w:szCs w:val="22"/>
                <w:lang w:val="en-GB"/>
              </w:rPr>
              <w:t>c) Using SPSS</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_Toc150646870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9</w:t>
            </w:r>
            <w:r w:rsidR="003902B8" w:rsidRPr="0014116F">
              <w:rPr>
                <w:rFonts w:cs="Arial"/>
                <w:noProof/>
                <w:webHidden/>
                <w:szCs w:val="22"/>
                <w:lang w:val="en-GB"/>
              </w:rPr>
              <w:fldChar w:fldCharType="end"/>
            </w:r>
          </w:hyperlink>
        </w:p>
        <w:p w14:paraId="2EDFA77C" w14:textId="28EEB91B" w:rsidR="003902B8" w:rsidRPr="0014116F" w:rsidRDefault="00000000" w:rsidP="003902B8">
          <w:pPr>
            <w:pStyle w:val="TOC3"/>
            <w:tabs>
              <w:tab w:val="right" w:leader="dot" w:pos="9350"/>
            </w:tabs>
            <w:rPr>
              <w:rFonts w:eastAsiaTheme="minorEastAsia" w:cs="Arial"/>
              <w:noProof/>
              <w:szCs w:val="22"/>
              <w:lang w:val="en-GB"/>
            </w:rPr>
          </w:pPr>
          <w:hyperlink w:anchor="_Toc150646871" w:history="1">
            <w:r w:rsidR="003902B8" w:rsidRPr="0014116F">
              <w:rPr>
                <w:rStyle w:val="Hyperlink"/>
                <w:rFonts w:cs="Arial"/>
                <w:noProof/>
                <w:szCs w:val="22"/>
                <w:lang w:val="en-GB"/>
              </w:rPr>
              <w:t>1. Correlation between processing times of Hadoop and Tableau</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_Toc150646871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9</w:t>
            </w:r>
            <w:r w:rsidR="003902B8" w:rsidRPr="0014116F">
              <w:rPr>
                <w:rFonts w:cs="Arial"/>
                <w:noProof/>
                <w:webHidden/>
                <w:szCs w:val="22"/>
                <w:lang w:val="en-GB"/>
              </w:rPr>
              <w:fldChar w:fldCharType="end"/>
            </w:r>
          </w:hyperlink>
        </w:p>
        <w:p w14:paraId="5528F9AA" w14:textId="585A05DC" w:rsidR="003902B8" w:rsidRPr="0014116F" w:rsidRDefault="00000000" w:rsidP="003902B8">
          <w:pPr>
            <w:pStyle w:val="TOC3"/>
            <w:tabs>
              <w:tab w:val="right" w:leader="dot" w:pos="9350"/>
            </w:tabs>
            <w:rPr>
              <w:rFonts w:eastAsiaTheme="minorEastAsia" w:cs="Arial"/>
              <w:noProof/>
              <w:szCs w:val="22"/>
              <w:lang w:val="en-GB"/>
            </w:rPr>
          </w:pPr>
          <w:hyperlink w:anchor="_Toc150646872" w:history="1">
            <w:r w:rsidR="003902B8" w:rsidRPr="0014116F">
              <w:rPr>
                <w:rStyle w:val="Hyperlink"/>
                <w:rFonts w:cs="Arial"/>
                <w:noProof/>
                <w:szCs w:val="22"/>
                <w:lang w:val="en-GB"/>
              </w:rPr>
              <w:t>2. Scatterplot graph</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_Toc150646872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13</w:t>
            </w:r>
            <w:r w:rsidR="003902B8" w:rsidRPr="0014116F">
              <w:rPr>
                <w:rFonts w:cs="Arial"/>
                <w:noProof/>
                <w:webHidden/>
                <w:szCs w:val="22"/>
                <w:lang w:val="en-GB"/>
              </w:rPr>
              <w:fldChar w:fldCharType="end"/>
            </w:r>
          </w:hyperlink>
        </w:p>
        <w:p w14:paraId="1FFEE2C0" w14:textId="57F75BB7" w:rsidR="003902B8" w:rsidRPr="0014116F" w:rsidRDefault="00000000" w:rsidP="003902B8">
          <w:pPr>
            <w:pStyle w:val="TOC2"/>
            <w:tabs>
              <w:tab w:val="right" w:leader="dot" w:pos="9350"/>
            </w:tabs>
            <w:rPr>
              <w:rFonts w:eastAsiaTheme="minorEastAsia" w:cs="Arial"/>
              <w:noProof/>
              <w:szCs w:val="22"/>
              <w:lang w:val="en-GB"/>
            </w:rPr>
          </w:pPr>
          <w:hyperlink w:anchor="_Toc150646873" w:history="1">
            <w:r w:rsidR="003902B8" w:rsidRPr="0014116F">
              <w:rPr>
                <w:rStyle w:val="Hyperlink"/>
                <w:rFonts w:cs="Arial"/>
                <w:noProof/>
                <w:szCs w:val="22"/>
                <w:lang w:val="en-GB"/>
              </w:rPr>
              <w:t>Conclusion</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_Toc150646873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16</w:t>
            </w:r>
            <w:r w:rsidR="003902B8" w:rsidRPr="0014116F">
              <w:rPr>
                <w:rFonts w:cs="Arial"/>
                <w:noProof/>
                <w:webHidden/>
                <w:szCs w:val="22"/>
                <w:lang w:val="en-GB"/>
              </w:rPr>
              <w:fldChar w:fldCharType="end"/>
            </w:r>
          </w:hyperlink>
        </w:p>
        <w:p w14:paraId="104D9A1F" w14:textId="0B720F33" w:rsidR="003902B8" w:rsidRPr="0014116F" w:rsidRDefault="00000000" w:rsidP="003902B8">
          <w:pPr>
            <w:pStyle w:val="TOC1"/>
            <w:tabs>
              <w:tab w:val="right" w:leader="dot" w:pos="9350"/>
            </w:tabs>
            <w:rPr>
              <w:rFonts w:eastAsiaTheme="minorEastAsia" w:cs="Arial"/>
              <w:noProof/>
              <w:szCs w:val="22"/>
              <w:lang w:val="en-GB"/>
            </w:rPr>
          </w:pPr>
          <w:hyperlink w:anchor="_Toc150646874" w:history="1">
            <w:r w:rsidR="003902B8" w:rsidRPr="0014116F">
              <w:rPr>
                <w:rStyle w:val="Hyperlink"/>
                <w:rFonts w:cs="Arial"/>
                <w:noProof/>
                <w:szCs w:val="22"/>
                <w:lang w:val="en-GB"/>
              </w:rPr>
              <w:t>Part 2</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_Toc150646874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17</w:t>
            </w:r>
            <w:r w:rsidR="003902B8" w:rsidRPr="0014116F">
              <w:rPr>
                <w:rFonts w:cs="Arial"/>
                <w:noProof/>
                <w:webHidden/>
                <w:szCs w:val="22"/>
                <w:lang w:val="en-GB"/>
              </w:rPr>
              <w:fldChar w:fldCharType="end"/>
            </w:r>
          </w:hyperlink>
        </w:p>
        <w:p w14:paraId="0C1E5DD9" w14:textId="5B609D2B" w:rsidR="003902B8" w:rsidRPr="0014116F" w:rsidRDefault="00000000" w:rsidP="003902B8">
          <w:pPr>
            <w:pStyle w:val="TOC3"/>
            <w:tabs>
              <w:tab w:val="right" w:leader="dot" w:pos="9350"/>
            </w:tabs>
            <w:rPr>
              <w:rFonts w:eastAsiaTheme="minorEastAsia" w:cs="Arial"/>
              <w:noProof/>
              <w:szCs w:val="22"/>
              <w:lang w:val="en-GB"/>
            </w:rPr>
          </w:pPr>
          <w:hyperlink w:anchor="_Toc150646875" w:history="1">
            <w:r w:rsidR="003902B8" w:rsidRPr="0014116F">
              <w:rPr>
                <w:rStyle w:val="Hyperlink"/>
                <w:rFonts w:cs="Arial"/>
                <w:noProof/>
                <w:szCs w:val="22"/>
                <w:lang w:val="en-GB"/>
              </w:rPr>
              <w:t>a) Advantages and disadvantages of using SPSS, Excel or Tableau</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_Toc150646875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17</w:t>
            </w:r>
            <w:r w:rsidR="003902B8" w:rsidRPr="0014116F">
              <w:rPr>
                <w:rFonts w:cs="Arial"/>
                <w:noProof/>
                <w:webHidden/>
                <w:szCs w:val="22"/>
                <w:lang w:val="en-GB"/>
              </w:rPr>
              <w:fldChar w:fldCharType="end"/>
            </w:r>
          </w:hyperlink>
        </w:p>
        <w:p w14:paraId="0403055C" w14:textId="06ECA32D" w:rsidR="003902B8" w:rsidRPr="0014116F" w:rsidRDefault="00000000" w:rsidP="003902B8">
          <w:pPr>
            <w:pStyle w:val="TOC3"/>
            <w:tabs>
              <w:tab w:val="right" w:leader="dot" w:pos="9350"/>
            </w:tabs>
            <w:rPr>
              <w:rFonts w:eastAsiaTheme="minorEastAsia" w:cs="Arial"/>
              <w:noProof/>
              <w:szCs w:val="22"/>
              <w:lang w:val="en-GB"/>
            </w:rPr>
          </w:pPr>
          <w:hyperlink w:anchor="_Toc150646876" w:history="1">
            <w:r w:rsidR="003902B8" w:rsidRPr="0014116F">
              <w:rPr>
                <w:rStyle w:val="Hyperlink"/>
                <w:rFonts w:cs="Arial"/>
                <w:noProof/>
                <w:szCs w:val="22"/>
                <w:lang w:val="en-GB"/>
              </w:rPr>
              <w:t>b) Importance of Data Governance</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_Toc150646876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19</w:t>
            </w:r>
            <w:r w:rsidR="003902B8" w:rsidRPr="0014116F">
              <w:rPr>
                <w:rFonts w:cs="Arial"/>
                <w:noProof/>
                <w:webHidden/>
                <w:szCs w:val="22"/>
                <w:lang w:val="en-GB"/>
              </w:rPr>
              <w:fldChar w:fldCharType="end"/>
            </w:r>
          </w:hyperlink>
        </w:p>
        <w:p w14:paraId="02F13E64" w14:textId="16B7E639" w:rsidR="003902B8" w:rsidRPr="0014116F" w:rsidRDefault="00000000" w:rsidP="003902B8">
          <w:pPr>
            <w:pStyle w:val="TOC1"/>
            <w:tabs>
              <w:tab w:val="right" w:leader="dot" w:pos="9350"/>
            </w:tabs>
            <w:rPr>
              <w:rFonts w:eastAsiaTheme="minorEastAsia" w:cs="Arial"/>
              <w:noProof/>
              <w:szCs w:val="22"/>
              <w:lang w:val="en-GB"/>
            </w:rPr>
          </w:pPr>
          <w:hyperlink w:anchor="_Toc150646877" w:history="1">
            <w:r w:rsidR="003902B8" w:rsidRPr="0014116F">
              <w:rPr>
                <w:rStyle w:val="Hyperlink"/>
                <w:rFonts w:cs="Arial"/>
                <w:noProof/>
                <w:szCs w:val="22"/>
                <w:lang w:val="en-GB"/>
              </w:rPr>
              <w:t>References</w:t>
            </w:r>
            <w:r w:rsidR="003902B8" w:rsidRPr="0014116F">
              <w:rPr>
                <w:rFonts w:cs="Arial"/>
                <w:noProof/>
                <w:webHidden/>
                <w:szCs w:val="22"/>
                <w:lang w:val="en-GB"/>
              </w:rPr>
              <w:tab/>
            </w:r>
            <w:r w:rsidR="003902B8" w:rsidRPr="0014116F">
              <w:rPr>
                <w:rFonts w:cs="Arial"/>
                <w:noProof/>
                <w:webHidden/>
                <w:szCs w:val="22"/>
                <w:lang w:val="en-GB"/>
              </w:rPr>
              <w:fldChar w:fldCharType="begin"/>
            </w:r>
            <w:r w:rsidR="003902B8" w:rsidRPr="0014116F">
              <w:rPr>
                <w:rFonts w:cs="Arial"/>
                <w:noProof/>
                <w:webHidden/>
                <w:szCs w:val="22"/>
                <w:lang w:val="en-GB"/>
              </w:rPr>
              <w:instrText xml:space="preserve"> PAGEREF _Toc150646877 \h </w:instrText>
            </w:r>
            <w:r w:rsidR="003902B8" w:rsidRPr="0014116F">
              <w:rPr>
                <w:rFonts w:cs="Arial"/>
                <w:noProof/>
                <w:webHidden/>
                <w:szCs w:val="22"/>
                <w:lang w:val="en-GB"/>
              </w:rPr>
            </w:r>
            <w:r w:rsidR="003902B8" w:rsidRPr="0014116F">
              <w:rPr>
                <w:rFonts w:cs="Arial"/>
                <w:noProof/>
                <w:webHidden/>
                <w:szCs w:val="22"/>
                <w:lang w:val="en-GB"/>
              </w:rPr>
              <w:fldChar w:fldCharType="separate"/>
            </w:r>
            <w:r w:rsidR="00E3754F">
              <w:rPr>
                <w:rFonts w:cs="Arial"/>
                <w:noProof/>
                <w:webHidden/>
                <w:szCs w:val="22"/>
                <w:lang w:val="en-GB"/>
              </w:rPr>
              <w:t>21</w:t>
            </w:r>
            <w:r w:rsidR="003902B8" w:rsidRPr="0014116F">
              <w:rPr>
                <w:rFonts w:cs="Arial"/>
                <w:noProof/>
                <w:webHidden/>
                <w:szCs w:val="22"/>
                <w:lang w:val="en-GB"/>
              </w:rPr>
              <w:fldChar w:fldCharType="end"/>
            </w:r>
          </w:hyperlink>
        </w:p>
        <w:p w14:paraId="2505C988" w14:textId="7BF33CFE" w:rsidR="001E6F34" w:rsidRPr="0014116F" w:rsidRDefault="001E6F34" w:rsidP="003902B8">
          <w:pPr>
            <w:rPr>
              <w:rFonts w:cs="Arial"/>
              <w:lang w:val="en-GB"/>
            </w:rPr>
          </w:pPr>
          <w:r w:rsidRPr="0014116F">
            <w:rPr>
              <w:rFonts w:cs="Arial"/>
              <w:b/>
              <w:bCs/>
              <w:noProof/>
              <w:szCs w:val="22"/>
              <w:lang w:val="en-GB"/>
            </w:rPr>
            <w:fldChar w:fldCharType="end"/>
          </w:r>
        </w:p>
      </w:sdtContent>
    </w:sdt>
    <w:p w14:paraId="317CF746" w14:textId="108F63F5" w:rsidR="00D91560" w:rsidRPr="0014116F" w:rsidRDefault="00D91560" w:rsidP="009663CA">
      <w:pPr>
        <w:rPr>
          <w:rFonts w:cs="Arial"/>
          <w:lang w:val="en-GB"/>
        </w:rPr>
      </w:pPr>
      <w:r w:rsidRPr="0014116F">
        <w:rPr>
          <w:rFonts w:cs="Arial"/>
          <w:lang w:val="en-GB"/>
        </w:rPr>
        <w:br w:type="page"/>
      </w:r>
    </w:p>
    <w:p w14:paraId="4F4D09E4" w14:textId="3AE8A7F7" w:rsidR="00FE61E5" w:rsidRPr="0014116F" w:rsidRDefault="005266D0" w:rsidP="009663CA">
      <w:pPr>
        <w:pStyle w:val="Heading1"/>
        <w:rPr>
          <w:rFonts w:cs="Arial"/>
          <w:lang w:val="en-GB"/>
        </w:rPr>
      </w:pPr>
      <w:bookmarkStart w:id="0" w:name="_Toc150646860"/>
      <w:r w:rsidRPr="0014116F">
        <w:rPr>
          <w:rFonts w:cs="Arial"/>
          <w:lang w:val="en-GB"/>
        </w:rPr>
        <w:lastRenderedPageBreak/>
        <w:t>Part 1</w:t>
      </w:r>
      <w:r w:rsidR="00990C5C" w:rsidRPr="0014116F">
        <w:rPr>
          <w:rFonts w:cs="Arial"/>
          <w:lang w:val="en-GB"/>
        </w:rPr>
        <w:t>: GreenMed dataset analysis</w:t>
      </w:r>
      <w:bookmarkEnd w:id="0"/>
    </w:p>
    <w:p w14:paraId="61DEA4EA" w14:textId="10B2EC2B" w:rsidR="003742DF" w:rsidRPr="0014116F" w:rsidRDefault="003742DF" w:rsidP="009663CA">
      <w:pPr>
        <w:pStyle w:val="Heading2"/>
        <w:rPr>
          <w:rFonts w:cs="Arial"/>
          <w:lang w:val="en-GB"/>
        </w:rPr>
      </w:pPr>
      <w:bookmarkStart w:id="1" w:name="_Toc150646861"/>
      <w:r w:rsidRPr="0014116F">
        <w:rPr>
          <w:rFonts w:cs="Arial"/>
          <w:lang w:val="en-GB"/>
        </w:rPr>
        <w:t>Introduction</w:t>
      </w:r>
      <w:bookmarkEnd w:id="1"/>
    </w:p>
    <w:p w14:paraId="36B84F27" w14:textId="057CA7B2" w:rsidR="007A155B" w:rsidRPr="0014116F" w:rsidRDefault="00A649E8" w:rsidP="009663CA">
      <w:pPr>
        <w:rPr>
          <w:rFonts w:cs="Arial"/>
          <w:lang w:val="en-GB"/>
        </w:rPr>
      </w:pPr>
      <w:r w:rsidRPr="0014116F">
        <w:rPr>
          <w:rFonts w:cs="Arial"/>
          <w:lang w:val="en-GB"/>
        </w:rPr>
        <w:t>Microsoft Excel and SPSS are used for statistical analysis in this study to help analyse and visualise processing time data from a wide range of big data processing platforms. Statistics such as the average Hadoop processing time, the median Spark processing time, the highest R processing time, and the standard deviation for Python are all calculated in Excel. Hadoop and Tableau processing times are connected in SPSS, and the findings are visualised as a scatterplot and reviewed in depth.</w:t>
      </w:r>
    </w:p>
    <w:p w14:paraId="50434456" w14:textId="77777777" w:rsidR="00BC4306" w:rsidRPr="0014116F" w:rsidRDefault="00BC4306" w:rsidP="009663CA">
      <w:pPr>
        <w:rPr>
          <w:rFonts w:eastAsiaTheme="majorEastAsia" w:cs="Arial"/>
          <w:bCs/>
          <w:color w:val="365F91" w:themeColor="accent1" w:themeShade="BF"/>
          <w:sz w:val="28"/>
          <w:szCs w:val="26"/>
          <w:lang w:val="en-GB"/>
        </w:rPr>
      </w:pPr>
      <w:r w:rsidRPr="0014116F">
        <w:rPr>
          <w:rFonts w:cs="Arial"/>
          <w:lang w:val="en-GB"/>
        </w:rPr>
        <w:br w:type="page"/>
      </w:r>
    </w:p>
    <w:p w14:paraId="3A1D4CF8" w14:textId="673751A0" w:rsidR="0049034C" w:rsidRPr="0014116F" w:rsidRDefault="00665BF3" w:rsidP="009663CA">
      <w:pPr>
        <w:pStyle w:val="Heading2"/>
        <w:rPr>
          <w:rFonts w:cs="Arial"/>
          <w:lang w:val="en-GB"/>
        </w:rPr>
      </w:pPr>
      <w:bookmarkStart w:id="2" w:name="_Toc150646862"/>
      <w:r w:rsidRPr="0014116F">
        <w:rPr>
          <w:rFonts w:cs="Arial"/>
          <w:lang w:val="en-GB"/>
        </w:rPr>
        <w:lastRenderedPageBreak/>
        <w:t xml:space="preserve">a) </w:t>
      </w:r>
      <w:r w:rsidR="009A7BE6" w:rsidRPr="0014116F">
        <w:rPr>
          <w:rFonts w:cs="Arial"/>
          <w:lang w:val="en-GB"/>
        </w:rPr>
        <w:t>Evaluation</w:t>
      </w:r>
      <w:r w:rsidRPr="0014116F">
        <w:rPr>
          <w:rFonts w:cs="Arial"/>
          <w:lang w:val="en-GB"/>
        </w:rPr>
        <w:t xml:space="preserve"> of the following</w:t>
      </w:r>
      <w:bookmarkEnd w:id="2"/>
    </w:p>
    <w:p w14:paraId="57DE7950" w14:textId="4E5ED99B" w:rsidR="00665BF3" w:rsidRPr="0014116F" w:rsidRDefault="009A7BE6" w:rsidP="009663CA">
      <w:pPr>
        <w:pStyle w:val="Heading3"/>
        <w:rPr>
          <w:rFonts w:cs="Arial"/>
          <w:lang w:val="en-GB"/>
        </w:rPr>
      </w:pPr>
      <w:bookmarkStart w:id="3" w:name="_Toc150646863"/>
      <w:r w:rsidRPr="0014116F">
        <w:rPr>
          <w:rFonts w:cs="Arial"/>
          <w:lang w:val="en-GB"/>
        </w:rPr>
        <w:t>1. Mean processing time using Hadoop</w:t>
      </w:r>
      <w:bookmarkEnd w:id="3"/>
    </w:p>
    <w:p w14:paraId="4AB3075E" w14:textId="6C00D866" w:rsidR="009A7BE6" w:rsidRPr="0014116F" w:rsidRDefault="00B223DC" w:rsidP="009663CA">
      <w:pPr>
        <w:rPr>
          <w:rFonts w:cs="Arial"/>
          <w:lang w:val="en-GB"/>
        </w:rPr>
      </w:pPr>
      <w:r w:rsidRPr="0014116F">
        <w:rPr>
          <w:rFonts w:cs="Arial"/>
          <w:lang w:val="en-GB"/>
        </w:rPr>
        <w:t xml:space="preserve">Calculating the average, often known as the arithmetic mean, in Excel is a breeze because </w:t>
      </w:r>
      <w:r w:rsidR="00D807B1" w:rsidRPr="0014116F">
        <w:rPr>
          <w:rFonts w:cs="Arial"/>
          <w:lang w:val="en-GB"/>
        </w:rPr>
        <w:t>of</w:t>
      </w:r>
      <w:r w:rsidRPr="0014116F">
        <w:rPr>
          <w:rFonts w:cs="Arial"/>
          <w:lang w:val="en-GB"/>
        </w:rPr>
        <w:t xml:space="preserve"> the program's built-in AVERAGE function.</w:t>
      </w:r>
      <w:r w:rsidR="00BE3A56" w:rsidRPr="0014116F">
        <w:rPr>
          <w:rFonts w:cs="Arial"/>
          <w:lang w:val="en-GB"/>
        </w:rPr>
        <w:t xml:space="preserve"> </w:t>
      </w:r>
    </w:p>
    <w:p w14:paraId="6CC57ED9" w14:textId="6660A374" w:rsidR="00BE3A56" w:rsidRPr="0014116F" w:rsidRDefault="00BE3A56" w:rsidP="009663CA">
      <w:pPr>
        <w:rPr>
          <w:rFonts w:cs="Arial"/>
          <w:lang w:val="en-GB"/>
        </w:rPr>
      </w:pPr>
      <w:r w:rsidRPr="0014116F">
        <w:rPr>
          <w:rFonts w:cs="Arial"/>
          <w:lang w:val="en-GB"/>
        </w:rPr>
        <w:t>To calculate the mean processing time using Hadoop in Excel</w:t>
      </w:r>
      <w:r w:rsidR="00F84878" w:rsidRPr="0014116F">
        <w:rPr>
          <w:rFonts w:cs="Arial"/>
          <w:lang w:val="en-GB"/>
        </w:rPr>
        <w:t>,</w:t>
      </w:r>
      <w:r w:rsidRPr="0014116F">
        <w:rPr>
          <w:rFonts w:cs="Arial"/>
          <w:lang w:val="en-GB"/>
        </w:rPr>
        <w:t xml:space="preserve"> the </w:t>
      </w:r>
      <w:r w:rsidR="000942FF" w:rsidRPr="0014116F">
        <w:rPr>
          <w:rFonts w:cs="Arial"/>
          <w:lang w:val="en-GB"/>
        </w:rPr>
        <w:t>below steps are followed –</w:t>
      </w:r>
    </w:p>
    <w:p w14:paraId="723058CD" w14:textId="777A9F63" w:rsidR="000942FF" w:rsidRPr="0014116F" w:rsidRDefault="000942FF" w:rsidP="009663CA">
      <w:pPr>
        <w:rPr>
          <w:rFonts w:cs="Arial"/>
          <w:lang w:val="en-GB"/>
        </w:rPr>
      </w:pPr>
      <w:r w:rsidRPr="0014116F">
        <w:rPr>
          <w:rFonts w:cs="Arial"/>
          <w:lang w:val="en-GB"/>
        </w:rPr>
        <w:t>From the given file of “GreenMed_Healthcare_2023”</w:t>
      </w:r>
      <w:r w:rsidR="00D807B1" w:rsidRPr="0014116F">
        <w:rPr>
          <w:rFonts w:cs="Arial"/>
          <w:lang w:val="en-GB"/>
        </w:rPr>
        <w:t>,</w:t>
      </w:r>
      <w:r w:rsidRPr="0014116F">
        <w:rPr>
          <w:rFonts w:cs="Arial"/>
          <w:lang w:val="en-GB"/>
        </w:rPr>
        <w:t xml:space="preserve"> Hadoop_ProcessingTime column was selected. In cell I3</w:t>
      </w:r>
      <w:r w:rsidR="00F84878" w:rsidRPr="0014116F">
        <w:rPr>
          <w:rFonts w:cs="Arial"/>
          <w:lang w:val="en-GB"/>
        </w:rPr>
        <w:t>,</w:t>
      </w:r>
      <w:r w:rsidRPr="0014116F">
        <w:rPr>
          <w:rFonts w:cs="Arial"/>
          <w:lang w:val="en-GB"/>
        </w:rPr>
        <w:t xml:space="preserve"> the formula to calculate the mean</w:t>
      </w:r>
      <w:r w:rsidR="00F84878" w:rsidRPr="0014116F">
        <w:rPr>
          <w:rFonts w:cs="Arial"/>
          <w:lang w:val="en-GB"/>
        </w:rPr>
        <w:t>,</w:t>
      </w:r>
      <w:r w:rsidRPr="0014116F">
        <w:rPr>
          <w:rFonts w:cs="Arial"/>
          <w:lang w:val="en-GB"/>
        </w:rPr>
        <w:t xml:space="preserve"> i.e., “=</w:t>
      </w:r>
      <w:r w:rsidR="00327919" w:rsidRPr="0014116F">
        <w:rPr>
          <w:rFonts w:cs="Arial"/>
          <w:lang w:val="en-GB"/>
        </w:rPr>
        <w:t>Average (</w:t>
      </w:r>
      <w:r w:rsidRPr="0014116F">
        <w:rPr>
          <w:rFonts w:cs="Arial"/>
          <w:lang w:val="en-GB"/>
        </w:rPr>
        <w:t>B2:B51)”.</w:t>
      </w:r>
    </w:p>
    <w:p w14:paraId="2624BD8B" w14:textId="4BAABBE3" w:rsidR="00D56598" w:rsidRPr="0014116F" w:rsidRDefault="00D56598" w:rsidP="009663CA">
      <w:pPr>
        <w:rPr>
          <w:rFonts w:cs="Arial"/>
          <w:lang w:val="en-GB"/>
        </w:rPr>
      </w:pPr>
      <w:r w:rsidRPr="0014116F">
        <w:rPr>
          <w:rFonts w:cs="Arial"/>
          <w:lang w:val="en-GB"/>
        </w:rPr>
        <w:t>From the calculation</w:t>
      </w:r>
      <w:r w:rsidR="00F84878" w:rsidRPr="0014116F">
        <w:rPr>
          <w:rFonts w:cs="Arial"/>
          <w:lang w:val="en-GB"/>
        </w:rPr>
        <w:t>,</w:t>
      </w:r>
      <w:r w:rsidRPr="0014116F">
        <w:rPr>
          <w:rFonts w:cs="Arial"/>
          <w:lang w:val="en-GB"/>
        </w:rPr>
        <w:t xml:space="preserve"> the </w:t>
      </w:r>
      <w:r w:rsidR="00F84878" w:rsidRPr="0014116F">
        <w:rPr>
          <w:rFonts w:cs="Arial"/>
          <w:lang w:val="en-GB"/>
        </w:rPr>
        <w:t>result</w:t>
      </w:r>
      <w:r w:rsidRPr="0014116F">
        <w:rPr>
          <w:rFonts w:cs="Arial"/>
          <w:lang w:val="en-GB"/>
        </w:rPr>
        <w:t xml:space="preserve"> was 2.779. Therefore, the mean processing time using Hadoop is </w:t>
      </w:r>
      <w:r w:rsidRPr="0014116F">
        <w:rPr>
          <w:rFonts w:cs="Arial"/>
          <w:b/>
          <w:bCs/>
          <w:i/>
          <w:iCs/>
          <w:lang w:val="en-GB"/>
        </w:rPr>
        <w:t>2.77</w:t>
      </w:r>
      <w:r w:rsidRPr="0014116F">
        <w:rPr>
          <w:rFonts w:cs="Arial"/>
          <w:lang w:val="en-GB"/>
        </w:rPr>
        <w:t>.</w:t>
      </w:r>
    </w:p>
    <w:p w14:paraId="29F4EB81" w14:textId="0E5C1ED4" w:rsidR="009A7BE6" w:rsidRPr="0014116F" w:rsidRDefault="009A7BE6" w:rsidP="009663CA">
      <w:pPr>
        <w:pStyle w:val="Heading3"/>
        <w:rPr>
          <w:rFonts w:cs="Arial"/>
          <w:lang w:val="en-GB"/>
        </w:rPr>
      </w:pPr>
      <w:bookmarkStart w:id="4" w:name="_Toc150646864"/>
      <w:r w:rsidRPr="0014116F">
        <w:rPr>
          <w:rFonts w:cs="Arial"/>
          <w:lang w:val="en-GB"/>
        </w:rPr>
        <w:t>2. Median processing time when using Spark</w:t>
      </w:r>
      <w:bookmarkEnd w:id="4"/>
    </w:p>
    <w:p w14:paraId="41E3B32A" w14:textId="085C74C1" w:rsidR="009A7BE6" w:rsidRPr="0014116F" w:rsidRDefault="004B5D72" w:rsidP="009663CA">
      <w:pPr>
        <w:rPr>
          <w:rFonts w:cs="Arial"/>
          <w:lang w:val="en-GB"/>
        </w:rPr>
      </w:pPr>
      <w:r w:rsidRPr="0014116F">
        <w:rPr>
          <w:rFonts w:cs="Arial"/>
          <w:lang w:val="en-GB"/>
        </w:rPr>
        <w:t xml:space="preserve">The MEDIAN function in Microsoft Excel may be used to calculate the median value. </w:t>
      </w:r>
      <w:r w:rsidR="00C0646E" w:rsidRPr="0014116F">
        <w:rPr>
          <w:rFonts w:cs="Arial"/>
          <w:lang w:val="en-GB"/>
        </w:rPr>
        <w:t xml:space="preserve">For this given dataset of “GreenMed_Healthcare_2023”, the median of the processing time when using Spark can be calculated by entering the median formula in cell I4. The formula for </w:t>
      </w:r>
      <w:r w:rsidR="00327919" w:rsidRPr="0014116F">
        <w:rPr>
          <w:rFonts w:cs="Arial"/>
          <w:lang w:val="en-GB"/>
        </w:rPr>
        <w:t xml:space="preserve">the </w:t>
      </w:r>
      <w:r w:rsidR="00C0646E" w:rsidRPr="0014116F">
        <w:rPr>
          <w:rFonts w:cs="Arial"/>
          <w:lang w:val="en-GB"/>
        </w:rPr>
        <w:t>median is “=</w:t>
      </w:r>
      <w:r w:rsidR="00327919" w:rsidRPr="0014116F">
        <w:rPr>
          <w:rFonts w:cs="Arial"/>
          <w:lang w:val="en-GB"/>
        </w:rPr>
        <w:t>Median (</w:t>
      </w:r>
      <w:r w:rsidR="00C0646E" w:rsidRPr="0014116F">
        <w:rPr>
          <w:rFonts w:cs="Arial"/>
          <w:lang w:val="en-GB"/>
        </w:rPr>
        <w:t xml:space="preserve">C2:C51). </w:t>
      </w:r>
    </w:p>
    <w:p w14:paraId="2A1B4EF3" w14:textId="19E84FA6" w:rsidR="00C0646E" w:rsidRPr="0014116F" w:rsidRDefault="00C0646E" w:rsidP="009663CA">
      <w:pPr>
        <w:rPr>
          <w:rFonts w:cs="Arial"/>
          <w:lang w:val="en-GB"/>
        </w:rPr>
      </w:pPr>
      <w:r w:rsidRPr="0014116F">
        <w:rPr>
          <w:rFonts w:cs="Arial"/>
          <w:lang w:val="en-GB"/>
        </w:rPr>
        <w:t>After entering this formula</w:t>
      </w:r>
      <w:r w:rsidR="00327919" w:rsidRPr="0014116F">
        <w:rPr>
          <w:rFonts w:cs="Arial"/>
          <w:lang w:val="en-GB"/>
        </w:rPr>
        <w:t>,</w:t>
      </w:r>
      <w:r w:rsidRPr="0014116F">
        <w:rPr>
          <w:rFonts w:cs="Arial"/>
          <w:lang w:val="en-GB"/>
        </w:rPr>
        <w:t xml:space="preserve"> the result for media processing time when using Spark is </w:t>
      </w:r>
      <w:r w:rsidRPr="0014116F">
        <w:rPr>
          <w:rFonts w:cs="Arial"/>
          <w:b/>
          <w:bCs/>
          <w:i/>
          <w:iCs/>
          <w:lang w:val="en-GB"/>
        </w:rPr>
        <w:t>2.74</w:t>
      </w:r>
      <w:r w:rsidRPr="0014116F">
        <w:rPr>
          <w:rFonts w:cs="Arial"/>
          <w:lang w:val="en-GB"/>
        </w:rPr>
        <w:t>.</w:t>
      </w:r>
    </w:p>
    <w:p w14:paraId="192106C5" w14:textId="006FED59" w:rsidR="00327919" w:rsidRPr="0014116F" w:rsidRDefault="009B4BB9" w:rsidP="009663CA">
      <w:pPr>
        <w:pStyle w:val="Heading3"/>
        <w:rPr>
          <w:rFonts w:cs="Arial"/>
          <w:lang w:val="en-GB"/>
        </w:rPr>
      </w:pPr>
      <w:bookmarkStart w:id="5" w:name="_Toc150646865"/>
      <w:r w:rsidRPr="0014116F">
        <w:rPr>
          <w:rFonts w:cs="Arial"/>
          <w:lang w:val="en-GB"/>
        </w:rPr>
        <w:t>3. Highest processing time</w:t>
      </w:r>
      <w:r w:rsidR="003A1177" w:rsidRPr="0014116F">
        <w:rPr>
          <w:rFonts w:cs="Arial"/>
          <w:lang w:val="en-GB"/>
        </w:rPr>
        <w:t xml:space="preserve"> of R</w:t>
      </w:r>
      <w:bookmarkEnd w:id="5"/>
    </w:p>
    <w:p w14:paraId="75A4F6DF" w14:textId="024B32BA" w:rsidR="009B4BB9" w:rsidRPr="0014116F" w:rsidRDefault="000D58F6" w:rsidP="009663CA">
      <w:pPr>
        <w:rPr>
          <w:rFonts w:cs="Arial"/>
          <w:lang w:val="en-GB"/>
        </w:rPr>
      </w:pPr>
      <w:r w:rsidRPr="0014116F">
        <w:rPr>
          <w:rFonts w:cs="Arial"/>
          <w:lang w:val="en-GB"/>
        </w:rPr>
        <w:t xml:space="preserve">The highest number in a range of data may be determined using the MAX function in Microsoft Excel. </w:t>
      </w:r>
      <w:r w:rsidR="00DD1D7B" w:rsidRPr="0014116F">
        <w:rPr>
          <w:rFonts w:cs="Arial"/>
          <w:lang w:val="en-GB"/>
        </w:rPr>
        <w:t>To</w:t>
      </w:r>
      <w:r w:rsidRPr="0014116F">
        <w:rPr>
          <w:rFonts w:cs="Arial"/>
          <w:lang w:val="en-GB"/>
        </w:rPr>
        <w:t xml:space="preserve"> determine the largest value inside a set of integers, one may use a mathematical operation referred to as the MAX function.</w:t>
      </w:r>
      <w:r w:rsidR="00BF0439" w:rsidRPr="0014116F">
        <w:rPr>
          <w:rFonts w:cs="Arial"/>
          <w:lang w:val="en-GB"/>
        </w:rPr>
        <w:t xml:space="preserve"> </w:t>
      </w:r>
    </w:p>
    <w:p w14:paraId="1D0B2D1D" w14:textId="09CB3310" w:rsidR="00BF0439" w:rsidRPr="0014116F" w:rsidRDefault="00BF0439" w:rsidP="009663CA">
      <w:pPr>
        <w:rPr>
          <w:rFonts w:cs="Arial"/>
          <w:lang w:val="en-GB"/>
        </w:rPr>
      </w:pPr>
      <w:r w:rsidRPr="0014116F">
        <w:rPr>
          <w:rFonts w:cs="Arial"/>
          <w:lang w:val="en-GB"/>
        </w:rPr>
        <w:t xml:space="preserve">Therefore, in </w:t>
      </w:r>
      <w:r w:rsidR="00100693" w:rsidRPr="0014116F">
        <w:rPr>
          <w:rFonts w:cs="Arial"/>
          <w:lang w:val="en-GB"/>
        </w:rPr>
        <w:t xml:space="preserve">the </w:t>
      </w:r>
      <w:r w:rsidRPr="0014116F">
        <w:rPr>
          <w:rFonts w:cs="Arial"/>
          <w:lang w:val="en-GB"/>
        </w:rPr>
        <w:t xml:space="preserve">given dataset of “GreenMed_Healthcare_2023”, </w:t>
      </w:r>
      <w:r w:rsidR="00100693" w:rsidRPr="0014116F">
        <w:rPr>
          <w:rFonts w:cs="Arial"/>
          <w:lang w:val="en-GB"/>
        </w:rPr>
        <w:t xml:space="preserve">the highest processing time for R can be calculated by the formula “=Max (D2:D51)”. The result of the calculation is 4.867. </w:t>
      </w:r>
    </w:p>
    <w:p w14:paraId="77F5F005" w14:textId="0E3E5EE5" w:rsidR="00100693" w:rsidRPr="0014116F" w:rsidRDefault="00100693" w:rsidP="009663CA">
      <w:pPr>
        <w:rPr>
          <w:rFonts w:cs="Arial"/>
          <w:lang w:val="en-GB"/>
        </w:rPr>
      </w:pPr>
      <w:r w:rsidRPr="0014116F">
        <w:rPr>
          <w:rFonts w:cs="Arial"/>
          <w:lang w:val="en-GB"/>
        </w:rPr>
        <w:t xml:space="preserve">It can be concluded that as the value </w:t>
      </w:r>
      <w:r w:rsidRPr="0014116F">
        <w:rPr>
          <w:rFonts w:cs="Arial"/>
          <w:b/>
          <w:bCs/>
          <w:lang w:val="en-GB"/>
        </w:rPr>
        <w:t>4.867</w:t>
      </w:r>
      <w:r w:rsidRPr="0014116F">
        <w:rPr>
          <w:rFonts w:cs="Arial"/>
          <w:lang w:val="en-GB"/>
        </w:rPr>
        <w:t xml:space="preserve"> is in row number 17, the date of this processing time is </w:t>
      </w:r>
      <w:r w:rsidRPr="0014116F">
        <w:rPr>
          <w:rFonts w:cs="Arial"/>
          <w:b/>
          <w:bCs/>
          <w:i/>
          <w:iCs/>
          <w:lang w:val="en-GB"/>
        </w:rPr>
        <w:t>2023-01-16</w:t>
      </w:r>
      <w:r w:rsidRPr="0014116F">
        <w:rPr>
          <w:rFonts w:cs="Arial"/>
          <w:lang w:val="en-GB"/>
        </w:rPr>
        <w:t>.</w:t>
      </w:r>
    </w:p>
    <w:p w14:paraId="00E28CC0" w14:textId="1214D389" w:rsidR="00100693" w:rsidRPr="0014116F" w:rsidRDefault="00060F52" w:rsidP="009663CA">
      <w:pPr>
        <w:pStyle w:val="Heading3"/>
        <w:rPr>
          <w:rFonts w:cs="Arial"/>
          <w:lang w:val="en-GB"/>
        </w:rPr>
      </w:pPr>
      <w:bookmarkStart w:id="6" w:name="_Toc150646866"/>
      <w:r w:rsidRPr="0014116F">
        <w:rPr>
          <w:rFonts w:cs="Arial"/>
          <w:lang w:val="en-GB"/>
        </w:rPr>
        <w:t>4. Standard deviation for processing time of Python</w:t>
      </w:r>
      <w:bookmarkEnd w:id="6"/>
    </w:p>
    <w:p w14:paraId="6555EDAF" w14:textId="5814048A" w:rsidR="00060F52" w:rsidRPr="0014116F" w:rsidRDefault="00F87E72" w:rsidP="009663CA">
      <w:pPr>
        <w:rPr>
          <w:rFonts w:cs="Arial"/>
          <w:lang w:val="en-GB"/>
        </w:rPr>
      </w:pPr>
      <w:r w:rsidRPr="0014116F">
        <w:rPr>
          <w:rFonts w:cs="Arial"/>
          <w:lang w:val="en-GB"/>
        </w:rPr>
        <w:t>To find the standard deviation of the processing time of Python</w:t>
      </w:r>
      <w:r w:rsidR="006F0F55" w:rsidRPr="0014116F">
        <w:rPr>
          <w:rFonts w:cs="Arial"/>
          <w:lang w:val="en-GB"/>
        </w:rPr>
        <w:t>,</w:t>
      </w:r>
      <w:r w:rsidRPr="0014116F">
        <w:rPr>
          <w:rFonts w:cs="Arial"/>
          <w:lang w:val="en-GB"/>
        </w:rPr>
        <w:t xml:space="preserve"> the formula to be used is “=Stdev</w:t>
      </w:r>
      <w:r w:rsidR="00F37892" w:rsidRPr="0014116F">
        <w:rPr>
          <w:rFonts w:cs="Arial"/>
          <w:lang w:val="en-GB"/>
        </w:rPr>
        <w:t>.”</w:t>
      </w:r>
      <w:r w:rsidRPr="0014116F">
        <w:rPr>
          <w:rFonts w:cs="Arial"/>
          <w:lang w:val="en-GB"/>
        </w:rPr>
        <w:t xml:space="preserve"> Therefore, </w:t>
      </w:r>
      <w:r w:rsidR="006F0F55" w:rsidRPr="0014116F">
        <w:rPr>
          <w:rFonts w:cs="Arial"/>
          <w:lang w:val="en-GB"/>
        </w:rPr>
        <w:t xml:space="preserve">when </w:t>
      </w:r>
      <w:r w:rsidRPr="0014116F">
        <w:rPr>
          <w:rFonts w:cs="Arial"/>
          <w:lang w:val="en-GB"/>
        </w:rPr>
        <w:t xml:space="preserve">selecting the </w:t>
      </w:r>
      <w:r w:rsidR="005313CB" w:rsidRPr="0014116F">
        <w:rPr>
          <w:rFonts w:cs="Arial"/>
          <w:lang w:val="en-GB"/>
        </w:rPr>
        <w:t>column of Python</w:t>
      </w:r>
      <w:r w:rsidR="006F0F55" w:rsidRPr="0014116F">
        <w:rPr>
          <w:rFonts w:cs="Arial"/>
          <w:lang w:val="en-GB"/>
        </w:rPr>
        <w:t>,</w:t>
      </w:r>
      <w:r w:rsidR="005313CB" w:rsidRPr="0014116F">
        <w:rPr>
          <w:rFonts w:cs="Arial"/>
          <w:lang w:val="en-GB"/>
        </w:rPr>
        <w:t xml:space="preserve"> the formula entered Is “=Stdev (E2:E51)”. </w:t>
      </w:r>
    </w:p>
    <w:p w14:paraId="5B79084D" w14:textId="0BD1ED10" w:rsidR="005313CB" w:rsidRPr="0014116F" w:rsidRDefault="005313CB" w:rsidP="009663CA">
      <w:pPr>
        <w:rPr>
          <w:rFonts w:cs="Arial"/>
          <w:lang w:val="en-GB"/>
        </w:rPr>
      </w:pPr>
      <w:r w:rsidRPr="0014116F">
        <w:rPr>
          <w:rFonts w:cs="Arial"/>
          <w:lang w:val="en-GB"/>
        </w:rPr>
        <w:t>The result from this is 1.284</w:t>
      </w:r>
      <w:r w:rsidR="00D807B1" w:rsidRPr="0014116F">
        <w:rPr>
          <w:rFonts w:cs="Arial"/>
          <w:lang w:val="en-GB"/>
        </w:rPr>
        <w:t>. Thus</w:t>
      </w:r>
      <w:r w:rsidR="006F0F55" w:rsidRPr="0014116F">
        <w:rPr>
          <w:rFonts w:cs="Arial"/>
          <w:lang w:val="en-GB"/>
        </w:rPr>
        <w:t>,</w:t>
      </w:r>
      <w:r w:rsidRPr="0014116F">
        <w:rPr>
          <w:rFonts w:cs="Arial"/>
          <w:lang w:val="en-GB"/>
        </w:rPr>
        <w:t xml:space="preserve"> the standard deviation for the processing time of Python is </w:t>
      </w:r>
      <w:r w:rsidRPr="0014116F">
        <w:rPr>
          <w:rFonts w:cs="Arial"/>
          <w:b/>
          <w:bCs/>
          <w:i/>
          <w:iCs/>
          <w:lang w:val="en-GB"/>
        </w:rPr>
        <w:t>1.284</w:t>
      </w:r>
      <w:r w:rsidRPr="0014116F">
        <w:rPr>
          <w:rFonts w:cs="Arial"/>
          <w:lang w:val="en-GB"/>
        </w:rPr>
        <w:t>.</w:t>
      </w:r>
    </w:p>
    <w:p w14:paraId="3F4E3D87" w14:textId="7481F158" w:rsidR="005313CB" w:rsidRPr="0014116F" w:rsidRDefault="001C161C" w:rsidP="009663CA">
      <w:pPr>
        <w:pStyle w:val="Heading3"/>
        <w:rPr>
          <w:rFonts w:cs="Arial"/>
          <w:lang w:val="en-GB"/>
        </w:rPr>
      </w:pPr>
      <w:bookmarkStart w:id="7" w:name="_Toc150646867"/>
      <w:r w:rsidRPr="0014116F">
        <w:rPr>
          <w:rFonts w:cs="Arial"/>
          <w:lang w:val="en-GB"/>
        </w:rPr>
        <w:lastRenderedPageBreak/>
        <w:t>5. Lowest average processing time</w:t>
      </w:r>
      <w:bookmarkEnd w:id="7"/>
    </w:p>
    <w:p w14:paraId="0E0ED9B8" w14:textId="2919F9F9" w:rsidR="001C161C" w:rsidRPr="0014116F" w:rsidRDefault="00DC79C2" w:rsidP="009663CA">
      <w:pPr>
        <w:rPr>
          <w:rFonts w:cs="Arial"/>
          <w:lang w:val="en-GB"/>
        </w:rPr>
      </w:pPr>
      <w:r w:rsidRPr="0014116F">
        <w:rPr>
          <w:rFonts w:cs="Arial"/>
          <w:lang w:val="en-GB"/>
        </w:rPr>
        <w:t xml:space="preserve">All the tools or platform’s </w:t>
      </w:r>
      <w:r w:rsidR="007079C3" w:rsidRPr="0014116F">
        <w:rPr>
          <w:rFonts w:cs="Arial"/>
          <w:lang w:val="en-GB"/>
        </w:rPr>
        <w:t>averages</w:t>
      </w:r>
      <w:r w:rsidRPr="0014116F">
        <w:rPr>
          <w:rFonts w:cs="Arial"/>
          <w:lang w:val="en-GB"/>
        </w:rPr>
        <w:t xml:space="preserve"> need to be calculated to identify whose average processing time is the lowest </w:t>
      </w:r>
      <w:r w:rsidR="007079C3" w:rsidRPr="0014116F">
        <w:rPr>
          <w:rFonts w:cs="Arial"/>
          <w:lang w:val="en-GB"/>
        </w:rPr>
        <w:t>among</w:t>
      </w:r>
      <w:r w:rsidRPr="0014116F">
        <w:rPr>
          <w:rFonts w:cs="Arial"/>
          <w:lang w:val="en-GB"/>
        </w:rPr>
        <w:t xml:space="preserve"> all the </w:t>
      </w:r>
      <w:r w:rsidR="007079C3" w:rsidRPr="0014116F">
        <w:rPr>
          <w:rFonts w:cs="Arial"/>
          <w:lang w:val="en-GB"/>
        </w:rPr>
        <w:t>tools</w:t>
      </w:r>
      <w:r w:rsidRPr="0014116F">
        <w:rPr>
          <w:rFonts w:cs="Arial"/>
          <w:lang w:val="en-GB"/>
        </w:rPr>
        <w:t xml:space="preserve">. </w:t>
      </w:r>
    </w:p>
    <w:p w14:paraId="1D066A20" w14:textId="2A1B488C" w:rsidR="00DC79C2" w:rsidRPr="0014116F" w:rsidRDefault="007079C3" w:rsidP="009663CA">
      <w:pPr>
        <w:rPr>
          <w:rFonts w:cs="Arial"/>
          <w:lang w:val="en-GB"/>
        </w:rPr>
      </w:pPr>
      <w:r w:rsidRPr="0014116F">
        <w:rPr>
          <w:rFonts w:cs="Arial"/>
          <w:lang w:val="en-GB"/>
        </w:rPr>
        <w:t>Average processing time of Hadoop - 2.777</w:t>
      </w:r>
    </w:p>
    <w:p w14:paraId="676631BB" w14:textId="3709AB5C" w:rsidR="007079C3" w:rsidRPr="0014116F" w:rsidRDefault="007079C3" w:rsidP="009663CA">
      <w:pPr>
        <w:rPr>
          <w:rFonts w:cs="Arial"/>
          <w:lang w:val="en-GB"/>
        </w:rPr>
      </w:pPr>
      <w:r w:rsidRPr="0014116F">
        <w:rPr>
          <w:rFonts w:cs="Arial"/>
          <w:lang w:val="en-GB"/>
        </w:rPr>
        <w:t>Average processing time of Spark - 2.932</w:t>
      </w:r>
    </w:p>
    <w:p w14:paraId="52FB01FB" w14:textId="523DF331" w:rsidR="007079C3" w:rsidRPr="0014116F" w:rsidRDefault="007079C3" w:rsidP="009663CA">
      <w:pPr>
        <w:rPr>
          <w:rFonts w:cs="Arial"/>
          <w:lang w:val="en-GB"/>
        </w:rPr>
      </w:pPr>
      <w:r w:rsidRPr="0014116F">
        <w:rPr>
          <w:rFonts w:cs="Arial"/>
          <w:lang w:val="en-GB"/>
        </w:rPr>
        <w:t>Average processing time of R - 2.755</w:t>
      </w:r>
    </w:p>
    <w:p w14:paraId="0B36AF7D" w14:textId="2526CA0E" w:rsidR="007079C3" w:rsidRPr="0014116F" w:rsidRDefault="007079C3" w:rsidP="009663CA">
      <w:pPr>
        <w:rPr>
          <w:rFonts w:cs="Arial"/>
          <w:lang w:val="en-GB"/>
        </w:rPr>
      </w:pPr>
      <w:r w:rsidRPr="0014116F">
        <w:rPr>
          <w:rFonts w:cs="Arial"/>
          <w:lang w:val="en-GB"/>
        </w:rPr>
        <w:t>Average processing time of Python - 2.573</w:t>
      </w:r>
    </w:p>
    <w:p w14:paraId="289482A3" w14:textId="544F2395" w:rsidR="007079C3" w:rsidRPr="0014116F" w:rsidRDefault="007079C3" w:rsidP="009663CA">
      <w:pPr>
        <w:rPr>
          <w:rFonts w:cs="Arial"/>
          <w:lang w:val="en-GB"/>
        </w:rPr>
      </w:pPr>
      <w:r w:rsidRPr="0014116F">
        <w:rPr>
          <w:rFonts w:cs="Arial"/>
          <w:lang w:val="en-GB"/>
        </w:rPr>
        <w:t>Therefore, from the above averages of all the tools</w:t>
      </w:r>
      <w:r w:rsidR="0046079B" w:rsidRPr="0014116F">
        <w:rPr>
          <w:rFonts w:cs="Arial"/>
          <w:lang w:val="en-GB"/>
        </w:rPr>
        <w:t>,</w:t>
      </w:r>
      <w:r w:rsidRPr="0014116F">
        <w:rPr>
          <w:rFonts w:cs="Arial"/>
          <w:lang w:val="en-GB"/>
        </w:rPr>
        <w:t xml:space="preserve"> Python has the lowest average processing time </w:t>
      </w:r>
      <w:r w:rsidR="0046079B" w:rsidRPr="0014116F">
        <w:rPr>
          <w:rFonts w:cs="Arial"/>
          <w:lang w:val="en-GB"/>
        </w:rPr>
        <w:t>of</w:t>
      </w:r>
      <w:r w:rsidRPr="0014116F">
        <w:rPr>
          <w:rFonts w:cs="Arial"/>
          <w:lang w:val="en-GB"/>
        </w:rPr>
        <w:t xml:space="preserve"> </w:t>
      </w:r>
      <w:r w:rsidRPr="0014116F">
        <w:rPr>
          <w:rFonts w:cs="Arial"/>
          <w:b/>
          <w:bCs/>
          <w:i/>
          <w:iCs/>
          <w:lang w:val="en-GB"/>
        </w:rPr>
        <w:t>2.573</w:t>
      </w:r>
      <w:r w:rsidRPr="0014116F">
        <w:rPr>
          <w:rFonts w:cs="Arial"/>
          <w:lang w:val="en-GB"/>
        </w:rPr>
        <w:t xml:space="preserve">. </w:t>
      </w:r>
    </w:p>
    <w:p w14:paraId="36AB2F52" w14:textId="56742307" w:rsidR="007079C3" w:rsidRPr="0014116F" w:rsidRDefault="00950256" w:rsidP="009663CA">
      <w:pPr>
        <w:pStyle w:val="Heading3"/>
        <w:rPr>
          <w:rFonts w:cs="Arial"/>
          <w:lang w:val="en-GB"/>
        </w:rPr>
      </w:pPr>
      <w:bookmarkStart w:id="8" w:name="_Toc150646868"/>
      <w:r w:rsidRPr="0014116F">
        <w:rPr>
          <w:rFonts w:cs="Arial"/>
          <w:lang w:val="en-GB"/>
        </w:rPr>
        <w:t xml:space="preserve">6. Interpretation of different processing </w:t>
      </w:r>
      <w:r w:rsidR="00016C68" w:rsidRPr="0014116F">
        <w:rPr>
          <w:rFonts w:cs="Arial"/>
          <w:lang w:val="en-GB"/>
        </w:rPr>
        <w:t>times</w:t>
      </w:r>
      <w:r w:rsidRPr="0014116F">
        <w:rPr>
          <w:rFonts w:cs="Arial"/>
          <w:lang w:val="en-GB"/>
        </w:rPr>
        <w:t xml:space="preserve"> across different tools and platforms</w:t>
      </w:r>
      <w:bookmarkEnd w:id="8"/>
    </w:p>
    <w:p w14:paraId="09168757" w14:textId="1B17D11F" w:rsidR="00950256" w:rsidRPr="0014116F" w:rsidRDefault="00167FC9" w:rsidP="009663CA">
      <w:pPr>
        <w:rPr>
          <w:rFonts w:cs="Arial"/>
          <w:lang w:val="en-GB"/>
        </w:rPr>
      </w:pPr>
      <w:r w:rsidRPr="0014116F">
        <w:rPr>
          <w:rFonts w:cs="Arial"/>
          <w:lang w:val="en-GB"/>
        </w:rPr>
        <w:t>The efficiency of data processing in a tool or platform is significantly influenced by its architecture. The architecture of Hadoop</w:t>
      </w:r>
      <w:r w:rsidR="00DC2B23" w:rsidRPr="0014116F">
        <w:rPr>
          <w:rFonts w:cs="Arial"/>
          <w:lang w:val="en-GB"/>
        </w:rPr>
        <w:t xml:space="preserve">’s </w:t>
      </w:r>
      <w:r w:rsidRPr="0014116F">
        <w:rPr>
          <w:rFonts w:cs="Arial"/>
          <w:lang w:val="en-GB"/>
        </w:rPr>
        <w:t xml:space="preserve">framework is primarily focused on batch processing, whereas Spark's ability to do in-memory processing enables the execution of iterative calculations, hence enhancing overall efficiency. R and Python are considered interpreted languages, which means that their code is executed sequentially. This sequential processing characteristic makes them comparatively less efficient in terms of performance when compared to compiled languages such as Java or Scala. The magnitude and intricacy of the data being processed </w:t>
      </w:r>
      <w:r w:rsidR="00F513F3" w:rsidRPr="0014116F">
        <w:rPr>
          <w:rFonts w:cs="Arial"/>
          <w:lang w:val="en-GB"/>
        </w:rPr>
        <w:t>have</w:t>
      </w:r>
      <w:r w:rsidRPr="0014116F">
        <w:rPr>
          <w:rFonts w:cs="Arial"/>
          <w:lang w:val="en-GB"/>
        </w:rPr>
        <w:t xml:space="preserve"> a significant influence on the duration of the processing. Irrespective of the tool or platform used, the processing time required for larger datasets and more intricate algorithms will always increase. Hadoop, Spark, R, and Python exhibit variations in their typical processing durations, which are influenced by variables like their architectural design, data attributes, hardware resources, optimisation strategies, and unique application scenarios.</w:t>
      </w:r>
    </w:p>
    <w:p w14:paraId="651C1D7C" w14:textId="2796B47B" w:rsidR="00DC2B23" w:rsidRPr="0014116F" w:rsidRDefault="000B47F3" w:rsidP="009663CA">
      <w:pPr>
        <w:pStyle w:val="Heading2"/>
        <w:rPr>
          <w:rFonts w:cs="Arial"/>
          <w:lang w:val="en-GB"/>
        </w:rPr>
      </w:pPr>
      <w:bookmarkStart w:id="9" w:name="_Toc150646869"/>
      <w:r w:rsidRPr="0014116F">
        <w:rPr>
          <w:rFonts w:cs="Arial"/>
          <w:lang w:val="en-GB"/>
        </w:rPr>
        <w:t>b) Using MS Excel</w:t>
      </w:r>
      <w:bookmarkEnd w:id="9"/>
    </w:p>
    <w:p w14:paraId="3DF82744" w14:textId="5F001C71" w:rsidR="000B47F3" w:rsidRPr="0014116F" w:rsidRDefault="00BD0A74" w:rsidP="009663CA">
      <w:pPr>
        <w:rPr>
          <w:rFonts w:cs="Arial"/>
          <w:b/>
          <w:bCs/>
          <w:u w:val="single"/>
          <w:lang w:val="en-GB"/>
        </w:rPr>
      </w:pPr>
      <w:r w:rsidRPr="0014116F">
        <w:rPr>
          <w:rFonts w:cs="Arial"/>
          <w:b/>
          <w:bCs/>
          <w:u w:val="single"/>
          <w:lang w:val="en-GB"/>
        </w:rPr>
        <w:t xml:space="preserve">Data presentation using PIVOT table </w:t>
      </w:r>
    </w:p>
    <w:p w14:paraId="5A1E244D" w14:textId="23640EBE" w:rsidR="00BD0A74" w:rsidRPr="0014116F" w:rsidRDefault="00E23594" w:rsidP="009663CA">
      <w:pPr>
        <w:rPr>
          <w:rFonts w:cs="Arial"/>
          <w:lang w:val="en-GB"/>
        </w:rPr>
      </w:pPr>
      <w:r w:rsidRPr="0014116F">
        <w:rPr>
          <w:rFonts w:cs="Arial"/>
          <w:lang w:val="en-GB"/>
        </w:rPr>
        <w:t>The PivotTable functionality in Microsoft Excel is a robust tool that facilitates the aggregation and examination of data derived from a substantial dataset</w:t>
      </w:r>
      <w:r w:rsidR="003C37D3" w:rsidRPr="0014116F">
        <w:rPr>
          <w:rFonts w:cs="Arial"/>
          <w:lang w:val="en-GB"/>
        </w:rPr>
        <w:t xml:space="preserve"> (Verma and Verma, 2023)</w:t>
      </w:r>
      <w:r w:rsidRPr="0014116F">
        <w:rPr>
          <w:rFonts w:cs="Arial"/>
          <w:lang w:val="en-GB"/>
        </w:rPr>
        <w:t>. This tool is especially advantageous for the purpose of data visualisation and generating informative reports.</w:t>
      </w:r>
    </w:p>
    <w:p w14:paraId="3C3194E5" w14:textId="614F1387" w:rsidR="00FA21B4" w:rsidRPr="0014116F" w:rsidRDefault="00FA21B4" w:rsidP="009663CA">
      <w:pPr>
        <w:rPr>
          <w:rFonts w:cs="Arial"/>
          <w:lang w:val="en-GB"/>
        </w:rPr>
      </w:pPr>
      <w:r w:rsidRPr="0014116F">
        <w:rPr>
          <w:rFonts w:cs="Arial"/>
          <w:lang w:val="en-GB"/>
        </w:rPr>
        <w:t>The process of informati</w:t>
      </w:r>
      <w:r w:rsidR="00427A79" w:rsidRPr="0014116F">
        <w:rPr>
          <w:rFonts w:cs="Arial"/>
          <w:lang w:val="en-GB"/>
        </w:rPr>
        <w:t>on</w:t>
      </w:r>
      <w:r w:rsidRPr="0014116F">
        <w:rPr>
          <w:rFonts w:cs="Arial"/>
          <w:lang w:val="en-GB"/>
        </w:rPr>
        <w:t xml:space="preserve"> headers is a vital component in facilitating the appropriate organisation of data. Ensuring appropriate representation and organisation of data necessitates that each column within a dataset corresponds to a distinct variable or category. </w:t>
      </w:r>
      <w:r w:rsidR="00427A79" w:rsidRPr="0014116F">
        <w:rPr>
          <w:rFonts w:cs="Arial"/>
          <w:lang w:val="en-GB"/>
        </w:rPr>
        <w:t>I</w:t>
      </w:r>
      <w:r w:rsidRPr="0014116F">
        <w:rPr>
          <w:rFonts w:cs="Arial"/>
          <w:lang w:val="en-GB"/>
        </w:rPr>
        <w:t xml:space="preserve">dentify the range of cells that include all of the relevant information. To use the </w:t>
      </w:r>
      <w:r w:rsidRPr="0014116F">
        <w:rPr>
          <w:rFonts w:cs="Arial"/>
          <w:lang w:val="en-GB"/>
        </w:rPr>
        <w:lastRenderedPageBreak/>
        <w:t>"PivotTable" feature in Microsoft Excel, go to the "Insert" group located on the Insert tab of the Excel ribbon.</w:t>
      </w:r>
    </w:p>
    <w:p w14:paraId="3862C696" w14:textId="0D3696E9" w:rsidR="00D67085" w:rsidRPr="0014116F" w:rsidRDefault="00D67085" w:rsidP="009663CA">
      <w:pPr>
        <w:jc w:val="center"/>
        <w:rPr>
          <w:rFonts w:cs="Arial"/>
          <w:lang w:val="en-GB"/>
        </w:rPr>
      </w:pPr>
      <w:r w:rsidRPr="0014116F">
        <w:rPr>
          <w:rFonts w:cs="Arial"/>
          <w:noProof/>
          <w:lang w:val="en-GB"/>
        </w:rPr>
        <w:drawing>
          <wp:inline distT="0" distB="0" distL="0" distR="0" wp14:anchorId="02482F02" wp14:editId="1180DB77">
            <wp:extent cx="5669280" cy="4434879"/>
            <wp:effectExtent l="0" t="0" r="7620" b="3810"/>
            <wp:docPr id="1846586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86988" name=""/>
                    <pic:cNvPicPr/>
                  </pic:nvPicPr>
                  <pic:blipFill>
                    <a:blip r:embed="rId8"/>
                    <a:stretch>
                      <a:fillRect/>
                    </a:stretch>
                  </pic:blipFill>
                  <pic:spPr>
                    <a:xfrm>
                      <a:off x="0" y="0"/>
                      <a:ext cx="5673846" cy="4438451"/>
                    </a:xfrm>
                    <a:prstGeom prst="rect">
                      <a:avLst/>
                    </a:prstGeom>
                  </pic:spPr>
                </pic:pic>
              </a:graphicData>
            </a:graphic>
          </wp:inline>
        </w:drawing>
      </w:r>
    </w:p>
    <w:p w14:paraId="2E618BB9" w14:textId="0F804001" w:rsidR="00466EFC" w:rsidRPr="0014116F" w:rsidRDefault="00282567" w:rsidP="009663CA">
      <w:pPr>
        <w:rPr>
          <w:rFonts w:cs="Arial"/>
          <w:lang w:val="en-GB"/>
        </w:rPr>
      </w:pPr>
      <w:r w:rsidRPr="0014116F">
        <w:rPr>
          <w:rFonts w:cs="Arial"/>
          <w:lang w:val="en-GB"/>
        </w:rPr>
        <w:t xml:space="preserve">The user is provided with the opportunity to choose the desired location for the placement of the pivot table inside the Create PivotTable dialogue box. The pivot table </w:t>
      </w:r>
      <w:r w:rsidR="00A01C9C" w:rsidRPr="0014116F">
        <w:rPr>
          <w:rFonts w:cs="Arial"/>
          <w:lang w:val="en-GB"/>
        </w:rPr>
        <w:t xml:space="preserve">can </w:t>
      </w:r>
      <w:r w:rsidRPr="0014116F">
        <w:rPr>
          <w:rFonts w:cs="Arial"/>
          <w:lang w:val="en-GB"/>
        </w:rPr>
        <w:t xml:space="preserve">be </w:t>
      </w:r>
      <w:r w:rsidR="00A01C9C" w:rsidRPr="0014116F">
        <w:rPr>
          <w:rFonts w:cs="Arial"/>
          <w:lang w:val="en-GB"/>
        </w:rPr>
        <w:t>managed</w:t>
      </w:r>
      <w:r w:rsidRPr="0014116F">
        <w:rPr>
          <w:rFonts w:cs="Arial"/>
          <w:lang w:val="en-GB"/>
        </w:rPr>
        <w:t xml:space="preserve"> either by creating a new worksheet specifically for it or by modifying an existing worksheet. Please choose an option from the "Choose the data to be analysed" dropdown menu that matches the data range provided</w:t>
      </w:r>
      <w:r w:rsidR="00D151E8" w:rsidRPr="0014116F">
        <w:rPr>
          <w:rFonts w:cs="Arial"/>
          <w:lang w:val="en-GB"/>
        </w:rPr>
        <w:t>.</w:t>
      </w:r>
      <w:r w:rsidR="00D26998" w:rsidRPr="0014116F">
        <w:rPr>
          <w:rFonts w:cs="Arial"/>
          <w:lang w:val="en-GB"/>
        </w:rPr>
        <w:t xml:space="preserve"> </w:t>
      </w:r>
    </w:p>
    <w:p w14:paraId="207A378D" w14:textId="3ACBDC56" w:rsidR="00466EFC" w:rsidRPr="0014116F" w:rsidRDefault="00466EFC" w:rsidP="009663CA">
      <w:pPr>
        <w:jc w:val="center"/>
        <w:rPr>
          <w:rFonts w:cs="Arial"/>
          <w:lang w:val="en-GB"/>
        </w:rPr>
      </w:pPr>
      <w:r w:rsidRPr="0014116F">
        <w:rPr>
          <w:rFonts w:cs="Arial"/>
          <w:noProof/>
          <w:lang w:val="en-GB"/>
        </w:rPr>
        <w:lastRenderedPageBreak/>
        <w:drawing>
          <wp:inline distT="0" distB="0" distL="0" distR="0" wp14:anchorId="39D0A0EA" wp14:editId="13BA0A66">
            <wp:extent cx="4404742" cy="4092295"/>
            <wp:effectExtent l="0" t="0" r="0" b="3810"/>
            <wp:docPr id="203389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96407" name=""/>
                    <pic:cNvPicPr/>
                  </pic:nvPicPr>
                  <pic:blipFill>
                    <a:blip r:embed="rId9"/>
                    <a:stretch>
                      <a:fillRect/>
                    </a:stretch>
                  </pic:blipFill>
                  <pic:spPr>
                    <a:xfrm>
                      <a:off x="0" y="0"/>
                      <a:ext cx="4404742" cy="4092295"/>
                    </a:xfrm>
                    <a:prstGeom prst="rect">
                      <a:avLst/>
                    </a:prstGeom>
                  </pic:spPr>
                </pic:pic>
              </a:graphicData>
            </a:graphic>
          </wp:inline>
        </w:drawing>
      </w:r>
    </w:p>
    <w:p w14:paraId="56B7FAD9" w14:textId="1FD9D32C" w:rsidR="00590D6F" w:rsidRPr="0014116F" w:rsidRDefault="00D803E2" w:rsidP="009663CA">
      <w:pPr>
        <w:rPr>
          <w:rFonts w:cs="Arial"/>
          <w:lang w:val="en-GB"/>
        </w:rPr>
      </w:pPr>
      <w:r w:rsidRPr="0014116F">
        <w:rPr>
          <w:rFonts w:cs="Arial"/>
          <w:lang w:val="en-GB"/>
        </w:rPr>
        <w:t>It's possible to rearrange the pivot table's cells in a way that improves its visual appeal. The process begins with the user selecting a cell inside the pivot table</w:t>
      </w:r>
      <w:r w:rsidR="003C37D3" w:rsidRPr="0014116F">
        <w:rPr>
          <w:rFonts w:cs="Arial"/>
          <w:lang w:val="en-GB"/>
        </w:rPr>
        <w:t xml:space="preserve"> (Verma, 2013)</w:t>
      </w:r>
      <w:r w:rsidRPr="0014116F">
        <w:rPr>
          <w:rFonts w:cs="Arial"/>
          <w:lang w:val="en-GB"/>
        </w:rPr>
        <w:t>. Consequently, users may make use of the formatting options supplied in the Format Table group, which can be found on the Home tab of Microsoft Word's ribbon interface. Filters may be added to the pivot table to help refine the data. The user will use a feature known as drag and drop to accomplish this activity. This feature allows the user to move the fields they need for filtering to the Filters area of the PivotTable Fields pane.</w:t>
      </w:r>
    </w:p>
    <w:p w14:paraId="2DCFE37F" w14:textId="078DDA0A" w:rsidR="00934B93" w:rsidRPr="0014116F" w:rsidRDefault="00216972" w:rsidP="009663CA">
      <w:pPr>
        <w:rPr>
          <w:rFonts w:cs="Arial"/>
          <w:lang w:val="en-GB"/>
        </w:rPr>
      </w:pPr>
      <w:r w:rsidRPr="0014116F">
        <w:rPr>
          <w:rFonts w:cs="Arial"/>
          <w:noProof/>
          <w:lang w:val="en-GB"/>
        </w:rPr>
        <w:drawing>
          <wp:inline distT="0" distB="0" distL="0" distR="0" wp14:anchorId="67F27331" wp14:editId="338547EE">
            <wp:extent cx="5943600" cy="2299970"/>
            <wp:effectExtent l="0" t="0" r="0" b="5080"/>
            <wp:docPr id="78546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64461" name=""/>
                    <pic:cNvPicPr/>
                  </pic:nvPicPr>
                  <pic:blipFill>
                    <a:blip r:embed="rId10"/>
                    <a:stretch>
                      <a:fillRect/>
                    </a:stretch>
                  </pic:blipFill>
                  <pic:spPr>
                    <a:xfrm>
                      <a:off x="0" y="0"/>
                      <a:ext cx="5943600" cy="2299970"/>
                    </a:xfrm>
                    <a:prstGeom prst="rect">
                      <a:avLst/>
                    </a:prstGeom>
                  </pic:spPr>
                </pic:pic>
              </a:graphicData>
            </a:graphic>
          </wp:inline>
        </w:drawing>
      </w:r>
    </w:p>
    <w:p w14:paraId="6B5DB479" w14:textId="08A619AC" w:rsidR="008841C0" w:rsidRPr="0014116F" w:rsidRDefault="00D46FB5" w:rsidP="009663CA">
      <w:pPr>
        <w:rPr>
          <w:rFonts w:cs="Arial"/>
          <w:lang w:val="en-GB"/>
        </w:rPr>
      </w:pPr>
      <w:r w:rsidRPr="0014116F">
        <w:rPr>
          <w:rFonts w:cs="Arial"/>
          <w:lang w:val="en-GB"/>
        </w:rPr>
        <w:lastRenderedPageBreak/>
        <w:t>The information in a pivot table may be represented graphically with the help of pivot charts. The user must then choose a cell inside the pivot table to begin the procedure</w:t>
      </w:r>
      <w:r w:rsidR="003C37D3" w:rsidRPr="0014116F">
        <w:rPr>
          <w:rFonts w:cs="Arial"/>
          <w:lang w:val="en-GB"/>
        </w:rPr>
        <w:t xml:space="preserve"> (Tolmie, Muijs and Mcateer, 201</w:t>
      </w:r>
      <w:r w:rsidR="00FF01E2" w:rsidRPr="0014116F">
        <w:rPr>
          <w:rFonts w:cs="Arial"/>
          <w:lang w:val="en-GB"/>
        </w:rPr>
        <w:t>2</w:t>
      </w:r>
      <w:r w:rsidR="003C37D3" w:rsidRPr="0014116F">
        <w:rPr>
          <w:rFonts w:cs="Arial"/>
          <w:lang w:val="en-GB"/>
        </w:rPr>
        <w:t>)</w:t>
      </w:r>
      <w:r w:rsidRPr="0014116F">
        <w:rPr>
          <w:rFonts w:cs="Arial"/>
          <w:lang w:val="en-GB"/>
        </w:rPr>
        <w:t>. After that is done, the Insert tab of the ribbon interface should be navigated and the PivotChart group should be selected. One of these options will be marked "Insert Chart." Users may enter a chart when they choose this option. Once a pivot table has been constructed, it becomes viable to undertake a full analysis of the data with the purpose of distinguishing important trends, patterns, and insights. Using pivot charts to analyse the numbers included in a pivot table is one method of data analysis.</w:t>
      </w:r>
    </w:p>
    <w:p w14:paraId="1526D405" w14:textId="383EF5DC" w:rsidR="005C6F0B" w:rsidRPr="0014116F" w:rsidRDefault="005C6F0B" w:rsidP="009663CA">
      <w:pPr>
        <w:jc w:val="center"/>
        <w:rPr>
          <w:rFonts w:cs="Arial"/>
          <w:lang w:val="en-GB"/>
        </w:rPr>
      </w:pPr>
      <w:r w:rsidRPr="0014116F">
        <w:rPr>
          <w:rFonts w:cs="Arial"/>
          <w:noProof/>
          <w:lang w:val="en-GB"/>
        </w:rPr>
        <w:drawing>
          <wp:inline distT="0" distB="0" distL="0" distR="0" wp14:anchorId="626AC353" wp14:editId="20C986E3">
            <wp:extent cx="5943600" cy="4384040"/>
            <wp:effectExtent l="0" t="0" r="0" b="0"/>
            <wp:docPr id="1281450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50243" name=""/>
                    <pic:cNvPicPr/>
                  </pic:nvPicPr>
                  <pic:blipFill>
                    <a:blip r:embed="rId11"/>
                    <a:stretch>
                      <a:fillRect/>
                    </a:stretch>
                  </pic:blipFill>
                  <pic:spPr>
                    <a:xfrm>
                      <a:off x="0" y="0"/>
                      <a:ext cx="5943600" cy="4384040"/>
                    </a:xfrm>
                    <a:prstGeom prst="rect">
                      <a:avLst/>
                    </a:prstGeom>
                  </pic:spPr>
                </pic:pic>
              </a:graphicData>
            </a:graphic>
          </wp:inline>
        </w:drawing>
      </w:r>
    </w:p>
    <w:p w14:paraId="6C1C6D78" w14:textId="1768C51E" w:rsidR="005C6F0B" w:rsidRPr="0014116F" w:rsidRDefault="00236666" w:rsidP="009663CA">
      <w:pPr>
        <w:rPr>
          <w:rFonts w:cs="Arial"/>
          <w:lang w:val="en-GB"/>
        </w:rPr>
      </w:pPr>
      <w:r w:rsidRPr="0014116F">
        <w:rPr>
          <w:rFonts w:cs="Arial"/>
          <w:lang w:val="en-GB"/>
        </w:rPr>
        <w:t>The process of optimising a chart within a pivot table to properly portray the data and effectively transmit the generated insights comprises numerous sequential operations</w:t>
      </w:r>
      <w:r w:rsidR="003C37D3" w:rsidRPr="0014116F">
        <w:rPr>
          <w:rFonts w:cs="Arial"/>
          <w:lang w:val="en-GB"/>
        </w:rPr>
        <w:t xml:space="preserve"> (Slavio, 2019)</w:t>
      </w:r>
      <w:r w:rsidRPr="0014116F">
        <w:rPr>
          <w:rFonts w:cs="Arial"/>
          <w:lang w:val="en-GB"/>
        </w:rPr>
        <w:t xml:space="preserve">. Depending on the specifics of the gathered information, a suitable chart type may be selected for </w:t>
      </w:r>
      <w:r w:rsidR="00D807B1" w:rsidRPr="0014116F">
        <w:rPr>
          <w:rFonts w:cs="Arial"/>
          <w:lang w:val="en-GB"/>
        </w:rPr>
        <w:t>personalisation</w:t>
      </w:r>
      <w:r w:rsidRPr="0014116F">
        <w:rPr>
          <w:rFonts w:cs="Arial"/>
          <w:lang w:val="en-GB"/>
        </w:rPr>
        <w:t xml:space="preserve">. Bar charts, line graphs, and pie charts are typical choices and are good jumping-off places for </w:t>
      </w:r>
      <w:r w:rsidR="00D807B1" w:rsidRPr="0014116F">
        <w:rPr>
          <w:rFonts w:cs="Arial"/>
          <w:lang w:val="en-GB"/>
        </w:rPr>
        <w:t>individualisation</w:t>
      </w:r>
      <w:r w:rsidRPr="0014116F">
        <w:rPr>
          <w:rFonts w:cs="Arial"/>
          <w:lang w:val="en-GB"/>
        </w:rPr>
        <w:t xml:space="preserve">. To make the visual depiction more understandable, adjustments may be made to the chart's axes, labels, and legends, among other parts. An important part of making charts more useful is giving them descriptive titles and captions that explain their purpose and highlight key findings. Changes to the colour scheme and fonts may draw attention to key points or recurring themes. </w:t>
      </w:r>
      <w:r w:rsidR="006E0C6B" w:rsidRPr="0014116F">
        <w:rPr>
          <w:rFonts w:cs="Arial"/>
          <w:lang w:val="en-GB"/>
        </w:rPr>
        <w:t>I</w:t>
      </w:r>
      <w:r w:rsidRPr="0014116F">
        <w:rPr>
          <w:rFonts w:cs="Arial"/>
          <w:lang w:val="en-GB"/>
        </w:rPr>
        <w:t xml:space="preserve">t is crucial to </w:t>
      </w:r>
      <w:r w:rsidRPr="0014116F">
        <w:rPr>
          <w:rFonts w:cs="Arial"/>
          <w:lang w:val="en-GB"/>
        </w:rPr>
        <w:lastRenderedPageBreak/>
        <w:t xml:space="preserve">explore the numerous </w:t>
      </w:r>
      <w:r w:rsidR="00D807B1" w:rsidRPr="0014116F">
        <w:rPr>
          <w:rFonts w:cs="Arial"/>
          <w:lang w:val="en-GB"/>
        </w:rPr>
        <w:t>customisation</w:t>
      </w:r>
      <w:r w:rsidRPr="0014116F">
        <w:rPr>
          <w:rFonts w:cs="Arial"/>
          <w:lang w:val="en-GB"/>
        </w:rPr>
        <w:t xml:space="preserve"> choices accessible for data series, as they allow the capacity to exert </w:t>
      </w:r>
      <w:r w:rsidR="00D807B1" w:rsidRPr="0014116F">
        <w:rPr>
          <w:rFonts w:cs="Arial"/>
          <w:lang w:val="en-GB"/>
        </w:rPr>
        <w:t xml:space="preserve">an </w:t>
      </w:r>
      <w:r w:rsidRPr="0014116F">
        <w:rPr>
          <w:rFonts w:cs="Arial"/>
          <w:lang w:val="en-GB"/>
        </w:rPr>
        <w:t>impact on the visual features of particular components within the chart</w:t>
      </w:r>
      <w:r w:rsidR="003C37D3" w:rsidRPr="0014116F">
        <w:rPr>
          <w:rFonts w:cs="Arial"/>
          <w:lang w:val="en-GB"/>
        </w:rPr>
        <w:t xml:space="preserve"> (Shanthi R, 2019)</w:t>
      </w:r>
      <w:r w:rsidRPr="0014116F">
        <w:rPr>
          <w:rFonts w:cs="Arial"/>
          <w:lang w:val="en-GB"/>
        </w:rPr>
        <w:t>. Periodic review and, if necessary, revisions to the chart are required to ensure that it continues to conform to the analytical goals and effectively communicates the intended message to the intended audience. To build a pivot table chart that not only provides a clear visual portrayal of the data but also enhances the reader's ability to grasp it, it is necessary to carefully evaluate these choices.</w:t>
      </w:r>
    </w:p>
    <w:p w14:paraId="65CE2CFC" w14:textId="09A66337" w:rsidR="006A077F" w:rsidRPr="0014116F" w:rsidRDefault="005C6F0B" w:rsidP="009663CA">
      <w:pPr>
        <w:rPr>
          <w:rFonts w:cs="Arial"/>
          <w:lang w:val="en-GB"/>
        </w:rPr>
      </w:pPr>
      <w:r w:rsidRPr="0014116F">
        <w:rPr>
          <w:rFonts w:cs="Arial"/>
          <w:noProof/>
          <w:lang w:val="en-GB"/>
        </w:rPr>
        <w:drawing>
          <wp:inline distT="0" distB="0" distL="0" distR="0" wp14:anchorId="32DCF58C" wp14:editId="6504F23C">
            <wp:extent cx="5943600" cy="4556760"/>
            <wp:effectExtent l="0" t="0" r="0" b="0"/>
            <wp:docPr id="1898615282" name="Chart 1">
              <a:extLst xmlns:a="http://schemas.openxmlformats.org/drawingml/2006/main">
                <a:ext uri="{FF2B5EF4-FFF2-40B4-BE49-F238E27FC236}">
                  <a16:creationId xmlns:a16="http://schemas.microsoft.com/office/drawing/2014/main" id="{2CA18803-B2B8-A904-D7D4-7449C59D96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13975A" w14:textId="72A684D0" w:rsidR="001E57FB" w:rsidRPr="0014116F" w:rsidRDefault="001E57FB" w:rsidP="009663CA">
      <w:pPr>
        <w:pStyle w:val="Heading2"/>
        <w:rPr>
          <w:rFonts w:cs="Arial"/>
          <w:lang w:val="en-GB"/>
        </w:rPr>
      </w:pPr>
      <w:bookmarkStart w:id="10" w:name="_Toc150646870"/>
      <w:r w:rsidRPr="0014116F">
        <w:rPr>
          <w:rFonts w:cs="Arial"/>
          <w:lang w:val="en-GB"/>
        </w:rPr>
        <w:t>c) Using SPSS</w:t>
      </w:r>
      <w:bookmarkEnd w:id="10"/>
    </w:p>
    <w:p w14:paraId="78EBF265" w14:textId="3A039F58" w:rsidR="001E57FB" w:rsidRPr="0014116F" w:rsidRDefault="00F93882" w:rsidP="009663CA">
      <w:pPr>
        <w:pStyle w:val="Heading3"/>
        <w:rPr>
          <w:rFonts w:cs="Arial"/>
          <w:lang w:val="en-GB"/>
        </w:rPr>
      </w:pPr>
      <w:bookmarkStart w:id="11" w:name="_Toc150646871"/>
      <w:r w:rsidRPr="0014116F">
        <w:rPr>
          <w:rFonts w:cs="Arial"/>
          <w:lang w:val="en-GB"/>
        </w:rPr>
        <w:t>1. Correlation between processing times of Hadoop and Tableau</w:t>
      </w:r>
      <w:bookmarkEnd w:id="11"/>
    </w:p>
    <w:p w14:paraId="705D4FDB" w14:textId="244954CF" w:rsidR="00B51498" w:rsidRPr="0014116F" w:rsidRDefault="00181C8C" w:rsidP="009663CA">
      <w:pPr>
        <w:rPr>
          <w:rFonts w:cs="Arial"/>
          <w:lang w:val="en-GB"/>
        </w:rPr>
      </w:pPr>
      <w:r w:rsidRPr="0014116F">
        <w:rPr>
          <w:rFonts w:cs="Arial"/>
          <w:lang w:val="en-GB"/>
        </w:rPr>
        <w:t>The SPSS statistical software includes a correlation analysis method for investigating the nature and extent of connections between variables. When it comes to deciphering the interconnections and patterns present in a dataset, this research is invaluable. Multiple correlation coefficients may be calculated using the correlation method in SPSS. Commonly used correlational metrics in scholarly work include the Pearson, Spearman, and Kendall coefficients</w:t>
      </w:r>
      <w:r w:rsidR="003C37D3" w:rsidRPr="0014116F">
        <w:rPr>
          <w:rFonts w:cs="Arial"/>
          <w:lang w:val="en-GB"/>
        </w:rPr>
        <w:t xml:space="preserve"> (Seiner, 2014)</w:t>
      </w:r>
      <w:r w:rsidRPr="0014116F">
        <w:rPr>
          <w:rFonts w:cs="Arial"/>
          <w:lang w:val="en-GB"/>
        </w:rPr>
        <w:t xml:space="preserve">. The "Correlate" tool in SPSS allows users to pick and choose which variables to include in a correlation analysis. Analysing correlation coefficients and </w:t>
      </w:r>
      <w:r w:rsidRPr="0014116F">
        <w:rPr>
          <w:rFonts w:cs="Arial"/>
          <w:lang w:val="en-GB"/>
        </w:rPr>
        <w:lastRenderedPageBreak/>
        <w:t xml:space="preserve">degrees of significance obtained from their data allows researchers to assess the reliability of observed correlations. When the value of a correlation coefficient is positive, it means that the variables in question are positively correlated with one another. A lower-than-expected correlation coefficient suggests less of a relationship between the two variables. </w:t>
      </w:r>
    </w:p>
    <w:p w14:paraId="67A00754" w14:textId="66C630A5" w:rsidR="00D86BE5" w:rsidRPr="0014116F" w:rsidRDefault="005474DC" w:rsidP="009663CA">
      <w:pPr>
        <w:rPr>
          <w:rFonts w:cs="Arial"/>
          <w:lang w:val="en-GB"/>
        </w:rPr>
      </w:pPr>
      <w:r w:rsidRPr="0014116F">
        <w:rPr>
          <w:rFonts w:cs="Arial"/>
          <w:lang w:val="en-GB"/>
        </w:rPr>
        <w:t>Conducting a correlation study in SPSS necessitates adhering to a certain sequence of procedures inside the programme. To begin the data analysis process, individuals are required to access their dataset inside the "Analyse" section of the SPSS software</w:t>
      </w:r>
      <w:r w:rsidR="003C37D3" w:rsidRPr="0014116F">
        <w:rPr>
          <w:rFonts w:cs="Arial"/>
          <w:lang w:val="en-GB"/>
        </w:rPr>
        <w:t xml:space="preserve"> (Roni and Djajadikerta, 2021)</w:t>
      </w:r>
      <w:r w:rsidRPr="0014116F">
        <w:rPr>
          <w:rFonts w:cs="Arial"/>
          <w:lang w:val="en-GB"/>
        </w:rPr>
        <w:t>. The user initiates a study on the correlation between two variables by selecting "Correlate" followed by "Bivariate" from the available menu options. When confronted with a substantial number of variables, individuals have the choice to choose either the "Partial" or "Distance" alternatives, contingent upon the specific inquiries driving their study.</w:t>
      </w:r>
      <w:r w:rsidR="00FF4B92" w:rsidRPr="0014116F">
        <w:rPr>
          <w:rFonts w:cs="Arial"/>
          <w:lang w:val="en-GB"/>
        </w:rPr>
        <w:t xml:space="preserve"> For this analysis</w:t>
      </w:r>
      <w:r w:rsidR="00D807B1" w:rsidRPr="0014116F">
        <w:rPr>
          <w:rFonts w:cs="Arial"/>
          <w:lang w:val="en-GB"/>
        </w:rPr>
        <w:t>,</w:t>
      </w:r>
      <w:r w:rsidR="00FF4B92" w:rsidRPr="0014116F">
        <w:rPr>
          <w:rFonts w:cs="Arial"/>
          <w:lang w:val="en-GB"/>
        </w:rPr>
        <w:t xml:space="preserve"> </w:t>
      </w:r>
      <w:r w:rsidR="00D807B1" w:rsidRPr="0014116F">
        <w:rPr>
          <w:rFonts w:cs="Arial"/>
          <w:lang w:val="en-GB"/>
        </w:rPr>
        <w:t xml:space="preserve">a </w:t>
      </w:r>
      <w:r w:rsidR="00FF4B92" w:rsidRPr="0014116F">
        <w:rPr>
          <w:rFonts w:cs="Arial"/>
          <w:lang w:val="en-GB"/>
        </w:rPr>
        <w:t>Bivariate variable is been selected.</w:t>
      </w:r>
    </w:p>
    <w:p w14:paraId="55E3B927" w14:textId="5AB17541" w:rsidR="00B51498" w:rsidRPr="0014116F" w:rsidRDefault="00B51498" w:rsidP="009663CA">
      <w:pPr>
        <w:rPr>
          <w:rFonts w:cs="Arial"/>
          <w:lang w:val="en-GB"/>
        </w:rPr>
      </w:pPr>
      <w:r w:rsidRPr="0014116F">
        <w:rPr>
          <w:rFonts w:cs="Arial"/>
          <w:noProof/>
          <w:lang w:val="en-GB"/>
        </w:rPr>
        <w:drawing>
          <wp:inline distT="0" distB="0" distL="0" distR="0" wp14:anchorId="64EC1BBF" wp14:editId="4F0FF5A3">
            <wp:extent cx="5943600" cy="4428490"/>
            <wp:effectExtent l="0" t="0" r="0" b="0"/>
            <wp:docPr id="112678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89355" name=""/>
                    <pic:cNvPicPr/>
                  </pic:nvPicPr>
                  <pic:blipFill>
                    <a:blip r:embed="rId13"/>
                    <a:stretch>
                      <a:fillRect/>
                    </a:stretch>
                  </pic:blipFill>
                  <pic:spPr>
                    <a:xfrm>
                      <a:off x="0" y="0"/>
                      <a:ext cx="5943600" cy="4428490"/>
                    </a:xfrm>
                    <a:prstGeom prst="rect">
                      <a:avLst/>
                    </a:prstGeom>
                  </pic:spPr>
                </pic:pic>
              </a:graphicData>
            </a:graphic>
          </wp:inline>
        </w:drawing>
      </w:r>
    </w:p>
    <w:p w14:paraId="00C3C5A4" w14:textId="5C450FEB" w:rsidR="00B51498" w:rsidRPr="0014116F" w:rsidRDefault="000228C3" w:rsidP="009663CA">
      <w:pPr>
        <w:rPr>
          <w:rFonts w:cs="Arial"/>
          <w:lang w:val="en-GB"/>
        </w:rPr>
      </w:pPr>
      <w:r w:rsidRPr="0014116F">
        <w:rPr>
          <w:rFonts w:cs="Arial"/>
          <w:lang w:val="en-GB"/>
        </w:rPr>
        <w:t>T</w:t>
      </w:r>
      <w:r w:rsidR="002C4CE9" w:rsidRPr="0014116F">
        <w:rPr>
          <w:rFonts w:cs="Arial"/>
          <w:lang w:val="en-GB"/>
        </w:rPr>
        <w:t xml:space="preserve">hey are shown a dialogue box where </w:t>
      </w:r>
      <w:r w:rsidR="003D1587" w:rsidRPr="0014116F">
        <w:rPr>
          <w:rFonts w:cs="Arial"/>
          <w:lang w:val="en-GB"/>
        </w:rPr>
        <w:t>one</w:t>
      </w:r>
      <w:r w:rsidR="002C4CE9" w:rsidRPr="0014116F">
        <w:rPr>
          <w:rFonts w:cs="Arial"/>
          <w:lang w:val="en-GB"/>
        </w:rPr>
        <w:t xml:space="preserve"> can pick which factors to use in the </w:t>
      </w:r>
      <w:r w:rsidR="00727607" w:rsidRPr="0014116F">
        <w:rPr>
          <w:rFonts w:cs="Arial"/>
          <w:lang w:val="en-GB"/>
        </w:rPr>
        <w:t>analysis</w:t>
      </w:r>
      <w:r w:rsidR="002C4CE9" w:rsidRPr="0014116F">
        <w:rPr>
          <w:rFonts w:cs="Arial"/>
          <w:lang w:val="en-GB"/>
        </w:rPr>
        <w:t xml:space="preserve">. It is standard </w:t>
      </w:r>
      <w:r w:rsidR="00D807B1" w:rsidRPr="0014116F">
        <w:rPr>
          <w:rFonts w:cs="Arial"/>
          <w:lang w:val="en-GB"/>
        </w:rPr>
        <w:t>practice</w:t>
      </w:r>
      <w:r w:rsidR="002C4CE9" w:rsidRPr="0014116F">
        <w:rPr>
          <w:rFonts w:cs="Arial"/>
          <w:lang w:val="en-GB"/>
        </w:rPr>
        <w:t xml:space="preserve"> in academic writing to specify all relevant variables in the "Variables" section of </w:t>
      </w:r>
      <w:r w:rsidR="00D8759C" w:rsidRPr="0014116F">
        <w:rPr>
          <w:rFonts w:cs="Arial"/>
          <w:lang w:val="en-GB"/>
        </w:rPr>
        <w:t>the study</w:t>
      </w:r>
      <w:r w:rsidR="002C4CE9" w:rsidRPr="0014116F">
        <w:rPr>
          <w:rFonts w:cs="Arial"/>
          <w:lang w:val="en-GB"/>
        </w:rPr>
        <w:t xml:space="preserve">. Researchers often utilise Pearson's correlation coefficient to evaluate the strength and direction of linear correlations between normally distributed data. If the essential parameters for parametric testing are not completed, alternative correlation </w:t>
      </w:r>
      <w:r w:rsidR="002C4CE9" w:rsidRPr="0014116F">
        <w:rPr>
          <w:rFonts w:cs="Arial"/>
          <w:lang w:val="en-GB"/>
        </w:rPr>
        <w:lastRenderedPageBreak/>
        <w:t>measures such as Spearman's or Kendall's may be utilised.</w:t>
      </w:r>
      <w:r w:rsidR="009974B6" w:rsidRPr="0014116F">
        <w:rPr>
          <w:rFonts w:cs="Arial"/>
          <w:lang w:val="en-GB"/>
        </w:rPr>
        <w:t xml:space="preserve"> </w:t>
      </w:r>
      <w:r w:rsidR="00092E59" w:rsidRPr="0014116F">
        <w:rPr>
          <w:rFonts w:cs="Arial"/>
          <w:lang w:val="en-GB"/>
        </w:rPr>
        <w:t>For this analysis</w:t>
      </w:r>
      <w:r w:rsidR="00D807B1" w:rsidRPr="0014116F">
        <w:rPr>
          <w:rFonts w:cs="Arial"/>
          <w:lang w:val="en-GB"/>
        </w:rPr>
        <w:t>,</w:t>
      </w:r>
      <w:r w:rsidR="00092E59" w:rsidRPr="0014116F">
        <w:rPr>
          <w:rFonts w:cs="Arial"/>
          <w:lang w:val="en-GB"/>
        </w:rPr>
        <w:t xml:space="preserve"> </w:t>
      </w:r>
      <w:r w:rsidR="00D807B1" w:rsidRPr="0014116F">
        <w:rPr>
          <w:rFonts w:cs="Arial"/>
          <w:lang w:val="en-GB"/>
        </w:rPr>
        <w:t xml:space="preserve">the </w:t>
      </w:r>
      <w:r w:rsidR="00092E59" w:rsidRPr="0014116F">
        <w:rPr>
          <w:rFonts w:cs="Arial"/>
          <w:lang w:val="en-GB"/>
        </w:rPr>
        <w:t xml:space="preserve">Pearson correlation has </w:t>
      </w:r>
      <w:r w:rsidR="00A55D43" w:rsidRPr="0014116F">
        <w:rPr>
          <w:rFonts w:cs="Arial"/>
          <w:lang w:val="en-GB"/>
        </w:rPr>
        <w:t>been</w:t>
      </w:r>
      <w:r w:rsidR="00092E59" w:rsidRPr="0014116F">
        <w:rPr>
          <w:rFonts w:cs="Arial"/>
          <w:lang w:val="en-GB"/>
        </w:rPr>
        <w:t xml:space="preserve"> selected.</w:t>
      </w:r>
    </w:p>
    <w:p w14:paraId="2694B25F" w14:textId="7E4A38EF" w:rsidR="00B51498" w:rsidRPr="0014116F" w:rsidRDefault="00B51498" w:rsidP="009663CA">
      <w:pPr>
        <w:rPr>
          <w:rFonts w:cs="Arial"/>
          <w:lang w:val="en-GB"/>
        </w:rPr>
      </w:pPr>
      <w:r w:rsidRPr="0014116F">
        <w:rPr>
          <w:rFonts w:cs="Arial"/>
          <w:noProof/>
          <w:lang w:val="en-GB"/>
        </w:rPr>
        <w:drawing>
          <wp:inline distT="0" distB="0" distL="0" distR="0" wp14:anchorId="00772DAD" wp14:editId="5F79C393">
            <wp:extent cx="5943600" cy="3945890"/>
            <wp:effectExtent l="0" t="0" r="0" b="0"/>
            <wp:docPr id="206818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84933" name=""/>
                    <pic:cNvPicPr/>
                  </pic:nvPicPr>
                  <pic:blipFill>
                    <a:blip r:embed="rId14"/>
                    <a:stretch>
                      <a:fillRect/>
                    </a:stretch>
                  </pic:blipFill>
                  <pic:spPr>
                    <a:xfrm>
                      <a:off x="0" y="0"/>
                      <a:ext cx="5943600" cy="3945890"/>
                    </a:xfrm>
                    <a:prstGeom prst="rect">
                      <a:avLst/>
                    </a:prstGeom>
                  </pic:spPr>
                </pic:pic>
              </a:graphicData>
            </a:graphic>
          </wp:inline>
        </w:drawing>
      </w:r>
    </w:p>
    <w:p w14:paraId="2DE42C1F" w14:textId="7A2B4CFD" w:rsidR="003167C0" w:rsidRPr="0014116F" w:rsidRDefault="0033359D" w:rsidP="009663CA">
      <w:pPr>
        <w:autoSpaceDE w:val="0"/>
        <w:autoSpaceDN w:val="0"/>
        <w:adjustRightInd w:val="0"/>
        <w:jc w:val="left"/>
        <w:rPr>
          <w:rFonts w:cs="Arial"/>
          <w:b/>
          <w:bCs/>
          <w:kern w:val="0"/>
          <w:u w:val="single"/>
          <w:lang w:val="en-GB"/>
        </w:rPr>
      </w:pPr>
      <w:r w:rsidRPr="0014116F">
        <w:rPr>
          <w:rFonts w:cs="Arial"/>
          <w:b/>
          <w:bCs/>
          <w:kern w:val="0"/>
          <w:u w:val="single"/>
          <w:lang w:val="en-GB"/>
        </w:rPr>
        <w:t>R</w:t>
      </w:r>
      <w:r w:rsidR="00740CB4" w:rsidRPr="0014116F">
        <w:rPr>
          <w:rFonts w:cs="Arial"/>
          <w:b/>
          <w:bCs/>
          <w:kern w:val="0"/>
          <w:u w:val="single"/>
          <w:lang w:val="en-GB"/>
        </w:rPr>
        <w:t xml:space="preserve">esult of correlation analysis </w:t>
      </w:r>
    </w:p>
    <w:tbl>
      <w:tblPr>
        <w:tblW w:w="5000" w:type="pct"/>
        <w:tblCellMar>
          <w:left w:w="0" w:type="dxa"/>
          <w:right w:w="0" w:type="dxa"/>
        </w:tblCellMar>
        <w:tblLook w:val="0000" w:firstRow="0" w:lastRow="0" w:firstColumn="0" w:lastColumn="0" w:noHBand="0" w:noVBand="0"/>
      </w:tblPr>
      <w:tblGrid>
        <w:gridCol w:w="3314"/>
        <w:gridCol w:w="2149"/>
        <w:gridCol w:w="2159"/>
        <w:gridCol w:w="1404"/>
      </w:tblGrid>
      <w:tr w:rsidR="003167C0" w:rsidRPr="0014116F" w14:paraId="558D184B" w14:textId="77777777" w:rsidTr="003167C0">
        <w:trPr>
          <w:cantSplit/>
        </w:trPr>
        <w:tc>
          <w:tcPr>
            <w:tcW w:w="5000" w:type="pct"/>
            <w:gridSpan w:val="4"/>
            <w:tcBorders>
              <w:top w:val="nil"/>
              <w:left w:val="nil"/>
              <w:bottom w:val="nil"/>
              <w:right w:val="nil"/>
            </w:tcBorders>
            <w:shd w:val="clear" w:color="auto" w:fill="FFFFFF"/>
            <w:vAlign w:val="center"/>
          </w:tcPr>
          <w:p w14:paraId="257D5E08" w14:textId="77777777" w:rsidR="003167C0" w:rsidRPr="0014116F" w:rsidRDefault="003167C0" w:rsidP="009663CA">
            <w:pPr>
              <w:autoSpaceDE w:val="0"/>
              <w:autoSpaceDN w:val="0"/>
              <w:adjustRightInd w:val="0"/>
              <w:ind w:left="60" w:right="60"/>
              <w:jc w:val="center"/>
              <w:rPr>
                <w:rFonts w:cs="Arial"/>
                <w:color w:val="010205"/>
                <w:kern w:val="0"/>
                <w:lang w:val="en-GB"/>
              </w:rPr>
            </w:pPr>
            <w:r w:rsidRPr="0014116F">
              <w:rPr>
                <w:rFonts w:cs="Arial"/>
                <w:b/>
                <w:bCs/>
                <w:color w:val="010205"/>
                <w:kern w:val="0"/>
                <w:lang w:val="en-GB"/>
              </w:rPr>
              <w:t>Descriptive Statistics</w:t>
            </w:r>
          </w:p>
        </w:tc>
      </w:tr>
      <w:tr w:rsidR="003167C0" w:rsidRPr="0014116F" w14:paraId="6A27F1DA" w14:textId="77777777" w:rsidTr="003167C0">
        <w:trPr>
          <w:cantSplit/>
        </w:trPr>
        <w:tc>
          <w:tcPr>
            <w:tcW w:w="1865" w:type="pct"/>
            <w:tcBorders>
              <w:top w:val="nil"/>
              <w:left w:val="nil"/>
              <w:bottom w:val="single" w:sz="8" w:space="0" w:color="152935"/>
              <w:right w:val="nil"/>
            </w:tcBorders>
            <w:shd w:val="clear" w:color="auto" w:fill="FFFFFF"/>
            <w:vAlign w:val="bottom"/>
          </w:tcPr>
          <w:p w14:paraId="20E9E8B6" w14:textId="77777777" w:rsidR="003167C0" w:rsidRPr="0014116F" w:rsidRDefault="003167C0" w:rsidP="009663CA">
            <w:pPr>
              <w:autoSpaceDE w:val="0"/>
              <w:autoSpaceDN w:val="0"/>
              <w:adjustRightInd w:val="0"/>
              <w:jc w:val="left"/>
              <w:rPr>
                <w:rFonts w:cs="Arial"/>
                <w:kern w:val="0"/>
                <w:lang w:val="en-GB"/>
              </w:rPr>
            </w:pPr>
          </w:p>
        </w:tc>
        <w:tc>
          <w:tcPr>
            <w:tcW w:w="1164" w:type="pct"/>
            <w:tcBorders>
              <w:top w:val="nil"/>
              <w:left w:val="nil"/>
              <w:bottom w:val="single" w:sz="8" w:space="0" w:color="152935"/>
              <w:right w:val="single" w:sz="8" w:space="0" w:color="E0E0E0"/>
            </w:tcBorders>
            <w:shd w:val="clear" w:color="auto" w:fill="FFFFFF"/>
            <w:vAlign w:val="bottom"/>
          </w:tcPr>
          <w:p w14:paraId="4891646F" w14:textId="77777777" w:rsidR="003167C0" w:rsidRPr="0014116F" w:rsidRDefault="003167C0" w:rsidP="009663CA">
            <w:pPr>
              <w:autoSpaceDE w:val="0"/>
              <w:autoSpaceDN w:val="0"/>
              <w:adjustRightInd w:val="0"/>
              <w:ind w:left="60" w:right="60"/>
              <w:jc w:val="center"/>
              <w:rPr>
                <w:rFonts w:cs="Arial"/>
                <w:color w:val="264A60"/>
                <w:kern w:val="0"/>
                <w:lang w:val="en-GB"/>
              </w:rPr>
            </w:pPr>
            <w:r w:rsidRPr="0014116F">
              <w:rPr>
                <w:rFonts w:cs="Arial"/>
                <w:color w:val="264A60"/>
                <w:kern w:val="0"/>
                <w:lang w:val="en-GB"/>
              </w:rPr>
              <w:t>Mean</w:t>
            </w:r>
          </w:p>
        </w:tc>
        <w:tc>
          <w:tcPr>
            <w:tcW w:w="1164" w:type="pct"/>
            <w:tcBorders>
              <w:top w:val="nil"/>
              <w:left w:val="single" w:sz="8" w:space="0" w:color="E0E0E0"/>
              <w:bottom w:val="single" w:sz="8" w:space="0" w:color="152935"/>
              <w:right w:val="single" w:sz="8" w:space="0" w:color="E0E0E0"/>
            </w:tcBorders>
            <w:shd w:val="clear" w:color="auto" w:fill="FFFFFF"/>
            <w:vAlign w:val="bottom"/>
          </w:tcPr>
          <w:p w14:paraId="0CC6D9C2" w14:textId="77777777" w:rsidR="003167C0" w:rsidRPr="0014116F" w:rsidRDefault="003167C0" w:rsidP="009663CA">
            <w:pPr>
              <w:autoSpaceDE w:val="0"/>
              <w:autoSpaceDN w:val="0"/>
              <w:adjustRightInd w:val="0"/>
              <w:ind w:left="60" w:right="60"/>
              <w:jc w:val="center"/>
              <w:rPr>
                <w:rFonts w:cs="Arial"/>
                <w:color w:val="264A60"/>
                <w:kern w:val="0"/>
                <w:lang w:val="en-GB"/>
              </w:rPr>
            </w:pPr>
            <w:r w:rsidRPr="0014116F">
              <w:rPr>
                <w:rFonts w:cs="Arial"/>
                <w:color w:val="264A60"/>
                <w:kern w:val="0"/>
                <w:lang w:val="en-GB"/>
              </w:rPr>
              <w:t>Std. Deviation</w:t>
            </w:r>
          </w:p>
        </w:tc>
        <w:tc>
          <w:tcPr>
            <w:tcW w:w="807" w:type="pct"/>
            <w:tcBorders>
              <w:top w:val="nil"/>
              <w:left w:val="single" w:sz="8" w:space="0" w:color="E0E0E0"/>
              <w:bottom w:val="single" w:sz="8" w:space="0" w:color="152935"/>
              <w:right w:val="nil"/>
            </w:tcBorders>
            <w:shd w:val="clear" w:color="auto" w:fill="FFFFFF"/>
            <w:vAlign w:val="bottom"/>
          </w:tcPr>
          <w:p w14:paraId="439C9C60" w14:textId="77777777" w:rsidR="003167C0" w:rsidRPr="0014116F" w:rsidRDefault="003167C0" w:rsidP="009663CA">
            <w:pPr>
              <w:autoSpaceDE w:val="0"/>
              <w:autoSpaceDN w:val="0"/>
              <w:adjustRightInd w:val="0"/>
              <w:ind w:left="60" w:right="60"/>
              <w:jc w:val="center"/>
              <w:rPr>
                <w:rFonts w:cs="Arial"/>
                <w:color w:val="264A60"/>
                <w:kern w:val="0"/>
                <w:lang w:val="en-GB"/>
              </w:rPr>
            </w:pPr>
            <w:r w:rsidRPr="0014116F">
              <w:rPr>
                <w:rFonts w:cs="Arial"/>
                <w:color w:val="264A60"/>
                <w:kern w:val="0"/>
                <w:lang w:val="en-GB"/>
              </w:rPr>
              <w:t>N</w:t>
            </w:r>
          </w:p>
        </w:tc>
      </w:tr>
      <w:tr w:rsidR="003167C0" w:rsidRPr="0014116F" w14:paraId="1752AD03" w14:textId="77777777" w:rsidTr="003167C0">
        <w:trPr>
          <w:cantSplit/>
        </w:trPr>
        <w:tc>
          <w:tcPr>
            <w:tcW w:w="1865" w:type="pct"/>
            <w:tcBorders>
              <w:top w:val="single" w:sz="8" w:space="0" w:color="152935"/>
              <w:left w:val="nil"/>
              <w:bottom w:val="single" w:sz="8" w:space="0" w:color="AEAEAE"/>
              <w:right w:val="nil"/>
            </w:tcBorders>
            <w:shd w:val="clear" w:color="auto" w:fill="E0E0E0"/>
          </w:tcPr>
          <w:p w14:paraId="19763661" w14:textId="77777777" w:rsidR="003167C0" w:rsidRPr="0014116F" w:rsidRDefault="003167C0"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Hadoop_ProcessingTime</w:t>
            </w:r>
          </w:p>
        </w:tc>
        <w:tc>
          <w:tcPr>
            <w:tcW w:w="1164" w:type="pct"/>
            <w:tcBorders>
              <w:top w:val="single" w:sz="8" w:space="0" w:color="152935"/>
              <w:left w:val="nil"/>
              <w:bottom w:val="single" w:sz="8" w:space="0" w:color="AEAEAE"/>
              <w:right w:val="single" w:sz="8" w:space="0" w:color="E0E0E0"/>
            </w:tcBorders>
            <w:shd w:val="clear" w:color="auto" w:fill="F9F9FB"/>
          </w:tcPr>
          <w:p w14:paraId="6710D637"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2.776889207962486</w:t>
            </w:r>
          </w:p>
        </w:tc>
        <w:tc>
          <w:tcPr>
            <w:tcW w:w="1164" w:type="pct"/>
            <w:tcBorders>
              <w:top w:val="single" w:sz="8" w:space="0" w:color="152935"/>
              <w:left w:val="single" w:sz="8" w:space="0" w:color="E0E0E0"/>
              <w:bottom w:val="single" w:sz="8" w:space="0" w:color="AEAEAE"/>
              <w:right w:val="single" w:sz="8" w:space="0" w:color="E0E0E0"/>
            </w:tcBorders>
            <w:shd w:val="clear" w:color="auto" w:fill="F9F9FB"/>
          </w:tcPr>
          <w:p w14:paraId="0BF6F7EA"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1.213780264304696</w:t>
            </w:r>
          </w:p>
        </w:tc>
        <w:tc>
          <w:tcPr>
            <w:tcW w:w="807" w:type="pct"/>
            <w:tcBorders>
              <w:top w:val="single" w:sz="8" w:space="0" w:color="152935"/>
              <w:left w:val="single" w:sz="8" w:space="0" w:color="E0E0E0"/>
              <w:bottom w:val="single" w:sz="8" w:space="0" w:color="AEAEAE"/>
              <w:right w:val="nil"/>
            </w:tcBorders>
            <w:shd w:val="clear" w:color="auto" w:fill="F9F9FB"/>
          </w:tcPr>
          <w:p w14:paraId="1C91901F"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r>
      <w:tr w:rsidR="003167C0" w:rsidRPr="0014116F" w14:paraId="7507DDA4" w14:textId="77777777" w:rsidTr="003167C0">
        <w:trPr>
          <w:cantSplit/>
        </w:trPr>
        <w:tc>
          <w:tcPr>
            <w:tcW w:w="1865" w:type="pct"/>
            <w:tcBorders>
              <w:top w:val="single" w:sz="8" w:space="0" w:color="AEAEAE"/>
              <w:left w:val="nil"/>
              <w:bottom w:val="single" w:sz="8" w:space="0" w:color="152935"/>
              <w:right w:val="nil"/>
            </w:tcBorders>
            <w:shd w:val="clear" w:color="auto" w:fill="E0E0E0"/>
          </w:tcPr>
          <w:p w14:paraId="59C404F6" w14:textId="77777777" w:rsidR="003167C0" w:rsidRPr="0014116F" w:rsidRDefault="003167C0"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Tableau_ProcessingTime</w:t>
            </w:r>
          </w:p>
        </w:tc>
        <w:tc>
          <w:tcPr>
            <w:tcW w:w="1164" w:type="pct"/>
            <w:tcBorders>
              <w:top w:val="single" w:sz="8" w:space="0" w:color="AEAEAE"/>
              <w:left w:val="nil"/>
              <w:bottom w:val="single" w:sz="8" w:space="0" w:color="152935"/>
              <w:right w:val="single" w:sz="8" w:space="0" w:color="E0E0E0"/>
            </w:tcBorders>
            <w:shd w:val="clear" w:color="auto" w:fill="F9F9FB"/>
          </w:tcPr>
          <w:p w14:paraId="4FFF2609"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2.830278627515118</w:t>
            </w:r>
          </w:p>
        </w:tc>
        <w:tc>
          <w:tcPr>
            <w:tcW w:w="1164" w:type="pct"/>
            <w:tcBorders>
              <w:top w:val="single" w:sz="8" w:space="0" w:color="AEAEAE"/>
              <w:left w:val="single" w:sz="8" w:space="0" w:color="E0E0E0"/>
              <w:bottom w:val="single" w:sz="8" w:space="0" w:color="152935"/>
              <w:right w:val="single" w:sz="8" w:space="0" w:color="E0E0E0"/>
            </w:tcBorders>
            <w:shd w:val="clear" w:color="auto" w:fill="F9F9FB"/>
          </w:tcPr>
          <w:p w14:paraId="0A630ADA"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1.133069151188237</w:t>
            </w:r>
          </w:p>
        </w:tc>
        <w:tc>
          <w:tcPr>
            <w:tcW w:w="807" w:type="pct"/>
            <w:tcBorders>
              <w:top w:val="single" w:sz="8" w:space="0" w:color="AEAEAE"/>
              <w:left w:val="single" w:sz="8" w:space="0" w:color="E0E0E0"/>
              <w:bottom w:val="single" w:sz="8" w:space="0" w:color="152935"/>
              <w:right w:val="nil"/>
            </w:tcBorders>
            <w:shd w:val="clear" w:color="auto" w:fill="F9F9FB"/>
          </w:tcPr>
          <w:p w14:paraId="14A41009" w14:textId="77777777" w:rsidR="003167C0" w:rsidRPr="0014116F" w:rsidRDefault="003167C0"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r>
    </w:tbl>
    <w:p w14:paraId="61157265" w14:textId="77777777" w:rsidR="0050150E" w:rsidRPr="0014116F" w:rsidRDefault="0050150E" w:rsidP="009663CA">
      <w:pPr>
        <w:autoSpaceDE w:val="0"/>
        <w:autoSpaceDN w:val="0"/>
        <w:adjustRightInd w:val="0"/>
        <w:jc w:val="left"/>
        <w:rPr>
          <w:rFonts w:cs="Arial"/>
          <w:kern w:val="0"/>
          <w:lang w:val="en-GB"/>
        </w:rPr>
      </w:pPr>
    </w:p>
    <w:p w14:paraId="49CEDB82" w14:textId="712E5206" w:rsidR="003167C0" w:rsidRPr="0014116F" w:rsidRDefault="00196F5D" w:rsidP="009663CA">
      <w:pPr>
        <w:autoSpaceDE w:val="0"/>
        <w:autoSpaceDN w:val="0"/>
        <w:adjustRightInd w:val="0"/>
        <w:rPr>
          <w:rFonts w:cs="Arial"/>
          <w:kern w:val="0"/>
          <w:lang w:val="en-GB"/>
        </w:rPr>
      </w:pPr>
      <w:r w:rsidRPr="0014116F">
        <w:rPr>
          <w:rFonts w:cs="Arial"/>
          <w:kern w:val="0"/>
          <w:lang w:val="en-GB"/>
        </w:rPr>
        <w:t>Hadoop takes an average of 2.7768892 seconds to process data, whereas Tableau takes an average of 2.8302786 seconds. This means that, on average, Tableau is less capable of processing data than Hadoop</w:t>
      </w:r>
      <w:r w:rsidR="003C37D3" w:rsidRPr="0014116F">
        <w:rPr>
          <w:rFonts w:cs="Arial"/>
          <w:lang w:val="en-GB"/>
        </w:rPr>
        <w:t xml:space="preserve"> (Roebuck, 201</w:t>
      </w:r>
      <w:r w:rsidR="00783CFB" w:rsidRPr="0014116F">
        <w:rPr>
          <w:rFonts w:cs="Arial"/>
          <w:lang w:val="en-GB"/>
        </w:rPr>
        <w:t>3</w:t>
      </w:r>
      <w:r w:rsidR="003C37D3" w:rsidRPr="0014116F">
        <w:rPr>
          <w:rFonts w:cs="Arial"/>
          <w:lang w:val="en-GB"/>
        </w:rPr>
        <w:t>)</w:t>
      </w:r>
      <w:r w:rsidRPr="0014116F">
        <w:rPr>
          <w:rFonts w:cs="Arial"/>
          <w:kern w:val="0"/>
          <w:lang w:val="en-GB"/>
        </w:rPr>
        <w:t>. The standard deviation of Hadoop processing time is 1.2137803 seconds</w:t>
      </w:r>
      <w:r w:rsidR="00FF2A21" w:rsidRPr="0014116F">
        <w:rPr>
          <w:rFonts w:cs="Arial"/>
          <w:kern w:val="0"/>
          <w:lang w:val="en-GB"/>
        </w:rPr>
        <w:t>,</w:t>
      </w:r>
      <w:r w:rsidRPr="0014116F">
        <w:rPr>
          <w:rFonts w:cs="Arial"/>
          <w:kern w:val="0"/>
          <w:lang w:val="en-GB"/>
        </w:rPr>
        <w:t xml:space="preserve"> whereas the standard deviation of Tableau processing time is 1.1330692 seconds. Hadoop processing times vary more than Tableau processing times, often taking longer to complete. Empirical research suggests that, on average, Tableau is somewhat slower than Hadoop</w:t>
      </w:r>
      <w:r w:rsidR="003C37D3" w:rsidRPr="0014116F">
        <w:rPr>
          <w:rFonts w:cs="Arial"/>
          <w:lang w:val="en-GB"/>
        </w:rPr>
        <w:t xml:space="preserve"> (Nigam Manisha, 2020)</w:t>
      </w:r>
      <w:r w:rsidRPr="0014116F">
        <w:rPr>
          <w:rFonts w:cs="Arial"/>
          <w:kern w:val="0"/>
          <w:lang w:val="en-GB"/>
        </w:rPr>
        <w:t xml:space="preserve">. The difference </w:t>
      </w:r>
      <w:r w:rsidRPr="0014116F">
        <w:rPr>
          <w:rFonts w:cs="Arial"/>
          <w:kern w:val="0"/>
          <w:lang w:val="en-GB"/>
        </w:rPr>
        <w:lastRenderedPageBreak/>
        <w:t>in processing time is, however, negligible. When compared to Tableau, Hadoop's processing speed flexibility is far greater.</w:t>
      </w:r>
    </w:p>
    <w:p w14:paraId="0B8D36A5" w14:textId="77777777" w:rsidR="00066FF4" w:rsidRPr="0014116F" w:rsidRDefault="00066FF4" w:rsidP="009663CA">
      <w:pPr>
        <w:autoSpaceDE w:val="0"/>
        <w:autoSpaceDN w:val="0"/>
        <w:adjustRightInd w:val="0"/>
        <w:jc w:val="left"/>
        <w:rPr>
          <w:rFonts w:cs="Arial"/>
          <w:kern w:val="0"/>
          <w:lang w:val="en-GB"/>
        </w:rPr>
      </w:pPr>
    </w:p>
    <w:tbl>
      <w:tblPr>
        <w:tblW w:w="5000" w:type="pct"/>
        <w:tblCellMar>
          <w:left w:w="0" w:type="dxa"/>
          <w:right w:w="0" w:type="dxa"/>
        </w:tblCellMar>
        <w:tblLook w:val="0000" w:firstRow="0" w:lastRow="0" w:firstColumn="0" w:lastColumn="0" w:noHBand="0" w:noVBand="0"/>
      </w:tblPr>
      <w:tblGrid>
        <w:gridCol w:w="2602"/>
        <w:gridCol w:w="1226"/>
        <w:gridCol w:w="2587"/>
        <w:gridCol w:w="2611"/>
      </w:tblGrid>
      <w:tr w:rsidR="00066FF4" w:rsidRPr="0014116F" w14:paraId="22533D09" w14:textId="77777777" w:rsidTr="00066FF4">
        <w:trPr>
          <w:cantSplit/>
        </w:trPr>
        <w:tc>
          <w:tcPr>
            <w:tcW w:w="5000" w:type="pct"/>
            <w:gridSpan w:val="4"/>
            <w:tcBorders>
              <w:top w:val="nil"/>
              <w:left w:val="nil"/>
              <w:bottom w:val="nil"/>
              <w:right w:val="nil"/>
            </w:tcBorders>
            <w:shd w:val="clear" w:color="auto" w:fill="FFFFFF"/>
            <w:vAlign w:val="center"/>
          </w:tcPr>
          <w:p w14:paraId="43760965" w14:textId="77777777" w:rsidR="00066FF4" w:rsidRPr="0014116F" w:rsidRDefault="00066FF4" w:rsidP="009663CA">
            <w:pPr>
              <w:autoSpaceDE w:val="0"/>
              <w:autoSpaceDN w:val="0"/>
              <w:adjustRightInd w:val="0"/>
              <w:ind w:left="60" w:right="60"/>
              <w:jc w:val="center"/>
              <w:rPr>
                <w:rFonts w:cs="Arial"/>
                <w:color w:val="010205"/>
                <w:kern w:val="0"/>
                <w:lang w:val="en-GB"/>
              </w:rPr>
            </w:pPr>
            <w:r w:rsidRPr="0014116F">
              <w:rPr>
                <w:rFonts w:cs="Arial"/>
                <w:b/>
                <w:bCs/>
                <w:color w:val="010205"/>
                <w:kern w:val="0"/>
                <w:lang w:val="en-GB"/>
              </w:rPr>
              <w:t>Correlations</w:t>
            </w:r>
          </w:p>
        </w:tc>
      </w:tr>
      <w:tr w:rsidR="00066FF4" w:rsidRPr="0014116F" w14:paraId="4CFAEC89" w14:textId="77777777" w:rsidTr="00066FF4">
        <w:trPr>
          <w:cantSplit/>
        </w:trPr>
        <w:tc>
          <w:tcPr>
            <w:tcW w:w="3104" w:type="pct"/>
            <w:gridSpan w:val="2"/>
            <w:tcBorders>
              <w:top w:val="nil"/>
              <w:left w:val="nil"/>
              <w:bottom w:val="single" w:sz="8" w:space="0" w:color="152935"/>
              <w:right w:val="nil"/>
            </w:tcBorders>
            <w:shd w:val="clear" w:color="auto" w:fill="FFFFFF"/>
            <w:vAlign w:val="bottom"/>
          </w:tcPr>
          <w:p w14:paraId="6E5957D6" w14:textId="77777777" w:rsidR="00066FF4" w:rsidRPr="0014116F" w:rsidRDefault="00066FF4" w:rsidP="009663CA">
            <w:pPr>
              <w:autoSpaceDE w:val="0"/>
              <w:autoSpaceDN w:val="0"/>
              <w:adjustRightInd w:val="0"/>
              <w:jc w:val="left"/>
              <w:rPr>
                <w:rFonts w:cs="Arial"/>
                <w:kern w:val="0"/>
                <w:lang w:val="en-GB"/>
              </w:rPr>
            </w:pPr>
          </w:p>
        </w:tc>
        <w:tc>
          <w:tcPr>
            <w:tcW w:w="948" w:type="pct"/>
            <w:tcBorders>
              <w:top w:val="nil"/>
              <w:left w:val="nil"/>
              <w:bottom w:val="single" w:sz="8" w:space="0" w:color="152935"/>
              <w:right w:val="single" w:sz="8" w:space="0" w:color="E0E0E0"/>
            </w:tcBorders>
            <w:shd w:val="clear" w:color="auto" w:fill="FFFFFF"/>
            <w:vAlign w:val="bottom"/>
          </w:tcPr>
          <w:p w14:paraId="748B9736" w14:textId="77777777" w:rsidR="00066FF4" w:rsidRPr="0014116F" w:rsidRDefault="00066FF4" w:rsidP="009663CA">
            <w:pPr>
              <w:autoSpaceDE w:val="0"/>
              <w:autoSpaceDN w:val="0"/>
              <w:adjustRightInd w:val="0"/>
              <w:ind w:left="60" w:right="60"/>
              <w:jc w:val="center"/>
              <w:rPr>
                <w:rFonts w:cs="Arial"/>
                <w:color w:val="264A60"/>
                <w:kern w:val="0"/>
                <w:lang w:val="en-GB"/>
              </w:rPr>
            </w:pPr>
            <w:r w:rsidRPr="0014116F">
              <w:rPr>
                <w:rFonts w:cs="Arial"/>
                <w:color w:val="264A60"/>
                <w:kern w:val="0"/>
                <w:lang w:val="en-GB"/>
              </w:rPr>
              <w:t>Hadoop_ProcessingTime</w:t>
            </w:r>
          </w:p>
        </w:tc>
        <w:tc>
          <w:tcPr>
            <w:tcW w:w="948" w:type="pct"/>
            <w:tcBorders>
              <w:top w:val="nil"/>
              <w:left w:val="single" w:sz="8" w:space="0" w:color="E0E0E0"/>
              <w:bottom w:val="single" w:sz="8" w:space="0" w:color="152935"/>
              <w:right w:val="nil"/>
            </w:tcBorders>
            <w:shd w:val="clear" w:color="auto" w:fill="FFFFFF"/>
            <w:vAlign w:val="bottom"/>
          </w:tcPr>
          <w:p w14:paraId="2A34F72B" w14:textId="77777777" w:rsidR="00066FF4" w:rsidRPr="0014116F" w:rsidRDefault="00066FF4" w:rsidP="009663CA">
            <w:pPr>
              <w:autoSpaceDE w:val="0"/>
              <w:autoSpaceDN w:val="0"/>
              <w:adjustRightInd w:val="0"/>
              <w:ind w:left="60" w:right="60"/>
              <w:jc w:val="center"/>
              <w:rPr>
                <w:rFonts w:cs="Arial"/>
                <w:color w:val="264A60"/>
                <w:kern w:val="0"/>
                <w:lang w:val="en-GB"/>
              </w:rPr>
            </w:pPr>
            <w:r w:rsidRPr="0014116F">
              <w:rPr>
                <w:rFonts w:cs="Arial"/>
                <w:color w:val="264A60"/>
                <w:kern w:val="0"/>
                <w:lang w:val="en-GB"/>
              </w:rPr>
              <w:t>Tableau_ProcessingTime</w:t>
            </w:r>
          </w:p>
        </w:tc>
      </w:tr>
      <w:tr w:rsidR="00066FF4" w:rsidRPr="0014116F" w14:paraId="7A7D2A9D" w14:textId="77777777" w:rsidTr="00066FF4">
        <w:trPr>
          <w:cantSplit/>
        </w:trPr>
        <w:tc>
          <w:tcPr>
            <w:tcW w:w="1518" w:type="pct"/>
            <w:vMerge w:val="restart"/>
            <w:tcBorders>
              <w:top w:val="single" w:sz="8" w:space="0" w:color="152935"/>
              <w:left w:val="nil"/>
              <w:bottom w:val="nil"/>
              <w:right w:val="nil"/>
            </w:tcBorders>
            <w:shd w:val="clear" w:color="auto" w:fill="E0E0E0"/>
          </w:tcPr>
          <w:p w14:paraId="51511B49"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Hadoop_ProcessingTime</w:t>
            </w:r>
          </w:p>
        </w:tc>
        <w:tc>
          <w:tcPr>
            <w:tcW w:w="1586" w:type="pct"/>
            <w:tcBorders>
              <w:top w:val="single" w:sz="8" w:space="0" w:color="152935"/>
              <w:left w:val="nil"/>
              <w:bottom w:val="single" w:sz="8" w:space="0" w:color="AEAEAE"/>
              <w:right w:val="nil"/>
            </w:tcBorders>
            <w:shd w:val="clear" w:color="auto" w:fill="E0E0E0"/>
          </w:tcPr>
          <w:p w14:paraId="2F909F5B"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Pearson Correlation</w:t>
            </w:r>
          </w:p>
        </w:tc>
        <w:tc>
          <w:tcPr>
            <w:tcW w:w="948" w:type="pct"/>
            <w:tcBorders>
              <w:top w:val="single" w:sz="8" w:space="0" w:color="152935"/>
              <w:left w:val="nil"/>
              <w:bottom w:val="single" w:sz="8" w:space="0" w:color="AEAEAE"/>
              <w:right w:val="single" w:sz="8" w:space="0" w:color="E0E0E0"/>
            </w:tcBorders>
            <w:shd w:val="clear" w:color="auto" w:fill="F9F9FB"/>
          </w:tcPr>
          <w:p w14:paraId="5A3E25BF"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w:t>
            </w:r>
          </w:p>
        </w:tc>
        <w:tc>
          <w:tcPr>
            <w:tcW w:w="948" w:type="pct"/>
            <w:tcBorders>
              <w:top w:val="single" w:sz="8" w:space="0" w:color="152935"/>
              <w:left w:val="single" w:sz="8" w:space="0" w:color="E0E0E0"/>
              <w:bottom w:val="single" w:sz="8" w:space="0" w:color="AEAEAE"/>
              <w:right w:val="nil"/>
            </w:tcBorders>
            <w:shd w:val="clear" w:color="auto" w:fill="F9F9FB"/>
          </w:tcPr>
          <w:p w14:paraId="1D3AF95D"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.178</w:t>
            </w:r>
          </w:p>
        </w:tc>
      </w:tr>
      <w:tr w:rsidR="00066FF4" w:rsidRPr="0014116F" w14:paraId="6EB0F74F" w14:textId="77777777" w:rsidTr="00066FF4">
        <w:trPr>
          <w:cantSplit/>
        </w:trPr>
        <w:tc>
          <w:tcPr>
            <w:tcW w:w="1518" w:type="pct"/>
            <w:vMerge/>
            <w:tcBorders>
              <w:top w:val="single" w:sz="8" w:space="0" w:color="152935"/>
              <w:left w:val="nil"/>
              <w:bottom w:val="nil"/>
              <w:right w:val="nil"/>
            </w:tcBorders>
            <w:shd w:val="clear" w:color="auto" w:fill="E0E0E0"/>
          </w:tcPr>
          <w:p w14:paraId="2ED8D454"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AEAEAE"/>
              <w:right w:val="nil"/>
            </w:tcBorders>
            <w:shd w:val="clear" w:color="auto" w:fill="E0E0E0"/>
          </w:tcPr>
          <w:p w14:paraId="4F5667C4"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Sig. (2-tailed)</w:t>
            </w:r>
          </w:p>
        </w:tc>
        <w:tc>
          <w:tcPr>
            <w:tcW w:w="948" w:type="pct"/>
            <w:tcBorders>
              <w:top w:val="single" w:sz="8" w:space="0" w:color="AEAEAE"/>
              <w:left w:val="nil"/>
              <w:bottom w:val="single" w:sz="8" w:space="0" w:color="AEAEAE"/>
              <w:right w:val="single" w:sz="8" w:space="0" w:color="E0E0E0"/>
            </w:tcBorders>
            <w:shd w:val="clear" w:color="auto" w:fill="F9F9FB"/>
            <w:vAlign w:val="center"/>
          </w:tcPr>
          <w:p w14:paraId="40D7AE75" w14:textId="77777777" w:rsidR="00066FF4" w:rsidRPr="0014116F" w:rsidRDefault="00066FF4" w:rsidP="009663CA">
            <w:pPr>
              <w:autoSpaceDE w:val="0"/>
              <w:autoSpaceDN w:val="0"/>
              <w:adjustRightInd w:val="0"/>
              <w:jc w:val="left"/>
              <w:rPr>
                <w:rFonts w:cs="Arial"/>
                <w:kern w:val="0"/>
                <w:lang w:val="en-GB"/>
              </w:rPr>
            </w:pPr>
          </w:p>
        </w:tc>
        <w:tc>
          <w:tcPr>
            <w:tcW w:w="948" w:type="pct"/>
            <w:tcBorders>
              <w:top w:val="single" w:sz="8" w:space="0" w:color="AEAEAE"/>
              <w:left w:val="single" w:sz="8" w:space="0" w:color="E0E0E0"/>
              <w:bottom w:val="single" w:sz="8" w:space="0" w:color="AEAEAE"/>
              <w:right w:val="nil"/>
            </w:tcBorders>
            <w:shd w:val="clear" w:color="auto" w:fill="F9F9FB"/>
          </w:tcPr>
          <w:p w14:paraId="2D4C99B1"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.217</w:t>
            </w:r>
          </w:p>
        </w:tc>
      </w:tr>
      <w:tr w:rsidR="00066FF4" w:rsidRPr="0014116F" w14:paraId="4494FB90" w14:textId="77777777" w:rsidTr="00066FF4">
        <w:trPr>
          <w:cantSplit/>
        </w:trPr>
        <w:tc>
          <w:tcPr>
            <w:tcW w:w="1518" w:type="pct"/>
            <w:vMerge/>
            <w:tcBorders>
              <w:top w:val="single" w:sz="8" w:space="0" w:color="152935"/>
              <w:left w:val="nil"/>
              <w:bottom w:val="nil"/>
              <w:right w:val="nil"/>
            </w:tcBorders>
            <w:shd w:val="clear" w:color="auto" w:fill="E0E0E0"/>
          </w:tcPr>
          <w:p w14:paraId="160C9401"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AEAEAE"/>
              <w:right w:val="nil"/>
            </w:tcBorders>
            <w:shd w:val="clear" w:color="auto" w:fill="E0E0E0"/>
          </w:tcPr>
          <w:p w14:paraId="7B96990A" w14:textId="032683D6" w:rsidR="00066FF4" w:rsidRPr="0014116F" w:rsidRDefault="00D807B1"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The sum</w:t>
            </w:r>
            <w:r w:rsidR="00066FF4" w:rsidRPr="0014116F">
              <w:rPr>
                <w:rFonts w:cs="Arial"/>
                <w:color w:val="264A60"/>
                <w:kern w:val="0"/>
                <w:lang w:val="en-GB"/>
              </w:rPr>
              <w:t xml:space="preserve"> of Squares and Cross-products</w:t>
            </w:r>
          </w:p>
        </w:tc>
        <w:tc>
          <w:tcPr>
            <w:tcW w:w="948" w:type="pct"/>
            <w:tcBorders>
              <w:top w:val="single" w:sz="8" w:space="0" w:color="AEAEAE"/>
              <w:left w:val="nil"/>
              <w:bottom w:val="single" w:sz="8" w:space="0" w:color="AEAEAE"/>
              <w:right w:val="single" w:sz="8" w:space="0" w:color="E0E0E0"/>
            </w:tcBorders>
            <w:shd w:val="clear" w:color="auto" w:fill="F9F9FB"/>
          </w:tcPr>
          <w:p w14:paraId="5B7A1B0E"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72.190</w:t>
            </w:r>
          </w:p>
        </w:tc>
        <w:tc>
          <w:tcPr>
            <w:tcW w:w="948" w:type="pct"/>
            <w:tcBorders>
              <w:top w:val="single" w:sz="8" w:space="0" w:color="AEAEAE"/>
              <w:left w:val="single" w:sz="8" w:space="0" w:color="E0E0E0"/>
              <w:bottom w:val="single" w:sz="8" w:space="0" w:color="AEAEAE"/>
              <w:right w:val="nil"/>
            </w:tcBorders>
            <w:shd w:val="clear" w:color="auto" w:fill="F9F9FB"/>
          </w:tcPr>
          <w:p w14:paraId="766CBCD4"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11.984</w:t>
            </w:r>
          </w:p>
        </w:tc>
      </w:tr>
      <w:tr w:rsidR="00066FF4" w:rsidRPr="0014116F" w14:paraId="11E22CA1" w14:textId="77777777" w:rsidTr="00066FF4">
        <w:trPr>
          <w:cantSplit/>
        </w:trPr>
        <w:tc>
          <w:tcPr>
            <w:tcW w:w="1518" w:type="pct"/>
            <w:vMerge/>
            <w:tcBorders>
              <w:top w:val="single" w:sz="8" w:space="0" w:color="152935"/>
              <w:left w:val="nil"/>
              <w:bottom w:val="nil"/>
              <w:right w:val="nil"/>
            </w:tcBorders>
            <w:shd w:val="clear" w:color="auto" w:fill="E0E0E0"/>
          </w:tcPr>
          <w:p w14:paraId="2283A88B"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AEAEAE"/>
              <w:right w:val="nil"/>
            </w:tcBorders>
            <w:shd w:val="clear" w:color="auto" w:fill="E0E0E0"/>
          </w:tcPr>
          <w:p w14:paraId="2FE59F2F"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Covariance</w:t>
            </w:r>
          </w:p>
        </w:tc>
        <w:tc>
          <w:tcPr>
            <w:tcW w:w="948" w:type="pct"/>
            <w:tcBorders>
              <w:top w:val="single" w:sz="8" w:space="0" w:color="AEAEAE"/>
              <w:left w:val="nil"/>
              <w:bottom w:val="single" w:sz="8" w:space="0" w:color="AEAEAE"/>
              <w:right w:val="single" w:sz="8" w:space="0" w:color="E0E0E0"/>
            </w:tcBorders>
            <w:shd w:val="clear" w:color="auto" w:fill="F9F9FB"/>
          </w:tcPr>
          <w:p w14:paraId="17189AE1"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1.473</w:t>
            </w:r>
          </w:p>
        </w:tc>
        <w:tc>
          <w:tcPr>
            <w:tcW w:w="948" w:type="pct"/>
            <w:tcBorders>
              <w:top w:val="single" w:sz="8" w:space="0" w:color="AEAEAE"/>
              <w:left w:val="single" w:sz="8" w:space="0" w:color="E0E0E0"/>
              <w:bottom w:val="single" w:sz="8" w:space="0" w:color="AEAEAE"/>
              <w:right w:val="nil"/>
            </w:tcBorders>
            <w:shd w:val="clear" w:color="auto" w:fill="F9F9FB"/>
          </w:tcPr>
          <w:p w14:paraId="25FA642F"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.245</w:t>
            </w:r>
          </w:p>
        </w:tc>
      </w:tr>
      <w:tr w:rsidR="00066FF4" w:rsidRPr="0014116F" w14:paraId="451FA0FB" w14:textId="77777777" w:rsidTr="00066FF4">
        <w:trPr>
          <w:cantSplit/>
        </w:trPr>
        <w:tc>
          <w:tcPr>
            <w:tcW w:w="1518" w:type="pct"/>
            <w:vMerge/>
            <w:tcBorders>
              <w:top w:val="single" w:sz="8" w:space="0" w:color="152935"/>
              <w:left w:val="nil"/>
              <w:bottom w:val="nil"/>
              <w:right w:val="nil"/>
            </w:tcBorders>
            <w:shd w:val="clear" w:color="auto" w:fill="E0E0E0"/>
          </w:tcPr>
          <w:p w14:paraId="2CD6CFE4"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nil"/>
              <w:right w:val="nil"/>
            </w:tcBorders>
            <w:shd w:val="clear" w:color="auto" w:fill="E0E0E0"/>
          </w:tcPr>
          <w:p w14:paraId="47F22888"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N</w:t>
            </w:r>
          </w:p>
        </w:tc>
        <w:tc>
          <w:tcPr>
            <w:tcW w:w="948" w:type="pct"/>
            <w:tcBorders>
              <w:top w:val="single" w:sz="8" w:space="0" w:color="AEAEAE"/>
              <w:left w:val="nil"/>
              <w:bottom w:val="nil"/>
              <w:right w:val="single" w:sz="8" w:space="0" w:color="E0E0E0"/>
            </w:tcBorders>
            <w:shd w:val="clear" w:color="auto" w:fill="F9F9FB"/>
          </w:tcPr>
          <w:p w14:paraId="3009C6EB"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c>
          <w:tcPr>
            <w:tcW w:w="948" w:type="pct"/>
            <w:tcBorders>
              <w:top w:val="single" w:sz="8" w:space="0" w:color="AEAEAE"/>
              <w:left w:val="single" w:sz="8" w:space="0" w:color="E0E0E0"/>
              <w:bottom w:val="nil"/>
              <w:right w:val="nil"/>
            </w:tcBorders>
            <w:shd w:val="clear" w:color="auto" w:fill="F9F9FB"/>
          </w:tcPr>
          <w:p w14:paraId="0220F33A"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r>
      <w:tr w:rsidR="00066FF4" w:rsidRPr="0014116F" w14:paraId="5707A9CC" w14:textId="77777777" w:rsidTr="00066FF4">
        <w:trPr>
          <w:cantSplit/>
        </w:trPr>
        <w:tc>
          <w:tcPr>
            <w:tcW w:w="1518" w:type="pct"/>
            <w:vMerge w:val="restart"/>
            <w:tcBorders>
              <w:top w:val="single" w:sz="8" w:space="0" w:color="AEAEAE"/>
              <w:left w:val="nil"/>
              <w:bottom w:val="single" w:sz="8" w:space="0" w:color="152935"/>
              <w:right w:val="nil"/>
            </w:tcBorders>
            <w:shd w:val="clear" w:color="auto" w:fill="E0E0E0"/>
          </w:tcPr>
          <w:p w14:paraId="696F9DC4"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Tableau_ProcessingTime</w:t>
            </w:r>
          </w:p>
        </w:tc>
        <w:tc>
          <w:tcPr>
            <w:tcW w:w="1586" w:type="pct"/>
            <w:tcBorders>
              <w:top w:val="single" w:sz="8" w:space="0" w:color="AEAEAE"/>
              <w:left w:val="nil"/>
              <w:bottom w:val="single" w:sz="8" w:space="0" w:color="AEAEAE"/>
              <w:right w:val="nil"/>
            </w:tcBorders>
            <w:shd w:val="clear" w:color="auto" w:fill="E0E0E0"/>
          </w:tcPr>
          <w:p w14:paraId="7A045E36"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Pearson Correlation</w:t>
            </w:r>
          </w:p>
        </w:tc>
        <w:tc>
          <w:tcPr>
            <w:tcW w:w="948" w:type="pct"/>
            <w:tcBorders>
              <w:top w:val="single" w:sz="8" w:space="0" w:color="AEAEAE"/>
              <w:left w:val="nil"/>
              <w:bottom w:val="single" w:sz="8" w:space="0" w:color="AEAEAE"/>
              <w:right w:val="single" w:sz="8" w:space="0" w:color="E0E0E0"/>
            </w:tcBorders>
            <w:shd w:val="clear" w:color="auto" w:fill="F9F9FB"/>
          </w:tcPr>
          <w:p w14:paraId="149F410B"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.178</w:t>
            </w:r>
          </w:p>
        </w:tc>
        <w:tc>
          <w:tcPr>
            <w:tcW w:w="948" w:type="pct"/>
            <w:tcBorders>
              <w:top w:val="single" w:sz="8" w:space="0" w:color="AEAEAE"/>
              <w:left w:val="single" w:sz="8" w:space="0" w:color="E0E0E0"/>
              <w:bottom w:val="single" w:sz="8" w:space="0" w:color="AEAEAE"/>
              <w:right w:val="nil"/>
            </w:tcBorders>
            <w:shd w:val="clear" w:color="auto" w:fill="F9F9FB"/>
          </w:tcPr>
          <w:p w14:paraId="3C8F0D8D"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w:t>
            </w:r>
          </w:p>
        </w:tc>
      </w:tr>
      <w:tr w:rsidR="00066FF4" w:rsidRPr="0014116F" w14:paraId="4BE27994" w14:textId="77777777" w:rsidTr="00066FF4">
        <w:trPr>
          <w:cantSplit/>
        </w:trPr>
        <w:tc>
          <w:tcPr>
            <w:tcW w:w="1518" w:type="pct"/>
            <w:vMerge/>
            <w:tcBorders>
              <w:top w:val="single" w:sz="8" w:space="0" w:color="AEAEAE"/>
              <w:left w:val="nil"/>
              <w:bottom w:val="single" w:sz="8" w:space="0" w:color="152935"/>
              <w:right w:val="nil"/>
            </w:tcBorders>
            <w:shd w:val="clear" w:color="auto" w:fill="E0E0E0"/>
          </w:tcPr>
          <w:p w14:paraId="5C09CD33"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AEAEAE"/>
              <w:right w:val="nil"/>
            </w:tcBorders>
            <w:shd w:val="clear" w:color="auto" w:fill="E0E0E0"/>
          </w:tcPr>
          <w:p w14:paraId="7F121269"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Sig. (2-tailed)</w:t>
            </w:r>
          </w:p>
        </w:tc>
        <w:tc>
          <w:tcPr>
            <w:tcW w:w="948" w:type="pct"/>
            <w:tcBorders>
              <w:top w:val="single" w:sz="8" w:space="0" w:color="AEAEAE"/>
              <w:left w:val="nil"/>
              <w:bottom w:val="single" w:sz="8" w:space="0" w:color="AEAEAE"/>
              <w:right w:val="single" w:sz="8" w:space="0" w:color="E0E0E0"/>
            </w:tcBorders>
            <w:shd w:val="clear" w:color="auto" w:fill="F9F9FB"/>
          </w:tcPr>
          <w:p w14:paraId="73595421"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.217</w:t>
            </w:r>
          </w:p>
        </w:tc>
        <w:tc>
          <w:tcPr>
            <w:tcW w:w="948" w:type="pct"/>
            <w:tcBorders>
              <w:top w:val="single" w:sz="8" w:space="0" w:color="AEAEAE"/>
              <w:left w:val="single" w:sz="8" w:space="0" w:color="E0E0E0"/>
              <w:bottom w:val="single" w:sz="8" w:space="0" w:color="AEAEAE"/>
              <w:right w:val="nil"/>
            </w:tcBorders>
            <w:shd w:val="clear" w:color="auto" w:fill="F9F9FB"/>
            <w:vAlign w:val="center"/>
          </w:tcPr>
          <w:p w14:paraId="44FD7E48" w14:textId="77777777" w:rsidR="00066FF4" w:rsidRPr="0014116F" w:rsidRDefault="00066FF4" w:rsidP="009663CA">
            <w:pPr>
              <w:autoSpaceDE w:val="0"/>
              <w:autoSpaceDN w:val="0"/>
              <w:adjustRightInd w:val="0"/>
              <w:jc w:val="left"/>
              <w:rPr>
                <w:rFonts w:cs="Arial"/>
                <w:kern w:val="0"/>
                <w:lang w:val="en-GB"/>
              </w:rPr>
            </w:pPr>
          </w:p>
        </w:tc>
      </w:tr>
      <w:tr w:rsidR="00066FF4" w:rsidRPr="0014116F" w14:paraId="0137B69F" w14:textId="77777777" w:rsidTr="00066FF4">
        <w:trPr>
          <w:cantSplit/>
        </w:trPr>
        <w:tc>
          <w:tcPr>
            <w:tcW w:w="1518" w:type="pct"/>
            <w:vMerge/>
            <w:tcBorders>
              <w:top w:val="single" w:sz="8" w:space="0" w:color="AEAEAE"/>
              <w:left w:val="nil"/>
              <w:bottom w:val="single" w:sz="8" w:space="0" w:color="152935"/>
              <w:right w:val="nil"/>
            </w:tcBorders>
            <w:shd w:val="clear" w:color="auto" w:fill="E0E0E0"/>
          </w:tcPr>
          <w:p w14:paraId="4A5F1269" w14:textId="77777777" w:rsidR="00066FF4" w:rsidRPr="0014116F" w:rsidRDefault="00066FF4" w:rsidP="009663CA">
            <w:pPr>
              <w:autoSpaceDE w:val="0"/>
              <w:autoSpaceDN w:val="0"/>
              <w:adjustRightInd w:val="0"/>
              <w:jc w:val="left"/>
              <w:rPr>
                <w:rFonts w:cs="Arial"/>
                <w:kern w:val="0"/>
                <w:lang w:val="en-GB"/>
              </w:rPr>
            </w:pPr>
          </w:p>
        </w:tc>
        <w:tc>
          <w:tcPr>
            <w:tcW w:w="1586" w:type="pct"/>
            <w:tcBorders>
              <w:top w:val="single" w:sz="8" w:space="0" w:color="AEAEAE"/>
              <w:left w:val="nil"/>
              <w:bottom w:val="single" w:sz="8" w:space="0" w:color="AEAEAE"/>
              <w:right w:val="nil"/>
            </w:tcBorders>
            <w:shd w:val="clear" w:color="auto" w:fill="E0E0E0"/>
          </w:tcPr>
          <w:p w14:paraId="3C521259" w14:textId="428DD8E9" w:rsidR="00066FF4" w:rsidRPr="0014116F" w:rsidRDefault="00D807B1"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The sum</w:t>
            </w:r>
            <w:r w:rsidR="00066FF4" w:rsidRPr="0014116F">
              <w:rPr>
                <w:rFonts w:cs="Arial"/>
                <w:color w:val="264A60"/>
                <w:kern w:val="0"/>
                <w:lang w:val="en-GB"/>
              </w:rPr>
              <w:t xml:space="preserve"> of Squares and Cross-products</w:t>
            </w:r>
          </w:p>
        </w:tc>
        <w:tc>
          <w:tcPr>
            <w:tcW w:w="948" w:type="pct"/>
            <w:tcBorders>
              <w:top w:val="single" w:sz="8" w:space="0" w:color="AEAEAE"/>
              <w:left w:val="nil"/>
              <w:bottom w:val="single" w:sz="8" w:space="0" w:color="AEAEAE"/>
              <w:right w:val="single" w:sz="8" w:space="0" w:color="E0E0E0"/>
            </w:tcBorders>
            <w:shd w:val="clear" w:color="auto" w:fill="F9F9FB"/>
          </w:tcPr>
          <w:p w14:paraId="3396AFC2"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11.984</w:t>
            </w:r>
          </w:p>
        </w:tc>
        <w:tc>
          <w:tcPr>
            <w:tcW w:w="948" w:type="pct"/>
            <w:tcBorders>
              <w:top w:val="single" w:sz="8" w:space="0" w:color="AEAEAE"/>
              <w:left w:val="single" w:sz="8" w:space="0" w:color="E0E0E0"/>
              <w:bottom w:val="single" w:sz="8" w:space="0" w:color="AEAEAE"/>
              <w:right w:val="nil"/>
            </w:tcBorders>
            <w:shd w:val="clear" w:color="auto" w:fill="F9F9FB"/>
          </w:tcPr>
          <w:p w14:paraId="36E16DA2"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62.908</w:t>
            </w:r>
          </w:p>
        </w:tc>
      </w:tr>
      <w:tr w:rsidR="00066FF4" w:rsidRPr="0014116F" w14:paraId="61536BF9" w14:textId="77777777" w:rsidTr="00066FF4">
        <w:trPr>
          <w:cantSplit/>
        </w:trPr>
        <w:tc>
          <w:tcPr>
            <w:tcW w:w="1518" w:type="pct"/>
            <w:vMerge/>
            <w:tcBorders>
              <w:top w:val="single" w:sz="8" w:space="0" w:color="AEAEAE"/>
              <w:left w:val="nil"/>
              <w:bottom w:val="single" w:sz="8" w:space="0" w:color="152935"/>
              <w:right w:val="nil"/>
            </w:tcBorders>
            <w:shd w:val="clear" w:color="auto" w:fill="E0E0E0"/>
          </w:tcPr>
          <w:p w14:paraId="5165B246"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AEAEAE"/>
              <w:right w:val="nil"/>
            </w:tcBorders>
            <w:shd w:val="clear" w:color="auto" w:fill="E0E0E0"/>
          </w:tcPr>
          <w:p w14:paraId="45751055"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Covariance</w:t>
            </w:r>
          </w:p>
        </w:tc>
        <w:tc>
          <w:tcPr>
            <w:tcW w:w="948" w:type="pct"/>
            <w:tcBorders>
              <w:top w:val="single" w:sz="8" w:space="0" w:color="AEAEAE"/>
              <w:left w:val="nil"/>
              <w:bottom w:val="single" w:sz="8" w:space="0" w:color="AEAEAE"/>
              <w:right w:val="single" w:sz="8" w:space="0" w:color="E0E0E0"/>
            </w:tcBorders>
            <w:shd w:val="clear" w:color="auto" w:fill="F9F9FB"/>
          </w:tcPr>
          <w:p w14:paraId="37005735"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.245</w:t>
            </w:r>
          </w:p>
        </w:tc>
        <w:tc>
          <w:tcPr>
            <w:tcW w:w="948" w:type="pct"/>
            <w:tcBorders>
              <w:top w:val="single" w:sz="8" w:space="0" w:color="AEAEAE"/>
              <w:left w:val="single" w:sz="8" w:space="0" w:color="E0E0E0"/>
              <w:bottom w:val="single" w:sz="8" w:space="0" w:color="AEAEAE"/>
              <w:right w:val="nil"/>
            </w:tcBorders>
            <w:shd w:val="clear" w:color="auto" w:fill="F9F9FB"/>
          </w:tcPr>
          <w:p w14:paraId="231E6D4A"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1.284</w:t>
            </w:r>
          </w:p>
        </w:tc>
      </w:tr>
      <w:tr w:rsidR="00066FF4" w:rsidRPr="0014116F" w14:paraId="1EFE8F6B" w14:textId="77777777" w:rsidTr="00066FF4">
        <w:trPr>
          <w:cantSplit/>
        </w:trPr>
        <w:tc>
          <w:tcPr>
            <w:tcW w:w="1518" w:type="pct"/>
            <w:vMerge/>
            <w:tcBorders>
              <w:top w:val="single" w:sz="8" w:space="0" w:color="AEAEAE"/>
              <w:left w:val="nil"/>
              <w:bottom w:val="single" w:sz="8" w:space="0" w:color="152935"/>
              <w:right w:val="nil"/>
            </w:tcBorders>
            <w:shd w:val="clear" w:color="auto" w:fill="E0E0E0"/>
          </w:tcPr>
          <w:p w14:paraId="58622338" w14:textId="77777777" w:rsidR="00066FF4" w:rsidRPr="0014116F" w:rsidRDefault="00066FF4" w:rsidP="009663CA">
            <w:pPr>
              <w:autoSpaceDE w:val="0"/>
              <w:autoSpaceDN w:val="0"/>
              <w:adjustRightInd w:val="0"/>
              <w:jc w:val="left"/>
              <w:rPr>
                <w:rFonts w:cs="Arial"/>
                <w:color w:val="010205"/>
                <w:kern w:val="0"/>
                <w:lang w:val="en-GB"/>
              </w:rPr>
            </w:pPr>
          </w:p>
        </w:tc>
        <w:tc>
          <w:tcPr>
            <w:tcW w:w="1586" w:type="pct"/>
            <w:tcBorders>
              <w:top w:val="single" w:sz="8" w:space="0" w:color="AEAEAE"/>
              <w:left w:val="nil"/>
              <w:bottom w:val="single" w:sz="8" w:space="0" w:color="152935"/>
              <w:right w:val="nil"/>
            </w:tcBorders>
            <w:shd w:val="clear" w:color="auto" w:fill="E0E0E0"/>
          </w:tcPr>
          <w:p w14:paraId="47EE0D89" w14:textId="77777777" w:rsidR="00066FF4" w:rsidRPr="0014116F" w:rsidRDefault="00066FF4" w:rsidP="009663CA">
            <w:pPr>
              <w:autoSpaceDE w:val="0"/>
              <w:autoSpaceDN w:val="0"/>
              <w:adjustRightInd w:val="0"/>
              <w:ind w:left="60" w:right="60"/>
              <w:jc w:val="left"/>
              <w:rPr>
                <w:rFonts w:cs="Arial"/>
                <w:color w:val="264A60"/>
                <w:kern w:val="0"/>
                <w:lang w:val="en-GB"/>
              </w:rPr>
            </w:pPr>
            <w:r w:rsidRPr="0014116F">
              <w:rPr>
                <w:rFonts w:cs="Arial"/>
                <w:color w:val="264A60"/>
                <w:kern w:val="0"/>
                <w:lang w:val="en-GB"/>
              </w:rPr>
              <w:t>N</w:t>
            </w:r>
          </w:p>
        </w:tc>
        <w:tc>
          <w:tcPr>
            <w:tcW w:w="948" w:type="pct"/>
            <w:tcBorders>
              <w:top w:val="single" w:sz="8" w:space="0" w:color="AEAEAE"/>
              <w:left w:val="nil"/>
              <w:bottom w:val="single" w:sz="8" w:space="0" w:color="152935"/>
              <w:right w:val="single" w:sz="8" w:space="0" w:color="E0E0E0"/>
            </w:tcBorders>
            <w:shd w:val="clear" w:color="auto" w:fill="F9F9FB"/>
          </w:tcPr>
          <w:p w14:paraId="128A13B8"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c>
          <w:tcPr>
            <w:tcW w:w="948" w:type="pct"/>
            <w:tcBorders>
              <w:top w:val="single" w:sz="8" w:space="0" w:color="AEAEAE"/>
              <w:left w:val="single" w:sz="8" w:space="0" w:color="E0E0E0"/>
              <w:bottom w:val="single" w:sz="8" w:space="0" w:color="152935"/>
              <w:right w:val="nil"/>
            </w:tcBorders>
            <w:shd w:val="clear" w:color="auto" w:fill="F9F9FB"/>
          </w:tcPr>
          <w:p w14:paraId="5623303E" w14:textId="77777777" w:rsidR="00066FF4" w:rsidRPr="0014116F" w:rsidRDefault="00066FF4" w:rsidP="009663CA">
            <w:pPr>
              <w:autoSpaceDE w:val="0"/>
              <w:autoSpaceDN w:val="0"/>
              <w:adjustRightInd w:val="0"/>
              <w:ind w:left="60" w:right="60"/>
              <w:jc w:val="right"/>
              <w:rPr>
                <w:rFonts w:cs="Arial"/>
                <w:color w:val="010205"/>
                <w:kern w:val="0"/>
                <w:lang w:val="en-GB"/>
              </w:rPr>
            </w:pPr>
            <w:r w:rsidRPr="0014116F">
              <w:rPr>
                <w:rFonts w:cs="Arial"/>
                <w:color w:val="010205"/>
                <w:kern w:val="0"/>
                <w:lang w:val="en-GB"/>
              </w:rPr>
              <w:t>50</w:t>
            </w:r>
          </w:p>
        </w:tc>
      </w:tr>
    </w:tbl>
    <w:p w14:paraId="26D0CDFF" w14:textId="77777777" w:rsidR="00066FF4" w:rsidRPr="0014116F" w:rsidRDefault="00066FF4" w:rsidP="009663CA">
      <w:pPr>
        <w:autoSpaceDE w:val="0"/>
        <w:autoSpaceDN w:val="0"/>
        <w:adjustRightInd w:val="0"/>
        <w:jc w:val="left"/>
        <w:rPr>
          <w:rFonts w:cs="Arial"/>
          <w:kern w:val="0"/>
          <w:lang w:val="en-GB"/>
        </w:rPr>
      </w:pPr>
    </w:p>
    <w:p w14:paraId="0D41061F" w14:textId="5690DE2E" w:rsidR="009B34C9" w:rsidRPr="0014116F" w:rsidRDefault="009B34C9" w:rsidP="009663CA">
      <w:pPr>
        <w:autoSpaceDE w:val="0"/>
        <w:autoSpaceDN w:val="0"/>
        <w:adjustRightInd w:val="0"/>
        <w:rPr>
          <w:rFonts w:cs="Arial"/>
          <w:kern w:val="0"/>
          <w:lang w:val="en-GB"/>
        </w:rPr>
      </w:pPr>
      <w:r w:rsidRPr="0014116F">
        <w:rPr>
          <w:rFonts w:cs="Arial"/>
          <w:kern w:val="0"/>
          <w:lang w:val="en-GB"/>
        </w:rPr>
        <w:t xml:space="preserve">There is a 0.178 Pearson connection between the processing speeds of Hadoop and Tableau. There is probably a positive correlation between the two variables, as shown by the statistics. There is a correlation between how quickly </w:t>
      </w:r>
      <w:r w:rsidR="00766199" w:rsidRPr="0014116F">
        <w:rPr>
          <w:rFonts w:cs="Arial"/>
          <w:kern w:val="0"/>
          <w:lang w:val="en-GB"/>
        </w:rPr>
        <w:t>Hadoop can process data</w:t>
      </w:r>
      <w:r w:rsidRPr="0014116F">
        <w:rPr>
          <w:rFonts w:cs="Arial"/>
          <w:kern w:val="0"/>
          <w:lang w:val="en-GB"/>
        </w:rPr>
        <w:t xml:space="preserve"> and how quickly Tableau can process it. </w:t>
      </w:r>
    </w:p>
    <w:p w14:paraId="1027E781" w14:textId="6B04B2E3" w:rsidR="002B1714" w:rsidRPr="0014116F" w:rsidRDefault="009B34C9" w:rsidP="009663CA">
      <w:pPr>
        <w:autoSpaceDE w:val="0"/>
        <w:autoSpaceDN w:val="0"/>
        <w:adjustRightInd w:val="0"/>
        <w:rPr>
          <w:rFonts w:cs="Arial"/>
          <w:kern w:val="0"/>
          <w:lang w:val="en-GB"/>
        </w:rPr>
      </w:pPr>
      <w:r w:rsidRPr="0014116F">
        <w:rPr>
          <w:rFonts w:cs="Arial"/>
          <w:kern w:val="0"/>
          <w:lang w:val="en-GB"/>
        </w:rPr>
        <w:t xml:space="preserve">Since the p-value for the r-value is 0.217, it is not possible to reject the null hypothesis at the 0.05 level of significance. This suggests that the statistical evidence for the presence of the observed link </w:t>
      </w:r>
      <w:r w:rsidR="00D807B1" w:rsidRPr="0014116F">
        <w:rPr>
          <w:rFonts w:cs="Arial"/>
          <w:kern w:val="0"/>
          <w:lang w:val="en-GB"/>
        </w:rPr>
        <w:t>needs to be revised</w:t>
      </w:r>
      <w:r w:rsidRPr="0014116F">
        <w:rPr>
          <w:rFonts w:cs="Arial"/>
          <w:kern w:val="0"/>
          <w:lang w:val="en-GB"/>
        </w:rPr>
        <w:t xml:space="preserve">. The correlation between Hadoop and Tableau processing speeds </w:t>
      </w:r>
      <w:r w:rsidR="00D807B1" w:rsidRPr="0014116F">
        <w:rPr>
          <w:rFonts w:cs="Arial"/>
          <w:kern w:val="0"/>
          <w:lang w:val="en-GB"/>
        </w:rPr>
        <w:t>is</w:t>
      </w:r>
      <w:r w:rsidRPr="0014116F">
        <w:rPr>
          <w:rFonts w:cs="Arial"/>
          <w:kern w:val="0"/>
          <w:lang w:val="en-GB"/>
        </w:rPr>
        <w:t xml:space="preserve"> coincidental. The research showed a moderate but </w:t>
      </w:r>
      <w:r w:rsidR="00D807B1" w:rsidRPr="0014116F">
        <w:rPr>
          <w:rFonts w:cs="Arial"/>
          <w:kern w:val="0"/>
          <w:lang w:val="en-GB"/>
        </w:rPr>
        <w:t>favourable</w:t>
      </w:r>
      <w:r w:rsidRPr="0014116F">
        <w:rPr>
          <w:rFonts w:cs="Arial"/>
          <w:kern w:val="0"/>
          <w:lang w:val="en-GB"/>
        </w:rPr>
        <w:t xml:space="preserve"> association between Hadoop and Tableau throughput speeds.</w:t>
      </w:r>
    </w:p>
    <w:p w14:paraId="14F2A880" w14:textId="77777777" w:rsidR="004A5210" w:rsidRPr="0014116F" w:rsidRDefault="004A5210" w:rsidP="009663CA">
      <w:pPr>
        <w:pStyle w:val="Heading3"/>
        <w:rPr>
          <w:rFonts w:cs="Arial"/>
          <w:lang w:val="en-GB"/>
        </w:rPr>
      </w:pPr>
      <w:bookmarkStart w:id="12" w:name="_Toc150646872"/>
      <w:r w:rsidRPr="0014116F">
        <w:rPr>
          <w:rFonts w:cs="Arial"/>
          <w:lang w:val="en-GB"/>
        </w:rPr>
        <w:t>2. Scatterplot graph</w:t>
      </w:r>
      <w:bookmarkEnd w:id="12"/>
    </w:p>
    <w:p w14:paraId="6CA0B89C" w14:textId="6AF60713" w:rsidR="0084364B" w:rsidRPr="0014116F" w:rsidRDefault="00CA3B39" w:rsidP="009663CA">
      <w:pPr>
        <w:rPr>
          <w:rFonts w:cs="Arial"/>
          <w:lang w:val="en-GB"/>
        </w:rPr>
      </w:pPr>
      <w:r w:rsidRPr="0014116F">
        <w:rPr>
          <w:rFonts w:cs="Arial"/>
          <w:lang w:val="en-GB"/>
        </w:rPr>
        <w:t>Creating a scatterplot in SPSS is an easy task, which serves as an effective means of visually comprehending the association between two variables</w:t>
      </w:r>
      <w:r w:rsidR="003C37D3" w:rsidRPr="0014116F">
        <w:rPr>
          <w:rFonts w:cs="Arial"/>
          <w:lang w:val="en-GB"/>
        </w:rPr>
        <w:t xml:space="preserve"> (Mood and Morrow, 2017)</w:t>
      </w:r>
      <w:r w:rsidRPr="0014116F">
        <w:rPr>
          <w:rFonts w:cs="Arial"/>
          <w:lang w:val="en-GB"/>
        </w:rPr>
        <w:t xml:space="preserve">. The objective of this task is to generate a scatterplot that represents the relationship between the processing time in Hadoop on the horizontal axis and the processing time in Tableau on the vertical axis.  </w:t>
      </w:r>
    </w:p>
    <w:p w14:paraId="50A22589" w14:textId="77777777" w:rsidR="0084364B" w:rsidRPr="0014116F" w:rsidRDefault="0084364B" w:rsidP="009663CA">
      <w:pPr>
        <w:rPr>
          <w:rFonts w:cs="Arial"/>
          <w:lang w:val="en-GB"/>
        </w:rPr>
      </w:pPr>
      <w:r w:rsidRPr="0014116F">
        <w:rPr>
          <w:rFonts w:cs="Arial"/>
          <w:noProof/>
          <w:lang w:val="en-GB"/>
        </w:rPr>
        <w:drawing>
          <wp:inline distT="0" distB="0" distL="0" distR="0" wp14:anchorId="7C6C7410" wp14:editId="21F54D65">
            <wp:extent cx="5943600" cy="2650490"/>
            <wp:effectExtent l="0" t="0" r="0" b="0"/>
            <wp:docPr id="6794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1553" name=""/>
                    <pic:cNvPicPr/>
                  </pic:nvPicPr>
                  <pic:blipFill>
                    <a:blip r:embed="rId15"/>
                    <a:stretch>
                      <a:fillRect/>
                    </a:stretch>
                  </pic:blipFill>
                  <pic:spPr>
                    <a:xfrm>
                      <a:off x="0" y="0"/>
                      <a:ext cx="5943600" cy="2650490"/>
                    </a:xfrm>
                    <a:prstGeom prst="rect">
                      <a:avLst/>
                    </a:prstGeom>
                  </pic:spPr>
                </pic:pic>
              </a:graphicData>
            </a:graphic>
          </wp:inline>
        </w:drawing>
      </w:r>
    </w:p>
    <w:p w14:paraId="0D1BFBE3" w14:textId="3D749B57" w:rsidR="0084364B" w:rsidRPr="0014116F" w:rsidRDefault="00367F5A" w:rsidP="009663CA">
      <w:pPr>
        <w:rPr>
          <w:rFonts w:cs="Arial"/>
          <w:lang w:val="en-GB"/>
        </w:rPr>
      </w:pPr>
      <w:r w:rsidRPr="0014116F">
        <w:rPr>
          <w:rFonts w:cs="Arial"/>
          <w:lang w:val="en-GB"/>
        </w:rPr>
        <w:t xml:space="preserve">The scatterplot will show the duration of time spent </w:t>
      </w:r>
      <w:r w:rsidR="00D807B1" w:rsidRPr="0014116F">
        <w:rPr>
          <w:rFonts w:cs="Arial"/>
          <w:lang w:val="en-GB"/>
        </w:rPr>
        <w:t>on</w:t>
      </w:r>
      <w:r w:rsidRPr="0014116F">
        <w:rPr>
          <w:rFonts w:cs="Arial"/>
          <w:lang w:val="en-GB"/>
        </w:rPr>
        <w:t xml:space="preserve"> Hadoop and Tableau. This will enable the identification of trends and patterns within the data. Scatterplots are a valuable tool for identifying potential associations or interdependencies between two variables.</w:t>
      </w:r>
    </w:p>
    <w:p w14:paraId="0BD4DAF0" w14:textId="77777777" w:rsidR="0084364B" w:rsidRPr="0014116F" w:rsidRDefault="0084364B" w:rsidP="009663CA">
      <w:pPr>
        <w:jc w:val="center"/>
        <w:rPr>
          <w:rFonts w:cs="Arial"/>
          <w:lang w:val="en-GB"/>
        </w:rPr>
      </w:pPr>
      <w:r w:rsidRPr="0014116F">
        <w:rPr>
          <w:rFonts w:cs="Arial"/>
          <w:noProof/>
          <w:lang w:val="en-GB"/>
        </w:rPr>
        <w:lastRenderedPageBreak/>
        <w:drawing>
          <wp:inline distT="0" distB="0" distL="0" distR="0" wp14:anchorId="1246C8E7" wp14:editId="0BF202EE">
            <wp:extent cx="5857240" cy="3886093"/>
            <wp:effectExtent l="0" t="0" r="0" b="635"/>
            <wp:docPr id="167999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92407"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873047" cy="3896580"/>
                    </a:xfrm>
                    <a:prstGeom prst="rect">
                      <a:avLst/>
                    </a:prstGeom>
                  </pic:spPr>
                </pic:pic>
              </a:graphicData>
            </a:graphic>
          </wp:inline>
        </w:drawing>
      </w:r>
    </w:p>
    <w:p w14:paraId="4C26A027" w14:textId="77777777" w:rsidR="0084364B" w:rsidRPr="0014116F" w:rsidRDefault="0084364B" w:rsidP="009663CA">
      <w:pPr>
        <w:rPr>
          <w:rFonts w:cs="Arial"/>
          <w:lang w:val="en-GB"/>
        </w:rPr>
      </w:pPr>
    </w:p>
    <w:p w14:paraId="4AC6D576" w14:textId="77777777" w:rsidR="0084364B" w:rsidRPr="0014116F" w:rsidRDefault="0084364B" w:rsidP="009663CA">
      <w:pPr>
        <w:rPr>
          <w:rFonts w:cs="Arial"/>
          <w:lang w:val="en-GB"/>
        </w:rPr>
      </w:pPr>
      <w:r w:rsidRPr="0014116F">
        <w:rPr>
          <w:rFonts w:cs="Arial"/>
          <w:noProof/>
          <w:lang w:val="en-GB"/>
        </w:rPr>
        <w:drawing>
          <wp:inline distT="0" distB="0" distL="0" distR="0" wp14:anchorId="2FEE9685" wp14:editId="46FC41C1">
            <wp:extent cx="5852160" cy="3703142"/>
            <wp:effectExtent l="0" t="0" r="0" b="0"/>
            <wp:docPr id="1647665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665612"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863157" cy="3710101"/>
                    </a:xfrm>
                    <a:prstGeom prst="rect">
                      <a:avLst/>
                    </a:prstGeom>
                  </pic:spPr>
                </pic:pic>
              </a:graphicData>
            </a:graphic>
          </wp:inline>
        </w:drawing>
      </w:r>
    </w:p>
    <w:p w14:paraId="35431149" w14:textId="77777777" w:rsidR="007A155B" w:rsidRPr="0014116F" w:rsidRDefault="007A155B" w:rsidP="009663CA">
      <w:pPr>
        <w:rPr>
          <w:rFonts w:cs="Arial"/>
          <w:lang w:val="en-GB"/>
        </w:rPr>
      </w:pPr>
    </w:p>
    <w:p w14:paraId="2BCBC864" w14:textId="77777777" w:rsidR="00B310EA" w:rsidRPr="0014116F" w:rsidRDefault="00B310EA" w:rsidP="009663CA">
      <w:pPr>
        <w:rPr>
          <w:rFonts w:cs="Arial"/>
          <w:lang w:val="en-GB"/>
        </w:rPr>
      </w:pPr>
      <w:r w:rsidRPr="0014116F">
        <w:rPr>
          <w:rFonts w:cs="Arial"/>
          <w:noProof/>
          <w:lang w:val="en-GB"/>
        </w:rPr>
        <w:lastRenderedPageBreak/>
        <w:drawing>
          <wp:inline distT="0" distB="0" distL="0" distR="0" wp14:anchorId="4D4B3E77" wp14:editId="56659D32">
            <wp:extent cx="5730240" cy="3626710"/>
            <wp:effectExtent l="0" t="0" r="3810" b="0"/>
            <wp:docPr id="68646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61412"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740629" cy="3633285"/>
                    </a:xfrm>
                    <a:prstGeom prst="rect">
                      <a:avLst/>
                    </a:prstGeom>
                  </pic:spPr>
                </pic:pic>
              </a:graphicData>
            </a:graphic>
          </wp:inline>
        </w:drawing>
      </w:r>
    </w:p>
    <w:p w14:paraId="2C692068" w14:textId="28298AE1" w:rsidR="00E8749D" w:rsidRPr="0014116F" w:rsidRDefault="00E8749D" w:rsidP="009663CA">
      <w:pPr>
        <w:autoSpaceDE w:val="0"/>
        <w:autoSpaceDN w:val="0"/>
        <w:adjustRightInd w:val="0"/>
        <w:jc w:val="left"/>
        <w:rPr>
          <w:rFonts w:cs="Arial"/>
          <w:kern w:val="0"/>
          <w:lang w:val="en-GB"/>
        </w:rPr>
      </w:pPr>
      <w:r w:rsidRPr="0014116F">
        <w:rPr>
          <w:rFonts w:cs="Arial"/>
          <w:noProof/>
          <w:kern w:val="0"/>
          <w:lang w:val="en-GB"/>
        </w:rPr>
        <w:drawing>
          <wp:inline distT="0" distB="0" distL="0" distR="0" wp14:anchorId="7D5120ED" wp14:editId="6FC65EA3">
            <wp:extent cx="5943600" cy="3498215"/>
            <wp:effectExtent l="0" t="0" r="0" b="6985"/>
            <wp:docPr id="709389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8215"/>
                    </a:xfrm>
                    <a:prstGeom prst="rect">
                      <a:avLst/>
                    </a:prstGeom>
                    <a:noFill/>
                    <a:ln>
                      <a:noFill/>
                    </a:ln>
                  </pic:spPr>
                </pic:pic>
              </a:graphicData>
            </a:graphic>
          </wp:inline>
        </w:drawing>
      </w:r>
    </w:p>
    <w:p w14:paraId="08CC0339" w14:textId="77777777" w:rsidR="00E8749D" w:rsidRPr="0014116F" w:rsidRDefault="00E8749D" w:rsidP="009663CA">
      <w:pPr>
        <w:autoSpaceDE w:val="0"/>
        <w:autoSpaceDN w:val="0"/>
        <w:adjustRightInd w:val="0"/>
        <w:jc w:val="left"/>
        <w:rPr>
          <w:rFonts w:cs="Arial"/>
          <w:kern w:val="0"/>
          <w:lang w:val="en-GB"/>
        </w:rPr>
      </w:pPr>
    </w:p>
    <w:p w14:paraId="045743E4" w14:textId="77777777" w:rsidR="00E8749D" w:rsidRPr="0014116F" w:rsidRDefault="00E8749D" w:rsidP="009663CA">
      <w:pPr>
        <w:autoSpaceDE w:val="0"/>
        <w:autoSpaceDN w:val="0"/>
        <w:adjustRightInd w:val="0"/>
        <w:jc w:val="left"/>
        <w:rPr>
          <w:rFonts w:cs="Arial"/>
          <w:kern w:val="0"/>
          <w:lang w:val="en-GB"/>
        </w:rPr>
      </w:pPr>
    </w:p>
    <w:p w14:paraId="7580B91A" w14:textId="77777777" w:rsidR="00762316" w:rsidRPr="0014116F" w:rsidRDefault="00762316" w:rsidP="009663CA">
      <w:pPr>
        <w:rPr>
          <w:rFonts w:eastAsiaTheme="majorEastAsia" w:cs="Arial"/>
          <w:bCs/>
          <w:color w:val="365F91" w:themeColor="accent1" w:themeShade="BF"/>
          <w:sz w:val="28"/>
          <w:szCs w:val="26"/>
          <w:lang w:val="en-GB"/>
        </w:rPr>
      </w:pPr>
      <w:r w:rsidRPr="0014116F">
        <w:rPr>
          <w:rFonts w:cs="Arial"/>
          <w:lang w:val="en-GB"/>
        </w:rPr>
        <w:br w:type="page"/>
      </w:r>
    </w:p>
    <w:p w14:paraId="6602D597" w14:textId="415521DA" w:rsidR="00987516" w:rsidRPr="0014116F" w:rsidRDefault="00987516" w:rsidP="009663CA">
      <w:pPr>
        <w:pStyle w:val="Heading2"/>
        <w:rPr>
          <w:rFonts w:cs="Arial"/>
          <w:lang w:val="en-GB"/>
        </w:rPr>
      </w:pPr>
      <w:bookmarkStart w:id="13" w:name="_Toc150646873"/>
      <w:r w:rsidRPr="0014116F">
        <w:rPr>
          <w:rFonts w:cs="Arial"/>
          <w:lang w:val="en-GB"/>
        </w:rPr>
        <w:lastRenderedPageBreak/>
        <w:t>Conclusion</w:t>
      </w:r>
      <w:bookmarkEnd w:id="13"/>
    </w:p>
    <w:p w14:paraId="562C064B" w14:textId="34234B01" w:rsidR="0001486D" w:rsidRPr="0014116F" w:rsidRDefault="00C83456" w:rsidP="009663CA">
      <w:pPr>
        <w:rPr>
          <w:rFonts w:cs="Arial"/>
          <w:lang w:val="en-GB"/>
        </w:rPr>
      </w:pPr>
      <w:r w:rsidRPr="0014116F">
        <w:rPr>
          <w:rFonts w:cs="Arial"/>
          <w:lang w:val="en-GB"/>
        </w:rPr>
        <w:t>Data processing times for Excel and SPSS from a variety of sources are measured in great detail</w:t>
      </w:r>
      <w:r w:rsidR="003C37D3" w:rsidRPr="0014116F">
        <w:rPr>
          <w:rFonts w:cs="Arial"/>
          <w:lang w:val="en-GB"/>
        </w:rPr>
        <w:t xml:space="preserve"> (Meyers, Gamst and Guarino, 2013)</w:t>
      </w:r>
      <w:r w:rsidRPr="0014116F">
        <w:rPr>
          <w:rFonts w:cs="Arial"/>
          <w:lang w:val="en-GB"/>
        </w:rPr>
        <w:t xml:space="preserve">. Hadoop takes an average of 2.779 seconds to process data, Spark 2.74 seconds on average, R 4.867 seconds on the high end, and Python 1.284 seconds on the low end, according to the statistics.  Analysing processing times using </w:t>
      </w:r>
      <w:r w:rsidR="00D807B1" w:rsidRPr="0014116F">
        <w:rPr>
          <w:rFonts w:cs="Arial"/>
          <w:lang w:val="en-GB"/>
        </w:rPr>
        <w:t>programs like Excel and SPSS may provide insight into tools'</w:t>
      </w:r>
      <w:r w:rsidRPr="0014116F">
        <w:rPr>
          <w:rFonts w:cs="Arial"/>
          <w:lang w:val="en-GB"/>
        </w:rPr>
        <w:t xml:space="preserve"> efficiency and causal connections.</w:t>
      </w:r>
    </w:p>
    <w:p w14:paraId="2BB06D2F" w14:textId="2D94429A" w:rsidR="00AF7637" w:rsidRPr="0014116F" w:rsidRDefault="00AF7637" w:rsidP="009663CA">
      <w:pPr>
        <w:rPr>
          <w:rFonts w:cs="Arial"/>
          <w:lang w:val="en-GB"/>
        </w:rPr>
      </w:pPr>
      <w:r w:rsidRPr="0014116F">
        <w:rPr>
          <w:rFonts w:cs="Arial"/>
          <w:lang w:val="en-GB"/>
        </w:rPr>
        <w:br w:type="page"/>
      </w:r>
    </w:p>
    <w:p w14:paraId="49AC98CE" w14:textId="0AC8DFC7" w:rsidR="00F93882" w:rsidRPr="0014116F" w:rsidRDefault="00AF7637" w:rsidP="009663CA">
      <w:pPr>
        <w:pStyle w:val="Heading1"/>
        <w:rPr>
          <w:rFonts w:cs="Arial"/>
          <w:lang w:val="en-GB"/>
        </w:rPr>
      </w:pPr>
      <w:bookmarkStart w:id="14" w:name="_Toc150646874"/>
      <w:r w:rsidRPr="0014116F">
        <w:rPr>
          <w:rFonts w:cs="Arial"/>
          <w:lang w:val="en-GB"/>
        </w:rPr>
        <w:lastRenderedPageBreak/>
        <w:t>Part 2</w:t>
      </w:r>
      <w:bookmarkEnd w:id="14"/>
    </w:p>
    <w:p w14:paraId="6FEE1124" w14:textId="358A33CB" w:rsidR="00AF7637" w:rsidRPr="0014116F" w:rsidRDefault="000B296F" w:rsidP="009663CA">
      <w:pPr>
        <w:pStyle w:val="Heading3"/>
        <w:rPr>
          <w:rFonts w:cs="Arial"/>
          <w:lang w:val="en-GB"/>
        </w:rPr>
      </w:pPr>
      <w:bookmarkStart w:id="15" w:name="_Toc150646875"/>
      <w:r w:rsidRPr="0014116F">
        <w:rPr>
          <w:rFonts w:cs="Arial"/>
          <w:lang w:val="en-GB"/>
        </w:rPr>
        <w:t>a) Advantages and disadvantages of using SPSS, Excel or Tableau</w:t>
      </w:r>
      <w:bookmarkEnd w:id="15"/>
    </w:p>
    <w:p w14:paraId="3E36994F" w14:textId="23F4509B" w:rsidR="00C0646E" w:rsidRPr="0014116F" w:rsidRDefault="002B704B" w:rsidP="009663CA">
      <w:pPr>
        <w:rPr>
          <w:rFonts w:cs="Arial"/>
          <w:lang w:val="en-GB"/>
        </w:rPr>
      </w:pPr>
      <w:r w:rsidRPr="0014116F">
        <w:rPr>
          <w:rFonts w:cs="Arial"/>
          <w:lang w:val="en-GB"/>
        </w:rPr>
        <w:t xml:space="preserve">Commonly used data analysis </w:t>
      </w:r>
      <w:r w:rsidR="00D807B1" w:rsidRPr="0014116F">
        <w:rPr>
          <w:rFonts w:cs="Arial"/>
          <w:lang w:val="en-GB"/>
        </w:rPr>
        <w:t>programs</w:t>
      </w:r>
      <w:r w:rsidRPr="0014116F">
        <w:rPr>
          <w:rFonts w:cs="Arial"/>
          <w:lang w:val="en-GB"/>
        </w:rPr>
        <w:t xml:space="preserve"> include the statistical package SPSS, the spreadsheet </w:t>
      </w:r>
      <w:r w:rsidR="00D807B1" w:rsidRPr="0014116F">
        <w:rPr>
          <w:rFonts w:cs="Arial"/>
          <w:lang w:val="en-GB"/>
        </w:rPr>
        <w:t>program</w:t>
      </w:r>
      <w:r w:rsidRPr="0014116F">
        <w:rPr>
          <w:rFonts w:cs="Arial"/>
          <w:lang w:val="en-GB"/>
        </w:rPr>
        <w:t xml:space="preserve"> Microsoft Excel, and the graphical </w:t>
      </w:r>
      <w:r w:rsidR="00D807B1" w:rsidRPr="0014116F">
        <w:rPr>
          <w:rFonts w:cs="Arial"/>
          <w:lang w:val="en-GB"/>
        </w:rPr>
        <w:t>program</w:t>
      </w:r>
      <w:r w:rsidRPr="0014116F">
        <w:rPr>
          <w:rFonts w:cs="Arial"/>
          <w:lang w:val="en-GB"/>
        </w:rPr>
        <w:t xml:space="preserve"> Tableau. The needs and requirements of the data analysis project dictate which tool is the most suitable.</w:t>
      </w:r>
      <w:r w:rsidR="003167C0" w:rsidRPr="0014116F">
        <w:rPr>
          <w:rFonts w:cs="Arial"/>
          <w:lang w:val="en-GB"/>
        </w:rPr>
        <w:t xml:space="preserve"> </w:t>
      </w:r>
    </w:p>
    <w:tbl>
      <w:tblPr>
        <w:tblStyle w:val="TableGrid"/>
        <w:tblW w:w="0" w:type="auto"/>
        <w:tblLook w:val="04A0" w:firstRow="1" w:lastRow="0" w:firstColumn="1" w:lastColumn="0" w:noHBand="0" w:noVBand="1"/>
      </w:tblPr>
      <w:tblGrid>
        <w:gridCol w:w="3074"/>
        <w:gridCol w:w="3079"/>
        <w:gridCol w:w="3089"/>
      </w:tblGrid>
      <w:tr w:rsidR="003167C0" w:rsidRPr="0014116F" w14:paraId="49D98E40" w14:textId="77777777" w:rsidTr="003167C0">
        <w:tc>
          <w:tcPr>
            <w:tcW w:w="3192" w:type="dxa"/>
          </w:tcPr>
          <w:p w14:paraId="3ABA8C61" w14:textId="675ADC32" w:rsidR="003167C0" w:rsidRPr="0014116F" w:rsidRDefault="003167C0" w:rsidP="009663CA">
            <w:pPr>
              <w:spacing w:line="360" w:lineRule="auto"/>
              <w:jc w:val="center"/>
              <w:rPr>
                <w:rFonts w:cs="Arial"/>
                <w:b/>
                <w:bCs/>
                <w:lang w:val="en-GB"/>
              </w:rPr>
            </w:pPr>
            <w:r w:rsidRPr="0014116F">
              <w:rPr>
                <w:rFonts w:cs="Arial"/>
                <w:b/>
                <w:bCs/>
                <w:lang w:val="en-GB"/>
              </w:rPr>
              <w:t>Data analysis programmes</w:t>
            </w:r>
          </w:p>
        </w:tc>
        <w:tc>
          <w:tcPr>
            <w:tcW w:w="3192" w:type="dxa"/>
          </w:tcPr>
          <w:p w14:paraId="21A8441A" w14:textId="78317F2E" w:rsidR="003167C0" w:rsidRPr="0014116F" w:rsidRDefault="003167C0" w:rsidP="009663CA">
            <w:pPr>
              <w:spacing w:line="360" w:lineRule="auto"/>
              <w:jc w:val="center"/>
              <w:rPr>
                <w:rFonts w:cs="Arial"/>
                <w:b/>
                <w:bCs/>
                <w:lang w:val="en-GB"/>
              </w:rPr>
            </w:pPr>
            <w:r w:rsidRPr="0014116F">
              <w:rPr>
                <w:rFonts w:cs="Arial"/>
                <w:b/>
                <w:bCs/>
                <w:lang w:val="en-GB"/>
              </w:rPr>
              <w:t>Advantages</w:t>
            </w:r>
          </w:p>
        </w:tc>
        <w:tc>
          <w:tcPr>
            <w:tcW w:w="3192" w:type="dxa"/>
          </w:tcPr>
          <w:p w14:paraId="4F494B46" w14:textId="1EFBCFE8" w:rsidR="003167C0" w:rsidRPr="0014116F" w:rsidRDefault="003167C0" w:rsidP="009663CA">
            <w:pPr>
              <w:spacing w:line="360" w:lineRule="auto"/>
              <w:jc w:val="center"/>
              <w:rPr>
                <w:rFonts w:cs="Arial"/>
                <w:b/>
                <w:bCs/>
                <w:lang w:val="en-GB"/>
              </w:rPr>
            </w:pPr>
            <w:r w:rsidRPr="0014116F">
              <w:rPr>
                <w:rFonts w:cs="Arial"/>
                <w:b/>
                <w:bCs/>
                <w:lang w:val="en-GB"/>
              </w:rPr>
              <w:t>Disadvantages</w:t>
            </w:r>
          </w:p>
        </w:tc>
      </w:tr>
      <w:tr w:rsidR="003167C0" w:rsidRPr="0014116F" w14:paraId="1453BB8D" w14:textId="77777777" w:rsidTr="003167C0">
        <w:tc>
          <w:tcPr>
            <w:tcW w:w="3192" w:type="dxa"/>
          </w:tcPr>
          <w:p w14:paraId="3A331494" w14:textId="3F630044" w:rsidR="003167C0" w:rsidRPr="0014116F" w:rsidRDefault="003167C0" w:rsidP="009663CA">
            <w:pPr>
              <w:spacing w:line="360" w:lineRule="auto"/>
              <w:rPr>
                <w:rFonts w:cs="Arial"/>
                <w:lang w:val="en-GB"/>
              </w:rPr>
            </w:pPr>
            <w:r w:rsidRPr="0014116F">
              <w:rPr>
                <w:rFonts w:cs="Arial"/>
                <w:lang w:val="en-GB"/>
              </w:rPr>
              <w:t>SPSS</w:t>
            </w:r>
          </w:p>
        </w:tc>
        <w:tc>
          <w:tcPr>
            <w:tcW w:w="3192" w:type="dxa"/>
          </w:tcPr>
          <w:p w14:paraId="5F270F2F" w14:textId="1953D6A6" w:rsidR="003167C0" w:rsidRPr="0014116F" w:rsidRDefault="00470025" w:rsidP="009663CA">
            <w:pPr>
              <w:spacing w:line="360" w:lineRule="auto"/>
              <w:rPr>
                <w:rFonts w:cs="Arial"/>
                <w:lang w:val="en-GB"/>
              </w:rPr>
            </w:pPr>
            <w:r w:rsidRPr="0014116F">
              <w:rPr>
                <w:rFonts w:cs="Arial"/>
                <w:lang w:val="en-GB"/>
              </w:rPr>
              <w:t xml:space="preserve">SPSS's emphasis on statistics makes it an invaluable tool. Researchers and analysts working with complicated data sets may find the software's </w:t>
            </w:r>
            <w:r w:rsidR="00D807B1" w:rsidRPr="0014116F">
              <w:rPr>
                <w:rFonts w:cs="Arial"/>
                <w:lang w:val="en-GB"/>
              </w:rPr>
              <w:t>wide</w:t>
            </w:r>
            <w:r w:rsidRPr="0014116F">
              <w:rPr>
                <w:rFonts w:cs="Arial"/>
                <w:lang w:val="en-GB"/>
              </w:rPr>
              <w:t xml:space="preserve"> variety of statistical tests particularly useful. Regression analysis is a common tool in social science research because it allows researchers to see how different factors interact with one another</w:t>
            </w:r>
            <w:r w:rsidR="003C37D3" w:rsidRPr="0014116F">
              <w:rPr>
                <w:rFonts w:cs="Arial"/>
                <w:lang w:val="en-GB"/>
              </w:rPr>
              <w:t xml:space="preserve"> (Madsen, 2019)</w:t>
            </w:r>
            <w:r w:rsidRPr="0014116F">
              <w:rPr>
                <w:rFonts w:cs="Arial"/>
                <w:lang w:val="en-GB"/>
              </w:rPr>
              <w:t>.</w:t>
            </w:r>
          </w:p>
          <w:p w14:paraId="54A937BF" w14:textId="396DC5AF" w:rsidR="00470025" w:rsidRPr="0014116F" w:rsidRDefault="00470025" w:rsidP="009663CA">
            <w:pPr>
              <w:spacing w:line="360" w:lineRule="auto"/>
              <w:rPr>
                <w:rFonts w:cs="Arial"/>
                <w:lang w:val="en-GB"/>
              </w:rPr>
            </w:pPr>
            <w:r w:rsidRPr="0014116F">
              <w:rPr>
                <w:rFonts w:cs="Arial"/>
                <w:lang w:val="en-GB"/>
              </w:rPr>
              <w:t xml:space="preserve">SPSS may not be as sophisticated as Tableau, but it does provide some basic data visualisation features. The ability to make one's charts and graphs </w:t>
            </w:r>
            <w:r w:rsidR="00D807B1" w:rsidRPr="0014116F">
              <w:rPr>
                <w:rFonts w:cs="Arial"/>
                <w:lang w:val="en-GB"/>
              </w:rPr>
              <w:t>to understand better</w:t>
            </w:r>
            <w:r w:rsidRPr="0014116F">
              <w:rPr>
                <w:rFonts w:cs="Arial"/>
                <w:lang w:val="en-GB"/>
              </w:rPr>
              <w:t xml:space="preserve"> data distributions is made available to users.</w:t>
            </w:r>
          </w:p>
        </w:tc>
        <w:tc>
          <w:tcPr>
            <w:tcW w:w="3192" w:type="dxa"/>
          </w:tcPr>
          <w:p w14:paraId="49996949" w14:textId="4967D768" w:rsidR="003167C0" w:rsidRPr="0014116F" w:rsidRDefault="00470025" w:rsidP="009663CA">
            <w:pPr>
              <w:spacing w:line="360" w:lineRule="auto"/>
              <w:rPr>
                <w:rFonts w:cs="Arial"/>
                <w:lang w:val="en-GB"/>
              </w:rPr>
            </w:pPr>
            <w:r w:rsidRPr="0014116F">
              <w:rPr>
                <w:rFonts w:cs="Arial"/>
                <w:lang w:val="en-GB"/>
              </w:rPr>
              <w:t xml:space="preserve">SPSS has a steeper learning curve than Excel. Users </w:t>
            </w:r>
            <w:r w:rsidR="00D807B1" w:rsidRPr="0014116F">
              <w:rPr>
                <w:rFonts w:cs="Arial"/>
                <w:lang w:val="en-GB"/>
              </w:rPr>
              <w:t>with proper orientation may find it easier</w:t>
            </w:r>
            <w:r w:rsidRPr="0014116F">
              <w:rPr>
                <w:rFonts w:cs="Arial"/>
                <w:lang w:val="en-GB"/>
              </w:rPr>
              <w:t xml:space="preserve"> to make sense of the user interface and carry out complex analyses</w:t>
            </w:r>
            <w:r w:rsidR="003C37D3" w:rsidRPr="0014116F">
              <w:rPr>
                <w:rFonts w:cs="Arial"/>
                <w:lang w:val="en-GB"/>
              </w:rPr>
              <w:t xml:space="preserve"> (Meyers, Gamst and Guarino, 2013)</w:t>
            </w:r>
            <w:r w:rsidRPr="0014116F">
              <w:rPr>
                <w:rFonts w:cs="Arial"/>
                <w:lang w:val="en-GB"/>
              </w:rPr>
              <w:t>.</w:t>
            </w:r>
          </w:p>
          <w:p w14:paraId="7ACC8D40" w14:textId="28A94B68" w:rsidR="00470025" w:rsidRPr="0014116F" w:rsidRDefault="00470025" w:rsidP="009663CA">
            <w:pPr>
              <w:spacing w:line="360" w:lineRule="auto"/>
              <w:rPr>
                <w:rFonts w:cs="Arial"/>
                <w:lang w:val="en-GB"/>
              </w:rPr>
            </w:pPr>
            <w:r w:rsidRPr="0014116F">
              <w:rPr>
                <w:rFonts w:cs="Arial"/>
                <w:lang w:val="en-GB"/>
              </w:rPr>
              <w:t xml:space="preserve">SPSS's data processing and cleansing capabilities are more limited than those of Excel's. </w:t>
            </w:r>
            <w:r w:rsidR="00D807B1" w:rsidRPr="0014116F">
              <w:rPr>
                <w:rFonts w:cs="Arial"/>
                <w:lang w:val="en-GB"/>
              </w:rPr>
              <w:t>Some Excel data cleaning may</w:t>
            </w:r>
            <w:r w:rsidRPr="0014116F">
              <w:rPr>
                <w:rFonts w:cs="Arial"/>
                <w:lang w:val="en-GB"/>
              </w:rPr>
              <w:t xml:space="preserve"> be required before being ready for import into SPSS.</w:t>
            </w:r>
          </w:p>
        </w:tc>
      </w:tr>
      <w:tr w:rsidR="00A76B52" w:rsidRPr="0014116F" w14:paraId="304B0F29" w14:textId="77777777" w:rsidTr="003167C0">
        <w:tc>
          <w:tcPr>
            <w:tcW w:w="3192" w:type="dxa"/>
          </w:tcPr>
          <w:p w14:paraId="7C24B2CE" w14:textId="4FF4F539" w:rsidR="00A76B52" w:rsidRPr="0014116F" w:rsidRDefault="00A76B52" w:rsidP="009663CA">
            <w:pPr>
              <w:spacing w:line="360" w:lineRule="auto"/>
              <w:rPr>
                <w:rFonts w:cs="Arial"/>
                <w:lang w:val="en-GB"/>
              </w:rPr>
            </w:pPr>
            <w:r w:rsidRPr="0014116F">
              <w:rPr>
                <w:rFonts w:cs="Arial"/>
                <w:lang w:val="en-GB"/>
              </w:rPr>
              <w:t>Excel</w:t>
            </w:r>
          </w:p>
        </w:tc>
        <w:tc>
          <w:tcPr>
            <w:tcW w:w="3192" w:type="dxa"/>
          </w:tcPr>
          <w:p w14:paraId="7BE79BA0" w14:textId="09F74734" w:rsidR="00A76B52" w:rsidRPr="0014116F" w:rsidRDefault="00A76B52" w:rsidP="009663CA">
            <w:pPr>
              <w:spacing w:line="360" w:lineRule="auto"/>
              <w:rPr>
                <w:rFonts w:cs="Arial"/>
                <w:lang w:val="en-GB"/>
              </w:rPr>
            </w:pPr>
            <w:r w:rsidRPr="0014116F">
              <w:rPr>
                <w:rFonts w:cs="Arial"/>
                <w:lang w:val="en-GB"/>
              </w:rPr>
              <w:t xml:space="preserve">Microsoft Excel is extensively used across several disciplines, and a significant majority of users possess a basic understanding of the </w:t>
            </w:r>
            <w:r w:rsidRPr="0014116F">
              <w:rPr>
                <w:rFonts w:cs="Arial"/>
                <w:lang w:val="en-GB"/>
              </w:rPr>
              <w:lastRenderedPageBreak/>
              <w:t>program's essential functionalities. Excel is widely recognised as a reliable and user-friendly software application for performing fundamental data processing tasks</w:t>
            </w:r>
            <w:r w:rsidR="003C37D3" w:rsidRPr="0014116F">
              <w:rPr>
                <w:rFonts w:cs="Arial"/>
                <w:lang w:val="en-GB"/>
              </w:rPr>
              <w:t xml:space="preserve"> (Lokesh Jasrai, 2020)</w:t>
            </w:r>
            <w:r w:rsidRPr="0014116F">
              <w:rPr>
                <w:rFonts w:cs="Arial"/>
                <w:lang w:val="en-GB"/>
              </w:rPr>
              <w:t>.</w:t>
            </w:r>
          </w:p>
          <w:p w14:paraId="26EC8957" w14:textId="06CB8EA7" w:rsidR="00A76B52" w:rsidRPr="0014116F" w:rsidRDefault="00A76B52" w:rsidP="009663CA">
            <w:pPr>
              <w:spacing w:line="360" w:lineRule="auto"/>
              <w:rPr>
                <w:rFonts w:cs="Arial"/>
                <w:lang w:val="en-GB"/>
              </w:rPr>
            </w:pPr>
            <w:r w:rsidRPr="0014116F">
              <w:rPr>
                <w:rFonts w:cs="Arial"/>
                <w:lang w:val="en-GB"/>
              </w:rPr>
              <w:t xml:space="preserve">Excel has a profound understanding of data processing and purification. The spreadsheet is often used in tasks that need significant data preparation because </w:t>
            </w:r>
            <w:r w:rsidR="00D807B1" w:rsidRPr="0014116F">
              <w:rPr>
                <w:rFonts w:cs="Arial"/>
                <w:lang w:val="en-GB"/>
              </w:rPr>
              <w:t>of</w:t>
            </w:r>
            <w:r w:rsidRPr="0014116F">
              <w:rPr>
                <w:rFonts w:cs="Arial"/>
                <w:lang w:val="en-GB"/>
              </w:rPr>
              <w:t xml:space="preserve"> its capacity to effectively filter, organise, and manipulate data in a user-friendly manner.</w:t>
            </w:r>
          </w:p>
        </w:tc>
        <w:tc>
          <w:tcPr>
            <w:tcW w:w="3192" w:type="dxa"/>
          </w:tcPr>
          <w:p w14:paraId="220F7192" w14:textId="27C18DB6" w:rsidR="00A76B52" w:rsidRPr="0014116F" w:rsidRDefault="00A76B52" w:rsidP="009663CA">
            <w:pPr>
              <w:spacing w:line="360" w:lineRule="auto"/>
              <w:rPr>
                <w:rFonts w:cs="Arial"/>
                <w:lang w:val="en-GB"/>
              </w:rPr>
            </w:pPr>
            <w:r w:rsidRPr="0014116F">
              <w:rPr>
                <w:rFonts w:cs="Arial"/>
                <w:lang w:val="en-GB"/>
              </w:rPr>
              <w:lastRenderedPageBreak/>
              <w:t xml:space="preserve">While Excel does include some statistical capabilities, advanced users may find it necessary to seek other software, such as SPSS, to </w:t>
            </w:r>
            <w:r w:rsidRPr="0014116F">
              <w:rPr>
                <w:rFonts w:cs="Arial"/>
                <w:lang w:val="en-GB"/>
              </w:rPr>
              <w:lastRenderedPageBreak/>
              <w:t>fulfil their more complex statistical analysis requirements. Sophisticated research endeavours may need the use of other resources, such as supplementary software applications or specialised statistical tools</w:t>
            </w:r>
            <w:r w:rsidR="003C37D3" w:rsidRPr="0014116F">
              <w:rPr>
                <w:rFonts w:cs="Arial"/>
                <w:lang w:val="en-GB"/>
              </w:rPr>
              <w:t xml:space="preserve"> (Linoff, 2016)</w:t>
            </w:r>
            <w:r w:rsidRPr="0014116F">
              <w:rPr>
                <w:rFonts w:cs="Arial"/>
                <w:lang w:val="en-GB"/>
              </w:rPr>
              <w:t>.</w:t>
            </w:r>
          </w:p>
          <w:p w14:paraId="5B5D95DC" w14:textId="1E53E368" w:rsidR="00A76B52" w:rsidRPr="0014116F" w:rsidRDefault="00A76B52" w:rsidP="009663CA">
            <w:pPr>
              <w:spacing w:line="360" w:lineRule="auto"/>
              <w:rPr>
                <w:rFonts w:cs="Arial"/>
                <w:lang w:val="en-GB"/>
              </w:rPr>
            </w:pPr>
            <w:r w:rsidRPr="0014116F">
              <w:rPr>
                <w:rFonts w:cs="Arial"/>
                <w:lang w:val="en-GB"/>
              </w:rPr>
              <w:t xml:space="preserve">In contrast to Tableau, Excel's data visualisation capabilities </w:t>
            </w:r>
            <w:r w:rsidR="00D807B1" w:rsidRPr="0014116F">
              <w:rPr>
                <w:rFonts w:cs="Arial"/>
                <w:lang w:val="en-GB"/>
              </w:rPr>
              <w:t>could be much better</w:t>
            </w:r>
            <w:r w:rsidRPr="0014116F">
              <w:rPr>
                <w:rFonts w:cs="Arial"/>
                <w:lang w:val="en-GB"/>
              </w:rPr>
              <w:t>. The process of generating intricate charts and interactive dashboards may be laborious and anxiety-inducing, potentially yielding outcomes that fall short of desired aesthetic standards.</w:t>
            </w:r>
          </w:p>
        </w:tc>
      </w:tr>
      <w:tr w:rsidR="00FD3C8F" w:rsidRPr="0014116F" w14:paraId="1D4E0413" w14:textId="77777777" w:rsidTr="003167C0">
        <w:tc>
          <w:tcPr>
            <w:tcW w:w="3192" w:type="dxa"/>
          </w:tcPr>
          <w:p w14:paraId="24C74584" w14:textId="3D22CD06" w:rsidR="00FD3C8F" w:rsidRPr="0014116F" w:rsidRDefault="00FD3C8F" w:rsidP="009663CA">
            <w:pPr>
              <w:spacing w:line="360" w:lineRule="auto"/>
              <w:rPr>
                <w:rFonts w:cs="Arial"/>
                <w:lang w:val="en-GB"/>
              </w:rPr>
            </w:pPr>
            <w:r w:rsidRPr="0014116F">
              <w:rPr>
                <w:rFonts w:cs="Arial"/>
                <w:lang w:val="en-GB"/>
              </w:rPr>
              <w:lastRenderedPageBreak/>
              <w:t>Tableau</w:t>
            </w:r>
          </w:p>
        </w:tc>
        <w:tc>
          <w:tcPr>
            <w:tcW w:w="3192" w:type="dxa"/>
          </w:tcPr>
          <w:p w14:paraId="566C3955" w14:textId="4F0B8930" w:rsidR="00FD3C8F" w:rsidRPr="0014116F" w:rsidRDefault="00FD3C8F" w:rsidP="009663CA">
            <w:pPr>
              <w:spacing w:line="360" w:lineRule="auto"/>
              <w:rPr>
                <w:rFonts w:cs="Arial"/>
                <w:lang w:val="en-GB"/>
              </w:rPr>
            </w:pPr>
            <w:r w:rsidRPr="0014116F">
              <w:rPr>
                <w:rFonts w:cs="Arial"/>
                <w:lang w:val="en-GB"/>
              </w:rPr>
              <w:t xml:space="preserve">Tableau is widely considered to be the best data visualisation software available. This technology is especially useful for creating interactive dashboards, which may provide a clear visual representation of otherwise </w:t>
            </w:r>
            <w:r w:rsidR="00F31C79" w:rsidRPr="0014116F">
              <w:rPr>
                <w:rFonts w:cs="Arial"/>
                <w:lang w:val="en-GB"/>
              </w:rPr>
              <w:t>difficult-to-comprehend</w:t>
            </w:r>
            <w:r w:rsidRPr="0014116F">
              <w:rPr>
                <w:rFonts w:cs="Arial"/>
                <w:lang w:val="en-GB"/>
              </w:rPr>
              <w:t xml:space="preserve"> data. Tableau may be used to create dynamic dashboards demonstrating data like sales trends in the field of business analytics.</w:t>
            </w:r>
          </w:p>
          <w:p w14:paraId="0BC28E9B" w14:textId="10E063FF" w:rsidR="00FD3C8F" w:rsidRPr="0014116F" w:rsidRDefault="00FD3C8F" w:rsidP="009663CA">
            <w:pPr>
              <w:spacing w:line="360" w:lineRule="auto"/>
              <w:rPr>
                <w:rFonts w:cs="Arial"/>
                <w:lang w:val="en-GB"/>
              </w:rPr>
            </w:pPr>
            <w:r w:rsidRPr="0014116F">
              <w:rPr>
                <w:rFonts w:cs="Arial"/>
                <w:lang w:val="en-GB"/>
              </w:rPr>
              <w:t xml:space="preserve">Tableau's capacity to </w:t>
            </w:r>
            <w:r w:rsidRPr="0014116F">
              <w:rPr>
                <w:rFonts w:cs="Arial"/>
                <w:lang w:val="en-GB"/>
              </w:rPr>
              <w:lastRenderedPageBreak/>
              <w:t>establish near-instantaneous links to several data repositories ensures that users always have access to the most current information. In fast-paced fields like financial analytics, where information is constantly shifting, this is an invaluable feature.</w:t>
            </w:r>
          </w:p>
        </w:tc>
        <w:tc>
          <w:tcPr>
            <w:tcW w:w="3192" w:type="dxa"/>
          </w:tcPr>
          <w:p w14:paraId="05292272" w14:textId="44A9FE80" w:rsidR="00F31C79" w:rsidRPr="0014116F" w:rsidRDefault="00F31C79" w:rsidP="009663CA">
            <w:pPr>
              <w:spacing w:line="360" w:lineRule="auto"/>
              <w:rPr>
                <w:rFonts w:cs="Arial"/>
                <w:lang w:val="en-GB"/>
              </w:rPr>
            </w:pPr>
            <w:r w:rsidRPr="0014116F">
              <w:rPr>
                <w:rFonts w:cs="Arial"/>
                <w:lang w:val="en-GB"/>
              </w:rPr>
              <w:lastRenderedPageBreak/>
              <w:t xml:space="preserve">Commercial tools like Tableau, and especially the more feature-rich subscription levels, </w:t>
            </w:r>
            <w:r w:rsidR="00D807B1" w:rsidRPr="0014116F">
              <w:rPr>
                <w:rFonts w:cs="Arial"/>
                <w:lang w:val="en-GB"/>
              </w:rPr>
              <w:t>are costly</w:t>
            </w:r>
            <w:r w:rsidRPr="0014116F">
              <w:rPr>
                <w:rFonts w:cs="Arial"/>
                <w:lang w:val="en-GB"/>
              </w:rPr>
              <w:t>. Those at the bottom of the economic ladder may find this to be an obstacle</w:t>
            </w:r>
            <w:r w:rsidR="003C37D3" w:rsidRPr="0014116F">
              <w:rPr>
                <w:rFonts w:cs="Arial"/>
                <w:lang w:val="en-GB"/>
              </w:rPr>
              <w:t xml:space="preserve"> (Hinton and McMurray, 2017)</w:t>
            </w:r>
            <w:r w:rsidRPr="0014116F">
              <w:rPr>
                <w:rFonts w:cs="Arial"/>
                <w:lang w:val="en-GB"/>
              </w:rPr>
              <w:t>.</w:t>
            </w:r>
          </w:p>
          <w:p w14:paraId="41E585E2" w14:textId="161B10D6" w:rsidR="00FD3C8F" w:rsidRPr="0014116F" w:rsidRDefault="00F31C79" w:rsidP="009663CA">
            <w:pPr>
              <w:spacing w:line="360" w:lineRule="auto"/>
              <w:rPr>
                <w:rFonts w:cs="Arial"/>
                <w:lang w:val="en-GB"/>
              </w:rPr>
            </w:pPr>
            <w:r w:rsidRPr="0014116F">
              <w:rPr>
                <w:rFonts w:cs="Arial"/>
                <w:lang w:val="en-GB"/>
              </w:rPr>
              <w:t xml:space="preserve">Although Tableau is easy on the eyes, mastering all of its features may need some time and effort. Users should read the documentation thoroughly to familiarise themselves with the </w:t>
            </w:r>
            <w:r w:rsidRPr="0014116F">
              <w:rPr>
                <w:rFonts w:cs="Arial"/>
                <w:lang w:val="en-GB"/>
              </w:rPr>
              <w:lastRenderedPageBreak/>
              <w:t>program's capabilities.</w:t>
            </w:r>
          </w:p>
        </w:tc>
      </w:tr>
    </w:tbl>
    <w:p w14:paraId="727437A9" w14:textId="77777777" w:rsidR="003167C0" w:rsidRPr="0014116F" w:rsidRDefault="003167C0" w:rsidP="009663CA">
      <w:pPr>
        <w:rPr>
          <w:rFonts w:cs="Arial"/>
          <w:lang w:val="en-GB"/>
        </w:rPr>
      </w:pPr>
    </w:p>
    <w:p w14:paraId="2B023544" w14:textId="396EE950" w:rsidR="007F7340" w:rsidRPr="0014116F" w:rsidRDefault="007F7340" w:rsidP="009663CA">
      <w:pPr>
        <w:pStyle w:val="Heading3"/>
        <w:rPr>
          <w:rFonts w:cs="Arial"/>
          <w:lang w:val="en-GB"/>
        </w:rPr>
      </w:pPr>
      <w:bookmarkStart w:id="16" w:name="_Toc150646876"/>
      <w:r w:rsidRPr="0014116F">
        <w:rPr>
          <w:rFonts w:cs="Arial"/>
          <w:lang w:val="en-GB"/>
        </w:rPr>
        <w:t>b) Importance of Data Governance</w:t>
      </w:r>
      <w:bookmarkEnd w:id="16"/>
    </w:p>
    <w:p w14:paraId="4A5029FE" w14:textId="1F6ACAD5" w:rsidR="0022182C" w:rsidRPr="0014116F" w:rsidRDefault="0022182C" w:rsidP="009663CA">
      <w:pPr>
        <w:rPr>
          <w:rFonts w:cs="Arial"/>
          <w:lang w:val="en-GB"/>
        </w:rPr>
      </w:pPr>
      <w:r w:rsidRPr="0014116F">
        <w:rPr>
          <w:rFonts w:cs="Arial"/>
          <w:lang w:val="en-GB"/>
        </w:rPr>
        <w:t>The concept of "data governance" refers to the systematic management and regulation of data in order to guarantee its accessibility, usefulness, reliability, and protection</w:t>
      </w:r>
      <w:r w:rsidR="003C37D3" w:rsidRPr="0014116F">
        <w:rPr>
          <w:rFonts w:cs="Arial"/>
          <w:lang w:val="en-GB"/>
        </w:rPr>
        <w:t xml:space="preserve"> (Heiny, 2018)</w:t>
      </w:r>
      <w:r w:rsidRPr="0014116F">
        <w:rPr>
          <w:rFonts w:cs="Arial"/>
          <w:lang w:val="en-GB"/>
        </w:rPr>
        <w:t xml:space="preserve">. Data governance is an essential component of a comprehensive organisational structure, as it assumes responsibility for overseeing the processes of data gathering, storage, and utilisation. Its primary objective is to guarantee the correctness, dependability, and adherence to legal and regulatory frameworks. Healthcare providers largely depend on the implementation of data governance practises to safeguard the privacy of patients' information and </w:t>
      </w:r>
      <w:r w:rsidR="009434A0" w:rsidRPr="0014116F">
        <w:rPr>
          <w:rFonts w:cs="Arial"/>
          <w:lang w:val="en-GB"/>
        </w:rPr>
        <w:t>ensure</w:t>
      </w:r>
      <w:r w:rsidRPr="0014116F">
        <w:rPr>
          <w:rFonts w:cs="Arial"/>
          <w:lang w:val="en-GB"/>
        </w:rPr>
        <w:t xml:space="preserve"> its ethical use. This strategy contributes to the maintenance of patients' confidence and compliance with HIPAA laws.</w:t>
      </w:r>
    </w:p>
    <w:p w14:paraId="0067D470" w14:textId="564A361F" w:rsidR="0022182C" w:rsidRPr="0014116F" w:rsidRDefault="009434A0" w:rsidP="009663CA">
      <w:pPr>
        <w:rPr>
          <w:rFonts w:cs="Arial"/>
          <w:b/>
          <w:bCs/>
          <w:u w:val="single"/>
          <w:lang w:val="en-GB"/>
        </w:rPr>
      </w:pPr>
      <w:r w:rsidRPr="0014116F">
        <w:rPr>
          <w:rFonts w:cs="Arial"/>
          <w:b/>
          <w:bCs/>
          <w:u w:val="single"/>
          <w:lang w:val="en-GB"/>
        </w:rPr>
        <w:t>Improved decision-making</w:t>
      </w:r>
    </w:p>
    <w:p w14:paraId="2A4D7407" w14:textId="45208460" w:rsidR="0022182C" w:rsidRPr="0014116F" w:rsidRDefault="0022182C" w:rsidP="009663CA">
      <w:pPr>
        <w:rPr>
          <w:rFonts w:cs="Arial"/>
          <w:lang w:val="en-GB"/>
        </w:rPr>
      </w:pPr>
      <w:r w:rsidRPr="0014116F">
        <w:rPr>
          <w:rFonts w:cs="Arial"/>
          <w:lang w:val="en-GB"/>
        </w:rPr>
        <w:t xml:space="preserve">The acquisition of knowledge and the capacity to make informed choices are significantly enhanced by the use of data, </w:t>
      </w:r>
      <w:r w:rsidR="009434A0" w:rsidRPr="0014116F">
        <w:rPr>
          <w:rFonts w:cs="Arial"/>
          <w:lang w:val="en-GB"/>
        </w:rPr>
        <w:t>making</w:t>
      </w:r>
      <w:r w:rsidRPr="0014116F">
        <w:rPr>
          <w:rFonts w:cs="Arial"/>
          <w:lang w:val="en-GB"/>
        </w:rPr>
        <w:t xml:space="preserve"> it an indispensable asset</w:t>
      </w:r>
      <w:r w:rsidR="003C37D3" w:rsidRPr="0014116F">
        <w:rPr>
          <w:rFonts w:cs="Arial"/>
          <w:lang w:val="en-GB"/>
        </w:rPr>
        <w:t xml:space="preserve"> (Cunningham and Aldrich, 2012)</w:t>
      </w:r>
      <w:r w:rsidRPr="0014116F">
        <w:rPr>
          <w:rFonts w:cs="Arial"/>
          <w:lang w:val="en-GB"/>
        </w:rPr>
        <w:t>. The primary objective of data governance is to maintain the integrity and accuracy of information, ensuring its completeness and currency at all times. By ensuring the presence of these attributes, enterprises may make informed choices grounded on reliable facts. The use of data governance to monitor and analyse consumer behaviour enables retail enterprises to make informed choices pertaining to marketing strategies, product innovation, and pricing strategies. This intervention serves to enhance client satisfaction and bolster sales performance.</w:t>
      </w:r>
    </w:p>
    <w:p w14:paraId="7868F1E1" w14:textId="7E11CDC2" w:rsidR="0022182C" w:rsidRPr="0014116F" w:rsidRDefault="009434A0" w:rsidP="009663CA">
      <w:pPr>
        <w:rPr>
          <w:rFonts w:cs="Arial"/>
          <w:b/>
          <w:bCs/>
          <w:u w:val="single"/>
          <w:lang w:val="en-GB"/>
        </w:rPr>
      </w:pPr>
      <w:r w:rsidRPr="0014116F">
        <w:rPr>
          <w:rFonts w:cs="Arial"/>
          <w:b/>
          <w:bCs/>
          <w:u w:val="single"/>
          <w:lang w:val="en-GB"/>
        </w:rPr>
        <w:t>Reduced risk</w:t>
      </w:r>
    </w:p>
    <w:p w14:paraId="6D143BF2" w14:textId="7E966E94" w:rsidR="0022182C" w:rsidRPr="0014116F" w:rsidRDefault="0022182C" w:rsidP="009663CA">
      <w:pPr>
        <w:rPr>
          <w:rFonts w:cs="Arial"/>
          <w:lang w:val="en-GB"/>
        </w:rPr>
      </w:pPr>
      <w:r w:rsidRPr="0014116F">
        <w:rPr>
          <w:rFonts w:cs="Arial"/>
          <w:lang w:val="en-GB"/>
        </w:rPr>
        <w:t>The implementation of effective data governance may help decrease the risks associated with data breaches, data loss, and non-compliance with legal frameworks</w:t>
      </w:r>
      <w:r w:rsidR="003C37D3" w:rsidRPr="0014116F">
        <w:rPr>
          <w:rFonts w:cs="Arial"/>
          <w:lang w:val="en-GB"/>
        </w:rPr>
        <w:t xml:space="preserve"> (Cronk, 2017)</w:t>
      </w:r>
      <w:r w:rsidRPr="0014116F">
        <w:rPr>
          <w:rFonts w:cs="Arial"/>
          <w:lang w:val="en-GB"/>
        </w:rPr>
        <w:t xml:space="preserve">. </w:t>
      </w:r>
      <w:r w:rsidRPr="0014116F">
        <w:rPr>
          <w:rFonts w:cs="Arial"/>
          <w:lang w:val="en-GB"/>
        </w:rPr>
        <w:lastRenderedPageBreak/>
        <w:t xml:space="preserve">Organisations may mitigate potential hazards and minimise cost implications by implementing comprehensive policies and </w:t>
      </w:r>
      <w:r w:rsidR="00213CD6" w:rsidRPr="0014116F">
        <w:rPr>
          <w:rFonts w:cs="Arial"/>
          <w:lang w:val="en-GB"/>
        </w:rPr>
        <w:t>practices</w:t>
      </w:r>
      <w:r w:rsidRPr="0014116F">
        <w:rPr>
          <w:rFonts w:cs="Arial"/>
          <w:lang w:val="en-GB"/>
        </w:rPr>
        <w:t xml:space="preserve"> for data management. Manufacturers use data governance </w:t>
      </w:r>
      <w:r w:rsidR="00213CD6" w:rsidRPr="0014116F">
        <w:rPr>
          <w:rFonts w:cs="Arial"/>
          <w:lang w:val="en-GB"/>
        </w:rPr>
        <w:t>practices</w:t>
      </w:r>
      <w:r w:rsidRPr="0014116F">
        <w:rPr>
          <w:rFonts w:cs="Arial"/>
          <w:lang w:val="en-GB"/>
        </w:rPr>
        <w:t xml:space="preserve"> </w:t>
      </w:r>
      <w:r w:rsidR="00C75468" w:rsidRPr="0014116F">
        <w:rPr>
          <w:rFonts w:cs="Arial"/>
          <w:lang w:val="en-GB"/>
        </w:rPr>
        <w:t>to monitor manufacturing processes effectively</w:t>
      </w:r>
      <w:r w:rsidRPr="0014116F">
        <w:rPr>
          <w:rFonts w:cs="Arial"/>
          <w:lang w:val="en-GB"/>
        </w:rPr>
        <w:t xml:space="preserve">, find potential areas for improvement, and maintain constant </w:t>
      </w:r>
      <w:r w:rsidR="001429DB" w:rsidRPr="0014116F">
        <w:rPr>
          <w:rFonts w:cs="Arial"/>
          <w:lang w:val="en-GB"/>
        </w:rPr>
        <w:t>high-quality</w:t>
      </w:r>
      <w:r w:rsidRPr="0014116F">
        <w:rPr>
          <w:rFonts w:cs="Arial"/>
          <w:lang w:val="en-GB"/>
        </w:rPr>
        <w:t xml:space="preserve"> standards for their goods. This approach facilitates the maintenance of affordable costs, enhances production, and safeguards the integrity of the end product. </w:t>
      </w:r>
    </w:p>
    <w:p w14:paraId="3C4CB2D1" w14:textId="545427FA" w:rsidR="0022182C" w:rsidRPr="0014116F" w:rsidRDefault="00A95719" w:rsidP="009663CA">
      <w:pPr>
        <w:rPr>
          <w:rFonts w:cs="Arial"/>
          <w:b/>
          <w:bCs/>
          <w:u w:val="single"/>
          <w:lang w:val="en-GB"/>
        </w:rPr>
      </w:pPr>
      <w:r w:rsidRPr="0014116F">
        <w:rPr>
          <w:rFonts w:cs="Arial"/>
          <w:b/>
          <w:bCs/>
          <w:u w:val="single"/>
          <w:lang w:val="en-GB"/>
        </w:rPr>
        <w:t>Increased efficiency</w:t>
      </w:r>
    </w:p>
    <w:p w14:paraId="6574D829" w14:textId="7656325B" w:rsidR="0022182C" w:rsidRPr="0014116F" w:rsidRDefault="0022182C" w:rsidP="009663CA">
      <w:pPr>
        <w:rPr>
          <w:rFonts w:cs="Arial"/>
          <w:lang w:val="en-GB"/>
        </w:rPr>
      </w:pPr>
      <w:r w:rsidRPr="0014116F">
        <w:rPr>
          <w:rFonts w:cs="Arial"/>
          <w:lang w:val="en-GB"/>
        </w:rPr>
        <w:t xml:space="preserve">Through the optimisation of data management procedures and the removal of superfluous stages, data governance </w:t>
      </w:r>
      <w:r w:rsidR="00D807B1" w:rsidRPr="0014116F">
        <w:rPr>
          <w:rFonts w:cs="Arial"/>
          <w:lang w:val="en-GB"/>
        </w:rPr>
        <w:t>can</w:t>
      </w:r>
      <w:r w:rsidRPr="0014116F">
        <w:rPr>
          <w:rFonts w:cs="Arial"/>
          <w:lang w:val="en-GB"/>
        </w:rPr>
        <w:t xml:space="preserve"> enhance the effectiveness of data operations</w:t>
      </w:r>
      <w:r w:rsidR="003C37D3" w:rsidRPr="0014116F">
        <w:rPr>
          <w:rFonts w:cs="Arial"/>
          <w:lang w:val="en-GB"/>
        </w:rPr>
        <w:t xml:space="preserve"> (Cronk, 2016)</w:t>
      </w:r>
      <w:r w:rsidRPr="0014116F">
        <w:rPr>
          <w:rFonts w:cs="Arial"/>
          <w:lang w:val="en-GB"/>
        </w:rPr>
        <w:t xml:space="preserve">. This has the potential to enhance production, reduce costs, and allocate resources to other essential initiatives. Government entities use data governance </w:t>
      </w:r>
      <w:r w:rsidR="00D807B1" w:rsidRPr="0014116F">
        <w:rPr>
          <w:rFonts w:cs="Arial"/>
          <w:lang w:val="en-GB"/>
        </w:rPr>
        <w:t>practices</w:t>
      </w:r>
      <w:r w:rsidRPr="0014116F">
        <w:rPr>
          <w:rFonts w:cs="Arial"/>
          <w:lang w:val="en-GB"/>
        </w:rPr>
        <w:t xml:space="preserve"> to effectively oversee the collection, retention, and distribution of confidential personal data. The objective of this initiative is to safeguard individuals' personal information and foster the ethical and conscientious use of data.</w:t>
      </w:r>
    </w:p>
    <w:p w14:paraId="4E958DBC" w14:textId="2D996965" w:rsidR="0022182C" w:rsidRPr="0014116F" w:rsidRDefault="004E666D" w:rsidP="009663CA">
      <w:pPr>
        <w:rPr>
          <w:rFonts w:cs="Arial"/>
          <w:b/>
          <w:bCs/>
          <w:u w:val="single"/>
          <w:lang w:val="en-GB"/>
        </w:rPr>
      </w:pPr>
      <w:r w:rsidRPr="0014116F">
        <w:rPr>
          <w:rFonts w:cs="Arial"/>
          <w:b/>
          <w:bCs/>
          <w:u w:val="single"/>
          <w:lang w:val="en-GB"/>
        </w:rPr>
        <w:t>Improved data quality</w:t>
      </w:r>
    </w:p>
    <w:p w14:paraId="5A6B5444" w14:textId="6FE674EC" w:rsidR="0022182C" w:rsidRPr="0014116F" w:rsidRDefault="007269A2" w:rsidP="009663CA">
      <w:pPr>
        <w:rPr>
          <w:rFonts w:cs="Arial"/>
          <w:lang w:val="en-GB"/>
        </w:rPr>
      </w:pPr>
      <w:r w:rsidRPr="0014116F">
        <w:rPr>
          <w:rFonts w:cs="Arial"/>
          <w:lang w:val="en-GB"/>
        </w:rPr>
        <w:t>T</w:t>
      </w:r>
      <w:r w:rsidR="0022182C" w:rsidRPr="0014116F">
        <w:rPr>
          <w:rFonts w:cs="Arial"/>
          <w:lang w:val="en-GB"/>
        </w:rPr>
        <w:t>o ensure the efficacy of data analytics and machine learning, the implementation of data governance is vital to maintain the veracity and precision of the used information. Through the use of standardised methods for data collecting, storage, and processing, organisations have the potential to enhance the quality and reliability of their information.</w:t>
      </w:r>
    </w:p>
    <w:p w14:paraId="628C8EEA" w14:textId="367B05B8" w:rsidR="0022182C" w:rsidRPr="0014116F" w:rsidRDefault="00B4267B" w:rsidP="009663CA">
      <w:pPr>
        <w:rPr>
          <w:rFonts w:cs="Arial"/>
          <w:b/>
          <w:bCs/>
          <w:u w:val="single"/>
          <w:lang w:val="en-GB"/>
        </w:rPr>
      </w:pPr>
      <w:r w:rsidRPr="0014116F">
        <w:rPr>
          <w:rFonts w:cs="Arial"/>
          <w:b/>
          <w:bCs/>
          <w:u w:val="single"/>
          <w:lang w:val="en-GB"/>
        </w:rPr>
        <w:t>Enhanced collaboration</w:t>
      </w:r>
    </w:p>
    <w:p w14:paraId="714FFE67" w14:textId="3CABE677" w:rsidR="007F7340" w:rsidRPr="0014116F" w:rsidRDefault="0022182C" w:rsidP="009663CA">
      <w:pPr>
        <w:rPr>
          <w:rFonts w:cs="Arial"/>
          <w:lang w:val="en-GB"/>
        </w:rPr>
      </w:pPr>
      <w:r w:rsidRPr="0014116F">
        <w:rPr>
          <w:rFonts w:cs="Arial"/>
          <w:lang w:val="en-GB"/>
        </w:rPr>
        <w:t>The implementation of data governance inside an organisation has the potential to foster cooperation across various departments and teams by cultivating a collective comprehension of data management and use</w:t>
      </w:r>
      <w:r w:rsidR="003C37D3" w:rsidRPr="0014116F">
        <w:rPr>
          <w:rFonts w:cs="Arial"/>
          <w:lang w:val="en-GB"/>
        </w:rPr>
        <w:t xml:space="preserve"> (Berson and Dubov, 201</w:t>
      </w:r>
      <w:r w:rsidR="00957C08" w:rsidRPr="0014116F">
        <w:rPr>
          <w:rFonts w:cs="Arial"/>
          <w:lang w:val="en-GB"/>
        </w:rPr>
        <w:t>2</w:t>
      </w:r>
      <w:r w:rsidR="003C37D3" w:rsidRPr="0014116F">
        <w:rPr>
          <w:rFonts w:cs="Arial"/>
          <w:lang w:val="en-GB"/>
        </w:rPr>
        <w:t>)</w:t>
      </w:r>
      <w:r w:rsidRPr="0014116F">
        <w:rPr>
          <w:rFonts w:cs="Arial"/>
          <w:lang w:val="en-GB"/>
        </w:rPr>
        <w:t xml:space="preserve">. This phenomenon </w:t>
      </w:r>
      <w:r w:rsidR="00D807B1" w:rsidRPr="0014116F">
        <w:rPr>
          <w:rFonts w:cs="Arial"/>
          <w:lang w:val="en-GB"/>
        </w:rPr>
        <w:t>can</w:t>
      </w:r>
      <w:r w:rsidRPr="0014116F">
        <w:rPr>
          <w:rFonts w:cs="Arial"/>
          <w:lang w:val="en-GB"/>
        </w:rPr>
        <w:t xml:space="preserve"> enhance interpersonal communication, improve the decision-making process, and increase overall productivity.</w:t>
      </w:r>
    </w:p>
    <w:p w14:paraId="5BD0E036" w14:textId="77366D07" w:rsidR="00106602" w:rsidRPr="0014116F" w:rsidRDefault="00106602" w:rsidP="009663CA">
      <w:pPr>
        <w:rPr>
          <w:rFonts w:cs="Arial"/>
          <w:lang w:val="en-GB"/>
        </w:rPr>
      </w:pPr>
      <w:r w:rsidRPr="0014116F">
        <w:rPr>
          <w:rFonts w:cs="Arial"/>
          <w:lang w:val="en-GB"/>
        </w:rPr>
        <w:br w:type="page"/>
      </w:r>
    </w:p>
    <w:p w14:paraId="44D26203" w14:textId="6F229591" w:rsidR="00106602" w:rsidRPr="0014116F" w:rsidRDefault="00516A15" w:rsidP="009663CA">
      <w:pPr>
        <w:pStyle w:val="Heading1"/>
        <w:rPr>
          <w:rFonts w:cs="Arial"/>
          <w:lang w:val="en-GB"/>
        </w:rPr>
      </w:pPr>
      <w:bookmarkStart w:id="17" w:name="_Toc150646877"/>
      <w:r w:rsidRPr="0014116F">
        <w:rPr>
          <w:rFonts w:cs="Arial"/>
          <w:lang w:val="en-GB"/>
        </w:rPr>
        <w:lastRenderedPageBreak/>
        <w:t>References</w:t>
      </w:r>
      <w:bookmarkEnd w:id="17"/>
    </w:p>
    <w:p w14:paraId="56E813B6" w14:textId="5F9C8E4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Berson, A. and Dubov, L. (201</w:t>
      </w:r>
      <w:r w:rsidR="009C6E7E" w:rsidRPr="0014116F">
        <w:rPr>
          <w:rFonts w:cs="Arial"/>
          <w:lang w:val="en-GB"/>
        </w:rPr>
        <w:t>2</w:t>
      </w:r>
      <w:r w:rsidRPr="0014116F">
        <w:rPr>
          <w:rFonts w:cs="Arial"/>
          <w:lang w:val="en-GB"/>
        </w:rPr>
        <w:t xml:space="preserve">). </w:t>
      </w:r>
      <w:r w:rsidRPr="0014116F">
        <w:rPr>
          <w:rFonts w:cs="Arial"/>
          <w:i/>
          <w:iCs/>
          <w:lang w:val="en-GB"/>
        </w:rPr>
        <w:t>Master data management and data governance</w:t>
      </w:r>
      <w:r w:rsidRPr="0014116F">
        <w:rPr>
          <w:rFonts w:cs="Arial"/>
          <w:lang w:val="en-GB"/>
        </w:rPr>
        <w:t>. New York: McGraw-Hill.</w:t>
      </w:r>
    </w:p>
    <w:p w14:paraId="20491AF7"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Cronk, B.C. (2016). </w:t>
      </w:r>
      <w:r w:rsidRPr="0014116F">
        <w:rPr>
          <w:rFonts w:cs="Arial"/>
          <w:i/>
          <w:iCs/>
          <w:lang w:val="en-GB"/>
        </w:rPr>
        <w:t>How to Use IBM SPSS Statistics: a Step-By-Step Guide to Analysis and Interpretation</w:t>
      </w:r>
      <w:r w:rsidRPr="0014116F">
        <w:rPr>
          <w:rFonts w:cs="Arial"/>
          <w:lang w:val="en-GB"/>
        </w:rPr>
        <w:t>. Los Angeles: Taylor and Francis.</w:t>
      </w:r>
    </w:p>
    <w:p w14:paraId="2F9C3426"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Cronk, B.C. (2017). </w:t>
      </w:r>
      <w:r w:rsidRPr="0014116F">
        <w:rPr>
          <w:rFonts w:cs="Arial"/>
          <w:i/>
          <w:iCs/>
          <w:lang w:val="en-GB"/>
        </w:rPr>
        <w:t>How to Use SPSS®</w:t>
      </w:r>
      <w:r w:rsidRPr="0014116F">
        <w:rPr>
          <w:rFonts w:cs="Arial"/>
          <w:lang w:val="en-GB"/>
        </w:rPr>
        <w:t>. Routledge.</w:t>
      </w:r>
    </w:p>
    <w:p w14:paraId="1689550C"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Cunningham, J.B. and Aldrich, J.O. (2012). </w:t>
      </w:r>
      <w:r w:rsidRPr="0014116F">
        <w:rPr>
          <w:rFonts w:cs="Arial"/>
          <w:i/>
          <w:iCs/>
          <w:lang w:val="en-GB"/>
        </w:rPr>
        <w:t>Using SPSS: an interactive, hands-on approach</w:t>
      </w:r>
      <w:r w:rsidRPr="0014116F">
        <w:rPr>
          <w:rFonts w:cs="Arial"/>
          <w:lang w:val="en-GB"/>
        </w:rPr>
        <w:t>. Thousand Oaks, Calif.: Sage.</w:t>
      </w:r>
    </w:p>
    <w:p w14:paraId="2D906C86"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Heiny, K. (2018). </w:t>
      </w:r>
      <w:r w:rsidRPr="0014116F">
        <w:rPr>
          <w:rFonts w:cs="Arial"/>
          <w:i/>
          <w:iCs/>
          <w:lang w:val="en-GB"/>
        </w:rPr>
        <w:t>Standard Deviation</w:t>
      </w:r>
      <w:r w:rsidRPr="0014116F">
        <w:rPr>
          <w:rFonts w:cs="Arial"/>
          <w:lang w:val="en-GB"/>
        </w:rPr>
        <w:t>. New York: Vintage Books, A Division Of Penguin Random House Llc.</w:t>
      </w:r>
    </w:p>
    <w:p w14:paraId="18A02F3E"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Hinton, P.R. and McMurray, I. (2017). </w:t>
      </w:r>
      <w:r w:rsidRPr="0014116F">
        <w:rPr>
          <w:rFonts w:cs="Arial"/>
          <w:i/>
          <w:iCs/>
          <w:lang w:val="en-GB"/>
        </w:rPr>
        <w:t>Presenting Your Data with SPSS Explained</w:t>
      </w:r>
      <w:r w:rsidRPr="0014116F">
        <w:rPr>
          <w:rFonts w:cs="Arial"/>
          <w:lang w:val="en-GB"/>
        </w:rPr>
        <w:t>. Routledge.</w:t>
      </w:r>
    </w:p>
    <w:p w14:paraId="544119D7"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Linoff, G. (2016). </w:t>
      </w:r>
      <w:r w:rsidRPr="0014116F">
        <w:rPr>
          <w:rFonts w:cs="Arial"/>
          <w:i/>
          <w:iCs/>
          <w:lang w:val="en-GB"/>
        </w:rPr>
        <w:t>Data analysis using SQL and Excel</w:t>
      </w:r>
      <w:r w:rsidRPr="0014116F">
        <w:rPr>
          <w:rFonts w:cs="Arial"/>
          <w:lang w:val="en-GB"/>
        </w:rPr>
        <w:t>. Indianapolis, In: John Wiley And Sons.</w:t>
      </w:r>
    </w:p>
    <w:p w14:paraId="60892F69"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Lokesh Jasrai (2020). </w:t>
      </w:r>
      <w:r w:rsidRPr="0014116F">
        <w:rPr>
          <w:rFonts w:cs="Arial"/>
          <w:i/>
          <w:iCs/>
          <w:lang w:val="en-GB"/>
        </w:rPr>
        <w:t>Data analysis using SPSS</w:t>
      </w:r>
      <w:r w:rsidRPr="0014116F">
        <w:rPr>
          <w:rFonts w:cs="Arial"/>
          <w:lang w:val="en-GB"/>
        </w:rPr>
        <w:t>. Los Angeles: Sage.</w:t>
      </w:r>
    </w:p>
    <w:p w14:paraId="09ECB4FA"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Madsen, L. (2019). </w:t>
      </w:r>
      <w:r w:rsidRPr="0014116F">
        <w:rPr>
          <w:rFonts w:cs="Arial"/>
          <w:i/>
          <w:iCs/>
          <w:lang w:val="en-GB"/>
        </w:rPr>
        <w:t>Disrupting Data Governance</w:t>
      </w:r>
      <w:r w:rsidRPr="0014116F">
        <w:rPr>
          <w:rFonts w:cs="Arial"/>
          <w:lang w:val="en-GB"/>
        </w:rPr>
        <w:t>.</w:t>
      </w:r>
    </w:p>
    <w:p w14:paraId="58E78886" w14:textId="0D577C59"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Meyers, L.S., Gamst, G.C. and Guarino, A.J. (2013). </w:t>
      </w:r>
      <w:r w:rsidRPr="0014116F">
        <w:rPr>
          <w:rFonts w:cs="Arial"/>
          <w:i/>
          <w:iCs/>
          <w:lang w:val="en-GB"/>
        </w:rPr>
        <w:t>Performing data analysis using IBM SPSS</w:t>
      </w:r>
      <w:r w:rsidRPr="0014116F">
        <w:rPr>
          <w:rFonts w:cs="Arial"/>
          <w:lang w:val="en-GB"/>
        </w:rPr>
        <w:t>. Hoboken, New Jersey: Wiley.</w:t>
      </w:r>
    </w:p>
    <w:p w14:paraId="133788F8"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Mood, D.P. and Morrow, J.R. (2017). </w:t>
      </w:r>
      <w:r w:rsidRPr="0014116F">
        <w:rPr>
          <w:rFonts w:cs="Arial"/>
          <w:i/>
          <w:iCs/>
          <w:lang w:val="en-GB"/>
        </w:rPr>
        <w:t>Introduction to Statistics in Human Performance</w:t>
      </w:r>
      <w:r w:rsidRPr="0014116F">
        <w:rPr>
          <w:rFonts w:cs="Arial"/>
          <w:lang w:val="en-GB"/>
        </w:rPr>
        <w:t>. Taylor &amp; Francis.</w:t>
      </w:r>
    </w:p>
    <w:p w14:paraId="548E4378"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Nigam Manisha (2020). </w:t>
      </w:r>
      <w:r w:rsidRPr="0014116F">
        <w:rPr>
          <w:rFonts w:cs="Arial"/>
          <w:i/>
          <w:iCs/>
          <w:lang w:val="en-GB"/>
        </w:rPr>
        <w:t>Advanced Analytics with Excel 2019</w:t>
      </w:r>
      <w:r w:rsidRPr="0014116F">
        <w:rPr>
          <w:rFonts w:cs="Arial"/>
          <w:lang w:val="en-GB"/>
        </w:rPr>
        <w:t>. BPB Publications.</w:t>
      </w:r>
    </w:p>
    <w:p w14:paraId="70BF4754" w14:textId="44922615"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Roebuck, K. (201</w:t>
      </w:r>
      <w:r w:rsidR="00B97676" w:rsidRPr="0014116F">
        <w:rPr>
          <w:rFonts w:cs="Arial"/>
          <w:lang w:val="en-GB"/>
        </w:rPr>
        <w:t>3</w:t>
      </w:r>
      <w:r w:rsidRPr="0014116F">
        <w:rPr>
          <w:rFonts w:cs="Arial"/>
          <w:lang w:val="en-GB"/>
        </w:rPr>
        <w:t xml:space="preserve">). </w:t>
      </w:r>
      <w:r w:rsidRPr="0014116F">
        <w:rPr>
          <w:rFonts w:cs="Arial"/>
          <w:i/>
          <w:iCs/>
          <w:lang w:val="en-GB"/>
        </w:rPr>
        <w:t>Data Governance: High-impact Strategies - What You Need to Know</w:t>
      </w:r>
      <w:r w:rsidRPr="0014116F">
        <w:rPr>
          <w:rFonts w:cs="Arial"/>
          <w:lang w:val="en-GB"/>
        </w:rPr>
        <w:t>. Tebbo.</w:t>
      </w:r>
    </w:p>
    <w:p w14:paraId="75206191"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Roni, S.M. and Djajadikerta, H.G. (2021). </w:t>
      </w:r>
      <w:r w:rsidRPr="0014116F">
        <w:rPr>
          <w:rFonts w:cs="Arial"/>
          <w:i/>
          <w:iCs/>
          <w:lang w:val="en-GB"/>
        </w:rPr>
        <w:t>Data Analysis with SPSS for Survey-based Research</w:t>
      </w:r>
      <w:r w:rsidRPr="0014116F">
        <w:rPr>
          <w:rFonts w:cs="Arial"/>
          <w:lang w:val="en-GB"/>
        </w:rPr>
        <w:t>. Singapore: Springer Singapore.</w:t>
      </w:r>
    </w:p>
    <w:p w14:paraId="764BE1D9"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Seiner, R. (2014). </w:t>
      </w:r>
      <w:r w:rsidRPr="0014116F">
        <w:rPr>
          <w:rFonts w:cs="Arial"/>
          <w:i/>
          <w:iCs/>
          <w:lang w:val="en-GB"/>
        </w:rPr>
        <w:t>Non-Invasive Data Governance: The Path of Least Resistance and Greatest Success.</w:t>
      </w:r>
    </w:p>
    <w:p w14:paraId="58242A81"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Shanthi R (2019). </w:t>
      </w:r>
      <w:r w:rsidRPr="0014116F">
        <w:rPr>
          <w:rFonts w:cs="Arial"/>
          <w:i/>
          <w:iCs/>
          <w:lang w:val="en-GB"/>
        </w:rPr>
        <w:t>Multivariate Data Analysis</w:t>
      </w:r>
      <w:r w:rsidRPr="0014116F">
        <w:rPr>
          <w:rFonts w:cs="Arial"/>
          <w:lang w:val="en-GB"/>
        </w:rPr>
        <w:t>. Mjp Publishers.</w:t>
      </w:r>
    </w:p>
    <w:p w14:paraId="7E7F8D9F"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Slavio, J. (2019). </w:t>
      </w:r>
      <w:r w:rsidRPr="0014116F">
        <w:rPr>
          <w:rFonts w:cs="Arial"/>
          <w:i/>
          <w:iCs/>
          <w:lang w:val="en-GB"/>
        </w:rPr>
        <w:t>Microsoft Excel</w:t>
      </w:r>
      <w:r w:rsidRPr="0014116F">
        <w:rPr>
          <w:rFonts w:cs="Arial"/>
          <w:lang w:val="en-GB"/>
        </w:rPr>
        <w:t>.</w:t>
      </w:r>
    </w:p>
    <w:p w14:paraId="7E690924" w14:textId="5D098FE3"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Tolmie, A., Muijs, D. and Mcateer, E. (201</w:t>
      </w:r>
      <w:r w:rsidR="004D0E20" w:rsidRPr="0014116F">
        <w:rPr>
          <w:rFonts w:cs="Arial"/>
          <w:lang w:val="en-GB"/>
        </w:rPr>
        <w:t>2</w:t>
      </w:r>
      <w:r w:rsidRPr="0014116F">
        <w:rPr>
          <w:rFonts w:cs="Arial"/>
          <w:lang w:val="en-GB"/>
        </w:rPr>
        <w:t xml:space="preserve">). </w:t>
      </w:r>
      <w:r w:rsidRPr="0014116F">
        <w:rPr>
          <w:rFonts w:cs="Arial"/>
          <w:i/>
          <w:iCs/>
          <w:lang w:val="en-GB"/>
        </w:rPr>
        <w:t>Quantitative methods in educational and social research using SPSS</w:t>
      </w:r>
      <w:r w:rsidRPr="0014116F">
        <w:rPr>
          <w:rFonts w:cs="Arial"/>
          <w:lang w:val="en-GB"/>
        </w:rPr>
        <w:t>. Maidenhead: Open University Press.</w:t>
      </w:r>
    </w:p>
    <w:p w14:paraId="1E909800"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lastRenderedPageBreak/>
        <w:t xml:space="preserve">Verma, J.P. (2013). </w:t>
      </w:r>
      <w:r w:rsidRPr="0014116F">
        <w:rPr>
          <w:rFonts w:cs="Arial"/>
          <w:i/>
          <w:iCs/>
          <w:lang w:val="en-GB"/>
        </w:rPr>
        <w:t>Data Analysis in Management with SPSS Software</w:t>
      </w:r>
      <w:r w:rsidRPr="0014116F">
        <w:rPr>
          <w:rFonts w:cs="Arial"/>
          <w:lang w:val="en-GB"/>
        </w:rPr>
        <w:t>. New Delhi: Springer India.</w:t>
      </w:r>
    </w:p>
    <w:p w14:paraId="2C23FD76" w14:textId="77777777" w:rsidR="00762316" w:rsidRPr="0014116F" w:rsidRDefault="00762316" w:rsidP="00CB76A9">
      <w:pPr>
        <w:pStyle w:val="NormalWeb"/>
        <w:spacing w:before="120" w:beforeAutospacing="0" w:after="120" w:afterAutospacing="0" w:line="360" w:lineRule="auto"/>
        <w:jc w:val="both"/>
        <w:rPr>
          <w:rFonts w:cs="Arial"/>
          <w:lang w:val="en-GB"/>
        </w:rPr>
      </w:pPr>
      <w:r w:rsidRPr="0014116F">
        <w:rPr>
          <w:rFonts w:cs="Arial"/>
          <w:lang w:val="en-GB"/>
        </w:rPr>
        <w:t xml:space="preserve">Verma, J.P. and Verma, P. (2023). </w:t>
      </w:r>
      <w:r w:rsidRPr="0014116F">
        <w:rPr>
          <w:rFonts w:cs="Arial"/>
          <w:i/>
          <w:iCs/>
          <w:lang w:val="en-GB"/>
        </w:rPr>
        <w:t>Understanding Structural Equation Modeling</w:t>
      </w:r>
      <w:r w:rsidRPr="0014116F">
        <w:rPr>
          <w:rFonts w:cs="Arial"/>
          <w:lang w:val="en-GB"/>
        </w:rPr>
        <w:t>. Springer Nature.</w:t>
      </w:r>
    </w:p>
    <w:p w14:paraId="10FDD62E" w14:textId="77777777" w:rsidR="00516A15" w:rsidRPr="0014116F" w:rsidRDefault="00516A15" w:rsidP="009663CA">
      <w:pPr>
        <w:rPr>
          <w:rFonts w:cs="Arial"/>
          <w:lang w:val="en-GB"/>
        </w:rPr>
      </w:pPr>
    </w:p>
    <w:sectPr w:rsidR="00516A15" w:rsidRPr="0014116F" w:rsidSect="00D20C59">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49E86" w14:textId="77777777" w:rsidR="00105356" w:rsidRDefault="00105356" w:rsidP="00EE2AB1">
      <w:pPr>
        <w:spacing w:before="0" w:after="0" w:line="240" w:lineRule="auto"/>
      </w:pPr>
      <w:r>
        <w:separator/>
      </w:r>
    </w:p>
  </w:endnote>
  <w:endnote w:type="continuationSeparator" w:id="0">
    <w:p w14:paraId="3143F233" w14:textId="77777777" w:rsidR="00105356" w:rsidRDefault="00105356" w:rsidP="00EE2A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895786"/>
      <w:docPartObj>
        <w:docPartGallery w:val="Page Numbers (Bottom of Page)"/>
        <w:docPartUnique/>
      </w:docPartObj>
    </w:sdtPr>
    <w:sdtEndPr>
      <w:rPr>
        <w:noProof/>
      </w:rPr>
    </w:sdtEndPr>
    <w:sdtContent>
      <w:p w14:paraId="13ADFEA7" w14:textId="7E25FED9" w:rsidR="00B311A6" w:rsidRDefault="00B31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3E1B3D" w14:textId="77777777" w:rsidR="00EE2AB1" w:rsidRDefault="00EE2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ABBC6" w14:textId="77777777" w:rsidR="00105356" w:rsidRDefault="00105356" w:rsidP="00EE2AB1">
      <w:pPr>
        <w:spacing w:before="0" w:after="0" w:line="240" w:lineRule="auto"/>
      </w:pPr>
      <w:r>
        <w:separator/>
      </w:r>
    </w:p>
  </w:footnote>
  <w:footnote w:type="continuationSeparator" w:id="0">
    <w:p w14:paraId="4917C4DD" w14:textId="77777777" w:rsidR="00105356" w:rsidRDefault="00105356" w:rsidP="00EE2A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12417"/>
    <w:multiLevelType w:val="hybridMultilevel"/>
    <w:tmpl w:val="715EB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2356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0sLA0MTU3MTczszRT0lEKTi0uzszPAykwrgUACRgEyiwAAAA="/>
  </w:docVars>
  <w:rsids>
    <w:rsidRoot w:val="00370F67"/>
    <w:rsid w:val="0000014E"/>
    <w:rsid w:val="0000504D"/>
    <w:rsid w:val="0001486D"/>
    <w:rsid w:val="00016C68"/>
    <w:rsid w:val="000228C3"/>
    <w:rsid w:val="0003470B"/>
    <w:rsid w:val="0003564A"/>
    <w:rsid w:val="000411AE"/>
    <w:rsid w:val="00060F52"/>
    <w:rsid w:val="00061342"/>
    <w:rsid w:val="00066FF4"/>
    <w:rsid w:val="000730DE"/>
    <w:rsid w:val="00092E59"/>
    <w:rsid w:val="000942FF"/>
    <w:rsid w:val="000A0536"/>
    <w:rsid w:val="000A260F"/>
    <w:rsid w:val="000B296F"/>
    <w:rsid w:val="000B47F3"/>
    <w:rsid w:val="000B6053"/>
    <w:rsid w:val="000C42DB"/>
    <w:rsid w:val="000D58F6"/>
    <w:rsid w:val="00100693"/>
    <w:rsid w:val="00105356"/>
    <w:rsid w:val="00106602"/>
    <w:rsid w:val="0014116F"/>
    <w:rsid w:val="001420DF"/>
    <w:rsid w:val="001429DB"/>
    <w:rsid w:val="0016377C"/>
    <w:rsid w:val="00166FE0"/>
    <w:rsid w:val="00167FC9"/>
    <w:rsid w:val="00181C8C"/>
    <w:rsid w:val="00181D48"/>
    <w:rsid w:val="00190BC4"/>
    <w:rsid w:val="00196F5D"/>
    <w:rsid w:val="001C161C"/>
    <w:rsid w:val="001E57FB"/>
    <w:rsid w:val="001E6F34"/>
    <w:rsid w:val="001E7381"/>
    <w:rsid w:val="00213CD6"/>
    <w:rsid w:val="00216972"/>
    <w:rsid w:val="0022182C"/>
    <w:rsid w:val="002228F5"/>
    <w:rsid w:val="00223FF6"/>
    <w:rsid w:val="00236666"/>
    <w:rsid w:val="002461BD"/>
    <w:rsid w:val="00272895"/>
    <w:rsid w:val="00282567"/>
    <w:rsid w:val="00283921"/>
    <w:rsid w:val="00287ADB"/>
    <w:rsid w:val="00292166"/>
    <w:rsid w:val="002B1714"/>
    <w:rsid w:val="002B217F"/>
    <w:rsid w:val="002B704B"/>
    <w:rsid w:val="002C3B7A"/>
    <w:rsid w:val="002C4CE9"/>
    <w:rsid w:val="002C562A"/>
    <w:rsid w:val="003128F4"/>
    <w:rsid w:val="00313939"/>
    <w:rsid w:val="00314B01"/>
    <w:rsid w:val="003167C0"/>
    <w:rsid w:val="00327919"/>
    <w:rsid w:val="0033359D"/>
    <w:rsid w:val="00367F5A"/>
    <w:rsid w:val="00370F67"/>
    <w:rsid w:val="003742DF"/>
    <w:rsid w:val="0038474E"/>
    <w:rsid w:val="00386410"/>
    <w:rsid w:val="00387CC0"/>
    <w:rsid w:val="003902B8"/>
    <w:rsid w:val="003A1177"/>
    <w:rsid w:val="003C37D3"/>
    <w:rsid w:val="003D0472"/>
    <w:rsid w:val="003D1587"/>
    <w:rsid w:val="003D4294"/>
    <w:rsid w:val="003F1980"/>
    <w:rsid w:val="00427A79"/>
    <w:rsid w:val="00441207"/>
    <w:rsid w:val="0046075A"/>
    <w:rsid w:val="0046079B"/>
    <w:rsid w:val="00466EFC"/>
    <w:rsid w:val="00470025"/>
    <w:rsid w:val="00473F8F"/>
    <w:rsid w:val="00477414"/>
    <w:rsid w:val="004775A9"/>
    <w:rsid w:val="0049034C"/>
    <w:rsid w:val="004A5210"/>
    <w:rsid w:val="004B5D72"/>
    <w:rsid w:val="004B7064"/>
    <w:rsid w:val="004C5069"/>
    <w:rsid w:val="004D0E20"/>
    <w:rsid w:val="004D10DC"/>
    <w:rsid w:val="004D7A35"/>
    <w:rsid w:val="004E666D"/>
    <w:rsid w:val="004F4594"/>
    <w:rsid w:val="00501013"/>
    <w:rsid w:val="0050150E"/>
    <w:rsid w:val="00504802"/>
    <w:rsid w:val="00507398"/>
    <w:rsid w:val="00515713"/>
    <w:rsid w:val="00516A15"/>
    <w:rsid w:val="0051747B"/>
    <w:rsid w:val="00525AF4"/>
    <w:rsid w:val="005266D0"/>
    <w:rsid w:val="005313CB"/>
    <w:rsid w:val="005378A1"/>
    <w:rsid w:val="00543D5E"/>
    <w:rsid w:val="005474DC"/>
    <w:rsid w:val="005548E3"/>
    <w:rsid w:val="00560A17"/>
    <w:rsid w:val="005652BB"/>
    <w:rsid w:val="0057605F"/>
    <w:rsid w:val="00590D6F"/>
    <w:rsid w:val="005967BA"/>
    <w:rsid w:val="0059721D"/>
    <w:rsid w:val="005C6F0B"/>
    <w:rsid w:val="005D1F5D"/>
    <w:rsid w:val="005D2B33"/>
    <w:rsid w:val="005E286A"/>
    <w:rsid w:val="006224F1"/>
    <w:rsid w:val="006431D3"/>
    <w:rsid w:val="00665BF3"/>
    <w:rsid w:val="006761F0"/>
    <w:rsid w:val="00695ED7"/>
    <w:rsid w:val="006A077F"/>
    <w:rsid w:val="006E0C6B"/>
    <w:rsid w:val="006F0F55"/>
    <w:rsid w:val="007079C3"/>
    <w:rsid w:val="00713F66"/>
    <w:rsid w:val="00717377"/>
    <w:rsid w:val="007269A2"/>
    <w:rsid w:val="00727607"/>
    <w:rsid w:val="0073020E"/>
    <w:rsid w:val="0073581F"/>
    <w:rsid w:val="00736B1C"/>
    <w:rsid w:val="00740CB4"/>
    <w:rsid w:val="00762316"/>
    <w:rsid w:val="00762AEF"/>
    <w:rsid w:val="00762CD0"/>
    <w:rsid w:val="0076425C"/>
    <w:rsid w:val="00766199"/>
    <w:rsid w:val="0076765D"/>
    <w:rsid w:val="0077700B"/>
    <w:rsid w:val="00783CFB"/>
    <w:rsid w:val="007A155B"/>
    <w:rsid w:val="007A3642"/>
    <w:rsid w:val="007F7340"/>
    <w:rsid w:val="0080028E"/>
    <w:rsid w:val="00817B8D"/>
    <w:rsid w:val="00822F80"/>
    <w:rsid w:val="00841243"/>
    <w:rsid w:val="0084364B"/>
    <w:rsid w:val="008503AB"/>
    <w:rsid w:val="00854DD7"/>
    <w:rsid w:val="00880543"/>
    <w:rsid w:val="00880BB2"/>
    <w:rsid w:val="008841C0"/>
    <w:rsid w:val="008B0E42"/>
    <w:rsid w:val="008B6E29"/>
    <w:rsid w:val="008C173F"/>
    <w:rsid w:val="008C766C"/>
    <w:rsid w:val="008E09F4"/>
    <w:rsid w:val="008E315A"/>
    <w:rsid w:val="008F1454"/>
    <w:rsid w:val="008F4468"/>
    <w:rsid w:val="0090453D"/>
    <w:rsid w:val="00934B93"/>
    <w:rsid w:val="009434A0"/>
    <w:rsid w:val="00950256"/>
    <w:rsid w:val="00957C08"/>
    <w:rsid w:val="009663CA"/>
    <w:rsid w:val="00977F25"/>
    <w:rsid w:val="00983FC0"/>
    <w:rsid w:val="00987516"/>
    <w:rsid w:val="00990C5C"/>
    <w:rsid w:val="009944DC"/>
    <w:rsid w:val="00994BEC"/>
    <w:rsid w:val="009974B6"/>
    <w:rsid w:val="009A7BE6"/>
    <w:rsid w:val="009B34C9"/>
    <w:rsid w:val="009B4BB9"/>
    <w:rsid w:val="009C6E7E"/>
    <w:rsid w:val="009D1CA8"/>
    <w:rsid w:val="009E36D7"/>
    <w:rsid w:val="00A01C9C"/>
    <w:rsid w:val="00A05877"/>
    <w:rsid w:val="00A155C3"/>
    <w:rsid w:val="00A22ED1"/>
    <w:rsid w:val="00A42E0D"/>
    <w:rsid w:val="00A44125"/>
    <w:rsid w:val="00A55D43"/>
    <w:rsid w:val="00A649E8"/>
    <w:rsid w:val="00A76B52"/>
    <w:rsid w:val="00A90DFF"/>
    <w:rsid w:val="00A92E39"/>
    <w:rsid w:val="00A95719"/>
    <w:rsid w:val="00AA7CF6"/>
    <w:rsid w:val="00AB757A"/>
    <w:rsid w:val="00AE28BF"/>
    <w:rsid w:val="00AF0B55"/>
    <w:rsid w:val="00AF7637"/>
    <w:rsid w:val="00B02747"/>
    <w:rsid w:val="00B223DC"/>
    <w:rsid w:val="00B310EA"/>
    <w:rsid w:val="00B311A6"/>
    <w:rsid w:val="00B4267B"/>
    <w:rsid w:val="00B50587"/>
    <w:rsid w:val="00B507D4"/>
    <w:rsid w:val="00B51498"/>
    <w:rsid w:val="00B719DB"/>
    <w:rsid w:val="00B7671D"/>
    <w:rsid w:val="00B941CD"/>
    <w:rsid w:val="00B974C1"/>
    <w:rsid w:val="00B97676"/>
    <w:rsid w:val="00BA054D"/>
    <w:rsid w:val="00BB4170"/>
    <w:rsid w:val="00BC4306"/>
    <w:rsid w:val="00BC4DD1"/>
    <w:rsid w:val="00BD0A74"/>
    <w:rsid w:val="00BD1745"/>
    <w:rsid w:val="00BD4DB3"/>
    <w:rsid w:val="00BE1BCB"/>
    <w:rsid w:val="00BE3A56"/>
    <w:rsid w:val="00BF0439"/>
    <w:rsid w:val="00BF391E"/>
    <w:rsid w:val="00BF7652"/>
    <w:rsid w:val="00C011AF"/>
    <w:rsid w:val="00C0646E"/>
    <w:rsid w:val="00C34D09"/>
    <w:rsid w:val="00C536D5"/>
    <w:rsid w:val="00C75468"/>
    <w:rsid w:val="00C7558F"/>
    <w:rsid w:val="00C83456"/>
    <w:rsid w:val="00C952FB"/>
    <w:rsid w:val="00CA0E5F"/>
    <w:rsid w:val="00CA1DED"/>
    <w:rsid w:val="00CA3B39"/>
    <w:rsid w:val="00CA442C"/>
    <w:rsid w:val="00CB76A9"/>
    <w:rsid w:val="00CC03BB"/>
    <w:rsid w:val="00CD78CB"/>
    <w:rsid w:val="00D151E8"/>
    <w:rsid w:val="00D20C59"/>
    <w:rsid w:val="00D24CFB"/>
    <w:rsid w:val="00D26998"/>
    <w:rsid w:val="00D26D3D"/>
    <w:rsid w:val="00D36744"/>
    <w:rsid w:val="00D46FB5"/>
    <w:rsid w:val="00D56598"/>
    <w:rsid w:val="00D67085"/>
    <w:rsid w:val="00D74812"/>
    <w:rsid w:val="00D77AF7"/>
    <w:rsid w:val="00D803E2"/>
    <w:rsid w:val="00D807B1"/>
    <w:rsid w:val="00D85E95"/>
    <w:rsid w:val="00D86BE5"/>
    <w:rsid w:val="00D8759C"/>
    <w:rsid w:val="00D91560"/>
    <w:rsid w:val="00D92FCE"/>
    <w:rsid w:val="00DA6D27"/>
    <w:rsid w:val="00DB133D"/>
    <w:rsid w:val="00DB3A44"/>
    <w:rsid w:val="00DB40E1"/>
    <w:rsid w:val="00DB69CF"/>
    <w:rsid w:val="00DC2B23"/>
    <w:rsid w:val="00DC6EB9"/>
    <w:rsid w:val="00DC79C2"/>
    <w:rsid w:val="00DD1D7B"/>
    <w:rsid w:val="00DF6147"/>
    <w:rsid w:val="00E15B2C"/>
    <w:rsid w:val="00E23594"/>
    <w:rsid w:val="00E3754F"/>
    <w:rsid w:val="00E54CD7"/>
    <w:rsid w:val="00E74286"/>
    <w:rsid w:val="00E8749D"/>
    <w:rsid w:val="00E96695"/>
    <w:rsid w:val="00EB2D94"/>
    <w:rsid w:val="00EC3368"/>
    <w:rsid w:val="00EE0A9E"/>
    <w:rsid w:val="00EE2A13"/>
    <w:rsid w:val="00EE2AB1"/>
    <w:rsid w:val="00EE76F0"/>
    <w:rsid w:val="00F31C79"/>
    <w:rsid w:val="00F37892"/>
    <w:rsid w:val="00F440DD"/>
    <w:rsid w:val="00F513F3"/>
    <w:rsid w:val="00F84626"/>
    <w:rsid w:val="00F84878"/>
    <w:rsid w:val="00F86919"/>
    <w:rsid w:val="00F87E72"/>
    <w:rsid w:val="00F93882"/>
    <w:rsid w:val="00FA21B4"/>
    <w:rsid w:val="00FD3C8F"/>
    <w:rsid w:val="00FE61E5"/>
    <w:rsid w:val="00FF01E2"/>
    <w:rsid w:val="00FF1E6C"/>
    <w:rsid w:val="00FF2A21"/>
    <w:rsid w:val="00FF4B92"/>
    <w:rsid w:val="00FF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E87FC"/>
  <w15:chartTrackingRefBased/>
  <w15:docId w15:val="{DE559350-6EC4-45EC-BED0-FF9192B3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kern w:val="2"/>
        <w:sz w:val="22"/>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96695"/>
    <w:pPr>
      <w:keepNext/>
      <w:keepLines/>
      <w:outlineLvl w:val="0"/>
    </w:pPr>
    <w:rPr>
      <w:rFonts w:eastAsiaTheme="majorEastAsia" w:cstheme="majorBidi"/>
      <w:b/>
      <w:bCs/>
      <w:color w:val="0D0D0D" w:themeColor="text1" w:themeTint="F2"/>
      <w:sz w:val="32"/>
      <w:szCs w:val="28"/>
    </w:rPr>
  </w:style>
  <w:style w:type="paragraph" w:styleId="Heading2">
    <w:name w:val="heading 2"/>
    <w:basedOn w:val="Normal"/>
    <w:next w:val="Normal"/>
    <w:link w:val="Heading2Char"/>
    <w:autoRedefine/>
    <w:uiPriority w:val="9"/>
    <w:unhideWhenUsed/>
    <w:qFormat/>
    <w:rsid w:val="00CA1DED"/>
    <w:pPr>
      <w:keepNext/>
      <w:keepLines/>
      <w:outlineLvl w:val="1"/>
    </w:pPr>
    <w:rPr>
      <w:rFonts w:eastAsiaTheme="majorEastAsia" w:cstheme="majorBidi"/>
      <w:bCs/>
      <w:color w:val="365F91" w:themeColor="accent1" w:themeShade="BF"/>
      <w:sz w:val="28"/>
      <w:szCs w:val="26"/>
    </w:rPr>
  </w:style>
  <w:style w:type="paragraph" w:styleId="Heading3">
    <w:name w:val="heading 3"/>
    <w:basedOn w:val="Normal"/>
    <w:next w:val="Normal"/>
    <w:link w:val="Heading3Char"/>
    <w:autoRedefine/>
    <w:uiPriority w:val="9"/>
    <w:unhideWhenUsed/>
    <w:qFormat/>
    <w:rsid w:val="0076765D"/>
    <w:pPr>
      <w:keepNext/>
      <w:keepLines/>
      <w:outlineLvl w:val="2"/>
    </w:pPr>
    <w:rPr>
      <w:rFonts w:eastAsiaTheme="majorEastAsia" w:cstheme="majorBidi"/>
      <w:bCs/>
      <w:color w:val="943634" w:themeColor="accen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695"/>
    <w:rPr>
      <w:rFonts w:eastAsiaTheme="majorEastAsia" w:cstheme="majorBidi"/>
      <w:b/>
      <w:bCs/>
      <w:color w:val="0D0D0D" w:themeColor="text1" w:themeTint="F2"/>
      <w:sz w:val="32"/>
      <w:szCs w:val="28"/>
    </w:rPr>
  </w:style>
  <w:style w:type="character" w:customStyle="1" w:styleId="Heading2Char">
    <w:name w:val="Heading 2 Char"/>
    <w:basedOn w:val="DefaultParagraphFont"/>
    <w:link w:val="Heading2"/>
    <w:uiPriority w:val="9"/>
    <w:rsid w:val="00CA1DED"/>
    <w:rPr>
      <w:rFonts w:eastAsiaTheme="majorEastAsia" w:cstheme="majorBidi"/>
      <w:bCs/>
      <w:color w:val="365F91" w:themeColor="accent1" w:themeShade="BF"/>
      <w:sz w:val="28"/>
      <w:szCs w:val="26"/>
    </w:rPr>
  </w:style>
  <w:style w:type="character" w:customStyle="1" w:styleId="Heading3Char">
    <w:name w:val="Heading 3 Char"/>
    <w:basedOn w:val="DefaultParagraphFont"/>
    <w:link w:val="Heading3"/>
    <w:uiPriority w:val="9"/>
    <w:rsid w:val="0076765D"/>
    <w:rPr>
      <w:rFonts w:eastAsiaTheme="majorEastAsia" w:cstheme="majorBidi"/>
      <w:bCs/>
      <w:color w:val="943634" w:themeColor="accent2" w:themeShade="BF"/>
    </w:rPr>
  </w:style>
  <w:style w:type="paragraph" w:styleId="TOCHeading">
    <w:name w:val="TOC Heading"/>
    <w:basedOn w:val="Heading1"/>
    <w:next w:val="Normal"/>
    <w:uiPriority w:val="39"/>
    <w:unhideWhenUsed/>
    <w:qFormat/>
    <w:rsid w:val="001E6F34"/>
    <w:pPr>
      <w:spacing w:before="240" w:after="0" w:line="259" w:lineRule="auto"/>
      <w:jc w:val="left"/>
      <w:outlineLvl w:val="9"/>
    </w:pPr>
    <w:rPr>
      <w:rFonts w:asciiTheme="majorHAnsi" w:hAnsiTheme="majorHAnsi"/>
      <w:b w:val="0"/>
      <w:bCs w:val="0"/>
      <w:color w:val="365F91" w:themeColor="accent1" w:themeShade="BF"/>
      <w:kern w:val="0"/>
      <w:szCs w:val="32"/>
      <w14:ligatures w14:val="none"/>
    </w:rPr>
  </w:style>
  <w:style w:type="paragraph" w:styleId="ListParagraph">
    <w:name w:val="List Paragraph"/>
    <w:basedOn w:val="Normal"/>
    <w:uiPriority w:val="34"/>
    <w:qFormat/>
    <w:rsid w:val="00665BF3"/>
    <w:pPr>
      <w:ind w:left="720"/>
      <w:contextualSpacing/>
    </w:pPr>
  </w:style>
  <w:style w:type="table" w:styleId="TableGrid">
    <w:name w:val="Table Grid"/>
    <w:basedOn w:val="TableNormal"/>
    <w:uiPriority w:val="59"/>
    <w:rsid w:val="003167C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2747"/>
    <w:pPr>
      <w:spacing w:before="100" w:beforeAutospacing="1" w:after="100" w:afterAutospacing="1" w:line="240" w:lineRule="auto"/>
      <w:jc w:val="left"/>
    </w:pPr>
    <w:rPr>
      <w:rFonts w:eastAsia="Times New Roman"/>
      <w:kern w:val="0"/>
      <w14:ligatures w14:val="none"/>
    </w:rPr>
  </w:style>
  <w:style w:type="paragraph" w:styleId="Header">
    <w:name w:val="header"/>
    <w:basedOn w:val="Normal"/>
    <w:link w:val="HeaderChar"/>
    <w:uiPriority w:val="99"/>
    <w:unhideWhenUsed/>
    <w:rsid w:val="00EE2AB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E2AB1"/>
  </w:style>
  <w:style w:type="paragraph" w:styleId="Footer">
    <w:name w:val="footer"/>
    <w:basedOn w:val="Normal"/>
    <w:link w:val="FooterChar"/>
    <w:uiPriority w:val="99"/>
    <w:unhideWhenUsed/>
    <w:rsid w:val="00EE2AB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E2AB1"/>
  </w:style>
  <w:style w:type="paragraph" w:styleId="TOC1">
    <w:name w:val="toc 1"/>
    <w:basedOn w:val="Normal"/>
    <w:next w:val="Normal"/>
    <w:autoRedefine/>
    <w:uiPriority w:val="39"/>
    <w:unhideWhenUsed/>
    <w:rsid w:val="00BE1BCB"/>
    <w:pPr>
      <w:spacing w:after="100"/>
    </w:pPr>
  </w:style>
  <w:style w:type="paragraph" w:styleId="TOC2">
    <w:name w:val="toc 2"/>
    <w:basedOn w:val="Normal"/>
    <w:next w:val="Normal"/>
    <w:autoRedefine/>
    <w:uiPriority w:val="39"/>
    <w:unhideWhenUsed/>
    <w:rsid w:val="00BE1BCB"/>
    <w:pPr>
      <w:spacing w:after="100"/>
      <w:ind w:left="240"/>
    </w:pPr>
  </w:style>
  <w:style w:type="paragraph" w:styleId="TOC3">
    <w:name w:val="toc 3"/>
    <w:basedOn w:val="Normal"/>
    <w:next w:val="Normal"/>
    <w:autoRedefine/>
    <w:uiPriority w:val="39"/>
    <w:unhideWhenUsed/>
    <w:rsid w:val="00BE1BCB"/>
    <w:pPr>
      <w:spacing w:after="100"/>
      <w:ind w:left="480"/>
    </w:pPr>
  </w:style>
  <w:style w:type="character" w:styleId="Hyperlink">
    <w:name w:val="Hyperlink"/>
    <w:basedOn w:val="DefaultParagraphFont"/>
    <w:uiPriority w:val="99"/>
    <w:unhideWhenUsed/>
    <w:rsid w:val="00BE1B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2346">
      <w:bodyDiv w:val="1"/>
      <w:marLeft w:val="0"/>
      <w:marRight w:val="0"/>
      <w:marTop w:val="0"/>
      <w:marBottom w:val="0"/>
      <w:divBdr>
        <w:top w:val="none" w:sz="0" w:space="0" w:color="auto"/>
        <w:left w:val="none" w:sz="0" w:space="0" w:color="auto"/>
        <w:bottom w:val="none" w:sz="0" w:space="0" w:color="auto"/>
        <w:right w:val="none" w:sz="0" w:space="0" w:color="auto"/>
      </w:divBdr>
      <w:divsChild>
        <w:div w:id="2084404363">
          <w:marLeft w:val="0"/>
          <w:marRight w:val="0"/>
          <w:marTop w:val="0"/>
          <w:marBottom w:val="0"/>
          <w:divBdr>
            <w:top w:val="none" w:sz="0" w:space="0" w:color="auto"/>
            <w:left w:val="none" w:sz="0" w:space="0" w:color="auto"/>
            <w:bottom w:val="none" w:sz="0" w:space="0" w:color="auto"/>
            <w:right w:val="none" w:sz="0" w:space="0" w:color="auto"/>
          </w:divBdr>
        </w:div>
      </w:divsChild>
    </w:div>
    <w:div w:id="1025600978">
      <w:bodyDiv w:val="1"/>
      <w:marLeft w:val="0"/>
      <w:marRight w:val="0"/>
      <w:marTop w:val="0"/>
      <w:marBottom w:val="0"/>
      <w:divBdr>
        <w:top w:val="none" w:sz="0" w:space="0" w:color="auto"/>
        <w:left w:val="none" w:sz="0" w:space="0" w:color="auto"/>
        <w:bottom w:val="none" w:sz="0" w:space="0" w:color="auto"/>
        <w:right w:val="none" w:sz="0" w:space="0" w:color="auto"/>
      </w:divBdr>
    </w:div>
    <w:div w:id="16742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C2_GreenMed_Healthcare_20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[C2_GreenMed_Healthcare_2023.xlsx]Sheet2!PivotTable1</c:name>
    <c:fmtId val="-1"/>
  </c:pivotSource>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Processing Time of different tools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a:noFill/>
          </a:ln>
          <a:effectLst/>
        </c:spPr>
        <c:marker>
          <c:symbol val="diamond"/>
          <c:size val="6"/>
          <c:spPr>
            <a:solidFill>
              <a:schemeClr val="accent1"/>
            </a:solidFill>
            <a:ln w="9525">
              <a:solidFill>
                <a:schemeClr val="accent1"/>
              </a:solidFill>
              <a:round/>
            </a:ln>
            <a:effectLst/>
          </c:spPr>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square"/>
          <c:size val="6"/>
          <c:spPr>
            <a:solidFill>
              <a:schemeClr val="accent2"/>
            </a:solidFill>
            <a:ln w="9525">
              <a:solidFill>
                <a:schemeClr val="accent2"/>
              </a:solidFill>
              <a:round/>
            </a:ln>
            <a:effectLst/>
          </c:spPr>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triangle"/>
          <c:size val="6"/>
          <c:spPr>
            <a:solidFill>
              <a:schemeClr val="accent3"/>
            </a:solidFill>
            <a:ln w="9525">
              <a:solidFill>
                <a:schemeClr val="accent3"/>
              </a:solidFill>
              <a:round/>
            </a:ln>
            <a:effectLst/>
          </c:spPr>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x"/>
          <c:size val="6"/>
          <c:spPr>
            <a:noFill/>
            <a:ln w="9525">
              <a:solidFill>
                <a:schemeClr val="accent4"/>
              </a:solidFill>
              <a:round/>
            </a:ln>
            <a:effectLst/>
          </c:spPr>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star"/>
          <c:size val="6"/>
          <c:spPr>
            <a:noFill/>
            <a:ln w="9525">
              <a:solidFill>
                <a:schemeClr val="accent5"/>
              </a:solidFill>
              <a:round/>
            </a:ln>
            <a:effectLst/>
          </c:spPr>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Sum of Hadoop_ProcessingTime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Sheet2!$A$4:$A$6</c:f>
              <c:strCache>
                <c:ptCount val="2"/>
                <c:pt idx="0">
                  <c:v>Jan</c:v>
                </c:pt>
                <c:pt idx="1">
                  <c:v>Feb</c:v>
                </c:pt>
              </c:strCache>
            </c:strRef>
          </c:cat>
          <c:val>
            <c:numRef>
              <c:f>Sheet2!$B$4:$B$6</c:f>
              <c:numCache>
                <c:formatCode>General</c:formatCode>
                <c:ptCount val="2"/>
                <c:pt idx="0">
                  <c:v>86.578155515741798</c:v>
                </c:pt>
                <c:pt idx="1">
                  <c:v>52.266304882382499</c:v>
                </c:pt>
              </c:numCache>
            </c:numRef>
          </c:val>
          <c:extLst>
            <c:ext xmlns:c16="http://schemas.microsoft.com/office/drawing/2014/chart" uri="{C3380CC4-5D6E-409C-BE32-E72D297353CC}">
              <c16:uniqueId val="{00000000-E69F-4E0D-8A0A-6DCF167DE198}"/>
            </c:ext>
          </c:extLst>
        </c:ser>
        <c:ser>
          <c:idx val="1"/>
          <c:order val="1"/>
          <c:tx>
            <c:strRef>
              <c:f>Sheet2!$C$3</c:f>
              <c:strCache>
                <c:ptCount val="1"/>
                <c:pt idx="0">
                  <c:v>Sum of Spark_ProcessingTime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Sheet2!$A$4:$A$6</c:f>
              <c:strCache>
                <c:ptCount val="2"/>
                <c:pt idx="0">
                  <c:v>Jan</c:v>
                </c:pt>
                <c:pt idx="1">
                  <c:v>Feb</c:v>
                </c:pt>
              </c:strCache>
            </c:strRef>
          </c:cat>
          <c:val>
            <c:numRef>
              <c:f>Sheet2!$C$4:$C$6</c:f>
              <c:numCache>
                <c:formatCode>General</c:formatCode>
                <c:ptCount val="2"/>
                <c:pt idx="0">
                  <c:v>87.601528508716143</c:v>
                </c:pt>
                <c:pt idx="1">
                  <c:v>59.009413937860423</c:v>
                </c:pt>
              </c:numCache>
            </c:numRef>
          </c:val>
          <c:extLst>
            <c:ext xmlns:c16="http://schemas.microsoft.com/office/drawing/2014/chart" uri="{C3380CC4-5D6E-409C-BE32-E72D297353CC}">
              <c16:uniqueId val="{00000001-E69F-4E0D-8A0A-6DCF167DE198}"/>
            </c:ext>
          </c:extLst>
        </c:ser>
        <c:ser>
          <c:idx val="2"/>
          <c:order val="2"/>
          <c:tx>
            <c:strRef>
              <c:f>Sheet2!$D$3</c:f>
              <c:strCache>
                <c:ptCount val="1"/>
                <c:pt idx="0">
                  <c:v>Sum of R_ProcessingTime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Sheet2!$A$4:$A$6</c:f>
              <c:strCache>
                <c:ptCount val="2"/>
                <c:pt idx="0">
                  <c:v>Jan</c:v>
                </c:pt>
                <c:pt idx="1">
                  <c:v>Feb</c:v>
                </c:pt>
              </c:strCache>
            </c:strRef>
          </c:cat>
          <c:val>
            <c:numRef>
              <c:f>Sheet2!$D$4:$D$6</c:f>
              <c:numCache>
                <c:formatCode>General</c:formatCode>
                <c:ptCount val="2"/>
                <c:pt idx="0">
                  <c:v>78.730090318221329</c:v>
                </c:pt>
                <c:pt idx="1">
                  <c:v>59.009125714693127</c:v>
                </c:pt>
              </c:numCache>
            </c:numRef>
          </c:val>
          <c:extLst>
            <c:ext xmlns:c16="http://schemas.microsoft.com/office/drawing/2014/chart" uri="{C3380CC4-5D6E-409C-BE32-E72D297353CC}">
              <c16:uniqueId val="{00000002-E69F-4E0D-8A0A-6DCF167DE198}"/>
            </c:ext>
          </c:extLst>
        </c:ser>
        <c:ser>
          <c:idx val="3"/>
          <c:order val="3"/>
          <c:tx>
            <c:strRef>
              <c:f>Sheet2!$E$3</c:f>
              <c:strCache>
                <c:ptCount val="1"/>
                <c:pt idx="0">
                  <c:v>Sum of Python_ProcessingTime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Sheet2!$A$4:$A$6</c:f>
              <c:strCache>
                <c:ptCount val="2"/>
                <c:pt idx="0">
                  <c:v>Jan</c:v>
                </c:pt>
                <c:pt idx="1">
                  <c:v>Feb</c:v>
                </c:pt>
              </c:strCache>
            </c:strRef>
          </c:cat>
          <c:val>
            <c:numRef>
              <c:f>Sheet2!$E$4:$E$6</c:f>
              <c:numCache>
                <c:formatCode>General</c:formatCode>
                <c:ptCount val="2"/>
                <c:pt idx="0">
                  <c:v>76.125505062543695</c:v>
                </c:pt>
                <c:pt idx="1">
                  <c:v>52.533549751478233</c:v>
                </c:pt>
              </c:numCache>
            </c:numRef>
          </c:val>
          <c:extLst>
            <c:ext xmlns:c16="http://schemas.microsoft.com/office/drawing/2014/chart" uri="{C3380CC4-5D6E-409C-BE32-E72D297353CC}">
              <c16:uniqueId val="{00000003-E69F-4E0D-8A0A-6DCF167DE198}"/>
            </c:ext>
          </c:extLst>
        </c:ser>
        <c:ser>
          <c:idx val="4"/>
          <c:order val="4"/>
          <c:tx>
            <c:strRef>
              <c:f>Sheet2!$F$3</c:f>
              <c:strCache>
                <c:ptCount val="1"/>
                <c:pt idx="0">
                  <c:v>Sum of Tableau_ProcessingTime</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Sheet2!$A$4:$A$6</c:f>
              <c:strCache>
                <c:ptCount val="2"/>
                <c:pt idx="0">
                  <c:v>Jan</c:v>
                </c:pt>
                <c:pt idx="1">
                  <c:v>Feb</c:v>
                </c:pt>
              </c:strCache>
            </c:strRef>
          </c:cat>
          <c:val>
            <c:numRef>
              <c:f>Sheet2!$F$4:$F$6</c:f>
              <c:numCache>
                <c:formatCode>General</c:formatCode>
                <c:ptCount val="2"/>
                <c:pt idx="0">
                  <c:v>83.89298664369727</c:v>
                </c:pt>
                <c:pt idx="1">
                  <c:v>57.620944732058653</c:v>
                </c:pt>
              </c:numCache>
            </c:numRef>
          </c:val>
          <c:extLst>
            <c:ext xmlns:c16="http://schemas.microsoft.com/office/drawing/2014/chart" uri="{C3380CC4-5D6E-409C-BE32-E72D297353CC}">
              <c16:uniqueId val="{00000004-E69F-4E0D-8A0A-6DCF167DE198}"/>
            </c:ext>
          </c:extLst>
        </c:ser>
        <c:dLbls>
          <c:dLblPos val="outEnd"/>
          <c:showLegendKey val="0"/>
          <c:showVal val="1"/>
          <c:showCatName val="0"/>
          <c:showSerName val="0"/>
          <c:showPercent val="0"/>
          <c:showBubbleSize val="0"/>
        </c:dLbls>
        <c:gapWidth val="444"/>
        <c:overlap val="-90"/>
        <c:axId val="453945664"/>
        <c:axId val="447791648"/>
      </c:barChart>
      <c:catAx>
        <c:axId val="4539456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1"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791648"/>
        <c:crosses val="autoZero"/>
        <c:auto val="1"/>
        <c:lblAlgn val="ctr"/>
        <c:lblOffset val="100"/>
        <c:noMultiLvlLbl val="0"/>
      </c:catAx>
      <c:valAx>
        <c:axId val="447791648"/>
        <c:scaling>
          <c:orientation val="minMax"/>
        </c:scaling>
        <c:delete val="1"/>
        <c:axPos val="l"/>
        <c:numFmt formatCode="General" sourceLinked="1"/>
        <c:majorTickMark val="none"/>
        <c:minorTickMark val="none"/>
        <c:tickLblPos val="nextTo"/>
        <c:crossAx val="4539456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8FD61-DA06-40A9-A759-CDBF723E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3662</Words>
  <Characters>20875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Apostol</cp:lastModifiedBy>
  <cp:revision>2</cp:revision>
  <dcterms:created xsi:type="dcterms:W3CDTF">2023-11-11T15:08:00Z</dcterms:created>
  <dcterms:modified xsi:type="dcterms:W3CDTF">2023-11-12T21:18:00Z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bf2c52df092f10f42e48fe6414e678ed5c8cf2b9d111fa912f170ea7d7c25b33</vt:lpwstr>
  </property>
</Properties>
</file>