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B1712" w14:textId="77777777" w:rsidR="000F558A" w:rsidRPr="000F558A" w:rsidRDefault="000F558A" w:rsidP="000F558A">
      <w:pPr>
        <w:spacing w:line="360" w:lineRule="auto"/>
        <w:jc w:val="center"/>
        <w:rPr>
          <w:rFonts w:ascii="Arial" w:hAnsi="Arial" w:cs="Arial"/>
          <w:b/>
          <w:bCs/>
          <w:sz w:val="24"/>
          <w:szCs w:val="24"/>
        </w:rPr>
      </w:pPr>
      <w:bookmarkStart w:id="0" w:name="_Hlk109728334"/>
    </w:p>
    <w:p w14:paraId="3110D09A" w14:textId="77777777" w:rsidR="000F558A" w:rsidRPr="000F558A" w:rsidRDefault="000F558A" w:rsidP="000F558A">
      <w:pPr>
        <w:spacing w:line="360" w:lineRule="auto"/>
        <w:jc w:val="center"/>
        <w:rPr>
          <w:rFonts w:ascii="Arial" w:hAnsi="Arial" w:cs="Arial"/>
          <w:b/>
          <w:bCs/>
          <w:sz w:val="24"/>
          <w:szCs w:val="24"/>
        </w:rPr>
      </w:pPr>
    </w:p>
    <w:p w14:paraId="6D1F6D39" w14:textId="564EFE6D" w:rsidR="000F558A" w:rsidRPr="000F558A" w:rsidRDefault="000F558A" w:rsidP="000F558A">
      <w:pPr>
        <w:spacing w:line="360" w:lineRule="auto"/>
        <w:jc w:val="center"/>
        <w:rPr>
          <w:rFonts w:ascii="Arial" w:hAnsi="Arial" w:cs="Arial"/>
          <w:b/>
          <w:bCs/>
          <w:sz w:val="24"/>
          <w:szCs w:val="24"/>
        </w:rPr>
      </w:pPr>
      <w:r w:rsidRPr="000F558A">
        <w:rPr>
          <w:rFonts w:ascii="Arial" w:hAnsi="Arial" w:cs="Arial"/>
          <w:b/>
          <w:bCs/>
          <w:sz w:val="24"/>
          <w:szCs w:val="24"/>
        </w:rPr>
        <w:t>UNIVERSITY OF WALES</w:t>
      </w:r>
      <w:r w:rsidR="004C5437">
        <w:rPr>
          <w:rFonts w:ascii="Arial" w:hAnsi="Arial" w:cs="Arial"/>
          <w:b/>
          <w:bCs/>
          <w:sz w:val="24"/>
          <w:szCs w:val="24"/>
        </w:rPr>
        <w:t xml:space="preserve"> </w:t>
      </w:r>
      <w:r w:rsidRPr="000F558A">
        <w:rPr>
          <w:rFonts w:ascii="Arial" w:hAnsi="Arial" w:cs="Arial"/>
          <w:b/>
          <w:bCs/>
          <w:sz w:val="24"/>
          <w:szCs w:val="24"/>
        </w:rPr>
        <w:t xml:space="preserve">TRINITY SAINT </w:t>
      </w:r>
      <w:r>
        <w:rPr>
          <w:rFonts w:ascii="Arial" w:hAnsi="Arial" w:cs="Arial"/>
          <w:b/>
          <w:bCs/>
          <w:sz w:val="24"/>
          <w:szCs w:val="24"/>
        </w:rPr>
        <w:t xml:space="preserve">DAVID </w:t>
      </w:r>
    </w:p>
    <w:p w14:paraId="56994AED" w14:textId="77777777" w:rsidR="000F558A" w:rsidRPr="000F558A" w:rsidRDefault="000F558A" w:rsidP="000F558A">
      <w:pPr>
        <w:spacing w:line="360" w:lineRule="auto"/>
        <w:jc w:val="center"/>
        <w:rPr>
          <w:rFonts w:ascii="Arial" w:hAnsi="Arial" w:cs="Arial"/>
          <w:b/>
          <w:bCs/>
          <w:sz w:val="24"/>
          <w:szCs w:val="24"/>
        </w:rPr>
      </w:pPr>
      <w:r w:rsidRPr="000F558A">
        <w:rPr>
          <w:rFonts w:ascii="Arial" w:hAnsi="Arial" w:cs="Arial"/>
          <w:b/>
          <w:bCs/>
          <w:sz w:val="24"/>
          <w:szCs w:val="24"/>
        </w:rPr>
        <w:t>London Campus</w:t>
      </w:r>
    </w:p>
    <w:p w14:paraId="51DC5B96" w14:textId="77777777" w:rsidR="000F558A" w:rsidRPr="000F558A" w:rsidRDefault="000F558A" w:rsidP="000F558A">
      <w:pPr>
        <w:spacing w:line="360" w:lineRule="auto"/>
        <w:jc w:val="center"/>
        <w:rPr>
          <w:rFonts w:ascii="Arial" w:hAnsi="Arial" w:cs="Arial"/>
          <w:b/>
          <w:bCs/>
          <w:sz w:val="24"/>
          <w:szCs w:val="24"/>
        </w:rPr>
      </w:pPr>
      <w:r w:rsidRPr="000F558A">
        <w:rPr>
          <w:rFonts w:ascii="Arial" w:hAnsi="Arial" w:cs="Arial"/>
          <w:b/>
          <w:bCs/>
          <w:sz w:val="24"/>
          <w:szCs w:val="24"/>
        </w:rPr>
        <w:t>Community Engagement</w:t>
      </w:r>
    </w:p>
    <w:p w14:paraId="0DB25C24" w14:textId="77777777" w:rsidR="000F558A" w:rsidRPr="000F558A" w:rsidRDefault="000F558A" w:rsidP="000F558A">
      <w:pPr>
        <w:spacing w:line="360" w:lineRule="auto"/>
        <w:jc w:val="center"/>
        <w:rPr>
          <w:rFonts w:ascii="Arial" w:hAnsi="Arial" w:cs="Arial"/>
          <w:b/>
          <w:bCs/>
          <w:sz w:val="24"/>
          <w:szCs w:val="24"/>
        </w:rPr>
      </w:pPr>
      <w:r w:rsidRPr="000F558A">
        <w:rPr>
          <w:rFonts w:ascii="Arial" w:hAnsi="Arial" w:cs="Arial"/>
          <w:b/>
          <w:bCs/>
          <w:sz w:val="24"/>
          <w:szCs w:val="24"/>
        </w:rPr>
        <w:t>LCBB4002</w:t>
      </w:r>
    </w:p>
    <w:p w14:paraId="2CB84E0C" w14:textId="77777777" w:rsidR="00915D81" w:rsidRDefault="000F558A" w:rsidP="000F558A">
      <w:pPr>
        <w:spacing w:line="360" w:lineRule="auto"/>
        <w:jc w:val="center"/>
        <w:rPr>
          <w:rFonts w:ascii="Arial" w:hAnsi="Arial" w:cs="Arial"/>
          <w:b/>
          <w:bCs/>
          <w:sz w:val="24"/>
          <w:szCs w:val="24"/>
        </w:rPr>
      </w:pPr>
      <w:r w:rsidRPr="000F558A">
        <w:rPr>
          <w:rFonts w:ascii="Arial" w:hAnsi="Arial" w:cs="Arial"/>
          <w:b/>
          <w:bCs/>
          <w:sz w:val="24"/>
          <w:szCs w:val="24"/>
        </w:rPr>
        <w:t>Assessment 1: Essay</w:t>
      </w:r>
      <w:bookmarkEnd w:id="0"/>
    </w:p>
    <w:p w14:paraId="79DABEC7" w14:textId="77777777" w:rsidR="00915D81" w:rsidRDefault="00915D81" w:rsidP="000F558A">
      <w:pPr>
        <w:spacing w:line="360" w:lineRule="auto"/>
        <w:jc w:val="center"/>
        <w:rPr>
          <w:rFonts w:ascii="Arial" w:hAnsi="Arial" w:cs="Arial"/>
          <w:b/>
          <w:bCs/>
          <w:sz w:val="24"/>
          <w:szCs w:val="24"/>
        </w:rPr>
      </w:pPr>
    </w:p>
    <w:p w14:paraId="404FC3C9" w14:textId="77777777" w:rsidR="00915D81" w:rsidRDefault="00915D81" w:rsidP="000F558A">
      <w:pPr>
        <w:spacing w:line="360" w:lineRule="auto"/>
        <w:jc w:val="center"/>
        <w:rPr>
          <w:rFonts w:ascii="Arial" w:hAnsi="Arial" w:cs="Arial"/>
          <w:b/>
          <w:bCs/>
          <w:sz w:val="24"/>
          <w:szCs w:val="24"/>
        </w:rPr>
      </w:pPr>
    </w:p>
    <w:p w14:paraId="38BB21E6" w14:textId="77777777" w:rsidR="00915D81" w:rsidRDefault="00915D81" w:rsidP="000F558A">
      <w:pPr>
        <w:spacing w:line="360" w:lineRule="auto"/>
        <w:jc w:val="center"/>
        <w:rPr>
          <w:rFonts w:ascii="Arial" w:hAnsi="Arial" w:cs="Arial"/>
          <w:b/>
          <w:bCs/>
          <w:sz w:val="24"/>
          <w:szCs w:val="24"/>
        </w:rPr>
      </w:pPr>
    </w:p>
    <w:p w14:paraId="4F1E5295" w14:textId="77777777" w:rsidR="00915D81" w:rsidRDefault="00915D81" w:rsidP="000F558A">
      <w:pPr>
        <w:spacing w:line="360" w:lineRule="auto"/>
        <w:jc w:val="center"/>
        <w:rPr>
          <w:rFonts w:ascii="Arial" w:hAnsi="Arial" w:cs="Arial"/>
          <w:b/>
          <w:bCs/>
          <w:sz w:val="24"/>
          <w:szCs w:val="24"/>
        </w:rPr>
      </w:pPr>
    </w:p>
    <w:p w14:paraId="614A1C62" w14:textId="77777777" w:rsidR="00915D81" w:rsidRDefault="00915D81" w:rsidP="000F558A">
      <w:pPr>
        <w:spacing w:line="360" w:lineRule="auto"/>
        <w:jc w:val="center"/>
        <w:rPr>
          <w:rFonts w:ascii="Arial" w:hAnsi="Arial" w:cs="Arial"/>
          <w:b/>
          <w:bCs/>
          <w:sz w:val="24"/>
          <w:szCs w:val="24"/>
        </w:rPr>
      </w:pPr>
    </w:p>
    <w:p w14:paraId="08BDBCD0" w14:textId="77777777" w:rsidR="00915D81" w:rsidRDefault="00915D81" w:rsidP="000F558A">
      <w:pPr>
        <w:spacing w:line="360" w:lineRule="auto"/>
        <w:jc w:val="center"/>
        <w:rPr>
          <w:rFonts w:ascii="Arial" w:hAnsi="Arial" w:cs="Arial"/>
          <w:b/>
          <w:bCs/>
          <w:sz w:val="24"/>
          <w:szCs w:val="24"/>
        </w:rPr>
      </w:pPr>
    </w:p>
    <w:p w14:paraId="3152F683" w14:textId="56C7DF1F" w:rsidR="00915D81" w:rsidRDefault="00915D81" w:rsidP="000F558A">
      <w:pPr>
        <w:spacing w:line="360" w:lineRule="auto"/>
        <w:jc w:val="center"/>
        <w:rPr>
          <w:rFonts w:ascii="Arial" w:hAnsi="Arial" w:cs="Arial"/>
          <w:b/>
          <w:bCs/>
          <w:sz w:val="24"/>
          <w:szCs w:val="24"/>
        </w:rPr>
      </w:pPr>
    </w:p>
    <w:p w14:paraId="203DE9EF" w14:textId="77777777" w:rsidR="00915D81" w:rsidRPr="00323A7D" w:rsidRDefault="00915D81" w:rsidP="00915D81">
      <w:pPr>
        <w:rPr>
          <w:rFonts w:cs="Arial"/>
          <w:b/>
          <w:bCs/>
          <w:szCs w:val="24"/>
        </w:rPr>
      </w:pPr>
    </w:p>
    <w:tbl>
      <w:tblPr>
        <w:tblStyle w:val="TableGrid"/>
        <w:tblW w:w="0" w:type="auto"/>
        <w:tblInd w:w="0" w:type="dxa"/>
        <w:tblLook w:val="04A0" w:firstRow="1" w:lastRow="0" w:firstColumn="1" w:lastColumn="0" w:noHBand="0" w:noVBand="1"/>
      </w:tblPr>
      <w:tblGrid>
        <w:gridCol w:w="2689"/>
        <w:gridCol w:w="6661"/>
      </w:tblGrid>
      <w:tr w:rsidR="00915D81" w:rsidRPr="00323A7D" w14:paraId="2D2CE4BC" w14:textId="77777777" w:rsidTr="00C343AF">
        <w:tc>
          <w:tcPr>
            <w:tcW w:w="2689" w:type="dxa"/>
            <w:tcBorders>
              <w:top w:val="single" w:sz="4" w:space="0" w:color="auto"/>
              <w:left w:val="single" w:sz="4" w:space="0" w:color="auto"/>
              <w:bottom w:val="single" w:sz="4" w:space="0" w:color="auto"/>
              <w:right w:val="single" w:sz="4" w:space="0" w:color="auto"/>
            </w:tcBorders>
            <w:hideMark/>
          </w:tcPr>
          <w:p w14:paraId="02443A2A" w14:textId="77777777" w:rsidR="00915D81" w:rsidRPr="00323A7D" w:rsidRDefault="00915D81" w:rsidP="00C343AF">
            <w:pPr>
              <w:rPr>
                <w:rFonts w:cs="Arial"/>
                <w:b/>
                <w:bCs/>
                <w:sz w:val="24"/>
                <w:szCs w:val="24"/>
              </w:rPr>
            </w:pPr>
            <w:r w:rsidRPr="00323A7D">
              <w:rPr>
                <w:rFonts w:cs="Arial"/>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0E78038D" w14:textId="77777777" w:rsidR="00915D81" w:rsidRPr="00323A7D" w:rsidRDefault="00915D81" w:rsidP="00C343AF">
            <w:pPr>
              <w:rPr>
                <w:rFonts w:cs="Arial"/>
                <w:b/>
                <w:bCs/>
                <w:sz w:val="24"/>
                <w:szCs w:val="24"/>
              </w:rPr>
            </w:pPr>
            <w:r w:rsidRPr="00323A7D">
              <w:rPr>
                <w:rFonts w:cs="Arial"/>
                <w:b/>
                <w:bCs/>
                <w:sz w:val="24"/>
                <w:szCs w:val="24"/>
              </w:rPr>
              <w:t>FLORENTINA JOITA</w:t>
            </w:r>
          </w:p>
        </w:tc>
      </w:tr>
      <w:tr w:rsidR="00915D81" w:rsidRPr="00323A7D" w14:paraId="047287AD" w14:textId="77777777" w:rsidTr="00C343AF">
        <w:tc>
          <w:tcPr>
            <w:tcW w:w="2689" w:type="dxa"/>
            <w:tcBorders>
              <w:top w:val="single" w:sz="4" w:space="0" w:color="auto"/>
              <w:left w:val="single" w:sz="4" w:space="0" w:color="auto"/>
              <w:bottom w:val="single" w:sz="4" w:space="0" w:color="auto"/>
              <w:right w:val="single" w:sz="4" w:space="0" w:color="auto"/>
            </w:tcBorders>
            <w:hideMark/>
          </w:tcPr>
          <w:p w14:paraId="2E4FC6BB" w14:textId="77777777" w:rsidR="00915D81" w:rsidRPr="00323A7D" w:rsidRDefault="00915D81" w:rsidP="00C343AF">
            <w:pPr>
              <w:rPr>
                <w:rFonts w:cs="Arial"/>
                <w:b/>
                <w:bCs/>
                <w:sz w:val="24"/>
                <w:szCs w:val="24"/>
              </w:rPr>
            </w:pPr>
            <w:r w:rsidRPr="00323A7D">
              <w:rPr>
                <w:rFonts w:cs="Arial"/>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4587C3E2" w14:textId="77777777" w:rsidR="00915D81" w:rsidRPr="00323A7D" w:rsidRDefault="00915D81" w:rsidP="00C343AF">
            <w:pPr>
              <w:rPr>
                <w:rFonts w:cs="Arial"/>
                <w:b/>
                <w:bCs/>
                <w:sz w:val="24"/>
                <w:szCs w:val="24"/>
              </w:rPr>
            </w:pPr>
            <w:r w:rsidRPr="00323A7D">
              <w:rPr>
                <w:rFonts w:cs="Arial"/>
                <w:b/>
                <w:bCs/>
                <w:sz w:val="24"/>
                <w:szCs w:val="24"/>
              </w:rPr>
              <w:t>2124448</w:t>
            </w:r>
          </w:p>
        </w:tc>
      </w:tr>
      <w:tr w:rsidR="00915D81" w:rsidRPr="00323A7D" w14:paraId="48CEEAA3" w14:textId="77777777" w:rsidTr="00C343AF">
        <w:tc>
          <w:tcPr>
            <w:tcW w:w="2689" w:type="dxa"/>
            <w:tcBorders>
              <w:top w:val="single" w:sz="4" w:space="0" w:color="auto"/>
              <w:left w:val="single" w:sz="4" w:space="0" w:color="auto"/>
              <w:bottom w:val="single" w:sz="4" w:space="0" w:color="auto"/>
              <w:right w:val="single" w:sz="4" w:space="0" w:color="auto"/>
            </w:tcBorders>
            <w:hideMark/>
          </w:tcPr>
          <w:p w14:paraId="38CBB1C5" w14:textId="77777777" w:rsidR="00915D81" w:rsidRPr="00323A7D" w:rsidRDefault="00915D81" w:rsidP="00C343AF">
            <w:pPr>
              <w:rPr>
                <w:rFonts w:cs="Arial"/>
                <w:b/>
                <w:bCs/>
                <w:sz w:val="24"/>
                <w:szCs w:val="24"/>
              </w:rPr>
            </w:pPr>
            <w:r w:rsidRPr="00323A7D">
              <w:rPr>
                <w:rFonts w:cs="Arial"/>
                <w:b/>
                <w:bCs/>
                <w:sz w:val="24"/>
                <w:szCs w:val="24"/>
              </w:rPr>
              <w:t>LECTURER</w:t>
            </w:r>
          </w:p>
        </w:tc>
        <w:tc>
          <w:tcPr>
            <w:tcW w:w="6661" w:type="dxa"/>
            <w:tcBorders>
              <w:top w:val="single" w:sz="4" w:space="0" w:color="auto"/>
              <w:left w:val="single" w:sz="4" w:space="0" w:color="auto"/>
              <w:bottom w:val="single" w:sz="4" w:space="0" w:color="auto"/>
              <w:right w:val="single" w:sz="4" w:space="0" w:color="auto"/>
            </w:tcBorders>
            <w:hideMark/>
          </w:tcPr>
          <w:p w14:paraId="796F95B3" w14:textId="216D2673" w:rsidR="00915D81" w:rsidRPr="00323A7D" w:rsidRDefault="00915D81" w:rsidP="00C343AF">
            <w:pPr>
              <w:rPr>
                <w:rFonts w:cs="Arial"/>
                <w:b/>
                <w:bCs/>
                <w:sz w:val="24"/>
                <w:szCs w:val="24"/>
              </w:rPr>
            </w:pPr>
            <w:r>
              <w:rPr>
                <w:rFonts w:cs="Arial"/>
                <w:b/>
                <w:bCs/>
                <w:sz w:val="24"/>
                <w:szCs w:val="24"/>
              </w:rPr>
              <w:t>ANITA NAN</w:t>
            </w:r>
          </w:p>
        </w:tc>
      </w:tr>
    </w:tbl>
    <w:p w14:paraId="4CC798CE" w14:textId="77777777" w:rsidR="00915D81" w:rsidRDefault="00915D81" w:rsidP="000F558A">
      <w:pPr>
        <w:spacing w:line="360" w:lineRule="auto"/>
        <w:jc w:val="center"/>
        <w:rPr>
          <w:rFonts w:ascii="Arial" w:hAnsi="Arial" w:cs="Arial"/>
          <w:b/>
          <w:bCs/>
          <w:sz w:val="24"/>
          <w:szCs w:val="24"/>
        </w:rPr>
      </w:pPr>
    </w:p>
    <w:p w14:paraId="0E8591F8" w14:textId="72012770" w:rsidR="000F558A" w:rsidRPr="000F558A" w:rsidRDefault="000F558A" w:rsidP="000F558A">
      <w:pPr>
        <w:spacing w:line="360" w:lineRule="auto"/>
        <w:jc w:val="center"/>
        <w:rPr>
          <w:rFonts w:ascii="Arial" w:hAnsi="Arial" w:cs="Arial"/>
          <w:sz w:val="24"/>
          <w:szCs w:val="24"/>
        </w:rPr>
      </w:pPr>
      <w:r w:rsidRPr="000F558A">
        <w:rPr>
          <w:rFonts w:ascii="Arial" w:hAnsi="Arial" w:cs="Arial"/>
          <w:sz w:val="24"/>
          <w:szCs w:val="24"/>
        </w:rPr>
        <w:br w:type="page"/>
      </w:r>
    </w:p>
    <w:sdt>
      <w:sdtPr>
        <w:rPr>
          <w:rFonts w:ascii="Arial" w:hAnsi="Arial" w:cs="Arial"/>
          <w:sz w:val="24"/>
          <w:szCs w:val="24"/>
        </w:rPr>
        <w:id w:val="988235048"/>
        <w:docPartObj>
          <w:docPartGallery w:val="Table of Contents"/>
          <w:docPartUnique/>
        </w:docPartObj>
      </w:sdtPr>
      <w:sdtEndPr/>
      <w:sdtContent>
        <w:p w14:paraId="01AA0BF5" w14:textId="7F8D0788" w:rsidR="000F558A" w:rsidRPr="000F558A" w:rsidRDefault="000F558A" w:rsidP="000F558A">
          <w:pPr>
            <w:pStyle w:val="TOC1"/>
            <w:tabs>
              <w:tab w:val="right" w:leader="dot" w:pos="9360"/>
            </w:tabs>
            <w:rPr>
              <w:rFonts w:ascii="Arial" w:hAnsi="Arial" w:cs="Arial"/>
              <w:b/>
              <w:bCs/>
              <w:color w:val="00B0F0"/>
              <w:sz w:val="24"/>
              <w:szCs w:val="24"/>
            </w:rPr>
          </w:pPr>
          <w:r w:rsidRPr="000F558A">
            <w:rPr>
              <w:rFonts w:ascii="Arial" w:hAnsi="Arial" w:cs="Arial"/>
              <w:b/>
              <w:bCs/>
              <w:color w:val="00B0F0"/>
              <w:sz w:val="24"/>
              <w:szCs w:val="24"/>
            </w:rPr>
            <w:t>Table of Contents</w:t>
          </w:r>
        </w:p>
        <w:p w14:paraId="353D961C" w14:textId="6069514A" w:rsidR="000F558A" w:rsidRPr="000F558A" w:rsidRDefault="000F558A" w:rsidP="000F558A">
          <w:pPr>
            <w:pStyle w:val="TOC1"/>
            <w:tabs>
              <w:tab w:val="right" w:leader="dot" w:pos="9360"/>
            </w:tabs>
            <w:jc w:val="both"/>
            <w:rPr>
              <w:rFonts w:ascii="Arial" w:hAnsi="Arial" w:cs="Arial"/>
              <w:noProof/>
              <w:sz w:val="24"/>
              <w:szCs w:val="24"/>
            </w:rPr>
          </w:pPr>
          <w:r w:rsidRPr="000F558A">
            <w:rPr>
              <w:rFonts w:ascii="Arial" w:hAnsi="Arial" w:cs="Arial"/>
              <w:sz w:val="24"/>
              <w:szCs w:val="24"/>
            </w:rPr>
            <w:fldChar w:fldCharType="begin"/>
          </w:r>
          <w:r w:rsidRPr="000F558A">
            <w:rPr>
              <w:rFonts w:ascii="Arial" w:hAnsi="Arial" w:cs="Arial"/>
              <w:sz w:val="24"/>
              <w:szCs w:val="24"/>
            </w:rPr>
            <w:instrText>TOC \o \z \u \h</w:instrText>
          </w:r>
          <w:r w:rsidRPr="000F558A">
            <w:rPr>
              <w:rFonts w:ascii="Arial" w:hAnsi="Arial" w:cs="Arial"/>
              <w:sz w:val="24"/>
              <w:szCs w:val="24"/>
            </w:rPr>
            <w:fldChar w:fldCharType="separate"/>
          </w:r>
          <w:hyperlink w:anchor="_Toc1941704499">
            <w:r w:rsidRPr="000F558A">
              <w:rPr>
                <w:rStyle w:val="Hyperlink"/>
                <w:rFonts w:ascii="Arial" w:hAnsi="Arial" w:cs="Arial"/>
                <w:noProof/>
                <w:sz w:val="24"/>
                <w:szCs w:val="24"/>
              </w:rPr>
              <w:t>Introduction</w:t>
            </w:r>
            <w:r w:rsidRPr="000F558A">
              <w:rPr>
                <w:rFonts w:ascii="Arial" w:hAnsi="Arial" w:cs="Arial"/>
                <w:noProof/>
                <w:sz w:val="24"/>
                <w:szCs w:val="24"/>
              </w:rPr>
              <w:tab/>
            </w:r>
            <w:r w:rsidRPr="000F558A">
              <w:rPr>
                <w:rFonts w:ascii="Arial" w:hAnsi="Arial" w:cs="Arial"/>
                <w:noProof/>
                <w:sz w:val="24"/>
                <w:szCs w:val="24"/>
              </w:rPr>
              <w:fldChar w:fldCharType="begin"/>
            </w:r>
            <w:r w:rsidRPr="000F558A">
              <w:rPr>
                <w:rFonts w:ascii="Arial" w:hAnsi="Arial" w:cs="Arial"/>
                <w:noProof/>
                <w:sz w:val="24"/>
                <w:szCs w:val="24"/>
              </w:rPr>
              <w:instrText>PAGEREF _Toc1941704499 \h</w:instrText>
            </w:r>
            <w:r w:rsidRPr="000F558A">
              <w:rPr>
                <w:rFonts w:ascii="Arial" w:hAnsi="Arial" w:cs="Arial"/>
                <w:noProof/>
                <w:sz w:val="24"/>
                <w:szCs w:val="24"/>
              </w:rPr>
            </w:r>
            <w:r w:rsidRPr="000F558A">
              <w:rPr>
                <w:rFonts w:ascii="Arial" w:hAnsi="Arial" w:cs="Arial"/>
                <w:noProof/>
                <w:sz w:val="24"/>
                <w:szCs w:val="24"/>
              </w:rPr>
              <w:fldChar w:fldCharType="separate"/>
            </w:r>
            <w:r w:rsidR="006B62BB">
              <w:rPr>
                <w:rFonts w:ascii="Arial" w:hAnsi="Arial" w:cs="Arial"/>
                <w:noProof/>
                <w:sz w:val="24"/>
                <w:szCs w:val="24"/>
              </w:rPr>
              <w:t>3</w:t>
            </w:r>
            <w:r w:rsidRPr="000F558A">
              <w:rPr>
                <w:rFonts w:ascii="Arial" w:hAnsi="Arial" w:cs="Arial"/>
                <w:noProof/>
                <w:sz w:val="24"/>
                <w:szCs w:val="24"/>
              </w:rPr>
              <w:fldChar w:fldCharType="end"/>
            </w:r>
          </w:hyperlink>
        </w:p>
        <w:p w14:paraId="16B480CC" w14:textId="654B591B" w:rsidR="000F558A" w:rsidRPr="000F558A" w:rsidRDefault="001A0BCF" w:rsidP="000F558A">
          <w:pPr>
            <w:pStyle w:val="TOC1"/>
            <w:tabs>
              <w:tab w:val="right" w:leader="dot" w:pos="9360"/>
            </w:tabs>
            <w:rPr>
              <w:rFonts w:ascii="Arial" w:hAnsi="Arial" w:cs="Arial"/>
              <w:noProof/>
              <w:sz w:val="24"/>
              <w:szCs w:val="24"/>
            </w:rPr>
          </w:pPr>
          <w:hyperlink w:anchor="_Toc803821152">
            <w:r w:rsidR="000F558A" w:rsidRPr="000F558A">
              <w:rPr>
                <w:rStyle w:val="Hyperlink"/>
                <w:rFonts w:ascii="Arial" w:hAnsi="Arial" w:cs="Arial"/>
                <w:noProof/>
                <w:sz w:val="24"/>
                <w:szCs w:val="24"/>
              </w:rPr>
              <w:t>How theory impacts community engagement</w:t>
            </w:r>
            <w:r w:rsidR="000F558A" w:rsidRPr="000F558A">
              <w:rPr>
                <w:rFonts w:ascii="Arial" w:hAnsi="Arial" w:cs="Arial"/>
                <w:noProof/>
                <w:sz w:val="24"/>
                <w:szCs w:val="24"/>
              </w:rPr>
              <w:tab/>
            </w:r>
            <w:r w:rsidR="000F558A" w:rsidRPr="000F558A">
              <w:rPr>
                <w:rFonts w:ascii="Arial" w:hAnsi="Arial" w:cs="Arial"/>
                <w:noProof/>
                <w:sz w:val="24"/>
                <w:szCs w:val="24"/>
              </w:rPr>
              <w:fldChar w:fldCharType="begin"/>
            </w:r>
            <w:r w:rsidR="000F558A" w:rsidRPr="000F558A">
              <w:rPr>
                <w:rFonts w:ascii="Arial" w:hAnsi="Arial" w:cs="Arial"/>
                <w:noProof/>
                <w:sz w:val="24"/>
                <w:szCs w:val="24"/>
              </w:rPr>
              <w:instrText>PAGEREF _Toc803821152 \h</w:instrText>
            </w:r>
            <w:r w:rsidR="000F558A" w:rsidRPr="000F558A">
              <w:rPr>
                <w:rFonts w:ascii="Arial" w:hAnsi="Arial" w:cs="Arial"/>
                <w:noProof/>
                <w:sz w:val="24"/>
                <w:szCs w:val="24"/>
              </w:rPr>
            </w:r>
            <w:r w:rsidR="000F558A" w:rsidRPr="000F558A">
              <w:rPr>
                <w:rFonts w:ascii="Arial" w:hAnsi="Arial" w:cs="Arial"/>
                <w:noProof/>
                <w:sz w:val="24"/>
                <w:szCs w:val="24"/>
              </w:rPr>
              <w:fldChar w:fldCharType="separate"/>
            </w:r>
            <w:r w:rsidR="006B62BB">
              <w:rPr>
                <w:rFonts w:ascii="Arial" w:hAnsi="Arial" w:cs="Arial"/>
                <w:noProof/>
                <w:sz w:val="24"/>
                <w:szCs w:val="24"/>
              </w:rPr>
              <w:t>3</w:t>
            </w:r>
            <w:r w:rsidR="000F558A" w:rsidRPr="000F558A">
              <w:rPr>
                <w:rFonts w:ascii="Arial" w:hAnsi="Arial" w:cs="Arial"/>
                <w:noProof/>
                <w:sz w:val="24"/>
                <w:szCs w:val="24"/>
              </w:rPr>
              <w:fldChar w:fldCharType="end"/>
            </w:r>
          </w:hyperlink>
        </w:p>
        <w:p w14:paraId="25BDD6AC" w14:textId="06777231" w:rsidR="000F558A" w:rsidRPr="000F558A" w:rsidRDefault="001A0BCF" w:rsidP="000F558A">
          <w:pPr>
            <w:pStyle w:val="TOC2"/>
            <w:tabs>
              <w:tab w:val="right" w:leader="dot" w:pos="9360"/>
            </w:tabs>
            <w:rPr>
              <w:rFonts w:ascii="Arial" w:hAnsi="Arial" w:cs="Arial"/>
              <w:noProof/>
              <w:sz w:val="24"/>
              <w:szCs w:val="24"/>
            </w:rPr>
          </w:pPr>
          <w:hyperlink w:anchor="_Toc1252638282">
            <w:r w:rsidR="000F558A" w:rsidRPr="000F558A">
              <w:rPr>
                <w:rStyle w:val="Hyperlink"/>
                <w:rFonts w:ascii="Arial" w:hAnsi="Arial" w:cs="Arial"/>
                <w:noProof/>
                <w:sz w:val="24"/>
                <w:szCs w:val="24"/>
              </w:rPr>
              <w:t>Ethical theory</w:t>
            </w:r>
            <w:r w:rsidR="000F558A" w:rsidRPr="000F558A">
              <w:rPr>
                <w:rFonts w:ascii="Arial" w:hAnsi="Arial" w:cs="Arial"/>
                <w:noProof/>
                <w:sz w:val="24"/>
                <w:szCs w:val="24"/>
              </w:rPr>
              <w:tab/>
            </w:r>
            <w:r w:rsidR="000F558A" w:rsidRPr="000F558A">
              <w:rPr>
                <w:rFonts w:ascii="Arial" w:hAnsi="Arial" w:cs="Arial"/>
                <w:noProof/>
                <w:sz w:val="24"/>
                <w:szCs w:val="24"/>
              </w:rPr>
              <w:fldChar w:fldCharType="begin"/>
            </w:r>
            <w:r w:rsidR="000F558A" w:rsidRPr="000F558A">
              <w:rPr>
                <w:rFonts w:ascii="Arial" w:hAnsi="Arial" w:cs="Arial"/>
                <w:noProof/>
                <w:sz w:val="24"/>
                <w:szCs w:val="24"/>
              </w:rPr>
              <w:instrText>PAGEREF _Toc1252638282 \h</w:instrText>
            </w:r>
            <w:r w:rsidR="000F558A" w:rsidRPr="000F558A">
              <w:rPr>
                <w:rFonts w:ascii="Arial" w:hAnsi="Arial" w:cs="Arial"/>
                <w:noProof/>
                <w:sz w:val="24"/>
                <w:szCs w:val="24"/>
              </w:rPr>
            </w:r>
            <w:r w:rsidR="000F558A" w:rsidRPr="000F558A">
              <w:rPr>
                <w:rFonts w:ascii="Arial" w:hAnsi="Arial" w:cs="Arial"/>
                <w:noProof/>
                <w:sz w:val="24"/>
                <w:szCs w:val="24"/>
              </w:rPr>
              <w:fldChar w:fldCharType="separate"/>
            </w:r>
            <w:r w:rsidR="006B62BB">
              <w:rPr>
                <w:rFonts w:ascii="Arial" w:hAnsi="Arial" w:cs="Arial"/>
                <w:noProof/>
                <w:sz w:val="24"/>
                <w:szCs w:val="24"/>
              </w:rPr>
              <w:t>3</w:t>
            </w:r>
            <w:r w:rsidR="000F558A" w:rsidRPr="000F558A">
              <w:rPr>
                <w:rFonts w:ascii="Arial" w:hAnsi="Arial" w:cs="Arial"/>
                <w:noProof/>
                <w:sz w:val="24"/>
                <w:szCs w:val="24"/>
              </w:rPr>
              <w:fldChar w:fldCharType="end"/>
            </w:r>
          </w:hyperlink>
        </w:p>
        <w:p w14:paraId="7EE13FAD" w14:textId="39D4AEE8" w:rsidR="000F558A" w:rsidRPr="000F558A" w:rsidRDefault="001A0BCF" w:rsidP="000F558A">
          <w:pPr>
            <w:pStyle w:val="TOC1"/>
            <w:tabs>
              <w:tab w:val="right" w:leader="dot" w:pos="9360"/>
            </w:tabs>
            <w:rPr>
              <w:rFonts w:ascii="Arial" w:hAnsi="Arial" w:cs="Arial"/>
              <w:noProof/>
              <w:sz w:val="24"/>
              <w:szCs w:val="24"/>
            </w:rPr>
          </w:pPr>
          <w:hyperlink w:anchor="_Toc465216687">
            <w:r w:rsidR="000F558A" w:rsidRPr="000F558A">
              <w:rPr>
                <w:rStyle w:val="Hyperlink"/>
                <w:rFonts w:ascii="Arial" w:hAnsi="Arial" w:cs="Arial"/>
                <w:noProof/>
                <w:sz w:val="24"/>
                <w:szCs w:val="24"/>
              </w:rPr>
              <w:t>Possible ways of engaging with the community.</w:t>
            </w:r>
            <w:r w:rsidR="000F558A" w:rsidRPr="000F558A">
              <w:rPr>
                <w:rFonts w:ascii="Arial" w:hAnsi="Arial" w:cs="Arial"/>
                <w:noProof/>
                <w:sz w:val="24"/>
                <w:szCs w:val="24"/>
              </w:rPr>
              <w:tab/>
            </w:r>
            <w:r w:rsidR="000F558A" w:rsidRPr="000F558A">
              <w:rPr>
                <w:rFonts w:ascii="Arial" w:hAnsi="Arial" w:cs="Arial"/>
                <w:noProof/>
                <w:sz w:val="24"/>
                <w:szCs w:val="24"/>
              </w:rPr>
              <w:fldChar w:fldCharType="begin"/>
            </w:r>
            <w:r w:rsidR="000F558A" w:rsidRPr="000F558A">
              <w:rPr>
                <w:rFonts w:ascii="Arial" w:hAnsi="Arial" w:cs="Arial"/>
                <w:noProof/>
                <w:sz w:val="24"/>
                <w:szCs w:val="24"/>
              </w:rPr>
              <w:instrText>PAGEREF _Toc465216687 \h</w:instrText>
            </w:r>
            <w:r w:rsidR="000F558A" w:rsidRPr="000F558A">
              <w:rPr>
                <w:rFonts w:ascii="Arial" w:hAnsi="Arial" w:cs="Arial"/>
                <w:noProof/>
                <w:sz w:val="24"/>
                <w:szCs w:val="24"/>
              </w:rPr>
            </w:r>
            <w:r w:rsidR="000F558A" w:rsidRPr="000F558A">
              <w:rPr>
                <w:rFonts w:ascii="Arial" w:hAnsi="Arial" w:cs="Arial"/>
                <w:noProof/>
                <w:sz w:val="24"/>
                <w:szCs w:val="24"/>
              </w:rPr>
              <w:fldChar w:fldCharType="separate"/>
            </w:r>
            <w:r w:rsidR="006B62BB">
              <w:rPr>
                <w:rFonts w:ascii="Arial" w:hAnsi="Arial" w:cs="Arial"/>
                <w:noProof/>
                <w:sz w:val="24"/>
                <w:szCs w:val="24"/>
              </w:rPr>
              <w:t>4</w:t>
            </w:r>
            <w:r w:rsidR="000F558A" w:rsidRPr="000F558A">
              <w:rPr>
                <w:rFonts w:ascii="Arial" w:hAnsi="Arial" w:cs="Arial"/>
                <w:noProof/>
                <w:sz w:val="24"/>
                <w:szCs w:val="24"/>
              </w:rPr>
              <w:fldChar w:fldCharType="end"/>
            </w:r>
          </w:hyperlink>
        </w:p>
        <w:p w14:paraId="2254BCB8" w14:textId="4CF0C7AA" w:rsidR="000F558A" w:rsidRPr="000F558A" w:rsidRDefault="001A0BCF" w:rsidP="000F558A">
          <w:pPr>
            <w:pStyle w:val="TOC2"/>
            <w:tabs>
              <w:tab w:val="right" w:leader="dot" w:pos="9360"/>
            </w:tabs>
            <w:rPr>
              <w:rFonts w:ascii="Arial" w:hAnsi="Arial" w:cs="Arial"/>
              <w:noProof/>
              <w:sz w:val="24"/>
              <w:szCs w:val="24"/>
            </w:rPr>
          </w:pPr>
          <w:hyperlink w:anchor="_Toc878669190">
            <w:r w:rsidR="000F558A" w:rsidRPr="000F558A">
              <w:rPr>
                <w:rStyle w:val="Hyperlink"/>
                <w:rFonts w:ascii="Arial" w:hAnsi="Arial" w:cs="Arial"/>
                <w:noProof/>
                <w:sz w:val="24"/>
                <w:szCs w:val="24"/>
              </w:rPr>
              <w:t>Perspective of the system</w:t>
            </w:r>
            <w:r w:rsidR="000F558A" w:rsidRPr="000F558A">
              <w:rPr>
                <w:rFonts w:ascii="Arial" w:hAnsi="Arial" w:cs="Arial"/>
                <w:noProof/>
                <w:sz w:val="24"/>
                <w:szCs w:val="24"/>
              </w:rPr>
              <w:tab/>
            </w:r>
            <w:r w:rsidR="000F558A" w:rsidRPr="000F558A">
              <w:rPr>
                <w:rFonts w:ascii="Arial" w:hAnsi="Arial" w:cs="Arial"/>
                <w:noProof/>
                <w:sz w:val="24"/>
                <w:szCs w:val="24"/>
              </w:rPr>
              <w:fldChar w:fldCharType="begin"/>
            </w:r>
            <w:r w:rsidR="000F558A" w:rsidRPr="000F558A">
              <w:rPr>
                <w:rFonts w:ascii="Arial" w:hAnsi="Arial" w:cs="Arial"/>
                <w:noProof/>
                <w:sz w:val="24"/>
                <w:szCs w:val="24"/>
              </w:rPr>
              <w:instrText>PAGEREF _Toc878669190 \h</w:instrText>
            </w:r>
            <w:r w:rsidR="000F558A" w:rsidRPr="000F558A">
              <w:rPr>
                <w:rFonts w:ascii="Arial" w:hAnsi="Arial" w:cs="Arial"/>
                <w:noProof/>
                <w:sz w:val="24"/>
                <w:szCs w:val="24"/>
              </w:rPr>
            </w:r>
            <w:r w:rsidR="000F558A" w:rsidRPr="000F558A">
              <w:rPr>
                <w:rFonts w:ascii="Arial" w:hAnsi="Arial" w:cs="Arial"/>
                <w:noProof/>
                <w:sz w:val="24"/>
                <w:szCs w:val="24"/>
              </w:rPr>
              <w:fldChar w:fldCharType="separate"/>
            </w:r>
            <w:r w:rsidR="006B62BB">
              <w:rPr>
                <w:rFonts w:ascii="Arial" w:hAnsi="Arial" w:cs="Arial"/>
                <w:noProof/>
                <w:sz w:val="24"/>
                <w:szCs w:val="24"/>
              </w:rPr>
              <w:t>4</w:t>
            </w:r>
            <w:r w:rsidR="000F558A" w:rsidRPr="000F558A">
              <w:rPr>
                <w:rFonts w:ascii="Arial" w:hAnsi="Arial" w:cs="Arial"/>
                <w:noProof/>
                <w:sz w:val="24"/>
                <w:szCs w:val="24"/>
              </w:rPr>
              <w:fldChar w:fldCharType="end"/>
            </w:r>
          </w:hyperlink>
        </w:p>
        <w:p w14:paraId="27D8B5D6" w14:textId="4D3F466B" w:rsidR="000F558A" w:rsidRPr="000F558A" w:rsidRDefault="001A0BCF" w:rsidP="000F558A">
          <w:pPr>
            <w:pStyle w:val="TOC2"/>
            <w:tabs>
              <w:tab w:val="right" w:leader="dot" w:pos="9360"/>
            </w:tabs>
            <w:rPr>
              <w:rFonts w:ascii="Arial" w:hAnsi="Arial" w:cs="Arial"/>
              <w:noProof/>
              <w:sz w:val="24"/>
              <w:szCs w:val="24"/>
            </w:rPr>
          </w:pPr>
          <w:hyperlink w:anchor="_Toc1619358002">
            <w:r w:rsidR="000F558A" w:rsidRPr="000F558A">
              <w:rPr>
                <w:rStyle w:val="Hyperlink"/>
                <w:rFonts w:ascii="Arial" w:hAnsi="Arial" w:cs="Arial"/>
                <w:noProof/>
                <w:sz w:val="24"/>
                <w:szCs w:val="24"/>
              </w:rPr>
              <w:t>Individual perspective</w:t>
            </w:r>
            <w:r w:rsidR="000F558A" w:rsidRPr="000F558A">
              <w:rPr>
                <w:rFonts w:ascii="Arial" w:hAnsi="Arial" w:cs="Arial"/>
                <w:noProof/>
                <w:sz w:val="24"/>
                <w:szCs w:val="24"/>
              </w:rPr>
              <w:tab/>
            </w:r>
            <w:r w:rsidR="000F558A" w:rsidRPr="000F558A">
              <w:rPr>
                <w:rFonts w:ascii="Arial" w:hAnsi="Arial" w:cs="Arial"/>
                <w:noProof/>
                <w:sz w:val="24"/>
                <w:szCs w:val="24"/>
              </w:rPr>
              <w:fldChar w:fldCharType="begin"/>
            </w:r>
            <w:r w:rsidR="000F558A" w:rsidRPr="000F558A">
              <w:rPr>
                <w:rFonts w:ascii="Arial" w:hAnsi="Arial" w:cs="Arial"/>
                <w:noProof/>
                <w:sz w:val="24"/>
                <w:szCs w:val="24"/>
              </w:rPr>
              <w:instrText>PAGEREF _Toc1619358002 \h</w:instrText>
            </w:r>
            <w:r w:rsidR="000F558A" w:rsidRPr="000F558A">
              <w:rPr>
                <w:rFonts w:ascii="Arial" w:hAnsi="Arial" w:cs="Arial"/>
                <w:noProof/>
                <w:sz w:val="24"/>
                <w:szCs w:val="24"/>
              </w:rPr>
            </w:r>
            <w:r w:rsidR="000F558A" w:rsidRPr="000F558A">
              <w:rPr>
                <w:rFonts w:ascii="Arial" w:hAnsi="Arial" w:cs="Arial"/>
                <w:noProof/>
                <w:sz w:val="24"/>
                <w:szCs w:val="24"/>
              </w:rPr>
              <w:fldChar w:fldCharType="separate"/>
            </w:r>
            <w:r w:rsidR="006B62BB">
              <w:rPr>
                <w:rFonts w:ascii="Arial" w:hAnsi="Arial" w:cs="Arial"/>
                <w:noProof/>
                <w:sz w:val="24"/>
                <w:szCs w:val="24"/>
              </w:rPr>
              <w:t>5</w:t>
            </w:r>
            <w:r w:rsidR="000F558A" w:rsidRPr="000F558A">
              <w:rPr>
                <w:rFonts w:ascii="Arial" w:hAnsi="Arial" w:cs="Arial"/>
                <w:noProof/>
                <w:sz w:val="24"/>
                <w:szCs w:val="24"/>
              </w:rPr>
              <w:fldChar w:fldCharType="end"/>
            </w:r>
          </w:hyperlink>
        </w:p>
        <w:p w14:paraId="3FC4A829" w14:textId="554C0AC3" w:rsidR="000F558A" w:rsidRPr="000F558A" w:rsidRDefault="001A0BCF" w:rsidP="000F558A">
          <w:pPr>
            <w:pStyle w:val="TOC2"/>
            <w:tabs>
              <w:tab w:val="right" w:leader="dot" w:pos="9360"/>
            </w:tabs>
            <w:rPr>
              <w:rFonts w:ascii="Arial" w:hAnsi="Arial" w:cs="Arial"/>
              <w:noProof/>
              <w:sz w:val="24"/>
              <w:szCs w:val="24"/>
            </w:rPr>
          </w:pPr>
          <w:hyperlink w:anchor="_Toc643197239">
            <w:r w:rsidR="000F558A" w:rsidRPr="000F558A">
              <w:rPr>
                <w:rStyle w:val="Hyperlink"/>
                <w:rFonts w:ascii="Arial" w:hAnsi="Arial" w:cs="Arial"/>
                <w:noProof/>
                <w:sz w:val="24"/>
                <w:szCs w:val="24"/>
              </w:rPr>
              <w:t>Social and political frameworks</w:t>
            </w:r>
            <w:r w:rsidR="000F558A" w:rsidRPr="000F558A">
              <w:rPr>
                <w:rFonts w:ascii="Arial" w:hAnsi="Arial" w:cs="Arial"/>
                <w:noProof/>
                <w:sz w:val="24"/>
                <w:szCs w:val="24"/>
              </w:rPr>
              <w:tab/>
            </w:r>
            <w:r w:rsidR="000F558A" w:rsidRPr="000F558A">
              <w:rPr>
                <w:rFonts w:ascii="Arial" w:hAnsi="Arial" w:cs="Arial"/>
                <w:noProof/>
                <w:sz w:val="24"/>
                <w:szCs w:val="24"/>
              </w:rPr>
              <w:fldChar w:fldCharType="begin"/>
            </w:r>
            <w:r w:rsidR="000F558A" w:rsidRPr="000F558A">
              <w:rPr>
                <w:rFonts w:ascii="Arial" w:hAnsi="Arial" w:cs="Arial"/>
                <w:noProof/>
                <w:sz w:val="24"/>
                <w:szCs w:val="24"/>
              </w:rPr>
              <w:instrText>PAGEREF _Toc643197239 \h</w:instrText>
            </w:r>
            <w:r w:rsidR="000F558A" w:rsidRPr="000F558A">
              <w:rPr>
                <w:rFonts w:ascii="Arial" w:hAnsi="Arial" w:cs="Arial"/>
                <w:noProof/>
                <w:sz w:val="24"/>
                <w:szCs w:val="24"/>
              </w:rPr>
            </w:r>
            <w:r w:rsidR="000F558A" w:rsidRPr="000F558A">
              <w:rPr>
                <w:rFonts w:ascii="Arial" w:hAnsi="Arial" w:cs="Arial"/>
                <w:noProof/>
                <w:sz w:val="24"/>
                <w:szCs w:val="24"/>
              </w:rPr>
              <w:fldChar w:fldCharType="separate"/>
            </w:r>
            <w:r w:rsidR="006B62BB">
              <w:rPr>
                <w:rFonts w:ascii="Arial" w:hAnsi="Arial" w:cs="Arial"/>
                <w:noProof/>
                <w:sz w:val="24"/>
                <w:szCs w:val="24"/>
              </w:rPr>
              <w:t>5</w:t>
            </w:r>
            <w:r w:rsidR="000F558A" w:rsidRPr="000F558A">
              <w:rPr>
                <w:rFonts w:ascii="Arial" w:hAnsi="Arial" w:cs="Arial"/>
                <w:noProof/>
                <w:sz w:val="24"/>
                <w:szCs w:val="24"/>
              </w:rPr>
              <w:fldChar w:fldCharType="end"/>
            </w:r>
          </w:hyperlink>
        </w:p>
        <w:p w14:paraId="7674096E" w14:textId="4CD4CA7E" w:rsidR="000F558A" w:rsidRPr="000F558A" w:rsidRDefault="001A0BCF" w:rsidP="000F558A">
          <w:pPr>
            <w:pStyle w:val="TOC1"/>
            <w:tabs>
              <w:tab w:val="right" w:leader="dot" w:pos="9360"/>
            </w:tabs>
            <w:rPr>
              <w:rFonts w:ascii="Arial" w:hAnsi="Arial" w:cs="Arial"/>
              <w:noProof/>
              <w:sz w:val="24"/>
              <w:szCs w:val="24"/>
            </w:rPr>
          </w:pPr>
          <w:hyperlink w:anchor="_Toc1513257503">
            <w:r w:rsidR="000F558A" w:rsidRPr="000F558A">
              <w:rPr>
                <w:rStyle w:val="Hyperlink"/>
                <w:rFonts w:ascii="Arial" w:hAnsi="Arial" w:cs="Arial"/>
                <w:noProof/>
                <w:sz w:val="24"/>
                <w:szCs w:val="24"/>
              </w:rPr>
              <w:t>Benefits of community engagement</w:t>
            </w:r>
            <w:r w:rsidR="000F558A" w:rsidRPr="000F558A">
              <w:rPr>
                <w:rFonts w:ascii="Arial" w:hAnsi="Arial" w:cs="Arial"/>
                <w:noProof/>
                <w:sz w:val="24"/>
                <w:szCs w:val="24"/>
              </w:rPr>
              <w:tab/>
            </w:r>
            <w:r w:rsidR="000F558A" w:rsidRPr="000F558A">
              <w:rPr>
                <w:rFonts w:ascii="Arial" w:hAnsi="Arial" w:cs="Arial"/>
                <w:noProof/>
                <w:sz w:val="24"/>
                <w:szCs w:val="24"/>
              </w:rPr>
              <w:fldChar w:fldCharType="begin"/>
            </w:r>
            <w:r w:rsidR="000F558A" w:rsidRPr="000F558A">
              <w:rPr>
                <w:rFonts w:ascii="Arial" w:hAnsi="Arial" w:cs="Arial"/>
                <w:noProof/>
                <w:sz w:val="24"/>
                <w:szCs w:val="24"/>
              </w:rPr>
              <w:instrText>PAGEREF _Toc1513257503 \h</w:instrText>
            </w:r>
            <w:r w:rsidR="000F558A" w:rsidRPr="000F558A">
              <w:rPr>
                <w:rFonts w:ascii="Arial" w:hAnsi="Arial" w:cs="Arial"/>
                <w:noProof/>
                <w:sz w:val="24"/>
                <w:szCs w:val="24"/>
              </w:rPr>
            </w:r>
            <w:r w:rsidR="000F558A" w:rsidRPr="000F558A">
              <w:rPr>
                <w:rFonts w:ascii="Arial" w:hAnsi="Arial" w:cs="Arial"/>
                <w:noProof/>
                <w:sz w:val="24"/>
                <w:szCs w:val="24"/>
              </w:rPr>
              <w:fldChar w:fldCharType="separate"/>
            </w:r>
            <w:r w:rsidR="006B62BB">
              <w:rPr>
                <w:rFonts w:ascii="Arial" w:hAnsi="Arial" w:cs="Arial"/>
                <w:noProof/>
                <w:sz w:val="24"/>
                <w:szCs w:val="24"/>
              </w:rPr>
              <w:t>6</w:t>
            </w:r>
            <w:r w:rsidR="000F558A" w:rsidRPr="000F558A">
              <w:rPr>
                <w:rFonts w:ascii="Arial" w:hAnsi="Arial" w:cs="Arial"/>
                <w:noProof/>
                <w:sz w:val="24"/>
                <w:szCs w:val="24"/>
              </w:rPr>
              <w:fldChar w:fldCharType="end"/>
            </w:r>
          </w:hyperlink>
        </w:p>
        <w:p w14:paraId="5C9AA750" w14:textId="4C2952A6" w:rsidR="000F558A" w:rsidRPr="000F558A" w:rsidRDefault="001A0BCF" w:rsidP="000F558A">
          <w:pPr>
            <w:pStyle w:val="TOC1"/>
            <w:tabs>
              <w:tab w:val="right" w:leader="dot" w:pos="9360"/>
            </w:tabs>
            <w:rPr>
              <w:rFonts w:ascii="Arial" w:hAnsi="Arial" w:cs="Arial"/>
              <w:noProof/>
              <w:sz w:val="24"/>
              <w:szCs w:val="24"/>
            </w:rPr>
          </w:pPr>
          <w:hyperlink w:anchor="_Toc2112196660">
            <w:r w:rsidR="000F558A" w:rsidRPr="000F558A">
              <w:rPr>
                <w:rStyle w:val="Hyperlink"/>
                <w:rFonts w:ascii="Arial" w:hAnsi="Arial" w:cs="Arial"/>
                <w:noProof/>
                <w:sz w:val="24"/>
                <w:szCs w:val="24"/>
              </w:rPr>
              <w:t>Conclusion</w:t>
            </w:r>
            <w:r w:rsidR="000F558A" w:rsidRPr="000F558A">
              <w:rPr>
                <w:rFonts w:ascii="Arial" w:hAnsi="Arial" w:cs="Arial"/>
                <w:noProof/>
                <w:sz w:val="24"/>
                <w:szCs w:val="24"/>
              </w:rPr>
              <w:tab/>
            </w:r>
            <w:r w:rsidR="000F558A" w:rsidRPr="000F558A">
              <w:rPr>
                <w:rFonts w:ascii="Arial" w:hAnsi="Arial" w:cs="Arial"/>
                <w:noProof/>
                <w:sz w:val="24"/>
                <w:szCs w:val="24"/>
              </w:rPr>
              <w:fldChar w:fldCharType="begin"/>
            </w:r>
            <w:r w:rsidR="000F558A" w:rsidRPr="000F558A">
              <w:rPr>
                <w:rFonts w:ascii="Arial" w:hAnsi="Arial" w:cs="Arial"/>
                <w:noProof/>
                <w:sz w:val="24"/>
                <w:szCs w:val="24"/>
              </w:rPr>
              <w:instrText>PAGEREF _Toc2112196660 \h</w:instrText>
            </w:r>
            <w:r w:rsidR="000F558A" w:rsidRPr="000F558A">
              <w:rPr>
                <w:rFonts w:ascii="Arial" w:hAnsi="Arial" w:cs="Arial"/>
                <w:noProof/>
                <w:sz w:val="24"/>
                <w:szCs w:val="24"/>
              </w:rPr>
            </w:r>
            <w:r w:rsidR="000F558A" w:rsidRPr="000F558A">
              <w:rPr>
                <w:rFonts w:ascii="Arial" w:hAnsi="Arial" w:cs="Arial"/>
                <w:noProof/>
                <w:sz w:val="24"/>
                <w:szCs w:val="24"/>
              </w:rPr>
              <w:fldChar w:fldCharType="separate"/>
            </w:r>
            <w:r w:rsidR="006B62BB">
              <w:rPr>
                <w:rFonts w:ascii="Arial" w:hAnsi="Arial" w:cs="Arial"/>
                <w:noProof/>
                <w:sz w:val="24"/>
                <w:szCs w:val="24"/>
              </w:rPr>
              <w:t>7</w:t>
            </w:r>
            <w:r w:rsidR="000F558A" w:rsidRPr="000F558A">
              <w:rPr>
                <w:rFonts w:ascii="Arial" w:hAnsi="Arial" w:cs="Arial"/>
                <w:noProof/>
                <w:sz w:val="24"/>
                <w:szCs w:val="24"/>
              </w:rPr>
              <w:fldChar w:fldCharType="end"/>
            </w:r>
          </w:hyperlink>
        </w:p>
        <w:p w14:paraId="341186B3" w14:textId="0DB76D1C" w:rsidR="000F558A" w:rsidRPr="000F558A" w:rsidRDefault="001A0BCF" w:rsidP="000F558A">
          <w:pPr>
            <w:pStyle w:val="TOC1"/>
            <w:tabs>
              <w:tab w:val="right" w:leader="dot" w:pos="9360"/>
            </w:tabs>
            <w:rPr>
              <w:rFonts w:ascii="Arial" w:hAnsi="Arial" w:cs="Arial"/>
              <w:sz w:val="24"/>
              <w:szCs w:val="24"/>
            </w:rPr>
          </w:pPr>
          <w:hyperlink w:anchor="_Toc722461251">
            <w:r w:rsidR="000F558A" w:rsidRPr="000F558A">
              <w:rPr>
                <w:rStyle w:val="Hyperlink"/>
                <w:rFonts w:ascii="Arial" w:hAnsi="Arial" w:cs="Arial"/>
                <w:noProof/>
                <w:sz w:val="24"/>
                <w:szCs w:val="24"/>
              </w:rPr>
              <w:t>References</w:t>
            </w:r>
            <w:r w:rsidR="000F558A" w:rsidRPr="000F558A">
              <w:rPr>
                <w:rFonts w:ascii="Arial" w:hAnsi="Arial" w:cs="Arial"/>
                <w:noProof/>
                <w:sz w:val="24"/>
                <w:szCs w:val="24"/>
              </w:rPr>
              <w:tab/>
            </w:r>
            <w:r w:rsidR="000F558A" w:rsidRPr="000F558A">
              <w:rPr>
                <w:rFonts w:ascii="Arial" w:hAnsi="Arial" w:cs="Arial"/>
                <w:noProof/>
                <w:sz w:val="24"/>
                <w:szCs w:val="24"/>
              </w:rPr>
              <w:fldChar w:fldCharType="begin"/>
            </w:r>
            <w:r w:rsidR="000F558A" w:rsidRPr="000F558A">
              <w:rPr>
                <w:rFonts w:ascii="Arial" w:hAnsi="Arial" w:cs="Arial"/>
                <w:noProof/>
                <w:sz w:val="24"/>
                <w:szCs w:val="24"/>
              </w:rPr>
              <w:instrText>PAGEREF _Toc722461251 \h</w:instrText>
            </w:r>
            <w:r w:rsidR="000F558A" w:rsidRPr="000F558A">
              <w:rPr>
                <w:rFonts w:ascii="Arial" w:hAnsi="Arial" w:cs="Arial"/>
                <w:noProof/>
                <w:sz w:val="24"/>
                <w:szCs w:val="24"/>
              </w:rPr>
            </w:r>
            <w:r w:rsidR="000F558A" w:rsidRPr="000F558A">
              <w:rPr>
                <w:rFonts w:ascii="Arial" w:hAnsi="Arial" w:cs="Arial"/>
                <w:noProof/>
                <w:sz w:val="24"/>
                <w:szCs w:val="24"/>
              </w:rPr>
              <w:fldChar w:fldCharType="separate"/>
            </w:r>
            <w:r w:rsidR="006B62BB">
              <w:rPr>
                <w:rFonts w:ascii="Arial" w:hAnsi="Arial" w:cs="Arial"/>
                <w:noProof/>
                <w:sz w:val="24"/>
                <w:szCs w:val="24"/>
              </w:rPr>
              <w:t>9</w:t>
            </w:r>
            <w:r w:rsidR="000F558A" w:rsidRPr="000F558A">
              <w:rPr>
                <w:rFonts w:ascii="Arial" w:hAnsi="Arial" w:cs="Arial"/>
                <w:noProof/>
                <w:sz w:val="24"/>
                <w:szCs w:val="24"/>
              </w:rPr>
              <w:fldChar w:fldCharType="end"/>
            </w:r>
          </w:hyperlink>
          <w:r w:rsidR="000F558A" w:rsidRPr="000F558A">
            <w:rPr>
              <w:rFonts w:ascii="Arial" w:hAnsi="Arial" w:cs="Arial"/>
              <w:sz w:val="24"/>
              <w:szCs w:val="24"/>
            </w:rPr>
            <w:fldChar w:fldCharType="end"/>
          </w:r>
        </w:p>
      </w:sdtContent>
    </w:sdt>
    <w:p w14:paraId="1F694451" w14:textId="77777777" w:rsidR="000F558A" w:rsidRPr="000F558A" w:rsidRDefault="000F558A" w:rsidP="000F558A">
      <w:pPr>
        <w:rPr>
          <w:rFonts w:ascii="Arial" w:hAnsi="Arial" w:cs="Arial"/>
          <w:sz w:val="24"/>
          <w:szCs w:val="24"/>
        </w:rPr>
      </w:pPr>
      <w:r w:rsidRPr="000F558A">
        <w:rPr>
          <w:rFonts w:ascii="Arial" w:hAnsi="Arial" w:cs="Arial"/>
          <w:sz w:val="24"/>
          <w:szCs w:val="24"/>
        </w:rPr>
        <w:br w:type="page"/>
      </w:r>
    </w:p>
    <w:p w14:paraId="246E8F40" w14:textId="77777777" w:rsidR="000F558A" w:rsidRPr="000F558A" w:rsidRDefault="000F558A" w:rsidP="000F558A">
      <w:pPr>
        <w:pStyle w:val="Heading1"/>
        <w:rPr>
          <w:rFonts w:ascii="Arial" w:hAnsi="Arial" w:cs="Arial"/>
          <w:color w:val="auto"/>
          <w:sz w:val="24"/>
          <w:szCs w:val="24"/>
        </w:rPr>
      </w:pPr>
    </w:p>
    <w:p w14:paraId="0FA9466B" w14:textId="6BFF23FA" w:rsidR="00915D81" w:rsidRPr="00915D81" w:rsidRDefault="000F558A" w:rsidP="00915D81">
      <w:pPr>
        <w:pStyle w:val="Heading1"/>
        <w:jc w:val="both"/>
        <w:rPr>
          <w:rFonts w:ascii="Arial" w:hAnsi="Arial" w:cs="Arial"/>
          <w:b/>
          <w:bCs/>
          <w:color w:val="auto"/>
          <w:sz w:val="24"/>
          <w:szCs w:val="24"/>
        </w:rPr>
      </w:pPr>
      <w:bookmarkStart w:id="1" w:name="_Toc1941704499"/>
      <w:r w:rsidRPr="000F558A">
        <w:rPr>
          <w:rFonts w:ascii="Arial" w:hAnsi="Arial" w:cs="Arial"/>
          <w:b/>
          <w:bCs/>
          <w:color w:val="auto"/>
          <w:sz w:val="24"/>
          <w:szCs w:val="24"/>
        </w:rPr>
        <w:t xml:space="preserve">Introduction </w:t>
      </w:r>
      <w:bookmarkEnd w:id="1"/>
    </w:p>
    <w:p w14:paraId="2E7924E8" w14:textId="77777777" w:rsidR="000F558A" w:rsidRPr="000F558A" w:rsidRDefault="000F558A" w:rsidP="000F558A">
      <w:pPr>
        <w:spacing w:line="360" w:lineRule="auto"/>
        <w:jc w:val="both"/>
        <w:rPr>
          <w:rFonts w:ascii="Arial" w:hAnsi="Arial" w:cs="Arial"/>
          <w:sz w:val="24"/>
          <w:szCs w:val="24"/>
        </w:rPr>
      </w:pPr>
      <w:r w:rsidRPr="000F558A">
        <w:rPr>
          <w:rFonts w:ascii="Arial" w:hAnsi="Arial" w:cs="Arial"/>
          <w:sz w:val="24"/>
          <w:szCs w:val="24"/>
        </w:rPr>
        <w:t>Community engagement is the process of interacting with the culture, beliefs and prowess of each society that is seen to have meaning in any context in the community and bring about a consensus in the issues affecting the wellbeing of individuals. Taking part in community activities and tackling some of the issues in the development or impacting the society keeps us focused on the emerging issues and the connections between various engagements in the community as well as engaging ourselves with relationships and the diverse theories associated with them. Everyone should therefore interrogate most of the situations and circumstances that may hinder our engagements with the society we have now. This essay therefore is an eyeopener that will help to give us the various skills that will usher us to critically know the various functions together with the connectedness of community engagement to the society. This essay will also analyse various theories and discuss in detail the relationship of engagement in the community so that it can be of benefit to the conceptualization of the nature of community engagement with regards to hypothesis such as ethical theory, communicative theory, and the citizenship theory. This essay will also illustrate how various perspectives impacts the community engagement and how community engagement has benefits to all individuals including the students studying and aspire to interact with the public.</w:t>
      </w:r>
    </w:p>
    <w:p w14:paraId="788995DF" w14:textId="77777777" w:rsidR="000F558A" w:rsidRPr="000F558A" w:rsidRDefault="000F558A" w:rsidP="000F558A">
      <w:pPr>
        <w:pStyle w:val="Heading1"/>
        <w:jc w:val="both"/>
        <w:rPr>
          <w:rFonts w:ascii="Arial" w:hAnsi="Arial" w:cs="Arial"/>
          <w:b/>
          <w:bCs/>
          <w:color w:val="auto"/>
          <w:sz w:val="24"/>
          <w:szCs w:val="24"/>
        </w:rPr>
      </w:pPr>
      <w:bookmarkStart w:id="2" w:name="_Toc803821152"/>
      <w:r w:rsidRPr="000F558A">
        <w:rPr>
          <w:rFonts w:ascii="Arial" w:hAnsi="Arial" w:cs="Arial"/>
          <w:b/>
          <w:bCs/>
          <w:color w:val="auto"/>
          <w:sz w:val="24"/>
          <w:szCs w:val="24"/>
        </w:rPr>
        <w:t>How theory impacts community engagement</w:t>
      </w:r>
      <w:bookmarkEnd w:id="2"/>
    </w:p>
    <w:p w14:paraId="514771B0" w14:textId="77777777" w:rsidR="000F558A" w:rsidRPr="000F558A" w:rsidRDefault="000F558A" w:rsidP="000F558A">
      <w:pPr>
        <w:pStyle w:val="Heading2"/>
        <w:jc w:val="both"/>
        <w:rPr>
          <w:rFonts w:ascii="Arial" w:hAnsi="Arial" w:cs="Arial"/>
          <w:b/>
          <w:bCs/>
          <w:color w:val="auto"/>
          <w:sz w:val="24"/>
          <w:szCs w:val="24"/>
        </w:rPr>
      </w:pPr>
      <w:bookmarkStart w:id="3" w:name="_Toc1252638282"/>
      <w:r w:rsidRPr="000F558A">
        <w:rPr>
          <w:rFonts w:ascii="Arial" w:hAnsi="Arial" w:cs="Arial"/>
          <w:b/>
          <w:bCs/>
          <w:color w:val="auto"/>
          <w:sz w:val="24"/>
          <w:szCs w:val="24"/>
        </w:rPr>
        <w:t>Ethical theory</w:t>
      </w:r>
      <w:bookmarkEnd w:id="3"/>
    </w:p>
    <w:p w14:paraId="3CE15982" w14:textId="77777777" w:rsidR="000F558A" w:rsidRPr="000F558A" w:rsidRDefault="000F558A" w:rsidP="000F558A">
      <w:pPr>
        <w:spacing w:line="360" w:lineRule="auto"/>
        <w:jc w:val="both"/>
        <w:rPr>
          <w:rFonts w:ascii="Arial" w:hAnsi="Arial" w:cs="Arial"/>
          <w:sz w:val="24"/>
          <w:szCs w:val="24"/>
        </w:rPr>
      </w:pPr>
      <w:r w:rsidRPr="000F558A">
        <w:rPr>
          <w:rFonts w:ascii="Arial" w:hAnsi="Arial" w:cs="Arial"/>
          <w:sz w:val="24"/>
          <w:szCs w:val="24"/>
        </w:rPr>
        <w:t xml:space="preserve">      One of the theories that has been found to impact the way community engagement issues should be is the ethical theory. According to the ethical theory, ethics are those issues that are targeted at elaborating the process of decision making so that the right judgements can be made (Watson, 2007). This theory tries to connect the roles and the duties that are attached to an individual to translate into the public and bring about an impact to the community (James and Schmitz, 2011). A clear demonstration of how this theory impact the community for example, when we analyse the music industry and critically analyse how they translate to the community is negative to the community</w:t>
      </w:r>
      <w:bookmarkStart w:id="4" w:name="_Int_6cnDynkz"/>
      <w:r w:rsidRPr="000F558A">
        <w:rPr>
          <w:rFonts w:ascii="Arial" w:hAnsi="Arial" w:cs="Arial"/>
          <w:sz w:val="24"/>
          <w:szCs w:val="24"/>
        </w:rPr>
        <w:t xml:space="preserve">. </w:t>
      </w:r>
      <w:bookmarkEnd w:id="4"/>
      <w:r w:rsidRPr="000F558A">
        <w:rPr>
          <w:rFonts w:ascii="Arial" w:hAnsi="Arial" w:cs="Arial"/>
          <w:sz w:val="24"/>
          <w:szCs w:val="24"/>
        </w:rPr>
        <w:t xml:space="preserve">We have seen in most of the studies that some of the tools such as the television of </w:t>
      </w:r>
      <w:r w:rsidRPr="000F558A">
        <w:rPr>
          <w:rFonts w:ascii="Arial" w:hAnsi="Arial" w:cs="Arial"/>
          <w:sz w:val="24"/>
          <w:szCs w:val="24"/>
        </w:rPr>
        <w:lastRenderedPageBreak/>
        <w:t xml:space="preserve">smartphones is alarmingly becoming an addictive thing to the community and therefore this has impacted community engagement negatively although the various industries reiterate that it is the responsibility of the public to take what is right for them (James and Schmitz, 2011). </w:t>
      </w:r>
    </w:p>
    <w:p w14:paraId="2C33B1A3" w14:textId="77777777" w:rsidR="000F558A" w:rsidRPr="000F558A" w:rsidRDefault="000F558A" w:rsidP="000F558A">
      <w:pPr>
        <w:spacing w:line="360" w:lineRule="auto"/>
        <w:jc w:val="both"/>
        <w:rPr>
          <w:rFonts w:ascii="Arial" w:hAnsi="Arial" w:cs="Arial"/>
          <w:sz w:val="24"/>
          <w:szCs w:val="24"/>
        </w:rPr>
      </w:pPr>
      <w:r w:rsidRPr="000F558A">
        <w:rPr>
          <w:rFonts w:ascii="Arial" w:hAnsi="Arial" w:cs="Arial"/>
          <w:sz w:val="24"/>
          <w:szCs w:val="24"/>
        </w:rPr>
        <w:t xml:space="preserve">Some negligible regulations would need to be established or affirmed </w:t>
      </w:r>
      <w:bookmarkStart w:id="5" w:name="_Int_0dtROfe1"/>
      <w:r w:rsidRPr="000F558A">
        <w:rPr>
          <w:rFonts w:ascii="Arial" w:hAnsi="Arial" w:cs="Arial"/>
          <w:sz w:val="24"/>
          <w:szCs w:val="24"/>
        </w:rPr>
        <w:t>to</w:t>
      </w:r>
      <w:bookmarkEnd w:id="5"/>
      <w:r w:rsidRPr="000F558A">
        <w:rPr>
          <w:rFonts w:ascii="Arial" w:hAnsi="Arial" w:cs="Arial"/>
          <w:sz w:val="24"/>
          <w:szCs w:val="24"/>
        </w:rPr>
        <w:t xml:space="preserve"> sustain collaboration amongst sections of the community to create a community that is </w:t>
      </w:r>
      <w:bookmarkStart w:id="6" w:name="_Int_NwY5TkAk"/>
      <w:r w:rsidRPr="000F558A">
        <w:rPr>
          <w:rFonts w:ascii="Arial" w:hAnsi="Arial" w:cs="Arial"/>
          <w:sz w:val="24"/>
          <w:szCs w:val="24"/>
        </w:rPr>
        <w:t>accurately</w:t>
      </w:r>
      <w:bookmarkEnd w:id="6"/>
      <w:r w:rsidRPr="000F558A">
        <w:rPr>
          <w:rFonts w:ascii="Arial" w:hAnsi="Arial" w:cs="Arial"/>
          <w:sz w:val="24"/>
          <w:szCs w:val="24"/>
        </w:rPr>
        <w:t xml:space="preserve"> determined where every individual is free to explore their own self record objectives and aspirations. Ethics are an important aspect in the field of communication, but this should be translated to the field of assisting human trivial in all the areas and get to develop personal interests. This is normally applicable by ensuring that the individuals in a particular area in the society gets to embrace the existing regulations and legislations of the community which applies to anyone in the community. The presence of various legislations by the government has aided in ensuring that most individuals get access to equal opportunities and that they live according to the required standards that does not affect others. This theory simply illustrates that despite having duties and responsibilities in the community they should respect other people’s relationships and engagement in the society and therefore they should practice amicable practices that ensures togetherness and equality for all (</w:t>
      </w:r>
      <w:proofErr w:type="spellStart"/>
      <w:r w:rsidRPr="000F558A">
        <w:rPr>
          <w:rFonts w:ascii="Arial" w:hAnsi="Arial" w:cs="Arial"/>
          <w:sz w:val="24"/>
          <w:szCs w:val="24"/>
        </w:rPr>
        <w:t>Aslin</w:t>
      </w:r>
      <w:proofErr w:type="spellEnd"/>
      <w:r w:rsidRPr="000F558A">
        <w:rPr>
          <w:rFonts w:ascii="Arial" w:hAnsi="Arial" w:cs="Arial"/>
          <w:sz w:val="24"/>
          <w:szCs w:val="24"/>
        </w:rPr>
        <w:t xml:space="preserve"> and Brown, 2004). </w:t>
      </w:r>
    </w:p>
    <w:p w14:paraId="563272C9" w14:textId="4645D5F9" w:rsidR="000F558A" w:rsidRDefault="000F558A" w:rsidP="000F558A">
      <w:pPr>
        <w:pStyle w:val="Heading1"/>
        <w:jc w:val="both"/>
        <w:rPr>
          <w:rFonts w:ascii="Arial" w:hAnsi="Arial" w:cs="Arial"/>
          <w:b/>
          <w:bCs/>
          <w:color w:val="auto"/>
          <w:sz w:val="24"/>
          <w:szCs w:val="24"/>
        </w:rPr>
      </w:pPr>
      <w:bookmarkStart w:id="7" w:name="_Toc465216687"/>
      <w:r w:rsidRPr="000F558A">
        <w:rPr>
          <w:rFonts w:ascii="Arial" w:hAnsi="Arial" w:cs="Arial"/>
          <w:b/>
          <w:bCs/>
          <w:color w:val="auto"/>
          <w:sz w:val="24"/>
          <w:szCs w:val="24"/>
        </w:rPr>
        <w:t>Possible ways of engaging with the community</w:t>
      </w:r>
      <w:bookmarkEnd w:id="7"/>
    </w:p>
    <w:p w14:paraId="002E97E3" w14:textId="77777777" w:rsidR="00915D81" w:rsidRPr="00915D81" w:rsidRDefault="00915D81" w:rsidP="00915D81"/>
    <w:p w14:paraId="686A682D" w14:textId="77777777" w:rsidR="000F558A" w:rsidRPr="000F558A" w:rsidRDefault="000F558A" w:rsidP="000F558A">
      <w:pPr>
        <w:pStyle w:val="Heading2"/>
        <w:jc w:val="both"/>
        <w:rPr>
          <w:rFonts w:ascii="Arial" w:hAnsi="Arial" w:cs="Arial"/>
          <w:b/>
          <w:bCs/>
          <w:color w:val="auto"/>
          <w:sz w:val="24"/>
          <w:szCs w:val="24"/>
        </w:rPr>
      </w:pPr>
      <w:bookmarkStart w:id="8" w:name="_Toc878669190"/>
      <w:r w:rsidRPr="000F558A">
        <w:rPr>
          <w:rFonts w:ascii="Arial" w:hAnsi="Arial" w:cs="Arial"/>
          <w:b/>
          <w:bCs/>
          <w:color w:val="auto"/>
          <w:sz w:val="24"/>
          <w:szCs w:val="24"/>
        </w:rPr>
        <w:t xml:space="preserve">Perspective of the system </w:t>
      </w:r>
      <w:bookmarkEnd w:id="8"/>
    </w:p>
    <w:p w14:paraId="552B7A69" w14:textId="77777777" w:rsidR="000F558A" w:rsidRPr="000F558A" w:rsidRDefault="000F558A" w:rsidP="000F558A">
      <w:pPr>
        <w:spacing w:line="360" w:lineRule="auto"/>
        <w:jc w:val="both"/>
        <w:rPr>
          <w:rFonts w:ascii="Arial" w:hAnsi="Arial" w:cs="Arial"/>
          <w:sz w:val="24"/>
          <w:szCs w:val="24"/>
        </w:rPr>
      </w:pPr>
      <w:r w:rsidRPr="000F558A">
        <w:rPr>
          <w:rFonts w:ascii="Arial" w:hAnsi="Arial" w:cs="Arial"/>
          <w:sz w:val="24"/>
          <w:szCs w:val="24"/>
        </w:rPr>
        <w:t xml:space="preserve">When we analyse the perspective of the system, we find that community engagement is comprised of many sections that </w:t>
      </w:r>
      <w:bookmarkStart w:id="9" w:name="_Int_KJT7ur70"/>
      <w:r w:rsidRPr="000F558A">
        <w:rPr>
          <w:rFonts w:ascii="Arial" w:hAnsi="Arial" w:cs="Arial"/>
          <w:sz w:val="24"/>
          <w:szCs w:val="24"/>
        </w:rPr>
        <w:t>have</w:t>
      </w:r>
      <w:bookmarkEnd w:id="9"/>
      <w:r w:rsidRPr="000F558A">
        <w:rPr>
          <w:rFonts w:ascii="Arial" w:hAnsi="Arial" w:cs="Arial"/>
          <w:sz w:val="24"/>
          <w:szCs w:val="24"/>
        </w:rPr>
        <w:t xml:space="preserve"> diverse applicability and ways of operation and that they meet the needs of the society, but they follow the existing or set boundaries. For example, in the society the school aims at educating and sharpening the moral behaviours of the people, the health facilities aim at giving medications and other care services, the government puts the legislation and governing the activities taking place, the churches and worship centres focuses on spiritual well-being of the individuals (Henry, 2011). This is now what should translate to the community in that each section of </w:t>
      </w:r>
      <w:r w:rsidRPr="000F558A">
        <w:rPr>
          <w:rFonts w:ascii="Arial" w:hAnsi="Arial" w:cs="Arial"/>
          <w:sz w:val="24"/>
          <w:szCs w:val="24"/>
        </w:rPr>
        <w:lastRenderedPageBreak/>
        <w:t xml:space="preserve">the ways there are responsibilities should ensure that they do their work accordingly. This will therefore translate to a better and conducive society which </w:t>
      </w:r>
      <w:bookmarkStart w:id="10" w:name="_Int_FkneWpL2"/>
      <w:r w:rsidRPr="000F558A">
        <w:rPr>
          <w:rFonts w:ascii="Arial" w:hAnsi="Arial" w:cs="Arial"/>
          <w:sz w:val="24"/>
          <w:szCs w:val="24"/>
        </w:rPr>
        <w:t>has</w:t>
      </w:r>
      <w:bookmarkEnd w:id="10"/>
      <w:r w:rsidRPr="000F558A">
        <w:rPr>
          <w:rFonts w:ascii="Arial" w:hAnsi="Arial" w:cs="Arial"/>
          <w:sz w:val="24"/>
          <w:szCs w:val="24"/>
        </w:rPr>
        <w:t xml:space="preserve"> a lot of structures which shares functions and tackling any emerging problems so that the well-being of the community is upheld. To maximise the challenges that are in the community requires connectedness, </w:t>
      </w:r>
      <w:bookmarkStart w:id="11" w:name="_Int_flsqUrBL"/>
      <w:r w:rsidRPr="000F558A">
        <w:rPr>
          <w:rFonts w:ascii="Arial" w:hAnsi="Arial" w:cs="Arial"/>
          <w:sz w:val="24"/>
          <w:szCs w:val="24"/>
        </w:rPr>
        <w:t>cooperation,</w:t>
      </w:r>
      <w:bookmarkEnd w:id="11"/>
      <w:r w:rsidRPr="000F558A">
        <w:rPr>
          <w:rFonts w:ascii="Arial" w:hAnsi="Arial" w:cs="Arial"/>
          <w:sz w:val="24"/>
          <w:szCs w:val="24"/>
        </w:rPr>
        <w:t xml:space="preserve"> and teamwork from all the areas so that it can be conducive for all the individuals and contribute to the well-being and equal utilization of the process (Thompson et.al, 1990). This systems perspective achieves the boost in health.</w:t>
      </w:r>
    </w:p>
    <w:p w14:paraId="0003F5D9" w14:textId="77777777" w:rsidR="000F558A" w:rsidRPr="000F558A" w:rsidRDefault="000F558A" w:rsidP="000F558A">
      <w:pPr>
        <w:pStyle w:val="Heading2"/>
        <w:jc w:val="both"/>
        <w:rPr>
          <w:rFonts w:ascii="Arial" w:hAnsi="Arial" w:cs="Arial"/>
          <w:b/>
          <w:bCs/>
          <w:color w:val="auto"/>
          <w:sz w:val="24"/>
          <w:szCs w:val="24"/>
        </w:rPr>
      </w:pPr>
      <w:bookmarkStart w:id="12" w:name="_Toc1619358002"/>
      <w:r w:rsidRPr="000F558A">
        <w:rPr>
          <w:rFonts w:ascii="Arial" w:hAnsi="Arial" w:cs="Arial"/>
          <w:b/>
          <w:bCs/>
          <w:color w:val="auto"/>
          <w:sz w:val="24"/>
          <w:szCs w:val="24"/>
        </w:rPr>
        <w:t xml:space="preserve">Individual perspective </w:t>
      </w:r>
      <w:bookmarkEnd w:id="12"/>
    </w:p>
    <w:p w14:paraId="32FB484B" w14:textId="77777777" w:rsidR="000F558A" w:rsidRPr="000F558A" w:rsidRDefault="000F558A" w:rsidP="000F558A">
      <w:pPr>
        <w:spacing w:line="360" w:lineRule="auto"/>
        <w:jc w:val="both"/>
        <w:rPr>
          <w:rFonts w:ascii="Arial" w:hAnsi="Arial" w:cs="Arial"/>
          <w:sz w:val="24"/>
          <w:szCs w:val="24"/>
        </w:rPr>
      </w:pPr>
      <w:r w:rsidRPr="000F558A">
        <w:rPr>
          <w:rFonts w:ascii="Arial" w:hAnsi="Arial" w:cs="Arial"/>
          <w:sz w:val="24"/>
          <w:szCs w:val="24"/>
        </w:rPr>
        <w:t xml:space="preserve"> Considering individual perspective in the community also helps to bring meaning to the community members to bring their own sense of being part of the community to be broader that the context of the scholars and the heads of the community. This has been seen in instances whereby the members of the community change their sense in the society and therefore this has been seen to impact the routine activities in the society (</w:t>
      </w:r>
      <w:proofErr w:type="spellStart"/>
      <w:r w:rsidRPr="000F558A">
        <w:rPr>
          <w:rFonts w:ascii="Arial" w:hAnsi="Arial" w:cs="Arial"/>
          <w:sz w:val="24"/>
          <w:szCs w:val="24"/>
        </w:rPr>
        <w:t>Minkler</w:t>
      </w:r>
      <w:proofErr w:type="spellEnd"/>
      <w:r w:rsidRPr="000F558A">
        <w:rPr>
          <w:rFonts w:ascii="Arial" w:hAnsi="Arial" w:cs="Arial"/>
          <w:sz w:val="24"/>
          <w:szCs w:val="24"/>
        </w:rPr>
        <w:t xml:space="preserve"> et.al, 2004). According to William James (1890), he considers this thing and gave his analysis on two instances that how ‘I’ make judgement of myself and secondly ‘me’ how do others say about me. He argues that these two instances help in identifying and bringing up a sense of identity in the community which other persons may not be thinking about. He adds that most people make judgements based on appearance of the personalities or their background. In the recent community, most people have changed their ways of thinking and how they [perceive the society as compared to the golden years. It is important to know how the individuals in the society engage in their well-beings and their mutual relationships that made up a community.</w:t>
      </w:r>
    </w:p>
    <w:p w14:paraId="6D114381" w14:textId="77777777" w:rsidR="000F558A" w:rsidRPr="000F558A" w:rsidRDefault="000F558A" w:rsidP="000F558A">
      <w:pPr>
        <w:pStyle w:val="Heading2"/>
        <w:jc w:val="both"/>
        <w:rPr>
          <w:rFonts w:ascii="Arial" w:hAnsi="Arial" w:cs="Arial"/>
          <w:b/>
          <w:bCs/>
          <w:color w:val="auto"/>
          <w:sz w:val="24"/>
          <w:szCs w:val="24"/>
        </w:rPr>
      </w:pPr>
      <w:bookmarkStart w:id="13" w:name="_Toc643197239"/>
      <w:r w:rsidRPr="000F558A">
        <w:rPr>
          <w:rFonts w:ascii="Arial" w:hAnsi="Arial" w:cs="Arial"/>
          <w:b/>
          <w:bCs/>
          <w:color w:val="auto"/>
          <w:sz w:val="24"/>
          <w:szCs w:val="24"/>
        </w:rPr>
        <w:t xml:space="preserve">Social and political frameworks </w:t>
      </w:r>
      <w:bookmarkEnd w:id="13"/>
    </w:p>
    <w:p w14:paraId="4A57A6DC" w14:textId="77777777" w:rsidR="000F558A" w:rsidRPr="000F558A" w:rsidRDefault="000F558A" w:rsidP="000F558A">
      <w:pPr>
        <w:spacing w:line="360" w:lineRule="auto"/>
        <w:jc w:val="both"/>
        <w:rPr>
          <w:rFonts w:ascii="Arial" w:hAnsi="Arial" w:cs="Arial"/>
          <w:sz w:val="24"/>
          <w:szCs w:val="24"/>
        </w:rPr>
      </w:pPr>
      <w:r w:rsidRPr="000F558A">
        <w:rPr>
          <w:rFonts w:ascii="Arial" w:hAnsi="Arial" w:cs="Arial"/>
          <w:sz w:val="24"/>
          <w:szCs w:val="24"/>
        </w:rPr>
        <w:t xml:space="preserve">   According to </w:t>
      </w:r>
      <w:proofErr w:type="spellStart"/>
      <w:r w:rsidRPr="000F558A">
        <w:rPr>
          <w:rFonts w:ascii="Arial" w:hAnsi="Arial" w:cs="Arial"/>
          <w:sz w:val="24"/>
          <w:szCs w:val="24"/>
        </w:rPr>
        <w:t>Minkler</w:t>
      </w:r>
      <w:proofErr w:type="spellEnd"/>
      <w:r w:rsidRPr="000F558A">
        <w:rPr>
          <w:rFonts w:ascii="Arial" w:hAnsi="Arial" w:cs="Arial"/>
          <w:sz w:val="24"/>
          <w:szCs w:val="24"/>
        </w:rPr>
        <w:t xml:space="preserve"> (1997), community engagement can also be described in social and political frameworks because these factors in one way or the other affect how community engagement should be. This is seen to happen through interactions between the society links and the leaders. This has been seen that it affects the community in the </w:t>
      </w:r>
      <w:bookmarkStart w:id="14" w:name="_Int_VIrCcCTu"/>
      <w:r w:rsidRPr="000F558A">
        <w:rPr>
          <w:rFonts w:ascii="Arial" w:hAnsi="Arial" w:cs="Arial"/>
          <w:sz w:val="24"/>
          <w:szCs w:val="24"/>
        </w:rPr>
        <w:t>way</w:t>
      </w:r>
      <w:bookmarkEnd w:id="14"/>
      <w:r w:rsidRPr="000F558A">
        <w:rPr>
          <w:rFonts w:ascii="Arial" w:hAnsi="Arial" w:cs="Arial"/>
          <w:sz w:val="24"/>
          <w:szCs w:val="24"/>
        </w:rPr>
        <w:t xml:space="preserve"> the community appears like before and after the leaders engage with the society. For instance, getting to know the previous backgrounds and social ties of the individuals, their </w:t>
      </w:r>
      <w:r w:rsidRPr="000F558A">
        <w:rPr>
          <w:rFonts w:ascii="Arial" w:hAnsi="Arial" w:cs="Arial"/>
          <w:sz w:val="24"/>
          <w:szCs w:val="24"/>
        </w:rPr>
        <w:lastRenderedPageBreak/>
        <w:t xml:space="preserve">moral well-being, and other factors so that they can be strengthened to connect with the society. When we get to analyse the virtual perspective of the individuals based on the scholar </w:t>
      </w:r>
      <w:proofErr w:type="spellStart"/>
      <w:r w:rsidRPr="000F558A">
        <w:rPr>
          <w:rFonts w:ascii="Arial" w:hAnsi="Arial" w:cs="Arial"/>
          <w:sz w:val="24"/>
          <w:szCs w:val="24"/>
        </w:rPr>
        <w:t>Kozinets</w:t>
      </w:r>
      <w:proofErr w:type="spellEnd"/>
      <w:r w:rsidRPr="000F558A">
        <w:rPr>
          <w:rFonts w:ascii="Arial" w:hAnsi="Arial" w:cs="Arial"/>
          <w:sz w:val="24"/>
          <w:szCs w:val="24"/>
        </w:rPr>
        <w:t xml:space="preserve"> (2002), we find that due to the innovations that have taken place technologically in the society, most individuals are seen to converse through various communication mediums in place such as making phone calls, writing text messages without specifically changing their geographical setting and getting to interact physically with people and make judgements that impact their lives (Flavian et.al. 2005). In the communities whereby social groups have a good connection and interact well together is a virtual community (Ridings et.al. 2002). These communities are regarded as those communities which bring out the best promoting good healthy and vast research due to their networking and togetherness. </w:t>
      </w:r>
    </w:p>
    <w:p w14:paraId="1FA912E0" w14:textId="77777777" w:rsidR="000F558A" w:rsidRPr="000F558A" w:rsidRDefault="000F558A" w:rsidP="000F558A">
      <w:pPr>
        <w:pStyle w:val="Heading1"/>
        <w:jc w:val="both"/>
        <w:rPr>
          <w:rFonts w:ascii="Arial" w:hAnsi="Arial" w:cs="Arial"/>
          <w:b/>
          <w:bCs/>
          <w:color w:val="auto"/>
          <w:sz w:val="24"/>
          <w:szCs w:val="24"/>
        </w:rPr>
      </w:pPr>
      <w:bookmarkStart w:id="15" w:name="_Toc1513257503"/>
      <w:r w:rsidRPr="000F558A">
        <w:rPr>
          <w:rFonts w:ascii="Arial" w:hAnsi="Arial" w:cs="Arial"/>
          <w:b/>
          <w:bCs/>
          <w:color w:val="auto"/>
          <w:sz w:val="24"/>
          <w:szCs w:val="24"/>
        </w:rPr>
        <w:t>Benefits of community engagement</w:t>
      </w:r>
      <w:bookmarkEnd w:id="15"/>
    </w:p>
    <w:p w14:paraId="3445E3C2" w14:textId="77777777" w:rsidR="000F558A" w:rsidRPr="000F558A" w:rsidRDefault="000F558A" w:rsidP="000F558A">
      <w:pPr>
        <w:spacing w:line="360" w:lineRule="auto"/>
        <w:jc w:val="both"/>
        <w:rPr>
          <w:rFonts w:ascii="Arial" w:hAnsi="Arial" w:cs="Arial"/>
          <w:sz w:val="24"/>
          <w:szCs w:val="24"/>
        </w:rPr>
      </w:pPr>
      <w:r w:rsidRPr="000F558A">
        <w:rPr>
          <w:rFonts w:ascii="Arial" w:hAnsi="Arial" w:cs="Arial"/>
          <w:sz w:val="24"/>
          <w:szCs w:val="24"/>
        </w:rPr>
        <w:t xml:space="preserve">     These practices of ensuring that the communities have been seen that they bring about major benefits to the community and the individuals who are engaged. The positive impacts that have been found to be associated with community engagement have been found to be the basis of community development and continuity (Stanley, 2009). One of the benefits that have been seen to accrue the society is that community engagement changes the way the projects are initiated and their chances of receiving funding has been noticed to be a success and therefore many projects have been completed such as building of schools, recreational facilities and many others. These are those projects that requires community to sit down and get to make possible approaches that lead to a success. This has hastened the level of trust among the organizations who are offering support services to chip in. This is seen in various entities and </w:t>
      </w:r>
      <w:proofErr w:type="spellStart"/>
      <w:r w:rsidRPr="000F558A">
        <w:rPr>
          <w:rFonts w:ascii="Arial" w:hAnsi="Arial" w:cs="Arial"/>
          <w:sz w:val="24"/>
          <w:szCs w:val="24"/>
        </w:rPr>
        <w:t>cooperations</w:t>
      </w:r>
      <w:proofErr w:type="spellEnd"/>
      <w:r w:rsidRPr="000F558A">
        <w:rPr>
          <w:rFonts w:ascii="Arial" w:hAnsi="Arial" w:cs="Arial"/>
          <w:sz w:val="24"/>
          <w:szCs w:val="24"/>
        </w:rPr>
        <w:t xml:space="preserve"> that are seen to come in partnership simply because of the cooperation noticed in the community and this has resulted in the success of the community. This has contributed to the possibility of integration changes to research style, instruments, approaches, recognition, sample selection, dialogue, and transmission. </w:t>
      </w:r>
    </w:p>
    <w:p w14:paraId="783F4EC8" w14:textId="77777777" w:rsidR="000F558A" w:rsidRPr="000F558A" w:rsidRDefault="000F558A" w:rsidP="000F558A">
      <w:pPr>
        <w:spacing w:line="360" w:lineRule="auto"/>
        <w:jc w:val="both"/>
        <w:rPr>
          <w:rFonts w:ascii="Arial" w:hAnsi="Arial" w:cs="Arial"/>
          <w:sz w:val="24"/>
          <w:szCs w:val="24"/>
        </w:rPr>
      </w:pPr>
      <w:r w:rsidRPr="000F558A">
        <w:rPr>
          <w:rFonts w:ascii="Arial" w:hAnsi="Arial" w:cs="Arial"/>
          <w:sz w:val="24"/>
          <w:szCs w:val="24"/>
        </w:rPr>
        <w:t xml:space="preserve">The society's understanding of the cultural conditions can help identify therapeutic strategies or originally overlooked strong correlations. The development's pace and </w:t>
      </w:r>
      <w:r w:rsidRPr="000F558A">
        <w:rPr>
          <w:rFonts w:ascii="Arial" w:hAnsi="Arial" w:cs="Arial"/>
          <w:sz w:val="24"/>
          <w:szCs w:val="24"/>
        </w:rPr>
        <w:lastRenderedPageBreak/>
        <w:t>effectiveness can be increased by quickly enlisting collaborators and parties involved and exploring different data sets. The potential for transition and the repairs of lengthy collaborations can be enlarged, and evaluations could be taken in how study results have been used to make a difference for example, current innovative solutions, new policies or financing, or transition of best standards.   Public participation too is advantageous from an ethical perspective because it offers chances to enhance the collection consists, spot ethical traps, and develop procedures for dealing with ethical complaints and concerns.</w:t>
      </w:r>
      <w:r w:rsidRPr="000F558A">
        <w:rPr>
          <w:rFonts w:ascii="Arial" w:eastAsia="Calibri" w:hAnsi="Arial" w:cs="Arial"/>
          <w:sz w:val="24"/>
          <w:szCs w:val="24"/>
        </w:rPr>
        <w:t xml:space="preserve"> The general citizenry's competences can be improved, and their own commitments can be acknowledged through various motivating factors such as accomplishing projects for them (Stanley, 2009).  </w:t>
      </w:r>
    </w:p>
    <w:p w14:paraId="2FBE4F89" w14:textId="77777777" w:rsidR="000F558A" w:rsidRPr="000F558A" w:rsidRDefault="000F558A" w:rsidP="000F558A">
      <w:pPr>
        <w:spacing w:line="360" w:lineRule="auto"/>
        <w:jc w:val="both"/>
        <w:rPr>
          <w:rFonts w:ascii="Arial" w:hAnsi="Arial" w:cs="Arial"/>
          <w:sz w:val="24"/>
          <w:szCs w:val="24"/>
        </w:rPr>
      </w:pPr>
      <w:r w:rsidRPr="000F558A">
        <w:rPr>
          <w:rFonts w:ascii="Arial" w:eastAsia="Calibri" w:hAnsi="Arial" w:cs="Arial"/>
          <w:sz w:val="24"/>
          <w:szCs w:val="24"/>
        </w:rPr>
        <w:t xml:space="preserve">These initiatives promote positive reputation and build the basis for future partnerships. Educational collaborators can comprehend the topic at hand and appreciate the worth and meaning of civic engagement, that can occasionally have a direct positive impact on one's profession. Additionally, new perceptions of a program's importance and the associated benefits it will provide can lead to more chances for disseminating its research results and their application Research findings that are conducted better may be more beneficial to people involved and convenient to engage in. Such institutions can develop new competence, improved understanding, a greater characteristic in the society, and even more connections with several other residents and companies. These advantages can foster kindness and build a foundation for future partnerships. The wider populace is probably going being more open to the studies and advantage more out of it. </w:t>
      </w:r>
      <w:r w:rsidRPr="000F558A">
        <w:rPr>
          <w:rFonts w:ascii="Arial" w:hAnsi="Arial" w:cs="Arial"/>
          <w:sz w:val="24"/>
          <w:szCs w:val="24"/>
        </w:rPr>
        <w:t>Despite the benefits of community engagement, there may also be disadvantages, such as the need for more energy and budget, the requirement for acquiring skills, and big standards. However, it was argued that these disadvantages are usually manageable over moment with qualifications and knowledge (Stanley, 2009)</w:t>
      </w:r>
    </w:p>
    <w:p w14:paraId="32FDFE6E" w14:textId="77777777" w:rsidR="000F558A" w:rsidRPr="000F558A" w:rsidRDefault="000F558A" w:rsidP="000F558A">
      <w:pPr>
        <w:pStyle w:val="Heading1"/>
        <w:jc w:val="both"/>
        <w:rPr>
          <w:rFonts w:ascii="Arial" w:hAnsi="Arial" w:cs="Arial"/>
          <w:b/>
          <w:bCs/>
          <w:color w:val="auto"/>
          <w:sz w:val="24"/>
          <w:szCs w:val="24"/>
        </w:rPr>
      </w:pPr>
      <w:bookmarkStart w:id="16" w:name="_Toc2112196660"/>
      <w:r w:rsidRPr="000F558A">
        <w:rPr>
          <w:rFonts w:ascii="Arial" w:hAnsi="Arial" w:cs="Arial"/>
          <w:b/>
          <w:bCs/>
          <w:color w:val="auto"/>
          <w:sz w:val="24"/>
          <w:szCs w:val="24"/>
        </w:rPr>
        <w:t xml:space="preserve">Conclusion </w:t>
      </w:r>
      <w:bookmarkEnd w:id="16"/>
    </w:p>
    <w:p w14:paraId="55169CA0" w14:textId="77777777" w:rsidR="000F558A" w:rsidRPr="000F558A" w:rsidRDefault="000F558A" w:rsidP="000F558A">
      <w:pPr>
        <w:spacing w:line="360" w:lineRule="auto"/>
        <w:jc w:val="both"/>
        <w:rPr>
          <w:rFonts w:ascii="Arial" w:hAnsi="Arial" w:cs="Arial"/>
          <w:sz w:val="24"/>
          <w:szCs w:val="24"/>
        </w:rPr>
      </w:pPr>
      <w:r w:rsidRPr="000F558A">
        <w:rPr>
          <w:rFonts w:ascii="Arial" w:hAnsi="Arial" w:cs="Arial"/>
          <w:sz w:val="24"/>
          <w:szCs w:val="24"/>
        </w:rPr>
        <w:t xml:space="preserve">   In conclusion, community engagement is a key unit in the society which should be taken keenly by all the individuals so that the interaction with it becomes amicable and that this process impacts the citizens positively and get to run their duties well. Ethics are an </w:t>
      </w:r>
      <w:r w:rsidRPr="000F558A">
        <w:rPr>
          <w:rFonts w:ascii="Arial" w:hAnsi="Arial" w:cs="Arial"/>
          <w:sz w:val="24"/>
          <w:szCs w:val="24"/>
        </w:rPr>
        <w:lastRenderedPageBreak/>
        <w:t>important aspect in the field of communication, but this should be translated to the field of assisting human trivial in all the areas and get to develop personal interests. This is normally applicable by ensuring that the individuals in a particular area in the society gets to embrace the existing regulations and legislations of the community which applies to anyone in the community. It is important to know how the individuals in the society engage in their well-beings and their mutual relationships that made up a community. To maximise the challenges that are in the community requires connectedness, cooperation, and teamwork from all the areas so that it can be conducive for all the individuals and contribute to the well-being and equal utilization of the process. Community engagement when best utilized has been seen to bear fruits that also impact individuals and therefore, they should be encouraged to maximize the benefits.</w:t>
      </w:r>
    </w:p>
    <w:p w14:paraId="5F8377B8" w14:textId="77777777" w:rsidR="000F558A" w:rsidRPr="000F558A" w:rsidRDefault="000F558A" w:rsidP="000F558A">
      <w:pPr>
        <w:spacing w:line="360" w:lineRule="auto"/>
        <w:jc w:val="both"/>
        <w:rPr>
          <w:rFonts w:ascii="Arial" w:hAnsi="Arial" w:cs="Arial"/>
          <w:sz w:val="24"/>
          <w:szCs w:val="24"/>
        </w:rPr>
      </w:pPr>
      <w:r w:rsidRPr="000F558A">
        <w:rPr>
          <w:rFonts w:ascii="Arial" w:hAnsi="Arial" w:cs="Arial"/>
          <w:sz w:val="24"/>
          <w:szCs w:val="24"/>
        </w:rPr>
        <w:br w:type="page"/>
      </w:r>
    </w:p>
    <w:p w14:paraId="5194C6A1" w14:textId="77777777" w:rsidR="000F558A" w:rsidRPr="000F558A" w:rsidRDefault="000F558A" w:rsidP="006B62BB">
      <w:pPr>
        <w:pStyle w:val="Heading1"/>
        <w:jc w:val="both"/>
        <w:rPr>
          <w:rFonts w:ascii="Arial" w:hAnsi="Arial" w:cs="Arial"/>
          <w:b/>
          <w:bCs/>
          <w:color w:val="auto"/>
          <w:sz w:val="24"/>
          <w:szCs w:val="24"/>
        </w:rPr>
      </w:pPr>
      <w:bookmarkStart w:id="17" w:name="_Toc722461251"/>
      <w:r w:rsidRPr="000F558A">
        <w:rPr>
          <w:rFonts w:ascii="Arial" w:hAnsi="Arial" w:cs="Arial"/>
          <w:b/>
          <w:bCs/>
          <w:color w:val="auto"/>
          <w:sz w:val="24"/>
          <w:szCs w:val="24"/>
        </w:rPr>
        <w:lastRenderedPageBreak/>
        <w:t xml:space="preserve">References </w:t>
      </w:r>
      <w:bookmarkEnd w:id="17"/>
    </w:p>
    <w:p w14:paraId="5394E0D5" w14:textId="77777777" w:rsidR="000F558A" w:rsidRPr="000F558A" w:rsidRDefault="000F558A" w:rsidP="006B62BB">
      <w:pPr>
        <w:pStyle w:val="ListParagraph"/>
        <w:numPr>
          <w:ilvl w:val="0"/>
          <w:numId w:val="1"/>
        </w:numPr>
        <w:spacing w:line="360" w:lineRule="auto"/>
        <w:jc w:val="both"/>
        <w:rPr>
          <w:rFonts w:ascii="Arial" w:eastAsia="Arial" w:hAnsi="Arial" w:cs="Arial"/>
          <w:color w:val="000000" w:themeColor="text1"/>
          <w:sz w:val="24"/>
          <w:szCs w:val="24"/>
        </w:rPr>
      </w:pPr>
      <w:proofErr w:type="spellStart"/>
      <w:r w:rsidRPr="000F558A">
        <w:rPr>
          <w:rFonts w:ascii="Arial" w:eastAsia="Arial" w:hAnsi="Arial" w:cs="Arial"/>
          <w:sz w:val="24"/>
          <w:szCs w:val="24"/>
        </w:rPr>
        <w:t>Aslin</w:t>
      </w:r>
      <w:proofErr w:type="spellEnd"/>
      <w:r w:rsidRPr="000F558A">
        <w:rPr>
          <w:rFonts w:ascii="Arial" w:eastAsia="Arial" w:hAnsi="Arial" w:cs="Arial"/>
          <w:sz w:val="24"/>
          <w:szCs w:val="24"/>
        </w:rPr>
        <w:t xml:space="preserve">, H. and Brown, V., 2004. </w:t>
      </w:r>
      <w:r w:rsidRPr="000F558A">
        <w:rPr>
          <w:rFonts w:ascii="Arial" w:eastAsia="Arial" w:hAnsi="Arial" w:cs="Arial"/>
          <w:i/>
          <w:iCs/>
          <w:sz w:val="24"/>
          <w:szCs w:val="24"/>
        </w:rPr>
        <w:t>Towards whole of community engagement: A practical toolkit</w:t>
      </w:r>
      <w:r w:rsidRPr="000F558A">
        <w:rPr>
          <w:rFonts w:ascii="Arial" w:eastAsia="Arial" w:hAnsi="Arial" w:cs="Arial"/>
          <w:sz w:val="24"/>
          <w:szCs w:val="24"/>
        </w:rPr>
        <w:t>. Murray-Darling Basin Commission.</w:t>
      </w:r>
    </w:p>
    <w:p w14:paraId="11823D20" w14:textId="77777777" w:rsidR="000F558A" w:rsidRPr="000F558A" w:rsidRDefault="000F558A" w:rsidP="006B62BB">
      <w:pPr>
        <w:pStyle w:val="ListParagraph"/>
        <w:numPr>
          <w:ilvl w:val="0"/>
          <w:numId w:val="1"/>
        </w:numPr>
        <w:spacing w:line="360" w:lineRule="auto"/>
        <w:jc w:val="both"/>
        <w:rPr>
          <w:rFonts w:ascii="Arial" w:eastAsia="Calibri" w:hAnsi="Arial" w:cs="Arial"/>
          <w:color w:val="000000" w:themeColor="text1"/>
          <w:sz w:val="24"/>
          <w:szCs w:val="24"/>
        </w:rPr>
      </w:pPr>
      <w:r w:rsidRPr="000F558A">
        <w:rPr>
          <w:rFonts w:ascii="Arial" w:eastAsia="Calibri" w:hAnsi="Arial" w:cs="Arial"/>
          <w:sz w:val="24"/>
          <w:szCs w:val="24"/>
        </w:rPr>
        <w:t xml:space="preserve">Flavian C, </w:t>
      </w:r>
      <w:proofErr w:type="spellStart"/>
      <w:r w:rsidRPr="000F558A">
        <w:rPr>
          <w:rFonts w:ascii="Arial" w:eastAsia="Calibri" w:hAnsi="Arial" w:cs="Arial"/>
          <w:sz w:val="24"/>
          <w:szCs w:val="24"/>
        </w:rPr>
        <w:t>Guinaliu</w:t>
      </w:r>
      <w:proofErr w:type="spellEnd"/>
      <w:r w:rsidRPr="000F558A">
        <w:rPr>
          <w:rFonts w:ascii="Arial" w:eastAsia="Calibri" w:hAnsi="Arial" w:cs="Arial"/>
          <w:sz w:val="24"/>
          <w:szCs w:val="24"/>
        </w:rPr>
        <w:t xml:space="preserve"> M The influence of virtual communities on distribution strategies in the internet International Journal of Retail &amp; Distribution Management 2005;33(6):405-425</w:t>
      </w:r>
    </w:p>
    <w:p w14:paraId="4C6F9DC3" w14:textId="77777777" w:rsidR="000F558A" w:rsidRPr="000F558A" w:rsidRDefault="000F558A" w:rsidP="006B62BB">
      <w:pPr>
        <w:pStyle w:val="ListParagraph"/>
        <w:numPr>
          <w:ilvl w:val="0"/>
          <w:numId w:val="1"/>
        </w:numPr>
        <w:spacing w:line="360" w:lineRule="auto"/>
        <w:jc w:val="both"/>
        <w:rPr>
          <w:rFonts w:ascii="Arial" w:eastAsia="Calibri" w:hAnsi="Arial" w:cs="Arial"/>
          <w:color w:val="000000" w:themeColor="text1"/>
          <w:sz w:val="24"/>
          <w:szCs w:val="24"/>
        </w:rPr>
      </w:pPr>
      <w:r w:rsidRPr="000F558A">
        <w:rPr>
          <w:rFonts w:ascii="Arial" w:eastAsia="Calibri" w:hAnsi="Arial" w:cs="Arial"/>
          <w:sz w:val="24"/>
          <w:szCs w:val="24"/>
        </w:rPr>
        <w:t>Henry SG The tyranny of reality JAMA 2011;305(4):338-339</w:t>
      </w:r>
    </w:p>
    <w:p w14:paraId="710410F6" w14:textId="77777777" w:rsidR="000F558A" w:rsidRPr="000F558A" w:rsidRDefault="000F558A" w:rsidP="006B62BB">
      <w:pPr>
        <w:pStyle w:val="ListParagraph"/>
        <w:numPr>
          <w:ilvl w:val="0"/>
          <w:numId w:val="1"/>
        </w:numPr>
        <w:spacing w:line="360" w:lineRule="auto"/>
        <w:jc w:val="both"/>
        <w:rPr>
          <w:rFonts w:ascii="Arial" w:eastAsia="Calibri" w:hAnsi="Arial" w:cs="Arial"/>
          <w:color w:val="000000" w:themeColor="text1"/>
          <w:sz w:val="24"/>
          <w:szCs w:val="24"/>
        </w:rPr>
      </w:pPr>
      <w:r w:rsidRPr="000F558A">
        <w:rPr>
          <w:rFonts w:ascii="Arial" w:eastAsia="Calibri" w:hAnsi="Arial" w:cs="Arial"/>
          <w:sz w:val="24"/>
          <w:szCs w:val="24"/>
        </w:rPr>
        <w:t xml:space="preserve">James W The consciousness of self </w:t>
      </w:r>
      <w:proofErr w:type="gramStart"/>
      <w:r w:rsidRPr="000F558A">
        <w:rPr>
          <w:rFonts w:ascii="Arial" w:eastAsia="Calibri" w:hAnsi="Arial" w:cs="Arial"/>
          <w:sz w:val="24"/>
          <w:szCs w:val="24"/>
        </w:rPr>
        <w:t>The</w:t>
      </w:r>
      <w:proofErr w:type="gramEnd"/>
      <w:r w:rsidRPr="000F558A">
        <w:rPr>
          <w:rFonts w:ascii="Arial" w:eastAsia="Calibri" w:hAnsi="Arial" w:cs="Arial"/>
          <w:sz w:val="24"/>
          <w:szCs w:val="24"/>
        </w:rPr>
        <w:t xml:space="preserve"> principles of psychology. New York: Holt; 1890</w:t>
      </w:r>
    </w:p>
    <w:p w14:paraId="440BA660" w14:textId="77777777" w:rsidR="000F558A" w:rsidRPr="000F558A" w:rsidRDefault="000F558A" w:rsidP="006B62BB">
      <w:pPr>
        <w:pStyle w:val="ListParagraph"/>
        <w:numPr>
          <w:ilvl w:val="0"/>
          <w:numId w:val="1"/>
        </w:numPr>
        <w:spacing w:line="360" w:lineRule="auto"/>
        <w:jc w:val="both"/>
        <w:rPr>
          <w:rFonts w:ascii="Arial" w:eastAsia="Arial" w:hAnsi="Arial" w:cs="Arial"/>
          <w:color w:val="000000" w:themeColor="text1"/>
          <w:sz w:val="24"/>
          <w:szCs w:val="24"/>
        </w:rPr>
      </w:pPr>
      <w:r w:rsidRPr="000F558A">
        <w:rPr>
          <w:rFonts w:ascii="Arial" w:eastAsia="Arial" w:hAnsi="Arial" w:cs="Arial"/>
          <w:sz w:val="24"/>
          <w:szCs w:val="24"/>
        </w:rPr>
        <w:t xml:space="preserve">James, C.D. and Schmitz, C.L., 2011. Transforming sustainability education: Ethics, leadership, community engagement, and social entrepreneurship. </w:t>
      </w:r>
      <w:r w:rsidRPr="000F558A">
        <w:rPr>
          <w:rFonts w:ascii="Arial" w:eastAsia="Arial" w:hAnsi="Arial" w:cs="Arial"/>
          <w:i/>
          <w:iCs/>
          <w:sz w:val="24"/>
          <w:szCs w:val="24"/>
        </w:rPr>
        <w:t>International Journal of Business and Social Science</w:t>
      </w:r>
      <w:r w:rsidRPr="000F558A">
        <w:rPr>
          <w:rFonts w:ascii="Arial" w:eastAsia="Arial" w:hAnsi="Arial" w:cs="Arial"/>
          <w:sz w:val="24"/>
          <w:szCs w:val="24"/>
        </w:rPr>
        <w:t xml:space="preserve">, </w:t>
      </w:r>
      <w:r w:rsidRPr="000F558A">
        <w:rPr>
          <w:rFonts w:ascii="Arial" w:eastAsia="Arial" w:hAnsi="Arial" w:cs="Arial"/>
          <w:i/>
          <w:iCs/>
          <w:sz w:val="24"/>
          <w:szCs w:val="24"/>
        </w:rPr>
        <w:t>2</w:t>
      </w:r>
      <w:r w:rsidRPr="000F558A">
        <w:rPr>
          <w:rFonts w:ascii="Arial" w:eastAsia="Arial" w:hAnsi="Arial" w:cs="Arial"/>
          <w:sz w:val="24"/>
          <w:szCs w:val="24"/>
        </w:rPr>
        <w:t>(5), pp.1-7.</w:t>
      </w:r>
    </w:p>
    <w:p w14:paraId="0DFA9834" w14:textId="77777777" w:rsidR="000F558A" w:rsidRPr="000F558A" w:rsidRDefault="000F558A" w:rsidP="006B62BB">
      <w:pPr>
        <w:pStyle w:val="ListParagraph"/>
        <w:numPr>
          <w:ilvl w:val="0"/>
          <w:numId w:val="1"/>
        </w:numPr>
        <w:spacing w:line="360" w:lineRule="auto"/>
        <w:jc w:val="both"/>
        <w:rPr>
          <w:rFonts w:ascii="Arial" w:eastAsia="Calibri" w:hAnsi="Arial" w:cs="Arial"/>
          <w:color w:val="000000" w:themeColor="text1"/>
          <w:sz w:val="24"/>
          <w:szCs w:val="24"/>
        </w:rPr>
      </w:pPr>
      <w:proofErr w:type="spellStart"/>
      <w:r w:rsidRPr="000F558A">
        <w:rPr>
          <w:rFonts w:ascii="Arial" w:eastAsia="Calibri" w:hAnsi="Arial" w:cs="Arial"/>
          <w:sz w:val="24"/>
          <w:szCs w:val="24"/>
        </w:rPr>
        <w:t>Kozinets</w:t>
      </w:r>
      <w:proofErr w:type="spellEnd"/>
      <w:r w:rsidRPr="000F558A">
        <w:rPr>
          <w:rFonts w:ascii="Arial" w:eastAsia="Calibri" w:hAnsi="Arial" w:cs="Arial"/>
          <w:sz w:val="24"/>
          <w:szCs w:val="24"/>
        </w:rPr>
        <w:t xml:space="preserve"> RV The field behind the screen: using </w:t>
      </w:r>
      <w:proofErr w:type="spellStart"/>
      <w:r w:rsidRPr="000F558A">
        <w:rPr>
          <w:rFonts w:ascii="Arial" w:eastAsia="Calibri" w:hAnsi="Arial" w:cs="Arial"/>
          <w:sz w:val="24"/>
          <w:szCs w:val="24"/>
        </w:rPr>
        <w:t>netnography</w:t>
      </w:r>
      <w:proofErr w:type="spellEnd"/>
      <w:r w:rsidRPr="000F558A">
        <w:rPr>
          <w:rFonts w:ascii="Arial" w:eastAsia="Calibri" w:hAnsi="Arial" w:cs="Arial"/>
          <w:sz w:val="24"/>
          <w:szCs w:val="24"/>
        </w:rPr>
        <w:t xml:space="preserve"> for marketing research in online communities Journal of Marketing Research 2002;39(1):61-72</w:t>
      </w:r>
    </w:p>
    <w:p w14:paraId="61ADC8DF" w14:textId="77777777" w:rsidR="000F558A" w:rsidRPr="000F558A" w:rsidRDefault="000F558A" w:rsidP="006B62BB">
      <w:pPr>
        <w:pStyle w:val="ListParagraph"/>
        <w:numPr>
          <w:ilvl w:val="0"/>
          <w:numId w:val="1"/>
        </w:numPr>
        <w:spacing w:line="360" w:lineRule="auto"/>
        <w:jc w:val="both"/>
        <w:rPr>
          <w:rFonts w:ascii="Arial" w:eastAsia="Calibri" w:hAnsi="Arial" w:cs="Arial"/>
          <w:color w:val="000000" w:themeColor="text1"/>
          <w:sz w:val="24"/>
          <w:szCs w:val="24"/>
        </w:rPr>
      </w:pPr>
      <w:proofErr w:type="spellStart"/>
      <w:r w:rsidRPr="000F558A">
        <w:rPr>
          <w:rFonts w:ascii="Arial" w:eastAsia="Calibri" w:hAnsi="Arial" w:cs="Arial"/>
          <w:sz w:val="24"/>
          <w:szCs w:val="24"/>
        </w:rPr>
        <w:t>Minkler</w:t>
      </w:r>
      <w:proofErr w:type="spellEnd"/>
      <w:r w:rsidRPr="000F558A">
        <w:rPr>
          <w:rFonts w:ascii="Arial" w:eastAsia="Calibri" w:hAnsi="Arial" w:cs="Arial"/>
          <w:sz w:val="24"/>
          <w:szCs w:val="24"/>
        </w:rPr>
        <w:t xml:space="preserve"> M Community organizing and community building for health (2nd ed) Piscataway (NJ): Rutgers University; 2004</w:t>
      </w:r>
    </w:p>
    <w:p w14:paraId="630005E0" w14:textId="77777777" w:rsidR="000F558A" w:rsidRPr="000F558A" w:rsidRDefault="000F558A" w:rsidP="006B62BB">
      <w:pPr>
        <w:pStyle w:val="ListParagraph"/>
        <w:numPr>
          <w:ilvl w:val="0"/>
          <w:numId w:val="1"/>
        </w:numPr>
        <w:spacing w:line="360" w:lineRule="auto"/>
        <w:jc w:val="both"/>
        <w:rPr>
          <w:rFonts w:ascii="Arial" w:eastAsia="Calibri" w:hAnsi="Arial" w:cs="Arial"/>
          <w:color w:val="000000" w:themeColor="text1"/>
          <w:sz w:val="24"/>
          <w:szCs w:val="24"/>
        </w:rPr>
      </w:pPr>
      <w:proofErr w:type="spellStart"/>
      <w:r w:rsidRPr="000F558A">
        <w:rPr>
          <w:rFonts w:ascii="Arial" w:eastAsia="Calibri" w:hAnsi="Arial" w:cs="Arial"/>
          <w:sz w:val="24"/>
          <w:szCs w:val="24"/>
        </w:rPr>
        <w:t>Minkler</w:t>
      </w:r>
      <w:proofErr w:type="spellEnd"/>
      <w:r w:rsidRPr="000F558A">
        <w:rPr>
          <w:rFonts w:ascii="Arial" w:eastAsia="Calibri" w:hAnsi="Arial" w:cs="Arial"/>
          <w:sz w:val="24"/>
          <w:szCs w:val="24"/>
        </w:rPr>
        <w:t xml:space="preserve"> M Improving health through community organization </w:t>
      </w:r>
      <w:proofErr w:type="gramStart"/>
      <w:r w:rsidRPr="000F558A">
        <w:rPr>
          <w:rFonts w:ascii="Arial" w:eastAsia="Calibri" w:hAnsi="Arial" w:cs="Arial"/>
          <w:sz w:val="24"/>
          <w:szCs w:val="24"/>
        </w:rPr>
        <w:t>In</w:t>
      </w:r>
      <w:proofErr w:type="gramEnd"/>
      <w:r w:rsidRPr="000F558A">
        <w:rPr>
          <w:rFonts w:ascii="Arial" w:eastAsia="Calibri" w:hAnsi="Arial" w:cs="Arial"/>
          <w:sz w:val="24"/>
          <w:szCs w:val="24"/>
        </w:rPr>
        <w:t xml:space="preserve">: Glanz K, Lewis FM, Rimer BK (editors) Health </w:t>
      </w:r>
      <w:proofErr w:type="spellStart"/>
      <w:r w:rsidRPr="000F558A">
        <w:rPr>
          <w:rFonts w:ascii="Arial" w:eastAsia="Calibri" w:hAnsi="Arial" w:cs="Arial"/>
          <w:sz w:val="24"/>
          <w:szCs w:val="24"/>
        </w:rPr>
        <w:t>behavior</w:t>
      </w:r>
      <w:proofErr w:type="spellEnd"/>
      <w:r w:rsidRPr="000F558A">
        <w:rPr>
          <w:rFonts w:ascii="Arial" w:eastAsia="Calibri" w:hAnsi="Arial" w:cs="Arial"/>
          <w:sz w:val="24"/>
          <w:szCs w:val="24"/>
        </w:rPr>
        <w:t xml:space="preserve"> and health education: theory, research and practice (pp 169-181) San Francisco: Jossey-Bass; 1990</w:t>
      </w:r>
    </w:p>
    <w:p w14:paraId="12EE4DAD" w14:textId="77777777" w:rsidR="000F558A" w:rsidRPr="000F558A" w:rsidRDefault="000F558A" w:rsidP="006B62BB">
      <w:pPr>
        <w:pStyle w:val="ListParagraph"/>
        <w:numPr>
          <w:ilvl w:val="0"/>
          <w:numId w:val="1"/>
        </w:numPr>
        <w:spacing w:line="360" w:lineRule="auto"/>
        <w:jc w:val="both"/>
        <w:rPr>
          <w:rFonts w:ascii="Arial" w:eastAsia="Calibri" w:hAnsi="Arial" w:cs="Arial"/>
          <w:color w:val="000000" w:themeColor="text1"/>
          <w:sz w:val="24"/>
          <w:szCs w:val="24"/>
        </w:rPr>
      </w:pPr>
      <w:proofErr w:type="spellStart"/>
      <w:r w:rsidRPr="000F558A">
        <w:rPr>
          <w:rFonts w:ascii="Arial" w:eastAsia="Calibri" w:hAnsi="Arial" w:cs="Arial"/>
          <w:sz w:val="24"/>
          <w:szCs w:val="24"/>
        </w:rPr>
        <w:t>Minkler</w:t>
      </w:r>
      <w:proofErr w:type="spellEnd"/>
      <w:r w:rsidRPr="000F558A">
        <w:rPr>
          <w:rFonts w:ascii="Arial" w:eastAsia="Calibri" w:hAnsi="Arial" w:cs="Arial"/>
          <w:sz w:val="24"/>
          <w:szCs w:val="24"/>
        </w:rPr>
        <w:t xml:space="preserve"> M, Pies C Ethical Issues in community organization and community participation </w:t>
      </w:r>
      <w:proofErr w:type="gramStart"/>
      <w:r w:rsidRPr="000F558A">
        <w:rPr>
          <w:rFonts w:ascii="Arial" w:eastAsia="Calibri" w:hAnsi="Arial" w:cs="Arial"/>
          <w:sz w:val="24"/>
          <w:szCs w:val="24"/>
        </w:rPr>
        <w:t>In</w:t>
      </w:r>
      <w:proofErr w:type="gramEnd"/>
      <w:r w:rsidRPr="000F558A">
        <w:rPr>
          <w:rFonts w:ascii="Arial" w:eastAsia="Calibri" w:hAnsi="Arial" w:cs="Arial"/>
          <w:sz w:val="24"/>
          <w:szCs w:val="24"/>
        </w:rPr>
        <w:t xml:space="preserve">: </w:t>
      </w:r>
      <w:proofErr w:type="spellStart"/>
      <w:r w:rsidRPr="000F558A">
        <w:rPr>
          <w:rFonts w:ascii="Arial" w:eastAsia="Calibri" w:hAnsi="Arial" w:cs="Arial"/>
          <w:sz w:val="24"/>
          <w:szCs w:val="24"/>
        </w:rPr>
        <w:t>Minkler</w:t>
      </w:r>
      <w:proofErr w:type="spellEnd"/>
      <w:r w:rsidRPr="000F558A">
        <w:rPr>
          <w:rFonts w:ascii="Arial" w:eastAsia="Calibri" w:hAnsi="Arial" w:cs="Arial"/>
          <w:sz w:val="24"/>
          <w:szCs w:val="24"/>
        </w:rPr>
        <w:t xml:space="preserve"> M (editor) Community organizing and community building for health (1st ed, pp 116-133) Piscataway (NJ): Rutgers University; 1997</w:t>
      </w:r>
    </w:p>
    <w:p w14:paraId="5B269D85" w14:textId="77777777" w:rsidR="000F558A" w:rsidRPr="000F558A" w:rsidRDefault="000F558A" w:rsidP="006B62BB">
      <w:pPr>
        <w:pStyle w:val="ListParagraph"/>
        <w:numPr>
          <w:ilvl w:val="0"/>
          <w:numId w:val="1"/>
        </w:numPr>
        <w:spacing w:line="360" w:lineRule="auto"/>
        <w:jc w:val="both"/>
        <w:rPr>
          <w:rFonts w:ascii="Arial" w:eastAsia="Calibri" w:hAnsi="Arial" w:cs="Arial"/>
          <w:color w:val="000000" w:themeColor="text1"/>
          <w:sz w:val="24"/>
          <w:szCs w:val="24"/>
        </w:rPr>
      </w:pPr>
      <w:r w:rsidRPr="000F558A">
        <w:rPr>
          <w:rFonts w:ascii="Arial" w:eastAsia="Calibri" w:hAnsi="Arial" w:cs="Arial"/>
          <w:sz w:val="24"/>
          <w:szCs w:val="24"/>
        </w:rPr>
        <w:t>Ridings CM, Gefen D, Arinze B Some antecedents and effects of trust in virtual communities Journal of Strategic Information Systems 2002;11(3-4):271-295</w:t>
      </w:r>
    </w:p>
    <w:p w14:paraId="7375CF94" w14:textId="77777777" w:rsidR="000F558A" w:rsidRPr="000F558A" w:rsidRDefault="000F558A" w:rsidP="006B62BB">
      <w:pPr>
        <w:pStyle w:val="ListParagraph"/>
        <w:numPr>
          <w:ilvl w:val="0"/>
          <w:numId w:val="1"/>
        </w:numPr>
        <w:spacing w:line="360" w:lineRule="auto"/>
        <w:jc w:val="both"/>
        <w:rPr>
          <w:rFonts w:ascii="Arial" w:eastAsia="Calibri" w:hAnsi="Arial" w:cs="Arial"/>
          <w:color w:val="000000" w:themeColor="text1"/>
          <w:sz w:val="24"/>
          <w:szCs w:val="24"/>
        </w:rPr>
      </w:pPr>
      <w:r w:rsidRPr="000F558A">
        <w:rPr>
          <w:rFonts w:ascii="Arial" w:eastAsia="Calibri" w:hAnsi="Arial" w:cs="Arial"/>
          <w:sz w:val="24"/>
          <w:szCs w:val="24"/>
        </w:rPr>
        <w:t>Staley K Exploring impact: public involvement in NHS, public health and social care research. Eastleigh, United Kingdom: INVOLVE; 2009</w:t>
      </w:r>
    </w:p>
    <w:p w14:paraId="09A95FEC" w14:textId="77777777" w:rsidR="000F558A" w:rsidRPr="000F558A" w:rsidRDefault="000F558A" w:rsidP="006B62BB">
      <w:pPr>
        <w:pStyle w:val="ListParagraph"/>
        <w:numPr>
          <w:ilvl w:val="0"/>
          <w:numId w:val="1"/>
        </w:numPr>
        <w:spacing w:line="360" w:lineRule="auto"/>
        <w:jc w:val="both"/>
        <w:rPr>
          <w:rFonts w:ascii="Arial" w:eastAsia="Calibri" w:hAnsi="Arial" w:cs="Arial"/>
          <w:color w:val="000000" w:themeColor="text1"/>
          <w:sz w:val="24"/>
          <w:szCs w:val="24"/>
        </w:rPr>
      </w:pPr>
      <w:r w:rsidRPr="000F558A">
        <w:rPr>
          <w:rFonts w:ascii="Arial" w:eastAsia="Calibri" w:hAnsi="Arial" w:cs="Arial"/>
          <w:sz w:val="24"/>
          <w:szCs w:val="24"/>
        </w:rPr>
        <w:t xml:space="preserve">Thompson B, </w:t>
      </w:r>
      <w:proofErr w:type="spellStart"/>
      <w:r w:rsidRPr="000F558A">
        <w:rPr>
          <w:rFonts w:ascii="Arial" w:eastAsia="Calibri" w:hAnsi="Arial" w:cs="Arial"/>
          <w:sz w:val="24"/>
          <w:szCs w:val="24"/>
        </w:rPr>
        <w:t>Kinne</w:t>
      </w:r>
      <w:proofErr w:type="spellEnd"/>
      <w:r w:rsidRPr="000F558A">
        <w:rPr>
          <w:rFonts w:ascii="Arial" w:eastAsia="Calibri" w:hAnsi="Arial" w:cs="Arial"/>
          <w:sz w:val="24"/>
          <w:szCs w:val="24"/>
        </w:rPr>
        <w:t xml:space="preserve"> S Social change theory: applications to community health </w:t>
      </w:r>
      <w:proofErr w:type="gramStart"/>
      <w:r w:rsidRPr="000F558A">
        <w:rPr>
          <w:rFonts w:ascii="Arial" w:eastAsia="Calibri" w:hAnsi="Arial" w:cs="Arial"/>
          <w:sz w:val="24"/>
          <w:szCs w:val="24"/>
        </w:rPr>
        <w:t>In</w:t>
      </w:r>
      <w:proofErr w:type="gramEnd"/>
      <w:r w:rsidRPr="000F558A">
        <w:rPr>
          <w:rFonts w:ascii="Arial" w:eastAsia="Calibri" w:hAnsi="Arial" w:cs="Arial"/>
          <w:sz w:val="24"/>
          <w:szCs w:val="24"/>
        </w:rPr>
        <w:t>: Bracht N (editor) Health promotion at the community level (1st ed, pp 45-65) Newbury Park (CA): Sage; 1990</w:t>
      </w:r>
    </w:p>
    <w:p w14:paraId="41D19DA7" w14:textId="77777777" w:rsidR="000F558A" w:rsidRPr="000F558A" w:rsidRDefault="000F558A" w:rsidP="006B62BB">
      <w:pPr>
        <w:pStyle w:val="ListParagraph"/>
        <w:numPr>
          <w:ilvl w:val="0"/>
          <w:numId w:val="1"/>
        </w:numPr>
        <w:spacing w:line="360" w:lineRule="auto"/>
        <w:jc w:val="both"/>
        <w:rPr>
          <w:rFonts w:ascii="Arial" w:eastAsia="Arial" w:hAnsi="Arial" w:cs="Arial"/>
          <w:color w:val="000000" w:themeColor="text1"/>
          <w:sz w:val="24"/>
          <w:szCs w:val="24"/>
        </w:rPr>
      </w:pPr>
      <w:r w:rsidRPr="000F558A">
        <w:rPr>
          <w:rFonts w:ascii="Arial" w:eastAsia="Arial" w:hAnsi="Arial" w:cs="Arial"/>
          <w:sz w:val="24"/>
          <w:szCs w:val="24"/>
        </w:rPr>
        <w:lastRenderedPageBreak/>
        <w:t xml:space="preserve">Watson, D., 2007. </w:t>
      </w:r>
      <w:r w:rsidRPr="000F558A">
        <w:rPr>
          <w:rFonts w:ascii="Arial" w:eastAsia="Arial" w:hAnsi="Arial" w:cs="Arial"/>
          <w:i/>
          <w:iCs/>
          <w:sz w:val="24"/>
          <w:szCs w:val="24"/>
        </w:rPr>
        <w:t>Managing civic and community engagement</w:t>
      </w:r>
      <w:r w:rsidRPr="000F558A">
        <w:rPr>
          <w:rFonts w:ascii="Arial" w:eastAsia="Arial" w:hAnsi="Arial" w:cs="Arial"/>
          <w:sz w:val="24"/>
          <w:szCs w:val="24"/>
        </w:rPr>
        <w:t>. McGraw-Hill Education (UK).</w:t>
      </w:r>
    </w:p>
    <w:p w14:paraId="47A88202" w14:textId="77777777" w:rsidR="00A02560" w:rsidRPr="000F558A" w:rsidRDefault="00A02560" w:rsidP="006B62BB">
      <w:pPr>
        <w:jc w:val="both"/>
        <w:rPr>
          <w:rFonts w:ascii="Arial" w:hAnsi="Arial" w:cs="Arial"/>
          <w:sz w:val="24"/>
          <w:szCs w:val="24"/>
        </w:rPr>
      </w:pPr>
    </w:p>
    <w:sectPr w:rsidR="00A02560" w:rsidRPr="000F558A" w:rsidSect="000F558A">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4468F" w14:textId="77777777" w:rsidR="001A0BCF" w:rsidRDefault="001A0BCF" w:rsidP="000F558A">
      <w:pPr>
        <w:spacing w:after="0" w:line="240" w:lineRule="auto"/>
      </w:pPr>
      <w:r>
        <w:separator/>
      </w:r>
    </w:p>
  </w:endnote>
  <w:endnote w:type="continuationSeparator" w:id="0">
    <w:p w14:paraId="6C6342C9" w14:textId="77777777" w:rsidR="001A0BCF" w:rsidRDefault="001A0BCF" w:rsidP="000F5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9456134"/>
      <w:docPartObj>
        <w:docPartGallery w:val="Page Numbers (Bottom of Page)"/>
        <w:docPartUnique/>
      </w:docPartObj>
    </w:sdtPr>
    <w:sdtEndPr>
      <w:rPr>
        <w:noProof/>
      </w:rPr>
    </w:sdtEndPr>
    <w:sdtContent>
      <w:p w14:paraId="2199DCFF" w14:textId="77777777" w:rsidR="002C281A" w:rsidRDefault="00D459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BFE77F" w14:textId="77777777" w:rsidR="002C281A" w:rsidRDefault="001A0B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2B649" w14:textId="77777777" w:rsidR="001A0BCF" w:rsidRDefault="001A0BCF" w:rsidP="000F558A">
      <w:pPr>
        <w:spacing w:after="0" w:line="240" w:lineRule="auto"/>
      </w:pPr>
      <w:r>
        <w:separator/>
      </w:r>
    </w:p>
  </w:footnote>
  <w:footnote w:type="continuationSeparator" w:id="0">
    <w:p w14:paraId="61A1E0F7" w14:textId="77777777" w:rsidR="001A0BCF" w:rsidRDefault="001A0BCF" w:rsidP="000F55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F3CF9" w14:textId="77777777" w:rsidR="000F558A" w:rsidRDefault="000F558A">
    <w:pPr>
      <w:pStyle w:val="Header"/>
    </w:pPr>
    <w:r>
      <w:t xml:space="preserve"> </w:t>
    </w:r>
  </w:p>
  <w:p w14:paraId="12B2DABB" w14:textId="77777777" w:rsidR="000F558A" w:rsidRDefault="000F558A">
    <w:pPr>
      <w:pStyle w:val="Header"/>
    </w:pPr>
  </w:p>
  <w:p w14:paraId="15BA32D9" w14:textId="3832DF72" w:rsidR="000F558A" w:rsidRDefault="000F558A">
    <w:pPr>
      <w:pStyle w:val="Header"/>
    </w:pPr>
    <w:r>
      <w:t xml:space="preserve"> </w:t>
    </w:r>
  </w:p>
  <w:p w14:paraId="0766C60D" w14:textId="77777777" w:rsidR="000F558A" w:rsidRDefault="000F558A">
    <w:pPr>
      <w:pStyle w:val="Header"/>
    </w:pPr>
  </w:p>
  <w:p w14:paraId="5BE8971B" w14:textId="79F09F8B" w:rsidR="000F558A" w:rsidRDefault="000F55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77A94"/>
    <w:multiLevelType w:val="hybridMultilevel"/>
    <w:tmpl w:val="A6E08F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3540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58A"/>
    <w:rsid w:val="000F558A"/>
    <w:rsid w:val="00194115"/>
    <w:rsid w:val="001A0BCF"/>
    <w:rsid w:val="003D3F63"/>
    <w:rsid w:val="004C5437"/>
    <w:rsid w:val="006B62BB"/>
    <w:rsid w:val="0076178B"/>
    <w:rsid w:val="00915D81"/>
    <w:rsid w:val="00A02560"/>
    <w:rsid w:val="00A80B82"/>
    <w:rsid w:val="00CC2CEE"/>
    <w:rsid w:val="00D45900"/>
    <w:rsid w:val="00E40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9323D1"/>
  <w15:chartTrackingRefBased/>
  <w15:docId w15:val="{A259F414-B444-584F-9250-A5D03489A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8A"/>
    <w:pPr>
      <w:spacing w:after="160" w:line="259" w:lineRule="auto"/>
    </w:pPr>
    <w:rPr>
      <w:sz w:val="22"/>
      <w:szCs w:val="22"/>
    </w:rPr>
  </w:style>
  <w:style w:type="paragraph" w:styleId="Heading1">
    <w:name w:val="heading 1"/>
    <w:basedOn w:val="Normal"/>
    <w:next w:val="Normal"/>
    <w:link w:val="Heading1Char"/>
    <w:uiPriority w:val="9"/>
    <w:qFormat/>
    <w:rsid w:val="000F558A"/>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558A"/>
    <w:pPr>
      <w:keepNext/>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58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F558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F558A"/>
    <w:pPr>
      <w:ind w:left="720"/>
      <w:contextualSpacing/>
    </w:pPr>
  </w:style>
  <w:style w:type="paragraph" w:styleId="TOC1">
    <w:name w:val="toc 1"/>
    <w:basedOn w:val="Normal"/>
    <w:next w:val="Normal"/>
    <w:uiPriority w:val="39"/>
    <w:unhideWhenUsed/>
    <w:rsid w:val="000F558A"/>
    <w:pPr>
      <w:spacing w:after="100"/>
    </w:pPr>
  </w:style>
  <w:style w:type="paragraph" w:styleId="TOC2">
    <w:name w:val="toc 2"/>
    <w:basedOn w:val="Normal"/>
    <w:next w:val="Normal"/>
    <w:uiPriority w:val="39"/>
    <w:unhideWhenUsed/>
    <w:rsid w:val="000F558A"/>
    <w:pPr>
      <w:spacing w:after="100"/>
      <w:ind w:left="220"/>
    </w:pPr>
  </w:style>
  <w:style w:type="paragraph" w:styleId="Footer">
    <w:name w:val="footer"/>
    <w:basedOn w:val="Normal"/>
    <w:link w:val="FooterChar"/>
    <w:uiPriority w:val="99"/>
    <w:unhideWhenUsed/>
    <w:rsid w:val="000F558A"/>
    <w:pPr>
      <w:tabs>
        <w:tab w:val="center" w:pos="4680"/>
        <w:tab w:val="right" w:pos="9360"/>
      </w:tabs>
      <w:spacing w:after="0"/>
    </w:pPr>
  </w:style>
  <w:style w:type="character" w:customStyle="1" w:styleId="FooterChar">
    <w:name w:val="Footer Char"/>
    <w:basedOn w:val="DefaultParagraphFont"/>
    <w:link w:val="Footer"/>
    <w:uiPriority w:val="99"/>
    <w:rsid w:val="000F558A"/>
    <w:rPr>
      <w:sz w:val="22"/>
      <w:szCs w:val="22"/>
    </w:rPr>
  </w:style>
  <w:style w:type="character" w:styleId="Hyperlink">
    <w:name w:val="Hyperlink"/>
    <w:basedOn w:val="DefaultParagraphFont"/>
    <w:uiPriority w:val="99"/>
    <w:unhideWhenUsed/>
    <w:rsid w:val="000F558A"/>
    <w:rPr>
      <w:color w:val="0563C1" w:themeColor="hyperlink"/>
      <w:u w:val="single"/>
    </w:rPr>
  </w:style>
  <w:style w:type="paragraph" w:styleId="Header">
    <w:name w:val="header"/>
    <w:basedOn w:val="Normal"/>
    <w:link w:val="HeaderChar"/>
    <w:uiPriority w:val="99"/>
    <w:unhideWhenUsed/>
    <w:rsid w:val="000F5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58A"/>
    <w:rPr>
      <w:sz w:val="22"/>
      <w:szCs w:val="22"/>
    </w:rPr>
  </w:style>
  <w:style w:type="table" w:styleId="TableGrid">
    <w:name w:val="Table Grid"/>
    <w:basedOn w:val="TableNormal"/>
    <w:uiPriority w:val="59"/>
    <w:rsid w:val="00915D81"/>
    <w:rPr>
      <w:sz w:val="22"/>
      <w:szCs w:val="22"/>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10</Pages>
  <Words>2303</Words>
  <Characters>12663</Characters>
  <Application>Microsoft Office Word</Application>
  <DocSecurity>0</DocSecurity>
  <Lines>224</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14945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20</cp:revision>
  <cp:lastPrinted>2022-09-06T19:01:00Z</cp:lastPrinted>
  <dcterms:created xsi:type="dcterms:W3CDTF">2022-09-06T16:00:00Z</dcterms:created>
  <dcterms:modified xsi:type="dcterms:W3CDTF">2022-09-06T19:11:00Z</dcterms:modified>
  <cp:category/>
</cp:coreProperties>
</file>