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C2F06" w14:textId="75448C78" w:rsidR="00794DBE" w:rsidRPr="003E3EA4" w:rsidRDefault="003E3EA4" w:rsidP="003E3EA4">
      <w:pPr>
        <w:rPr>
          <w:rFonts w:cs="Arial"/>
          <w:color w:val="000000" w:themeColor="text1"/>
        </w:rPr>
      </w:pPr>
      <w:r>
        <w:rPr>
          <w:rFonts w:cs="Arial"/>
          <w:noProof/>
          <w:color w:val="000000" w:themeColor="text1"/>
        </w:rPr>
        <mc:AlternateContent>
          <mc:Choice Requires="wps">
            <w:drawing>
              <wp:anchor distT="0" distB="0" distL="114300" distR="114300" simplePos="0" relativeHeight="251659264" behindDoc="0" locked="0" layoutInCell="1" allowOverlap="1" wp14:anchorId="61CDD41F" wp14:editId="45B1A063">
                <wp:simplePos x="0" y="0"/>
                <wp:positionH relativeFrom="column">
                  <wp:posOffset>-487680</wp:posOffset>
                </wp:positionH>
                <wp:positionV relativeFrom="paragraph">
                  <wp:posOffset>-524256</wp:posOffset>
                </wp:positionV>
                <wp:extent cx="2194560" cy="1389888"/>
                <wp:effectExtent l="0" t="0" r="2540" b="0"/>
                <wp:wrapNone/>
                <wp:docPr id="764897436" name="Text Box 1"/>
                <wp:cNvGraphicFramePr/>
                <a:graphic xmlns:a="http://schemas.openxmlformats.org/drawingml/2006/main">
                  <a:graphicData uri="http://schemas.microsoft.com/office/word/2010/wordprocessingShape">
                    <wps:wsp>
                      <wps:cNvSpPr txBox="1"/>
                      <wps:spPr>
                        <a:xfrm>
                          <a:off x="0" y="0"/>
                          <a:ext cx="2194560" cy="1389888"/>
                        </a:xfrm>
                        <a:prstGeom prst="rect">
                          <a:avLst/>
                        </a:prstGeom>
                        <a:solidFill>
                          <a:schemeClr val="lt1"/>
                        </a:solidFill>
                        <a:ln w="6350">
                          <a:noFill/>
                        </a:ln>
                      </wps:spPr>
                      <wps:txbx>
                        <w:txbxContent>
                          <w:p w14:paraId="05EB573E" w14:textId="3184B912" w:rsidR="003E3EA4" w:rsidRDefault="003E3EA4">
                            <w:r w:rsidRPr="003E3EA4">
                              <w:drawing>
                                <wp:inline distT="0" distB="0" distL="0" distR="0" wp14:anchorId="4BBCBF6E" wp14:editId="07CF977B">
                                  <wp:extent cx="2208904" cy="938784"/>
                                  <wp:effectExtent l="0" t="0" r="0" b="0"/>
                                  <wp:docPr id="8" name="Image 1" descr="/mnt/user-data/uploads/1783596860905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descr="/mnt/user-data/uploads/1783596860905_image.png"/>
                                          <pic:cNvPicPr>
                                            <a:picLocks noChangeAspect="1"/>
                                          </pic:cNvPicPr>
                                        </pic:nvPicPr>
                                        <pic:blipFill>
                                          <a:blip r:embed="rId8"/>
                                          <a:stretch>
                                            <a:fillRect/>
                                          </a:stretch>
                                        </pic:blipFill>
                                        <pic:spPr>
                                          <a:xfrm>
                                            <a:off x="0" y="0"/>
                                            <a:ext cx="2228540" cy="9471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CDD41F" id="_x0000_t202" coordsize="21600,21600" o:spt="202" path="m,l,21600r21600,l21600,xe">
                <v:stroke joinstyle="miter"/>
                <v:path gradientshapeok="t" o:connecttype="rect"/>
              </v:shapetype>
              <v:shape id="Text Box 1" o:spid="_x0000_s1026" type="#_x0000_t202" style="position:absolute;left:0;text-align:left;margin-left:-38.4pt;margin-top:-41.3pt;width:172.8pt;height:109.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" fillcolor="white [3201]" stroked="f" strokeweight=".5pt">
                <v:textbox>
                  <w:txbxContent>
                    <w:p w14:paraId="05EB573E" w14:textId="3184B912" w:rsidR="003E3EA4" w:rsidRDefault="003E3EA4">
                      <w:r w:rsidRPr="003E3EA4">
                        <w:drawing>
                          <wp:inline distT="0" distB="0" distL="0" distR="0" wp14:anchorId="4BBCBF6E" wp14:editId="07CF977B">
                            <wp:extent cx="2208904" cy="938784"/>
                            <wp:effectExtent l="0" t="0" r="0" b="0"/>
                            <wp:docPr id="8" name="Image 1" descr="/mnt/user-data/uploads/1783596860905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descr="/mnt/user-data/uploads/1783596860905_image.png"/>
                                    <pic:cNvPicPr>
                                      <a:picLocks noChangeAspect="1"/>
                                    </pic:cNvPicPr>
                                  </pic:nvPicPr>
                                  <pic:blipFill>
                                    <a:blip r:embed="rId8"/>
                                    <a:stretch>
                                      <a:fillRect/>
                                    </a:stretch>
                                  </pic:blipFill>
                                  <pic:spPr>
                                    <a:xfrm>
                                      <a:off x="0" y="0"/>
                                      <a:ext cx="2228540" cy="947129"/>
                                    </a:xfrm>
                                    <a:prstGeom prst="rect">
                                      <a:avLst/>
                                    </a:prstGeom>
                                  </pic:spPr>
                                </pic:pic>
                              </a:graphicData>
                            </a:graphic>
                          </wp:inline>
                        </w:drawing>
                      </w:r>
                    </w:p>
                  </w:txbxContent>
                </v:textbox>
              </v:shape>
            </w:pict>
          </mc:Fallback>
        </mc:AlternateContent>
      </w:r>
    </w:p>
    <w:p w14:paraId="5244C023" w14:textId="77777777" w:rsidR="00794DBE" w:rsidRPr="003E3EA4" w:rsidRDefault="00794DBE" w:rsidP="003E3EA4">
      <w:pPr>
        <w:rPr>
          <w:rFonts w:cs="Arial"/>
          <w:color w:val="000000" w:themeColor="text1"/>
        </w:rPr>
      </w:pPr>
    </w:p>
    <w:p w14:paraId="328BD914" w14:textId="77777777" w:rsidR="00794DBE" w:rsidRPr="003E3EA4" w:rsidRDefault="00794DBE" w:rsidP="003E3EA4">
      <w:pPr>
        <w:rPr>
          <w:rFonts w:cs="Arial"/>
          <w:color w:val="000000" w:themeColor="text1"/>
        </w:rPr>
      </w:pPr>
    </w:p>
    <w:p w14:paraId="3A13B05A" w14:textId="77777777" w:rsidR="00794DBE" w:rsidRPr="003E3EA4" w:rsidRDefault="00794DBE" w:rsidP="003E3EA4">
      <w:pPr>
        <w:rPr>
          <w:rFonts w:cs="Arial"/>
          <w:color w:val="000000" w:themeColor="text1"/>
        </w:rPr>
      </w:pPr>
    </w:p>
    <w:p w14:paraId="20614F9A" w14:textId="77777777" w:rsidR="00794DBE" w:rsidRPr="003E3EA4" w:rsidRDefault="00000000" w:rsidP="003E3EA4">
      <w:pPr>
        <w:spacing w:after="240"/>
        <w:jc w:val="center"/>
        <w:rPr>
          <w:rFonts w:cs="Arial"/>
          <w:color w:val="000000" w:themeColor="text1"/>
        </w:rPr>
      </w:pPr>
      <w:r w:rsidRPr="003E3EA4">
        <w:rPr>
          <w:rFonts w:cs="Arial"/>
          <w:color w:val="000000" w:themeColor="text1"/>
        </w:rPr>
        <w:t>ACADEMIC REPORT</w:t>
      </w:r>
    </w:p>
    <w:p w14:paraId="503797CB" w14:textId="77777777" w:rsidR="00794DBE" w:rsidRPr="003E3EA4" w:rsidRDefault="00000000" w:rsidP="003E3EA4">
      <w:pPr>
        <w:spacing w:after="200"/>
        <w:jc w:val="center"/>
        <w:rPr>
          <w:rFonts w:cs="Arial"/>
          <w:color w:val="000000" w:themeColor="text1"/>
        </w:rPr>
      </w:pPr>
      <w:r w:rsidRPr="003E3EA4">
        <w:rPr>
          <w:rFonts w:cs="Arial"/>
          <w:color w:val="000000" w:themeColor="text1"/>
        </w:rPr>
        <w:t>The Role of a Private Live-in Carer</w:t>
      </w:r>
    </w:p>
    <w:p w14:paraId="7FC72035" w14:textId="77777777" w:rsidR="00794DBE" w:rsidRPr="003E3EA4" w:rsidRDefault="00000000" w:rsidP="003E3EA4">
      <w:pPr>
        <w:spacing w:after="680"/>
        <w:jc w:val="center"/>
        <w:rPr>
          <w:rFonts w:cs="Arial"/>
          <w:color w:val="000000" w:themeColor="text1"/>
        </w:rPr>
      </w:pPr>
      <w:r w:rsidRPr="003E3EA4">
        <w:rPr>
          <w:rFonts w:cs="Arial"/>
          <w:i/>
          <w:color w:val="000000" w:themeColor="text1"/>
        </w:rPr>
        <w:t>Duties, Essential Skills and Strategies for Development</w:t>
      </w:r>
    </w:p>
    <w:tbl>
      <w:tblPr>
        <w:tblW w:w="0" w:type="auto"/>
        <w:jc w:val="center"/>
        <w:tblLayout w:type="fixed"/>
        <w:tblLook w:val="04A0" w:firstRow="1" w:lastRow="0" w:firstColumn="1" w:lastColumn="0" w:noHBand="0" w:noVBand="1"/>
      </w:tblPr>
      <w:tblGrid>
        <w:gridCol w:w="4680"/>
        <w:gridCol w:w="4680"/>
      </w:tblGrid>
      <w:tr w:rsidR="00794DBE" w:rsidRPr="003E3EA4" w14:paraId="39AD5D63" w14:textId="77777777">
        <w:trPr>
          <w:jc w:val="center"/>
        </w:trPr>
        <w:tc>
          <w:tcPr>
            <w:tcW w:w="4680" w:type="dxa"/>
            <w:shd w:val="clear" w:color="auto" w:fill="E8EEF2"/>
            <w:tcMar>
              <w:top w:w="100" w:type="dxa"/>
              <w:left w:w="140" w:type="dxa"/>
              <w:bottom w:w="100" w:type="dxa"/>
              <w:right w:w="140" w:type="dxa"/>
            </w:tcMar>
            <w:vAlign w:val="center"/>
          </w:tcPr>
          <w:p w14:paraId="152B8CD0" w14:textId="77777777" w:rsidR="00794DBE" w:rsidRPr="003E3EA4" w:rsidRDefault="00000000" w:rsidP="003E3EA4">
            <w:pPr>
              <w:spacing w:after="0"/>
              <w:rPr>
                <w:rFonts w:cs="Arial"/>
                <w:color w:val="000000" w:themeColor="text1"/>
              </w:rPr>
            </w:pPr>
            <w:r w:rsidRPr="003E3EA4">
              <w:rPr>
                <w:rFonts w:cs="Arial"/>
                <w:color w:val="000000" w:themeColor="text1"/>
              </w:rPr>
              <w:t>Student name</w:t>
            </w:r>
          </w:p>
        </w:tc>
        <w:tc>
          <w:tcPr>
            <w:tcW w:w="4680" w:type="dxa"/>
            <w:tcMar>
              <w:top w:w="100" w:type="dxa"/>
              <w:left w:w="140" w:type="dxa"/>
              <w:bottom w:w="100" w:type="dxa"/>
              <w:right w:w="140" w:type="dxa"/>
            </w:tcMar>
            <w:vAlign w:val="center"/>
          </w:tcPr>
          <w:p w14:paraId="42C5CF45" w14:textId="77777777" w:rsidR="00794DBE" w:rsidRPr="003E3EA4" w:rsidRDefault="00000000" w:rsidP="003E3EA4">
            <w:pPr>
              <w:spacing w:after="0"/>
              <w:rPr>
                <w:rFonts w:cs="Arial"/>
                <w:color w:val="000000" w:themeColor="text1"/>
              </w:rPr>
            </w:pPr>
            <w:r w:rsidRPr="003E3EA4">
              <w:rPr>
                <w:rFonts w:cs="Arial"/>
                <w:color w:val="000000" w:themeColor="text1"/>
              </w:rPr>
              <w:t>Maria Judith Parreno Pearce</w:t>
            </w:r>
          </w:p>
        </w:tc>
      </w:tr>
      <w:tr w:rsidR="00794DBE" w:rsidRPr="003E3EA4" w14:paraId="05E62D7F" w14:textId="77777777">
        <w:trPr>
          <w:jc w:val="center"/>
        </w:trPr>
        <w:tc>
          <w:tcPr>
            <w:tcW w:w="4680" w:type="dxa"/>
            <w:shd w:val="clear" w:color="auto" w:fill="E8EEF2"/>
            <w:tcMar>
              <w:top w:w="100" w:type="dxa"/>
              <w:left w:w="140" w:type="dxa"/>
              <w:bottom w:w="100" w:type="dxa"/>
              <w:right w:w="140" w:type="dxa"/>
            </w:tcMar>
            <w:vAlign w:val="center"/>
          </w:tcPr>
          <w:p w14:paraId="4AE47834" w14:textId="77777777" w:rsidR="00794DBE" w:rsidRPr="003E3EA4" w:rsidRDefault="00000000" w:rsidP="003E3EA4">
            <w:pPr>
              <w:spacing w:after="0"/>
              <w:rPr>
                <w:rFonts w:cs="Arial"/>
                <w:color w:val="000000" w:themeColor="text1"/>
              </w:rPr>
            </w:pPr>
            <w:r w:rsidRPr="003E3EA4">
              <w:rPr>
                <w:rFonts w:cs="Arial"/>
                <w:color w:val="000000" w:themeColor="text1"/>
              </w:rPr>
              <w:t>Student ID</w:t>
            </w:r>
          </w:p>
        </w:tc>
        <w:tc>
          <w:tcPr>
            <w:tcW w:w="4680" w:type="dxa"/>
            <w:tcMar>
              <w:top w:w="100" w:type="dxa"/>
              <w:left w:w="140" w:type="dxa"/>
              <w:bottom w:w="100" w:type="dxa"/>
              <w:right w:w="140" w:type="dxa"/>
            </w:tcMar>
            <w:vAlign w:val="center"/>
          </w:tcPr>
          <w:p w14:paraId="39E4498B" w14:textId="77777777" w:rsidR="00794DBE" w:rsidRPr="003E3EA4" w:rsidRDefault="00000000" w:rsidP="003E3EA4">
            <w:pPr>
              <w:spacing w:after="0"/>
              <w:rPr>
                <w:rFonts w:cs="Arial"/>
                <w:color w:val="000000" w:themeColor="text1"/>
              </w:rPr>
            </w:pPr>
            <w:r w:rsidRPr="003E3EA4">
              <w:rPr>
                <w:rFonts w:cs="Arial"/>
                <w:color w:val="000000" w:themeColor="text1"/>
              </w:rPr>
              <w:t>2544826</w:t>
            </w:r>
          </w:p>
        </w:tc>
      </w:tr>
      <w:tr w:rsidR="00794DBE" w:rsidRPr="003E3EA4" w14:paraId="2268FC77" w14:textId="77777777">
        <w:trPr>
          <w:jc w:val="center"/>
        </w:trPr>
        <w:tc>
          <w:tcPr>
            <w:tcW w:w="4680" w:type="dxa"/>
            <w:shd w:val="clear" w:color="auto" w:fill="E8EEF2"/>
            <w:tcMar>
              <w:top w:w="100" w:type="dxa"/>
              <w:left w:w="140" w:type="dxa"/>
              <w:bottom w:w="100" w:type="dxa"/>
              <w:right w:w="140" w:type="dxa"/>
            </w:tcMar>
            <w:vAlign w:val="center"/>
          </w:tcPr>
          <w:p w14:paraId="6A6C0600" w14:textId="77777777" w:rsidR="00794DBE" w:rsidRPr="003E3EA4" w:rsidRDefault="00000000" w:rsidP="003E3EA4">
            <w:pPr>
              <w:spacing w:after="0"/>
              <w:rPr>
                <w:rFonts w:cs="Arial"/>
                <w:color w:val="000000" w:themeColor="text1"/>
              </w:rPr>
            </w:pPr>
            <w:r w:rsidRPr="003E3EA4">
              <w:rPr>
                <w:rFonts w:cs="Arial"/>
                <w:color w:val="000000" w:themeColor="text1"/>
              </w:rPr>
              <w:t>Module</w:t>
            </w:r>
          </w:p>
        </w:tc>
        <w:tc>
          <w:tcPr>
            <w:tcW w:w="4680" w:type="dxa"/>
            <w:tcMar>
              <w:top w:w="100" w:type="dxa"/>
              <w:left w:w="140" w:type="dxa"/>
              <w:bottom w:w="100" w:type="dxa"/>
              <w:right w:w="140" w:type="dxa"/>
            </w:tcMar>
            <w:vAlign w:val="center"/>
          </w:tcPr>
          <w:p w14:paraId="4D2F15ED" w14:textId="77777777" w:rsidR="00794DBE" w:rsidRPr="003E3EA4" w:rsidRDefault="00000000" w:rsidP="003E3EA4">
            <w:pPr>
              <w:spacing w:after="0"/>
              <w:rPr>
                <w:rFonts w:cs="Arial"/>
                <w:color w:val="000000" w:themeColor="text1"/>
              </w:rPr>
            </w:pPr>
            <w:r w:rsidRPr="003E3EA4">
              <w:rPr>
                <w:rFonts w:cs="Arial"/>
                <w:color w:val="000000" w:themeColor="text1"/>
              </w:rPr>
              <w:t>LCHS4001 Academic and Employability Skills</w:t>
            </w:r>
          </w:p>
        </w:tc>
      </w:tr>
      <w:tr w:rsidR="00794DBE" w:rsidRPr="003E3EA4" w14:paraId="7C5F5F98" w14:textId="77777777">
        <w:trPr>
          <w:jc w:val="center"/>
        </w:trPr>
        <w:tc>
          <w:tcPr>
            <w:tcW w:w="4680" w:type="dxa"/>
            <w:shd w:val="clear" w:color="auto" w:fill="E8EEF2"/>
            <w:tcMar>
              <w:top w:w="100" w:type="dxa"/>
              <w:left w:w="140" w:type="dxa"/>
              <w:bottom w:w="100" w:type="dxa"/>
              <w:right w:w="140" w:type="dxa"/>
            </w:tcMar>
            <w:vAlign w:val="center"/>
          </w:tcPr>
          <w:p w14:paraId="30AA3321" w14:textId="77777777" w:rsidR="00794DBE" w:rsidRPr="003E3EA4" w:rsidRDefault="00000000" w:rsidP="003E3EA4">
            <w:pPr>
              <w:spacing w:after="0"/>
              <w:rPr>
                <w:rFonts w:cs="Arial"/>
                <w:color w:val="000000" w:themeColor="text1"/>
              </w:rPr>
            </w:pPr>
            <w:r w:rsidRPr="003E3EA4">
              <w:rPr>
                <w:rFonts w:cs="Arial"/>
                <w:color w:val="000000" w:themeColor="text1"/>
              </w:rPr>
              <w:t>Lecturer</w:t>
            </w:r>
          </w:p>
        </w:tc>
        <w:tc>
          <w:tcPr>
            <w:tcW w:w="4680" w:type="dxa"/>
            <w:tcMar>
              <w:top w:w="100" w:type="dxa"/>
              <w:left w:w="140" w:type="dxa"/>
              <w:bottom w:w="100" w:type="dxa"/>
              <w:right w:w="140" w:type="dxa"/>
            </w:tcMar>
            <w:vAlign w:val="center"/>
          </w:tcPr>
          <w:p w14:paraId="0C7840EC" w14:textId="77777777" w:rsidR="00794DBE" w:rsidRPr="003E3EA4" w:rsidRDefault="00000000" w:rsidP="003E3EA4">
            <w:pPr>
              <w:spacing w:after="0"/>
              <w:rPr>
                <w:rFonts w:cs="Arial"/>
                <w:color w:val="000000" w:themeColor="text1"/>
              </w:rPr>
            </w:pPr>
            <w:r w:rsidRPr="003E3EA4">
              <w:rPr>
                <w:rFonts w:cs="Arial"/>
                <w:color w:val="000000" w:themeColor="text1"/>
              </w:rPr>
              <w:t>Rajeeve Nath</w:t>
            </w:r>
          </w:p>
        </w:tc>
      </w:tr>
      <w:tr w:rsidR="00794DBE" w:rsidRPr="003E3EA4" w14:paraId="2C3A28AA" w14:textId="77777777">
        <w:trPr>
          <w:jc w:val="center"/>
        </w:trPr>
        <w:tc>
          <w:tcPr>
            <w:tcW w:w="4680" w:type="dxa"/>
            <w:shd w:val="clear" w:color="auto" w:fill="E8EEF2"/>
            <w:tcMar>
              <w:top w:w="100" w:type="dxa"/>
              <w:left w:w="140" w:type="dxa"/>
              <w:bottom w:w="100" w:type="dxa"/>
              <w:right w:w="140" w:type="dxa"/>
            </w:tcMar>
            <w:vAlign w:val="center"/>
          </w:tcPr>
          <w:p w14:paraId="71E33D75" w14:textId="77777777" w:rsidR="00794DBE" w:rsidRPr="003E3EA4" w:rsidRDefault="00000000" w:rsidP="003E3EA4">
            <w:pPr>
              <w:spacing w:after="0"/>
              <w:rPr>
                <w:rFonts w:cs="Arial"/>
                <w:color w:val="000000" w:themeColor="text1"/>
              </w:rPr>
            </w:pPr>
            <w:r w:rsidRPr="003E3EA4">
              <w:rPr>
                <w:rFonts w:cs="Arial"/>
                <w:color w:val="000000" w:themeColor="text1"/>
              </w:rPr>
              <w:t>Assignment</w:t>
            </w:r>
          </w:p>
        </w:tc>
        <w:tc>
          <w:tcPr>
            <w:tcW w:w="4680" w:type="dxa"/>
            <w:tcMar>
              <w:top w:w="100" w:type="dxa"/>
              <w:left w:w="140" w:type="dxa"/>
              <w:bottom w:w="100" w:type="dxa"/>
              <w:right w:w="140" w:type="dxa"/>
            </w:tcMar>
            <w:vAlign w:val="center"/>
          </w:tcPr>
          <w:p w14:paraId="35B99948" w14:textId="77777777" w:rsidR="00794DBE" w:rsidRPr="003E3EA4" w:rsidRDefault="00000000" w:rsidP="003E3EA4">
            <w:pPr>
              <w:spacing w:after="0"/>
              <w:rPr>
                <w:rFonts w:cs="Arial"/>
                <w:color w:val="000000" w:themeColor="text1"/>
              </w:rPr>
            </w:pPr>
            <w:r w:rsidRPr="003E3EA4">
              <w:rPr>
                <w:rFonts w:cs="Arial"/>
                <w:color w:val="000000" w:themeColor="text1"/>
              </w:rPr>
              <w:t>Task 3: Report</w:t>
            </w:r>
          </w:p>
        </w:tc>
      </w:tr>
    </w:tbl>
    <w:p w14:paraId="4E36BC80" w14:textId="77777777" w:rsidR="00794DBE" w:rsidRPr="003E3EA4" w:rsidRDefault="00000000" w:rsidP="003E3EA4">
      <w:pPr>
        <w:rPr>
          <w:rFonts w:cs="Arial"/>
          <w:color w:val="000000" w:themeColor="text1"/>
        </w:rPr>
      </w:pPr>
      <w:r w:rsidRPr="003E3EA4">
        <w:rPr>
          <w:rFonts w:cs="Arial"/>
          <w:color w:val="000000" w:themeColor="text1"/>
        </w:rPr>
        <w:br w:type="page"/>
      </w:r>
    </w:p>
    <w:p w14:paraId="24EA63ED" w14:textId="77777777" w:rsidR="00794DBE" w:rsidRPr="003E3EA4" w:rsidRDefault="00000000" w:rsidP="003E3EA4">
      <w:pPr>
        <w:pStyle w:val="Heading1"/>
        <w:spacing w:before="0"/>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lastRenderedPageBreak/>
        <w:t>Table of Contents</w:t>
      </w:r>
    </w:p>
    <w:p w14:paraId="4F084460" w14:textId="77777777" w:rsidR="00794DBE" w:rsidRPr="003E3EA4" w:rsidRDefault="00000000" w:rsidP="003E3EA4">
      <w:pPr>
        <w:tabs>
          <w:tab w:val="right" w:leader="dot" w:pos="8928"/>
        </w:tabs>
        <w:spacing w:after="140"/>
        <w:rPr>
          <w:rFonts w:cs="Arial"/>
          <w:color w:val="000000" w:themeColor="text1"/>
        </w:rPr>
      </w:pPr>
      <w:r w:rsidRPr="003E3EA4">
        <w:rPr>
          <w:rFonts w:cs="Arial"/>
          <w:color w:val="000000" w:themeColor="text1"/>
        </w:rPr>
        <w:t>1. Introduction</w:t>
      </w:r>
      <w:r w:rsidRPr="003E3EA4">
        <w:rPr>
          <w:rFonts w:cs="Arial"/>
          <w:color w:val="000000" w:themeColor="text1"/>
        </w:rPr>
        <w:tab/>
        <w:t>3</w:t>
      </w:r>
    </w:p>
    <w:p w14:paraId="0B340972" w14:textId="77777777" w:rsidR="00794DBE" w:rsidRPr="003E3EA4" w:rsidRDefault="00000000" w:rsidP="003E3EA4">
      <w:pPr>
        <w:tabs>
          <w:tab w:val="right" w:leader="dot" w:pos="8928"/>
        </w:tabs>
        <w:spacing w:after="140"/>
        <w:rPr>
          <w:rFonts w:cs="Arial"/>
          <w:color w:val="000000" w:themeColor="text1"/>
        </w:rPr>
      </w:pPr>
      <w:r w:rsidRPr="003E3EA4">
        <w:rPr>
          <w:rFonts w:cs="Arial"/>
          <w:color w:val="000000" w:themeColor="text1"/>
        </w:rPr>
        <w:t>2. Role, Duties and Responsibilities</w:t>
      </w:r>
      <w:r w:rsidRPr="003E3EA4">
        <w:rPr>
          <w:rFonts w:cs="Arial"/>
          <w:color w:val="000000" w:themeColor="text1"/>
        </w:rPr>
        <w:tab/>
        <w:t>3</w:t>
      </w:r>
    </w:p>
    <w:p w14:paraId="665B0379" w14:textId="77777777" w:rsidR="00794DBE" w:rsidRPr="003E3EA4" w:rsidRDefault="00000000" w:rsidP="003E3EA4">
      <w:pPr>
        <w:tabs>
          <w:tab w:val="right" w:leader="dot" w:pos="8928"/>
        </w:tabs>
        <w:spacing w:after="140"/>
        <w:rPr>
          <w:rFonts w:cs="Arial"/>
          <w:color w:val="000000" w:themeColor="text1"/>
        </w:rPr>
      </w:pPr>
      <w:r w:rsidRPr="003E3EA4">
        <w:rPr>
          <w:rFonts w:cs="Arial"/>
          <w:color w:val="000000" w:themeColor="text1"/>
        </w:rPr>
        <w:t>3. Essential Skills and Development Strategies</w:t>
      </w:r>
      <w:r w:rsidRPr="003E3EA4">
        <w:rPr>
          <w:rFonts w:cs="Arial"/>
          <w:color w:val="000000" w:themeColor="text1"/>
        </w:rPr>
        <w:tab/>
        <w:t>4</w:t>
      </w:r>
    </w:p>
    <w:p w14:paraId="4CA1277A" w14:textId="77777777" w:rsidR="00794DBE" w:rsidRPr="003E3EA4" w:rsidRDefault="00000000" w:rsidP="003E3EA4">
      <w:pPr>
        <w:tabs>
          <w:tab w:val="right" w:leader="dot" w:pos="8928"/>
        </w:tabs>
        <w:spacing w:after="140"/>
        <w:ind w:left="403"/>
        <w:rPr>
          <w:rFonts w:cs="Arial"/>
          <w:color w:val="000000" w:themeColor="text1"/>
        </w:rPr>
      </w:pPr>
      <w:r w:rsidRPr="003E3EA4">
        <w:rPr>
          <w:rFonts w:cs="Arial"/>
          <w:color w:val="000000" w:themeColor="text1"/>
        </w:rPr>
        <w:t>3.1 Communication and Active Listening</w:t>
      </w:r>
      <w:r w:rsidRPr="003E3EA4">
        <w:rPr>
          <w:rFonts w:cs="Arial"/>
          <w:color w:val="000000" w:themeColor="text1"/>
        </w:rPr>
        <w:tab/>
        <w:t>4</w:t>
      </w:r>
    </w:p>
    <w:p w14:paraId="5D744A16" w14:textId="77777777" w:rsidR="00794DBE" w:rsidRPr="003E3EA4" w:rsidRDefault="00000000" w:rsidP="003E3EA4">
      <w:pPr>
        <w:tabs>
          <w:tab w:val="right" w:leader="dot" w:pos="8928"/>
        </w:tabs>
        <w:spacing w:after="140"/>
        <w:ind w:left="403"/>
        <w:rPr>
          <w:rFonts w:cs="Arial"/>
          <w:color w:val="000000" w:themeColor="text1"/>
        </w:rPr>
      </w:pPr>
      <w:r w:rsidRPr="003E3EA4">
        <w:rPr>
          <w:rFonts w:cs="Arial"/>
          <w:color w:val="000000" w:themeColor="text1"/>
        </w:rPr>
        <w:t>3.2 Observation and Accurate Recording</w:t>
      </w:r>
      <w:r w:rsidRPr="003E3EA4">
        <w:rPr>
          <w:rFonts w:cs="Arial"/>
          <w:color w:val="000000" w:themeColor="text1"/>
        </w:rPr>
        <w:tab/>
        <w:t>5</w:t>
      </w:r>
    </w:p>
    <w:p w14:paraId="514B14DE" w14:textId="77777777" w:rsidR="00794DBE" w:rsidRPr="003E3EA4" w:rsidRDefault="00000000" w:rsidP="003E3EA4">
      <w:pPr>
        <w:tabs>
          <w:tab w:val="right" w:leader="dot" w:pos="8928"/>
        </w:tabs>
        <w:spacing w:after="140"/>
        <w:ind w:left="403"/>
        <w:rPr>
          <w:rFonts w:cs="Arial"/>
          <w:color w:val="000000" w:themeColor="text1"/>
        </w:rPr>
      </w:pPr>
      <w:r w:rsidRPr="003E3EA4">
        <w:rPr>
          <w:rFonts w:cs="Arial"/>
          <w:color w:val="000000" w:themeColor="text1"/>
        </w:rPr>
        <w:t>3.3 Time Management and Organisation</w:t>
      </w:r>
      <w:r w:rsidRPr="003E3EA4">
        <w:rPr>
          <w:rFonts w:cs="Arial"/>
          <w:color w:val="000000" w:themeColor="text1"/>
        </w:rPr>
        <w:tab/>
        <w:t>5</w:t>
      </w:r>
    </w:p>
    <w:p w14:paraId="486C718C" w14:textId="77777777" w:rsidR="00794DBE" w:rsidRPr="003E3EA4" w:rsidRDefault="00000000" w:rsidP="003E3EA4">
      <w:pPr>
        <w:tabs>
          <w:tab w:val="right" w:leader="dot" w:pos="8928"/>
        </w:tabs>
        <w:spacing w:after="140"/>
        <w:rPr>
          <w:rFonts w:cs="Arial"/>
          <w:color w:val="000000" w:themeColor="text1"/>
        </w:rPr>
      </w:pPr>
      <w:r w:rsidRPr="003E3EA4">
        <w:rPr>
          <w:rFonts w:cs="Arial"/>
          <w:color w:val="000000" w:themeColor="text1"/>
        </w:rPr>
        <w:t>4. Conclusion</w:t>
      </w:r>
      <w:r w:rsidRPr="003E3EA4">
        <w:rPr>
          <w:rFonts w:cs="Arial"/>
          <w:color w:val="000000" w:themeColor="text1"/>
        </w:rPr>
        <w:tab/>
        <w:t>6</w:t>
      </w:r>
    </w:p>
    <w:p w14:paraId="034CED17" w14:textId="77777777" w:rsidR="00794DBE" w:rsidRPr="003E3EA4" w:rsidRDefault="00000000" w:rsidP="003E3EA4">
      <w:pPr>
        <w:tabs>
          <w:tab w:val="right" w:leader="dot" w:pos="8928"/>
        </w:tabs>
        <w:spacing w:after="140"/>
        <w:rPr>
          <w:rFonts w:cs="Arial"/>
          <w:color w:val="000000" w:themeColor="text1"/>
        </w:rPr>
      </w:pPr>
      <w:r w:rsidRPr="003E3EA4">
        <w:rPr>
          <w:rFonts w:cs="Arial"/>
          <w:color w:val="000000" w:themeColor="text1"/>
        </w:rPr>
        <w:t>Reference List</w:t>
      </w:r>
      <w:r w:rsidRPr="003E3EA4">
        <w:rPr>
          <w:rFonts w:cs="Arial"/>
          <w:color w:val="000000" w:themeColor="text1"/>
        </w:rPr>
        <w:tab/>
        <w:t>7</w:t>
      </w:r>
    </w:p>
    <w:p w14:paraId="39304E0B" w14:textId="77777777" w:rsidR="00794DBE" w:rsidRPr="003E3EA4" w:rsidRDefault="00000000" w:rsidP="003E3EA4">
      <w:pPr>
        <w:rPr>
          <w:rFonts w:cs="Arial"/>
          <w:color w:val="000000" w:themeColor="text1"/>
        </w:rPr>
      </w:pPr>
      <w:r w:rsidRPr="003E3EA4">
        <w:rPr>
          <w:rFonts w:cs="Arial"/>
          <w:color w:val="000000" w:themeColor="text1"/>
        </w:rPr>
        <w:br w:type="page"/>
      </w:r>
    </w:p>
    <w:p w14:paraId="0D2EC8CE" w14:textId="77777777" w:rsidR="00794DBE" w:rsidRPr="003E3EA4" w:rsidRDefault="00000000" w:rsidP="003E3EA4">
      <w:pPr>
        <w:pStyle w:val="Heading1"/>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lastRenderedPageBreak/>
        <w:t>1. Introduction</w:t>
      </w:r>
    </w:p>
    <w:p w14:paraId="56DA31EB" w14:textId="77777777" w:rsidR="00794DBE" w:rsidRPr="003E3EA4" w:rsidRDefault="00000000" w:rsidP="003E3EA4">
      <w:pPr>
        <w:rPr>
          <w:rFonts w:cs="Arial"/>
          <w:color w:val="000000" w:themeColor="text1"/>
        </w:rPr>
      </w:pPr>
      <w:r w:rsidRPr="003E3EA4">
        <w:rPr>
          <w:rFonts w:cs="Arial"/>
          <w:color w:val="000000" w:themeColor="text1"/>
        </w:rPr>
        <w:t>A private live-in carer lives in the home of a person who needs regular support and provides care according to that person’s individual needs, routines and choices. The person receiving care may be an older adult, someone living with dementia, a disabled person, or somebody recovering from illness. Unlike a visiting care worker, a live-in carer is present for long periods and becomes closely involved in everyday life. This makes the role both practical and personal. The purpose of this report is to describe the main duties of a private live-in carer, explain three essential skills for the role, and discuss a separate strategy for improving each skill.</w:t>
      </w:r>
    </w:p>
    <w:p w14:paraId="0BB9EF39" w14:textId="77777777" w:rsidR="00794DBE" w:rsidRPr="003E3EA4" w:rsidRDefault="00000000" w:rsidP="003E3EA4">
      <w:pPr>
        <w:pStyle w:val="Heading1"/>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2. Role, Duties and Responsibilities</w:t>
      </w:r>
    </w:p>
    <w:p w14:paraId="771B11EE" w14:textId="77777777" w:rsidR="00794DBE" w:rsidRPr="003E3EA4" w:rsidRDefault="00000000" w:rsidP="003E3EA4">
      <w:pPr>
        <w:rPr>
          <w:rFonts w:cs="Arial"/>
          <w:color w:val="000000" w:themeColor="text1"/>
        </w:rPr>
      </w:pPr>
      <w:r w:rsidRPr="003E3EA4">
        <w:rPr>
          <w:rFonts w:cs="Arial"/>
          <w:color w:val="000000" w:themeColor="text1"/>
        </w:rPr>
        <w:t>The main responsibility of a private live-in carer is to help the individual remain safe, comfortable and as independent as possible in their own home. Care must be person-centred rather than based on a fixed routine chosen by the carer. The Care Quality Commission (CQC, 2025a) states that care should be designed around the individual’s needs and preferences. In practice, this means asking how the person wishes to be supported, respecting their usual routine and involving them in decisions. For example, a carer should not simply decide when a person will get dressed or eat breakfast if the person is able to express a preference.</w:t>
      </w:r>
    </w:p>
    <w:p w14:paraId="648BC873" w14:textId="77777777" w:rsidR="00794DBE" w:rsidRPr="003E3EA4" w:rsidRDefault="00000000" w:rsidP="003E3EA4">
      <w:pPr>
        <w:rPr>
          <w:rFonts w:cs="Arial"/>
          <w:color w:val="000000" w:themeColor="text1"/>
        </w:rPr>
      </w:pPr>
      <w:r w:rsidRPr="003E3EA4">
        <w:rPr>
          <w:rFonts w:cs="Arial"/>
          <w:color w:val="000000" w:themeColor="text1"/>
        </w:rPr>
        <w:t>Daily duties may include assistance with washing, dressing, toileting, mobility and meal preparation. The carer may also complete light household tasks, collect shopping, accompany the person to appointments and provide companionship. When personal care is given, privacy and dignity must be protected by seeking consent, closing doors or curtains and covering the person appropriately. The Social Care Institute for Excellence (SCIE, n.d.-a) explains that respecting privacy is a central part of dignified care. A good live-in carer therefore supports the individual without taking over tasks they can still do themselves.</w:t>
      </w:r>
    </w:p>
    <w:p w14:paraId="6195E0AE" w14:textId="77777777" w:rsidR="00794DBE" w:rsidRPr="003E3EA4" w:rsidRDefault="00000000" w:rsidP="003E3EA4">
      <w:pPr>
        <w:rPr>
          <w:rFonts w:cs="Arial"/>
          <w:color w:val="000000" w:themeColor="text1"/>
        </w:rPr>
      </w:pPr>
      <w:r w:rsidRPr="003E3EA4">
        <w:rPr>
          <w:rFonts w:cs="Arial"/>
          <w:color w:val="000000" w:themeColor="text1"/>
        </w:rPr>
        <w:t xml:space="preserve">Some carers give medication support when this is included in the care </w:t>
      </w:r>
      <w:proofErr w:type="gramStart"/>
      <w:r w:rsidRPr="003E3EA4">
        <w:rPr>
          <w:rFonts w:cs="Arial"/>
          <w:color w:val="000000" w:themeColor="text1"/>
        </w:rPr>
        <w:t>plan</w:t>
      </w:r>
      <w:proofErr w:type="gramEnd"/>
      <w:r w:rsidRPr="003E3EA4">
        <w:rPr>
          <w:rFonts w:cs="Arial"/>
          <w:color w:val="000000" w:themeColor="text1"/>
        </w:rPr>
        <w:t xml:space="preserve"> and they have been trained and assessed as competent. This may involve prompting, assisting or administering medicines, followed by accurate recording. The CQC (2025b) requires medicine care plans to be individualised and clear about the support a person needs. A private live-in carer must stay within the boundaries of the agreed role and report mistakes or concerns immediately rather than trying to hide them.</w:t>
      </w:r>
    </w:p>
    <w:p w14:paraId="4DD96B8C" w14:textId="77777777" w:rsidR="00794DBE" w:rsidRPr="003E3EA4" w:rsidRDefault="00000000" w:rsidP="003E3EA4">
      <w:pPr>
        <w:rPr>
          <w:rFonts w:cs="Arial"/>
          <w:color w:val="000000" w:themeColor="text1"/>
        </w:rPr>
      </w:pPr>
      <w:r w:rsidRPr="003E3EA4">
        <w:rPr>
          <w:rFonts w:cs="Arial"/>
          <w:color w:val="000000" w:themeColor="text1"/>
        </w:rPr>
        <w:t xml:space="preserve">The role also involves monitoring wellbeing and reporting changes. A carer may notice reduced appetite, confusion, a change in skin condition, unusual tiredness or difficulty walking. These </w:t>
      </w:r>
      <w:r w:rsidRPr="003E3EA4">
        <w:rPr>
          <w:rFonts w:cs="Arial"/>
          <w:color w:val="000000" w:themeColor="text1"/>
        </w:rPr>
        <w:lastRenderedPageBreak/>
        <w:t>observations should be recorded factually and shared with the appropriate family member, manager or healthcare professional in line with the care plan. SCIE (2021) notes that good recording supports continuity of care, accountability and communication between agencies. Other responsibilities include following safeguarding procedures, maintaining confidentiality, reducing risks in the home, using moving and handling techniques correctly, and responding appropriately in an emergency. Skills for Care (2025) identifies communication, duty of care, safeguarding, health and safety, handling information, and infection prevention as core areas of knowledge for care workers.</w:t>
      </w:r>
    </w:p>
    <w:p w14:paraId="28FFA8C3" w14:textId="77777777" w:rsidR="00794DBE" w:rsidRPr="003E3EA4" w:rsidRDefault="00000000" w:rsidP="003E3EA4">
      <w:pPr>
        <w:pStyle w:val="Heading1"/>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3. Essential Skills and Development Strategies</w:t>
      </w:r>
    </w:p>
    <w:p w14:paraId="72F9FE94" w14:textId="77777777" w:rsidR="00794DBE" w:rsidRPr="003E3EA4" w:rsidRDefault="00000000" w:rsidP="003E3EA4">
      <w:pPr>
        <w:pStyle w:val="Heading2"/>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3.1 Communication and Active Listening</w:t>
      </w:r>
    </w:p>
    <w:p w14:paraId="7BA86760" w14:textId="77777777" w:rsidR="00794DBE" w:rsidRPr="003E3EA4" w:rsidRDefault="00000000" w:rsidP="003E3EA4">
      <w:pPr>
        <w:rPr>
          <w:rFonts w:cs="Arial"/>
          <w:color w:val="000000" w:themeColor="text1"/>
        </w:rPr>
      </w:pPr>
      <w:r w:rsidRPr="003E3EA4">
        <w:rPr>
          <w:rFonts w:cs="Arial"/>
          <w:color w:val="000000" w:themeColor="text1"/>
        </w:rPr>
        <w:t>Communication is essential because the carer must understand the person’s wishes, explain care clearly and build trust while sharing a home. It includes speaking, listening, observing body language, writing care notes and communicating with relatives and professionals. Some individuals may have hearing loss, dementia, speech difficulties or limited English, so the carer must adapt their approach. The NHS (2022) advises carers to be patient, allow enough time and use methods suited to the person’s communication needs. For example, when supporting a person with dementia, the carer might use short sentences, offer two clear choices and give the person time to answer rather than repeating the question quickly.</w:t>
      </w:r>
    </w:p>
    <w:p w14:paraId="0692D892" w14:textId="77777777" w:rsidR="00794DBE" w:rsidRPr="003E3EA4" w:rsidRDefault="00000000" w:rsidP="003E3EA4">
      <w:pPr>
        <w:rPr>
          <w:rFonts w:cs="Arial"/>
          <w:color w:val="000000" w:themeColor="text1"/>
        </w:rPr>
      </w:pPr>
      <w:r w:rsidRPr="003E3EA4">
        <w:rPr>
          <w:rFonts w:cs="Arial"/>
          <w:color w:val="000000" w:themeColor="text1"/>
        </w:rPr>
        <w:t>A practical strategy for improving this skill is supervised communication training followed by regular reflective practice. The carer could complete Care Certificate communication training, ask a supervisor to observe a real interaction, and use the feedback to set one improvement goal each week. After an important conversation, the carer could briefly note what worked, where confusion occurred and how the message could be clearer next time. This strategy develops skill through learning, observation and repeated application. It would help the carer become more confident in adapting tone, pace, questions and non-verbal communication to the individual, while also improving the accuracy of information passed to family members and professionals.</w:t>
      </w:r>
    </w:p>
    <w:p w14:paraId="4A8B14E8" w14:textId="77777777" w:rsidR="00794DBE" w:rsidRPr="003E3EA4" w:rsidRDefault="00000000" w:rsidP="003E3EA4">
      <w:pPr>
        <w:pStyle w:val="Heading2"/>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3.2 Observation and Accurate Recording</w:t>
      </w:r>
    </w:p>
    <w:p w14:paraId="54ADE724" w14:textId="77777777" w:rsidR="00794DBE" w:rsidRPr="003E3EA4" w:rsidRDefault="00000000" w:rsidP="003E3EA4">
      <w:pPr>
        <w:rPr>
          <w:rFonts w:cs="Arial"/>
          <w:color w:val="000000" w:themeColor="text1"/>
        </w:rPr>
      </w:pPr>
      <w:r w:rsidRPr="003E3EA4">
        <w:rPr>
          <w:rFonts w:cs="Arial"/>
          <w:color w:val="000000" w:themeColor="text1"/>
        </w:rPr>
        <w:t xml:space="preserve">Strong observation is needed because a live-in carer is often the person most likely to notice small changes in health, behaviour or ability. A person may not recognise or communicate that they are becoming unwell. Early signs could include drinking less, increased confusion, </w:t>
      </w:r>
      <w:r w:rsidRPr="003E3EA4">
        <w:rPr>
          <w:rFonts w:cs="Arial"/>
          <w:color w:val="000000" w:themeColor="text1"/>
        </w:rPr>
        <w:lastRenderedPageBreak/>
        <w:t>breathlessness, bruising, pain during movement or a change in mood. NHS England (2024) highlights that patients, families and carers may notice small changes that can be early signs of deterioration. The carer should observe carefully without making a diagnosis, record facts and seek help according to the care plan. For instance, writing ‘Mrs A ate two spoonfuls of lunch and drank half a cup of water’ is more useful than writing ‘poor appetite’. Accurate records allow others to understand exactly what happened.</w:t>
      </w:r>
    </w:p>
    <w:p w14:paraId="2E892845" w14:textId="77777777" w:rsidR="00794DBE" w:rsidRPr="003E3EA4" w:rsidRDefault="00000000" w:rsidP="003E3EA4">
      <w:pPr>
        <w:rPr>
          <w:rFonts w:cs="Arial"/>
          <w:color w:val="000000" w:themeColor="text1"/>
        </w:rPr>
      </w:pPr>
      <w:r w:rsidRPr="003E3EA4">
        <w:rPr>
          <w:rFonts w:cs="Arial"/>
          <w:color w:val="000000" w:themeColor="text1"/>
        </w:rPr>
        <w:t>The most suitable development strategy is scenario-based observation and recording practice. A supervisor could give the carer short case scenarios, ask them to identify relevant changes and complete a sample daily record, then compare it with an agreed standard. The carer should practise separating observation from opinion and use a structure such as what was seen, when it happened, what action was taken and who was informed. Feedback would reveal missed warning signs or vague language. Repeating this exercise with situations involving falls, dehydration, skin damage and medication side effects would improve attention to detail and help the carer escalate concerns promptly and provide reliable evidence to healthcare professionals.</w:t>
      </w:r>
    </w:p>
    <w:p w14:paraId="5EDAB0E3" w14:textId="77777777" w:rsidR="00794DBE" w:rsidRPr="003E3EA4" w:rsidRDefault="00000000" w:rsidP="003E3EA4">
      <w:pPr>
        <w:pStyle w:val="Heading2"/>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3.3 Time Management and Organisation</w:t>
      </w:r>
    </w:p>
    <w:p w14:paraId="06C0DBCB" w14:textId="77777777" w:rsidR="00794DBE" w:rsidRPr="003E3EA4" w:rsidRDefault="00000000" w:rsidP="003E3EA4">
      <w:pPr>
        <w:rPr>
          <w:rFonts w:cs="Arial"/>
          <w:color w:val="000000" w:themeColor="text1"/>
        </w:rPr>
      </w:pPr>
      <w:r w:rsidRPr="003E3EA4">
        <w:rPr>
          <w:rFonts w:cs="Arial"/>
          <w:color w:val="000000" w:themeColor="text1"/>
        </w:rPr>
        <w:t>Time management and organisation are vital because several responsibilities must be balanced across the day, including personal care, meals, medicines, appointments, household tasks and meaningful activities. Poor organisation can result in rushed care, a late dose of medicine or insufficient time for the person to make choices. However, efficiency should never mean treating the individual like a list of tasks. The schedule must remain flexible because needs can change. For example, if the person feels dizzy while getting dressed, the carer should pause the routine, make them safe, observe their condition and report the concern rather than continuing simply to stay on time.</w:t>
      </w:r>
    </w:p>
    <w:p w14:paraId="2FBCC0BB" w14:textId="77777777" w:rsidR="00794DBE" w:rsidRPr="003E3EA4" w:rsidRDefault="00000000" w:rsidP="003E3EA4">
      <w:pPr>
        <w:rPr>
          <w:rFonts w:cs="Arial"/>
          <w:color w:val="000000" w:themeColor="text1"/>
        </w:rPr>
      </w:pPr>
      <w:r w:rsidRPr="003E3EA4">
        <w:rPr>
          <w:rFonts w:cs="Arial"/>
          <w:color w:val="000000" w:themeColor="text1"/>
        </w:rPr>
        <w:t xml:space="preserve">A useful strategy is to create and review a person-centred daily planner based on the care plan. At the beginning of each shift or day, the carer can identify time-critical tasks, such as prescribed medicines and appointments, while leaving flexible periods for personal care, conversation and unexpected needs. A short end-of-day review can check which tasks were completed, what caused delays and whether the plan still reflects the person’s preferences. This would develop prioritisation, reduce forgotten tasks and prevent unnecessary rushing. It also provides a clear structure for handovers or relief carers. Importantly, the planner should support </w:t>
      </w:r>
      <w:r w:rsidRPr="003E3EA4">
        <w:rPr>
          <w:rFonts w:cs="Arial"/>
          <w:color w:val="000000" w:themeColor="text1"/>
        </w:rPr>
        <w:lastRenderedPageBreak/>
        <w:t>rather than control the person, because CQC guidance makes clear that care must remain personalised (CQC, 2025a).</w:t>
      </w:r>
    </w:p>
    <w:p w14:paraId="773A926F" w14:textId="77777777" w:rsidR="00794DBE" w:rsidRPr="003E3EA4" w:rsidRDefault="00000000" w:rsidP="003E3EA4">
      <w:pPr>
        <w:pStyle w:val="Heading1"/>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t>4. Conclusion</w:t>
      </w:r>
    </w:p>
    <w:p w14:paraId="1D1097A0" w14:textId="77777777" w:rsidR="00794DBE" w:rsidRPr="003E3EA4" w:rsidRDefault="00000000" w:rsidP="003E3EA4">
      <w:pPr>
        <w:rPr>
          <w:rFonts w:cs="Arial"/>
          <w:color w:val="000000" w:themeColor="text1"/>
        </w:rPr>
      </w:pPr>
      <w:r w:rsidRPr="003E3EA4">
        <w:rPr>
          <w:rFonts w:cs="Arial"/>
          <w:color w:val="000000" w:themeColor="text1"/>
        </w:rPr>
        <w:t>A private live-in carer has an important role in helping a person remain safely and with dignity in their own home. Responsibilities can include personal care, meals, mobility support, companionship, household help, medication support, monitoring, recording and reporting concerns. These tasks must be completed in a person-centred way that respects consent, privacy, choice and independence. Communication, observation and time management are particularly important because they affect trust, safety and the quality of everyday support. Communication training with reflection, scenario-based recording practice, and a person-centred daily planner are realistic strategies for developing these skills. Used consistently, they would help a carer provide reliable support while recognising professional boundaries and responding to the individual rather than simply completing tasks.</w:t>
      </w:r>
    </w:p>
    <w:p w14:paraId="20958CCD" w14:textId="77777777" w:rsidR="00794DBE" w:rsidRPr="003E3EA4" w:rsidRDefault="00000000" w:rsidP="003E3EA4">
      <w:pPr>
        <w:rPr>
          <w:rFonts w:cs="Arial"/>
          <w:color w:val="000000" w:themeColor="text1"/>
        </w:rPr>
      </w:pPr>
      <w:r w:rsidRPr="003E3EA4">
        <w:rPr>
          <w:rFonts w:cs="Arial"/>
          <w:color w:val="000000" w:themeColor="text1"/>
        </w:rPr>
        <w:br w:type="page"/>
      </w:r>
    </w:p>
    <w:p w14:paraId="24474660" w14:textId="77777777" w:rsidR="00794DBE" w:rsidRPr="003E3EA4" w:rsidRDefault="00000000" w:rsidP="003E3EA4">
      <w:pPr>
        <w:pStyle w:val="Heading1"/>
        <w:rPr>
          <w:rFonts w:ascii="Arial" w:hAnsi="Arial" w:cs="Arial"/>
          <w:b w:val="0"/>
          <w:bCs w:val="0"/>
          <w:color w:val="000000" w:themeColor="text1"/>
          <w:sz w:val="22"/>
          <w:szCs w:val="22"/>
        </w:rPr>
      </w:pPr>
      <w:r w:rsidRPr="003E3EA4">
        <w:rPr>
          <w:rFonts w:ascii="Arial" w:hAnsi="Arial" w:cs="Arial"/>
          <w:b w:val="0"/>
          <w:bCs w:val="0"/>
          <w:color w:val="000000" w:themeColor="text1"/>
          <w:sz w:val="22"/>
          <w:szCs w:val="22"/>
        </w:rPr>
        <w:lastRenderedPageBreak/>
        <w:t>Reference List</w:t>
      </w:r>
    </w:p>
    <w:p w14:paraId="5D63A9AA" w14:textId="77777777" w:rsidR="00794DBE" w:rsidRPr="003E3EA4" w:rsidRDefault="00000000" w:rsidP="003E3EA4">
      <w:pPr>
        <w:ind w:left="432" w:hanging="432"/>
        <w:rPr>
          <w:rFonts w:cs="Arial"/>
          <w:color w:val="000000" w:themeColor="text1"/>
        </w:rPr>
      </w:pPr>
      <w:r w:rsidRPr="003E3EA4">
        <w:rPr>
          <w:rFonts w:cs="Arial"/>
          <w:color w:val="000000" w:themeColor="text1"/>
        </w:rPr>
        <w:t>Care Quality Commission (CQC) (2025a) ‘Regulation 9: Person-centred care’. Available at: https://www.cqc.org.uk/guidance-regulation/providers/regulations-service-providers-and-managers/health-social-care-act/regulation-9 (Accessed: 16 August 2026).</w:t>
      </w:r>
    </w:p>
    <w:p w14:paraId="5370C1F6" w14:textId="77777777" w:rsidR="00794DBE" w:rsidRPr="003E3EA4" w:rsidRDefault="00000000" w:rsidP="003E3EA4">
      <w:pPr>
        <w:ind w:left="432" w:hanging="432"/>
        <w:rPr>
          <w:rFonts w:cs="Arial"/>
          <w:color w:val="000000" w:themeColor="text1"/>
        </w:rPr>
      </w:pPr>
      <w:r w:rsidRPr="003E3EA4">
        <w:rPr>
          <w:rFonts w:cs="Arial"/>
          <w:color w:val="000000" w:themeColor="text1"/>
        </w:rPr>
        <w:t xml:space="preserve">Care Quality Commission (CQC) (2025b) ‘Medicines care </w:t>
      </w:r>
      <w:proofErr w:type="gramStart"/>
      <w:r w:rsidRPr="003E3EA4">
        <w:rPr>
          <w:rFonts w:cs="Arial"/>
          <w:color w:val="000000" w:themeColor="text1"/>
        </w:rPr>
        <w:t>plans’</w:t>
      </w:r>
      <w:proofErr w:type="gramEnd"/>
      <w:r w:rsidRPr="003E3EA4">
        <w:rPr>
          <w:rFonts w:cs="Arial"/>
          <w:color w:val="000000" w:themeColor="text1"/>
        </w:rPr>
        <w:t>. Available at: https://www.cqc.org.uk/guidance-providers/adult-social-care/medicines-care-plans (Accessed: 16 August 2026).</w:t>
      </w:r>
    </w:p>
    <w:p w14:paraId="27CDE717" w14:textId="77777777" w:rsidR="00794DBE" w:rsidRPr="003E3EA4" w:rsidRDefault="00000000" w:rsidP="003E3EA4">
      <w:pPr>
        <w:ind w:left="432" w:hanging="432"/>
        <w:rPr>
          <w:rFonts w:cs="Arial"/>
          <w:color w:val="000000" w:themeColor="text1"/>
        </w:rPr>
      </w:pPr>
      <w:r w:rsidRPr="003E3EA4">
        <w:rPr>
          <w:rFonts w:cs="Arial"/>
          <w:color w:val="000000" w:themeColor="text1"/>
        </w:rPr>
        <w:t xml:space="preserve">NHS (2022) ‘How to care for someone with communication </w:t>
      </w:r>
      <w:proofErr w:type="gramStart"/>
      <w:r w:rsidRPr="003E3EA4">
        <w:rPr>
          <w:rFonts w:cs="Arial"/>
          <w:color w:val="000000" w:themeColor="text1"/>
        </w:rPr>
        <w:t>difficulties’</w:t>
      </w:r>
      <w:proofErr w:type="gramEnd"/>
      <w:r w:rsidRPr="003E3EA4">
        <w:rPr>
          <w:rFonts w:cs="Arial"/>
          <w:color w:val="000000" w:themeColor="text1"/>
        </w:rPr>
        <w:t>. Available at: https://www.nhs.uk/social-care-and-support/practical-tips-if-you-care-for-someone/how-to-care-for-someone-with-communication-difficulties/ (Accessed: 16 August 2026).</w:t>
      </w:r>
    </w:p>
    <w:p w14:paraId="21272656" w14:textId="77777777" w:rsidR="00794DBE" w:rsidRPr="003E3EA4" w:rsidRDefault="00000000" w:rsidP="003E3EA4">
      <w:pPr>
        <w:ind w:left="432" w:hanging="432"/>
        <w:rPr>
          <w:rFonts w:cs="Arial"/>
          <w:color w:val="000000" w:themeColor="text1"/>
        </w:rPr>
      </w:pPr>
      <w:r w:rsidRPr="003E3EA4">
        <w:rPr>
          <w:rFonts w:cs="Arial"/>
          <w:color w:val="000000" w:themeColor="text1"/>
        </w:rPr>
        <w:t>NHS England (2024) ‘Martha’s Rule’. Available at: https://www.england.nhs.uk/patient-safety/marthas-rule/ (Accessed: 16 August 2026).</w:t>
      </w:r>
    </w:p>
    <w:p w14:paraId="75F687EE" w14:textId="77777777" w:rsidR="00794DBE" w:rsidRPr="003E3EA4" w:rsidRDefault="00000000" w:rsidP="003E3EA4">
      <w:pPr>
        <w:ind w:left="432" w:hanging="432"/>
        <w:rPr>
          <w:rFonts w:cs="Arial"/>
          <w:color w:val="000000" w:themeColor="text1"/>
        </w:rPr>
      </w:pPr>
      <w:r w:rsidRPr="003E3EA4">
        <w:rPr>
          <w:rFonts w:cs="Arial"/>
          <w:color w:val="000000" w:themeColor="text1"/>
        </w:rPr>
        <w:t>Skills for Care (2025) ‘The Level 2 Care Certificate qualification’. Available at: https://www.skillsforcare.org.uk/news-and-events/blogs/the-level-2-care-certificate-qualification (Accessed: 16 August 2026).</w:t>
      </w:r>
    </w:p>
    <w:p w14:paraId="0DC9BBBC" w14:textId="77777777" w:rsidR="00794DBE" w:rsidRPr="003E3EA4" w:rsidRDefault="00000000" w:rsidP="003E3EA4">
      <w:pPr>
        <w:ind w:left="432" w:hanging="432"/>
        <w:rPr>
          <w:rFonts w:cs="Arial"/>
          <w:color w:val="000000" w:themeColor="text1"/>
        </w:rPr>
      </w:pPr>
      <w:r w:rsidRPr="003E3EA4">
        <w:rPr>
          <w:rFonts w:cs="Arial"/>
          <w:color w:val="000000" w:themeColor="text1"/>
        </w:rPr>
        <w:t>Social Care Institute for Excellence (SCIE) (2021) ‘Social care recording’. Available at: https://www.scie.org.uk/providing-care/recording/ (Accessed: 16 August 2026).</w:t>
      </w:r>
    </w:p>
    <w:p w14:paraId="0F33E1F5" w14:textId="77777777" w:rsidR="00794DBE" w:rsidRPr="003E3EA4" w:rsidRDefault="00000000" w:rsidP="003E3EA4">
      <w:pPr>
        <w:ind w:left="432" w:hanging="432"/>
        <w:rPr>
          <w:rFonts w:cs="Arial"/>
          <w:color w:val="000000" w:themeColor="text1"/>
        </w:rPr>
      </w:pPr>
      <w:r w:rsidRPr="003E3EA4">
        <w:rPr>
          <w:rFonts w:cs="Arial"/>
          <w:color w:val="000000" w:themeColor="text1"/>
        </w:rPr>
        <w:t>Social Care Institute for Excellence (SCIE) (n.d.-a) ‘Privacy and dignity in care’. Available at: https://www.scie.org.uk/providing-care/dignity-in-care/privacy/ (Accessed: 16 August 2026).</w:t>
      </w:r>
    </w:p>
    <w:sectPr w:rsidR="00794DBE" w:rsidRPr="003E3EA4" w:rsidSect="00034616">
      <w:footerReference w:type="default" r:id="rId9"/>
      <w:pgSz w:w="12240" w:h="15840"/>
      <w:pgMar w:top="1440"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686CA" w14:textId="77777777" w:rsidR="008B3E9A" w:rsidRDefault="008B3E9A">
      <w:pPr>
        <w:spacing w:after="0" w:line="240" w:lineRule="auto"/>
      </w:pPr>
      <w:r>
        <w:separator/>
      </w:r>
    </w:p>
  </w:endnote>
  <w:endnote w:type="continuationSeparator" w:id="0">
    <w:p w14:paraId="30F26FD2" w14:textId="77777777" w:rsidR="008B3E9A" w:rsidRDefault="008B3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20D9F" w14:textId="77777777" w:rsidR="00794DBE" w:rsidRDefault="00000000">
    <w:pPr>
      <w:pStyle w:val="Footer"/>
      <w:jc w:val="right"/>
    </w:pPr>
    <w:r>
      <w:rPr>
        <w:color w:val="666666"/>
        <w:sz w:val="18"/>
      </w:rPr>
      <w:t xml:space="preserve">Page </w:t>
    </w:r>
    <w:r>
      <w:rPr>
        <w:sz w:val="18"/>
      </w:rPr>
      <w:fldChar w:fldCharType="begin"/>
    </w:r>
    <w:r>
      <w:rPr>
        <w:sz w:val="18"/>
      </w:rPr>
      <w:instrText>PAGE</w:instrText>
    </w:r>
    <w:r>
      <w:rPr>
        <w:sz w:val="18"/>
      </w:rP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47D8E" w14:textId="77777777" w:rsidR="008B3E9A" w:rsidRDefault="008B3E9A">
      <w:pPr>
        <w:spacing w:after="0" w:line="240" w:lineRule="auto"/>
      </w:pPr>
      <w:r>
        <w:separator/>
      </w:r>
    </w:p>
  </w:footnote>
  <w:footnote w:type="continuationSeparator" w:id="0">
    <w:p w14:paraId="3BD6410D" w14:textId="77777777" w:rsidR="008B3E9A" w:rsidRDefault="008B3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0390650">
    <w:abstractNumId w:val="8"/>
  </w:num>
  <w:num w:numId="2" w16cid:durableId="900670972">
    <w:abstractNumId w:val="6"/>
  </w:num>
  <w:num w:numId="3" w16cid:durableId="258562788">
    <w:abstractNumId w:val="5"/>
  </w:num>
  <w:num w:numId="4" w16cid:durableId="2133013631">
    <w:abstractNumId w:val="4"/>
  </w:num>
  <w:num w:numId="5" w16cid:durableId="796996721">
    <w:abstractNumId w:val="7"/>
  </w:num>
  <w:num w:numId="6" w16cid:durableId="1319924423">
    <w:abstractNumId w:val="3"/>
  </w:num>
  <w:num w:numId="7" w16cid:durableId="632256037">
    <w:abstractNumId w:val="2"/>
  </w:num>
  <w:num w:numId="8" w16cid:durableId="807478494">
    <w:abstractNumId w:val="1"/>
  </w:num>
  <w:num w:numId="9" w16cid:durableId="1977947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E3EA4"/>
    <w:rsid w:val="00794DBE"/>
    <w:rsid w:val="008B3E9A"/>
    <w:rsid w:val="00A74DD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0E7851"/>
  <w14:defaultImageDpi w14:val="300"/>
  <w15:docId w15:val="{3C55E4E7-DDEE-AB40-9ED2-501CB3BA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jc w:val="both"/>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b/>
      <w:bCs/>
      <w:color w:val="244A64"/>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color w:val="244A64"/>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44A6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1506</Words>
  <Characters>9297</Characters>
  <Application>Microsoft Office Word</Application>
  <DocSecurity>0</DocSecurity>
  <Lines>154</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a Private Live-in Carer</dc:title>
  <dc:subject>LCHS4001 Task 3 Report</dc:subject>
  <dc:creator>Maria Judith Parreno Pearce</dc:creator>
  <cp:keywords/>
  <dc:description>generated by python-docx</dc:description>
  <cp:lastModifiedBy>Sojib Ahmed Raj</cp:lastModifiedBy>
  <cp:revision>2</cp:revision>
  <dcterms:created xsi:type="dcterms:W3CDTF">2026-08-16T10:21:00Z</dcterms:created>
  <dcterms:modified xsi:type="dcterms:W3CDTF">2026-08-16T10:21:00Z</dcterms:modified>
  <cp:category/>
</cp:coreProperties>
</file>