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B6023C" w14:textId="13952A74" w:rsidR="0000158A" w:rsidRDefault="0000158A" w:rsidP="0000158A">
      <w:pPr>
        <w:jc w:val="center"/>
      </w:pPr>
      <w:r>
        <w:rPr>
          <w:noProof/>
        </w:rPr>
        <w:drawing>
          <wp:inline distT="0" distB="0" distL="0" distR="0" wp14:anchorId="5C8A5ECF" wp14:editId="39BE58B4">
            <wp:extent cx="4360032" cy="1885950"/>
            <wp:effectExtent l="0" t="0" r="0"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651206" cy="2011899"/>
                    </a:xfrm>
                    <a:prstGeom prst="rect">
                      <a:avLst/>
                    </a:prstGeom>
                    <a:noFill/>
                    <a:ln>
                      <a:noFill/>
                    </a:ln>
                  </pic:spPr>
                </pic:pic>
              </a:graphicData>
            </a:graphic>
          </wp:inline>
        </w:drawing>
      </w:r>
    </w:p>
    <w:p w14:paraId="274C82B2" w14:textId="052322D9" w:rsidR="0000158A" w:rsidRPr="00583D6E" w:rsidRDefault="0000158A" w:rsidP="0000158A">
      <w:pPr>
        <w:rPr>
          <w:rFonts w:asciiTheme="minorBidi" w:hAnsiTheme="minorBidi"/>
          <w:sz w:val="48"/>
          <w:szCs w:val="48"/>
        </w:rPr>
      </w:pPr>
      <w:r w:rsidRPr="00583D6E">
        <w:rPr>
          <w:rFonts w:asciiTheme="minorBidi" w:hAnsiTheme="minorBidi"/>
          <w:b/>
          <w:bCs/>
          <w:sz w:val="48"/>
          <w:szCs w:val="48"/>
        </w:rPr>
        <w:t xml:space="preserve">Module Name: </w:t>
      </w:r>
      <w:r>
        <w:rPr>
          <w:rFonts w:asciiTheme="minorBidi" w:hAnsiTheme="minorBidi"/>
          <w:sz w:val="48"/>
          <w:szCs w:val="48"/>
        </w:rPr>
        <w:t xml:space="preserve">Problem solving and Innovation </w:t>
      </w:r>
    </w:p>
    <w:p w14:paraId="3D3EADFF" w14:textId="77777777" w:rsidR="0000158A" w:rsidRPr="00583D6E" w:rsidRDefault="0000158A" w:rsidP="0000158A">
      <w:pPr>
        <w:rPr>
          <w:rFonts w:asciiTheme="minorBidi" w:hAnsiTheme="minorBidi"/>
          <w:b/>
          <w:bCs/>
          <w:sz w:val="48"/>
          <w:szCs w:val="48"/>
        </w:rPr>
      </w:pPr>
    </w:p>
    <w:p w14:paraId="28A5E67B" w14:textId="6105EF83" w:rsidR="0000158A" w:rsidRPr="00583D6E" w:rsidRDefault="0000158A" w:rsidP="0000158A">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w:t>
      </w:r>
      <w:r>
        <w:rPr>
          <w:rFonts w:asciiTheme="minorBidi" w:hAnsiTheme="minorBidi"/>
          <w:sz w:val="48"/>
          <w:szCs w:val="48"/>
        </w:rPr>
        <w:t>14</w:t>
      </w:r>
    </w:p>
    <w:p w14:paraId="7F87C429" w14:textId="77777777" w:rsidR="0000158A" w:rsidRPr="00583D6E" w:rsidRDefault="0000158A" w:rsidP="0000158A">
      <w:pPr>
        <w:rPr>
          <w:rFonts w:asciiTheme="minorBidi" w:hAnsiTheme="minorBidi"/>
          <w:b/>
          <w:bCs/>
          <w:sz w:val="48"/>
          <w:szCs w:val="48"/>
        </w:rPr>
      </w:pPr>
    </w:p>
    <w:p w14:paraId="167D640A" w14:textId="77777777" w:rsidR="0000158A" w:rsidRPr="006A70C4" w:rsidRDefault="0000158A" w:rsidP="0000158A">
      <w:pPr>
        <w:rPr>
          <w:rFonts w:asciiTheme="minorBidi" w:hAnsiTheme="minorBidi"/>
          <w:sz w:val="48"/>
          <w:szCs w:val="48"/>
        </w:rPr>
      </w:pPr>
      <w:r w:rsidRPr="00583D6E">
        <w:rPr>
          <w:rFonts w:asciiTheme="minorBidi" w:hAnsiTheme="minorBidi"/>
          <w:b/>
          <w:bCs/>
          <w:sz w:val="48"/>
          <w:szCs w:val="48"/>
        </w:rPr>
        <w:t>Student Name:</w:t>
      </w:r>
      <w:r>
        <w:rPr>
          <w:rFonts w:asciiTheme="minorBidi" w:hAnsiTheme="minorBidi"/>
          <w:b/>
          <w:bCs/>
          <w:sz w:val="48"/>
          <w:szCs w:val="48"/>
        </w:rPr>
        <w:t xml:space="preserve"> </w:t>
      </w:r>
      <w:r>
        <w:rPr>
          <w:rFonts w:asciiTheme="minorBidi" w:hAnsiTheme="minorBidi"/>
          <w:sz w:val="48"/>
          <w:szCs w:val="48"/>
        </w:rPr>
        <w:t>Aurelia-Mirela Sterian</w:t>
      </w:r>
    </w:p>
    <w:p w14:paraId="637392F2" w14:textId="77777777" w:rsidR="0000158A" w:rsidRPr="00583D6E" w:rsidRDefault="0000158A" w:rsidP="0000158A">
      <w:pPr>
        <w:rPr>
          <w:rFonts w:asciiTheme="minorBidi" w:hAnsiTheme="minorBidi"/>
          <w:b/>
          <w:bCs/>
          <w:sz w:val="48"/>
          <w:szCs w:val="48"/>
        </w:rPr>
      </w:pPr>
    </w:p>
    <w:p w14:paraId="63D93A69" w14:textId="77777777" w:rsidR="0000158A" w:rsidRPr="006A70C4" w:rsidRDefault="0000158A" w:rsidP="0000158A">
      <w:pPr>
        <w:rPr>
          <w:rFonts w:asciiTheme="minorBidi" w:hAnsiTheme="minorBidi"/>
          <w:sz w:val="48"/>
          <w:szCs w:val="48"/>
        </w:rPr>
      </w:pPr>
      <w:r w:rsidRPr="00583D6E">
        <w:rPr>
          <w:rFonts w:asciiTheme="minorBidi" w:hAnsiTheme="minorBidi"/>
          <w:b/>
          <w:bCs/>
          <w:sz w:val="48"/>
          <w:szCs w:val="48"/>
        </w:rPr>
        <w:t>Student Number:</w:t>
      </w:r>
      <w:r>
        <w:rPr>
          <w:rFonts w:asciiTheme="minorBidi" w:hAnsiTheme="minorBidi"/>
          <w:b/>
          <w:bCs/>
          <w:sz w:val="48"/>
          <w:szCs w:val="48"/>
        </w:rPr>
        <w:t xml:space="preserve"> </w:t>
      </w:r>
      <w:r>
        <w:rPr>
          <w:rFonts w:asciiTheme="minorBidi" w:hAnsiTheme="minorBidi"/>
          <w:sz w:val="48"/>
          <w:szCs w:val="48"/>
        </w:rPr>
        <w:t>2238113</w:t>
      </w:r>
    </w:p>
    <w:p w14:paraId="1FA2A896" w14:textId="77777777" w:rsidR="0000158A" w:rsidRPr="00583D6E" w:rsidRDefault="0000158A" w:rsidP="0000158A">
      <w:pPr>
        <w:rPr>
          <w:rFonts w:asciiTheme="minorBidi" w:hAnsiTheme="minorBidi"/>
          <w:b/>
          <w:bCs/>
          <w:sz w:val="48"/>
          <w:szCs w:val="48"/>
        </w:rPr>
      </w:pPr>
    </w:p>
    <w:p w14:paraId="3E2A3F2F" w14:textId="0A47F7AF" w:rsidR="0000158A" w:rsidRPr="006A70C4" w:rsidRDefault="0000158A" w:rsidP="0000158A">
      <w:pPr>
        <w:rPr>
          <w:rFonts w:asciiTheme="minorBidi" w:hAnsiTheme="minorBidi"/>
          <w:sz w:val="48"/>
          <w:szCs w:val="48"/>
        </w:rPr>
      </w:pPr>
      <w:r w:rsidRPr="00583D6E">
        <w:rPr>
          <w:rFonts w:asciiTheme="minorBidi" w:hAnsiTheme="minorBidi"/>
          <w:b/>
          <w:bCs/>
          <w:sz w:val="48"/>
          <w:szCs w:val="48"/>
        </w:rPr>
        <w:t>Lecturer:</w:t>
      </w:r>
      <w:r>
        <w:rPr>
          <w:rFonts w:asciiTheme="minorBidi" w:hAnsiTheme="minorBidi"/>
          <w:sz w:val="48"/>
          <w:szCs w:val="48"/>
        </w:rPr>
        <w:t xml:space="preserve"> Jaliya De Silva</w:t>
      </w:r>
    </w:p>
    <w:p w14:paraId="75C6CCDB" w14:textId="77777777" w:rsidR="0000158A" w:rsidRPr="00583D6E" w:rsidRDefault="0000158A" w:rsidP="0000158A">
      <w:pPr>
        <w:rPr>
          <w:rFonts w:asciiTheme="minorBidi" w:hAnsiTheme="minorBidi"/>
          <w:b/>
          <w:bCs/>
          <w:sz w:val="48"/>
          <w:szCs w:val="48"/>
        </w:rPr>
      </w:pPr>
    </w:p>
    <w:p w14:paraId="66ADE524" w14:textId="6635CFD6" w:rsidR="0000158A" w:rsidRPr="00583D6E" w:rsidRDefault="0000158A" w:rsidP="0000158A">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w:t>
      </w:r>
      <w:r w:rsidRPr="0000158A">
        <w:rPr>
          <w:rFonts w:asciiTheme="minorBidi" w:hAnsiTheme="minorBidi"/>
          <w:sz w:val="48"/>
          <w:szCs w:val="48"/>
          <w:vertAlign w:val="superscript"/>
        </w:rPr>
        <w:t>nd</w:t>
      </w:r>
      <w:r>
        <w:rPr>
          <w:rFonts w:asciiTheme="minorBidi" w:hAnsiTheme="minorBidi"/>
          <w:sz w:val="48"/>
          <w:szCs w:val="48"/>
        </w:rPr>
        <w:t xml:space="preserve"> of </w:t>
      </w:r>
      <w:proofErr w:type="gramStart"/>
      <w:r>
        <w:rPr>
          <w:rFonts w:asciiTheme="minorBidi" w:hAnsiTheme="minorBidi"/>
          <w:sz w:val="48"/>
          <w:szCs w:val="48"/>
        </w:rPr>
        <w:t xml:space="preserve">November </w:t>
      </w:r>
      <w:r w:rsidRPr="00583D6E">
        <w:rPr>
          <w:rFonts w:asciiTheme="minorBidi" w:hAnsiTheme="minorBidi"/>
          <w:sz w:val="48"/>
          <w:szCs w:val="48"/>
        </w:rPr>
        <w:t xml:space="preserve"> 2026</w:t>
      </w:r>
      <w:proofErr w:type="gramEnd"/>
      <w:r w:rsidRPr="00583D6E">
        <w:rPr>
          <w:rFonts w:asciiTheme="minorBidi" w:hAnsiTheme="minorBidi"/>
          <w:sz w:val="48"/>
          <w:szCs w:val="48"/>
        </w:rPr>
        <w:t xml:space="preserve"> 23.59PM</w:t>
      </w:r>
    </w:p>
    <w:p w14:paraId="6727E9A8" w14:textId="57C18247" w:rsidR="0000158A" w:rsidRPr="00746048" w:rsidRDefault="0000158A" w:rsidP="00746048">
      <w:pPr>
        <w:jc w:val="both"/>
        <w:rPr>
          <w:rFonts w:ascii="Arial" w:hAnsi="Arial" w:cs="Arial"/>
        </w:rPr>
      </w:pPr>
      <w:r w:rsidRPr="00746048">
        <w:rPr>
          <w:rFonts w:ascii="Arial" w:hAnsi="Arial" w:cs="Arial"/>
        </w:rPr>
        <w:t>Wordcount : 1</w:t>
      </w:r>
      <w:r w:rsidR="000A3A03">
        <w:rPr>
          <w:rFonts w:ascii="Arial" w:hAnsi="Arial" w:cs="Arial"/>
        </w:rPr>
        <w:t>628</w:t>
      </w:r>
      <w:r w:rsidRPr="00746048">
        <w:rPr>
          <w:rFonts w:ascii="Arial" w:hAnsi="Arial" w:cs="Arial"/>
        </w:rPr>
        <w:t xml:space="preserve"> words</w:t>
      </w:r>
    </w:p>
    <w:p w14:paraId="68CBF0AC" w14:textId="77777777" w:rsidR="00746048" w:rsidRDefault="00746048" w:rsidP="00746048">
      <w:pPr>
        <w:spacing w:line="360" w:lineRule="auto"/>
        <w:jc w:val="both"/>
        <w:rPr>
          <w:rFonts w:ascii="Arial" w:hAnsi="Arial" w:cs="Arial"/>
          <w:b/>
          <w:bCs/>
        </w:rPr>
      </w:pPr>
    </w:p>
    <w:p w14:paraId="1AD09160" w14:textId="4FE03E89" w:rsidR="0000158A" w:rsidRPr="00732DD6" w:rsidRDefault="0000158A" w:rsidP="0000158A">
      <w:pPr>
        <w:spacing w:line="360" w:lineRule="auto"/>
        <w:ind w:left="360"/>
        <w:jc w:val="both"/>
        <w:rPr>
          <w:rFonts w:ascii="Arial" w:hAnsi="Arial" w:cs="Arial"/>
          <w:b/>
          <w:bCs/>
        </w:rPr>
      </w:pPr>
      <w:r w:rsidRPr="00732DD6">
        <w:rPr>
          <w:rFonts w:ascii="Arial" w:hAnsi="Arial" w:cs="Arial"/>
          <w:b/>
          <w:bCs/>
        </w:rPr>
        <w:t>AI Acknowledgement</w:t>
      </w:r>
    </w:p>
    <w:p w14:paraId="4E65C560" w14:textId="77777777" w:rsidR="0000158A" w:rsidRDefault="0000158A" w:rsidP="0000158A">
      <w:pPr>
        <w:spacing w:line="360" w:lineRule="auto"/>
        <w:jc w:val="both"/>
        <w:rPr>
          <w:rFonts w:ascii="Arial" w:hAnsi="Arial" w:cs="Arial"/>
          <w:b/>
          <w:bCs/>
        </w:rPr>
      </w:pPr>
    </w:p>
    <w:p w14:paraId="6B649950" w14:textId="77777777" w:rsidR="00746048" w:rsidRDefault="00746048" w:rsidP="0000158A">
      <w:pPr>
        <w:spacing w:line="360" w:lineRule="auto"/>
        <w:jc w:val="both"/>
        <w:rPr>
          <w:rFonts w:ascii="Arial" w:hAnsi="Arial" w:cs="Arial"/>
          <w:b/>
          <w:bCs/>
        </w:rPr>
      </w:pPr>
    </w:p>
    <w:p w14:paraId="3151C1E0" w14:textId="7A50C0EC" w:rsidR="0000158A" w:rsidRPr="00427C0F" w:rsidRDefault="0000158A" w:rsidP="0000158A">
      <w:pPr>
        <w:pStyle w:val="NormalWeb"/>
        <w:spacing w:line="360" w:lineRule="auto"/>
        <w:ind w:left="360"/>
        <w:jc w:val="both"/>
        <w:rPr>
          <w:rFonts w:ascii="Arial" w:hAnsi="Arial" w:cs="Arial"/>
        </w:rPr>
      </w:pPr>
      <w:r w:rsidRPr="00427C0F">
        <w:rPr>
          <w:rFonts w:ascii="Arial" w:hAnsi="Arial" w:cs="Arial"/>
        </w:rPr>
        <w:t>I acknowledge the use of ChatGPT (</w:t>
      </w:r>
      <w:r w:rsidRPr="00427C0F">
        <w:rPr>
          <w:rFonts w:ascii="Arial" w:hAnsi="Arial" w:cs="Arial"/>
          <w:color w:val="447784"/>
        </w:rPr>
        <w:t>https://chat.openai.com</w:t>
      </w:r>
      <w:r w:rsidRPr="00427C0F">
        <w:rPr>
          <w:rFonts w:ascii="Arial" w:hAnsi="Arial" w:cs="Arial"/>
        </w:rPr>
        <w:t xml:space="preserve">) on </w:t>
      </w:r>
      <w:proofErr w:type="gramStart"/>
      <w:r>
        <w:rPr>
          <w:rFonts w:ascii="Arial" w:hAnsi="Arial" w:cs="Arial"/>
        </w:rPr>
        <w:t>21th</w:t>
      </w:r>
      <w:proofErr w:type="gramEnd"/>
      <w:r w:rsidRPr="00427C0F">
        <w:rPr>
          <w:rFonts w:ascii="Arial" w:hAnsi="Arial" w:cs="Arial"/>
        </w:rPr>
        <w:t xml:space="preserve"> </w:t>
      </w:r>
      <w:r>
        <w:rPr>
          <w:rFonts w:ascii="Arial" w:hAnsi="Arial" w:cs="Arial"/>
        </w:rPr>
        <w:t>October</w:t>
      </w:r>
      <w:r w:rsidRPr="00427C0F">
        <w:rPr>
          <w:rFonts w:ascii="Arial" w:hAnsi="Arial" w:cs="Arial"/>
        </w:rPr>
        <w:t xml:space="preserve"> 2026 for a Romanian explanation on how this assessment should be done</w:t>
      </w:r>
      <w:r>
        <w:rPr>
          <w:rFonts w:ascii="Arial" w:hAnsi="Arial" w:cs="Arial"/>
        </w:rPr>
        <w:t>, to make sure I complete all the task the lecturer is expecting.</w:t>
      </w:r>
    </w:p>
    <w:p w14:paraId="28878B96" w14:textId="77777777" w:rsidR="0000158A" w:rsidRDefault="0000158A" w:rsidP="0000158A">
      <w:pPr>
        <w:spacing w:line="360" w:lineRule="auto"/>
        <w:jc w:val="both"/>
        <w:rPr>
          <w:rFonts w:ascii="Arial" w:hAnsi="Arial" w:cs="Arial"/>
          <w:b/>
          <w:bCs/>
        </w:rPr>
      </w:pPr>
    </w:p>
    <w:p w14:paraId="663CD15D" w14:textId="77777777" w:rsidR="00746048" w:rsidRDefault="00746048" w:rsidP="0000158A">
      <w:pPr>
        <w:spacing w:line="360" w:lineRule="auto"/>
        <w:jc w:val="both"/>
        <w:rPr>
          <w:rFonts w:ascii="Arial" w:hAnsi="Arial" w:cs="Arial"/>
          <w:b/>
          <w:bCs/>
        </w:rPr>
      </w:pPr>
    </w:p>
    <w:p w14:paraId="0A35B91E" w14:textId="77777777" w:rsidR="00746048" w:rsidRPr="00427C0F" w:rsidRDefault="00746048" w:rsidP="0000158A">
      <w:pPr>
        <w:spacing w:line="360" w:lineRule="auto"/>
        <w:jc w:val="both"/>
        <w:rPr>
          <w:rFonts w:ascii="Arial" w:hAnsi="Arial" w:cs="Arial"/>
          <w:b/>
          <w:bCs/>
        </w:rPr>
      </w:pPr>
    </w:p>
    <w:p w14:paraId="7302D1D4" w14:textId="77777777" w:rsidR="0000158A" w:rsidRPr="00427C0F" w:rsidRDefault="0000158A" w:rsidP="0000158A">
      <w:pPr>
        <w:spacing w:line="360" w:lineRule="auto"/>
        <w:ind w:left="360"/>
        <w:jc w:val="both"/>
        <w:rPr>
          <w:rFonts w:ascii="Arial" w:hAnsi="Arial" w:cs="Arial"/>
        </w:rPr>
        <w:sectPr w:rsidR="0000158A" w:rsidRPr="00427C0F" w:rsidSect="0000158A">
          <w:pgSz w:w="11906" w:h="16838"/>
          <w:pgMar w:top="1440" w:right="1440" w:bottom="1440" w:left="1440" w:header="708" w:footer="708" w:gutter="0"/>
          <w:cols w:space="708"/>
          <w:docGrid w:linePitch="360"/>
        </w:sectPr>
      </w:pPr>
      <w:r w:rsidRPr="00427C0F">
        <w:rPr>
          <w:rFonts w:ascii="Arial" w:hAnsi="Arial" w:cs="Arial"/>
        </w:rPr>
        <w:t>I confirm that I have not presented any AI-generated text as my own work. I confirm that I have retained copies of drafts, notes, and resources used before and after the use of AI tools</w:t>
      </w:r>
      <w:r>
        <w:rPr>
          <w:rFonts w:ascii="Arial" w:hAnsi="Arial" w:cs="Arial"/>
        </w:rPr>
        <w:t>.</w:t>
      </w:r>
    </w:p>
    <w:p w14:paraId="05F5AC8D" w14:textId="0AC4EEA5" w:rsidR="0000158A" w:rsidRDefault="00746048" w:rsidP="00746048">
      <w:pPr>
        <w:pStyle w:val="Title"/>
        <w:rPr>
          <w:sz w:val="40"/>
          <w:szCs w:val="40"/>
        </w:rPr>
      </w:pPr>
      <w:r w:rsidRPr="00746048">
        <w:rPr>
          <w:sz w:val="40"/>
          <w:szCs w:val="40"/>
        </w:rPr>
        <w:lastRenderedPageBreak/>
        <w:t>Executive summary</w:t>
      </w:r>
    </w:p>
    <w:p w14:paraId="69437E8B" w14:textId="77777777" w:rsidR="00746048" w:rsidRDefault="00746048" w:rsidP="00746048"/>
    <w:p w14:paraId="728CB4A5" w14:textId="092B4384" w:rsidR="00746048" w:rsidRDefault="00746048" w:rsidP="00746048">
      <w:pPr>
        <w:spacing w:line="360" w:lineRule="auto"/>
        <w:jc w:val="both"/>
        <w:rPr>
          <w:rFonts w:ascii="Arial" w:hAnsi="Arial" w:cs="Arial"/>
        </w:rPr>
      </w:pPr>
      <w:r>
        <w:rPr>
          <w:rFonts w:ascii="Arial" w:hAnsi="Arial" w:cs="Arial"/>
        </w:rPr>
        <w:t xml:space="preserve">The creator economy offers substantial opportunities, but its sustainability is constrained by platform dependence, uneven income, intense competition, legal and </w:t>
      </w:r>
      <w:proofErr w:type="spellStart"/>
      <w:r>
        <w:rPr>
          <w:rFonts w:ascii="Arial" w:hAnsi="Arial" w:cs="Arial"/>
        </w:rPr>
        <w:t>ethnical</w:t>
      </w:r>
      <w:proofErr w:type="spellEnd"/>
      <w:r>
        <w:rPr>
          <w:rFonts w:ascii="Arial" w:hAnsi="Arial" w:cs="Arial"/>
        </w:rPr>
        <w:t xml:space="preserve"> risks. Using the DPSIR framework, this report examines how technology, audience behaviour and commercial demand drive growth while algorithmic control and unstable monetisation create pressure. STEEPLE and SWOT analyses, alongside three creator cases, show that risks differ by business model. The report recommends </w:t>
      </w:r>
      <w:r w:rsidR="00783890">
        <w:rPr>
          <w:rFonts w:ascii="Arial" w:hAnsi="Arial" w:cs="Arial"/>
        </w:rPr>
        <w:t>diversified distribution</w:t>
      </w:r>
      <w:r>
        <w:rPr>
          <w:rFonts w:ascii="Arial" w:hAnsi="Arial" w:cs="Arial"/>
        </w:rPr>
        <w:t xml:space="preserve"> and revenue, plus clear procedures for </w:t>
      </w:r>
      <w:r w:rsidR="00783890">
        <w:rPr>
          <w:rFonts w:ascii="Arial" w:hAnsi="Arial" w:cs="Arial"/>
        </w:rPr>
        <w:t>advertising disclosure and audience trust.</w:t>
      </w:r>
    </w:p>
    <w:p w14:paraId="07A2EA9C" w14:textId="77777777" w:rsidR="00783890" w:rsidRDefault="00783890" w:rsidP="00746048">
      <w:pPr>
        <w:spacing w:line="360" w:lineRule="auto"/>
        <w:jc w:val="both"/>
        <w:rPr>
          <w:rFonts w:ascii="Arial" w:hAnsi="Arial" w:cs="Arial"/>
        </w:rPr>
      </w:pPr>
    </w:p>
    <w:p w14:paraId="2F6F7A5B" w14:textId="77777777" w:rsidR="00783890" w:rsidRDefault="00783890" w:rsidP="00746048">
      <w:pPr>
        <w:spacing w:line="360" w:lineRule="auto"/>
        <w:jc w:val="both"/>
        <w:rPr>
          <w:rFonts w:ascii="Arial" w:hAnsi="Arial" w:cs="Arial"/>
        </w:rPr>
      </w:pPr>
    </w:p>
    <w:p w14:paraId="733DF5C1" w14:textId="77777777" w:rsidR="00783890" w:rsidRDefault="00783890" w:rsidP="00746048">
      <w:pPr>
        <w:spacing w:line="360" w:lineRule="auto"/>
        <w:jc w:val="both"/>
        <w:rPr>
          <w:rFonts w:ascii="Arial" w:hAnsi="Arial" w:cs="Arial"/>
        </w:rPr>
      </w:pPr>
    </w:p>
    <w:p w14:paraId="3660B411" w14:textId="77777777" w:rsidR="00783890" w:rsidRDefault="00783890" w:rsidP="00746048">
      <w:pPr>
        <w:spacing w:line="360" w:lineRule="auto"/>
        <w:jc w:val="both"/>
        <w:rPr>
          <w:rFonts w:ascii="Arial" w:hAnsi="Arial" w:cs="Arial"/>
        </w:rPr>
      </w:pPr>
    </w:p>
    <w:p w14:paraId="1CABE0D7" w14:textId="77777777" w:rsidR="00783890" w:rsidRDefault="00783890" w:rsidP="00746048">
      <w:pPr>
        <w:spacing w:line="360" w:lineRule="auto"/>
        <w:jc w:val="both"/>
        <w:rPr>
          <w:rFonts w:ascii="Arial" w:hAnsi="Arial" w:cs="Arial"/>
        </w:rPr>
      </w:pPr>
    </w:p>
    <w:p w14:paraId="312A10F1" w14:textId="77777777" w:rsidR="00783890" w:rsidRDefault="00783890" w:rsidP="00746048">
      <w:pPr>
        <w:spacing w:line="360" w:lineRule="auto"/>
        <w:jc w:val="both"/>
        <w:rPr>
          <w:rFonts w:ascii="Arial" w:hAnsi="Arial" w:cs="Arial"/>
        </w:rPr>
      </w:pPr>
    </w:p>
    <w:p w14:paraId="57E4BED2" w14:textId="77777777" w:rsidR="00783890" w:rsidRDefault="00783890" w:rsidP="00746048">
      <w:pPr>
        <w:spacing w:line="360" w:lineRule="auto"/>
        <w:jc w:val="both"/>
        <w:rPr>
          <w:rFonts w:ascii="Arial" w:hAnsi="Arial" w:cs="Arial"/>
        </w:rPr>
      </w:pPr>
    </w:p>
    <w:p w14:paraId="3231276E" w14:textId="77777777" w:rsidR="00783890" w:rsidRDefault="00783890" w:rsidP="00746048">
      <w:pPr>
        <w:spacing w:line="360" w:lineRule="auto"/>
        <w:jc w:val="both"/>
        <w:rPr>
          <w:rFonts w:ascii="Arial" w:hAnsi="Arial" w:cs="Arial"/>
        </w:rPr>
      </w:pPr>
    </w:p>
    <w:p w14:paraId="197B19AB" w14:textId="77777777" w:rsidR="00783890" w:rsidRDefault="00783890" w:rsidP="00746048">
      <w:pPr>
        <w:spacing w:line="360" w:lineRule="auto"/>
        <w:jc w:val="both"/>
        <w:rPr>
          <w:rFonts w:ascii="Arial" w:hAnsi="Arial" w:cs="Arial"/>
        </w:rPr>
      </w:pPr>
    </w:p>
    <w:p w14:paraId="31CB4F46" w14:textId="77777777" w:rsidR="00783890" w:rsidRDefault="00783890" w:rsidP="00746048">
      <w:pPr>
        <w:spacing w:line="360" w:lineRule="auto"/>
        <w:jc w:val="both"/>
        <w:rPr>
          <w:rFonts w:ascii="Arial" w:hAnsi="Arial" w:cs="Arial"/>
        </w:rPr>
      </w:pPr>
    </w:p>
    <w:p w14:paraId="0A6A6205" w14:textId="77777777" w:rsidR="00783890" w:rsidRDefault="00783890" w:rsidP="00746048">
      <w:pPr>
        <w:spacing w:line="360" w:lineRule="auto"/>
        <w:jc w:val="both"/>
        <w:rPr>
          <w:rFonts w:ascii="Arial" w:hAnsi="Arial" w:cs="Arial"/>
        </w:rPr>
      </w:pPr>
    </w:p>
    <w:p w14:paraId="45CAF273" w14:textId="77777777" w:rsidR="00783890" w:rsidRDefault="00783890" w:rsidP="00746048">
      <w:pPr>
        <w:spacing w:line="360" w:lineRule="auto"/>
        <w:jc w:val="both"/>
        <w:rPr>
          <w:rFonts w:ascii="Arial" w:hAnsi="Arial" w:cs="Arial"/>
        </w:rPr>
      </w:pPr>
    </w:p>
    <w:p w14:paraId="1C1817BA" w14:textId="77777777" w:rsidR="00783890" w:rsidRDefault="00783890" w:rsidP="00746048">
      <w:pPr>
        <w:spacing w:line="360" w:lineRule="auto"/>
        <w:jc w:val="both"/>
        <w:rPr>
          <w:rFonts w:ascii="Arial" w:hAnsi="Arial" w:cs="Arial"/>
        </w:rPr>
      </w:pPr>
    </w:p>
    <w:p w14:paraId="3816091B" w14:textId="0183590B" w:rsidR="00783890" w:rsidRDefault="00783890" w:rsidP="00783890">
      <w:pPr>
        <w:pStyle w:val="Heading1"/>
      </w:pPr>
    </w:p>
    <w:p w14:paraId="133AC086" w14:textId="77777777" w:rsidR="00783890" w:rsidRDefault="00783890" w:rsidP="00783890">
      <w:pPr>
        <w:rPr>
          <w:rFonts w:ascii="Arial" w:hAnsi="Arial" w:cs="Arial"/>
        </w:rPr>
      </w:pPr>
    </w:p>
    <w:p w14:paraId="3B6C739D" w14:textId="77777777" w:rsidR="00BA33FE" w:rsidRDefault="00BA33FE" w:rsidP="00783890">
      <w:pPr>
        <w:rPr>
          <w:rFonts w:ascii="Arial" w:hAnsi="Arial" w:cs="Arial"/>
        </w:rPr>
      </w:pPr>
    </w:p>
    <w:p w14:paraId="6364F189" w14:textId="5B61245E" w:rsidR="00BA33FE" w:rsidRDefault="00BA33FE" w:rsidP="00BA33FE">
      <w:pPr>
        <w:pStyle w:val="Title"/>
      </w:pPr>
      <w:r>
        <w:lastRenderedPageBreak/>
        <w:t xml:space="preserve">Table of content </w:t>
      </w:r>
    </w:p>
    <w:tbl>
      <w:tblPr>
        <w:tblStyle w:val="TableGrid"/>
        <w:tblW w:w="0" w:type="auto"/>
        <w:tblLook w:val="04A0" w:firstRow="1" w:lastRow="0" w:firstColumn="1" w:lastColumn="0" w:noHBand="0" w:noVBand="1"/>
      </w:tblPr>
      <w:tblGrid>
        <w:gridCol w:w="9016"/>
      </w:tblGrid>
      <w:tr w:rsidR="003452C8" w14:paraId="04156C64" w14:textId="77777777" w:rsidTr="003452C8">
        <w:trPr>
          <w:trHeight w:val="50"/>
        </w:trPr>
        <w:tc>
          <w:tcPr>
            <w:tcW w:w="9016" w:type="dxa"/>
          </w:tcPr>
          <w:p w14:paraId="7A511979" w14:textId="77777777" w:rsidR="003452C8" w:rsidRPr="00783890" w:rsidRDefault="003452C8" w:rsidP="003452C8">
            <w:pPr>
              <w:rPr>
                <w:rFonts w:ascii="Arial" w:hAnsi="Arial" w:cs="Arial"/>
              </w:rPr>
            </w:pPr>
          </w:p>
          <w:tbl>
            <w:tblPr>
              <w:tblW w:w="90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059"/>
            </w:tblGrid>
            <w:tr w:rsidR="003452C8" w14:paraId="13C4A3CE" w14:textId="77777777" w:rsidTr="00BD06AF">
              <w:trPr>
                <w:trHeight w:val="1461"/>
              </w:trPr>
              <w:tc>
                <w:tcPr>
                  <w:tcW w:w="9059" w:type="dxa"/>
                </w:tcPr>
                <w:p w14:paraId="144B2F5F" w14:textId="77777777" w:rsidR="003452C8" w:rsidRPr="00783890" w:rsidRDefault="003452C8" w:rsidP="003452C8">
                  <w:pPr>
                    <w:pStyle w:val="ListParagraph"/>
                    <w:numPr>
                      <w:ilvl w:val="0"/>
                      <w:numId w:val="1"/>
                    </w:numPr>
                    <w:spacing w:line="360" w:lineRule="auto"/>
                    <w:jc w:val="both"/>
                    <w:rPr>
                      <w:rFonts w:ascii="Arial" w:hAnsi="Arial" w:cs="Arial"/>
                    </w:rPr>
                  </w:pPr>
                  <w:r w:rsidRPr="00783890">
                    <w:rPr>
                      <w:rFonts w:ascii="Arial" w:hAnsi="Arial" w:cs="Arial"/>
                    </w:rPr>
                    <w:t xml:space="preserve">Cover page </w:t>
                  </w:r>
                </w:p>
                <w:p w14:paraId="2364FF18" w14:textId="77777777" w:rsidR="003452C8" w:rsidRPr="00783890" w:rsidRDefault="003452C8" w:rsidP="003452C8">
                  <w:pPr>
                    <w:pStyle w:val="ListParagraph"/>
                    <w:numPr>
                      <w:ilvl w:val="0"/>
                      <w:numId w:val="1"/>
                    </w:numPr>
                    <w:spacing w:line="360" w:lineRule="auto"/>
                    <w:jc w:val="both"/>
                    <w:rPr>
                      <w:rFonts w:ascii="Arial" w:hAnsi="Arial" w:cs="Arial"/>
                    </w:rPr>
                  </w:pPr>
                  <w:r w:rsidRPr="00783890">
                    <w:rPr>
                      <w:rFonts w:ascii="Arial" w:hAnsi="Arial" w:cs="Arial"/>
                    </w:rPr>
                    <w:t xml:space="preserve">AI statement </w:t>
                  </w:r>
                </w:p>
                <w:p w14:paraId="749AFC4E" w14:textId="77777777" w:rsidR="003452C8" w:rsidRDefault="003452C8" w:rsidP="003452C8">
                  <w:pPr>
                    <w:pStyle w:val="ListParagraph"/>
                    <w:numPr>
                      <w:ilvl w:val="0"/>
                      <w:numId w:val="1"/>
                    </w:numPr>
                    <w:spacing w:line="360" w:lineRule="auto"/>
                    <w:jc w:val="both"/>
                    <w:rPr>
                      <w:rFonts w:ascii="Arial" w:hAnsi="Arial" w:cs="Arial"/>
                    </w:rPr>
                  </w:pPr>
                  <w:r w:rsidRPr="00783890">
                    <w:rPr>
                      <w:rFonts w:ascii="Arial" w:hAnsi="Arial" w:cs="Arial"/>
                    </w:rPr>
                    <w:t xml:space="preserve">Executive summary </w:t>
                  </w:r>
                </w:p>
                <w:p w14:paraId="78CE2C33" w14:textId="77777777" w:rsidR="003452C8" w:rsidRDefault="003452C8" w:rsidP="003452C8">
                  <w:pPr>
                    <w:pStyle w:val="ListParagraph"/>
                    <w:numPr>
                      <w:ilvl w:val="0"/>
                      <w:numId w:val="1"/>
                    </w:numPr>
                    <w:spacing w:line="360" w:lineRule="auto"/>
                    <w:jc w:val="both"/>
                    <w:rPr>
                      <w:rFonts w:ascii="Arial" w:hAnsi="Arial" w:cs="Arial"/>
                    </w:rPr>
                  </w:pPr>
                  <w:r>
                    <w:rPr>
                      <w:rFonts w:ascii="Arial" w:hAnsi="Arial" w:cs="Arial"/>
                    </w:rPr>
                    <w:t xml:space="preserve">Table of content </w:t>
                  </w:r>
                </w:p>
                <w:p w14:paraId="1882A813" w14:textId="77777777" w:rsidR="003452C8" w:rsidRDefault="003452C8" w:rsidP="003452C8">
                  <w:pPr>
                    <w:pStyle w:val="ListParagraph"/>
                    <w:numPr>
                      <w:ilvl w:val="0"/>
                      <w:numId w:val="1"/>
                    </w:numPr>
                    <w:spacing w:line="360" w:lineRule="auto"/>
                    <w:jc w:val="both"/>
                    <w:rPr>
                      <w:rFonts w:ascii="Arial" w:hAnsi="Arial" w:cs="Arial"/>
                    </w:rPr>
                  </w:pPr>
                  <w:r>
                    <w:rPr>
                      <w:rFonts w:ascii="Arial" w:hAnsi="Arial" w:cs="Arial"/>
                    </w:rPr>
                    <w:t>1. Introduction</w:t>
                  </w:r>
                </w:p>
                <w:p w14:paraId="4E8B37DA" w14:textId="6817D46D" w:rsidR="003452C8" w:rsidRDefault="003452C8" w:rsidP="003452C8">
                  <w:pPr>
                    <w:pStyle w:val="ListParagraph"/>
                    <w:numPr>
                      <w:ilvl w:val="0"/>
                      <w:numId w:val="2"/>
                    </w:numPr>
                    <w:spacing w:line="360" w:lineRule="auto"/>
                    <w:jc w:val="both"/>
                    <w:rPr>
                      <w:rFonts w:ascii="Arial" w:hAnsi="Arial" w:cs="Arial"/>
                    </w:rPr>
                  </w:pPr>
                  <w:r>
                    <w:rPr>
                      <w:rFonts w:ascii="Arial" w:hAnsi="Arial" w:cs="Arial"/>
                    </w:rPr>
                    <w:t>1.1 Definition of an influencer</w:t>
                  </w:r>
                </w:p>
                <w:p w14:paraId="7F4CCEF7" w14:textId="5A984CEA" w:rsidR="003452C8" w:rsidRPr="003452C8" w:rsidRDefault="003452C8" w:rsidP="003452C8">
                  <w:pPr>
                    <w:pStyle w:val="ListParagraph"/>
                    <w:numPr>
                      <w:ilvl w:val="0"/>
                      <w:numId w:val="2"/>
                    </w:numPr>
                    <w:spacing w:line="360" w:lineRule="auto"/>
                    <w:jc w:val="both"/>
                    <w:rPr>
                      <w:rFonts w:ascii="Arial" w:hAnsi="Arial" w:cs="Arial"/>
                    </w:rPr>
                  </w:pPr>
                  <w:r>
                    <w:rPr>
                      <w:rFonts w:ascii="Arial" w:hAnsi="Arial" w:cs="Arial"/>
                    </w:rPr>
                    <w:t>1.2 Background of the Creator Economy</w:t>
                  </w:r>
                </w:p>
                <w:p w14:paraId="4DEA9504" w14:textId="56338197" w:rsidR="003452C8" w:rsidRDefault="003452C8" w:rsidP="003452C8">
                  <w:pPr>
                    <w:pStyle w:val="ListParagraph"/>
                    <w:numPr>
                      <w:ilvl w:val="0"/>
                      <w:numId w:val="2"/>
                    </w:numPr>
                    <w:spacing w:line="360" w:lineRule="auto"/>
                    <w:jc w:val="both"/>
                    <w:rPr>
                      <w:rFonts w:ascii="Arial" w:hAnsi="Arial" w:cs="Arial"/>
                    </w:rPr>
                  </w:pPr>
                  <w:r>
                    <w:rPr>
                      <w:rFonts w:ascii="Arial" w:hAnsi="Arial" w:cs="Arial"/>
                    </w:rPr>
                    <w:t>1.3 Aim and scope of the report</w:t>
                  </w:r>
                </w:p>
                <w:p w14:paraId="3B6386BB" w14:textId="77777777" w:rsidR="003452C8" w:rsidRDefault="003452C8" w:rsidP="003452C8">
                  <w:pPr>
                    <w:pStyle w:val="ListParagraph"/>
                    <w:numPr>
                      <w:ilvl w:val="0"/>
                      <w:numId w:val="1"/>
                    </w:numPr>
                    <w:spacing w:line="360" w:lineRule="auto"/>
                    <w:jc w:val="both"/>
                    <w:rPr>
                      <w:rFonts w:ascii="Arial" w:hAnsi="Arial" w:cs="Arial"/>
                    </w:rPr>
                  </w:pPr>
                  <w:r>
                    <w:rPr>
                      <w:rFonts w:ascii="Arial" w:hAnsi="Arial" w:cs="Arial"/>
                    </w:rPr>
                    <w:t xml:space="preserve">2.DPSIR Analysis </w:t>
                  </w:r>
                </w:p>
                <w:p w14:paraId="74348A53" w14:textId="3D028CBC" w:rsidR="003452C8" w:rsidRDefault="003452C8" w:rsidP="003452C8">
                  <w:pPr>
                    <w:pStyle w:val="ListParagraph"/>
                    <w:numPr>
                      <w:ilvl w:val="0"/>
                      <w:numId w:val="4"/>
                    </w:numPr>
                    <w:spacing w:line="360" w:lineRule="auto"/>
                    <w:jc w:val="both"/>
                    <w:rPr>
                      <w:rFonts w:ascii="Arial" w:hAnsi="Arial" w:cs="Arial"/>
                    </w:rPr>
                  </w:pPr>
                  <w:r>
                    <w:rPr>
                      <w:rFonts w:ascii="Arial" w:hAnsi="Arial" w:cs="Arial"/>
                    </w:rPr>
                    <w:t xml:space="preserve">2.1 Divers </w:t>
                  </w:r>
                </w:p>
                <w:p w14:paraId="1EAB7C8E" w14:textId="0F00610D" w:rsidR="003452C8" w:rsidRDefault="003452C8" w:rsidP="003452C8">
                  <w:pPr>
                    <w:pStyle w:val="ListParagraph"/>
                    <w:numPr>
                      <w:ilvl w:val="0"/>
                      <w:numId w:val="4"/>
                    </w:numPr>
                    <w:spacing w:line="360" w:lineRule="auto"/>
                    <w:jc w:val="both"/>
                    <w:rPr>
                      <w:rFonts w:ascii="Arial" w:hAnsi="Arial" w:cs="Arial"/>
                    </w:rPr>
                  </w:pPr>
                  <w:r>
                    <w:rPr>
                      <w:rFonts w:ascii="Arial" w:hAnsi="Arial" w:cs="Arial"/>
                    </w:rPr>
                    <w:t>2.2 Pressures</w:t>
                  </w:r>
                </w:p>
                <w:p w14:paraId="33D6045E" w14:textId="0DEE8881" w:rsidR="003452C8" w:rsidRDefault="003452C8" w:rsidP="003452C8">
                  <w:pPr>
                    <w:pStyle w:val="ListParagraph"/>
                    <w:numPr>
                      <w:ilvl w:val="0"/>
                      <w:numId w:val="4"/>
                    </w:numPr>
                    <w:spacing w:line="360" w:lineRule="auto"/>
                    <w:jc w:val="both"/>
                    <w:rPr>
                      <w:rFonts w:ascii="Arial" w:hAnsi="Arial" w:cs="Arial"/>
                    </w:rPr>
                  </w:pPr>
                  <w:r>
                    <w:rPr>
                      <w:rFonts w:ascii="Arial" w:hAnsi="Arial" w:cs="Arial"/>
                    </w:rPr>
                    <w:t>2.3 State</w:t>
                  </w:r>
                </w:p>
                <w:p w14:paraId="34724724" w14:textId="7D063CD4" w:rsidR="003452C8" w:rsidRDefault="003452C8" w:rsidP="003452C8">
                  <w:pPr>
                    <w:pStyle w:val="ListParagraph"/>
                    <w:numPr>
                      <w:ilvl w:val="0"/>
                      <w:numId w:val="4"/>
                    </w:numPr>
                    <w:spacing w:line="360" w:lineRule="auto"/>
                    <w:jc w:val="both"/>
                    <w:rPr>
                      <w:rFonts w:ascii="Arial" w:hAnsi="Arial" w:cs="Arial"/>
                    </w:rPr>
                  </w:pPr>
                  <w:r>
                    <w:rPr>
                      <w:rFonts w:ascii="Arial" w:hAnsi="Arial" w:cs="Arial"/>
                    </w:rPr>
                    <w:t>2.4 Impacts</w:t>
                  </w:r>
                </w:p>
                <w:p w14:paraId="1F200460" w14:textId="01347B0E" w:rsidR="003452C8" w:rsidRDefault="003452C8" w:rsidP="003452C8">
                  <w:pPr>
                    <w:pStyle w:val="ListParagraph"/>
                    <w:numPr>
                      <w:ilvl w:val="0"/>
                      <w:numId w:val="4"/>
                    </w:numPr>
                    <w:spacing w:line="360" w:lineRule="auto"/>
                    <w:jc w:val="both"/>
                    <w:rPr>
                      <w:rFonts w:ascii="Arial" w:hAnsi="Arial" w:cs="Arial"/>
                    </w:rPr>
                  </w:pPr>
                  <w:r>
                    <w:rPr>
                      <w:rFonts w:ascii="Arial" w:hAnsi="Arial" w:cs="Arial"/>
                    </w:rPr>
                    <w:t>2.5 Responses</w:t>
                  </w:r>
                </w:p>
                <w:p w14:paraId="2A54979D" w14:textId="77777777" w:rsidR="003452C8" w:rsidRDefault="003452C8" w:rsidP="003452C8">
                  <w:pPr>
                    <w:pStyle w:val="ListParagraph"/>
                    <w:numPr>
                      <w:ilvl w:val="0"/>
                      <w:numId w:val="1"/>
                    </w:numPr>
                    <w:spacing w:line="360" w:lineRule="auto"/>
                    <w:jc w:val="both"/>
                    <w:rPr>
                      <w:rFonts w:ascii="Arial" w:hAnsi="Arial" w:cs="Arial"/>
                    </w:rPr>
                  </w:pPr>
                  <w:r>
                    <w:rPr>
                      <w:rFonts w:ascii="Arial" w:hAnsi="Arial" w:cs="Arial"/>
                    </w:rPr>
                    <w:t>3. Future Lens</w:t>
                  </w:r>
                </w:p>
                <w:p w14:paraId="0A49397B" w14:textId="77777777" w:rsidR="003452C8" w:rsidRDefault="003452C8" w:rsidP="003452C8">
                  <w:pPr>
                    <w:pStyle w:val="ListParagraph"/>
                    <w:numPr>
                      <w:ilvl w:val="0"/>
                      <w:numId w:val="5"/>
                    </w:numPr>
                    <w:spacing w:line="360" w:lineRule="auto"/>
                    <w:jc w:val="both"/>
                    <w:rPr>
                      <w:rFonts w:ascii="Arial" w:hAnsi="Arial" w:cs="Arial"/>
                    </w:rPr>
                  </w:pPr>
                  <w:r>
                    <w:rPr>
                      <w:rFonts w:ascii="Arial" w:hAnsi="Arial" w:cs="Arial"/>
                    </w:rPr>
                    <w:t>Future trends and potential scenarios</w:t>
                  </w:r>
                </w:p>
                <w:p w14:paraId="362ED630" w14:textId="77777777" w:rsidR="003452C8" w:rsidRDefault="003452C8" w:rsidP="003452C8">
                  <w:pPr>
                    <w:pStyle w:val="ListParagraph"/>
                    <w:numPr>
                      <w:ilvl w:val="0"/>
                      <w:numId w:val="5"/>
                    </w:numPr>
                    <w:spacing w:line="360" w:lineRule="auto"/>
                    <w:jc w:val="both"/>
                    <w:rPr>
                      <w:rFonts w:ascii="Arial" w:hAnsi="Arial" w:cs="Arial"/>
                    </w:rPr>
                  </w:pPr>
                  <w:r>
                    <w:rPr>
                      <w:rFonts w:ascii="Arial" w:hAnsi="Arial" w:cs="Arial"/>
                    </w:rPr>
                    <w:t>Risks and opportunities for the Creator Economy</w:t>
                  </w:r>
                </w:p>
                <w:p w14:paraId="3DDBB340" w14:textId="77777777" w:rsidR="003452C8" w:rsidRDefault="003452C8" w:rsidP="003452C8">
                  <w:pPr>
                    <w:pStyle w:val="ListParagraph"/>
                    <w:numPr>
                      <w:ilvl w:val="0"/>
                      <w:numId w:val="1"/>
                    </w:numPr>
                    <w:spacing w:line="360" w:lineRule="auto"/>
                    <w:jc w:val="both"/>
                    <w:rPr>
                      <w:rFonts w:ascii="Arial" w:hAnsi="Arial" w:cs="Arial"/>
                    </w:rPr>
                  </w:pPr>
                  <w:r>
                    <w:rPr>
                      <w:rFonts w:ascii="Arial" w:hAnsi="Arial" w:cs="Arial"/>
                    </w:rPr>
                    <w:t xml:space="preserve">4.Recommendations </w:t>
                  </w:r>
                </w:p>
                <w:p w14:paraId="3078607D" w14:textId="77777777" w:rsidR="003452C8" w:rsidRDefault="003452C8" w:rsidP="003452C8">
                  <w:pPr>
                    <w:pStyle w:val="ListParagraph"/>
                    <w:numPr>
                      <w:ilvl w:val="0"/>
                      <w:numId w:val="6"/>
                    </w:numPr>
                    <w:spacing w:line="360" w:lineRule="auto"/>
                    <w:jc w:val="both"/>
                    <w:rPr>
                      <w:rFonts w:ascii="Arial" w:hAnsi="Arial" w:cs="Arial"/>
                    </w:rPr>
                  </w:pPr>
                  <w:r>
                    <w:rPr>
                      <w:rFonts w:ascii="Arial" w:hAnsi="Arial" w:cs="Arial"/>
                    </w:rPr>
                    <w:t>Recommendation 1</w:t>
                  </w:r>
                </w:p>
                <w:p w14:paraId="151A64C5" w14:textId="77777777" w:rsidR="003452C8" w:rsidRDefault="003452C8" w:rsidP="003452C8">
                  <w:pPr>
                    <w:pStyle w:val="ListParagraph"/>
                    <w:numPr>
                      <w:ilvl w:val="0"/>
                      <w:numId w:val="6"/>
                    </w:numPr>
                    <w:spacing w:line="360" w:lineRule="auto"/>
                    <w:jc w:val="both"/>
                    <w:rPr>
                      <w:rFonts w:ascii="Arial" w:hAnsi="Arial" w:cs="Arial"/>
                    </w:rPr>
                  </w:pPr>
                  <w:r>
                    <w:rPr>
                      <w:rFonts w:ascii="Arial" w:hAnsi="Arial" w:cs="Arial"/>
                    </w:rPr>
                    <w:t>Recommendation 2</w:t>
                  </w:r>
                </w:p>
                <w:p w14:paraId="30988660" w14:textId="77777777" w:rsidR="003452C8" w:rsidRDefault="003452C8" w:rsidP="003452C8">
                  <w:pPr>
                    <w:pStyle w:val="ListParagraph"/>
                    <w:numPr>
                      <w:ilvl w:val="0"/>
                      <w:numId w:val="1"/>
                    </w:numPr>
                    <w:spacing w:line="360" w:lineRule="auto"/>
                    <w:jc w:val="both"/>
                    <w:rPr>
                      <w:rFonts w:ascii="Arial" w:hAnsi="Arial" w:cs="Arial"/>
                    </w:rPr>
                  </w:pPr>
                  <w:r>
                    <w:rPr>
                      <w:rFonts w:ascii="Arial" w:hAnsi="Arial" w:cs="Arial"/>
                    </w:rPr>
                    <w:t xml:space="preserve">5.Conclusion </w:t>
                  </w:r>
                </w:p>
                <w:p w14:paraId="6667DC2D" w14:textId="77777777" w:rsidR="003452C8" w:rsidRDefault="003452C8" w:rsidP="003452C8">
                  <w:pPr>
                    <w:pStyle w:val="ListParagraph"/>
                    <w:numPr>
                      <w:ilvl w:val="0"/>
                      <w:numId w:val="1"/>
                    </w:numPr>
                    <w:spacing w:line="360" w:lineRule="auto"/>
                    <w:jc w:val="both"/>
                    <w:rPr>
                      <w:rFonts w:ascii="Arial" w:hAnsi="Arial" w:cs="Arial"/>
                    </w:rPr>
                  </w:pPr>
                  <w:r>
                    <w:rPr>
                      <w:rFonts w:ascii="Arial" w:hAnsi="Arial" w:cs="Arial"/>
                    </w:rPr>
                    <w:t xml:space="preserve"> Full Harvard references </w:t>
                  </w:r>
                </w:p>
                <w:p w14:paraId="3976993E" w14:textId="77777777" w:rsidR="003452C8" w:rsidRDefault="003452C8" w:rsidP="003452C8">
                  <w:pPr>
                    <w:pStyle w:val="ListParagraph"/>
                    <w:numPr>
                      <w:ilvl w:val="0"/>
                      <w:numId w:val="1"/>
                    </w:numPr>
                    <w:spacing w:line="360" w:lineRule="auto"/>
                    <w:jc w:val="both"/>
                    <w:rPr>
                      <w:rFonts w:ascii="Arial" w:hAnsi="Arial" w:cs="Arial"/>
                    </w:rPr>
                  </w:pPr>
                  <w:r>
                    <w:rPr>
                      <w:rFonts w:ascii="Arial" w:hAnsi="Arial" w:cs="Arial"/>
                    </w:rPr>
                    <w:t xml:space="preserve"> Appendices </w:t>
                  </w:r>
                </w:p>
                <w:p w14:paraId="15E1B2C6" w14:textId="77777777" w:rsidR="003452C8" w:rsidRDefault="003452C8" w:rsidP="003452C8">
                  <w:pPr>
                    <w:pStyle w:val="ListParagraph"/>
                    <w:numPr>
                      <w:ilvl w:val="0"/>
                      <w:numId w:val="7"/>
                    </w:numPr>
                    <w:spacing w:line="360" w:lineRule="auto"/>
                    <w:jc w:val="both"/>
                    <w:rPr>
                      <w:rFonts w:ascii="Arial" w:hAnsi="Arial" w:cs="Arial"/>
                    </w:rPr>
                  </w:pPr>
                  <w:r>
                    <w:rPr>
                      <w:rFonts w:ascii="Arial" w:hAnsi="Arial" w:cs="Arial"/>
                    </w:rPr>
                    <w:t xml:space="preserve">Appendix A: STEEPLE Analysis </w:t>
                  </w:r>
                </w:p>
                <w:p w14:paraId="0E9401D7" w14:textId="77777777" w:rsidR="003452C8" w:rsidRDefault="003452C8" w:rsidP="003452C8">
                  <w:pPr>
                    <w:pStyle w:val="ListParagraph"/>
                    <w:numPr>
                      <w:ilvl w:val="0"/>
                      <w:numId w:val="7"/>
                    </w:numPr>
                    <w:spacing w:line="360" w:lineRule="auto"/>
                    <w:jc w:val="both"/>
                    <w:rPr>
                      <w:rFonts w:ascii="Arial" w:hAnsi="Arial" w:cs="Arial"/>
                    </w:rPr>
                  </w:pPr>
                  <w:r>
                    <w:rPr>
                      <w:rFonts w:ascii="Arial" w:hAnsi="Arial" w:cs="Arial"/>
                    </w:rPr>
                    <w:t xml:space="preserve">Appendix B: SWOT Analysis </w:t>
                  </w:r>
                </w:p>
                <w:p w14:paraId="5F175983" w14:textId="77777777" w:rsidR="003452C8" w:rsidRDefault="003452C8" w:rsidP="003452C8">
                  <w:pPr>
                    <w:pStyle w:val="ListParagraph"/>
                    <w:numPr>
                      <w:ilvl w:val="0"/>
                      <w:numId w:val="7"/>
                    </w:numPr>
                    <w:spacing w:line="360" w:lineRule="auto"/>
                    <w:jc w:val="both"/>
                    <w:rPr>
                      <w:rFonts w:ascii="Arial" w:hAnsi="Arial" w:cs="Arial"/>
                    </w:rPr>
                  </w:pPr>
                  <w:r>
                    <w:rPr>
                      <w:rFonts w:ascii="Arial" w:hAnsi="Arial" w:cs="Arial"/>
                    </w:rPr>
                    <w:t xml:space="preserve">Appendix C: DPSIR diagram </w:t>
                  </w:r>
                </w:p>
                <w:p w14:paraId="1DD1F093" w14:textId="77777777" w:rsidR="003452C8" w:rsidRDefault="003452C8" w:rsidP="003452C8">
                  <w:pPr>
                    <w:pStyle w:val="ListParagraph"/>
                    <w:numPr>
                      <w:ilvl w:val="0"/>
                      <w:numId w:val="7"/>
                    </w:numPr>
                    <w:spacing w:line="360" w:lineRule="auto"/>
                    <w:jc w:val="both"/>
                    <w:rPr>
                      <w:rFonts w:ascii="Arial" w:hAnsi="Arial" w:cs="Arial"/>
                    </w:rPr>
                  </w:pPr>
                  <w:r>
                    <w:rPr>
                      <w:rFonts w:ascii="Arial" w:hAnsi="Arial" w:cs="Arial"/>
                    </w:rPr>
                    <w:t xml:space="preserve">Appendix D: Evidence limitations </w:t>
                  </w:r>
                </w:p>
                <w:p w14:paraId="1A070628" w14:textId="77777777" w:rsidR="003452C8" w:rsidRDefault="003452C8" w:rsidP="003452C8">
                  <w:pPr>
                    <w:pStyle w:val="ListParagraph"/>
                    <w:numPr>
                      <w:ilvl w:val="0"/>
                      <w:numId w:val="7"/>
                    </w:numPr>
                    <w:spacing w:line="360" w:lineRule="auto"/>
                    <w:jc w:val="both"/>
                    <w:rPr>
                      <w:rFonts w:ascii="Arial" w:hAnsi="Arial" w:cs="Arial"/>
                    </w:rPr>
                  </w:pPr>
                  <w:r>
                    <w:rPr>
                      <w:rFonts w:ascii="Arial" w:hAnsi="Arial" w:cs="Arial"/>
                    </w:rPr>
                    <w:t>Appendix E: Creators reach and social blade statistics</w:t>
                  </w:r>
                </w:p>
                <w:p w14:paraId="4FA8A4BC" w14:textId="74BA3B9C" w:rsidR="003452C8" w:rsidRPr="003452C8" w:rsidRDefault="003452C8" w:rsidP="003452C8">
                  <w:pPr>
                    <w:pStyle w:val="ListParagraph"/>
                    <w:numPr>
                      <w:ilvl w:val="0"/>
                      <w:numId w:val="7"/>
                    </w:numPr>
                    <w:spacing w:line="360" w:lineRule="auto"/>
                    <w:jc w:val="both"/>
                    <w:rPr>
                      <w:rFonts w:ascii="Arial" w:hAnsi="Arial" w:cs="Arial"/>
                    </w:rPr>
                  </w:pPr>
                  <w:r>
                    <w:rPr>
                      <w:rFonts w:ascii="Arial" w:hAnsi="Arial" w:cs="Arial"/>
                    </w:rPr>
                    <w:t>Appendix F: Comparison of Creator Business Model</w:t>
                  </w:r>
                </w:p>
              </w:tc>
            </w:tr>
          </w:tbl>
          <w:p w14:paraId="6060FEA2" w14:textId="77777777" w:rsidR="003452C8" w:rsidRDefault="003452C8" w:rsidP="00BA33FE"/>
        </w:tc>
      </w:tr>
    </w:tbl>
    <w:p w14:paraId="4AB2C004" w14:textId="77777777" w:rsidR="00BA33FE" w:rsidRDefault="00BA33FE" w:rsidP="00BA33FE"/>
    <w:p w14:paraId="48D2C21B" w14:textId="04D3825E" w:rsidR="003452C8" w:rsidRDefault="003452C8" w:rsidP="003452C8">
      <w:pPr>
        <w:pStyle w:val="Title"/>
        <w:jc w:val="center"/>
        <w:rPr>
          <w:rFonts w:ascii="Arial" w:hAnsi="Arial" w:cs="Arial"/>
          <w:sz w:val="40"/>
          <w:szCs w:val="40"/>
        </w:rPr>
      </w:pPr>
      <w:r>
        <w:rPr>
          <w:rFonts w:ascii="Arial" w:hAnsi="Arial" w:cs="Arial"/>
          <w:sz w:val="40"/>
          <w:szCs w:val="40"/>
        </w:rPr>
        <w:lastRenderedPageBreak/>
        <w:t>A Critical Analysis of External Factors Influencing the Creator Economy/ Influencer industry</w:t>
      </w:r>
    </w:p>
    <w:p w14:paraId="5A98FBA0" w14:textId="77777777" w:rsidR="003452C8" w:rsidRDefault="003452C8" w:rsidP="003452C8"/>
    <w:p w14:paraId="1F82B995" w14:textId="77777777" w:rsidR="00166596" w:rsidRDefault="00166596" w:rsidP="003452C8"/>
    <w:p w14:paraId="753628E7" w14:textId="77777777" w:rsidR="00166596" w:rsidRPr="003452C8" w:rsidRDefault="00166596" w:rsidP="003452C8"/>
    <w:p w14:paraId="0A1410BF" w14:textId="5AA9E0DD" w:rsidR="00166596" w:rsidRPr="00166596" w:rsidRDefault="003452C8" w:rsidP="00166596">
      <w:pPr>
        <w:pStyle w:val="ListParagraph"/>
        <w:numPr>
          <w:ilvl w:val="0"/>
          <w:numId w:val="9"/>
        </w:numPr>
        <w:spacing w:line="360" w:lineRule="auto"/>
        <w:jc w:val="both"/>
        <w:rPr>
          <w:rFonts w:ascii="Arial" w:hAnsi="Arial" w:cs="Arial"/>
          <w:b/>
          <w:bCs/>
        </w:rPr>
      </w:pPr>
      <w:r w:rsidRPr="00380524">
        <w:rPr>
          <w:rFonts w:ascii="Arial" w:hAnsi="Arial" w:cs="Arial"/>
          <w:b/>
          <w:bCs/>
        </w:rPr>
        <w:t xml:space="preserve">Introduction </w:t>
      </w:r>
    </w:p>
    <w:p w14:paraId="7890FBB0" w14:textId="18B30EEE" w:rsidR="003452C8" w:rsidRDefault="00380524" w:rsidP="00380524">
      <w:pPr>
        <w:spacing w:line="360" w:lineRule="auto"/>
        <w:jc w:val="both"/>
        <w:rPr>
          <w:rFonts w:ascii="Arial" w:hAnsi="Arial" w:cs="Arial"/>
          <w:b/>
          <w:bCs/>
        </w:rPr>
      </w:pPr>
      <w:r>
        <w:rPr>
          <w:rFonts w:ascii="Arial" w:hAnsi="Arial" w:cs="Arial"/>
          <w:b/>
          <w:bCs/>
        </w:rPr>
        <w:t>1.1</w:t>
      </w:r>
      <w:r w:rsidR="003452C8" w:rsidRPr="00380524">
        <w:rPr>
          <w:rFonts w:ascii="Arial" w:hAnsi="Arial" w:cs="Arial"/>
          <w:b/>
          <w:bCs/>
        </w:rPr>
        <w:t>Defi</w:t>
      </w:r>
      <w:r w:rsidR="00455438" w:rsidRPr="00380524">
        <w:rPr>
          <w:rFonts w:ascii="Arial" w:hAnsi="Arial" w:cs="Arial"/>
          <w:b/>
          <w:bCs/>
        </w:rPr>
        <w:t xml:space="preserve">nition of an influencer: </w:t>
      </w:r>
    </w:p>
    <w:p w14:paraId="5B5AF919" w14:textId="17A6E55C" w:rsidR="00DC22C0" w:rsidRDefault="00DC22C0" w:rsidP="00380524">
      <w:pPr>
        <w:spacing w:line="360" w:lineRule="auto"/>
        <w:jc w:val="both"/>
        <w:rPr>
          <w:rFonts w:ascii="Arial" w:hAnsi="Arial" w:cs="Arial"/>
        </w:rPr>
      </w:pPr>
      <w:r w:rsidRPr="00DC22C0">
        <w:rPr>
          <w:rFonts w:ascii="Arial" w:hAnsi="Arial" w:cs="Arial"/>
        </w:rPr>
        <w:t xml:space="preserve">An influencer is a social media user who has established credibility in a specific field, built an audience, and </w:t>
      </w:r>
      <w:proofErr w:type="gramStart"/>
      <w:r w:rsidRPr="00DC22C0">
        <w:rPr>
          <w:rFonts w:ascii="Arial" w:hAnsi="Arial" w:cs="Arial"/>
        </w:rPr>
        <w:t>has the ability to</w:t>
      </w:r>
      <w:proofErr w:type="gramEnd"/>
      <w:r w:rsidRPr="00DC22C0">
        <w:rPr>
          <w:rFonts w:ascii="Arial" w:hAnsi="Arial" w:cs="Arial"/>
        </w:rPr>
        <w:t xml:space="preserve"> influence followers’ attitudes, opinions and purchasing decisions through their online content and recommendations. Influencers can be understood as independent third-party endorsers whose perceived personality characteristics may shape audience perceptions and responses (Freberg et al., 2011; De </w:t>
      </w:r>
      <w:proofErr w:type="spellStart"/>
      <w:r w:rsidRPr="00DC22C0">
        <w:rPr>
          <w:rFonts w:ascii="Arial" w:hAnsi="Arial" w:cs="Arial"/>
        </w:rPr>
        <w:t>Veirman</w:t>
      </w:r>
      <w:proofErr w:type="spellEnd"/>
      <w:r w:rsidRPr="00DC22C0">
        <w:rPr>
          <w:rFonts w:ascii="Arial" w:hAnsi="Arial" w:cs="Arial"/>
        </w:rPr>
        <w:t xml:space="preserve">, </w:t>
      </w:r>
      <w:proofErr w:type="spellStart"/>
      <w:r w:rsidRPr="00DC22C0">
        <w:rPr>
          <w:rFonts w:ascii="Arial" w:hAnsi="Arial" w:cs="Arial"/>
        </w:rPr>
        <w:t>Cauberghe</w:t>
      </w:r>
      <w:proofErr w:type="spellEnd"/>
      <w:r w:rsidRPr="00DC22C0">
        <w:rPr>
          <w:rFonts w:ascii="Arial" w:hAnsi="Arial" w:cs="Arial"/>
        </w:rPr>
        <w:t xml:space="preserve"> and </w:t>
      </w:r>
      <w:proofErr w:type="spellStart"/>
      <w:r w:rsidRPr="00DC22C0">
        <w:rPr>
          <w:rFonts w:ascii="Arial" w:hAnsi="Arial" w:cs="Arial"/>
        </w:rPr>
        <w:t>Hudders</w:t>
      </w:r>
      <w:proofErr w:type="spellEnd"/>
      <w:r w:rsidRPr="00DC22C0">
        <w:rPr>
          <w:rFonts w:ascii="Arial" w:hAnsi="Arial" w:cs="Arial"/>
        </w:rPr>
        <w:t>, 2017).</w:t>
      </w:r>
    </w:p>
    <w:p w14:paraId="673E4C40" w14:textId="77777777" w:rsidR="00166596" w:rsidRPr="00DC22C0" w:rsidRDefault="00166596" w:rsidP="00380524">
      <w:pPr>
        <w:spacing w:line="360" w:lineRule="auto"/>
        <w:jc w:val="both"/>
        <w:rPr>
          <w:rFonts w:ascii="Arial" w:hAnsi="Arial" w:cs="Arial"/>
        </w:rPr>
      </w:pPr>
    </w:p>
    <w:p w14:paraId="3616829F" w14:textId="4D26FCFD" w:rsidR="00D47B96" w:rsidRPr="00D47B96" w:rsidRDefault="00380524" w:rsidP="00D47B96">
      <w:pPr>
        <w:spacing w:line="360" w:lineRule="auto"/>
        <w:jc w:val="both"/>
        <w:rPr>
          <w:rFonts w:ascii="Arial" w:hAnsi="Arial" w:cs="Arial"/>
        </w:rPr>
      </w:pPr>
      <w:r>
        <w:rPr>
          <w:rFonts w:ascii="Arial" w:hAnsi="Arial" w:cs="Arial"/>
          <w:b/>
          <w:bCs/>
        </w:rPr>
        <w:t xml:space="preserve">1.2 </w:t>
      </w:r>
      <w:r w:rsidR="00455438" w:rsidRPr="00380524">
        <w:rPr>
          <w:rFonts w:ascii="Arial" w:hAnsi="Arial" w:cs="Arial"/>
          <w:b/>
          <w:bCs/>
        </w:rPr>
        <w:t>Background of the Creator Economy</w:t>
      </w:r>
      <w:r w:rsidR="00455438" w:rsidRPr="00380524">
        <w:rPr>
          <w:rFonts w:ascii="Arial" w:hAnsi="Arial" w:cs="Arial"/>
        </w:rPr>
        <w:t xml:space="preserve">: </w:t>
      </w:r>
      <w:r w:rsidR="00D47B96" w:rsidRPr="00D47B96">
        <w:rPr>
          <w:rFonts w:ascii="Arial" w:hAnsi="Arial" w:cs="Arial"/>
        </w:rPr>
        <w:t>The creator economy comprises individuals and businesses earning through digital content, advertising, sponsorships, subscriptions, affiliate marketing and products. Platforms lower publishing barriers but control distribution, audience data and monetisation (Cunningham and Craig, 2019; Peres et al., 2024). An influencer can shape opinions and purchasing decisions through perceived expertise, credibility or follower relationships (Abidin, 2016</w:t>
      </w:r>
      <w:r w:rsidR="000A3A03">
        <w:rPr>
          <w:rFonts w:ascii="Arial" w:hAnsi="Arial" w:cs="Arial"/>
        </w:rPr>
        <w:t>).</w:t>
      </w:r>
    </w:p>
    <w:p w14:paraId="464DB240" w14:textId="189DE2F5" w:rsidR="00380524" w:rsidRPr="00380524" w:rsidRDefault="00380524" w:rsidP="00380524">
      <w:pPr>
        <w:spacing w:line="360" w:lineRule="auto"/>
        <w:jc w:val="both"/>
        <w:rPr>
          <w:rFonts w:ascii="Arial" w:hAnsi="Arial" w:cs="Arial"/>
        </w:rPr>
      </w:pPr>
    </w:p>
    <w:p w14:paraId="12B7A456" w14:textId="073BB677" w:rsidR="00455438" w:rsidRDefault="00380524" w:rsidP="00380524">
      <w:pPr>
        <w:spacing w:line="360" w:lineRule="auto"/>
        <w:jc w:val="both"/>
        <w:rPr>
          <w:rFonts w:ascii="Arial" w:hAnsi="Arial" w:cs="Arial"/>
        </w:rPr>
      </w:pPr>
      <w:r>
        <w:rPr>
          <w:rFonts w:ascii="Arial" w:hAnsi="Arial" w:cs="Arial"/>
          <w:b/>
          <w:bCs/>
        </w:rPr>
        <w:t xml:space="preserve">1.3 </w:t>
      </w:r>
      <w:r w:rsidR="00455438" w:rsidRPr="00380524">
        <w:rPr>
          <w:rFonts w:ascii="Arial" w:hAnsi="Arial" w:cs="Arial"/>
          <w:b/>
          <w:bCs/>
        </w:rPr>
        <w:t xml:space="preserve">Aim and scope of the </w:t>
      </w:r>
      <w:r w:rsidR="00166596" w:rsidRPr="00380524">
        <w:rPr>
          <w:rFonts w:ascii="Arial" w:hAnsi="Arial" w:cs="Arial"/>
          <w:b/>
          <w:bCs/>
        </w:rPr>
        <w:t>report:</w:t>
      </w:r>
      <w:r w:rsidR="00455438" w:rsidRPr="00380524">
        <w:rPr>
          <w:rFonts w:ascii="Arial" w:hAnsi="Arial" w:cs="Arial"/>
        </w:rPr>
        <w:t xml:space="preserve"> </w:t>
      </w:r>
    </w:p>
    <w:p w14:paraId="4CA4DBC8" w14:textId="18D3A4FC" w:rsidR="00166596" w:rsidRPr="00166596" w:rsidRDefault="00D47B96" w:rsidP="00166596">
      <w:pPr>
        <w:spacing w:line="360" w:lineRule="auto"/>
        <w:jc w:val="both"/>
        <w:rPr>
          <w:rFonts w:ascii="Arial" w:hAnsi="Arial" w:cs="Arial"/>
        </w:rPr>
      </w:pPr>
      <w:r w:rsidRPr="00D47B96">
        <w:rPr>
          <w:rFonts w:ascii="Arial" w:hAnsi="Arial" w:cs="Arial"/>
        </w:rPr>
        <w:t xml:space="preserve">This report applies DPSIR—Drivers, Pressures, State, Impacts and Responses—using the STEEPLE analysis in Appendix A and SWOT in Appendix B. </w:t>
      </w:r>
      <w:proofErr w:type="spellStart"/>
      <w:r w:rsidRPr="00D47B96">
        <w:rPr>
          <w:rFonts w:ascii="Arial" w:hAnsi="Arial" w:cs="Arial"/>
        </w:rPr>
        <w:t>IShowSpeed</w:t>
      </w:r>
      <w:proofErr w:type="spellEnd"/>
      <w:r w:rsidRPr="00D47B96">
        <w:rPr>
          <w:rFonts w:ascii="Arial" w:hAnsi="Arial" w:cs="Arial"/>
        </w:rPr>
        <w:t xml:space="preserve"> represents personality-led livestreaming, Huda Kattan a creator-linked beauty business, and Steven Bartlett podcasting and media entrepreneurship. The report argues that diversified revenue and customer relationships offer greater resilience than reach alone.</w:t>
      </w:r>
    </w:p>
    <w:p w14:paraId="730AE17E" w14:textId="0BDA3160" w:rsidR="00455438" w:rsidRPr="00380524" w:rsidRDefault="00455438" w:rsidP="00380524">
      <w:pPr>
        <w:spacing w:line="360" w:lineRule="auto"/>
        <w:ind w:left="720"/>
        <w:jc w:val="both"/>
        <w:rPr>
          <w:rFonts w:ascii="Arial" w:hAnsi="Arial" w:cs="Arial"/>
          <w:b/>
          <w:bCs/>
        </w:rPr>
      </w:pPr>
      <w:r w:rsidRPr="00380524">
        <w:rPr>
          <w:rFonts w:ascii="Arial" w:hAnsi="Arial" w:cs="Arial"/>
          <w:b/>
          <w:bCs/>
        </w:rPr>
        <w:t xml:space="preserve">2.DPSIR ANALYSIS </w:t>
      </w:r>
    </w:p>
    <w:p w14:paraId="48E3A03F" w14:textId="77777777" w:rsidR="00166596" w:rsidRDefault="00455438" w:rsidP="00166596">
      <w:pPr>
        <w:spacing w:line="360" w:lineRule="auto"/>
        <w:jc w:val="both"/>
        <w:rPr>
          <w:rFonts w:ascii="Arial" w:hAnsi="Arial" w:cs="Arial"/>
          <w:b/>
          <w:bCs/>
        </w:rPr>
      </w:pPr>
      <w:r w:rsidRPr="00380524">
        <w:rPr>
          <w:rFonts w:ascii="Arial" w:hAnsi="Arial" w:cs="Arial"/>
          <w:b/>
          <w:bCs/>
        </w:rPr>
        <w:lastRenderedPageBreak/>
        <w:t>2.1 Drivers: forces driving the creator economy</w:t>
      </w:r>
    </w:p>
    <w:p w14:paraId="3C698395" w14:textId="77777777" w:rsidR="00166596" w:rsidRPr="006540E8" w:rsidRDefault="00455438" w:rsidP="00166596">
      <w:pPr>
        <w:spacing w:line="360" w:lineRule="auto"/>
        <w:jc w:val="both"/>
        <w:rPr>
          <w:rFonts w:ascii="Arial" w:hAnsi="Arial" w:cs="Arial"/>
        </w:rPr>
      </w:pPr>
      <w:r w:rsidRPr="00380524">
        <w:rPr>
          <w:rFonts w:ascii="Arial" w:hAnsi="Arial" w:cs="Arial"/>
        </w:rPr>
        <w:t xml:space="preserve">The creator economy is driven by technological accessibility, changes in audience behaviour and the commercial value of digital influence. </w:t>
      </w:r>
      <w:r w:rsidR="00166596" w:rsidRPr="006540E8">
        <w:rPr>
          <w:rFonts w:ascii="Arial" w:hAnsi="Arial" w:cs="Arial"/>
        </w:rPr>
        <w:t xml:space="preserve">Accessible production technology, participatory audiences and demand for trusted niche communication drive growth. Smartphones lower entry costs, while sharing and livestreams encourage participation (Jenkins, 2006; OECD, 2007). Self-branding and “visibility labour” maintain attention (Khamis, Ang and Welling, 2017; Abidin, 2016, 2018). Celebrity endorsement theory explains how public qualities can transfer to products (McCracken, 1989), but follower counts alone do not establish credibility or purchasing impact (De </w:t>
      </w:r>
      <w:proofErr w:type="spellStart"/>
      <w:r w:rsidR="00166596" w:rsidRPr="006540E8">
        <w:rPr>
          <w:rFonts w:ascii="Arial" w:hAnsi="Arial" w:cs="Arial"/>
        </w:rPr>
        <w:t>Veirman</w:t>
      </w:r>
      <w:proofErr w:type="spellEnd"/>
      <w:r w:rsidR="00166596" w:rsidRPr="006540E8">
        <w:rPr>
          <w:rFonts w:ascii="Arial" w:hAnsi="Arial" w:cs="Arial"/>
        </w:rPr>
        <w:t xml:space="preserve">, </w:t>
      </w:r>
      <w:proofErr w:type="spellStart"/>
      <w:r w:rsidR="00166596" w:rsidRPr="006540E8">
        <w:rPr>
          <w:rFonts w:ascii="Arial" w:hAnsi="Arial" w:cs="Arial"/>
        </w:rPr>
        <w:t>Cauberghe</w:t>
      </w:r>
      <w:proofErr w:type="spellEnd"/>
      <w:r w:rsidR="00166596" w:rsidRPr="006540E8">
        <w:rPr>
          <w:rFonts w:ascii="Arial" w:hAnsi="Arial" w:cs="Arial"/>
        </w:rPr>
        <w:t xml:space="preserve"> and </w:t>
      </w:r>
      <w:proofErr w:type="spellStart"/>
      <w:r w:rsidR="00166596" w:rsidRPr="006540E8">
        <w:rPr>
          <w:rFonts w:ascii="Arial" w:hAnsi="Arial" w:cs="Arial"/>
        </w:rPr>
        <w:t>Hudders</w:t>
      </w:r>
      <w:proofErr w:type="spellEnd"/>
      <w:r w:rsidR="00166596" w:rsidRPr="006540E8">
        <w:rPr>
          <w:rFonts w:ascii="Arial" w:hAnsi="Arial" w:cs="Arial"/>
        </w:rPr>
        <w:t>, 2017; Lou and Yuan, 2019).</w:t>
      </w:r>
    </w:p>
    <w:p w14:paraId="36E9C26C" w14:textId="77777777" w:rsidR="00166596" w:rsidRPr="006540E8" w:rsidRDefault="00166596" w:rsidP="00166596">
      <w:pPr>
        <w:spacing w:line="360" w:lineRule="auto"/>
        <w:jc w:val="both"/>
        <w:rPr>
          <w:rFonts w:ascii="Arial" w:hAnsi="Arial" w:cs="Arial"/>
        </w:rPr>
      </w:pPr>
      <w:r w:rsidRPr="006540E8">
        <w:rPr>
          <w:rFonts w:ascii="Arial" w:hAnsi="Arial" w:cs="Arial"/>
        </w:rPr>
        <w:t xml:space="preserve">The cases convert attention differently: </w:t>
      </w:r>
      <w:proofErr w:type="spellStart"/>
      <w:r w:rsidRPr="006540E8">
        <w:rPr>
          <w:rFonts w:ascii="Arial" w:hAnsi="Arial" w:cs="Arial"/>
        </w:rPr>
        <w:t>IShowSpeed</w:t>
      </w:r>
      <w:proofErr w:type="spellEnd"/>
      <w:r w:rsidRPr="006540E8">
        <w:rPr>
          <w:rFonts w:ascii="Arial" w:hAnsi="Arial" w:cs="Arial"/>
        </w:rPr>
        <w:t xml:space="preserve"> relies on live entertainment, Huda Kattan links beauty content to products, and Steven Bartlett develops long-form conversations into a media property. Their documented milestones show that platform reach creates opportunity, but the route to durable value differs by model.</w:t>
      </w:r>
    </w:p>
    <w:p w14:paraId="40D4742A" w14:textId="77777777" w:rsidR="00166596" w:rsidRPr="006540E8" w:rsidRDefault="00166596" w:rsidP="00166596">
      <w:pPr>
        <w:spacing w:line="360" w:lineRule="auto"/>
        <w:jc w:val="both"/>
        <w:rPr>
          <w:rFonts w:ascii="Arial" w:hAnsi="Arial" w:cs="Arial"/>
        </w:rPr>
      </w:pPr>
      <w:r w:rsidRPr="006540E8">
        <w:rPr>
          <w:rFonts w:ascii="Arial" w:hAnsi="Arial" w:cs="Arial"/>
        </w:rPr>
        <w:t>Lower entry barriers intensify competition. Because the creator economy includes platforms, firms and consumers as well as creators (Peres et al., 2024), success depends on systems that distribute and monetise attention, not creativity alone.</w:t>
      </w:r>
    </w:p>
    <w:p w14:paraId="0F035EB6" w14:textId="31793B50" w:rsidR="00380524" w:rsidRPr="00380524" w:rsidRDefault="00380524" w:rsidP="00166596">
      <w:pPr>
        <w:spacing w:line="360" w:lineRule="auto"/>
        <w:jc w:val="both"/>
        <w:rPr>
          <w:rFonts w:ascii="Arial" w:hAnsi="Arial" w:cs="Arial"/>
        </w:rPr>
      </w:pPr>
    </w:p>
    <w:p w14:paraId="37AD3B09" w14:textId="2E81E4A4" w:rsidR="00455438" w:rsidRPr="00380524" w:rsidRDefault="00455438" w:rsidP="00380524">
      <w:pPr>
        <w:pStyle w:val="Heading2"/>
        <w:spacing w:line="360" w:lineRule="auto"/>
        <w:jc w:val="both"/>
        <w:rPr>
          <w:rFonts w:ascii="Arial" w:hAnsi="Arial" w:cs="Arial"/>
          <w:b/>
          <w:bCs/>
          <w:color w:val="000000" w:themeColor="text1"/>
          <w:sz w:val="24"/>
          <w:szCs w:val="24"/>
        </w:rPr>
      </w:pPr>
      <w:r w:rsidRPr="00380524">
        <w:rPr>
          <w:rFonts w:ascii="Arial" w:hAnsi="Arial" w:cs="Arial"/>
          <w:b/>
          <w:bCs/>
          <w:color w:val="000000" w:themeColor="text1"/>
          <w:sz w:val="24"/>
          <w:szCs w:val="24"/>
        </w:rPr>
        <w:t xml:space="preserve">             2.2 Pressures: risks and external constraints</w:t>
      </w:r>
    </w:p>
    <w:p w14:paraId="46CF8921" w14:textId="77777777" w:rsidR="00380524" w:rsidRDefault="00380524" w:rsidP="00380524">
      <w:pPr>
        <w:spacing w:line="360" w:lineRule="auto"/>
        <w:jc w:val="both"/>
        <w:rPr>
          <w:rFonts w:ascii="Arial" w:hAnsi="Arial" w:cs="Arial"/>
        </w:rPr>
      </w:pPr>
    </w:p>
    <w:p w14:paraId="536AA8FA" w14:textId="77777777" w:rsidR="00166596" w:rsidRPr="006540E8" w:rsidRDefault="00166596" w:rsidP="00166596">
      <w:pPr>
        <w:spacing w:line="360" w:lineRule="auto"/>
        <w:jc w:val="both"/>
        <w:rPr>
          <w:rFonts w:ascii="Arial" w:hAnsi="Arial" w:cs="Arial"/>
        </w:rPr>
      </w:pPr>
      <w:r w:rsidRPr="006540E8">
        <w:rPr>
          <w:rFonts w:ascii="Arial" w:hAnsi="Arial" w:cs="Arial"/>
        </w:rPr>
        <w:t xml:space="preserve">Platform dependence is a major pressure: algorithms shape visibility, while platforms control monetisation and audience data. Cotter (2019) describes an algorithmic “visibility game”; Bucher (2018) explains how algorithms shape what users see. Cultural production is increasingly </w:t>
      </w:r>
      <w:proofErr w:type="spellStart"/>
      <w:r w:rsidRPr="006540E8">
        <w:rPr>
          <w:rFonts w:ascii="Arial" w:hAnsi="Arial" w:cs="Arial"/>
        </w:rPr>
        <w:t>platformised</w:t>
      </w:r>
      <w:proofErr w:type="spellEnd"/>
      <w:r w:rsidRPr="006540E8">
        <w:rPr>
          <w:rFonts w:ascii="Arial" w:hAnsi="Arial" w:cs="Arial"/>
        </w:rPr>
        <w:t>, so creators’ work and income are shaped by platform rules (</w:t>
      </w:r>
      <w:proofErr w:type="spellStart"/>
      <w:r w:rsidRPr="006540E8">
        <w:rPr>
          <w:rFonts w:ascii="Arial" w:hAnsi="Arial" w:cs="Arial"/>
        </w:rPr>
        <w:t>Nieborg</w:t>
      </w:r>
      <w:proofErr w:type="spellEnd"/>
      <w:r w:rsidRPr="006540E8">
        <w:rPr>
          <w:rFonts w:ascii="Arial" w:hAnsi="Arial" w:cs="Arial"/>
        </w:rPr>
        <w:t xml:space="preserve"> and Poell, 2018). Performance can fall without poorer content. </w:t>
      </w:r>
      <w:proofErr w:type="spellStart"/>
      <w:r w:rsidRPr="006540E8">
        <w:rPr>
          <w:rFonts w:ascii="Arial" w:hAnsi="Arial" w:cs="Arial"/>
        </w:rPr>
        <w:t>IShowSpeed</w:t>
      </w:r>
      <w:proofErr w:type="spellEnd"/>
      <w:r w:rsidRPr="006540E8">
        <w:rPr>
          <w:rFonts w:ascii="Arial" w:hAnsi="Arial" w:cs="Arial"/>
        </w:rPr>
        <w:t xml:space="preserve"> faces live-content and recommendation risks; Bartlett depends on discovery systems; Huda Kattan’s product business can build direct customer relationships, although social platforms still support awareness.</w:t>
      </w:r>
    </w:p>
    <w:p w14:paraId="3DE15630" w14:textId="77777777" w:rsidR="00166596" w:rsidRPr="006540E8" w:rsidRDefault="00166596" w:rsidP="00166596">
      <w:pPr>
        <w:spacing w:line="360" w:lineRule="auto"/>
        <w:jc w:val="both"/>
        <w:rPr>
          <w:rFonts w:ascii="Arial" w:hAnsi="Arial" w:cs="Arial"/>
        </w:rPr>
      </w:pPr>
      <w:r w:rsidRPr="006540E8">
        <w:rPr>
          <w:rFonts w:ascii="Arial" w:hAnsi="Arial" w:cs="Arial"/>
        </w:rPr>
        <w:t xml:space="preserve">Economic insecurity compounds platform risk: advertising budgets fluctuate, sponsorships are unevenly distributed and professional production costs money. Duffy (2017) highlights insecurity and unpaid labour in aspirational creative work. Appendix </w:t>
      </w:r>
      <w:r w:rsidRPr="006540E8">
        <w:rPr>
          <w:rFonts w:ascii="Arial" w:hAnsi="Arial" w:cs="Arial"/>
        </w:rPr>
        <w:lastRenderedPageBreak/>
        <w:t>B identifies uncertain earnings and pressure to publish as weaknesses in a market where attention is scarce and rewards unequal.</w:t>
      </w:r>
    </w:p>
    <w:p w14:paraId="08B44156" w14:textId="77777777" w:rsidR="00166596" w:rsidRPr="006540E8" w:rsidRDefault="00166596" w:rsidP="00166596">
      <w:pPr>
        <w:spacing w:line="360" w:lineRule="auto"/>
        <w:jc w:val="both"/>
        <w:rPr>
          <w:rFonts w:ascii="Arial" w:hAnsi="Arial" w:cs="Arial"/>
        </w:rPr>
      </w:pPr>
      <w:r w:rsidRPr="006540E8">
        <w:rPr>
          <w:rFonts w:ascii="Arial" w:hAnsi="Arial" w:cs="Arial"/>
        </w:rPr>
        <w:t xml:space="preserve">Legal and ethical pressures require advertising disclosure. The Competition and Markets Authority </w:t>
      </w:r>
      <w:proofErr w:type="gramStart"/>
      <w:r w:rsidRPr="006540E8">
        <w:rPr>
          <w:rFonts w:ascii="Arial" w:hAnsi="Arial" w:cs="Arial"/>
        </w:rPr>
        <w:t>says</w:t>
      </w:r>
      <w:proofErr w:type="gramEnd"/>
      <w:r w:rsidRPr="006540E8">
        <w:rPr>
          <w:rFonts w:ascii="Arial" w:hAnsi="Arial" w:cs="Arial"/>
        </w:rPr>
        <w:t xml:space="preserve"> commercial relationships, including promotion of creators’ own products, must be clear (CMA, 2025a; CMA, 2025b). ASA monitoring reported that, in its Instagram and TikTok sample, 57% of influencer advertisements complied with disclosure rules, 9% used unclear labels and 34% had no disclosure (ASA, 2025). These findings describe the sample, not all advertising. The Online Safety Act 2023 and Digital Markets, Competition and Consumers Act 2024 shape the UK context for online safety and consumer protection (Great Britain, 2023; Great Britain, 2024). For creators reaching EU audiences, the EU Digital Markets Act (DMA) is a separate part of the regulatory context: designated gatekeeper platforms must, among other obligations, allow business users to promote offers and conclude contracts with customers outside the platform (European Commission, 2026). This EU regime should not be confused with the UK’s Digital Markets, Competition and Consumers Act 2024.</w:t>
      </w:r>
    </w:p>
    <w:p w14:paraId="063B482D" w14:textId="77777777" w:rsidR="00166596" w:rsidRPr="006540E8" w:rsidRDefault="00166596" w:rsidP="00166596">
      <w:pPr>
        <w:spacing w:line="360" w:lineRule="auto"/>
        <w:jc w:val="both"/>
        <w:rPr>
          <w:rFonts w:ascii="Arial" w:hAnsi="Arial" w:cs="Arial"/>
        </w:rPr>
      </w:pPr>
      <w:r w:rsidRPr="006540E8">
        <w:rPr>
          <w:rFonts w:ascii="Arial" w:hAnsi="Arial" w:cs="Arial"/>
        </w:rPr>
        <w:t xml:space="preserve">Because audiences may perceive creators as relatable, commercial messages can be persuasive. </w:t>
      </w:r>
      <w:proofErr w:type="spellStart"/>
      <w:r w:rsidRPr="006540E8">
        <w:rPr>
          <w:rFonts w:ascii="Arial" w:hAnsi="Arial" w:cs="Arial"/>
        </w:rPr>
        <w:t>Audrezet</w:t>
      </w:r>
      <w:proofErr w:type="spellEnd"/>
      <w:r w:rsidRPr="006540E8">
        <w:rPr>
          <w:rFonts w:ascii="Arial" w:hAnsi="Arial" w:cs="Arial"/>
        </w:rPr>
        <w:t xml:space="preserve">, de </w:t>
      </w:r>
      <w:proofErr w:type="spellStart"/>
      <w:r w:rsidRPr="006540E8">
        <w:rPr>
          <w:rFonts w:ascii="Arial" w:hAnsi="Arial" w:cs="Arial"/>
        </w:rPr>
        <w:t>Kerviler</w:t>
      </w:r>
      <w:proofErr w:type="spellEnd"/>
      <w:r w:rsidRPr="006540E8">
        <w:rPr>
          <w:rFonts w:ascii="Arial" w:hAnsi="Arial" w:cs="Arial"/>
        </w:rPr>
        <w:t xml:space="preserve"> and Guidry </w:t>
      </w:r>
      <w:proofErr w:type="spellStart"/>
      <w:r w:rsidRPr="006540E8">
        <w:rPr>
          <w:rFonts w:ascii="Arial" w:hAnsi="Arial" w:cs="Arial"/>
        </w:rPr>
        <w:t>Moulard</w:t>
      </w:r>
      <w:proofErr w:type="spellEnd"/>
      <w:r w:rsidRPr="006540E8">
        <w:rPr>
          <w:rFonts w:ascii="Arial" w:hAnsi="Arial" w:cs="Arial"/>
        </w:rPr>
        <w:t xml:space="preserve"> (2020) identify tensions between authenticity and sponsorship; Duffy and Hund (2019) likewise examine the “authenticity bind” created by gendered visibility expectations. Influencer-marketing research also finds that commercialisation requires strategic management of creator identity and audience relationships (</w:t>
      </w:r>
      <w:proofErr w:type="spellStart"/>
      <w:r w:rsidRPr="006540E8">
        <w:rPr>
          <w:rFonts w:ascii="Arial" w:hAnsi="Arial" w:cs="Arial"/>
        </w:rPr>
        <w:t>Hudders</w:t>
      </w:r>
      <w:proofErr w:type="spellEnd"/>
      <w:r w:rsidRPr="006540E8">
        <w:rPr>
          <w:rFonts w:ascii="Arial" w:hAnsi="Arial" w:cs="Arial"/>
        </w:rPr>
        <w:t xml:space="preserve">, De Jans and De </w:t>
      </w:r>
      <w:proofErr w:type="spellStart"/>
      <w:r w:rsidRPr="006540E8">
        <w:rPr>
          <w:rFonts w:ascii="Arial" w:hAnsi="Arial" w:cs="Arial"/>
        </w:rPr>
        <w:t>Veirman</w:t>
      </w:r>
      <w:proofErr w:type="spellEnd"/>
      <w:r w:rsidRPr="006540E8">
        <w:rPr>
          <w:rFonts w:ascii="Arial" w:hAnsi="Arial" w:cs="Arial"/>
        </w:rPr>
        <w:t xml:space="preserve">, 2021). Evans et al. (2017) show that disclosure wording affects advertising recognition. Direct audience access is therefore both a strength and a vulnerability when distribution remains </w:t>
      </w:r>
      <w:proofErr w:type="gramStart"/>
      <w:r w:rsidRPr="006540E8">
        <w:rPr>
          <w:rFonts w:ascii="Arial" w:hAnsi="Arial" w:cs="Arial"/>
        </w:rPr>
        <w:t>platform-controlled</w:t>
      </w:r>
      <w:proofErr w:type="gramEnd"/>
      <w:r w:rsidRPr="006540E8">
        <w:rPr>
          <w:rFonts w:ascii="Arial" w:hAnsi="Arial" w:cs="Arial"/>
        </w:rPr>
        <w:t>. Transparency protects trust, particularly for beauty, financial and other consequential claims.</w:t>
      </w:r>
    </w:p>
    <w:p w14:paraId="44CEFA71" w14:textId="77777777" w:rsidR="00166596" w:rsidRPr="00380524" w:rsidRDefault="00166596" w:rsidP="00380524">
      <w:pPr>
        <w:spacing w:line="360" w:lineRule="auto"/>
        <w:jc w:val="both"/>
        <w:rPr>
          <w:rFonts w:ascii="Arial" w:hAnsi="Arial" w:cs="Arial"/>
        </w:rPr>
      </w:pPr>
    </w:p>
    <w:p w14:paraId="071E8399" w14:textId="26FDC5F1" w:rsidR="00455438" w:rsidRPr="00380524" w:rsidRDefault="00455438" w:rsidP="00380524">
      <w:pPr>
        <w:pStyle w:val="Heading2"/>
        <w:spacing w:line="360" w:lineRule="auto"/>
        <w:jc w:val="both"/>
        <w:rPr>
          <w:rFonts w:ascii="Arial" w:hAnsi="Arial" w:cs="Arial"/>
          <w:b/>
          <w:bCs/>
          <w:color w:val="000000" w:themeColor="text1"/>
          <w:sz w:val="24"/>
          <w:szCs w:val="24"/>
        </w:rPr>
      </w:pPr>
      <w:r w:rsidRPr="00380524">
        <w:rPr>
          <w:rFonts w:ascii="Arial" w:hAnsi="Arial" w:cs="Arial"/>
          <w:b/>
          <w:bCs/>
          <w:color w:val="000000" w:themeColor="text1"/>
          <w:sz w:val="24"/>
          <w:szCs w:val="24"/>
        </w:rPr>
        <w:t xml:space="preserve">             2.3 State: the current condition of the creator economy</w:t>
      </w:r>
    </w:p>
    <w:p w14:paraId="7DA57163" w14:textId="77777777" w:rsidR="00166596" w:rsidRPr="006540E8" w:rsidRDefault="00166596" w:rsidP="00166596">
      <w:pPr>
        <w:spacing w:line="360" w:lineRule="auto"/>
        <w:jc w:val="both"/>
        <w:rPr>
          <w:rFonts w:ascii="Arial" w:hAnsi="Arial" w:cs="Arial"/>
        </w:rPr>
      </w:pPr>
      <w:r w:rsidRPr="006540E8">
        <w:rPr>
          <w:rFonts w:ascii="Arial" w:hAnsi="Arial" w:cs="Arial"/>
        </w:rPr>
        <w:t xml:space="preserve">The industry combines global reach with unequal monetisation and uncertain durability. Ofcom’s Online Nation 2025 report contextualises UK online use (Ofcom, 2025), but audience size is not a financial result. Social Blade’s </w:t>
      </w:r>
      <w:proofErr w:type="spellStart"/>
      <w:r w:rsidRPr="006540E8">
        <w:rPr>
          <w:rFonts w:ascii="Arial" w:hAnsi="Arial" w:cs="Arial"/>
        </w:rPr>
        <w:t>IShowSpeed</w:t>
      </w:r>
      <w:proofErr w:type="spellEnd"/>
      <w:r w:rsidRPr="006540E8">
        <w:rPr>
          <w:rFonts w:ascii="Arial" w:hAnsi="Arial" w:cs="Arial"/>
        </w:rPr>
        <w:t xml:space="preserve"> charts show variation in estimated monthly views and subscriber gains (Appendix E); spikes </w:t>
      </w:r>
      <w:r w:rsidRPr="006540E8">
        <w:rPr>
          <w:rFonts w:ascii="Arial" w:hAnsi="Arial" w:cs="Arial"/>
        </w:rPr>
        <w:lastRenderedPageBreak/>
        <w:t>do not establish income, loyalty or profitability. The three cases are illustrative rather than representative, and third-party audience estimates are approximate.</w:t>
      </w:r>
    </w:p>
    <w:p w14:paraId="4EFBD06F" w14:textId="77777777" w:rsidR="00166596" w:rsidRPr="006540E8" w:rsidRDefault="00166596" w:rsidP="00166596">
      <w:pPr>
        <w:spacing w:line="360" w:lineRule="auto"/>
        <w:jc w:val="both"/>
        <w:rPr>
          <w:rFonts w:ascii="Arial" w:hAnsi="Arial" w:cs="Arial"/>
        </w:rPr>
      </w:pPr>
      <w:r w:rsidRPr="006540E8">
        <w:rPr>
          <w:rFonts w:ascii="Arial" w:hAnsi="Arial" w:cs="Arial"/>
        </w:rPr>
        <w:t xml:space="preserve">The cases show how business models shape resilience. In September 2024, </w:t>
      </w:r>
      <w:proofErr w:type="spellStart"/>
      <w:r w:rsidRPr="006540E8">
        <w:rPr>
          <w:rFonts w:ascii="Arial" w:hAnsi="Arial" w:cs="Arial"/>
        </w:rPr>
        <w:t>IShowSpeed’s</w:t>
      </w:r>
      <w:proofErr w:type="spellEnd"/>
      <w:r w:rsidRPr="006540E8">
        <w:rPr>
          <w:rFonts w:ascii="Arial" w:hAnsi="Arial" w:cs="Arial"/>
        </w:rPr>
        <w:t xml:space="preserve"> Singapore livestream ended after he was told he could not livestream on a theme-park ride, illustrating how venue rules can interrupt output (CNA, 2024). Huda Kattan launched Huda Beauty’s first false-eyelash product in 2013 and reportedly rejected a $1.5 million offer for a 60% stake in 2014, showing early traction and a choice to retain control (Business of Fashion, 2019). The Diary of a CEO reached one billion combined views and listens across platforms in November 2024, demonstrating multi-platform distribution, although the figure was company-reported (Bartlett, 2024).</w:t>
      </w:r>
    </w:p>
    <w:p w14:paraId="2D781AB3" w14:textId="77777777" w:rsidR="00166596" w:rsidRPr="006540E8" w:rsidRDefault="00166596" w:rsidP="00166596">
      <w:pPr>
        <w:spacing w:line="360" w:lineRule="auto"/>
        <w:jc w:val="both"/>
        <w:rPr>
          <w:rFonts w:ascii="Arial" w:hAnsi="Arial" w:cs="Arial"/>
        </w:rPr>
      </w:pPr>
      <w:r w:rsidRPr="006540E8">
        <w:rPr>
          <w:rFonts w:ascii="Arial" w:hAnsi="Arial" w:cs="Arial"/>
        </w:rPr>
        <w:t>The industry is promising but fragile. Technology lowers costs but increases saturation; commercial pressure can encourage hidden promotion; regulation adds compliance work while potentially strengthening confidence. These STEEPLE factors overlap: AI is technological but also raises ethical questions about authenticity, legal questions about intellectual property and economic questions about production costs. Resilience depends on revenue control, customer relationships and reputation.</w:t>
      </w:r>
    </w:p>
    <w:p w14:paraId="2B5AADCC" w14:textId="50CA2BEC" w:rsidR="00380524" w:rsidRPr="00380524" w:rsidRDefault="00455438" w:rsidP="00380524">
      <w:pPr>
        <w:spacing w:line="360" w:lineRule="auto"/>
        <w:jc w:val="both"/>
        <w:rPr>
          <w:rFonts w:ascii="Arial" w:hAnsi="Arial" w:cs="Arial"/>
          <w:b/>
          <w:bCs/>
        </w:rPr>
      </w:pPr>
      <w:r w:rsidRPr="00380524">
        <w:rPr>
          <w:rFonts w:ascii="Arial" w:hAnsi="Arial" w:cs="Arial"/>
          <w:b/>
          <w:bCs/>
        </w:rPr>
        <w:t xml:space="preserve">              2.4 Impacts: economic, social and environmental consequences</w:t>
      </w:r>
    </w:p>
    <w:p w14:paraId="63392BAA" w14:textId="77777777" w:rsidR="00166596" w:rsidRPr="006540E8" w:rsidRDefault="00166596" w:rsidP="00166596">
      <w:pPr>
        <w:spacing w:line="360" w:lineRule="auto"/>
        <w:jc w:val="both"/>
        <w:rPr>
          <w:rFonts w:ascii="Arial" w:hAnsi="Arial" w:cs="Arial"/>
        </w:rPr>
      </w:pPr>
      <w:r w:rsidRPr="006540E8">
        <w:rPr>
          <w:rFonts w:ascii="Arial" w:hAnsi="Arial" w:cs="Arial"/>
        </w:rPr>
        <w:t xml:space="preserve">The creator economy supports entrepreneurship, cultural participation and new routes to market (Cunningham and Craig, 2019), but rewards are </w:t>
      </w:r>
      <w:proofErr w:type="gramStart"/>
      <w:r w:rsidRPr="006540E8">
        <w:rPr>
          <w:rFonts w:ascii="Arial" w:hAnsi="Arial" w:cs="Arial"/>
        </w:rPr>
        <w:t>uneven</w:t>
      </w:r>
      <w:proofErr w:type="gramEnd"/>
      <w:r w:rsidRPr="006540E8">
        <w:rPr>
          <w:rFonts w:ascii="Arial" w:hAnsi="Arial" w:cs="Arial"/>
        </w:rPr>
        <w:t xml:space="preserve"> and visibility can intensify competition and emotional labour (Duffy, 2017; Marwick, 2013). Parasocial relationships and credibility influence purchase intentions (Sokolova and </w:t>
      </w:r>
      <w:proofErr w:type="spellStart"/>
      <w:r w:rsidRPr="006540E8">
        <w:rPr>
          <w:rFonts w:ascii="Arial" w:hAnsi="Arial" w:cs="Arial"/>
        </w:rPr>
        <w:t>Kefi</w:t>
      </w:r>
      <w:proofErr w:type="spellEnd"/>
      <w:r w:rsidRPr="006540E8">
        <w:rPr>
          <w:rFonts w:ascii="Arial" w:hAnsi="Arial" w:cs="Arial"/>
        </w:rPr>
        <w:t>, 2020), making disclosure essential.</w:t>
      </w:r>
    </w:p>
    <w:p w14:paraId="234D14B1" w14:textId="77777777" w:rsidR="00166596" w:rsidRPr="006540E8" w:rsidRDefault="00166596" w:rsidP="00166596">
      <w:pPr>
        <w:spacing w:line="360" w:lineRule="auto"/>
        <w:jc w:val="both"/>
        <w:rPr>
          <w:rFonts w:ascii="Arial" w:hAnsi="Arial" w:cs="Arial"/>
        </w:rPr>
      </w:pPr>
      <w:r w:rsidRPr="006540E8">
        <w:rPr>
          <w:rFonts w:ascii="Arial" w:hAnsi="Arial" w:cs="Arial"/>
        </w:rPr>
        <w:t>Streaming, storage and AI production rely on energy-consuming networks, devices and data centres. A life-cycle assessment of digital content consumption shows that impacts arise across end-user devices, data centres and transmission networks, and that the scale varies with infrastructure and electricity sources (Istrate et al., 2024). Without creator-specific lifecycle data, the footprint of the creators examined here cannot be quantified confidently. The report distinguishes observable reach metrics from outcomes the available evidence cannot establish.</w:t>
      </w:r>
    </w:p>
    <w:p w14:paraId="5F1F8E69" w14:textId="77777777" w:rsidR="00166596" w:rsidRPr="006540E8" w:rsidRDefault="00166596" w:rsidP="00166596">
      <w:pPr>
        <w:spacing w:line="360" w:lineRule="auto"/>
        <w:jc w:val="both"/>
        <w:rPr>
          <w:rFonts w:ascii="Arial" w:hAnsi="Arial" w:cs="Arial"/>
        </w:rPr>
      </w:pPr>
      <w:r w:rsidRPr="006540E8">
        <w:rPr>
          <w:rFonts w:ascii="Arial" w:hAnsi="Arial" w:cs="Arial"/>
        </w:rPr>
        <w:lastRenderedPageBreak/>
        <w:t>DPSIR links the frameworks causally: STEEPLE’s digital and commercial changes are drivers; platform dependence, competition and compliance are pressures; Appendix B’s unequal monetisation and platform dependence describe the industry’s state; impacts include opportunity, insecurity and trust risks; responses include diversification and transparent promotion (Appendices A–C). Responses may reduce, but cannot eliminate, market risk.</w:t>
      </w:r>
    </w:p>
    <w:p w14:paraId="39E5476D" w14:textId="77777777" w:rsidR="00380524" w:rsidRPr="00380524" w:rsidRDefault="00380524" w:rsidP="00380524">
      <w:pPr>
        <w:spacing w:line="360" w:lineRule="auto"/>
        <w:jc w:val="both"/>
        <w:rPr>
          <w:rFonts w:ascii="Arial" w:hAnsi="Arial" w:cs="Arial"/>
        </w:rPr>
      </w:pPr>
    </w:p>
    <w:p w14:paraId="0647B759" w14:textId="7703DB24" w:rsidR="00380524" w:rsidRPr="00380524" w:rsidRDefault="00455438" w:rsidP="00380524">
      <w:pPr>
        <w:pStyle w:val="Heading2"/>
        <w:spacing w:line="360" w:lineRule="auto"/>
        <w:jc w:val="both"/>
        <w:rPr>
          <w:rFonts w:ascii="Arial" w:hAnsi="Arial" w:cs="Arial"/>
          <w:b/>
          <w:bCs/>
          <w:color w:val="000000" w:themeColor="text1"/>
          <w:sz w:val="24"/>
          <w:szCs w:val="24"/>
        </w:rPr>
      </w:pPr>
      <w:r w:rsidRPr="00380524">
        <w:rPr>
          <w:rFonts w:ascii="Arial" w:hAnsi="Arial" w:cs="Arial"/>
          <w:b/>
          <w:bCs/>
          <w:color w:val="000000" w:themeColor="text1"/>
          <w:sz w:val="24"/>
          <w:szCs w:val="24"/>
        </w:rPr>
        <w:t xml:space="preserve">            2.5 Responses: adapting to external change</w:t>
      </w:r>
    </w:p>
    <w:p w14:paraId="7B1B3F58" w14:textId="77777777" w:rsidR="00166596" w:rsidRPr="006540E8" w:rsidRDefault="00166596" w:rsidP="00166596">
      <w:pPr>
        <w:spacing w:line="360" w:lineRule="auto"/>
        <w:jc w:val="both"/>
        <w:rPr>
          <w:rFonts w:ascii="Arial" w:hAnsi="Arial" w:cs="Arial"/>
        </w:rPr>
      </w:pPr>
      <w:r w:rsidRPr="006540E8">
        <w:rPr>
          <w:rFonts w:ascii="Arial" w:hAnsi="Arial" w:cs="Arial"/>
        </w:rPr>
        <w:t>Industry responses include cross-platform distribution, subscriptions, merchandise, licensing, creator-owned products and paid communities. These can reduce dependence on one income source but add costs. As business models determine how innovation captures value (Teece, 2010), diversification should fit the creator’s capabilities rather than be treated as a universal formula.</w:t>
      </w:r>
    </w:p>
    <w:p w14:paraId="5F5A0156" w14:textId="77777777" w:rsidR="00166596" w:rsidRPr="006540E8" w:rsidRDefault="00166596" w:rsidP="00166596">
      <w:pPr>
        <w:spacing w:line="360" w:lineRule="auto"/>
        <w:jc w:val="both"/>
        <w:rPr>
          <w:rFonts w:ascii="Arial" w:hAnsi="Arial" w:cs="Arial"/>
        </w:rPr>
      </w:pPr>
      <w:r w:rsidRPr="006540E8">
        <w:rPr>
          <w:rFonts w:ascii="Arial" w:hAnsi="Arial" w:cs="Arial"/>
        </w:rPr>
        <w:t>Creators and brands can label advertising clearly, check product claims, document sponsorships and correct errors (ASA, 2023; CMA, 2025a; CMA, 2025b). Appendix B shows the tension: direct audience access is a strength, but third-party distribution can make it a weakness. Section 4 sets out specific actions.</w:t>
      </w:r>
    </w:p>
    <w:p w14:paraId="35518285" w14:textId="77777777" w:rsidR="00455438" w:rsidRPr="00380524" w:rsidRDefault="00455438" w:rsidP="00380524">
      <w:pPr>
        <w:spacing w:line="360" w:lineRule="auto"/>
        <w:jc w:val="both"/>
        <w:rPr>
          <w:rFonts w:ascii="Arial" w:hAnsi="Arial" w:cs="Arial"/>
        </w:rPr>
      </w:pPr>
    </w:p>
    <w:p w14:paraId="0D51D258" w14:textId="77777777" w:rsidR="00380524" w:rsidRPr="00380524" w:rsidRDefault="00455438" w:rsidP="00380524">
      <w:pPr>
        <w:pStyle w:val="ListParagraph"/>
        <w:numPr>
          <w:ilvl w:val="0"/>
          <w:numId w:val="13"/>
        </w:numPr>
        <w:spacing w:line="360" w:lineRule="auto"/>
        <w:jc w:val="both"/>
        <w:rPr>
          <w:rFonts w:ascii="Arial" w:hAnsi="Arial" w:cs="Arial"/>
          <w:color w:val="000000" w:themeColor="text1"/>
        </w:rPr>
      </w:pPr>
      <w:r w:rsidRPr="00380524">
        <w:rPr>
          <w:rFonts w:ascii="Arial" w:hAnsi="Arial" w:cs="Arial"/>
          <w:b/>
          <w:bCs/>
          <w:color w:val="000000" w:themeColor="text1"/>
        </w:rPr>
        <w:t>FUTURE LENS</w:t>
      </w:r>
      <w:r w:rsidR="00380524" w:rsidRPr="00380524">
        <w:rPr>
          <w:rFonts w:ascii="Arial" w:hAnsi="Arial" w:cs="Arial"/>
          <w:color w:val="000000" w:themeColor="text1"/>
        </w:rPr>
        <w:t>:</w:t>
      </w:r>
    </w:p>
    <w:p w14:paraId="1F9ED0E4" w14:textId="77777777" w:rsidR="00166596" w:rsidRPr="006540E8" w:rsidRDefault="00455438" w:rsidP="00166596">
      <w:pPr>
        <w:spacing w:line="360" w:lineRule="auto"/>
        <w:jc w:val="both"/>
        <w:rPr>
          <w:rFonts w:ascii="Arial" w:hAnsi="Arial" w:cs="Arial"/>
        </w:rPr>
      </w:pPr>
      <w:r w:rsidRPr="00380524">
        <w:rPr>
          <w:rFonts w:ascii="Arial" w:hAnsi="Arial" w:cs="Arial"/>
          <w:color w:val="000000" w:themeColor="text1"/>
        </w:rPr>
        <w:t xml:space="preserve"> </w:t>
      </w:r>
      <w:r w:rsidR="00166596" w:rsidRPr="006540E8">
        <w:rPr>
          <w:rFonts w:ascii="Arial" w:hAnsi="Arial" w:cs="Arial"/>
        </w:rPr>
        <w:t>AI-assisted production, regulation and competition are likely to shape the sector, although these remain scenarios. AI may lower editing, captioning and translation costs but increase saturation. Originality, expertise and trust may therefore matter more than volume (Peres et al., 2024). The intellectual-property questions surrounding AI training data also create a need for creators and businesses to monitor rights and provenance (OECD, 2025).</w:t>
      </w:r>
    </w:p>
    <w:p w14:paraId="2AC074E6" w14:textId="77777777" w:rsidR="00166596" w:rsidRPr="006540E8" w:rsidRDefault="00166596" w:rsidP="00166596">
      <w:pPr>
        <w:spacing w:line="360" w:lineRule="auto"/>
        <w:jc w:val="both"/>
        <w:rPr>
          <w:rFonts w:ascii="Arial" w:hAnsi="Arial" w:cs="Arial"/>
        </w:rPr>
      </w:pPr>
      <w:r w:rsidRPr="006540E8">
        <w:rPr>
          <w:rFonts w:ascii="Arial" w:hAnsi="Arial" w:cs="Arial"/>
        </w:rPr>
        <w:t>Synthetic media may intensify questions about provenance, disclosure and intellectual property. The OECD (2025) identifies data scraping for AI training as a source of intellectual-property and rights concerns. Platform governance will continue to affect moderation and visibility (Gillespie, 2018). Regulation creates compliance work but may also help audiences identify commercial content and improve confidence.</w:t>
      </w:r>
    </w:p>
    <w:p w14:paraId="34516CA1" w14:textId="77777777" w:rsidR="00166596" w:rsidRPr="006540E8" w:rsidRDefault="00166596" w:rsidP="00166596">
      <w:pPr>
        <w:spacing w:line="360" w:lineRule="auto"/>
        <w:jc w:val="both"/>
        <w:rPr>
          <w:rFonts w:ascii="Arial" w:hAnsi="Arial" w:cs="Arial"/>
        </w:rPr>
      </w:pPr>
      <w:r w:rsidRPr="006540E8">
        <w:rPr>
          <w:rFonts w:ascii="Arial" w:hAnsi="Arial" w:cs="Arial"/>
        </w:rPr>
        <w:lastRenderedPageBreak/>
        <w:t xml:space="preserve">Saturation favours creators able to build value beyond one feed. Huda Kattan’s product model can connect audience identity with owned products but adds operational risk; Bartlett’s podcast supports multi-format distribution; </w:t>
      </w:r>
      <w:proofErr w:type="spellStart"/>
      <w:r w:rsidRPr="006540E8">
        <w:rPr>
          <w:rFonts w:ascii="Arial" w:hAnsi="Arial" w:cs="Arial"/>
        </w:rPr>
        <w:t>IShowSpeed</w:t>
      </w:r>
      <w:proofErr w:type="spellEnd"/>
      <w:r w:rsidRPr="006540E8">
        <w:rPr>
          <w:rFonts w:ascii="Arial" w:hAnsi="Arial" w:cs="Arial"/>
        </w:rPr>
        <w:t xml:space="preserve"> remains tied to live entertainment. The most resilient model is not universally a brand or podcast, but one combining audience fit, diversified revenue, repeat value and operational capability.</w:t>
      </w:r>
    </w:p>
    <w:p w14:paraId="32C1247F" w14:textId="77777777" w:rsidR="00166596" w:rsidRPr="006540E8" w:rsidRDefault="00166596" w:rsidP="00166596">
      <w:pPr>
        <w:spacing w:line="360" w:lineRule="auto"/>
        <w:jc w:val="both"/>
        <w:rPr>
          <w:rFonts w:ascii="Arial" w:hAnsi="Arial" w:cs="Arial"/>
        </w:rPr>
      </w:pPr>
    </w:p>
    <w:p w14:paraId="36A1E4F8" w14:textId="77777777" w:rsidR="00166596" w:rsidRPr="006540E8" w:rsidRDefault="00166596" w:rsidP="00166596">
      <w:pPr>
        <w:spacing w:line="360" w:lineRule="auto"/>
        <w:jc w:val="both"/>
        <w:rPr>
          <w:rFonts w:ascii="Arial" w:hAnsi="Arial" w:cs="Arial"/>
        </w:rPr>
      </w:pPr>
      <w:r w:rsidRPr="006540E8">
        <w:rPr>
          <w:rFonts w:ascii="Arial" w:hAnsi="Arial" w:cs="Arial"/>
        </w:rPr>
        <w:t>These scenarios depend on consumer behaviour, platform policy and creators’ capacity to adapt; Appendix E compares implications across models.</w:t>
      </w:r>
    </w:p>
    <w:p w14:paraId="40FCF019" w14:textId="7BD9C6D9" w:rsidR="00455438" w:rsidRPr="00380524" w:rsidRDefault="00455438" w:rsidP="00166596">
      <w:pPr>
        <w:spacing w:line="360" w:lineRule="auto"/>
        <w:jc w:val="both"/>
        <w:rPr>
          <w:rFonts w:ascii="Arial" w:hAnsi="Arial" w:cs="Arial"/>
          <w:color w:val="000000" w:themeColor="text1"/>
        </w:rPr>
      </w:pPr>
    </w:p>
    <w:p w14:paraId="68CE7AED" w14:textId="77777777" w:rsidR="00380524" w:rsidRPr="00380524" w:rsidRDefault="00380524" w:rsidP="00380524">
      <w:pPr>
        <w:spacing w:line="360" w:lineRule="auto"/>
        <w:jc w:val="both"/>
        <w:rPr>
          <w:rFonts w:ascii="Arial" w:hAnsi="Arial" w:cs="Arial"/>
          <w:color w:val="000000" w:themeColor="text1"/>
        </w:rPr>
      </w:pPr>
    </w:p>
    <w:p w14:paraId="6AE86E89" w14:textId="3E9E4462" w:rsidR="00380524" w:rsidRPr="00380524" w:rsidRDefault="00380524" w:rsidP="00380524">
      <w:pPr>
        <w:pStyle w:val="ListParagraph"/>
        <w:numPr>
          <w:ilvl w:val="0"/>
          <w:numId w:val="13"/>
        </w:numPr>
        <w:spacing w:line="360" w:lineRule="auto"/>
        <w:jc w:val="both"/>
        <w:rPr>
          <w:rFonts w:ascii="Arial" w:hAnsi="Arial" w:cs="Arial"/>
          <w:b/>
          <w:bCs/>
          <w:color w:val="000000" w:themeColor="text1"/>
        </w:rPr>
      </w:pPr>
      <w:r w:rsidRPr="00380524">
        <w:rPr>
          <w:rFonts w:ascii="Arial" w:hAnsi="Arial" w:cs="Arial"/>
          <w:b/>
          <w:bCs/>
          <w:color w:val="000000" w:themeColor="text1"/>
        </w:rPr>
        <w:t xml:space="preserve">Recommendations </w:t>
      </w:r>
    </w:p>
    <w:p w14:paraId="0334ADD6" w14:textId="77777777" w:rsidR="00380524" w:rsidRPr="00380524" w:rsidRDefault="00380524" w:rsidP="00380524">
      <w:pPr>
        <w:pStyle w:val="ListParagraph"/>
        <w:spacing w:line="360" w:lineRule="auto"/>
        <w:jc w:val="both"/>
        <w:rPr>
          <w:rFonts w:ascii="Arial" w:hAnsi="Arial" w:cs="Arial"/>
          <w:b/>
          <w:bCs/>
          <w:color w:val="000000" w:themeColor="text1"/>
        </w:rPr>
      </w:pPr>
    </w:p>
    <w:p w14:paraId="31A4D283" w14:textId="23FECED7" w:rsidR="00166596" w:rsidRPr="006540E8" w:rsidRDefault="00380524" w:rsidP="00166596">
      <w:pPr>
        <w:spacing w:line="360" w:lineRule="auto"/>
        <w:jc w:val="both"/>
        <w:rPr>
          <w:rFonts w:ascii="Arial" w:hAnsi="Arial" w:cs="Arial"/>
        </w:rPr>
      </w:pPr>
      <w:r w:rsidRPr="00380524">
        <w:rPr>
          <w:rFonts w:ascii="Arial" w:hAnsi="Arial" w:cs="Arial"/>
          <w:b/>
          <w:bCs/>
          <w:color w:val="000000" w:themeColor="text1"/>
        </w:rPr>
        <w:t>Recommendation 1</w:t>
      </w:r>
      <w:r w:rsidRPr="00380524">
        <w:rPr>
          <w:rFonts w:ascii="Arial" w:hAnsi="Arial" w:cs="Arial"/>
          <w:color w:val="000000" w:themeColor="text1"/>
        </w:rPr>
        <w:t>:</w:t>
      </w:r>
      <w:r w:rsidR="00166596">
        <w:rPr>
          <w:rFonts w:ascii="Arial" w:hAnsi="Arial" w:cs="Arial"/>
          <w:color w:val="000000" w:themeColor="text1"/>
        </w:rPr>
        <w:t xml:space="preserve"> </w:t>
      </w:r>
      <w:r w:rsidR="00166596" w:rsidRPr="006540E8">
        <w:rPr>
          <w:rFonts w:ascii="Arial" w:hAnsi="Arial" w:cs="Arial"/>
        </w:rPr>
        <w:t xml:space="preserve">Diversify distribution and revenue. Within three months, creators and managers should map revenue by platform, identify the largest dependency and test one complementary channel or revenue stream. </w:t>
      </w:r>
      <w:r w:rsidR="000A3A03" w:rsidRPr="006540E8">
        <w:rPr>
          <w:rFonts w:ascii="Arial" w:hAnsi="Arial" w:cs="Arial"/>
        </w:rPr>
        <w:t>Live streamers</w:t>
      </w:r>
      <w:r w:rsidR="00166596" w:rsidRPr="006540E8">
        <w:rPr>
          <w:rFonts w:ascii="Arial" w:hAnsi="Arial" w:cs="Arial"/>
        </w:rPr>
        <w:t xml:space="preserve"> can repurpose clips, podcasters can distribute across audio and video, and creator-led brands can strengthen direct customer channels. Review results quarterly; success means the new channel is active, repeat audience/customer activity is tracked, and dependence on the largest source is falling.</w:t>
      </w:r>
    </w:p>
    <w:p w14:paraId="6DFEB865" w14:textId="1B2CAB0F" w:rsidR="00380524" w:rsidRPr="00380524" w:rsidRDefault="00380524" w:rsidP="00380524">
      <w:pPr>
        <w:spacing w:line="360" w:lineRule="auto"/>
        <w:jc w:val="both"/>
        <w:rPr>
          <w:rFonts w:ascii="Arial" w:hAnsi="Arial" w:cs="Arial"/>
          <w:color w:val="000000" w:themeColor="text1"/>
        </w:rPr>
      </w:pPr>
    </w:p>
    <w:p w14:paraId="0B09EC79" w14:textId="77777777" w:rsidR="00380524" w:rsidRPr="00380524" w:rsidRDefault="00380524" w:rsidP="00380524">
      <w:pPr>
        <w:pStyle w:val="ListParagraph"/>
        <w:spacing w:line="360" w:lineRule="auto"/>
        <w:jc w:val="both"/>
        <w:rPr>
          <w:rFonts w:ascii="Arial" w:hAnsi="Arial" w:cs="Arial"/>
          <w:color w:val="000000" w:themeColor="text1"/>
        </w:rPr>
      </w:pPr>
    </w:p>
    <w:p w14:paraId="4CADBD6D" w14:textId="7624D2CA" w:rsidR="00166596" w:rsidRPr="006540E8" w:rsidRDefault="00380524" w:rsidP="00166596">
      <w:pPr>
        <w:spacing w:line="360" w:lineRule="auto"/>
        <w:jc w:val="both"/>
        <w:rPr>
          <w:rFonts w:ascii="Arial" w:hAnsi="Arial" w:cs="Arial"/>
        </w:rPr>
      </w:pPr>
      <w:r w:rsidRPr="00380524">
        <w:rPr>
          <w:rFonts w:ascii="Arial" w:hAnsi="Arial" w:cs="Arial"/>
          <w:b/>
          <w:bCs/>
          <w:color w:val="000000" w:themeColor="text1"/>
        </w:rPr>
        <w:t>Recommendation 2:</w:t>
      </w:r>
      <w:r w:rsidRPr="00380524">
        <w:rPr>
          <w:rFonts w:ascii="Arial" w:hAnsi="Arial" w:cs="Arial"/>
          <w:color w:val="000000" w:themeColor="text1"/>
        </w:rPr>
        <w:t xml:space="preserve"> </w:t>
      </w:r>
      <w:r w:rsidR="00166596" w:rsidRPr="006540E8">
        <w:rPr>
          <w:rFonts w:ascii="Arial" w:hAnsi="Arial" w:cs="Arial"/>
        </w:rPr>
        <w:t xml:space="preserve">Implement a trust and compliance checklist. Within one month, creators, managers and brand partners should document sponsorship approval, advertising labels, evidence for product claims, correction procedures and moderation safeguards. </w:t>
      </w:r>
      <w:r w:rsidR="000A3A03" w:rsidRPr="006540E8">
        <w:rPr>
          <w:rFonts w:ascii="Arial" w:hAnsi="Arial" w:cs="Arial"/>
        </w:rPr>
        <w:t>Live streamers</w:t>
      </w:r>
      <w:r w:rsidR="00166596" w:rsidRPr="006540E8">
        <w:rPr>
          <w:rFonts w:ascii="Arial" w:hAnsi="Arial" w:cs="Arial"/>
        </w:rPr>
        <w:t xml:space="preserve"> need escalation rules; product businesses need claim and customer-service checks; podcasters need sponsorship labels and editorial review. Audit 10 promotional items quarterly and record the proportion with correct disclosure, the time taken to correct identified errors, and the number of substantiated complaints.</w:t>
      </w:r>
    </w:p>
    <w:p w14:paraId="4048CFE5" w14:textId="77777777" w:rsidR="00166596" w:rsidRPr="006540E8" w:rsidRDefault="00166596" w:rsidP="00166596">
      <w:pPr>
        <w:spacing w:line="360" w:lineRule="auto"/>
        <w:jc w:val="both"/>
        <w:rPr>
          <w:rFonts w:ascii="Arial" w:hAnsi="Arial" w:cs="Arial"/>
        </w:rPr>
      </w:pPr>
      <w:r w:rsidRPr="006540E8">
        <w:rPr>
          <w:rFonts w:ascii="Arial" w:hAnsi="Arial" w:cs="Arial"/>
        </w:rPr>
        <w:lastRenderedPageBreak/>
        <w:t>These actions address DPSIR pressures and Appendix B’s weaknesses and threats. Diversification is the stronger resilience strategy, provided it matches management capacity; transparent promotion is a baseline obligation.</w:t>
      </w:r>
    </w:p>
    <w:p w14:paraId="51B7B2A1" w14:textId="445C611A" w:rsidR="00380524" w:rsidRPr="00380524" w:rsidRDefault="00380524" w:rsidP="00380524">
      <w:pPr>
        <w:spacing w:line="360" w:lineRule="auto"/>
        <w:jc w:val="both"/>
        <w:rPr>
          <w:rFonts w:ascii="Arial" w:hAnsi="Arial" w:cs="Arial"/>
          <w:color w:val="000000" w:themeColor="text1"/>
        </w:rPr>
      </w:pPr>
    </w:p>
    <w:p w14:paraId="1E08BD90" w14:textId="77777777" w:rsidR="00380524" w:rsidRPr="00380524" w:rsidRDefault="00380524" w:rsidP="00380524">
      <w:pPr>
        <w:pStyle w:val="ListParagraph"/>
        <w:spacing w:line="360" w:lineRule="auto"/>
        <w:jc w:val="both"/>
        <w:rPr>
          <w:rFonts w:ascii="Arial" w:hAnsi="Arial" w:cs="Arial"/>
          <w:color w:val="000000" w:themeColor="text1"/>
        </w:rPr>
      </w:pPr>
    </w:p>
    <w:p w14:paraId="1BBEA254" w14:textId="09DE680B" w:rsidR="00380524" w:rsidRPr="00380524" w:rsidRDefault="00380524" w:rsidP="00380524">
      <w:pPr>
        <w:pStyle w:val="ListParagraph"/>
        <w:numPr>
          <w:ilvl w:val="0"/>
          <w:numId w:val="13"/>
        </w:numPr>
        <w:spacing w:line="360" w:lineRule="auto"/>
        <w:jc w:val="both"/>
        <w:rPr>
          <w:rFonts w:ascii="Arial" w:hAnsi="Arial" w:cs="Arial"/>
          <w:color w:val="000000" w:themeColor="text1"/>
        </w:rPr>
      </w:pPr>
      <w:r w:rsidRPr="00380524">
        <w:rPr>
          <w:rFonts w:ascii="Arial" w:hAnsi="Arial" w:cs="Arial"/>
          <w:b/>
          <w:bCs/>
          <w:color w:val="000000" w:themeColor="text1"/>
        </w:rPr>
        <w:t>Conclusion</w:t>
      </w:r>
    </w:p>
    <w:p w14:paraId="72C0372A" w14:textId="77777777" w:rsidR="00380524" w:rsidRDefault="00380524" w:rsidP="00380524">
      <w:pPr>
        <w:pStyle w:val="ListParagraph"/>
        <w:spacing w:line="360" w:lineRule="auto"/>
        <w:jc w:val="both"/>
        <w:rPr>
          <w:rFonts w:ascii="Arial" w:hAnsi="Arial" w:cs="Arial"/>
          <w:b/>
          <w:bCs/>
          <w:color w:val="000000" w:themeColor="text1"/>
        </w:rPr>
      </w:pPr>
    </w:p>
    <w:p w14:paraId="55539672" w14:textId="77777777" w:rsidR="00380524" w:rsidRPr="00380524" w:rsidRDefault="00380524" w:rsidP="00380524">
      <w:pPr>
        <w:pStyle w:val="ListParagraph"/>
        <w:spacing w:line="360" w:lineRule="auto"/>
        <w:jc w:val="both"/>
        <w:rPr>
          <w:rFonts w:ascii="Arial" w:hAnsi="Arial" w:cs="Arial"/>
          <w:color w:val="000000" w:themeColor="text1"/>
        </w:rPr>
      </w:pPr>
    </w:p>
    <w:p w14:paraId="65D5C421" w14:textId="77777777" w:rsidR="00D55F68" w:rsidRPr="006540E8" w:rsidRDefault="00D55F68" w:rsidP="00D55F68">
      <w:pPr>
        <w:spacing w:line="360" w:lineRule="auto"/>
        <w:jc w:val="both"/>
        <w:rPr>
          <w:rFonts w:ascii="Arial" w:hAnsi="Arial" w:cs="Arial"/>
        </w:rPr>
      </w:pPr>
      <w:r w:rsidRPr="006540E8">
        <w:rPr>
          <w:rFonts w:ascii="Arial" w:hAnsi="Arial" w:cs="Arial"/>
        </w:rPr>
        <w:t>The creator economy offers opportunities, but platform dependence, unequal income, saturation and legal and ethical duties constrain sustainability. DPSIR shows that drivers of growth also create risk. Creator-owned products offer the greatest potential to retain customer relationships and capture repeat value, but only where product quality and operations are strong. For creators without that capability, diversified media or subscriptions may be more resilient than launching products. Across models, diversification and trust are priorities.</w:t>
      </w:r>
    </w:p>
    <w:p w14:paraId="00F3B404" w14:textId="77777777" w:rsidR="00380524" w:rsidRDefault="00380524" w:rsidP="00380524">
      <w:pPr>
        <w:spacing w:line="360" w:lineRule="auto"/>
        <w:jc w:val="both"/>
        <w:rPr>
          <w:rFonts w:ascii="Arial" w:hAnsi="Arial" w:cs="Arial"/>
        </w:rPr>
      </w:pPr>
    </w:p>
    <w:p w14:paraId="059B0FD8" w14:textId="77777777" w:rsidR="00380524" w:rsidRDefault="00380524" w:rsidP="00380524">
      <w:pPr>
        <w:spacing w:line="360" w:lineRule="auto"/>
        <w:jc w:val="both"/>
        <w:rPr>
          <w:rFonts w:ascii="Arial" w:hAnsi="Arial" w:cs="Arial"/>
        </w:rPr>
      </w:pPr>
    </w:p>
    <w:p w14:paraId="3C9D4CF3" w14:textId="77777777" w:rsidR="00380524" w:rsidRDefault="00380524" w:rsidP="00380524">
      <w:pPr>
        <w:spacing w:line="360" w:lineRule="auto"/>
        <w:jc w:val="both"/>
        <w:rPr>
          <w:rFonts w:ascii="Arial" w:hAnsi="Arial" w:cs="Arial"/>
        </w:rPr>
      </w:pPr>
    </w:p>
    <w:p w14:paraId="315F9368" w14:textId="77777777" w:rsidR="00380524" w:rsidRDefault="00380524" w:rsidP="00380524">
      <w:pPr>
        <w:spacing w:line="360" w:lineRule="auto"/>
        <w:jc w:val="both"/>
        <w:rPr>
          <w:rFonts w:ascii="Arial" w:hAnsi="Arial" w:cs="Arial"/>
        </w:rPr>
      </w:pPr>
    </w:p>
    <w:p w14:paraId="299650B3" w14:textId="71324630" w:rsidR="00380524" w:rsidRDefault="00A9241C" w:rsidP="00380524">
      <w:pPr>
        <w:spacing w:line="360" w:lineRule="auto"/>
        <w:jc w:val="both"/>
        <w:rPr>
          <w:rFonts w:ascii="Arial" w:hAnsi="Arial" w:cs="Arial"/>
          <w:b/>
          <w:bCs/>
          <w:sz w:val="28"/>
          <w:szCs w:val="28"/>
        </w:rPr>
      </w:pPr>
      <w:r>
        <w:rPr>
          <w:rFonts w:ascii="Arial" w:hAnsi="Arial" w:cs="Arial"/>
          <w:b/>
          <w:bCs/>
          <w:sz w:val="28"/>
          <w:szCs w:val="28"/>
        </w:rPr>
        <w:t xml:space="preserve">10. </w:t>
      </w:r>
      <w:r w:rsidR="00380524" w:rsidRPr="00380524">
        <w:rPr>
          <w:rFonts w:ascii="Arial" w:hAnsi="Arial" w:cs="Arial"/>
          <w:b/>
          <w:bCs/>
          <w:sz w:val="28"/>
          <w:szCs w:val="28"/>
        </w:rPr>
        <w:t xml:space="preserve">Full Harvard reference </w:t>
      </w:r>
      <w:proofErr w:type="gramStart"/>
      <w:r w:rsidR="00380524" w:rsidRPr="00380524">
        <w:rPr>
          <w:rFonts w:ascii="Arial" w:hAnsi="Arial" w:cs="Arial"/>
          <w:b/>
          <w:bCs/>
          <w:sz w:val="28"/>
          <w:szCs w:val="28"/>
        </w:rPr>
        <w:t>list :</w:t>
      </w:r>
      <w:proofErr w:type="gramEnd"/>
      <w:r w:rsidR="00380524" w:rsidRPr="00380524">
        <w:rPr>
          <w:rFonts w:ascii="Arial" w:hAnsi="Arial" w:cs="Arial"/>
          <w:b/>
          <w:bCs/>
          <w:sz w:val="28"/>
          <w:szCs w:val="28"/>
        </w:rPr>
        <w:t xml:space="preserve"> </w:t>
      </w:r>
    </w:p>
    <w:p w14:paraId="4C69FCC0" w14:textId="77777777" w:rsidR="00380524" w:rsidRPr="00380524" w:rsidRDefault="00380524" w:rsidP="00380524">
      <w:pPr>
        <w:spacing w:line="360" w:lineRule="auto"/>
        <w:rPr>
          <w:rFonts w:ascii="Arial" w:hAnsi="Arial" w:cs="Arial"/>
        </w:rPr>
      </w:pPr>
      <w:r w:rsidRPr="00380524">
        <w:rPr>
          <w:rFonts w:ascii="Arial" w:hAnsi="Arial" w:cs="Arial"/>
        </w:rPr>
        <w:t>Abidin, C. (2016) ‘</w:t>
      </w:r>
      <w:r w:rsidRPr="00380524">
        <w:rPr>
          <w:rFonts w:ascii="Arial" w:hAnsi="Arial" w:cs="Arial"/>
          <w:i/>
          <w:iCs/>
        </w:rPr>
        <w:t>Visibility labour: Engaging with influencers’ fashion brands and #OOTD advertorial campaigns on Instagram’, Media International Australia,</w:t>
      </w:r>
      <w:r w:rsidRPr="00380524">
        <w:rPr>
          <w:rFonts w:ascii="Arial" w:hAnsi="Arial" w:cs="Arial"/>
        </w:rPr>
        <w:t xml:space="preserve"> 161(1), pp. 86–100. Available at: </w:t>
      </w:r>
      <w:hyperlink r:id="rId6" w:history="1">
        <w:r w:rsidRPr="00380524">
          <w:rPr>
            <w:rStyle w:val="Hyperlink"/>
            <w:rFonts w:ascii="Arial" w:hAnsi="Arial" w:cs="Arial"/>
          </w:rPr>
          <w:t>https://doi.org/10.1177/1329878X16665177</w:t>
        </w:r>
      </w:hyperlink>
      <w:r w:rsidRPr="00380524">
        <w:rPr>
          <w:rFonts w:ascii="Arial" w:hAnsi="Arial" w:cs="Arial"/>
        </w:rPr>
        <w:t xml:space="preserve"> </w:t>
      </w:r>
    </w:p>
    <w:p w14:paraId="191223CD" w14:textId="77777777" w:rsidR="00380524" w:rsidRPr="00380524" w:rsidRDefault="00380524" w:rsidP="00380524">
      <w:pPr>
        <w:spacing w:line="360" w:lineRule="auto"/>
        <w:rPr>
          <w:rFonts w:ascii="Arial" w:hAnsi="Arial" w:cs="Arial"/>
        </w:rPr>
      </w:pPr>
      <w:r w:rsidRPr="00380524">
        <w:rPr>
          <w:rFonts w:ascii="Arial" w:hAnsi="Arial" w:cs="Arial"/>
        </w:rPr>
        <w:t xml:space="preserve">Abidin, C. (2018) </w:t>
      </w:r>
      <w:r w:rsidRPr="00380524">
        <w:rPr>
          <w:rFonts w:ascii="Arial" w:hAnsi="Arial" w:cs="Arial"/>
          <w:i/>
          <w:iCs/>
        </w:rPr>
        <w:t>Internet Celebrity: Understanding Fame Online.</w:t>
      </w:r>
      <w:r w:rsidRPr="00380524">
        <w:rPr>
          <w:rFonts w:ascii="Arial" w:hAnsi="Arial" w:cs="Arial"/>
        </w:rPr>
        <w:t xml:space="preserve"> Bingley: Emerald Publishing.</w:t>
      </w:r>
    </w:p>
    <w:p w14:paraId="67F41EFA" w14:textId="14B5DFFE" w:rsidR="00380524" w:rsidRPr="00380524" w:rsidRDefault="00380524" w:rsidP="00380524">
      <w:pPr>
        <w:spacing w:line="360" w:lineRule="auto"/>
        <w:rPr>
          <w:rFonts w:ascii="Arial" w:hAnsi="Arial" w:cs="Arial"/>
        </w:rPr>
      </w:pPr>
      <w:r w:rsidRPr="00380524">
        <w:rPr>
          <w:rFonts w:ascii="Arial" w:hAnsi="Arial" w:cs="Arial"/>
        </w:rPr>
        <w:t xml:space="preserve">Advertising Standards Authority (ASA) (2023) Influencers’ guide to making clear that ads are ads. Available at: </w:t>
      </w:r>
      <w:hyperlink r:id="rId7" w:history="1">
        <w:r w:rsidRPr="00380524">
          <w:rPr>
            <w:rStyle w:val="Hyperlink"/>
            <w:rFonts w:ascii="Arial" w:hAnsi="Arial" w:cs="Arial"/>
          </w:rPr>
          <w:t>https://www.asa.org.uk/resource/influencers-guide.html</w:t>
        </w:r>
      </w:hyperlink>
      <w:r w:rsidRPr="00380524">
        <w:rPr>
          <w:rFonts w:ascii="Arial" w:hAnsi="Arial" w:cs="Arial"/>
        </w:rPr>
        <w:t xml:space="preserve">  (Accessed: </w:t>
      </w:r>
      <w:r>
        <w:rPr>
          <w:rFonts w:ascii="Arial" w:hAnsi="Arial" w:cs="Arial"/>
        </w:rPr>
        <w:t>18</w:t>
      </w:r>
      <w:r w:rsidRPr="00380524">
        <w:rPr>
          <w:rFonts w:ascii="Arial" w:hAnsi="Arial" w:cs="Arial"/>
        </w:rPr>
        <w:t xml:space="preserve"> October 2026).</w:t>
      </w:r>
    </w:p>
    <w:p w14:paraId="1B553CCE" w14:textId="6E82CADA" w:rsidR="00380524" w:rsidRPr="00380524" w:rsidRDefault="00380524" w:rsidP="00380524">
      <w:pPr>
        <w:spacing w:line="360" w:lineRule="auto"/>
        <w:rPr>
          <w:rFonts w:ascii="Arial" w:hAnsi="Arial" w:cs="Arial"/>
        </w:rPr>
      </w:pPr>
      <w:r w:rsidRPr="00380524">
        <w:rPr>
          <w:rFonts w:ascii="Arial" w:hAnsi="Arial" w:cs="Arial"/>
        </w:rPr>
        <w:lastRenderedPageBreak/>
        <w:t xml:space="preserve">Advertising Standards Authority (ASA) (2025) </w:t>
      </w:r>
      <w:r w:rsidRPr="00380524">
        <w:rPr>
          <w:rFonts w:ascii="Arial" w:hAnsi="Arial" w:cs="Arial"/>
          <w:i/>
          <w:iCs/>
        </w:rPr>
        <w:t>Influencer ad disclosure on social media: Instagram and TikTok report</w:t>
      </w:r>
      <w:r w:rsidRPr="00380524">
        <w:rPr>
          <w:rFonts w:ascii="Arial" w:hAnsi="Arial" w:cs="Arial"/>
        </w:rPr>
        <w:t xml:space="preserve"> (2024). Available at: </w:t>
      </w:r>
      <w:hyperlink r:id="rId8" w:history="1">
        <w:r w:rsidRPr="00380524">
          <w:rPr>
            <w:rStyle w:val="Hyperlink"/>
            <w:rFonts w:ascii="Arial" w:hAnsi="Arial" w:cs="Arial"/>
          </w:rPr>
          <w:t>https://www.asa.org.uk/news/influencer-ad-disclosure-on-social-media-instagram-and-tiktok-report-2024.html</w:t>
        </w:r>
      </w:hyperlink>
      <w:r w:rsidRPr="00380524">
        <w:rPr>
          <w:rFonts w:ascii="Arial" w:hAnsi="Arial" w:cs="Arial"/>
        </w:rPr>
        <w:t xml:space="preserve">  (Accessed: 2</w:t>
      </w:r>
      <w:r>
        <w:rPr>
          <w:rFonts w:ascii="Arial" w:hAnsi="Arial" w:cs="Arial"/>
        </w:rPr>
        <w:t>0</w:t>
      </w:r>
      <w:r w:rsidRPr="00380524">
        <w:rPr>
          <w:rFonts w:ascii="Arial" w:hAnsi="Arial" w:cs="Arial"/>
        </w:rPr>
        <w:t xml:space="preserve"> October 2026).</w:t>
      </w:r>
    </w:p>
    <w:p w14:paraId="300A7877" w14:textId="77777777" w:rsidR="00380524" w:rsidRPr="00380524" w:rsidRDefault="00380524" w:rsidP="00380524">
      <w:pPr>
        <w:spacing w:line="360" w:lineRule="auto"/>
        <w:rPr>
          <w:rFonts w:ascii="Arial" w:hAnsi="Arial" w:cs="Arial"/>
        </w:rPr>
      </w:pPr>
      <w:proofErr w:type="spellStart"/>
      <w:r w:rsidRPr="00380524">
        <w:rPr>
          <w:rFonts w:ascii="Arial" w:hAnsi="Arial" w:cs="Arial"/>
        </w:rPr>
        <w:t>Audrezet</w:t>
      </w:r>
      <w:proofErr w:type="spellEnd"/>
      <w:r w:rsidRPr="00380524">
        <w:rPr>
          <w:rFonts w:ascii="Arial" w:hAnsi="Arial" w:cs="Arial"/>
        </w:rPr>
        <w:t xml:space="preserve">, A., de </w:t>
      </w:r>
      <w:proofErr w:type="spellStart"/>
      <w:r w:rsidRPr="00380524">
        <w:rPr>
          <w:rFonts w:ascii="Arial" w:hAnsi="Arial" w:cs="Arial"/>
        </w:rPr>
        <w:t>Kerviler</w:t>
      </w:r>
      <w:proofErr w:type="spellEnd"/>
      <w:r w:rsidRPr="00380524">
        <w:rPr>
          <w:rFonts w:ascii="Arial" w:hAnsi="Arial" w:cs="Arial"/>
        </w:rPr>
        <w:t xml:space="preserve">, G. and Guidry Moulard, J. (2020) ‘Authenticity under threat: When social media influencers need to go beyond self-presentation’, Journal of Business Research, 117, pp. 557–569. Available at: </w:t>
      </w:r>
      <w:hyperlink r:id="rId9" w:history="1">
        <w:r w:rsidRPr="00380524">
          <w:rPr>
            <w:rStyle w:val="Hyperlink"/>
            <w:rFonts w:ascii="Arial" w:hAnsi="Arial" w:cs="Arial"/>
          </w:rPr>
          <w:t>https://doi.org/10.1016/j.jbusres.2018.07.002</w:t>
        </w:r>
      </w:hyperlink>
      <w:r w:rsidRPr="00380524">
        <w:rPr>
          <w:rFonts w:ascii="Arial" w:hAnsi="Arial" w:cs="Arial"/>
        </w:rPr>
        <w:t xml:space="preserve"> </w:t>
      </w:r>
    </w:p>
    <w:p w14:paraId="1CBC279A" w14:textId="4907F4E9" w:rsidR="00380524" w:rsidRPr="00380524" w:rsidRDefault="00380524" w:rsidP="00380524">
      <w:pPr>
        <w:spacing w:line="360" w:lineRule="auto"/>
        <w:rPr>
          <w:rFonts w:ascii="Arial" w:hAnsi="Arial" w:cs="Arial"/>
        </w:rPr>
      </w:pPr>
      <w:r w:rsidRPr="00380524">
        <w:rPr>
          <w:rFonts w:ascii="Arial" w:hAnsi="Arial" w:cs="Arial"/>
        </w:rPr>
        <w:t xml:space="preserve">Bartlett, S. (n.d.) </w:t>
      </w:r>
      <w:r w:rsidRPr="00380524">
        <w:rPr>
          <w:rFonts w:ascii="Arial" w:hAnsi="Arial" w:cs="Arial"/>
          <w:i/>
          <w:iCs/>
        </w:rPr>
        <w:t>Steven Bartlett</w:t>
      </w:r>
      <w:r w:rsidRPr="00380524">
        <w:rPr>
          <w:rFonts w:ascii="Arial" w:hAnsi="Arial" w:cs="Arial"/>
        </w:rPr>
        <w:t xml:space="preserve"> — official website. Available at: </w:t>
      </w:r>
      <w:hyperlink r:id="rId10" w:history="1">
        <w:r w:rsidRPr="00380524">
          <w:rPr>
            <w:rStyle w:val="Hyperlink"/>
            <w:rFonts w:ascii="Arial" w:hAnsi="Arial" w:cs="Arial"/>
          </w:rPr>
          <w:t>https://stevenba</w:t>
        </w:r>
        <w:r w:rsidRPr="00380524">
          <w:rPr>
            <w:rStyle w:val="Hyperlink"/>
            <w:rFonts w:ascii="Arial" w:hAnsi="Arial" w:cs="Arial"/>
          </w:rPr>
          <w:t>r</w:t>
        </w:r>
        <w:r w:rsidRPr="00380524">
          <w:rPr>
            <w:rStyle w:val="Hyperlink"/>
            <w:rFonts w:ascii="Arial" w:hAnsi="Arial" w:cs="Arial"/>
          </w:rPr>
          <w:t>tlett.com/</w:t>
        </w:r>
      </w:hyperlink>
      <w:r w:rsidRPr="00380524">
        <w:rPr>
          <w:rFonts w:ascii="Arial" w:hAnsi="Arial" w:cs="Arial"/>
        </w:rPr>
        <w:t xml:space="preserve">  (Accessed: 2</w:t>
      </w:r>
      <w:r>
        <w:rPr>
          <w:rFonts w:ascii="Arial" w:hAnsi="Arial" w:cs="Arial"/>
        </w:rPr>
        <w:t>1</w:t>
      </w:r>
      <w:r w:rsidRPr="00380524">
        <w:rPr>
          <w:rFonts w:ascii="Arial" w:hAnsi="Arial" w:cs="Arial"/>
        </w:rPr>
        <w:t xml:space="preserve"> October 2026).</w:t>
      </w:r>
    </w:p>
    <w:p w14:paraId="79480586" w14:textId="77777777" w:rsidR="00380524" w:rsidRDefault="00380524" w:rsidP="00380524">
      <w:pPr>
        <w:spacing w:line="360" w:lineRule="auto"/>
        <w:rPr>
          <w:rFonts w:ascii="Arial" w:hAnsi="Arial" w:cs="Arial"/>
        </w:rPr>
      </w:pPr>
      <w:r w:rsidRPr="00380524">
        <w:rPr>
          <w:rFonts w:ascii="Arial" w:hAnsi="Arial" w:cs="Arial"/>
        </w:rPr>
        <w:t xml:space="preserve">Bucher, T. (2018) </w:t>
      </w:r>
      <w:r w:rsidRPr="00380524">
        <w:rPr>
          <w:rFonts w:ascii="Arial" w:hAnsi="Arial" w:cs="Arial"/>
          <w:i/>
          <w:iCs/>
        </w:rPr>
        <w:t>If...Then: Algorithmic Power and Politics</w:t>
      </w:r>
      <w:r w:rsidRPr="00380524">
        <w:rPr>
          <w:rFonts w:ascii="Arial" w:hAnsi="Arial" w:cs="Arial"/>
        </w:rPr>
        <w:t>. Oxford: Oxford University Press.</w:t>
      </w:r>
    </w:p>
    <w:p w14:paraId="337A85D4" w14:textId="5E357A24" w:rsidR="00D55F68" w:rsidRPr="00D55F68" w:rsidRDefault="00D55F68" w:rsidP="00D55F68">
      <w:pPr>
        <w:spacing w:line="360" w:lineRule="auto"/>
        <w:jc w:val="both"/>
        <w:rPr>
          <w:rFonts w:ascii="Arial" w:hAnsi="Arial" w:cs="Arial"/>
        </w:rPr>
      </w:pPr>
      <w:r w:rsidRPr="00D55F68">
        <w:rPr>
          <w:rFonts w:ascii="Arial" w:hAnsi="Arial" w:cs="Arial"/>
        </w:rPr>
        <w:t xml:space="preserve">Business of Fashion (2019) ‘Huda Kattan: </w:t>
      </w:r>
      <w:r w:rsidRPr="00D55F68">
        <w:rPr>
          <w:rFonts w:ascii="Arial" w:hAnsi="Arial" w:cs="Arial"/>
          <w:i/>
          <w:iCs/>
        </w:rPr>
        <w:t>The Face That Built a Beauty Empire’</w:t>
      </w:r>
      <w:r w:rsidRPr="00D55F68">
        <w:rPr>
          <w:rFonts w:ascii="Arial" w:hAnsi="Arial" w:cs="Arial"/>
        </w:rPr>
        <w:t xml:space="preserve">. Available at: </w:t>
      </w:r>
      <w:hyperlink r:id="rId11" w:history="1">
        <w:r w:rsidRPr="00D55F68">
          <w:rPr>
            <w:rStyle w:val="Hyperlink"/>
            <w:rFonts w:ascii="Arial" w:hAnsi="Arial" w:cs="Arial"/>
          </w:rPr>
          <w:t>https://www.businessoffashion.com/articles/beauty/huda-kattan-the-face-that-built-a-beauty-empire/</w:t>
        </w:r>
      </w:hyperlink>
      <w:r w:rsidRPr="00D55F68">
        <w:rPr>
          <w:rFonts w:ascii="Arial" w:hAnsi="Arial" w:cs="Arial"/>
        </w:rPr>
        <w:t xml:space="preserve"> </w:t>
      </w:r>
      <w:r w:rsidRPr="00D55F68">
        <w:rPr>
          <w:rFonts w:ascii="Arial" w:hAnsi="Arial" w:cs="Arial"/>
        </w:rPr>
        <w:t>(Accessed: 26 October 2026).</w:t>
      </w:r>
    </w:p>
    <w:p w14:paraId="22CAE97B" w14:textId="77777777" w:rsidR="00D55F68" w:rsidRDefault="00D55F68" w:rsidP="00D55F68"/>
    <w:p w14:paraId="57D83015" w14:textId="76FBCA6C" w:rsidR="00D55F68" w:rsidRPr="00D55F68" w:rsidRDefault="00D55F68" w:rsidP="00D55F68">
      <w:pPr>
        <w:spacing w:line="360" w:lineRule="auto"/>
        <w:rPr>
          <w:rFonts w:ascii="Arial" w:hAnsi="Arial" w:cs="Arial"/>
        </w:rPr>
      </w:pPr>
      <w:r w:rsidRPr="00D55F68">
        <w:rPr>
          <w:rFonts w:ascii="Arial" w:hAnsi="Arial" w:cs="Arial"/>
        </w:rPr>
        <w:t>Channel NewsAsia (CNA) (2024) ‘</w:t>
      </w:r>
      <w:proofErr w:type="spellStart"/>
      <w:r w:rsidRPr="00D55F68">
        <w:rPr>
          <w:rFonts w:ascii="Arial" w:hAnsi="Arial" w:cs="Arial"/>
          <w:i/>
          <w:iCs/>
        </w:rPr>
        <w:t>IShowSpeed’s</w:t>
      </w:r>
      <w:proofErr w:type="spellEnd"/>
      <w:r w:rsidRPr="00D55F68">
        <w:rPr>
          <w:rFonts w:ascii="Arial" w:hAnsi="Arial" w:cs="Arial"/>
          <w:i/>
          <w:iCs/>
        </w:rPr>
        <w:t xml:space="preserve"> Singapore livestream abruptly ends, streamer spotted in Johor hours late</w:t>
      </w:r>
      <w:r w:rsidRPr="00D55F68">
        <w:rPr>
          <w:rFonts w:ascii="Arial" w:hAnsi="Arial" w:cs="Arial"/>
        </w:rPr>
        <w:t xml:space="preserve">r’. Available at: </w:t>
      </w:r>
      <w:hyperlink r:id="rId12" w:history="1">
        <w:r w:rsidRPr="00D55F68">
          <w:rPr>
            <w:rStyle w:val="Hyperlink"/>
            <w:rFonts w:ascii="Arial" w:hAnsi="Arial" w:cs="Arial"/>
          </w:rPr>
          <w:t>https://cnalifestyle.channelnewsasia.com/entertainment/ishowspeed-singapore-livestream-407991</w:t>
        </w:r>
      </w:hyperlink>
      <w:r w:rsidRPr="00D55F68">
        <w:rPr>
          <w:rFonts w:ascii="Arial" w:hAnsi="Arial" w:cs="Arial"/>
        </w:rPr>
        <w:t xml:space="preserve"> </w:t>
      </w:r>
      <w:r w:rsidRPr="00D55F68">
        <w:rPr>
          <w:rFonts w:ascii="Arial" w:hAnsi="Arial" w:cs="Arial"/>
        </w:rPr>
        <w:t xml:space="preserve"> (Accessed: 26 October 2026).</w:t>
      </w:r>
    </w:p>
    <w:p w14:paraId="4FE42317" w14:textId="77777777" w:rsidR="00D55F68" w:rsidRPr="00D55F68" w:rsidRDefault="00D55F68" w:rsidP="00D55F68"/>
    <w:p w14:paraId="5B08E9ED" w14:textId="35AC949D" w:rsidR="00380524" w:rsidRPr="00380524" w:rsidRDefault="00380524" w:rsidP="00380524">
      <w:pPr>
        <w:spacing w:line="360" w:lineRule="auto"/>
        <w:rPr>
          <w:rFonts w:ascii="Arial" w:hAnsi="Arial" w:cs="Arial"/>
        </w:rPr>
      </w:pPr>
      <w:r w:rsidRPr="00380524">
        <w:rPr>
          <w:rFonts w:ascii="Arial" w:hAnsi="Arial" w:cs="Arial"/>
        </w:rPr>
        <w:t xml:space="preserve">Competition and Markets Authority (CMA) (2025a) </w:t>
      </w:r>
      <w:r w:rsidRPr="00380524">
        <w:rPr>
          <w:rFonts w:ascii="Arial" w:hAnsi="Arial" w:cs="Arial"/>
          <w:i/>
          <w:iCs/>
        </w:rPr>
        <w:t>Social media endorsements: Guidance for content creators</w:t>
      </w:r>
      <w:r w:rsidRPr="00380524">
        <w:rPr>
          <w:rFonts w:ascii="Arial" w:hAnsi="Arial" w:cs="Arial"/>
        </w:rPr>
        <w:t xml:space="preserve">. Available at: </w:t>
      </w:r>
      <w:hyperlink r:id="rId13" w:history="1">
        <w:r w:rsidRPr="00380524">
          <w:rPr>
            <w:rStyle w:val="Hyperlink"/>
            <w:rFonts w:ascii="Arial" w:hAnsi="Arial" w:cs="Arial"/>
          </w:rPr>
          <w:t>https://www.gov.uk/government/publications/social-media-endorsements-guidance-for-content-creators</w:t>
        </w:r>
      </w:hyperlink>
      <w:r w:rsidRPr="00380524">
        <w:rPr>
          <w:rFonts w:ascii="Arial" w:hAnsi="Arial" w:cs="Arial"/>
        </w:rPr>
        <w:t xml:space="preserve">  (Accessed: </w:t>
      </w:r>
      <w:r>
        <w:rPr>
          <w:rFonts w:ascii="Arial" w:hAnsi="Arial" w:cs="Arial"/>
        </w:rPr>
        <w:t>17</w:t>
      </w:r>
      <w:r w:rsidRPr="00380524">
        <w:rPr>
          <w:rFonts w:ascii="Arial" w:hAnsi="Arial" w:cs="Arial"/>
        </w:rPr>
        <w:t xml:space="preserve"> October 2026).</w:t>
      </w:r>
    </w:p>
    <w:p w14:paraId="000319DE" w14:textId="01F5BA15" w:rsidR="00380524" w:rsidRPr="00380524" w:rsidRDefault="00380524" w:rsidP="00380524">
      <w:pPr>
        <w:spacing w:line="360" w:lineRule="auto"/>
        <w:rPr>
          <w:rFonts w:ascii="Arial" w:hAnsi="Arial" w:cs="Arial"/>
        </w:rPr>
      </w:pPr>
      <w:r w:rsidRPr="00380524">
        <w:rPr>
          <w:rFonts w:ascii="Arial" w:hAnsi="Arial" w:cs="Arial"/>
        </w:rPr>
        <w:t xml:space="preserve">Competition and Markets Authority (CMA) (2025b) </w:t>
      </w:r>
      <w:r w:rsidRPr="00380524">
        <w:rPr>
          <w:rFonts w:ascii="Arial" w:hAnsi="Arial" w:cs="Arial"/>
          <w:i/>
          <w:iCs/>
        </w:rPr>
        <w:t>Social media endorsements: Guidance for brands</w:t>
      </w:r>
      <w:r w:rsidRPr="00380524">
        <w:rPr>
          <w:rFonts w:ascii="Arial" w:hAnsi="Arial" w:cs="Arial"/>
        </w:rPr>
        <w:t>. Available at:</w:t>
      </w:r>
      <w:r>
        <w:rPr>
          <w:rFonts w:ascii="Arial" w:hAnsi="Arial" w:cs="Arial"/>
        </w:rPr>
        <w:t xml:space="preserve"> </w:t>
      </w:r>
      <w:hyperlink r:id="rId14" w:history="1">
        <w:r w:rsidRPr="00A45941">
          <w:rPr>
            <w:rStyle w:val="Hyperlink"/>
            <w:rFonts w:ascii="Arial" w:hAnsi="Arial" w:cs="Arial"/>
          </w:rPr>
          <w:t>https://www.gov.uk/government/publications/reviews-and-social-media-endorsements-guidance-for-businesses-and-brands/social-media-endorsements-guidance-for-brands</w:t>
        </w:r>
      </w:hyperlink>
      <w:r>
        <w:rPr>
          <w:rFonts w:ascii="Arial" w:hAnsi="Arial" w:cs="Arial"/>
        </w:rPr>
        <w:t xml:space="preserve"> </w:t>
      </w:r>
      <w:r w:rsidRPr="00380524">
        <w:rPr>
          <w:rFonts w:ascii="Arial" w:hAnsi="Arial" w:cs="Arial"/>
        </w:rPr>
        <w:t xml:space="preserve"> (Accessed: 2</w:t>
      </w:r>
      <w:r>
        <w:rPr>
          <w:rFonts w:ascii="Arial" w:hAnsi="Arial" w:cs="Arial"/>
        </w:rPr>
        <w:t>0</w:t>
      </w:r>
      <w:r w:rsidRPr="00380524">
        <w:rPr>
          <w:rFonts w:ascii="Arial" w:hAnsi="Arial" w:cs="Arial"/>
        </w:rPr>
        <w:t xml:space="preserve"> October 2026).</w:t>
      </w:r>
    </w:p>
    <w:p w14:paraId="12041B4A" w14:textId="1D3A2BBE" w:rsidR="00380524" w:rsidRPr="00380524" w:rsidRDefault="00380524" w:rsidP="00380524">
      <w:pPr>
        <w:spacing w:line="360" w:lineRule="auto"/>
        <w:rPr>
          <w:rFonts w:ascii="Arial" w:hAnsi="Arial" w:cs="Arial"/>
        </w:rPr>
      </w:pPr>
      <w:r w:rsidRPr="00380524">
        <w:rPr>
          <w:rFonts w:ascii="Arial" w:hAnsi="Arial" w:cs="Arial"/>
        </w:rPr>
        <w:lastRenderedPageBreak/>
        <w:t>Cotter, K. (2019) ‘</w:t>
      </w:r>
      <w:r w:rsidRPr="00380524">
        <w:rPr>
          <w:rFonts w:ascii="Arial" w:hAnsi="Arial" w:cs="Arial"/>
          <w:i/>
          <w:iCs/>
        </w:rPr>
        <w:t>Playing the visibility game: How digital influencers and algorithms negotiate influence on Instagram’</w:t>
      </w:r>
      <w:r w:rsidRPr="00380524">
        <w:rPr>
          <w:rFonts w:ascii="Arial" w:hAnsi="Arial" w:cs="Arial"/>
        </w:rPr>
        <w:t xml:space="preserve">, New Media &amp; Society, 21(4), pp. 895–913. Available at: </w:t>
      </w:r>
      <w:hyperlink r:id="rId15" w:history="1">
        <w:r w:rsidRPr="00A45941">
          <w:rPr>
            <w:rStyle w:val="Hyperlink"/>
            <w:rFonts w:ascii="Arial" w:hAnsi="Arial" w:cs="Arial"/>
          </w:rPr>
          <w:t>https://doi.org/10.1177/1461444818815684</w:t>
        </w:r>
      </w:hyperlink>
      <w:r>
        <w:rPr>
          <w:rFonts w:ascii="Arial" w:hAnsi="Arial" w:cs="Arial"/>
        </w:rPr>
        <w:t xml:space="preserve"> </w:t>
      </w:r>
    </w:p>
    <w:p w14:paraId="6E30563F" w14:textId="4F69AE57" w:rsidR="00380524" w:rsidRPr="00380524" w:rsidRDefault="00380524" w:rsidP="00380524">
      <w:pPr>
        <w:spacing w:line="360" w:lineRule="auto"/>
        <w:rPr>
          <w:rFonts w:ascii="Arial" w:hAnsi="Arial" w:cs="Arial"/>
        </w:rPr>
      </w:pPr>
      <w:r w:rsidRPr="00380524">
        <w:rPr>
          <w:rFonts w:ascii="Arial" w:hAnsi="Arial" w:cs="Arial"/>
        </w:rPr>
        <w:t xml:space="preserve">Cunningham, S. and Craig, D. (2019) </w:t>
      </w:r>
      <w:r w:rsidRPr="00380524">
        <w:rPr>
          <w:rFonts w:ascii="Arial" w:hAnsi="Arial" w:cs="Arial"/>
          <w:i/>
          <w:iCs/>
        </w:rPr>
        <w:t>Social Media Entertainment: The New Intersection of Hollywood and Silicon Valley.</w:t>
      </w:r>
      <w:r w:rsidRPr="00380524">
        <w:rPr>
          <w:rFonts w:ascii="Arial" w:hAnsi="Arial" w:cs="Arial"/>
        </w:rPr>
        <w:t xml:space="preserve"> New York: New York University Press.</w:t>
      </w:r>
    </w:p>
    <w:p w14:paraId="4D8FB628" w14:textId="7067BF6E" w:rsidR="00380524" w:rsidRDefault="00380524" w:rsidP="00380524">
      <w:pPr>
        <w:spacing w:line="360" w:lineRule="auto"/>
        <w:rPr>
          <w:rFonts w:ascii="Arial" w:hAnsi="Arial" w:cs="Arial"/>
        </w:rPr>
      </w:pPr>
      <w:r w:rsidRPr="00380524">
        <w:rPr>
          <w:rFonts w:ascii="Arial" w:hAnsi="Arial" w:cs="Arial"/>
        </w:rPr>
        <w:t xml:space="preserve">De </w:t>
      </w:r>
      <w:proofErr w:type="spellStart"/>
      <w:r w:rsidRPr="00380524">
        <w:rPr>
          <w:rFonts w:ascii="Arial" w:hAnsi="Arial" w:cs="Arial"/>
        </w:rPr>
        <w:t>Veirman</w:t>
      </w:r>
      <w:proofErr w:type="spellEnd"/>
      <w:r w:rsidRPr="00380524">
        <w:rPr>
          <w:rFonts w:ascii="Arial" w:hAnsi="Arial" w:cs="Arial"/>
        </w:rPr>
        <w:t xml:space="preserve">, M., Cauberghe, V. and </w:t>
      </w:r>
      <w:proofErr w:type="spellStart"/>
      <w:r w:rsidRPr="00380524">
        <w:rPr>
          <w:rFonts w:ascii="Arial" w:hAnsi="Arial" w:cs="Arial"/>
        </w:rPr>
        <w:t>Hudders</w:t>
      </w:r>
      <w:proofErr w:type="spellEnd"/>
      <w:r w:rsidRPr="00380524">
        <w:rPr>
          <w:rFonts w:ascii="Arial" w:hAnsi="Arial" w:cs="Arial"/>
        </w:rPr>
        <w:t>, L. (2017) ‘M</w:t>
      </w:r>
      <w:r w:rsidRPr="00380524">
        <w:rPr>
          <w:rFonts w:ascii="Arial" w:hAnsi="Arial" w:cs="Arial"/>
          <w:i/>
          <w:iCs/>
        </w:rPr>
        <w:t>arketing through Instagram influencers: The impact of number of followers and product divergence on brand attitude’, International Journal of Advertising</w:t>
      </w:r>
      <w:r w:rsidRPr="00380524">
        <w:rPr>
          <w:rFonts w:ascii="Arial" w:hAnsi="Arial" w:cs="Arial"/>
        </w:rPr>
        <w:t xml:space="preserve">, 36(5), pp. 798–828. Available at: </w:t>
      </w:r>
      <w:hyperlink r:id="rId16" w:history="1">
        <w:r w:rsidRPr="00A45941">
          <w:rPr>
            <w:rStyle w:val="Hyperlink"/>
            <w:rFonts w:ascii="Arial" w:hAnsi="Arial" w:cs="Arial"/>
          </w:rPr>
          <w:t>https://doi.org/10.1080/02650487.2017.1348035</w:t>
        </w:r>
      </w:hyperlink>
      <w:r>
        <w:rPr>
          <w:rFonts w:ascii="Arial" w:hAnsi="Arial" w:cs="Arial"/>
        </w:rPr>
        <w:t xml:space="preserve"> </w:t>
      </w:r>
    </w:p>
    <w:p w14:paraId="14F7A4EA" w14:textId="6A3E4FDA" w:rsidR="00555DB7" w:rsidRPr="00380524" w:rsidRDefault="00555DB7" w:rsidP="00380524">
      <w:pPr>
        <w:spacing w:line="360" w:lineRule="auto"/>
        <w:rPr>
          <w:rFonts w:ascii="Arial" w:hAnsi="Arial" w:cs="Arial"/>
        </w:rPr>
      </w:pPr>
      <w:r w:rsidRPr="00555DB7">
        <w:rPr>
          <w:rFonts w:ascii="Arial" w:hAnsi="Arial" w:cs="Arial"/>
          <w:i/>
          <w:iCs/>
        </w:rPr>
        <w:t>Digital Markets, Competition and Consumers Act 2024</w:t>
      </w:r>
      <w:r w:rsidRPr="00555DB7">
        <w:rPr>
          <w:rFonts w:ascii="Arial" w:hAnsi="Arial" w:cs="Arial"/>
        </w:rPr>
        <w:t xml:space="preserve">, c. 13. Available at: </w:t>
      </w:r>
      <w:hyperlink r:id="rId17" w:history="1">
        <w:r w:rsidRPr="0049021A">
          <w:rPr>
            <w:rStyle w:val="Hyperlink"/>
            <w:rFonts w:ascii="Arial" w:hAnsi="Arial" w:cs="Arial"/>
          </w:rPr>
          <w:t>https://www.legislation.gov.uk/ukpga/2024/13/contents</w:t>
        </w:r>
      </w:hyperlink>
      <w:r>
        <w:rPr>
          <w:rFonts w:ascii="Arial" w:hAnsi="Arial" w:cs="Arial"/>
        </w:rPr>
        <w:t xml:space="preserve"> </w:t>
      </w:r>
      <w:r w:rsidRPr="00555DB7">
        <w:rPr>
          <w:rFonts w:ascii="Arial" w:hAnsi="Arial" w:cs="Arial"/>
        </w:rPr>
        <w:t xml:space="preserve"> (Accessed: 26 October 2026).</w:t>
      </w:r>
    </w:p>
    <w:p w14:paraId="1D4C0BBA" w14:textId="77777777" w:rsidR="00380524" w:rsidRPr="00380524" w:rsidRDefault="00380524" w:rsidP="00380524">
      <w:pPr>
        <w:spacing w:line="360" w:lineRule="auto"/>
        <w:rPr>
          <w:rFonts w:ascii="Arial" w:hAnsi="Arial" w:cs="Arial"/>
        </w:rPr>
      </w:pPr>
      <w:r w:rsidRPr="00380524">
        <w:rPr>
          <w:rFonts w:ascii="Arial" w:hAnsi="Arial" w:cs="Arial"/>
        </w:rPr>
        <w:t>Duffy, B.E. (2017) (</w:t>
      </w:r>
      <w:r w:rsidRPr="00380524">
        <w:rPr>
          <w:rFonts w:ascii="Arial" w:hAnsi="Arial" w:cs="Arial"/>
          <w:i/>
          <w:iCs/>
        </w:rPr>
        <w:t>Not) Getting Paid to Do What You Love: Gender, Social Media, and Aspirational Work</w:t>
      </w:r>
      <w:r w:rsidRPr="00380524">
        <w:rPr>
          <w:rFonts w:ascii="Arial" w:hAnsi="Arial" w:cs="Arial"/>
        </w:rPr>
        <w:t>. New Haven, CT: Yale University Press.</w:t>
      </w:r>
    </w:p>
    <w:p w14:paraId="6326520A" w14:textId="1B651F6C" w:rsidR="00D55F68" w:rsidRDefault="00380524" w:rsidP="00380524">
      <w:pPr>
        <w:spacing w:line="360" w:lineRule="auto"/>
        <w:rPr>
          <w:rFonts w:ascii="Arial" w:hAnsi="Arial" w:cs="Arial"/>
        </w:rPr>
      </w:pPr>
      <w:r w:rsidRPr="00380524">
        <w:rPr>
          <w:rFonts w:ascii="Arial" w:hAnsi="Arial" w:cs="Arial"/>
        </w:rPr>
        <w:t>Duffy, B.E. and Hund, E. (2019) ‘</w:t>
      </w:r>
      <w:r w:rsidRPr="00380524">
        <w:rPr>
          <w:rFonts w:ascii="Arial" w:hAnsi="Arial" w:cs="Arial"/>
          <w:i/>
          <w:iCs/>
        </w:rPr>
        <w:t>Gendered visibility on social media: Navigating Instagram’s authenticity bind’, International Journal of Communication,</w:t>
      </w:r>
      <w:r w:rsidRPr="00380524">
        <w:rPr>
          <w:rFonts w:ascii="Arial" w:hAnsi="Arial" w:cs="Arial"/>
        </w:rPr>
        <w:t xml:space="preserve"> 13, pp. 4983–5002. Available at: </w:t>
      </w:r>
      <w:hyperlink r:id="rId18" w:history="1">
        <w:r w:rsidRPr="00A45941">
          <w:rPr>
            <w:rStyle w:val="Hyperlink"/>
            <w:rFonts w:ascii="Arial" w:hAnsi="Arial" w:cs="Arial"/>
          </w:rPr>
          <w:t>https://ijoc.org/index.php/ijoc/article/view/11729</w:t>
        </w:r>
      </w:hyperlink>
      <w:r>
        <w:rPr>
          <w:rFonts w:ascii="Arial" w:hAnsi="Arial" w:cs="Arial"/>
        </w:rPr>
        <w:t xml:space="preserve"> </w:t>
      </w:r>
    </w:p>
    <w:p w14:paraId="66059E45" w14:textId="02ABFF13" w:rsidR="00D55F68" w:rsidRPr="00555DB7" w:rsidRDefault="00D55F68" w:rsidP="00555DB7">
      <w:pPr>
        <w:spacing w:line="360" w:lineRule="auto"/>
        <w:jc w:val="both"/>
      </w:pPr>
      <w:r w:rsidRPr="00D55F68">
        <w:rPr>
          <w:rFonts w:ascii="Arial" w:hAnsi="Arial" w:cs="Arial"/>
        </w:rPr>
        <w:t>European Commission (2026) ‘</w:t>
      </w:r>
      <w:r w:rsidRPr="00D55F68">
        <w:rPr>
          <w:rFonts w:ascii="Arial" w:hAnsi="Arial" w:cs="Arial"/>
          <w:i/>
          <w:iCs/>
        </w:rPr>
        <w:t>About the Digital Markets Act’</w:t>
      </w:r>
      <w:r w:rsidRPr="00D55F68">
        <w:rPr>
          <w:rFonts w:ascii="Arial" w:hAnsi="Arial" w:cs="Arial"/>
        </w:rPr>
        <w:t xml:space="preserve">. Available at: </w:t>
      </w:r>
      <w:hyperlink r:id="rId19" w:history="1">
        <w:r w:rsidRPr="0049021A">
          <w:rPr>
            <w:rStyle w:val="Hyperlink"/>
            <w:rFonts w:ascii="Arial" w:hAnsi="Arial" w:cs="Arial"/>
          </w:rPr>
          <w:t>https://digital-markets-act.ec.europa.eu/about-dma_en</w:t>
        </w:r>
      </w:hyperlink>
      <w:r>
        <w:rPr>
          <w:rFonts w:ascii="Arial" w:hAnsi="Arial" w:cs="Arial"/>
        </w:rPr>
        <w:t xml:space="preserve"> </w:t>
      </w:r>
      <w:r w:rsidRPr="00D55F68">
        <w:rPr>
          <w:rFonts w:ascii="Arial" w:hAnsi="Arial" w:cs="Arial"/>
        </w:rPr>
        <w:t xml:space="preserve"> (Accessed: 26 October 2026</w:t>
      </w:r>
      <w:r>
        <w:t>).</w:t>
      </w:r>
    </w:p>
    <w:p w14:paraId="5BA2034D" w14:textId="121DB300" w:rsidR="00380524" w:rsidRDefault="00380524" w:rsidP="00380524">
      <w:pPr>
        <w:spacing w:line="360" w:lineRule="auto"/>
        <w:rPr>
          <w:rFonts w:ascii="Arial" w:hAnsi="Arial" w:cs="Arial"/>
        </w:rPr>
      </w:pPr>
      <w:r w:rsidRPr="00380524">
        <w:rPr>
          <w:rFonts w:ascii="Arial" w:hAnsi="Arial" w:cs="Arial"/>
        </w:rPr>
        <w:t>Evans, N.J., Phua, J., Lim, J. and Jun, H. (2017) ‘</w:t>
      </w:r>
      <w:r w:rsidRPr="00380524">
        <w:rPr>
          <w:rFonts w:ascii="Arial" w:hAnsi="Arial" w:cs="Arial"/>
          <w:i/>
          <w:iCs/>
        </w:rPr>
        <w:t xml:space="preserve">Disclosing Instagram influencer advertising: The effects of disclosure language on advertising recognition, attitudes, and </w:t>
      </w:r>
      <w:proofErr w:type="spellStart"/>
      <w:r w:rsidRPr="00380524">
        <w:rPr>
          <w:rFonts w:ascii="Arial" w:hAnsi="Arial" w:cs="Arial"/>
          <w:i/>
          <w:iCs/>
        </w:rPr>
        <w:t>behavioral</w:t>
      </w:r>
      <w:proofErr w:type="spellEnd"/>
      <w:r w:rsidRPr="00380524">
        <w:rPr>
          <w:rFonts w:ascii="Arial" w:hAnsi="Arial" w:cs="Arial"/>
          <w:i/>
          <w:iCs/>
        </w:rPr>
        <w:t xml:space="preserve"> intent’, Journal of Interactive Advertising</w:t>
      </w:r>
      <w:r w:rsidRPr="00380524">
        <w:rPr>
          <w:rFonts w:ascii="Arial" w:hAnsi="Arial" w:cs="Arial"/>
        </w:rPr>
        <w:t xml:space="preserve">, 17(2), pp. 138–149. Available at: </w:t>
      </w:r>
      <w:hyperlink r:id="rId20" w:history="1">
        <w:r w:rsidRPr="00A45941">
          <w:rPr>
            <w:rStyle w:val="Hyperlink"/>
            <w:rFonts w:ascii="Arial" w:hAnsi="Arial" w:cs="Arial"/>
          </w:rPr>
          <w:t>https://doi.org/10.1080/15252019.2017.1366885</w:t>
        </w:r>
      </w:hyperlink>
      <w:r>
        <w:rPr>
          <w:rFonts w:ascii="Arial" w:hAnsi="Arial" w:cs="Arial"/>
        </w:rPr>
        <w:t xml:space="preserve"> </w:t>
      </w:r>
    </w:p>
    <w:p w14:paraId="4CF4F100" w14:textId="51A6A34F" w:rsidR="00D55F68" w:rsidRPr="00380524" w:rsidRDefault="00D55F68" w:rsidP="00380524">
      <w:pPr>
        <w:spacing w:line="360" w:lineRule="auto"/>
        <w:rPr>
          <w:rFonts w:ascii="Arial" w:hAnsi="Arial" w:cs="Arial"/>
        </w:rPr>
      </w:pPr>
      <w:r w:rsidRPr="00D55F68">
        <w:rPr>
          <w:rFonts w:ascii="Arial" w:hAnsi="Arial" w:cs="Arial"/>
        </w:rPr>
        <w:t>Freberg, K., Graham, K., McGaughey, K. and Freberg, L.A. (2011) ‘</w:t>
      </w:r>
      <w:r w:rsidRPr="00D55F68">
        <w:rPr>
          <w:rFonts w:ascii="Arial" w:hAnsi="Arial" w:cs="Arial"/>
          <w:i/>
          <w:iCs/>
        </w:rPr>
        <w:t>Who are the social media influencers? A study of public perceptions of personality’,</w:t>
      </w:r>
      <w:r w:rsidRPr="00D55F68">
        <w:rPr>
          <w:rFonts w:ascii="Arial" w:hAnsi="Arial" w:cs="Arial"/>
        </w:rPr>
        <w:t xml:space="preserve"> Public Relations Review, 37(1), pp. 90–92. Available at: </w:t>
      </w:r>
      <w:hyperlink r:id="rId21" w:history="1">
        <w:r w:rsidRPr="0049021A">
          <w:rPr>
            <w:rStyle w:val="Hyperlink"/>
            <w:rFonts w:ascii="Arial" w:hAnsi="Arial" w:cs="Arial"/>
          </w:rPr>
          <w:t>https://doi.org/10.1016/j.pubrev.2010.11.001</w:t>
        </w:r>
      </w:hyperlink>
      <w:r>
        <w:rPr>
          <w:rFonts w:ascii="Segoe UI Symbol" w:hAnsi="Segoe UI Symbol" w:cs="Segoe UI Symbol"/>
        </w:rPr>
        <w:t xml:space="preserve"> </w:t>
      </w:r>
    </w:p>
    <w:p w14:paraId="153090FC" w14:textId="0336DE1B" w:rsidR="00555DB7" w:rsidRPr="00380524" w:rsidRDefault="00380524" w:rsidP="00380524">
      <w:pPr>
        <w:spacing w:line="360" w:lineRule="auto"/>
        <w:rPr>
          <w:rFonts w:ascii="Arial" w:hAnsi="Arial" w:cs="Arial"/>
        </w:rPr>
      </w:pPr>
      <w:r w:rsidRPr="00380524">
        <w:rPr>
          <w:rFonts w:ascii="Arial" w:hAnsi="Arial" w:cs="Arial"/>
        </w:rPr>
        <w:t xml:space="preserve">Gillespie, T. (2018) </w:t>
      </w:r>
      <w:r w:rsidRPr="00380524">
        <w:rPr>
          <w:rFonts w:ascii="Arial" w:hAnsi="Arial" w:cs="Arial"/>
          <w:i/>
          <w:iCs/>
        </w:rPr>
        <w:t>Custodians of the Internet: Platforms, Content Moderation, and the Hidden Decisions That Shape Social Media</w:t>
      </w:r>
      <w:r w:rsidRPr="00380524">
        <w:rPr>
          <w:rFonts w:ascii="Arial" w:hAnsi="Arial" w:cs="Arial"/>
        </w:rPr>
        <w:t>. New Haven, CT: Yale University Press.</w:t>
      </w:r>
    </w:p>
    <w:p w14:paraId="4C9698ED" w14:textId="7645C0FD" w:rsidR="00D55F68" w:rsidRPr="00D55F68" w:rsidRDefault="00D55F68" w:rsidP="00D55F68">
      <w:pPr>
        <w:spacing w:line="360" w:lineRule="auto"/>
        <w:rPr>
          <w:rFonts w:ascii="Arial" w:hAnsi="Arial" w:cs="Arial"/>
        </w:rPr>
      </w:pPr>
      <w:r w:rsidRPr="00D55F68">
        <w:rPr>
          <w:rFonts w:ascii="Arial" w:hAnsi="Arial" w:cs="Arial"/>
        </w:rPr>
        <w:lastRenderedPageBreak/>
        <w:t>Great Britain (2023</w:t>
      </w:r>
      <w:r w:rsidRPr="00D55F68">
        <w:rPr>
          <w:rFonts w:ascii="Arial" w:hAnsi="Arial" w:cs="Arial"/>
          <w:i/>
          <w:iCs/>
        </w:rPr>
        <w:t>) Online Safety Act 2023</w:t>
      </w:r>
      <w:r w:rsidRPr="00D55F68">
        <w:rPr>
          <w:rFonts w:ascii="Arial" w:hAnsi="Arial" w:cs="Arial"/>
        </w:rPr>
        <w:t xml:space="preserve">. Available at: </w:t>
      </w:r>
      <w:proofErr w:type="gramStart"/>
      <w:r w:rsidRPr="00D55F68">
        <w:rPr>
          <w:rFonts w:ascii="Arial" w:hAnsi="Arial" w:cs="Arial"/>
        </w:rPr>
        <w:t xml:space="preserve">https://www.legislation.gov.uk/ukpga/2023/50/contents </w:t>
      </w:r>
      <w:r>
        <w:rPr>
          <w:rFonts w:ascii="Arial" w:hAnsi="Arial" w:cs="Arial"/>
        </w:rPr>
        <w:t xml:space="preserve"> </w:t>
      </w:r>
      <w:r w:rsidRPr="00D55F68">
        <w:rPr>
          <w:rFonts w:ascii="Arial" w:hAnsi="Arial" w:cs="Arial"/>
        </w:rPr>
        <w:t>(</w:t>
      </w:r>
      <w:proofErr w:type="gramEnd"/>
      <w:r w:rsidRPr="00D55F68">
        <w:rPr>
          <w:rFonts w:ascii="Arial" w:hAnsi="Arial" w:cs="Arial"/>
        </w:rPr>
        <w:t>Accessed: 26 October 2026).</w:t>
      </w:r>
    </w:p>
    <w:p w14:paraId="5BA463D4" w14:textId="11732976" w:rsidR="00D55F68" w:rsidRDefault="00D55F68" w:rsidP="00555DB7">
      <w:pPr>
        <w:spacing w:line="360" w:lineRule="auto"/>
        <w:jc w:val="both"/>
        <w:rPr>
          <w:rFonts w:ascii="Arial" w:hAnsi="Arial" w:cs="Arial"/>
        </w:rPr>
      </w:pPr>
      <w:r w:rsidRPr="00D55F68">
        <w:rPr>
          <w:rFonts w:ascii="Arial" w:hAnsi="Arial" w:cs="Arial"/>
        </w:rPr>
        <w:t xml:space="preserve">Great Britain (2024) </w:t>
      </w:r>
      <w:r w:rsidRPr="00D55F68">
        <w:rPr>
          <w:rFonts w:ascii="Arial" w:hAnsi="Arial" w:cs="Arial"/>
          <w:i/>
          <w:iCs/>
        </w:rPr>
        <w:t>Digital Markets, Competition and Consumers Act 2024.</w:t>
      </w:r>
      <w:r w:rsidRPr="00D55F68">
        <w:rPr>
          <w:rFonts w:ascii="Arial" w:hAnsi="Arial" w:cs="Arial"/>
        </w:rPr>
        <w:t xml:space="preserve"> Available at: </w:t>
      </w:r>
      <w:hyperlink r:id="rId22" w:history="1">
        <w:r w:rsidRPr="0049021A">
          <w:rPr>
            <w:rStyle w:val="Hyperlink"/>
            <w:rFonts w:ascii="Arial" w:hAnsi="Arial" w:cs="Arial"/>
          </w:rPr>
          <w:t>https://www.legislation.gov.uk/ukpga/2024/13/contents</w:t>
        </w:r>
      </w:hyperlink>
      <w:r>
        <w:rPr>
          <w:rFonts w:ascii="Arial" w:hAnsi="Arial" w:cs="Arial"/>
        </w:rPr>
        <w:t xml:space="preserve"> </w:t>
      </w:r>
      <w:r w:rsidRPr="00D55F68">
        <w:rPr>
          <w:rFonts w:ascii="Arial" w:hAnsi="Arial" w:cs="Arial"/>
        </w:rPr>
        <w:t xml:space="preserve"> (Accessed: 26 October 2026).</w:t>
      </w:r>
    </w:p>
    <w:p w14:paraId="4A11AD9A" w14:textId="77777777" w:rsidR="00555DB7" w:rsidRDefault="00555DB7" w:rsidP="00555DB7">
      <w:pPr>
        <w:spacing w:line="360" w:lineRule="auto"/>
        <w:jc w:val="both"/>
        <w:rPr>
          <w:rFonts w:ascii="Arial" w:hAnsi="Arial" w:cs="Arial"/>
        </w:rPr>
      </w:pPr>
    </w:p>
    <w:p w14:paraId="5FE86F6B" w14:textId="0C16A429" w:rsidR="00380524" w:rsidRPr="00380524" w:rsidRDefault="00380524" w:rsidP="00380524">
      <w:pPr>
        <w:spacing w:line="360" w:lineRule="auto"/>
        <w:rPr>
          <w:rFonts w:ascii="Arial" w:hAnsi="Arial" w:cs="Arial"/>
        </w:rPr>
      </w:pPr>
      <w:r w:rsidRPr="00380524">
        <w:rPr>
          <w:rFonts w:ascii="Arial" w:hAnsi="Arial" w:cs="Arial"/>
        </w:rPr>
        <w:t xml:space="preserve">Huda Beauty (n.d.) </w:t>
      </w:r>
      <w:r w:rsidRPr="00380524">
        <w:rPr>
          <w:rFonts w:ascii="Arial" w:hAnsi="Arial" w:cs="Arial"/>
          <w:i/>
          <w:iCs/>
        </w:rPr>
        <w:t>Official website</w:t>
      </w:r>
      <w:r w:rsidRPr="00380524">
        <w:rPr>
          <w:rFonts w:ascii="Arial" w:hAnsi="Arial" w:cs="Arial"/>
        </w:rPr>
        <w:t xml:space="preserve">. Available at: </w:t>
      </w:r>
      <w:hyperlink r:id="rId23" w:history="1">
        <w:r w:rsidRPr="00A45941">
          <w:rPr>
            <w:rStyle w:val="Hyperlink"/>
            <w:rFonts w:ascii="Arial" w:hAnsi="Arial" w:cs="Arial"/>
          </w:rPr>
          <w:t>https://hudabeauty.com/</w:t>
        </w:r>
      </w:hyperlink>
      <w:r>
        <w:rPr>
          <w:rFonts w:ascii="Arial" w:hAnsi="Arial" w:cs="Arial"/>
        </w:rPr>
        <w:t xml:space="preserve"> </w:t>
      </w:r>
      <w:r w:rsidRPr="00380524">
        <w:rPr>
          <w:rFonts w:ascii="Arial" w:hAnsi="Arial" w:cs="Arial"/>
        </w:rPr>
        <w:t xml:space="preserve"> (Accessed: 2</w:t>
      </w:r>
      <w:r>
        <w:rPr>
          <w:rFonts w:ascii="Arial" w:hAnsi="Arial" w:cs="Arial"/>
        </w:rPr>
        <w:t>1</w:t>
      </w:r>
      <w:r w:rsidRPr="00380524">
        <w:rPr>
          <w:rFonts w:ascii="Arial" w:hAnsi="Arial" w:cs="Arial"/>
        </w:rPr>
        <w:t xml:space="preserve"> October 2026).</w:t>
      </w:r>
    </w:p>
    <w:p w14:paraId="73074B49" w14:textId="5219745C" w:rsidR="00380524" w:rsidRPr="00380524" w:rsidRDefault="00380524" w:rsidP="00380524">
      <w:pPr>
        <w:spacing w:line="360" w:lineRule="auto"/>
        <w:rPr>
          <w:rFonts w:ascii="Arial" w:hAnsi="Arial" w:cs="Arial"/>
        </w:rPr>
      </w:pPr>
      <w:proofErr w:type="spellStart"/>
      <w:r w:rsidRPr="00380524">
        <w:rPr>
          <w:rFonts w:ascii="Arial" w:hAnsi="Arial" w:cs="Arial"/>
        </w:rPr>
        <w:t>Hudders</w:t>
      </w:r>
      <w:proofErr w:type="spellEnd"/>
      <w:r w:rsidRPr="00380524">
        <w:rPr>
          <w:rFonts w:ascii="Arial" w:hAnsi="Arial" w:cs="Arial"/>
        </w:rPr>
        <w:t xml:space="preserve">, L., De Jans, S. and De </w:t>
      </w:r>
      <w:proofErr w:type="spellStart"/>
      <w:r w:rsidRPr="00380524">
        <w:rPr>
          <w:rFonts w:ascii="Arial" w:hAnsi="Arial" w:cs="Arial"/>
        </w:rPr>
        <w:t>Veirman</w:t>
      </w:r>
      <w:proofErr w:type="spellEnd"/>
      <w:r w:rsidRPr="00380524">
        <w:rPr>
          <w:rFonts w:ascii="Arial" w:hAnsi="Arial" w:cs="Arial"/>
        </w:rPr>
        <w:t>, M. (2021) ‘</w:t>
      </w:r>
      <w:r w:rsidRPr="00380524">
        <w:rPr>
          <w:rFonts w:ascii="Arial" w:hAnsi="Arial" w:cs="Arial"/>
          <w:i/>
          <w:iCs/>
        </w:rPr>
        <w:t>The commercialization of social media stars: A literature review and conceptual framework on the strategic use of social media influencers’, International Journal of Advertising</w:t>
      </w:r>
      <w:r w:rsidRPr="00380524">
        <w:rPr>
          <w:rFonts w:ascii="Arial" w:hAnsi="Arial" w:cs="Arial"/>
        </w:rPr>
        <w:t xml:space="preserve">, 40(3), pp. 327–375. Available at: </w:t>
      </w:r>
      <w:hyperlink r:id="rId24" w:history="1">
        <w:r w:rsidRPr="00A45941">
          <w:rPr>
            <w:rStyle w:val="Hyperlink"/>
            <w:rFonts w:ascii="Arial" w:hAnsi="Arial" w:cs="Arial"/>
          </w:rPr>
          <w:t>https://doi.org/10.1080/02650487.2020.1836925</w:t>
        </w:r>
      </w:hyperlink>
      <w:r>
        <w:rPr>
          <w:rFonts w:ascii="Arial" w:hAnsi="Arial" w:cs="Arial"/>
        </w:rPr>
        <w:t xml:space="preserve"> </w:t>
      </w:r>
    </w:p>
    <w:p w14:paraId="79E0338A" w14:textId="6318278F" w:rsidR="00380524" w:rsidRPr="00380524" w:rsidRDefault="00380524" w:rsidP="00380524">
      <w:pPr>
        <w:spacing w:line="360" w:lineRule="auto"/>
        <w:rPr>
          <w:rFonts w:ascii="Arial" w:hAnsi="Arial" w:cs="Arial"/>
        </w:rPr>
      </w:pPr>
      <w:proofErr w:type="spellStart"/>
      <w:r w:rsidRPr="00380524">
        <w:rPr>
          <w:rFonts w:ascii="Arial" w:hAnsi="Arial" w:cs="Arial"/>
        </w:rPr>
        <w:t>HypeAuditor</w:t>
      </w:r>
      <w:proofErr w:type="spellEnd"/>
      <w:r w:rsidRPr="00380524">
        <w:rPr>
          <w:rFonts w:ascii="Arial" w:hAnsi="Arial" w:cs="Arial"/>
        </w:rPr>
        <w:t xml:space="preserve"> (2026) Huda (@huda) Instagram statistics and historical data. Available at: </w:t>
      </w:r>
      <w:hyperlink r:id="rId25" w:history="1">
        <w:r w:rsidRPr="00A45941">
          <w:rPr>
            <w:rStyle w:val="Hyperlink"/>
            <w:rFonts w:ascii="Arial" w:hAnsi="Arial" w:cs="Arial"/>
          </w:rPr>
          <w:t>https://hypeauditor.com/instagram/huda/</w:t>
        </w:r>
      </w:hyperlink>
      <w:r>
        <w:rPr>
          <w:rFonts w:ascii="Arial" w:hAnsi="Arial" w:cs="Arial"/>
        </w:rPr>
        <w:t xml:space="preserve"> </w:t>
      </w:r>
      <w:r w:rsidRPr="00380524">
        <w:rPr>
          <w:rFonts w:ascii="Arial" w:hAnsi="Arial" w:cs="Arial"/>
        </w:rPr>
        <w:t>(Accessed: 2</w:t>
      </w:r>
      <w:r>
        <w:rPr>
          <w:rFonts w:ascii="Arial" w:hAnsi="Arial" w:cs="Arial"/>
        </w:rPr>
        <w:t>0</w:t>
      </w:r>
      <w:r w:rsidRPr="00380524">
        <w:rPr>
          <w:rFonts w:ascii="Arial" w:hAnsi="Arial" w:cs="Arial"/>
        </w:rPr>
        <w:t xml:space="preserve"> October 2026).</w:t>
      </w:r>
      <w:r>
        <w:rPr>
          <w:rFonts w:ascii="Arial" w:hAnsi="Arial" w:cs="Arial"/>
        </w:rPr>
        <w:t xml:space="preserve"> </w:t>
      </w:r>
    </w:p>
    <w:p w14:paraId="2926376F" w14:textId="7AFED501" w:rsidR="00380524" w:rsidRPr="00380524" w:rsidRDefault="00380524" w:rsidP="00380524">
      <w:pPr>
        <w:spacing w:line="360" w:lineRule="auto"/>
        <w:rPr>
          <w:rFonts w:ascii="Arial" w:hAnsi="Arial" w:cs="Arial"/>
        </w:rPr>
      </w:pPr>
      <w:proofErr w:type="spellStart"/>
      <w:r w:rsidRPr="00380524">
        <w:rPr>
          <w:rFonts w:ascii="Arial" w:hAnsi="Arial" w:cs="Arial"/>
        </w:rPr>
        <w:t>HypeAuditor</w:t>
      </w:r>
      <w:proofErr w:type="spellEnd"/>
      <w:r w:rsidRPr="00380524">
        <w:rPr>
          <w:rFonts w:ascii="Arial" w:hAnsi="Arial" w:cs="Arial"/>
        </w:rPr>
        <w:t xml:space="preserve"> (2026) </w:t>
      </w:r>
      <w:proofErr w:type="spellStart"/>
      <w:r w:rsidRPr="00380524">
        <w:rPr>
          <w:rFonts w:ascii="Arial" w:hAnsi="Arial" w:cs="Arial"/>
        </w:rPr>
        <w:t>IShowSpeed</w:t>
      </w:r>
      <w:proofErr w:type="spellEnd"/>
      <w:r w:rsidRPr="00380524">
        <w:rPr>
          <w:rFonts w:ascii="Arial" w:hAnsi="Arial" w:cs="Arial"/>
        </w:rPr>
        <w:t xml:space="preserve"> (@ishowspeed) </w:t>
      </w:r>
      <w:r w:rsidRPr="00380524">
        <w:rPr>
          <w:rFonts w:ascii="Arial" w:hAnsi="Arial" w:cs="Arial"/>
          <w:i/>
          <w:iCs/>
        </w:rPr>
        <w:t>YouTube statistics and historical data.</w:t>
      </w:r>
      <w:r w:rsidRPr="00380524">
        <w:rPr>
          <w:rFonts w:ascii="Arial" w:hAnsi="Arial" w:cs="Arial"/>
        </w:rPr>
        <w:t xml:space="preserve"> Available at: </w:t>
      </w:r>
      <w:hyperlink r:id="rId26" w:history="1">
        <w:r w:rsidRPr="00A45941">
          <w:rPr>
            <w:rStyle w:val="Hyperlink"/>
            <w:rFonts w:ascii="Arial" w:hAnsi="Arial" w:cs="Arial"/>
          </w:rPr>
          <w:t>https://hypeauditor.com/youtube/UCWsDFcIhY2DBi3GB5uykGXA/</w:t>
        </w:r>
      </w:hyperlink>
      <w:r>
        <w:rPr>
          <w:rFonts w:ascii="Arial" w:hAnsi="Arial" w:cs="Arial"/>
        </w:rPr>
        <w:t xml:space="preserve"> </w:t>
      </w:r>
      <w:r w:rsidRPr="00380524">
        <w:rPr>
          <w:rFonts w:ascii="Arial" w:hAnsi="Arial" w:cs="Arial"/>
        </w:rPr>
        <w:t xml:space="preserve"> (Accessed: 22 October 2026).</w:t>
      </w:r>
    </w:p>
    <w:p w14:paraId="3A29725E" w14:textId="51286864" w:rsidR="00380524" w:rsidRPr="00380524" w:rsidRDefault="00380524" w:rsidP="00380524">
      <w:pPr>
        <w:spacing w:line="360" w:lineRule="auto"/>
        <w:rPr>
          <w:rFonts w:ascii="Arial" w:hAnsi="Arial" w:cs="Arial"/>
        </w:rPr>
      </w:pPr>
      <w:proofErr w:type="spellStart"/>
      <w:r w:rsidRPr="00380524">
        <w:rPr>
          <w:rFonts w:ascii="Arial" w:hAnsi="Arial" w:cs="Arial"/>
        </w:rPr>
        <w:t>HypeAuditor</w:t>
      </w:r>
      <w:proofErr w:type="spellEnd"/>
      <w:r w:rsidRPr="00380524">
        <w:rPr>
          <w:rFonts w:ascii="Arial" w:hAnsi="Arial" w:cs="Arial"/>
        </w:rPr>
        <w:t xml:space="preserve"> (2026) </w:t>
      </w:r>
      <w:r w:rsidRPr="00380524">
        <w:rPr>
          <w:rFonts w:ascii="Arial" w:hAnsi="Arial" w:cs="Arial"/>
          <w:i/>
          <w:iCs/>
        </w:rPr>
        <w:t>The Diary of a CEO</w:t>
      </w:r>
      <w:r w:rsidRPr="00380524">
        <w:rPr>
          <w:rFonts w:ascii="Arial" w:hAnsi="Arial" w:cs="Arial"/>
        </w:rPr>
        <w:t xml:space="preserve"> (@thediaryofaceo) YouTube statistics and historical data. Available at: </w:t>
      </w:r>
      <w:hyperlink r:id="rId27" w:history="1">
        <w:r w:rsidRPr="00A45941">
          <w:rPr>
            <w:rStyle w:val="Hyperlink"/>
            <w:rFonts w:ascii="Arial" w:hAnsi="Arial" w:cs="Arial"/>
          </w:rPr>
          <w:t>https://hypeauditor.com/youtube/UCGq-a57w-aPwyi3pW7XLiHw/</w:t>
        </w:r>
      </w:hyperlink>
      <w:r>
        <w:rPr>
          <w:rFonts w:ascii="Arial" w:hAnsi="Arial" w:cs="Arial"/>
        </w:rPr>
        <w:t xml:space="preserve"> </w:t>
      </w:r>
      <w:r w:rsidRPr="00380524">
        <w:rPr>
          <w:rFonts w:ascii="Arial" w:hAnsi="Arial" w:cs="Arial"/>
        </w:rPr>
        <w:t xml:space="preserve"> (Accessed: 2</w:t>
      </w:r>
      <w:r>
        <w:rPr>
          <w:rFonts w:ascii="Arial" w:hAnsi="Arial" w:cs="Arial"/>
        </w:rPr>
        <w:t xml:space="preserve">0 </w:t>
      </w:r>
      <w:r w:rsidRPr="00380524">
        <w:rPr>
          <w:rFonts w:ascii="Arial" w:hAnsi="Arial" w:cs="Arial"/>
        </w:rPr>
        <w:t>October 2026).</w:t>
      </w:r>
    </w:p>
    <w:p w14:paraId="63156034" w14:textId="45474254" w:rsidR="00380524" w:rsidRDefault="00380524" w:rsidP="00380524">
      <w:pPr>
        <w:spacing w:line="360" w:lineRule="auto"/>
        <w:rPr>
          <w:rFonts w:ascii="Arial" w:hAnsi="Arial" w:cs="Arial"/>
        </w:rPr>
      </w:pPr>
      <w:proofErr w:type="spellStart"/>
      <w:r w:rsidRPr="00380524">
        <w:rPr>
          <w:rFonts w:ascii="Arial" w:hAnsi="Arial" w:cs="Arial"/>
        </w:rPr>
        <w:t>IShowSpeed</w:t>
      </w:r>
      <w:proofErr w:type="spellEnd"/>
      <w:r w:rsidRPr="00380524">
        <w:rPr>
          <w:rFonts w:ascii="Arial" w:hAnsi="Arial" w:cs="Arial"/>
        </w:rPr>
        <w:t xml:space="preserve"> (n.d.) </w:t>
      </w:r>
      <w:r w:rsidRPr="00380524">
        <w:rPr>
          <w:rFonts w:ascii="Arial" w:hAnsi="Arial" w:cs="Arial"/>
          <w:i/>
          <w:iCs/>
        </w:rPr>
        <w:t>Official YouTube channel.</w:t>
      </w:r>
      <w:r w:rsidRPr="00380524">
        <w:rPr>
          <w:rFonts w:ascii="Arial" w:hAnsi="Arial" w:cs="Arial"/>
        </w:rPr>
        <w:t xml:space="preserve"> Available at: </w:t>
      </w:r>
      <w:hyperlink r:id="rId28" w:history="1">
        <w:r w:rsidRPr="00A45941">
          <w:rPr>
            <w:rStyle w:val="Hyperlink"/>
            <w:rFonts w:ascii="Arial" w:hAnsi="Arial" w:cs="Arial"/>
          </w:rPr>
          <w:t>https://www.youtube.com/@IShowSpeed</w:t>
        </w:r>
      </w:hyperlink>
      <w:r>
        <w:rPr>
          <w:rFonts w:ascii="Arial" w:hAnsi="Arial" w:cs="Arial"/>
        </w:rPr>
        <w:t xml:space="preserve"> </w:t>
      </w:r>
      <w:r w:rsidRPr="00380524">
        <w:rPr>
          <w:rFonts w:ascii="Arial" w:hAnsi="Arial" w:cs="Arial"/>
        </w:rPr>
        <w:t>(Accessed: 22 October 2026).</w:t>
      </w:r>
    </w:p>
    <w:p w14:paraId="1AC7CFF7" w14:textId="77777777" w:rsidR="00D55F68" w:rsidRPr="00D55F68" w:rsidRDefault="00D55F68" w:rsidP="00D55F68">
      <w:pPr>
        <w:spacing w:line="360" w:lineRule="auto"/>
        <w:jc w:val="both"/>
        <w:rPr>
          <w:rFonts w:ascii="Arial" w:hAnsi="Arial" w:cs="Arial"/>
        </w:rPr>
      </w:pPr>
      <w:r w:rsidRPr="00D55F68">
        <w:rPr>
          <w:rFonts w:ascii="Arial" w:hAnsi="Arial" w:cs="Arial"/>
        </w:rPr>
        <w:t xml:space="preserve">Istrate, R., </w:t>
      </w:r>
      <w:proofErr w:type="spellStart"/>
      <w:r w:rsidRPr="00D55F68">
        <w:rPr>
          <w:rFonts w:ascii="Arial" w:hAnsi="Arial" w:cs="Arial"/>
        </w:rPr>
        <w:t>Tulus</w:t>
      </w:r>
      <w:proofErr w:type="spellEnd"/>
      <w:r w:rsidRPr="00D55F68">
        <w:rPr>
          <w:rFonts w:ascii="Arial" w:hAnsi="Arial" w:cs="Arial"/>
        </w:rPr>
        <w:t>, V., Grass, R.N., Vanbever, L., Stark, W.J. and Guillén-Gosálbez, G. (2024) ‘</w:t>
      </w:r>
      <w:r w:rsidRPr="00D55F68">
        <w:rPr>
          <w:rFonts w:ascii="Arial" w:hAnsi="Arial" w:cs="Arial"/>
          <w:i/>
          <w:iCs/>
        </w:rPr>
        <w:t>The environmental sustainability of digital content consumption’</w:t>
      </w:r>
      <w:r w:rsidRPr="00D55F68">
        <w:rPr>
          <w:rFonts w:ascii="Arial" w:hAnsi="Arial" w:cs="Arial"/>
        </w:rPr>
        <w:t>, Nature Communications, 15, article 3724. Available at: https://doi.org/10.1038/s41467-024-47621-w (Accessed: 26 October 2026).</w:t>
      </w:r>
    </w:p>
    <w:p w14:paraId="596BE1F1" w14:textId="77777777" w:rsidR="00D55F68" w:rsidRPr="00380524" w:rsidRDefault="00D55F68" w:rsidP="00380524">
      <w:pPr>
        <w:spacing w:line="360" w:lineRule="auto"/>
        <w:rPr>
          <w:rFonts w:ascii="Arial" w:hAnsi="Arial" w:cs="Arial"/>
        </w:rPr>
      </w:pPr>
    </w:p>
    <w:p w14:paraId="4618A5D9" w14:textId="77777777" w:rsidR="00380524" w:rsidRPr="00380524" w:rsidRDefault="00380524" w:rsidP="00380524">
      <w:pPr>
        <w:spacing w:line="360" w:lineRule="auto"/>
        <w:rPr>
          <w:rFonts w:ascii="Arial" w:hAnsi="Arial" w:cs="Arial"/>
        </w:rPr>
      </w:pPr>
      <w:r w:rsidRPr="00380524">
        <w:rPr>
          <w:rFonts w:ascii="Arial" w:hAnsi="Arial" w:cs="Arial"/>
        </w:rPr>
        <w:lastRenderedPageBreak/>
        <w:t xml:space="preserve">Jenkins, H. (2006) Convergence Culture: </w:t>
      </w:r>
      <w:r w:rsidRPr="00380524">
        <w:rPr>
          <w:rFonts w:ascii="Arial" w:hAnsi="Arial" w:cs="Arial"/>
          <w:i/>
          <w:iCs/>
        </w:rPr>
        <w:t>Where Old and New Media Collide</w:t>
      </w:r>
      <w:r w:rsidRPr="00380524">
        <w:rPr>
          <w:rFonts w:ascii="Arial" w:hAnsi="Arial" w:cs="Arial"/>
        </w:rPr>
        <w:t>. New York: New York University Press.</w:t>
      </w:r>
    </w:p>
    <w:p w14:paraId="3A9F5272" w14:textId="1EB73D8D" w:rsidR="00380524" w:rsidRPr="00380524" w:rsidRDefault="00380524" w:rsidP="00380524">
      <w:pPr>
        <w:spacing w:line="360" w:lineRule="auto"/>
        <w:rPr>
          <w:rFonts w:ascii="Arial" w:hAnsi="Arial" w:cs="Arial"/>
        </w:rPr>
      </w:pPr>
      <w:r w:rsidRPr="00380524">
        <w:rPr>
          <w:rFonts w:ascii="Arial" w:hAnsi="Arial" w:cs="Arial"/>
        </w:rPr>
        <w:t>Khamis, S., Ang, L. and Welling, R. (2017) ‘</w:t>
      </w:r>
      <w:r w:rsidRPr="00380524">
        <w:rPr>
          <w:rFonts w:ascii="Arial" w:hAnsi="Arial" w:cs="Arial"/>
          <w:i/>
          <w:iCs/>
        </w:rPr>
        <w:t>Self-branding, “micro-celebrity” and the rise of social media influencers’, Celebrity Studies</w:t>
      </w:r>
      <w:r w:rsidRPr="00380524">
        <w:rPr>
          <w:rFonts w:ascii="Arial" w:hAnsi="Arial" w:cs="Arial"/>
        </w:rPr>
        <w:t xml:space="preserve">, 8(2), pp. 191–208. Available at: </w:t>
      </w:r>
      <w:hyperlink r:id="rId29" w:history="1">
        <w:r w:rsidRPr="00A45941">
          <w:rPr>
            <w:rStyle w:val="Hyperlink"/>
            <w:rFonts w:ascii="Arial" w:hAnsi="Arial" w:cs="Arial"/>
          </w:rPr>
          <w:t>https://doi.org/10.1080/19392397.2016.1218292</w:t>
        </w:r>
      </w:hyperlink>
      <w:r>
        <w:rPr>
          <w:rFonts w:ascii="Arial" w:hAnsi="Arial" w:cs="Arial"/>
        </w:rPr>
        <w:t xml:space="preserve"> </w:t>
      </w:r>
    </w:p>
    <w:p w14:paraId="0D2AA660" w14:textId="4B656026" w:rsidR="00380524" w:rsidRPr="00380524" w:rsidRDefault="00380524" w:rsidP="00380524">
      <w:pPr>
        <w:spacing w:line="360" w:lineRule="auto"/>
        <w:rPr>
          <w:rFonts w:ascii="Arial" w:hAnsi="Arial" w:cs="Arial"/>
        </w:rPr>
      </w:pPr>
      <w:r w:rsidRPr="00380524">
        <w:rPr>
          <w:rFonts w:ascii="Arial" w:hAnsi="Arial" w:cs="Arial"/>
        </w:rPr>
        <w:t xml:space="preserve">Lou, C. and Yuan, S. (2019) </w:t>
      </w:r>
      <w:r w:rsidRPr="00380524">
        <w:rPr>
          <w:rFonts w:ascii="Arial" w:hAnsi="Arial" w:cs="Arial"/>
          <w:i/>
          <w:iCs/>
        </w:rPr>
        <w:t>‘Influencer marketing: How message value and credibility affect consumer trust of branded content on social media’, Journal of Interactive Advertising</w:t>
      </w:r>
      <w:r w:rsidRPr="00380524">
        <w:rPr>
          <w:rFonts w:ascii="Arial" w:hAnsi="Arial" w:cs="Arial"/>
        </w:rPr>
        <w:t xml:space="preserve">, 19(1), pp. 58–73. Available at: </w:t>
      </w:r>
      <w:hyperlink r:id="rId30" w:history="1">
        <w:r w:rsidRPr="00A45941">
          <w:rPr>
            <w:rStyle w:val="Hyperlink"/>
            <w:rFonts w:ascii="Arial" w:hAnsi="Arial" w:cs="Arial"/>
          </w:rPr>
          <w:t>https://doi.org/10.1080/15252019.2018.1533501</w:t>
        </w:r>
      </w:hyperlink>
      <w:r>
        <w:rPr>
          <w:rFonts w:ascii="Arial" w:hAnsi="Arial" w:cs="Arial"/>
        </w:rPr>
        <w:t xml:space="preserve"> </w:t>
      </w:r>
    </w:p>
    <w:p w14:paraId="383D64E0" w14:textId="77777777" w:rsidR="00380524" w:rsidRPr="00380524" w:rsidRDefault="00380524" w:rsidP="00380524">
      <w:pPr>
        <w:spacing w:line="360" w:lineRule="auto"/>
        <w:rPr>
          <w:rFonts w:ascii="Arial" w:hAnsi="Arial" w:cs="Arial"/>
        </w:rPr>
      </w:pPr>
      <w:r w:rsidRPr="00380524">
        <w:rPr>
          <w:rFonts w:ascii="Arial" w:hAnsi="Arial" w:cs="Arial"/>
        </w:rPr>
        <w:t xml:space="preserve">Marwick, A.E. (2013) </w:t>
      </w:r>
      <w:r w:rsidRPr="00380524">
        <w:rPr>
          <w:rFonts w:ascii="Arial" w:hAnsi="Arial" w:cs="Arial"/>
          <w:i/>
          <w:iCs/>
        </w:rPr>
        <w:t>Status Update: Celebrity, Publicity, and Branding in the Social Media Age. N</w:t>
      </w:r>
      <w:r w:rsidRPr="00380524">
        <w:rPr>
          <w:rFonts w:ascii="Arial" w:hAnsi="Arial" w:cs="Arial"/>
        </w:rPr>
        <w:t>ew Haven, CT: Yale University Press.</w:t>
      </w:r>
    </w:p>
    <w:p w14:paraId="2653C177" w14:textId="3DF4588A" w:rsidR="00380524" w:rsidRPr="00380524" w:rsidRDefault="00380524" w:rsidP="00380524">
      <w:pPr>
        <w:spacing w:line="360" w:lineRule="auto"/>
        <w:rPr>
          <w:rFonts w:ascii="Arial" w:hAnsi="Arial" w:cs="Arial"/>
        </w:rPr>
      </w:pPr>
      <w:r w:rsidRPr="00380524">
        <w:rPr>
          <w:rFonts w:ascii="Arial" w:hAnsi="Arial" w:cs="Arial"/>
        </w:rPr>
        <w:t xml:space="preserve">McCracken, G. (1989) </w:t>
      </w:r>
      <w:r w:rsidRPr="00380524">
        <w:rPr>
          <w:rFonts w:ascii="Arial" w:hAnsi="Arial" w:cs="Arial"/>
          <w:i/>
          <w:iCs/>
        </w:rPr>
        <w:t>‘Who is the celebrity endorser? Cultural foundations of the endorsement process’,</w:t>
      </w:r>
      <w:r w:rsidRPr="00380524">
        <w:rPr>
          <w:rFonts w:ascii="Arial" w:hAnsi="Arial" w:cs="Arial"/>
        </w:rPr>
        <w:t xml:space="preserve"> Journal of Consumer Research, 16(3), pp. 310–321. Available at: </w:t>
      </w:r>
      <w:hyperlink r:id="rId31" w:history="1">
        <w:r w:rsidRPr="00A45941">
          <w:rPr>
            <w:rStyle w:val="Hyperlink"/>
            <w:rFonts w:ascii="Arial" w:hAnsi="Arial" w:cs="Arial"/>
          </w:rPr>
          <w:t>https://doi.org/10.1086/209217</w:t>
        </w:r>
      </w:hyperlink>
      <w:r>
        <w:rPr>
          <w:rFonts w:ascii="Arial" w:hAnsi="Arial" w:cs="Arial"/>
        </w:rPr>
        <w:t xml:space="preserve"> </w:t>
      </w:r>
    </w:p>
    <w:p w14:paraId="7631AEC5" w14:textId="076932CA" w:rsidR="00380524" w:rsidRDefault="00380524" w:rsidP="00380524">
      <w:pPr>
        <w:spacing w:line="360" w:lineRule="auto"/>
        <w:rPr>
          <w:rFonts w:ascii="Arial" w:hAnsi="Arial" w:cs="Arial"/>
        </w:rPr>
      </w:pPr>
      <w:proofErr w:type="spellStart"/>
      <w:r w:rsidRPr="00380524">
        <w:rPr>
          <w:rFonts w:ascii="Arial" w:hAnsi="Arial" w:cs="Arial"/>
        </w:rPr>
        <w:t>Nieborg</w:t>
      </w:r>
      <w:proofErr w:type="spellEnd"/>
      <w:r w:rsidRPr="00380524">
        <w:rPr>
          <w:rFonts w:ascii="Arial" w:hAnsi="Arial" w:cs="Arial"/>
        </w:rPr>
        <w:t>, D.B. and Poell, T. (2018) ‘</w:t>
      </w:r>
      <w:r w:rsidRPr="00380524">
        <w:rPr>
          <w:rFonts w:ascii="Arial" w:hAnsi="Arial" w:cs="Arial"/>
          <w:i/>
          <w:iCs/>
        </w:rPr>
        <w:t xml:space="preserve">The </w:t>
      </w:r>
      <w:proofErr w:type="spellStart"/>
      <w:r w:rsidRPr="00380524">
        <w:rPr>
          <w:rFonts w:ascii="Arial" w:hAnsi="Arial" w:cs="Arial"/>
          <w:i/>
          <w:iCs/>
        </w:rPr>
        <w:t>platformization</w:t>
      </w:r>
      <w:proofErr w:type="spellEnd"/>
      <w:r w:rsidRPr="00380524">
        <w:rPr>
          <w:rFonts w:ascii="Arial" w:hAnsi="Arial" w:cs="Arial"/>
          <w:i/>
          <w:iCs/>
        </w:rPr>
        <w:t xml:space="preserve"> of cultural production: Theorizing the contingent cultural commodity’, New Media &amp; Society</w:t>
      </w:r>
      <w:r w:rsidRPr="00380524">
        <w:rPr>
          <w:rFonts w:ascii="Arial" w:hAnsi="Arial" w:cs="Arial"/>
        </w:rPr>
        <w:t xml:space="preserve">, 20(11), pp. 4275–4292. Available at: </w:t>
      </w:r>
      <w:hyperlink r:id="rId32" w:history="1">
        <w:r w:rsidRPr="00A45941">
          <w:rPr>
            <w:rStyle w:val="Hyperlink"/>
            <w:rFonts w:ascii="Arial" w:hAnsi="Arial" w:cs="Arial"/>
          </w:rPr>
          <w:t>https://doi.org/10.1177/1461444818769694</w:t>
        </w:r>
      </w:hyperlink>
      <w:r>
        <w:rPr>
          <w:rFonts w:ascii="Arial" w:hAnsi="Arial" w:cs="Arial"/>
        </w:rPr>
        <w:t xml:space="preserve"> </w:t>
      </w:r>
    </w:p>
    <w:p w14:paraId="3C118069" w14:textId="01D00769" w:rsidR="000A3A03" w:rsidRPr="00380524" w:rsidRDefault="000A3A03" w:rsidP="00380524">
      <w:pPr>
        <w:spacing w:line="360" w:lineRule="auto"/>
        <w:rPr>
          <w:rFonts w:ascii="Arial" w:hAnsi="Arial" w:cs="Arial"/>
        </w:rPr>
      </w:pPr>
      <w:r w:rsidRPr="000A3A03">
        <w:rPr>
          <w:rFonts w:ascii="Arial" w:hAnsi="Arial" w:cs="Arial"/>
        </w:rPr>
        <w:t>OECD (2025) ‘</w:t>
      </w:r>
      <w:r w:rsidRPr="000A3A03">
        <w:rPr>
          <w:rFonts w:ascii="Arial" w:hAnsi="Arial" w:cs="Arial"/>
          <w:i/>
          <w:iCs/>
        </w:rPr>
        <w:t>Intellectual property issues in artificial intelligence trained on scraped data’, OECD Artificial Intelligence Papers</w:t>
      </w:r>
      <w:r w:rsidRPr="000A3A03">
        <w:rPr>
          <w:rFonts w:ascii="Arial" w:hAnsi="Arial" w:cs="Arial"/>
        </w:rPr>
        <w:t xml:space="preserve">, No. 33. Paris: OECD Publishing. Available at: </w:t>
      </w:r>
      <w:hyperlink r:id="rId33" w:history="1">
        <w:r w:rsidRPr="0049021A">
          <w:rPr>
            <w:rStyle w:val="Hyperlink"/>
            <w:rFonts w:ascii="Arial" w:hAnsi="Arial" w:cs="Arial"/>
          </w:rPr>
          <w:t>https://doi.org/10.17</w:t>
        </w:r>
        <w:r w:rsidRPr="0049021A">
          <w:rPr>
            <w:rStyle w:val="Hyperlink"/>
            <w:rFonts w:ascii="Arial" w:hAnsi="Arial" w:cs="Arial"/>
          </w:rPr>
          <w:t>8</w:t>
        </w:r>
        <w:r w:rsidRPr="0049021A">
          <w:rPr>
            <w:rStyle w:val="Hyperlink"/>
            <w:rFonts w:ascii="Arial" w:hAnsi="Arial" w:cs="Arial"/>
          </w:rPr>
          <w:t>7/d5241a23-en</w:t>
        </w:r>
      </w:hyperlink>
      <w:r>
        <w:rPr>
          <w:rFonts w:ascii="Arial" w:hAnsi="Arial" w:cs="Arial"/>
        </w:rPr>
        <w:t xml:space="preserve"> </w:t>
      </w:r>
    </w:p>
    <w:p w14:paraId="6B0AB2C6" w14:textId="492C901F" w:rsidR="00380524" w:rsidRDefault="00380524" w:rsidP="00380524">
      <w:pPr>
        <w:spacing w:line="360" w:lineRule="auto"/>
        <w:rPr>
          <w:rFonts w:ascii="Arial" w:hAnsi="Arial" w:cs="Arial"/>
        </w:rPr>
      </w:pPr>
      <w:r w:rsidRPr="00380524">
        <w:rPr>
          <w:rFonts w:ascii="Arial" w:hAnsi="Arial" w:cs="Arial"/>
        </w:rPr>
        <w:t xml:space="preserve">OECD (2007) </w:t>
      </w:r>
      <w:r w:rsidRPr="00380524">
        <w:rPr>
          <w:rFonts w:ascii="Arial" w:hAnsi="Arial" w:cs="Arial"/>
          <w:i/>
          <w:iCs/>
        </w:rPr>
        <w:t>Participative Web and User-Created Content: Web 2.0, Wikis and Social Networking. Paris: OECD Publishing.</w:t>
      </w:r>
      <w:r w:rsidRPr="00380524">
        <w:rPr>
          <w:rFonts w:ascii="Arial" w:hAnsi="Arial" w:cs="Arial"/>
        </w:rPr>
        <w:t xml:space="preserve"> Available at: </w:t>
      </w:r>
      <w:hyperlink r:id="rId34" w:history="1">
        <w:r w:rsidRPr="00A45941">
          <w:rPr>
            <w:rStyle w:val="Hyperlink"/>
            <w:rFonts w:ascii="Arial" w:hAnsi="Arial" w:cs="Arial"/>
          </w:rPr>
          <w:t>https://doi.org/10.1787/9789264037472-en</w:t>
        </w:r>
      </w:hyperlink>
      <w:r>
        <w:rPr>
          <w:rFonts w:ascii="Arial" w:hAnsi="Arial" w:cs="Arial"/>
        </w:rPr>
        <w:t xml:space="preserve"> </w:t>
      </w:r>
    </w:p>
    <w:p w14:paraId="1B5CCBA2" w14:textId="77777777" w:rsidR="000A3A03" w:rsidRPr="00380524" w:rsidRDefault="000A3A03" w:rsidP="00380524">
      <w:pPr>
        <w:spacing w:line="360" w:lineRule="auto"/>
        <w:rPr>
          <w:rFonts w:ascii="Arial" w:hAnsi="Arial" w:cs="Arial"/>
        </w:rPr>
      </w:pPr>
    </w:p>
    <w:p w14:paraId="147955D6" w14:textId="04905B6E" w:rsidR="00380524" w:rsidRPr="00380524" w:rsidRDefault="00380524" w:rsidP="00380524">
      <w:pPr>
        <w:spacing w:line="360" w:lineRule="auto"/>
        <w:rPr>
          <w:rFonts w:ascii="Arial" w:hAnsi="Arial" w:cs="Arial"/>
        </w:rPr>
      </w:pPr>
      <w:r w:rsidRPr="00380524">
        <w:rPr>
          <w:rFonts w:ascii="Arial" w:hAnsi="Arial" w:cs="Arial"/>
        </w:rPr>
        <w:t xml:space="preserve">Ofcom (2025) Online Nation 2025. Available at: </w:t>
      </w:r>
      <w:hyperlink r:id="rId35" w:history="1">
        <w:r w:rsidRPr="00A45941">
          <w:rPr>
            <w:rStyle w:val="Hyperlink"/>
            <w:rFonts w:ascii="Arial" w:hAnsi="Arial" w:cs="Arial"/>
          </w:rPr>
          <w:t>https://www.ofcom.org.uk/media-use-and-attitudes/online-habits/online-nation</w:t>
        </w:r>
      </w:hyperlink>
      <w:r>
        <w:rPr>
          <w:rFonts w:ascii="Arial" w:hAnsi="Arial" w:cs="Arial"/>
        </w:rPr>
        <w:t xml:space="preserve"> </w:t>
      </w:r>
      <w:r w:rsidRPr="00380524">
        <w:rPr>
          <w:rFonts w:ascii="Arial" w:hAnsi="Arial" w:cs="Arial"/>
        </w:rPr>
        <w:t xml:space="preserve"> (Accessed: </w:t>
      </w:r>
      <w:r>
        <w:rPr>
          <w:rFonts w:ascii="Arial" w:hAnsi="Arial" w:cs="Arial"/>
        </w:rPr>
        <w:t xml:space="preserve">19 </w:t>
      </w:r>
      <w:r w:rsidRPr="00380524">
        <w:rPr>
          <w:rFonts w:ascii="Arial" w:hAnsi="Arial" w:cs="Arial"/>
        </w:rPr>
        <w:t>October 2026).</w:t>
      </w:r>
    </w:p>
    <w:p w14:paraId="0DDEA89E" w14:textId="1EC57FC2" w:rsidR="00380524" w:rsidRPr="00380524" w:rsidRDefault="00380524" w:rsidP="00380524">
      <w:pPr>
        <w:spacing w:line="360" w:lineRule="auto"/>
        <w:rPr>
          <w:rFonts w:ascii="Arial" w:hAnsi="Arial" w:cs="Arial"/>
        </w:rPr>
      </w:pPr>
      <w:r w:rsidRPr="00380524">
        <w:rPr>
          <w:rFonts w:ascii="Arial" w:hAnsi="Arial" w:cs="Arial"/>
        </w:rPr>
        <w:t xml:space="preserve">Peres, R., Schreier, M., Schweidel, D.A. and </w:t>
      </w:r>
      <w:proofErr w:type="spellStart"/>
      <w:r w:rsidRPr="00380524">
        <w:rPr>
          <w:rFonts w:ascii="Arial" w:hAnsi="Arial" w:cs="Arial"/>
        </w:rPr>
        <w:t>Sorescu</w:t>
      </w:r>
      <w:proofErr w:type="spellEnd"/>
      <w:r w:rsidRPr="00380524">
        <w:rPr>
          <w:rFonts w:ascii="Arial" w:hAnsi="Arial" w:cs="Arial"/>
        </w:rPr>
        <w:t>, A. (2024) ‘</w:t>
      </w:r>
      <w:r w:rsidRPr="00380524">
        <w:rPr>
          <w:rFonts w:ascii="Arial" w:hAnsi="Arial" w:cs="Arial"/>
          <w:i/>
          <w:iCs/>
        </w:rPr>
        <w:t>The creator economy: An introduction and a call for scholarly research</w:t>
      </w:r>
      <w:r w:rsidRPr="00380524">
        <w:rPr>
          <w:rFonts w:ascii="Arial" w:hAnsi="Arial" w:cs="Arial"/>
        </w:rPr>
        <w:t xml:space="preserve">’, International Journal of Research in Marketing, 41(3), pp. 403–410. Available at: </w:t>
      </w:r>
      <w:hyperlink r:id="rId36" w:history="1">
        <w:r w:rsidRPr="00A45941">
          <w:rPr>
            <w:rStyle w:val="Hyperlink"/>
            <w:rFonts w:ascii="Arial" w:hAnsi="Arial" w:cs="Arial"/>
          </w:rPr>
          <w:t>https://doi.org/10.1016/j.ijresmar.2024.07.005</w:t>
        </w:r>
      </w:hyperlink>
      <w:r>
        <w:rPr>
          <w:rFonts w:ascii="Arial" w:hAnsi="Arial" w:cs="Arial"/>
        </w:rPr>
        <w:t xml:space="preserve"> </w:t>
      </w:r>
    </w:p>
    <w:p w14:paraId="31F77FE1" w14:textId="7C4356D8" w:rsidR="00380524" w:rsidRPr="00380524" w:rsidRDefault="00380524" w:rsidP="00380524">
      <w:pPr>
        <w:spacing w:line="360" w:lineRule="auto"/>
        <w:rPr>
          <w:rFonts w:ascii="Arial" w:hAnsi="Arial" w:cs="Arial"/>
        </w:rPr>
      </w:pPr>
      <w:r w:rsidRPr="00380524">
        <w:rPr>
          <w:rFonts w:ascii="Arial" w:hAnsi="Arial" w:cs="Arial"/>
        </w:rPr>
        <w:lastRenderedPageBreak/>
        <w:t>Social Blade (2026</w:t>
      </w:r>
      <w:r w:rsidRPr="00380524">
        <w:rPr>
          <w:rFonts w:ascii="Arial" w:hAnsi="Arial" w:cs="Arial"/>
          <w:i/>
          <w:iCs/>
        </w:rPr>
        <w:t xml:space="preserve">) </w:t>
      </w:r>
      <w:proofErr w:type="spellStart"/>
      <w:r w:rsidRPr="00380524">
        <w:rPr>
          <w:rFonts w:ascii="Arial" w:hAnsi="Arial" w:cs="Arial"/>
          <w:i/>
          <w:iCs/>
        </w:rPr>
        <w:t>IShowSpeed</w:t>
      </w:r>
      <w:proofErr w:type="spellEnd"/>
      <w:r w:rsidRPr="00380524">
        <w:rPr>
          <w:rFonts w:ascii="Arial" w:hAnsi="Arial" w:cs="Arial"/>
          <w:i/>
          <w:iCs/>
        </w:rPr>
        <w:t xml:space="preserve"> YouTube statistics</w:t>
      </w:r>
      <w:r w:rsidRPr="00380524">
        <w:rPr>
          <w:rFonts w:ascii="Arial" w:hAnsi="Arial" w:cs="Arial"/>
        </w:rPr>
        <w:t xml:space="preserve">. Available at: </w:t>
      </w:r>
      <w:hyperlink r:id="rId37" w:history="1">
        <w:r w:rsidRPr="00A45941">
          <w:rPr>
            <w:rStyle w:val="Hyperlink"/>
            <w:rFonts w:ascii="Arial" w:hAnsi="Arial" w:cs="Arial"/>
          </w:rPr>
          <w:t>https://socialblade.com/youtube/handle/ishowspeed</w:t>
        </w:r>
      </w:hyperlink>
      <w:r>
        <w:rPr>
          <w:rFonts w:ascii="Arial" w:hAnsi="Arial" w:cs="Arial"/>
        </w:rPr>
        <w:t xml:space="preserve"> </w:t>
      </w:r>
      <w:r w:rsidRPr="00380524">
        <w:rPr>
          <w:rFonts w:ascii="Arial" w:hAnsi="Arial" w:cs="Arial"/>
        </w:rPr>
        <w:t xml:space="preserve"> (Accessed: 2</w:t>
      </w:r>
      <w:r>
        <w:rPr>
          <w:rFonts w:ascii="Arial" w:hAnsi="Arial" w:cs="Arial"/>
        </w:rPr>
        <w:t>0</w:t>
      </w:r>
      <w:r w:rsidRPr="00380524">
        <w:rPr>
          <w:rFonts w:ascii="Arial" w:hAnsi="Arial" w:cs="Arial"/>
        </w:rPr>
        <w:t xml:space="preserve"> October 2026).</w:t>
      </w:r>
    </w:p>
    <w:p w14:paraId="7EF1A357" w14:textId="5FF9DB2C" w:rsidR="00380524" w:rsidRPr="00380524" w:rsidRDefault="00380524" w:rsidP="00380524">
      <w:pPr>
        <w:spacing w:line="360" w:lineRule="auto"/>
        <w:rPr>
          <w:rFonts w:ascii="Arial" w:hAnsi="Arial" w:cs="Arial"/>
        </w:rPr>
      </w:pPr>
      <w:r w:rsidRPr="00380524">
        <w:rPr>
          <w:rFonts w:ascii="Arial" w:hAnsi="Arial" w:cs="Arial"/>
        </w:rPr>
        <w:t xml:space="preserve">Social Blade (2026) The Diary of a CEO YouTube statistics. Available at: </w:t>
      </w:r>
      <w:hyperlink r:id="rId38" w:history="1">
        <w:r w:rsidRPr="00A45941">
          <w:rPr>
            <w:rStyle w:val="Hyperlink"/>
            <w:rFonts w:ascii="Arial" w:hAnsi="Arial" w:cs="Arial"/>
          </w:rPr>
          <w:t>https://socialblade.com/youtube/channel/UCGq-a57w-aPwyi3pW7XLiHw</w:t>
        </w:r>
      </w:hyperlink>
      <w:r>
        <w:rPr>
          <w:rFonts w:ascii="Arial" w:hAnsi="Arial" w:cs="Arial"/>
        </w:rPr>
        <w:t xml:space="preserve"> </w:t>
      </w:r>
      <w:r w:rsidRPr="00380524">
        <w:rPr>
          <w:rFonts w:ascii="Arial" w:hAnsi="Arial" w:cs="Arial"/>
        </w:rPr>
        <w:t xml:space="preserve">(Accessed: </w:t>
      </w:r>
      <w:r>
        <w:rPr>
          <w:rFonts w:ascii="Arial" w:hAnsi="Arial" w:cs="Arial"/>
        </w:rPr>
        <w:t>19</w:t>
      </w:r>
      <w:r w:rsidRPr="00380524">
        <w:rPr>
          <w:rFonts w:ascii="Arial" w:hAnsi="Arial" w:cs="Arial"/>
        </w:rPr>
        <w:t xml:space="preserve"> October 2026).</w:t>
      </w:r>
    </w:p>
    <w:p w14:paraId="1714412F" w14:textId="7033D259" w:rsidR="00380524" w:rsidRPr="00380524" w:rsidRDefault="00380524" w:rsidP="00380524">
      <w:pPr>
        <w:spacing w:line="360" w:lineRule="auto"/>
        <w:rPr>
          <w:rFonts w:ascii="Arial" w:hAnsi="Arial" w:cs="Arial"/>
        </w:rPr>
      </w:pPr>
      <w:r w:rsidRPr="00380524">
        <w:rPr>
          <w:rFonts w:ascii="Arial" w:hAnsi="Arial" w:cs="Arial"/>
        </w:rPr>
        <w:t xml:space="preserve">Sokolova, K. and </w:t>
      </w:r>
      <w:proofErr w:type="spellStart"/>
      <w:r w:rsidRPr="00380524">
        <w:rPr>
          <w:rFonts w:ascii="Arial" w:hAnsi="Arial" w:cs="Arial"/>
        </w:rPr>
        <w:t>Kefi</w:t>
      </w:r>
      <w:proofErr w:type="spellEnd"/>
      <w:r w:rsidRPr="00380524">
        <w:rPr>
          <w:rFonts w:ascii="Arial" w:hAnsi="Arial" w:cs="Arial"/>
        </w:rPr>
        <w:t>, H. (2020) ‘</w:t>
      </w:r>
      <w:r w:rsidRPr="00380524">
        <w:rPr>
          <w:rFonts w:ascii="Arial" w:hAnsi="Arial" w:cs="Arial"/>
          <w:i/>
          <w:iCs/>
        </w:rPr>
        <w:t>Instagram and YouTube bloggers promote it, why should I buy? How credibility and parasocial interaction influence purchase intentions’,</w:t>
      </w:r>
      <w:r w:rsidRPr="00380524">
        <w:rPr>
          <w:rFonts w:ascii="Arial" w:hAnsi="Arial" w:cs="Arial"/>
        </w:rPr>
        <w:t xml:space="preserve"> Journal of Retailing and Consumer Services, 53, article 101742. Available at: </w:t>
      </w:r>
      <w:hyperlink r:id="rId39" w:history="1">
        <w:r w:rsidRPr="00A45941">
          <w:rPr>
            <w:rStyle w:val="Hyperlink"/>
            <w:rFonts w:ascii="Arial" w:hAnsi="Arial" w:cs="Arial"/>
          </w:rPr>
          <w:t>https://doi.org/10.1016/j.jretconser.2019.01.011</w:t>
        </w:r>
      </w:hyperlink>
      <w:r>
        <w:rPr>
          <w:rFonts w:ascii="Arial" w:hAnsi="Arial" w:cs="Arial"/>
        </w:rPr>
        <w:t xml:space="preserve"> </w:t>
      </w:r>
    </w:p>
    <w:p w14:paraId="7F157639" w14:textId="69C20BBF" w:rsidR="00380524" w:rsidRPr="00380524" w:rsidRDefault="00380524" w:rsidP="00380524">
      <w:pPr>
        <w:spacing w:line="360" w:lineRule="auto"/>
        <w:rPr>
          <w:rFonts w:ascii="Arial" w:hAnsi="Arial" w:cs="Arial"/>
        </w:rPr>
      </w:pPr>
      <w:r w:rsidRPr="00380524">
        <w:rPr>
          <w:rFonts w:ascii="Arial" w:hAnsi="Arial" w:cs="Arial"/>
        </w:rPr>
        <w:t>Teece, D.J. (2010) ‘</w:t>
      </w:r>
      <w:r w:rsidRPr="00380524">
        <w:rPr>
          <w:rFonts w:ascii="Arial" w:hAnsi="Arial" w:cs="Arial"/>
          <w:i/>
          <w:iCs/>
        </w:rPr>
        <w:t>Business models, business strategy and innovation’, Long Range Planning</w:t>
      </w:r>
      <w:r w:rsidRPr="00380524">
        <w:rPr>
          <w:rFonts w:ascii="Arial" w:hAnsi="Arial" w:cs="Arial"/>
        </w:rPr>
        <w:t xml:space="preserve">, 43(2–3), pp. 172–194. Available at: </w:t>
      </w:r>
      <w:hyperlink r:id="rId40" w:history="1">
        <w:r w:rsidRPr="00A45941">
          <w:rPr>
            <w:rStyle w:val="Hyperlink"/>
            <w:rFonts w:ascii="Arial" w:hAnsi="Arial" w:cs="Arial"/>
          </w:rPr>
          <w:t>https://doi.org/10.1016/j.lrp.2009.07.003</w:t>
        </w:r>
      </w:hyperlink>
      <w:r>
        <w:rPr>
          <w:rFonts w:ascii="Arial" w:hAnsi="Arial" w:cs="Arial"/>
        </w:rPr>
        <w:t xml:space="preserve"> </w:t>
      </w:r>
    </w:p>
    <w:p w14:paraId="756553DA" w14:textId="7E255790" w:rsidR="00380524" w:rsidRDefault="00380524" w:rsidP="00380524">
      <w:pPr>
        <w:spacing w:line="360" w:lineRule="auto"/>
        <w:rPr>
          <w:rFonts w:ascii="Arial" w:hAnsi="Arial" w:cs="Arial"/>
        </w:rPr>
      </w:pPr>
      <w:proofErr w:type="spellStart"/>
      <w:r w:rsidRPr="00380524">
        <w:rPr>
          <w:rFonts w:ascii="Arial" w:hAnsi="Arial" w:cs="Arial"/>
        </w:rPr>
        <w:t>Vrontis</w:t>
      </w:r>
      <w:proofErr w:type="spellEnd"/>
      <w:r w:rsidRPr="00380524">
        <w:rPr>
          <w:rFonts w:ascii="Arial" w:hAnsi="Arial" w:cs="Arial"/>
        </w:rPr>
        <w:t xml:space="preserve">, D., Makrides, A., Christofi, M. and </w:t>
      </w:r>
      <w:proofErr w:type="spellStart"/>
      <w:r w:rsidRPr="00380524">
        <w:rPr>
          <w:rFonts w:ascii="Arial" w:hAnsi="Arial" w:cs="Arial"/>
        </w:rPr>
        <w:t>Thrassou</w:t>
      </w:r>
      <w:proofErr w:type="spellEnd"/>
      <w:r w:rsidRPr="00380524">
        <w:rPr>
          <w:rFonts w:ascii="Arial" w:hAnsi="Arial" w:cs="Arial"/>
        </w:rPr>
        <w:t>, A. (2021) ‘</w:t>
      </w:r>
      <w:r w:rsidRPr="00380524">
        <w:rPr>
          <w:rFonts w:ascii="Arial" w:hAnsi="Arial" w:cs="Arial"/>
          <w:i/>
          <w:iCs/>
        </w:rPr>
        <w:t>Social media influencer marketing: A systematic review, integrative framework and future research agenda’, International Journal of Consumer Studies</w:t>
      </w:r>
      <w:r w:rsidRPr="00380524">
        <w:rPr>
          <w:rFonts w:ascii="Arial" w:hAnsi="Arial" w:cs="Arial"/>
        </w:rPr>
        <w:t xml:space="preserve">, 45(4), pp. 617–644. Available at: </w:t>
      </w:r>
      <w:hyperlink r:id="rId41" w:history="1">
        <w:r w:rsidRPr="00A45941">
          <w:rPr>
            <w:rStyle w:val="Hyperlink"/>
            <w:rFonts w:ascii="Arial" w:hAnsi="Arial" w:cs="Arial"/>
          </w:rPr>
          <w:t>https://doi.org/10.1111/ijcs.12647</w:t>
        </w:r>
      </w:hyperlink>
      <w:r>
        <w:rPr>
          <w:rFonts w:ascii="Arial" w:hAnsi="Arial" w:cs="Arial"/>
        </w:rPr>
        <w:t xml:space="preserve"> </w:t>
      </w:r>
    </w:p>
    <w:p w14:paraId="3405E378" w14:textId="77777777" w:rsidR="00380524" w:rsidRDefault="00380524" w:rsidP="00380524">
      <w:pPr>
        <w:spacing w:line="360" w:lineRule="auto"/>
        <w:rPr>
          <w:rFonts w:ascii="Arial" w:hAnsi="Arial" w:cs="Arial"/>
        </w:rPr>
      </w:pPr>
    </w:p>
    <w:p w14:paraId="146A8F6D" w14:textId="77777777" w:rsidR="00380524" w:rsidRDefault="00380524" w:rsidP="00380524">
      <w:pPr>
        <w:spacing w:line="360" w:lineRule="auto"/>
        <w:rPr>
          <w:rFonts w:ascii="Arial" w:hAnsi="Arial" w:cs="Arial"/>
        </w:rPr>
      </w:pPr>
    </w:p>
    <w:p w14:paraId="28B6507F" w14:textId="77777777" w:rsidR="00380524" w:rsidRDefault="00380524" w:rsidP="00380524">
      <w:pPr>
        <w:spacing w:line="360" w:lineRule="auto"/>
        <w:rPr>
          <w:rFonts w:ascii="Arial" w:hAnsi="Arial" w:cs="Arial"/>
        </w:rPr>
      </w:pPr>
    </w:p>
    <w:p w14:paraId="7108B980" w14:textId="77777777" w:rsidR="00380524" w:rsidRDefault="00380524" w:rsidP="00380524">
      <w:pPr>
        <w:spacing w:line="360" w:lineRule="auto"/>
        <w:rPr>
          <w:rFonts w:ascii="Arial" w:hAnsi="Arial" w:cs="Arial"/>
        </w:rPr>
      </w:pPr>
    </w:p>
    <w:p w14:paraId="70326F24" w14:textId="77777777" w:rsidR="00380524" w:rsidRDefault="00380524" w:rsidP="00380524">
      <w:pPr>
        <w:spacing w:line="360" w:lineRule="auto"/>
        <w:rPr>
          <w:rFonts w:ascii="Arial" w:hAnsi="Arial" w:cs="Arial"/>
        </w:rPr>
      </w:pPr>
    </w:p>
    <w:p w14:paraId="4DC11164" w14:textId="77777777" w:rsidR="00380524" w:rsidRDefault="00380524" w:rsidP="00380524">
      <w:pPr>
        <w:spacing w:line="360" w:lineRule="auto"/>
        <w:rPr>
          <w:rFonts w:ascii="Arial" w:hAnsi="Arial" w:cs="Arial"/>
        </w:rPr>
      </w:pPr>
    </w:p>
    <w:p w14:paraId="592610AA" w14:textId="77777777" w:rsidR="00380524" w:rsidRDefault="00380524" w:rsidP="00380524">
      <w:pPr>
        <w:spacing w:line="360" w:lineRule="auto"/>
        <w:rPr>
          <w:rFonts w:ascii="Arial" w:hAnsi="Arial" w:cs="Arial"/>
        </w:rPr>
      </w:pPr>
    </w:p>
    <w:p w14:paraId="64EB13BC" w14:textId="77777777" w:rsidR="00380524" w:rsidRDefault="00380524" w:rsidP="00380524">
      <w:pPr>
        <w:spacing w:line="360" w:lineRule="auto"/>
        <w:rPr>
          <w:rFonts w:ascii="Arial" w:hAnsi="Arial" w:cs="Arial"/>
        </w:rPr>
      </w:pPr>
    </w:p>
    <w:p w14:paraId="6EC4AFBA" w14:textId="53EC310C" w:rsidR="00A9241C" w:rsidRDefault="00A9241C" w:rsidP="00A9241C">
      <w:pPr>
        <w:spacing w:line="360" w:lineRule="auto"/>
        <w:ind w:left="140"/>
        <w:rPr>
          <w:rFonts w:ascii="Arial" w:hAnsi="Arial" w:cs="Arial"/>
          <w:b/>
          <w:bCs/>
        </w:rPr>
      </w:pPr>
      <w:r w:rsidRPr="00A9241C">
        <w:rPr>
          <w:rFonts w:ascii="Arial" w:hAnsi="Arial" w:cs="Arial"/>
          <w:b/>
          <w:bCs/>
        </w:rPr>
        <w:t xml:space="preserve">11.Appendices </w:t>
      </w:r>
    </w:p>
    <w:p w14:paraId="08EEB594" w14:textId="77BC6EB3" w:rsidR="00A9241C" w:rsidRPr="00A9241C" w:rsidRDefault="00A9241C" w:rsidP="00A9241C">
      <w:pPr>
        <w:pStyle w:val="ListParagraph"/>
        <w:numPr>
          <w:ilvl w:val="0"/>
          <w:numId w:val="7"/>
        </w:numPr>
        <w:spacing w:line="360" w:lineRule="auto"/>
        <w:jc w:val="both"/>
        <w:rPr>
          <w:rFonts w:ascii="Arial" w:hAnsi="Arial" w:cs="Arial"/>
          <w:b/>
          <w:bCs/>
        </w:rPr>
      </w:pPr>
      <w:r w:rsidRPr="00A9241C">
        <w:rPr>
          <w:rFonts w:ascii="Arial" w:hAnsi="Arial" w:cs="Arial"/>
          <w:b/>
          <w:bCs/>
        </w:rPr>
        <w:t xml:space="preserve">Appendix A: STEEPLE Analysis </w:t>
      </w:r>
    </w:p>
    <w:tbl>
      <w:tblPr>
        <w:tblStyle w:val="TableGrid"/>
        <w:tblW w:w="0" w:type="auto"/>
        <w:tblInd w:w="140" w:type="dxa"/>
        <w:tblLook w:val="04A0" w:firstRow="1" w:lastRow="0" w:firstColumn="1" w:lastColumn="0" w:noHBand="0" w:noVBand="1"/>
      </w:tblPr>
      <w:tblGrid>
        <w:gridCol w:w="2233"/>
        <w:gridCol w:w="2208"/>
        <w:gridCol w:w="2209"/>
        <w:gridCol w:w="2226"/>
      </w:tblGrid>
      <w:tr w:rsidR="00A9241C" w14:paraId="060C8BB8" w14:textId="77777777" w:rsidTr="00A9241C">
        <w:tc>
          <w:tcPr>
            <w:tcW w:w="2233" w:type="dxa"/>
          </w:tcPr>
          <w:p w14:paraId="422ADCFD" w14:textId="0CB11520" w:rsidR="00A9241C" w:rsidRDefault="00A9241C" w:rsidP="00A9241C">
            <w:pPr>
              <w:spacing w:line="360" w:lineRule="auto"/>
              <w:rPr>
                <w:rFonts w:ascii="Arial" w:hAnsi="Arial" w:cs="Arial"/>
                <w:b/>
                <w:bCs/>
              </w:rPr>
            </w:pPr>
            <w:r>
              <w:rPr>
                <w:rFonts w:ascii="Arial" w:hAnsi="Arial" w:cs="Arial"/>
                <w:b/>
                <w:bCs/>
              </w:rPr>
              <w:lastRenderedPageBreak/>
              <w:t>Factor</w:t>
            </w:r>
          </w:p>
        </w:tc>
        <w:tc>
          <w:tcPr>
            <w:tcW w:w="2208" w:type="dxa"/>
          </w:tcPr>
          <w:p w14:paraId="016CB7D8" w14:textId="3DE4DBD8" w:rsidR="00A9241C" w:rsidRDefault="00A9241C" w:rsidP="00522C4B">
            <w:pPr>
              <w:rPr>
                <w:rFonts w:ascii="Arial" w:hAnsi="Arial" w:cs="Arial"/>
                <w:b/>
                <w:bCs/>
              </w:rPr>
            </w:pPr>
            <w:r>
              <w:rPr>
                <w:rFonts w:ascii="Arial" w:hAnsi="Arial" w:cs="Arial"/>
                <w:b/>
                <w:bCs/>
              </w:rPr>
              <w:t xml:space="preserve">External change and cause </w:t>
            </w:r>
          </w:p>
        </w:tc>
        <w:tc>
          <w:tcPr>
            <w:tcW w:w="2209" w:type="dxa"/>
          </w:tcPr>
          <w:p w14:paraId="42D59C74" w14:textId="521B11F9" w:rsidR="00A9241C" w:rsidRDefault="00A9241C" w:rsidP="00522C4B">
            <w:pPr>
              <w:rPr>
                <w:rFonts w:ascii="Arial" w:hAnsi="Arial" w:cs="Arial"/>
                <w:b/>
                <w:bCs/>
              </w:rPr>
            </w:pPr>
            <w:r>
              <w:rPr>
                <w:rFonts w:ascii="Arial" w:hAnsi="Arial" w:cs="Arial"/>
                <w:b/>
                <w:bCs/>
              </w:rPr>
              <w:t xml:space="preserve">Effect of influencers / creators </w:t>
            </w:r>
          </w:p>
        </w:tc>
        <w:tc>
          <w:tcPr>
            <w:tcW w:w="2226" w:type="dxa"/>
          </w:tcPr>
          <w:p w14:paraId="17DFF6D2" w14:textId="4BAE739C" w:rsidR="00A9241C" w:rsidRDefault="00A9241C" w:rsidP="00522C4B">
            <w:pPr>
              <w:rPr>
                <w:rFonts w:ascii="Arial" w:hAnsi="Arial" w:cs="Arial"/>
                <w:b/>
                <w:bCs/>
              </w:rPr>
            </w:pPr>
            <w:r>
              <w:rPr>
                <w:rFonts w:ascii="Arial" w:hAnsi="Arial" w:cs="Arial"/>
                <w:b/>
                <w:bCs/>
              </w:rPr>
              <w:t xml:space="preserve">Opportunities and Threats </w:t>
            </w:r>
          </w:p>
        </w:tc>
      </w:tr>
      <w:tr w:rsidR="00A9241C" w14:paraId="6DBE3B06" w14:textId="77777777" w:rsidTr="00A9241C">
        <w:tc>
          <w:tcPr>
            <w:tcW w:w="2233" w:type="dxa"/>
          </w:tcPr>
          <w:p w14:paraId="2A58B284" w14:textId="35A55887" w:rsidR="00A9241C" w:rsidRDefault="00A9241C" w:rsidP="00A9241C">
            <w:pPr>
              <w:spacing w:line="360" w:lineRule="auto"/>
              <w:rPr>
                <w:rFonts w:ascii="Arial" w:hAnsi="Arial" w:cs="Arial"/>
                <w:b/>
                <w:bCs/>
              </w:rPr>
            </w:pPr>
            <w:r>
              <w:rPr>
                <w:rFonts w:ascii="Arial" w:hAnsi="Arial" w:cs="Arial"/>
                <w:b/>
                <w:bCs/>
              </w:rPr>
              <w:t>Social</w:t>
            </w:r>
          </w:p>
        </w:tc>
        <w:tc>
          <w:tcPr>
            <w:tcW w:w="2208" w:type="dxa"/>
          </w:tcPr>
          <w:p w14:paraId="27C52CEC" w14:textId="0F80800E" w:rsidR="00A9241C" w:rsidRDefault="00A9241C" w:rsidP="00522C4B">
            <w:pPr>
              <w:rPr>
                <w:rFonts w:ascii="Arial" w:hAnsi="Arial" w:cs="Arial"/>
                <w:b/>
                <w:bCs/>
              </w:rPr>
            </w:pPr>
            <w:r w:rsidRPr="00810CA4">
              <w:rPr>
                <w:rFonts w:ascii="Arial" w:hAnsi="Arial" w:cs="Arial"/>
              </w:rPr>
              <w:t>Audiences increasingly engage with personality-led, interactive and niche content.</w:t>
            </w:r>
          </w:p>
        </w:tc>
        <w:tc>
          <w:tcPr>
            <w:tcW w:w="2209" w:type="dxa"/>
          </w:tcPr>
          <w:p w14:paraId="525931B3" w14:textId="4B225F49" w:rsidR="00A9241C" w:rsidRDefault="00A9241C" w:rsidP="00522C4B">
            <w:pPr>
              <w:rPr>
                <w:rFonts w:ascii="Arial" w:hAnsi="Arial" w:cs="Arial"/>
                <w:b/>
                <w:bCs/>
              </w:rPr>
            </w:pPr>
            <w:r w:rsidRPr="00810CA4">
              <w:rPr>
                <w:rFonts w:ascii="Arial" w:hAnsi="Arial" w:cs="Arial"/>
              </w:rPr>
              <w:t>Creators must maintain engagement and manage public reputation.</w:t>
            </w:r>
          </w:p>
        </w:tc>
        <w:tc>
          <w:tcPr>
            <w:tcW w:w="2226" w:type="dxa"/>
          </w:tcPr>
          <w:p w14:paraId="42D4834F" w14:textId="4C432639" w:rsidR="00A9241C" w:rsidRDefault="00A9241C" w:rsidP="00522C4B">
            <w:pPr>
              <w:rPr>
                <w:rFonts w:ascii="Arial" w:hAnsi="Arial" w:cs="Arial"/>
                <w:b/>
                <w:bCs/>
              </w:rPr>
            </w:pPr>
            <w:r w:rsidRPr="00810CA4">
              <w:rPr>
                <w:rFonts w:ascii="Arial" w:hAnsi="Arial" w:cs="Arial"/>
              </w:rPr>
              <w:t>Opportunity: loyal communities. Threat: audience fatigue and reputational crises.</w:t>
            </w:r>
          </w:p>
        </w:tc>
      </w:tr>
      <w:tr w:rsidR="00A9241C" w14:paraId="25703297" w14:textId="77777777" w:rsidTr="00A9241C">
        <w:tc>
          <w:tcPr>
            <w:tcW w:w="2233" w:type="dxa"/>
          </w:tcPr>
          <w:p w14:paraId="35EB4067" w14:textId="7CF97284" w:rsidR="00A9241C" w:rsidRDefault="00A9241C" w:rsidP="00A9241C">
            <w:pPr>
              <w:spacing w:line="360" w:lineRule="auto"/>
              <w:rPr>
                <w:rFonts w:ascii="Arial" w:hAnsi="Arial" w:cs="Arial"/>
                <w:b/>
                <w:bCs/>
              </w:rPr>
            </w:pPr>
            <w:r>
              <w:rPr>
                <w:rFonts w:ascii="Arial" w:hAnsi="Arial" w:cs="Arial"/>
                <w:b/>
                <w:bCs/>
              </w:rPr>
              <w:t xml:space="preserve">Technological </w:t>
            </w:r>
          </w:p>
        </w:tc>
        <w:tc>
          <w:tcPr>
            <w:tcW w:w="2208" w:type="dxa"/>
          </w:tcPr>
          <w:p w14:paraId="1D128690" w14:textId="45C04059" w:rsidR="00A9241C" w:rsidRDefault="00A9241C" w:rsidP="00522C4B">
            <w:pPr>
              <w:rPr>
                <w:rFonts w:ascii="Arial" w:hAnsi="Arial" w:cs="Arial"/>
                <w:b/>
                <w:bCs/>
              </w:rPr>
            </w:pPr>
            <w:r w:rsidRPr="00810CA4">
              <w:rPr>
                <w:rFonts w:ascii="Arial" w:hAnsi="Arial" w:cs="Arial"/>
              </w:rPr>
              <w:t>Algorithms, AI tools, livestreaming and distribution systems evolve rapidly.</w:t>
            </w:r>
          </w:p>
        </w:tc>
        <w:tc>
          <w:tcPr>
            <w:tcW w:w="2209" w:type="dxa"/>
          </w:tcPr>
          <w:p w14:paraId="6AC0FF4D" w14:textId="4AA9B0FE" w:rsidR="00A9241C" w:rsidRDefault="00A9241C" w:rsidP="00522C4B">
            <w:pPr>
              <w:rPr>
                <w:rFonts w:ascii="Arial" w:hAnsi="Arial" w:cs="Arial"/>
                <w:b/>
                <w:bCs/>
              </w:rPr>
            </w:pPr>
            <w:r w:rsidRPr="00810CA4">
              <w:rPr>
                <w:rFonts w:ascii="Arial" w:hAnsi="Arial" w:cs="Arial"/>
              </w:rPr>
              <w:t>Creators must adapt production and distribution strategies.</w:t>
            </w:r>
          </w:p>
        </w:tc>
        <w:tc>
          <w:tcPr>
            <w:tcW w:w="2226" w:type="dxa"/>
          </w:tcPr>
          <w:p w14:paraId="090F27A2" w14:textId="12E20F65" w:rsidR="00A9241C" w:rsidRDefault="00A9241C" w:rsidP="00522C4B">
            <w:pPr>
              <w:rPr>
                <w:rFonts w:ascii="Arial" w:hAnsi="Arial" w:cs="Arial"/>
                <w:b/>
                <w:bCs/>
              </w:rPr>
            </w:pPr>
            <w:r w:rsidRPr="00810CA4">
              <w:rPr>
                <w:rFonts w:ascii="Arial" w:hAnsi="Arial" w:cs="Arial"/>
              </w:rPr>
              <w:t>Opportunity: lower costs and wider reach. Threat: platform dependence and saturation.</w:t>
            </w:r>
          </w:p>
        </w:tc>
      </w:tr>
      <w:tr w:rsidR="00A9241C" w14:paraId="23647636" w14:textId="77777777" w:rsidTr="00A9241C">
        <w:tc>
          <w:tcPr>
            <w:tcW w:w="2233" w:type="dxa"/>
          </w:tcPr>
          <w:p w14:paraId="5C51A24C" w14:textId="451EA97F" w:rsidR="00A9241C" w:rsidRDefault="00A9241C" w:rsidP="00A9241C">
            <w:pPr>
              <w:spacing w:line="360" w:lineRule="auto"/>
              <w:rPr>
                <w:rFonts w:ascii="Arial" w:hAnsi="Arial" w:cs="Arial"/>
                <w:b/>
                <w:bCs/>
              </w:rPr>
            </w:pPr>
            <w:r>
              <w:rPr>
                <w:rFonts w:ascii="Arial" w:hAnsi="Arial" w:cs="Arial"/>
                <w:b/>
                <w:bCs/>
              </w:rPr>
              <w:t>Economic</w:t>
            </w:r>
          </w:p>
        </w:tc>
        <w:tc>
          <w:tcPr>
            <w:tcW w:w="2208" w:type="dxa"/>
          </w:tcPr>
          <w:p w14:paraId="42CC1679" w14:textId="3BC32128" w:rsidR="00A9241C" w:rsidRDefault="00A9241C" w:rsidP="00522C4B">
            <w:pPr>
              <w:rPr>
                <w:rFonts w:ascii="Arial" w:hAnsi="Arial" w:cs="Arial"/>
                <w:b/>
                <w:bCs/>
              </w:rPr>
            </w:pPr>
            <w:r w:rsidRPr="00810CA4">
              <w:rPr>
                <w:rFonts w:ascii="Arial" w:hAnsi="Arial" w:cs="Arial"/>
              </w:rPr>
              <w:t>Advertising budgets fluctuate; sponsorship competition and production costs vary.</w:t>
            </w:r>
          </w:p>
        </w:tc>
        <w:tc>
          <w:tcPr>
            <w:tcW w:w="2209" w:type="dxa"/>
          </w:tcPr>
          <w:p w14:paraId="2A870A22" w14:textId="5664BCE4" w:rsidR="00A9241C" w:rsidRDefault="00A9241C" w:rsidP="00522C4B">
            <w:pPr>
              <w:rPr>
                <w:rFonts w:ascii="Arial" w:hAnsi="Arial" w:cs="Arial"/>
                <w:b/>
                <w:bCs/>
              </w:rPr>
            </w:pPr>
            <w:r w:rsidRPr="00810CA4">
              <w:rPr>
                <w:rFonts w:ascii="Arial" w:hAnsi="Arial" w:cs="Arial"/>
              </w:rPr>
              <w:t>Income can be unpredictable, especially with one revenue stream.</w:t>
            </w:r>
          </w:p>
        </w:tc>
        <w:tc>
          <w:tcPr>
            <w:tcW w:w="2226" w:type="dxa"/>
          </w:tcPr>
          <w:p w14:paraId="199C7C97" w14:textId="013383CB" w:rsidR="00A9241C" w:rsidRDefault="00A9241C" w:rsidP="00522C4B">
            <w:pPr>
              <w:rPr>
                <w:rFonts w:ascii="Arial" w:hAnsi="Arial" w:cs="Arial"/>
                <w:b/>
                <w:bCs/>
              </w:rPr>
            </w:pPr>
            <w:r w:rsidRPr="00810CA4">
              <w:rPr>
                <w:rFonts w:ascii="Arial" w:hAnsi="Arial" w:cs="Arial"/>
              </w:rPr>
              <w:t>Opportunity: subscriptions, products and licensing. Threat: unstable earnings.</w:t>
            </w:r>
          </w:p>
        </w:tc>
      </w:tr>
      <w:tr w:rsidR="00A9241C" w14:paraId="7B71E060" w14:textId="77777777" w:rsidTr="00A9241C">
        <w:tc>
          <w:tcPr>
            <w:tcW w:w="2233" w:type="dxa"/>
          </w:tcPr>
          <w:p w14:paraId="6017C8C9" w14:textId="6DF1B62B" w:rsidR="00A9241C" w:rsidRDefault="00A9241C" w:rsidP="00A9241C">
            <w:pPr>
              <w:spacing w:line="360" w:lineRule="auto"/>
              <w:rPr>
                <w:rFonts w:ascii="Arial" w:hAnsi="Arial" w:cs="Arial"/>
                <w:b/>
                <w:bCs/>
              </w:rPr>
            </w:pPr>
            <w:r>
              <w:rPr>
                <w:rFonts w:ascii="Arial" w:hAnsi="Arial" w:cs="Arial"/>
                <w:b/>
                <w:bCs/>
              </w:rPr>
              <w:t>Environmental</w:t>
            </w:r>
          </w:p>
        </w:tc>
        <w:tc>
          <w:tcPr>
            <w:tcW w:w="2208" w:type="dxa"/>
          </w:tcPr>
          <w:p w14:paraId="0B7EB8B0" w14:textId="6FC002CB" w:rsidR="00A9241C" w:rsidRDefault="00A9241C" w:rsidP="00522C4B">
            <w:pPr>
              <w:rPr>
                <w:rFonts w:ascii="Arial" w:hAnsi="Arial" w:cs="Arial"/>
                <w:b/>
                <w:bCs/>
              </w:rPr>
            </w:pPr>
            <w:r w:rsidRPr="00810CA4">
              <w:rPr>
                <w:rFonts w:ascii="Arial" w:hAnsi="Arial" w:cs="Arial"/>
              </w:rPr>
              <w:t>Streaming, storage and AI processing require digital infrastructure and energy.</w:t>
            </w:r>
          </w:p>
        </w:tc>
        <w:tc>
          <w:tcPr>
            <w:tcW w:w="2209" w:type="dxa"/>
          </w:tcPr>
          <w:p w14:paraId="17800079" w14:textId="68BB90F5" w:rsidR="00A9241C" w:rsidRDefault="00A9241C" w:rsidP="00522C4B">
            <w:pPr>
              <w:rPr>
                <w:rFonts w:ascii="Arial" w:hAnsi="Arial" w:cs="Arial"/>
                <w:b/>
                <w:bCs/>
              </w:rPr>
            </w:pPr>
            <w:r w:rsidRPr="00810CA4">
              <w:rPr>
                <w:rFonts w:ascii="Arial" w:hAnsi="Arial" w:cs="Arial"/>
              </w:rPr>
              <w:t>Creators may have limited visibility into their content footprint.</w:t>
            </w:r>
          </w:p>
        </w:tc>
        <w:tc>
          <w:tcPr>
            <w:tcW w:w="2226" w:type="dxa"/>
          </w:tcPr>
          <w:p w14:paraId="249ECED7" w14:textId="427B7AD3" w:rsidR="00A9241C" w:rsidRDefault="00A9241C" w:rsidP="00522C4B">
            <w:pPr>
              <w:rPr>
                <w:rFonts w:ascii="Arial" w:hAnsi="Arial" w:cs="Arial"/>
                <w:b/>
                <w:bCs/>
              </w:rPr>
            </w:pPr>
            <w:r w:rsidRPr="00810CA4">
              <w:rPr>
                <w:rFonts w:ascii="Arial" w:hAnsi="Arial" w:cs="Arial"/>
              </w:rPr>
              <w:t>Opportunity: efficient production. Threat: growing infrastructure demand.</w:t>
            </w:r>
          </w:p>
        </w:tc>
      </w:tr>
      <w:tr w:rsidR="00A9241C" w14:paraId="579552C5" w14:textId="77777777" w:rsidTr="00A9241C">
        <w:tc>
          <w:tcPr>
            <w:tcW w:w="2233" w:type="dxa"/>
          </w:tcPr>
          <w:p w14:paraId="5AB9ADA6" w14:textId="5F18C63D" w:rsidR="00A9241C" w:rsidRDefault="00A9241C" w:rsidP="00A9241C">
            <w:pPr>
              <w:spacing w:line="360" w:lineRule="auto"/>
              <w:rPr>
                <w:rFonts w:ascii="Arial" w:hAnsi="Arial" w:cs="Arial"/>
                <w:b/>
                <w:bCs/>
              </w:rPr>
            </w:pPr>
            <w:r>
              <w:rPr>
                <w:rFonts w:ascii="Arial" w:hAnsi="Arial" w:cs="Arial"/>
                <w:b/>
                <w:bCs/>
              </w:rPr>
              <w:t>Political</w:t>
            </w:r>
          </w:p>
        </w:tc>
        <w:tc>
          <w:tcPr>
            <w:tcW w:w="2208" w:type="dxa"/>
          </w:tcPr>
          <w:p w14:paraId="20478D00" w14:textId="6A1486BE" w:rsidR="00A9241C" w:rsidRDefault="00A9241C" w:rsidP="00522C4B">
            <w:pPr>
              <w:rPr>
                <w:rFonts w:ascii="Arial" w:hAnsi="Arial" w:cs="Arial"/>
                <w:b/>
                <w:bCs/>
              </w:rPr>
            </w:pPr>
            <w:r w:rsidRPr="00810CA4">
              <w:rPr>
                <w:rFonts w:ascii="Arial" w:hAnsi="Arial" w:cs="Arial"/>
              </w:rPr>
              <w:t>Governments debate platform accountability, online safety and AI governance.</w:t>
            </w:r>
          </w:p>
        </w:tc>
        <w:tc>
          <w:tcPr>
            <w:tcW w:w="2209" w:type="dxa"/>
          </w:tcPr>
          <w:p w14:paraId="73F90EB7" w14:textId="174BB13F" w:rsidR="00A9241C" w:rsidRDefault="00A9241C" w:rsidP="00522C4B">
            <w:pPr>
              <w:rPr>
                <w:rFonts w:ascii="Arial" w:hAnsi="Arial" w:cs="Arial"/>
                <w:b/>
                <w:bCs/>
              </w:rPr>
            </w:pPr>
            <w:r w:rsidRPr="00810CA4">
              <w:rPr>
                <w:rFonts w:ascii="Arial" w:hAnsi="Arial" w:cs="Arial"/>
              </w:rPr>
              <w:t>Policy changes can alter digital publishing conditions.</w:t>
            </w:r>
          </w:p>
        </w:tc>
        <w:tc>
          <w:tcPr>
            <w:tcW w:w="2226" w:type="dxa"/>
          </w:tcPr>
          <w:p w14:paraId="34B67AE4" w14:textId="4E0133D1" w:rsidR="00A9241C" w:rsidRDefault="00A9241C" w:rsidP="00522C4B">
            <w:pPr>
              <w:rPr>
                <w:rFonts w:ascii="Arial" w:hAnsi="Arial" w:cs="Arial"/>
                <w:b/>
                <w:bCs/>
              </w:rPr>
            </w:pPr>
            <w:r w:rsidRPr="00810CA4">
              <w:rPr>
                <w:rFonts w:ascii="Arial" w:hAnsi="Arial" w:cs="Arial"/>
              </w:rPr>
              <w:t>Opportunity: clearer standards. Threat: regulatory uncertainty.</w:t>
            </w:r>
          </w:p>
        </w:tc>
      </w:tr>
      <w:tr w:rsidR="00A9241C" w14:paraId="3CB72E41" w14:textId="77777777" w:rsidTr="00A9241C">
        <w:tc>
          <w:tcPr>
            <w:tcW w:w="2233" w:type="dxa"/>
          </w:tcPr>
          <w:p w14:paraId="16953685" w14:textId="73E0CF8E" w:rsidR="00A9241C" w:rsidRDefault="00A9241C" w:rsidP="00A9241C">
            <w:pPr>
              <w:spacing w:line="360" w:lineRule="auto"/>
              <w:rPr>
                <w:rFonts w:ascii="Arial" w:hAnsi="Arial" w:cs="Arial"/>
                <w:b/>
                <w:bCs/>
              </w:rPr>
            </w:pPr>
            <w:r>
              <w:rPr>
                <w:rFonts w:ascii="Arial" w:hAnsi="Arial" w:cs="Arial"/>
                <w:b/>
                <w:bCs/>
              </w:rPr>
              <w:t>Legal</w:t>
            </w:r>
          </w:p>
        </w:tc>
        <w:tc>
          <w:tcPr>
            <w:tcW w:w="2208" w:type="dxa"/>
          </w:tcPr>
          <w:p w14:paraId="755955D1" w14:textId="39D63C5B" w:rsidR="00A9241C" w:rsidRDefault="00A9241C" w:rsidP="00522C4B">
            <w:pPr>
              <w:rPr>
                <w:rFonts w:ascii="Arial" w:hAnsi="Arial" w:cs="Arial"/>
                <w:b/>
                <w:bCs/>
              </w:rPr>
            </w:pPr>
            <w:r w:rsidRPr="00810CA4">
              <w:rPr>
                <w:rFonts w:ascii="Arial" w:hAnsi="Arial" w:cs="Arial"/>
              </w:rPr>
              <w:t>Advertising disclosure, consumer protection, copyright and privacy rules affect creators.</w:t>
            </w:r>
          </w:p>
        </w:tc>
        <w:tc>
          <w:tcPr>
            <w:tcW w:w="2209" w:type="dxa"/>
          </w:tcPr>
          <w:p w14:paraId="7F3E3A65" w14:textId="2B140930" w:rsidR="00A9241C" w:rsidRDefault="00A9241C" w:rsidP="00522C4B">
            <w:pPr>
              <w:rPr>
                <w:rFonts w:ascii="Arial" w:hAnsi="Arial" w:cs="Arial"/>
                <w:b/>
                <w:bCs/>
              </w:rPr>
            </w:pPr>
            <w:r w:rsidRPr="00810CA4">
              <w:rPr>
                <w:rFonts w:ascii="Arial" w:hAnsi="Arial" w:cs="Arial"/>
              </w:rPr>
              <w:t>Creators need procedures for promotions, content rights and data.</w:t>
            </w:r>
          </w:p>
        </w:tc>
        <w:tc>
          <w:tcPr>
            <w:tcW w:w="2226" w:type="dxa"/>
          </w:tcPr>
          <w:p w14:paraId="11531E1E" w14:textId="53ED0BEA" w:rsidR="00A9241C" w:rsidRDefault="00A9241C" w:rsidP="00522C4B">
            <w:pPr>
              <w:rPr>
                <w:rFonts w:ascii="Arial" w:hAnsi="Arial" w:cs="Arial"/>
                <w:b/>
                <w:bCs/>
              </w:rPr>
            </w:pPr>
            <w:r w:rsidRPr="00810CA4">
              <w:rPr>
                <w:rFonts w:ascii="Arial" w:hAnsi="Arial" w:cs="Arial"/>
              </w:rPr>
              <w:t>Opportunity: transparency. Threat: complaints and legal exposure.</w:t>
            </w:r>
          </w:p>
        </w:tc>
      </w:tr>
      <w:tr w:rsidR="00A9241C" w14:paraId="0EA856A3" w14:textId="77777777" w:rsidTr="00A9241C">
        <w:tc>
          <w:tcPr>
            <w:tcW w:w="2233" w:type="dxa"/>
          </w:tcPr>
          <w:p w14:paraId="5A7646C8" w14:textId="02B0B3E4" w:rsidR="00A9241C" w:rsidRDefault="00A9241C" w:rsidP="00A9241C">
            <w:pPr>
              <w:spacing w:line="360" w:lineRule="auto"/>
              <w:rPr>
                <w:rFonts w:ascii="Arial" w:hAnsi="Arial" w:cs="Arial"/>
                <w:b/>
                <w:bCs/>
              </w:rPr>
            </w:pPr>
            <w:r>
              <w:rPr>
                <w:rFonts w:ascii="Arial" w:hAnsi="Arial" w:cs="Arial"/>
                <w:b/>
                <w:bCs/>
              </w:rPr>
              <w:t xml:space="preserve">Ethical </w:t>
            </w:r>
          </w:p>
        </w:tc>
        <w:tc>
          <w:tcPr>
            <w:tcW w:w="2208" w:type="dxa"/>
          </w:tcPr>
          <w:p w14:paraId="06865854" w14:textId="1394B5FE" w:rsidR="00A9241C" w:rsidRDefault="00A9241C" w:rsidP="00522C4B">
            <w:pPr>
              <w:rPr>
                <w:rFonts w:ascii="Arial" w:hAnsi="Arial" w:cs="Arial"/>
                <w:b/>
                <w:bCs/>
              </w:rPr>
            </w:pPr>
            <w:r w:rsidRPr="00810CA4">
              <w:rPr>
                <w:rFonts w:ascii="Arial" w:hAnsi="Arial" w:cs="Arial"/>
              </w:rPr>
              <w:t>Concerns persist about authenticity, misinformation, hidden advertising and harmful content.</w:t>
            </w:r>
          </w:p>
        </w:tc>
        <w:tc>
          <w:tcPr>
            <w:tcW w:w="2209" w:type="dxa"/>
          </w:tcPr>
          <w:p w14:paraId="6AF730AE" w14:textId="3DFD483D" w:rsidR="00A9241C" w:rsidRDefault="00A9241C" w:rsidP="00522C4B">
            <w:pPr>
              <w:rPr>
                <w:rFonts w:ascii="Arial" w:hAnsi="Arial" w:cs="Arial"/>
                <w:b/>
                <w:bCs/>
              </w:rPr>
            </w:pPr>
            <w:r w:rsidRPr="00810CA4">
              <w:rPr>
                <w:rFonts w:ascii="Arial" w:hAnsi="Arial" w:cs="Arial"/>
              </w:rPr>
              <w:t>Creators must balance commercial incentives with audience welfare.</w:t>
            </w:r>
          </w:p>
        </w:tc>
        <w:tc>
          <w:tcPr>
            <w:tcW w:w="2226" w:type="dxa"/>
          </w:tcPr>
          <w:p w14:paraId="28137CD2" w14:textId="678ECE1B" w:rsidR="00A9241C" w:rsidRDefault="00A9241C" w:rsidP="00522C4B">
            <w:pPr>
              <w:rPr>
                <w:rFonts w:ascii="Arial" w:hAnsi="Arial" w:cs="Arial"/>
                <w:b/>
                <w:bCs/>
              </w:rPr>
            </w:pPr>
            <w:r w:rsidRPr="00810CA4">
              <w:rPr>
                <w:rFonts w:ascii="Arial" w:hAnsi="Arial" w:cs="Arial"/>
              </w:rPr>
              <w:t>Opportunity: long-term trust. Threat: loss of credibility and audience harm.</w:t>
            </w:r>
          </w:p>
        </w:tc>
      </w:tr>
    </w:tbl>
    <w:p w14:paraId="413F9035" w14:textId="77777777" w:rsidR="00522C4B" w:rsidRDefault="00522C4B" w:rsidP="00522C4B">
      <w:pPr>
        <w:spacing w:line="360" w:lineRule="auto"/>
        <w:jc w:val="both"/>
      </w:pPr>
      <w:r w:rsidRPr="00522C4B">
        <w:rPr>
          <w:b/>
          <w:bCs/>
        </w:rPr>
        <w:t xml:space="preserve">Critical evaluation: </w:t>
      </w:r>
      <w:r>
        <w:t xml:space="preserve">STEEPLE factors are interconnected. AI is technological but also raises ethical questions about authenticity, legal questions about intellectual property </w:t>
      </w:r>
      <w:r>
        <w:lastRenderedPageBreak/>
        <w:t>and economic questions about production costs. Advertising regulation creates compliance responsibilities while helping audiences identify commercial content.</w:t>
      </w:r>
    </w:p>
    <w:p w14:paraId="56C4EEE8" w14:textId="35659A74" w:rsidR="00A9241C" w:rsidRPr="00A9241C" w:rsidRDefault="00A9241C" w:rsidP="00A9241C">
      <w:pPr>
        <w:spacing w:line="360" w:lineRule="auto"/>
        <w:ind w:left="140"/>
        <w:rPr>
          <w:rFonts w:ascii="Arial" w:hAnsi="Arial" w:cs="Arial"/>
          <w:b/>
          <w:bCs/>
        </w:rPr>
      </w:pPr>
    </w:p>
    <w:p w14:paraId="5426055D" w14:textId="77777777" w:rsidR="00380524" w:rsidRPr="00380524" w:rsidRDefault="00380524" w:rsidP="00380524">
      <w:pPr>
        <w:spacing w:line="360" w:lineRule="auto"/>
        <w:jc w:val="both"/>
        <w:rPr>
          <w:rFonts w:ascii="Arial" w:hAnsi="Arial" w:cs="Arial"/>
          <w:b/>
          <w:bCs/>
        </w:rPr>
      </w:pPr>
    </w:p>
    <w:p w14:paraId="361ECE4B" w14:textId="77777777" w:rsidR="00A9241C" w:rsidRPr="00A9241C" w:rsidRDefault="00A9241C" w:rsidP="00A9241C">
      <w:pPr>
        <w:pStyle w:val="ListParagraph"/>
        <w:numPr>
          <w:ilvl w:val="0"/>
          <w:numId w:val="7"/>
        </w:numPr>
        <w:spacing w:line="360" w:lineRule="auto"/>
        <w:jc w:val="both"/>
        <w:rPr>
          <w:rFonts w:ascii="Arial" w:hAnsi="Arial" w:cs="Arial"/>
          <w:b/>
          <w:bCs/>
          <w:color w:val="000000" w:themeColor="text1"/>
          <w:sz w:val="28"/>
          <w:szCs w:val="28"/>
        </w:rPr>
      </w:pPr>
      <w:r w:rsidRPr="00A9241C">
        <w:rPr>
          <w:rFonts w:ascii="Arial" w:hAnsi="Arial" w:cs="Arial"/>
          <w:b/>
          <w:bCs/>
          <w:color w:val="000000" w:themeColor="text1"/>
          <w:sz w:val="28"/>
          <w:szCs w:val="28"/>
        </w:rPr>
        <w:t xml:space="preserve">Appendix B: SWOT Analysis </w:t>
      </w:r>
    </w:p>
    <w:p w14:paraId="564D21B1" w14:textId="77777777" w:rsidR="00380524" w:rsidRPr="00A9241C" w:rsidRDefault="00380524" w:rsidP="00A9241C">
      <w:pPr>
        <w:pStyle w:val="ListParagraph"/>
        <w:spacing w:line="360" w:lineRule="auto"/>
        <w:ind w:left="860"/>
        <w:jc w:val="both"/>
        <w:rPr>
          <w:rFonts w:ascii="Arial" w:hAnsi="Arial" w:cs="Arial"/>
        </w:rPr>
      </w:pPr>
    </w:p>
    <w:tbl>
      <w:tblPr>
        <w:tblStyle w:val="TableGrid"/>
        <w:tblW w:w="0" w:type="auto"/>
        <w:tblInd w:w="720" w:type="dxa"/>
        <w:tblLook w:val="04A0" w:firstRow="1" w:lastRow="0" w:firstColumn="1" w:lastColumn="0" w:noHBand="0" w:noVBand="1"/>
      </w:tblPr>
      <w:tblGrid>
        <w:gridCol w:w="2044"/>
        <w:gridCol w:w="2117"/>
        <w:gridCol w:w="2148"/>
        <w:gridCol w:w="1987"/>
      </w:tblGrid>
      <w:tr w:rsidR="00522C4B" w14:paraId="340178BE" w14:textId="77777777" w:rsidTr="00522C4B">
        <w:tc>
          <w:tcPr>
            <w:tcW w:w="2044" w:type="dxa"/>
          </w:tcPr>
          <w:p w14:paraId="05B1EAA0" w14:textId="2E3940D6" w:rsidR="00522C4B" w:rsidRPr="00522C4B" w:rsidRDefault="00522C4B" w:rsidP="00380524">
            <w:pPr>
              <w:pStyle w:val="ListParagraph"/>
              <w:spacing w:line="360" w:lineRule="auto"/>
              <w:ind w:left="0"/>
              <w:rPr>
                <w:rFonts w:ascii="Arial" w:hAnsi="Arial" w:cs="Arial"/>
                <w:b/>
                <w:bCs/>
                <w:color w:val="000000" w:themeColor="text1"/>
              </w:rPr>
            </w:pPr>
            <w:r>
              <w:rPr>
                <w:rFonts w:ascii="Arial" w:hAnsi="Arial" w:cs="Arial"/>
                <w:b/>
                <w:bCs/>
                <w:color w:val="000000" w:themeColor="text1"/>
              </w:rPr>
              <w:t xml:space="preserve">Strengths </w:t>
            </w:r>
          </w:p>
        </w:tc>
        <w:tc>
          <w:tcPr>
            <w:tcW w:w="2117" w:type="dxa"/>
          </w:tcPr>
          <w:p w14:paraId="15829D8C" w14:textId="18CF2580" w:rsidR="00522C4B" w:rsidRPr="00522C4B" w:rsidRDefault="00522C4B" w:rsidP="00380524">
            <w:pPr>
              <w:pStyle w:val="ListParagraph"/>
              <w:spacing w:line="360" w:lineRule="auto"/>
              <w:ind w:left="0"/>
              <w:rPr>
                <w:rFonts w:ascii="Arial" w:hAnsi="Arial" w:cs="Arial"/>
                <w:b/>
                <w:bCs/>
                <w:color w:val="000000" w:themeColor="text1"/>
              </w:rPr>
            </w:pPr>
            <w:r w:rsidRPr="00522C4B">
              <w:rPr>
                <w:rFonts w:ascii="Arial" w:hAnsi="Arial" w:cs="Arial"/>
                <w:b/>
                <w:bCs/>
                <w:color w:val="000000" w:themeColor="text1"/>
              </w:rPr>
              <w:t xml:space="preserve">Weaknesses </w:t>
            </w:r>
          </w:p>
        </w:tc>
        <w:tc>
          <w:tcPr>
            <w:tcW w:w="2148" w:type="dxa"/>
          </w:tcPr>
          <w:p w14:paraId="4EE2B7C9" w14:textId="74CDDE78" w:rsidR="00522C4B" w:rsidRPr="00522C4B" w:rsidRDefault="00522C4B" w:rsidP="00380524">
            <w:pPr>
              <w:pStyle w:val="ListParagraph"/>
              <w:spacing w:line="360" w:lineRule="auto"/>
              <w:ind w:left="0"/>
              <w:rPr>
                <w:rFonts w:ascii="Arial" w:hAnsi="Arial" w:cs="Arial"/>
                <w:b/>
                <w:bCs/>
                <w:color w:val="000000" w:themeColor="text1"/>
              </w:rPr>
            </w:pPr>
            <w:r w:rsidRPr="00522C4B">
              <w:rPr>
                <w:rFonts w:ascii="Arial" w:hAnsi="Arial" w:cs="Arial"/>
                <w:b/>
                <w:bCs/>
                <w:color w:val="000000" w:themeColor="text1"/>
              </w:rPr>
              <w:t xml:space="preserve">Opportunities </w:t>
            </w:r>
          </w:p>
        </w:tc>
        <w:tc>
          <w:tcPr>
            <w:tcW w:w="1987" w:type="dxa"/>
          </w:tcPr>
          <w:p w14:paraId="6AB16F23" w14:textId="41532526" w:rsidR="00522C4B" w:rsidRPr="00522C4B" w:rsidRDefault="00522C4B" w:rsidP="00380524">
            <w:pPr>
              <w:pStyle w:val="ListParagraph"/>
              <w:spacing w:line="360" w:lineRule="auto"/>
              <w:ind w:left="0"/>
              <w:rPr>
                <w:rFonts w:ascii="Arial" w:hAnsi="Arial" w:cs="Arial"/>
                <w:b/>
                <w:bCs/>
                <w:color w:val="000000" w:themeColor="text1"/>
              </w:rPr>
            </w:pPr>
            <w:r w:rsidRPr="00522C4B">
              <w:rPr>
                <w:rFonts w:ascii="Arial" w:hAnsi="Arial" w:cs="Arial"/>
                <w:b/>
                <w:bCs/>
                <w:color w:val="000000" w:themeColor="text1"/>
              </w:rPr>
              <w:t>Threats</w:t>
            </w:r>
          </w:p>
        </w:tc>
      </w:tr>
      <w:tr w:rsidR="00522C4B" w14:paraId="7C7ACEFF" w14:textId="77777777" w:rsidTr="00522C4B">
        <w:tc>
          <w:tcPr>
            <w:tcW w:w="2044" w:type="dxa"/>
          </w:tcPr>
          <w:p w14:paraId="3781E17F" w14:textId="57BD4D11" w:rsidR="00522C4B" w:rsidRDefault="00522C4B" w:rsidP="00522C4B">
            <w:pPr>
              <w:pStyle w:val="ListParagraph"/>
              <w:ind w:left="0"/>
              <w:rPr>
                <w:rFonts w:ascii="Arial" w:hAnsi="Arial" w:cs="Arial"/>
                <w:color w:val="000000" w:themeColor="text1"/>
              </w:rPr>
            </w:pPr>
            <w:r w:rsidRPr="000F1C3B">
              <w:rPr>
                <w:rFonts w:ascii="Arial" w:hAnsi="Arial" w:cs="Arial"/>
              </w:rPr>
              <w:t>Direct communication with audiences.</w:t>
            </w:r>
          </w:p>
        </w:tc>
        <w:tc>
          <w:tcPr>
            <w:tcW w:w="2117" w:type="dxa"/>
          </w:tcPr>
          <w:p w14:paraId="0CB4A220" w14:textId="5389232B" w:rsidR="00522C4B" w:rsidRDefault="00522C4B" w:rsidP="00522C4B">
            <w:pPr>
              <w:pStyle w:val="ListParagraph"/>
              <w:ind w:left="0"/>
              <w:rPr>
                <w:rFonts w:ascii="Arial" w:hAnsi="Arial" w:cs="Arial"/>
                <w:color w:val="000000" w:themeColor="text1"/>
              </w:rPr>
            </w:pPr>
            <w:r w:rsidRPr="000F1C3B">
              <w:rPr>
                <w:rFonts w:ascii="Arial" w:hAnsi="Arial" w:cs="Arial"/>
              </w:rPr>
              <w:t>Dependence on third-party platforms and algorithms.</w:t>
            </w:r>
          </w:p>
        </w:tc>
        <w:tc>
          <w:tcPr>
            <w:tcW w:w="2148" w:type="dxa"/>
          </w:tcPr>
          <w:p w14:paraId="08BC6910" w14:textId="18694F6A" w:rsidR="00522C4B" w:rsidRDefault="00522C4B" w:rsidP="00522C4B">
            <w:pPr>
              <w:pStyle w:val="ListParagraph"/>
              <w:ind w:left="0"/>
              <w:rPr>
                <w:rFonts w:ascii="Arial" w:hAnsi="Arial" w:cs="Arial"/>
                <w:color w:val="000000" w:themeColor="text1"/>
              </w:rPr>
            </w:pPr>
            <w:r>
              <w:t>AI-assisted production and translation.</w:t>
            </w:r>
          </w:p>
        </w:tc>
        <w:tc>
          <w:tcPr>
            <w:tcW w:w="1987" w:type="dxa"/>
          </w:tcPr>
          <w:p w14:paraId="3F175092" w14:textId="1518DD6D" w:rsidR="00522C4B" w:rsidRDefault="00522C4B" w:rsidP="00522C4B">
            <w:pPr>
              <w:pStyle w:val="ListParagraph"/>
              <w:ind w:left="0"/>
              <w:rPr>
                <w:rFonts w:ascii="Arial" w:hAnsi="Arial" w:cs="Arial"/>
                <w:color w:val="000000" w:themeColor="text1"/>
              </w:rPr>
            </w:pPr>
            <w:r>
              <w:t>Content saturation and intense competition.</w:t>
            </w:r>
          </w:p>
        </w:tc>
      </w:tr>
      <w:tr w:rsidR="00522C4B" w14:paraId="5F39B35C" w14:textId="77777777" w:rsidTr="00522C4B">
        <w:tc>
          <w:tcPr>
            <w:tcW w:w="2044" w:type="dxa"/>
          </w:tcPr>
          <w:p w14:paraId="0E64044D" w14:textId="19F3699F" w:rsidR="00522C4B" w:rsidRDefault="00522C4B" w:rsidP="00522C4B">
            <w:pPr>
              <w:pStyle w:val="ListParagraph"/>
              <w:ind w:left="0"/>
              <w:jc w:val="both"/>
              <w:rPr>
                <w:rFonts w:ascii="Arial" w:hAnsi="Arial" w:cs="Arial"/>
                <w:color w:val="000000" w:themeColor="text1"/>
              </w:rPr>
            </w:pPr>
            <w:r w:rsidRPr="000F1C3B">
              <w:rPr>
                <w:rFonts w:ascii="Arial" w:hAnsi="Arial" w:cs="Arial"/>
              </w:rPr>
              <w:t>Accessible routes into digital publishing.</w:t>
            </w:r>
          </w:p>
        </w:tc>
        <w:tc>
          <w:tcPr>
            <w:tcW w:w="2117" w:type="dxa"/>
          </w:tcPr>
          <w:p w14:paraId="2E05B499" w14:textId="08CADBF0" w:rsidR="00522C4B" w:rsidRDefault="00522C4B" w:rsidP="00522C4B">
            <w:pPr>
              <w:pStyle w:val="ListParagraph"/>
              <w:ind w:left="0"/>
              <w:rPr>
                <w:rFonts w:ascii="Arial" w:hAnsi="Arial" w:cs="Arial"/>
                <w:color w:val="000000" w:themeColor="text1"/>
              </w:rPr>
            </w:pPr>
            <w:r w:rsidRPr="000F1C3B">
              <w:rPr>
                <w:rFonts w:ascii="Arial" w:hAnsi="Arial" w:cs="Arial"/>
              </w:rPr>
              <w:t>Unequal income distribution and uncertain earnings.</w:t>
            </w:r>
          </w:p>
        </w:tc>
        <w:tc>
          <w:tcPr>
            <w:tcW w:w="2148" w:type="dxa"/>
          </w:tcPr>
          <w:p w14:paraId="2BEE1505" w14:textId="3CADC14E" w:rsidR="00522C4B" w:rsidRDefault="00522C4B" w:rsidP="00522C4B">
            <w:pPr>
              <w:pStyle w:val="ListParagraph"/>
              <w:ind w:left="0"/>
              <w:rPr>
                <w:rFonts w:ascii="Arial" w:hAnsi="Arial" w:cs="Arial"/>
                <w:color w:val="000000" w:themeColor="text1"/>
              </w:rPr>
            </w:pPr>
            <w:r>
              <w:t>Direct-to-consumer products and paid communities.</w:t>
            </w:r>
          </w:p>
        </w:tc>
        <w:tc>
          <w:tcPr>
            <w:tcW w:w="1987" w:type="dxa"/>
          </w:tcPr>
          <w:p w14:paraId="67A92693" w14:textId="21AEF9E3" w:rsidR="00522C4B" w:rsidRDefault="00522C4B" w:rsidP="00522C4B">
            <w:pPr>
              <w:pStyle w:val="ListParagraph"/>
              <w:ind w:left="0"/>
              <w:rPr>
                <w:rFonts w:ascii="Arial" w:hAnsi="Arial" w:cs="Arial"/>
                <w:color w:val="000000" w:themeColor="text1"/>
              </w:rPr>
            </w:pPr>
            <w:r>
              <w:t>Algorithm changes and account restrictions.</w:t>
            </w:r>
          </w:p>
        </w:tc>
      </w:tr>
      <w:tr w:rsidR="00522C4B" w14:paraId="4A911942" w14:textId="77777777" w:rsidTr="00522C4B">
        <w:tc>
          <w:tcPr>
            <w:tcW w:w="2044" w:type="dxa"/>
          </w:tcPr>
          <w:p w14:paraId="43A2C815" w14:textId="7F331DC0" w:rsidR="00522C4B" w:rsidRDefault="00522C4B" w:rsidP="00522C4B">
            <w:pPr>
              <w:pStyle w:val="ListParagraph"/>
              <w:ind w:left="0"/>
              <w:rPr>
                <w:rFonts w:ascii="Arial" w:hAnsi="Arial" w:cs="Arial"/>
                <w:color w:val="000000" w:themeColor="text1"/>
              </w:rPr>
            </w:pPr>
            <w:r w:rsidRPr="000F1C3B">
              <w:rPr>
                <w:rFonts w:ascii="Arial" w:hAnsi="Arial" w:cs="Arial"/>
              </w:rPr>
              <w:t>Ability to serve specialist communities.</w:t>
            </w:r>
          </w:p>
        </w:tc>
        <w:tc>
          <w:tcPr>
            <w:tcW w:w="2117" w:type="dxa"/>
          </w:tcPr>
          <w:p w14:paraId="56E2AA8A" w14:textId="751C597B" w:rsidR="00522C4B" w:rsidRDefault="00522C4B" w:rsidP="00522C4B">
            <w:pPr>
              <w:pStyle w:val="ListParagraph"/>
              <w:ind w:left="0"/>
              <w:rPr>
                <w:rFonts w:ascii="Arial" w:hAnsi="Arial" w:cs="Arial"/>
                <w:color w:val="000000" w:themeColor="text1"/>
              </w:rPr>
            </w:pPr>
            <w:r w:rsidRPr="000F1C3B">
              <w:rPr>
                <w:rFonts w:ascii="Arial" w:hAnsi="Arial" w:cs="Arial"/>
              </w:rPr>
              <w:t>Pressure to publish frequently and maintain visibility.</w:t>
            </w:r>
          </w:p>
        </w:tc>
        <w:tc>
          <w:tcPr>
            <w:tcW w:w="2148" w:type="dxa"/>
          </w:tcPr>
          <w:p w14:paraId="50B552F6" w14:textId="24A04F34" w:rsidR="00522C4B" w:rsidRDefault="00522C4B" w:rsidP="00522C4B">
            <w:pPr>
              <w:pStyle w:val="ListParagraph"/>
              <w:ind w:left="0"/>
              <w:rPr>
                <w:rFonts w:ascii="Arial" w:hAnsi="Arial" w:cs="Arial"/>
                <w:color w:val="000000" w:themeColor="text1"/>
              </w:rPr>
            </w:pPr>
            <w:r>
              <w:t>International audiences and cross-platform distribution.</w:t>
            </w:r>
          </w:p>
        </w:tc>
        <w:tc>
          <w:tcPr>
            <w:tcW w:w="1987" w:type="dxa"/>
          </w:tcPr>
          <w:p w14:paraId="573C979C" w14:textId="38CD132E" w:rsidR="00522C4B" w:rsidRDefault="00522C4B" w:rsidP="00522C4B">
            <w:pPr>
              <w:pStyle w:val="ListParagraph"/>
              <w:ind w:left="0"/>
              <w:rPr>
                <w:rFonts w:ascii="Arial" w:hAnsi="Arial" w:cs="Arial"/>
                <w:color w:val="000000" w:themeColor="text1"/>
              </w:rPr>
            </w:pPr>
            <w:r>
              <w:t>Reputational damage and undisclosed advertising.</w:t>
            </w:r>
          </w:p>
        </w:tc>
      </w:tr>
      <w:tr w:rsidR="00522C4B" w14:paraId="777C249A" w14:textId="77777777" w:rsidTr="00522C4B">
        <w:tc>
          <w:tcPr>
            <w:tcW w:w="2044" w:type="dxa"/>
          </w:tcPr>
          <w:p w14:paraId="3B82CDCC" w14:textId="1CC3CE00" w:rsidR="00522C4B" w:rsidRDefault="00522C4B" w:rsidP="00522C4B">
            <w:pPr>
              <w:pStyle w:val="ListParagraph"/>
              <w:ind w:left="0"/>
              <w:rPr>
                <w:rFonts w:ascii="Arial" w:hAnsi="Arial" w:cs="Arial"/>
                <w:color w:val="000000" w:themeColor="text1"/>
              </w:rPr>
            </w:pPr>
            <w:r w:rsidRPr="000F1C3B">
              <w:rPr>
                <w:rFonts w:ascii="Arial" w:hAnsi="Arial" w:cs="Arial"/>
              </w:rPr>
              <w:t>Flexible formats, including livestreams, podcasts and products.</w:t>
            </w:r>
          </w:p>
        </w:tc>
        <w:tc>
          <w:tcPr>
            <w:tcW w:w="2117" w:type="dxa"/>
          </w:tcPr>
          <w:p w14:paraId="241DD644" w14:textId="7339F963" w:rsidR="00522C4B" w:rsidRDefault="00522C4B" w:rsidP="00522C4B">
            <w:pPr>
              <w:pStyle w:val="ListParagraph"/>
              <w:ind w:left="0"/>
              <w:rPr>
                <w:rFonts w:ascii="Arial" w:hAnsi="Arial" w:cs="Arial"/>
                <w:color w:val="000000" w:themeColor="text1"/>
              </w:rPr>
            </w:pPr>
            <w:r w:rsidRPr="000F1C3B">
              <w:rPr>
                <w:rFonts w:ascii="Arial" w:hAnsi="Arial" w:cs="Arial"/>
              </w:rPr>
              <w:t>Smaller creators may lack legal, financial and production support.</w:t>
            </w:r>
          </w:p>
        </w:tc>
        <w:tc>
          <w:tcPr>
            <w:tcW w:w="2148" w:type="dxa"/>
          </w:tcPr>
          <w:p w14:paraId="27B1A94D" w14:textId="2624DB09" w:rsidR="00522C4B" w:rsidRDefault="00522C4B" w:rsidP="00522C4B">
            <w:pPr>
              <w:pStyle w:val="ListParagraph"/>
              <w:ind w:left="0"/>
              <w:rPr>
                <w:rFonts w:ascii="Arial" w:hAnsi="Arial" w:cs="Arial"/>
                <w:color w:val="000000" w:themeColor="text1"/>
              </w:rPr>
            </w:pPr>
            <w:r>
              <w:t>Licensing and creator-owned intellectual property.</w:t>
            </w:r>
          </w:p>
        </w:tc>
        <w:tc>
          <w:tcPr>
            <w:tcW w:w="1987" w:type="dxa"/>
          </w:tcPr>
          <w:p w14:paraId="65B8A418" w14:textId="57EC47B7" w:rsidR="00522C4B" w:rsidRDefault="00522C4B" w:rsidP="00522C4B">
            <w:pPr>
              <w:pStyle w:val="ListParagraph"/>
              <w:ind w:left="0"/>
              <w:rPr>
                <w:rFonts w:ascii="Arial" w:hAnsi="Arial" w:cs="Arial"/>
                <w:color w:val="000000" w:themeColor="text1"/>
              </w:rPr>
            </w:pPr>
            <w:r>
              <w:t>Copyright disputes and fluctuating advertising budgets.</w:t>
            </w:r>
          </w:p>
        </w:tc>
      </w:tr>
    </w:tbl>
    <w:p w14:paraId="246BBB92" w14:textId="77777777" w:rsidR="00380524" w:rsidRPr="00380524" w:rsidRDefault="00380524" w:rsidP="00522C4B">
      <w:pPr>
        <w:pStyle w:val="ListParagraph"/>
        <w:spacing w:line="360" w:lineRule="auto"/>
        <w:jc w:val="both"/>
        <w:rPr>
          <w:rFonts w:ascii="Arial" w:hAnsi="Arial" w:cs="Arial"/>
          <w:color w:val="000000" w:themeColor="text1"/>
        </w:rPr>
      </w:pPr>
    </w:p>
    <w:p w14:paraId="3ADF445B" w14:textId="77777777" w:rsidR="00522C4B" w:rsidRDefault="00522C4B" w:rsidP="00522C4B">
      <w:pPr>
        <w:spacing w:line="360" w:lineRule="auto"/>
        <w:jc w:val="both"/>
      </w:pPr>
      <w:r w:rsidRPr="00522C4B">
        <w:rPr>
          <w:b/>
          <w:bCs/>
        </w:rPr>
        <w:t>Critical evaluation:</w:t>
      </w:r>
      <w:r>
        <w:t xml:space="preserve"> Direct audience access is a strength, but it can become a weakness when controlled by external platforms. AI may reduce production costs while intensifying competition. Resilience requires audience relationships, diversified revenue, credible content and compliance.</w:t>
      </w:r>
    </w:p>
    <w:p w14:paraId="63ABF8BE" w14:textId="4293C759" w:rsidR="00455438" w:rsidRPr="00455438" w:rsidRDefault="00455438" w:rsidP="00455438">
      <w:pPr>
        <w:pStyle w:val="ListParagraph"/>
        <w:spacing w:line="360" w:lineRule="auto"/>
        <w:ind w:left="1140"/>
        <w:rPr>
          <w:rFonts w:ascii="Arial" w:hAnsi="Arial" w:cs="Arial"/>
          <w:b/>
          <w:bCs/>
        </w:rPr>
      </w:pPr>
    </w:p>
    <w:p w14:paraId="35942240" w14:textId="2A283429" w:rsidR="00455438" w:rsidRPr="00455438" w:rsidRDefault="00455438" w:rsidP="00455438">
      <w:pPr>
        <w:pStyle w:val="ListParagraph"/>
        <w:spacing w:line="360" w:lineRule="auto"/>
        <w:jc w:val="both"/>
        <w:rPr>
          <w:rFonts w:ascii="Arial" w:hAnsi="Arial" w:cs="Arial"/>
        </w:rPr>
      </w:pPr>
    </w:p>
    <w:p w14:paraId="4F122EAF" w14:textId="77777777" w:rsidR="00455438" w:rsidRPr="00455438" w:rsidRDefault="00455438" w:rsidP="00455438">
      <w:pPr>
        <w:pStyle w:val="ListParagraph"/>
        <w:spacing w:line="360" w:lineRule="auto"/>
        <w:ind w:left="1140"/>
        <w:jc w:val="both"/>
        <w:rPr>
          <w:rFonts w:ascii="Arial" w:hAnsi="Arial" w:cs="Arial"/>
        </w:rPr>
      </w:pPr>
    </w:p>
    <w:p w14:paraId="401B8888" w14:textId="77777777" w:rsidR="00522C4B" w:rsidRPr="00522C4B" w:rsidRDefault="00522C4B" w:rsidP="00522C4B">
      <w:pPr>
        <w:pStyle w:val="ListParagraph"/>
        <w:spacing w:line="360" w:lineRule="auto"/>
        <w:ind w:left="860"/>
        <w:jc w:val="both"/>
        <w:rPr>
          <w:rFonts w:ascii="Arial" w:hAnsi="Arial" w:cs="Arial"/>
          <w:b/>
          <w:bCs/>
          <w:sz w:val="28"/>
          <w:szCs w:val="28"/>
        </w:rPr>
      </w:pPr>
    </w:p>
    <w:p w14:paraId="35C90BB2" w14:textId="2B178379" w:rsidR="00522C4B" w:rsidRDefault="003452C8" w:rsidP="00522C4B">
      <w:pPr>
        <w:pStyle w:val="ListParagraph"/>
        <w:numPr>
          <w:ilvl w:val="0"/>
          <w:numId w:val="7"/>
        </w:numPr>
        <w:spacing w:line="360" w:lineRule="auto"/>
        <w:jc w:val="both"/>
        <w:rPr>
          <w:rFonts w:ascii="Arial" w:hAnsi="Arial" w:cs="Arial"/>
          <w:b/>
          <w:bCs/>
          <w:sz w:val="28"/>
          <w:szCs w:val="28"/>
        </w:rPr>
      </w:pPr>
      <w:r w:rsidRPr="00522C4B">
        <w:rPr>
          <w:b/>
          <w:bCs/>
          <w:sz w:val="28"/>
          <w:szCs w:val="28"/>
        </w:rPr>
        <w:t xml:space="preserve"> </w:t>
      </w:r>
      <w:r w:rsidR="00522C4B" w:rsidRPr="00522C4B">
        <w:rPr>
          <w:rFonts w:ascii="Arial" w:hAnsi="Arial" w:cs="Arial"/>
          <w:b/>
          <w:bCs/>
          <w:sz w:val="28"/>
          <w:szCs w:val="28"/>
        </w:rPr>
        <w:t xml:space="preserve">Appendix C: DPSIR diagram </w:t>
      </w:r>
    </w:p>
    <w:p w14:paraId="079E54F4" w14:textId="6DE52673" w:rsidR="005C7718" w:rsidRPr="005C7718" w:rsidRDefault="005C7718" w:rsidP="005C7718">
      <w:pPr>
        <w:pStyle w:val="ListParagraph"/>
        <w:spacing w:line="360" w:lineRule="auto"/>
        <w:ind w:left="860"/>
        <w:jc w:val="both"/>
        <w:rPr>
          <w:rFonts w:ascii="Arial" w:hAnsi="Arial" w:cs="Arial"/>
          <w:b/>
          <w:bCs/>
        </w:rPr>
      </w:pPr>
      <w:r w:rsidRPr="005C7718">
        <w:rPr>
          <w:rFonts w:ascii="Arial" w:hAnsi="Arial" w:cs="Arial"/>
          <w:b/>
          <w:bCs/>
        </w:rPr>
        <w:lastRenderedPageBreak/>
        <w:t>The DPSIR sequence. Responses can influence subsequent pressures and the future state of the industry.</w:t>
      </w:r>
    </w:p>
    <w:p w14:paraId="1E2070A4" w14:textId="5713E1BF" w:rsidR="00522C4B" w:rsidRPr="00522C4B" w:rsidRDefault="005C7718" w:rsidP="00522C4B">
      <w:pPr>
        <w:pStyle w:val="ListParagraph"/>
        <w:spacing w:line="360" w:lineRule="auto"/>
        <w:ind w:left="860"/>
        <w:jc w:val="both"/>
        <w:rPr>
          <w:rFonts w:ascii="Arial" w:hAnsi="Arial" w:cs="Arial"/>
          <w:b/>
          <w:bCs/>
          <w:sz w:val="28"/>
          <w:szCs w:val="28"/>
        </w:rPr>
      </w:pPr>
      <w:r>
        <w:rPr>
          <w:rFonts w:ascii="Arial" w:hAnsi="Arial" w:cs="Arial"/>
          <w:b/>
          <w:bCs/>
          <w:noProof/>
          <w:sz w:val="28"/>
          <w:szCs w:val="28"/>
        </w:rPr>
        <w:drawing>
          <wp:inline distT="0" distB="0" distL="0" distR="0" wp14:anchorId="30C8454A" wp14:editId="2F92797E">
            <wp:extent cx="5486400" cy="3200400"/>
            <wp:effectExtent l="0" t="0" r="12700" b="0"/>
            <wp:docPr id="57480909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6B7EF9D9" w14:textId="0E0532B5" w:rsidR="005C7718" w:rsidRDefault="005C7718" w:rsidP="005C7718"/>
    <w:p w14:paraId="01CFBD1B" w14:textId="77777777" w:rsidR="005C7718" w:rsidRPr="005C7718" w:rsidRDefault="005C7718" w:rsidP="005C7718">
      <w:pPr>
        <w:pStyle w:val="ListParagraph"/>
        <w:numPr>
          <w:ilvl w:val="0"/>
          <w:numId w:val="7"/>
        </w:numPr>
        <w:spacing w:line="360" w:lineRule="auto"/>
        <w:jc w:val="both"/>
        <w:rPr>
          <w:rFonts w:ascii="Arial" w:hAnsi="Arial" w:cs="Arial"/>
          <w:b/>
          <w:bCs/>
          <w:sz w:val="28"/>
          <w:szCs w:val="28"/>
        </w:rPr>
      </w:pPr>
      <w:r w:rsidRPr="005C7718">
        <w:rPr>
          <w:rFonts w:ascii="Arial" w:hAnsi="Arial" w:cs="Arial"/>
          <w:b/>
          <w:bCs/>
          <w:sz w:val="28"/>
          <w:szCs w:val="28"/>
        </w:rPr>
        <w:t xml:space="preserve">Appendix D: Evidence limitations </w:t>
      </w:r>
    </w:p>
    <w:p w14:paraId="1950368E" w14:textId="77777777" w:rsidR="005C7718" w:rsidRPr="00245B42" w:rsidRDefault="005C7718" w:rsidP="005C7718">
      <w:pPr>
        <w:pStyle w:val="ListBullet"/>
        <w:numPr>
          <w:ilvl w:val="0"/>
          <w:numId w:val="16"/>
        </w:numPr>
        <w:jc w:val="both"/>
        <w:rPr>
          <w:rFonts w:ascii="Arial" w:hAnsi="Arial" w:cs="Arial"/>
          <w:sz w:val="24"/>
          <w:szCs w:val="24"/>
        </w:rPr>
      </w:pPr>
      <w:r w:rsidRPr="00245B42">
        <w:rPr>
          <w:rFonts w:ascii="Arial" w:hAnsi="Arial" w:cs="Arial"/>
          <w:sz w:val="24"/>
          <w:szCs w:val="24"/>
        </w:rPr>
        <w:t>Audience metrics are not financial results. Followers, subscribers and views cannot establish income, profitability, customer loyalty or business valuation.</w:t>
      </w:r>
    </w:p>
    <w:p w14:paraId="3549B097" w14:textId="77777777" w:rsidR="005C7718" w:rsidRPr="00245B42" w:rsidRDefault="005C7718" w:rsidP="005C7718">
      <w:pPr>
        <w:pStyle w:val="ListBullet"/>
        <w:numPr>
          <w:ilvl w:val="0"/>
          <w:numId w:val="16"/>
        </w:numPr>
        <w:jc w:val="both"/>
        <w:rPr>
          <w:rFonts w:ascii="Arial" w:hAnsi="Arial" w:cs="Arial"/>
          <w:sz w:val="24"/>
          <w:szCs w:val="24"/>
        </w:rPr>
      </w:pPr>
      <w:r w:rsidRPr="00245B42">
        <w:rPr>
          <w:rFonts w:ascii="Arial" w:hAnsi="Arial" w:cs="Arial"/>
          <w:sz w:val="24"/>
          <w:szCs w:val="24"/>
        </w:rPr>
        <w:t>The case studies are illustrative. Three creators cannot represent the full diversity of the creator economy.</w:t>
      </w:r>
    </w:p>
    <w:p w14:paraId="670863E0" w14:textId="77777777" w:rsidR="005C7718" w:rsidRPr="00245B42" w:rsidRDefault="005C7718" w:rsidP="005C7718">
      <w:pPr>
        <w:pStyle w:val="ListBullet"/>
        <w:numPr>
          <w:ilvl w:val="0"/>
          <w:numId w:val="16"/>
        </w:numPr>
        <w:jc w:val="both"/>
        <w:rPr>
          <w:rFonts w:ascii="Arial" w:hAnsi="Arial" w:cs="Arial"/>
          <w:sz w:val="24"/>
          <w:szCs w:val="24"/>
        </w:rPr>
      </w:pPr>
      <w:r w:rsidRPr="00245B42">
        <w:rPr>
          <w:rFonts w:ascii="Arial" w:hAnsi="Arial" w:cs="Arial"/>
          <w:sz w:val="24"/>
          <w:szCs w:val="24"/>
        </w:rPr>
        <w:t>Regulatory monitoring has a defined sample. ASA findings describe the content monitored, not every influencer advertisement.</w:t>
      </w:r>
    </w:p>
    <w:p w14:paraId="47EC6C1B" w14:textId="77777777" w:rsidR="005C7718" w:rsidRPr="00245B42" w:rsidRDefault="005C7718" w:rsidP="005C7718">
      <w:pPr>
        <w:pStyle w:val="ListBullet"/>
        <w:numPr>
          <w:ilvl w:val="0"/>
          <w:numId w:val="16"/>
        </w:numPr>
        <w:jc w:val="both"/>
        <w:rPr>
          <w:rFonts w:ascii="Arial" w:hAnsi="Arial" w:cs="Arial"/>
          <w:sz w:val="24"/>
          <w:szCs w:val="24"/>
        </w:rPr>
      </w:pPr>
      <w:r w:rsidRPr="00245B42">
        <w:rPr>
          <w:rFonts w:ascii="Arial" w:hAnsi="Arial" w:cs="Arial"/>
          <w:sz w:val="24"/>
          <w:szCs w:val="24"/>
        </w:rPr>
        <w:t>Future developments are uncertain. Predictions about AI, regulation and market saturation are scenarios rather than guaranteed outcomes.</w:t>
      </w:r>
    </w:p>
    <w:p w14:paraId="24478976" w14:textId="77777777" w:rsidR="005C7718" w:rsidRDefault="005C7718" w:rsidP="005C7718">
      <w:pPr>
        <w:pStyle w:val="ListBullet"/>
        <w:numPr>
          <w:ilvl w:val="0"/>
          <w:numId w:val="16"/>
        </w:numPr>
        <w:jc w:val="both"/>
        <w:rPr>
          <w:rFonts w:ascii="Arial" w:hAnsi="Arial" w:cs="Arial"/>
          <w:sz w:val="24"/>
          <w:szCs w:val="24"/>
        </w:rPr>
      </w:pPr>
      <w:r w:rsidRPr="00245B42">
        <w:rPr>
          <w:rFonts w:ascii="Arial" w:hAnsi="Arial" w:cs="Arial"/>
          <w:sz w:val="24"/>
          <w:szCs w:val="24"/>
        </w:rPr>
        <w:t xml:space="preserve">Environmental effects are difficult to attribute. The footprint of digital content depends on devices, networks, data </w:t>
      </w:r>
      <w:proofErr w:type="spellStart"/>
      <w:r w:rsidRPr="00245B42">
        <w:rPr>
          <w:rFonts w:ascii="Arial" w:hAnsi="Arial" w:cs="Arial"/>
          <w:sz w:val="24"/>
          <w:szCs w:val="24"/>
        </w:rPr>
        <w:t>centres</w:t>
      </w:r>
      <w:proofErr w:type="spellEnd"/>
      <w:r w:rsidRPr="00245B42">
        <w:rPr>
          <w:rFonts w:ascii="Arial" w:hAnsi="Arial" w:cs="Arial"/>
          <w:sz w:val="24"/>
          <w:szCs w:val="24"/>
        </w:rPr>
        <w:t>, energy sources and production practices.</w:t>
      </w:r>
    </w:p>
    <w:p w14:paraId="0947DEA1" w14:textId="5E7AB390" w:rsidR="005C7718" w:rsidRPr="00245B42" w:rsidRDefault="005C7718" w:rsidP="005C7718">
      <w:pPr>
        <w:pStyle w:val="ListBullet"/>
        <w:numPr>
          <w:ilvl w:val="0"/>
          <w:numId w:val="16"/>
        </w:numPr>
        <w:jc w:val="both"/>
        <w:rPr>
          <w:rFonts w:ascii="Arial" w:hAnsi="Arial" w:cs="Arial"/>
          <w:sz w:val="24"/>
          <w:szCs w:val="24"/>
        </w:rPr>
      </w:pPr>
      <w:r w:rsidRPr="00245B42">
        <w:rPr>
          <w:rFonts w:ascii="Arial" w:hAnsi="Arial" w:cs="Arial"/>
          <w:sz w:val="24"/>
          <w:szCs w:val="24"/>
        </w:rPr>
        <w:t>The report uses audience metrics to illustrate reach and academic or regulatory sources to analyse broader patterns. It does not infer income or profitability from audience size.</w:t>
      </w:r>
    </w:p>
    <w:p w14:paraId="658B8EB2" w14:textId="7CD26BF3" w:rsidR="003452C8" w:rsidRDefault="003452C8" w:rsidP="005C7718">
      <w:pPr>
        <w:pStyle w:val="ListParagraph"/>
        <w:ind w:left="1580"/>
        <w:rPr>
          <w:rFonts w:ascii="Arial" w:hAnsi="Arial" w:cs="Arial"/>
          <w:b/>
          <w:bCs/>
        </w:rPr>
      </w:pPr>
    </w:p>
    <w:p w14:paraId="5EEA09DD" w14:textId="77777777" w:rsidR="005C7718" w:rsidRDefault="005C7718" w:rsidP="005C7718">
      <w:pPr>
        <w:pStyle w:val="ListParagraph"/>
        <w:ind w:left="1580"/>
        <w:rPr>
          <w:rFonts w:ascii="Arial" w:hAnsi="Arial" w:cs="Arial"/>
          <w:b/>
          <w:bCs/>
        </w:rPr>
      </w:pPr>
    </w:p>
    <w:p w14:paraId="5273AC60" w14:textId="77777777" w:rsidR="005C7718" w:rsidRDefault="005C7718" w:rsidP="005C7718">
      <w:pPr>
        <w:pStyle w:val="ListParagraph"/>
        <w:ind w:left="1580"/>
        <w:rPr>
          <w:rFonts w:ascii="Arial" w:hAnsi="Arial" w:cs="Arial"/>
          <w:b/>
          <w:bCs/>
        </w:rPr>
      </w:pPr>
    </w:p>
    <w:p w14:paraId="777482E6" w14:textId="77777777" w:rsidR="005C7718" w:rsidRDefault="005C7718" w:rsidP="005C7718">
      <w:pPr>
        <w:pStyle w:val="ListParagraph"/>
        <w:ind w:left="1580"/>
        <w:rPr>
          <w:rFonts w:ascii="Arial" w:hAnsi="Arial" w:cs="Arial"/>
          <w:b/>
          <w:bCs/>
        </w:rPr>
      </w:pPr>
    </w:p>
    <w:p w14:paraId="51CBD23D" w14:textId="77777777" w:rsidR="005C7718" w:rsidRPr="005C7718" w:rsidRDefault="005C7718" w:rsidP="005C7718">
      <w:pPr>
        <w:pStyle w:val="ListParagraph"/>
        <w:numPr>
          <w:ilvl w:val="0"/>
          <w:numId w:val="7"/>
        </w:numPr>
        <w:spacing w:line="360" w:lineRule="auto"/>
        <w:jc w:val="both"/>
        <w:rPr>
          <w:rFonts w:ascii="Arial" w:hAnsi="Arial" w:cs="Arial"/>
          <w:b/>
          <w:bCs/>
          <w:sz w:val="28"/>
          <w:szCs w:val="28"/>
        </w:rPr>
      </w:pPr>
      <w:r w:rsidRPr="005C7718">
        <w:rPr>
          <w:rFonts w:ascii="Arial" w:hAnsi="Arial" w:cs="Arial"/>
          <w:b/>
          <w:bCs/>
          <w:sz w:val="28"/>
          <w:szCs w:val="28"/>
        </w:rPr>
        <w:t>Appendix E: Creators reach and social blade statistics</w:t>
      </w:r>
    </w:p>
    <w:p w14:paraId="1CF7B064" w14:textId="77777777" w:rsidR="005C7718" w:rsidRPr="005C7718" w:rsidRDefault="005C7718" w:rsidP="005C7718">
      <w:pPr>
        <w:pStyle w:val="ListParagraph"/>
        <w:spacing w:line="360" w:lineRule="auto"/>
        <w:ind w:left="860"/>
        <w:jc w:val="both"/>
        <w:rPr>
          <w:rFonts w:ascii="Arial" w:hAnsi="Arial" w:cs="Arial"/>
        </w:rPr>
      </w:pPr>
      <w:r w:rsidRPr="005C7718">
        <w:rPr>
          <w:rFonts w:ascii="Arial" w:hAnsi="Arial" w:cs="Arial"/>
        </w:rPr>
        <w:lastRenderedPageBreak/>
        <w:t>The following figures illustrate different forms of audience reach. They should not be combined into a single ranking because they measure different things.</w:t>
      </w:r>
    </w:p>
    <w:p w14:paraId="40DAF659" w14:textId="77777777" w:rsidR="005C7718" w:rsidRDefault="005C7718" w:rsidP="005C7718">
      <w:pPr>
        <w:pStyle w:val="ListParagraph"/>
        <w:spacing w:line="360" w:lineRule="auto"/>
        <w:ind w:left="860"/>
        <w:jc w:val="both"/>
        <w:rPr>
          <w:rFonts w:ascii="Arial" w:hAnsi="Arial" w:cs="Arial"/>
        </w:rPr>
      </w:pPr>
    </w:p>
    <w:p w14:paraId="26163871" w14:textId="327724B3" w:rsidR="00853D6A" w:rsidRDefault="005C7718" w:rsidP="00853D6A">
      <w:pPr>
        <w:keepNext/>
      </w:pPr>
      <w:r w:rsidRPr="005C7718">
        <w:rPr>
          <w:rFonts w:ascii="Arial" w:hAnsi="Arial" w:cs="Arial"/>
        </w:rPr>
        <w:t>Figure E</w:t>
      </w:r>
      <w:proofErr w:type="gramStart"/>
      <w:r w:rsidRPr="005C7718">
        <w:rPr>
          <w:rFonts w:ascii="Arial" w:hAnsi="Arial" w:cs="Arial"/>
        </w:rPr>
        <w:t>1.</w:t>
      </w:r>
      <w:r w:rsidR="00853D6A">
        <w:t>IShowSpeed</w:t>
      </w:r>
      <w:proofErr w:type="gramEnd"/>
      <w:r w:rsidR="00853D6A">
        <w:t xml:space="preserve"> — monthly gained subscribers (Social Blade, 2024–2026).</w:t>
      </w:r>
    </w:p>
    <w:p w14:paraId="6536A858" w14:textId="3A100417" w:rsidR="005C7718" w:rsidRDefault="005C7718" w:rsidP="005C7718">
      <w:pPr>
        <w:pStyle w:val="ListParagraph"/>
        <w:spacing w:line="360" w:lineRule="auto"/>
        <w:ind w:left="860"/>
        <w:jc w:val="both"/>
        <w:rPr>
          <w:rFonts w:ascii="Arial" w:hAnsi="Arial" w:cs="Arial"/>
        </w:rPr>
      </w:pPr>
    </w:p>
    <w:p w14:paraId="10E26163" w14:textId="0D7FC04D" w:rsidR="005C7718" w:rsidRPr="005C7718" w:rsidRDefault="005C7718" w:rsidP="005C7718">
      <w:pPr>
        <w:pStyle w:val="ListParagraph"/>
        <w:spacing w:line="360" w:lineRule="auto"/>
        <w:ind w:left="860"/>
        <w:jc w:val="both"/>
        <w:rPr>
          <w:rFonts w:ascii="Arial" w:hAnsi="Arial" w:cs="Arial"/>
        </w:rPr>
      </w:pPr>
    </w:p>
    <w:p w14:paraId="3D9E520A" w14:textId="77777777" w:rsidR="00853D6A" w:rsidRDefault="00853D6A" w:rsidP="005C7718">
      <w:pPr>
        <w:pStyle w:val="ListParagraph"/>
        <w:ind w:left="860"/>
        <w:rPr>
          <w:rFonts w:ascii="Arial" w:hAnsi="Arial" w:cs="Arial"/>
          <w:b/>
          <w:bCs/>
        </w:rPr>
      </w:pPr>
      <w:r>
        <w:rPr>
          <w:rFonts w:ascii="Arial" w:hAnsi="Arial" w:cs="Arial"/>
          <w:b/>
          <w:bCs/>
          <w:noProof/>
        </w:rPr>
        <w:drawing>
          <wp:inline distT="0" distB="0" distL="0" distR="0" wp14:anchorId="193F2972" wp14:editId="7046EB22">
            <wp:extent cx="5731510" cy="1778635"/>
            <wp:effectExtent l="0" t="0" r="0" b="0"/>
            <wp:docPr id="1971351845" name="Picture 5"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351845" name="Picture 5" descr="A graph on a white background&#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1778635"/>
                    </a:xfrm>
                    <a:prstGeom prst="rect">
                      <a:avLst/>
                    </a:prstGeom>
                  </pic:spPr>
                </pic:pic>
              </a:graphicData>
            </a:graphic>
          </wp:inline>
        </w:drawing>
      </w:r>
    </w:p>
    <w:p w14:paraId="3B452BCA" w14:textId="0C428698" w:rsidR="00853D6A" w:rsidRDefault="00853D6A" w:rsidP="00853D6A">
      <w:pPr>
        <w:keepNext/>
      </w:pPr>
      <w:r w:rsidRPr="005C7718">
        <w:rPr>
          <w:rFonts w:ascii="Arial" w:hAnsi="Arial" w:cs="Arial"/>
        </w:rPr>
        <w:t>Figure E</w:t>
      </w:r>
      <w:proofErr w:type="gramStart"/>
      <w:r>
        <w:rPr>
          <w:rFonts w:ascii="Arial" w:hAnsi="Arial" w:cs="Arial"/>
        </w:rPr>
        <w:t>2</w:t>
      </w:r>
      <w:r w:rsidRPr="005C7718">
        <w:rPr>
          <w:rFonts w:ascii="Arial" w:hAnsi="Arial" w:cs="Arial"/>
        </w:rPr>
        <w:t>.</w:t>
      </w:r>
      <w:r>
        <w:t>IShowSpeed</w:t>
      </w:r>
      <w:proofErr w:type="gramEnd"/>
      <w:r>
        <w:t xml:space="preserve"> — monthly gained subscribers (Social Blade, 2024–2026).</w:t>
      </w:r>
    </w:p>
    <w:p w14:paraId="473444EE" w14:textId="77777777" w:rsidR="00853D6A" w:rsidRDefault="00853D6A" w:rsidP="005C7718">
      <w:pPr>
        <w:pStyle w:val="ListParagraph"/>
        <w:ind w:left="860"/>
        <w:rPr>
          <w:rFonts w:ascii="Arial" w:hAnsi="Arial" w:cs="Arial"/>
          <w:b/>
          <w:bCs/>
        </w:rPr>
      </w:pPr>
    </w:p>
    <w:p w14:paraId="7902EC8D" w14:textId="77777777" w:rsidR="00853D6A" w:rsidRDefault="00853D6A" w:rsidP="005C7718">
      <w:pPr>
        <w:pStyle w:val="ListParagraph"/>
        <w:ind w:left="860"/>
        <w:rPr>
          <w:rFonts w:ascii="Arial" w:hAnsi="Arial" w:cs="Arial"/>
          <w:b/>
          <w:bCs/>
        </w:rPr>
      </w:pPr>
    </w:p>
    <w:p w14:paraId="532D1528" w14:textId="79BA3EAA" w:rsidR="005C7718" w:rsidRDefault="00853D6A" w:rsidP="005C7718">
      <w:pPr>
        <w:pStyle w:val="ListParagraph"/>
        <w:ind w:left="860"/>
        <w:rPr>
          <w:rFonts w:ascii="Arial" w:hAnsi="Arial" w:cs="Arial"/>
          <w:b/>
          <w:bCs/>
        </w:rPr>
      </w:pPr>
      <w:r>
        <w:rPr>
          <w:rFonts w:ascii="Arial" w:hAnsi="Arial" w:cs="Arial"/>
          <w:b/>
          <w:bCs/>
          <w:noProof/>
        </w:rPr>
        <w:drawing>
          <wp:inline distT="0" distB="0" distL="0" distR="0" wp14:anchorId="49B6D3E6" wp14:editId="7E17C0A8">
            <wp:extent cx="5731510" cy="1778635"/>
            <wp:effectExtent l="0" t="0" r="0" b="0"/>
            <wp:docPr id="2006887917" name="Picture 6"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887917" name="Picture 6" descr="A graph of a graph&#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1778635"/>
                    </a:xfrm>
                    <a:prstGeom prst="rect">
                      <a:avLst/>
                    </a:prstGeom>
                  </pic:spPr>
                </pic:pic>
              </a:graphicData>
            </a:graphic>
          </wp:inline>
        </w:drawing>
      </w:r>
    </w:p>
    <w:p w14:paraId="4575016A" w14:textId="77777777" w:rsidR="00853D6A" w:rsidRDefault="00853D6A" w:rsidP="005C7718">
      <w:pPr>
        <w:pStyle w:val="ListParagraph"/>
        <w:ind w:left="860"/>
        <w:rPr>
          <w:rFonts w:ascii="Arial" w:hAnsi="Arial" w:cs="Arial"/>
          <w:b/>
          <w:bCs/>
        </w:rPr>
      </w:pPr>
    </w:p>
    <w:p w14:paraId="640FD43D" w14:textId="77777777" w:rsidR="00853D6A" w:rsidRDefault="00853D6A" w:rsidP="005C7718">
      <w:pPr>
        <w:pStyle w:val="ListParagraph"/>
        <w:ind w:left="860"/>
        <w:rPr>
          <w:rFonts w:ascii="Arial" w:hAnsi="Arial" w:cs="Arial"/>
          <w:b/>
          <w:bCs/>
        </w:rPr>
      </w:pPr>
    </w:p>
    <w:p w14:paraId="65F28D56" w14:textId="40D6093D" w:rsidR="00853D6A" w:rsidRDefault="00853D6A" w:rsidP="00853D6A">
      <w:pPr>
        <w:keepNext/>
      </w:pPr>
      <w:r w:rsidRPr="005C7718">
        <w:rPr>
          <w:rFonts w:ascii="Arial" w:hAnsi="Arial" w:cs="Arial"/>
        </w:rPr>
        <w:lastRenderedPageBreak/>
        <w:t>Figure E</w:t>
      </w:r>
      <w:proofErr w:type="gramStart"/>
      <w:r>
        <w:rPr>
          <w:rFonts w:ascii="Arial" w:hAnsi="Arial" w:cs="Arial"/>
        </w:rPr>
        <w:t>3</w:t>
      </w:r>
      <w:r w:rsidRPr="005C7718">
        <w:rPr>
          <w:rFonts w:ascii="Arial" w:hAnsi="Arial" w:cs="Arial"/>
        </w:rPr>
        <w:t>.</w:t>
      </w:r>
      <w:r>
        <w:t>IShowSpeed</w:t>
      </w:r>
      <w:proofErr w:type="gramEnd"/>
      <w:r>
        <w:t xml:space="preserve"> — Daily </w:t>
      </w:r>
      <w:proofErr w:type="gramStart"/>
      <w:r>
        <w:t>income  (</w:t>
      </w:r>
      <w:proofErr w:type="gramEnd"/>
      <w:r>
        <w:t>Social Blade, 10.10.20026-17.10.2026).</w:t>
      </w:r>
    </w:p>
    <w:p w14:paraId="637696C8" w14:textId="77777777" w:rsidR="00853D6A" w:rsidRDefault="00853D6A" w:rsidP="00853D6A">
      <w:pPr>
        <w:keepNext/>
      </w:pPr>
    </w:p>
    <w:p w14:paraId="6873D31A" w14:textId="77777777" w:rsidR="00853D6A" w:rsidRDefault="00853D6A" w:rsidP="00853D6A">
      <w:pPr>
        <w:keepNext/>
      </w:pPr>
    </w:p>
    <w:p w14:paraId="7F61357E" w14:textId="02AC4DA4" w:rsidR="00853D6A" w:rsidRDefault="00853D6A" w:rsidP="00853D6A">
      <w:pPr>
        <w:rPr>
          <w:rFonts w:ascii="Arial" w:hAnsi="Arial" w:cs="Arial"/>
          <w:b/>
          <w:bCs/>
        </w:rPr>
      </w:pPr>
      <w:r>
        <w:rPr>
          <w:noProof/>
        </w:rPr>
        <w:drawing>
          <wp:inline distT="0" distB="0" distL="0" distR="0" wp14:anchorId="272B2C33" wp14:editId="0E86981E">
            <wp:extent cx="4946650" cy="3844533"/>
            <wp:effectExtent l="0" t="0" r="0" b="3810"/>
            <wp:docPr id="1375603468" name="Picture 7" descr="A screenshot of a video chann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603468" name="Picture 7" descr="A screenshot of a video channel&#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988579" cy="3877120"/>
                    </a:xfrm>
                    <a:prstGeom prst="rect">
                      <a:avLst/>
                    </a:prstGeom>
                  </pic:spPr>
                </pic:pic>
              </a:graphicData>
            </a:graphic>
          </wp:inline>
        </w:drawing>
      </w:r>
    </w:p>
    <w:p w14:paraId="6AB79E2B" w14:textId="77777777" w:rsidR="00853D6A" w:rsidRPr="00853D6A" w:rsidRDefault="00853D6A" w:rsidP="00853D6A">
      <w:pPr>
        <w:rPr>
          <w:rFonts w:ascii="Arial" w:hAnsi="Arial" w:cs="Arial"/>
          <w:b/>
          <w:bCs/>
        </w:rPr>
      </w:pPr>
    </w:p>
    <w:p w14:paraId="55929A09" w14:textId="6F577BC3" w:rsidR="00853D6A" w:rsidRPr="00E76A8E" w:rsidRDefault="00853D6A" w:rsidP="00853D6A">
      <w:pPr>
        <w:keepNext/>
        <w:rPr>
          <w:rFonts w:ascii="Arial" w:hAnsi="Arial" w:cs="Arial"/>
        </w:rPr>
      </w:pPr>
      <w:r w:rsidRPr="00E76A8E">
        <w:rPr>
          <w:rFonts w:ascii="Arial" w:hAnsi="Arial" w:cs="Arial"/>
        </w:rPr>
        <w:t xml:space="preserve">Source: Social Blade (2026), </w:t>
      </w:r>
      <w:proofErr w:type="spellStart"/>
      <w:r w:rsidRPr="00E76A8E">
        <w:rPr>
          <w:rFonts w:ascii="Arial" w:hAnsi="Arial" w:cs="Arial"/>
        </w:rPr>
        <w:t>IShowSpeed</w:t>
      </w:r>
      <w:proofErr w:type="spellEnd"/>
      <w:r w:rsidRPr="00E76A8E">
        <w:rPr>
          <w:rFonts w:ascii="Arial" w:hAnsi="Arial" w:cs="Arial"/>
        </w:rPr>
        <w:t xml:space="preserve"> YouTube statistics, monthly gained, </w:t>
      </w:r>
      <w:proofErr w:type="gramStart"/>
      <w:r w:rsidRPr="00E76A8E">
        <w:rPr>
          <w:rFonts w:ascii="Arial" w:hAnsi="Arial" w:cs="Arial"/>
        </w:rPr>
        <w:t>income ,</w:t>
      </w:r>
      <w:proofErr w:type="gramEnd"/>
      <w:r w:rsidRPr="00E76A8E">
        <w:rPr>
          <w:rFonts w:ascii="Arial" w:hAnsi="Arial" w:cs="Arial"/>
        </w:rPr>
        <w:t xml:space="preserve"> views chart; screenshot supplied for this report (accessed 23 October 2026).</w:t>
      </w:r>
    </w:p>
    <w:p w14:paraId="0E07A005" w14:textId="77777777" w:rsidR="00853D6A" w:rsidRDefault="00853D6A" w:rsidP="00853D6A">
      <w:pPr>
        <w:rPr>
          <w:rFonts w:ascii="Arial" w:hAnsi="Arial" w:cs="Arial"/>
          <w:b/>
          <w:bCs/>
        </w:rPr>
      </w:pPr>
    </w:p>
    <w:p w14:paraId="02AA9325" w14:textId="77777777" w:rsidR="00853D6A" w:rsidRDefault="00853D6A" w:rsidP="00853D6A">
      <w:pPr>
        <w:rPr>
          <w:rFonts w:ascii="Arial" w:hAnsi="Arial" w:cs="Arial"/>
          <w:b/>
          <w:bCs/>
        </w:rPr>
      </w:pPr>
    </w:p>
    <w:p w14:paraId="1C9123DE" w14:textId="77777777" w:rsidR="00E76A8E" w:rsidRDefault="00E76A8E" w:rsidP="00E76A8E">
      <w:pPr>
        <w:rPr>
          <w:rFonts w:ascii="Arial" w:hAnsi="Arial" w:cs="Arial"/>
          <w:b/>
          <w:bCs/>
        </w:rPr>
      </w:pPr>
    </w:p>
    <w:p w14:paraId="7F7FCEDF" w14:textId="77777777" w:rsidR="00E76A8E" w:rsidRDefault="00E76A8E" w:rsidP="00E76A8E">
      <w:pPr>
        <w:rPr>
          <w:rFonts w:ascii="Arial" w:hAnsi="Arial" w:cs="Arial"/>
          <w:b/>
          <w:bCs/>
        </w:rPr>
      </w:pPr>
    </w:p>
    <w:p w14:paraId="28CC1C50" w14:textId="77777777" w:rsidR="00E76A8E" w:rsidRDefault="00E76A8E" w:rsidP="00E76A8E">
      <w:pPr>
        <w:rPr>
          <w:rFonts w:ascii="Arial" w:hAnsi="Arial" w:cs="Arial"/>
          <w:b/>
          <w:bCs/>
        </w:rPr>
      </w:pPr>
    </w:p>
    <w:p w14:paraId="3BFED699" w14:textId="77777777" w:rsidR="00E76A8E" w:rsidRDefault="00E76A8E" w:rsidP="00E76A8E">
      <w:pPr>
        <w:rPr>
          <w:rFonts w:ascii="Arial" w:hAnsi="Arial" w:cs="Arial"/>
          <w:b/>
          <w:bCs/>
        </w:rPr>
      </w:pPr>
    </w:p>
    <w:p w14:paraId="2C1CBB8D" w14:textId="77777777" w:rsidR="00E76A8E" w:rsidRDefault="00E76A8E" w:rsidP="00E76A8E">
      <w:pPr>
        <w:rPr>
          <w:rFonts w:ascii="Arial" w:hAnsi="Arial" w:cs="Arial"/>
          <w:b/>
          <w:bCs/>
        </w:rPr>
      </w:pPr>
    </w:p>
    <w:p w14:paraId="5CDA556B" w14:textId="77777777" w:rsidR="00E76A8E" w:rsidRDefault="00E76A8E" w:rsidP="00E76A8E">
      <w:pPr>
        <w:rPr>
          <w:rFonts w:ascii="Arial" w:hAnsi="Arial" w:cs="Arial"/>
          <w:b/>
          <w:bCs/>
        </w:rPr>
      </w:pPr>
    </w:p>
    <w:p w14:paraId="4279A21E" w14:textId="77777777" w:rsidR="00E76A8E" w:rsidRDefault="00E76A8E" w:rsidP="00E76A8E">
      <w:pPr>
        <w:rPr>
          <w:rFonts w:ascii="Arial" w:hAnsi="Arial" w:cs="Arial"/>
          <w:b/>
          <w:bCs/>
        </w:rPr>
      </w:pPr>
    </w:p>
    <w:p w14:paraId="5C86F206" w14:textId="77777777" w:rsidR="00E76A8E" w:rsidRDefault="00E76A8E" w:rsidP="00E76A8E">
      <w:pPr>
        <w:rPr>
          <w:rFonts w:ascii="Arial" w:hAnsi="Arial" w:cs="Arial"/>
          <w:b/>
          <w:bCs/>
        </w:rPr>
      </w:pPr>
    </w:p>
    <w:p w14:paraId="51D36954" w14:textId="77777777" w:rsidR="00E76A8E" w:rsidRDefault="00E76A8E" w:rsidP="00E76A8E">
      <w:pPr>
        <w:rPr>
          <w:rFonts w:ascii="Arial" w:hAnsi="Arial" w:cs="Arial"/>
          <w:b/>
          <w:bCs/>
        </w:rPr>
      </w:pPr>
    </w:p>
    <w:p w14:paraId="69686212" w14:textId="77777777" w:rsidR="00E76A8E" w:rsidRPr="00E76A8E" w:rsidRDefault="00E76A8E" w:rsidP="00E76A8E">
      <w:pPr>
        <w:pStyle w:val="ListParagraph"/>
        <w:ind w:left="860"/>
        <w:rPr>
          <w:b/>
          <w:bCs/>
        </w:rPr>
      </w:pPr>
      <w:r w:rsidRPr="00E76A8E">
        <w:rPr>
          <w:rFonts w:ascii="Arial" w:hAnsi="Arial" w:cs="Arial"/>
          <w:b/>
          <w:bCs/>
        </w:rPr>
        <w:t xml:space="preserve">Figure E2. </w:t>
      </w:r>
      <w:r w:rsidRPr="00E76A8E">
        <w:rPr>
          <w:b/>
          <w:bCs/>
        </w:rPr>
        <w:t>Huda Kattan — personal Instagram follower count, October 2026.</w:t>
      </w:r>
    </w:p>
    <w:p w14:paraId="644C97CC" w14:textId="77777777" w:rsidR="00E76A8E" w:rsidRDefault="00E76A8E" w:rsidP="00E76A8E">
      <w:pPr>
        <w:rPr>
          <w:rFonts w:ascii="Arial" w:hAnsi="Arial" w:cs="Arial"/>
          <w:b/>
          <w:bCs/>
        </w:rPr>
      </w:pPr>
    </w:p>
    <w:p w14:paraId="70EE0485" w14:textId="0719AFF4" w:rsidR="00853D6A" w:rsidRDefault="00E76A8E" w:rsidP="00E76A8E">
      <w:pPr>
        <w:rPr>
          <w:rFonts w:ascii="Arial" w:hAnsi="Arial" w:cs="Arial"/>
          <w:b/>
          <w:bCs/>
        </w:rPr>
      </w:pPr>
      <w:r>
        <w:rPr>
          <w:rFonts w:ascii="Arial" w:hAnsi="Arial" w:cs="Arial"/>
          <w:b/>
          <w:bCs/>
          <w:noProof/>
        </w:rPr>
        <w:drawing>
          <wp:inline distT="0" distB="0" distL="0" distR="0" wp14:anchorId="6D1290C2" wp14:editId="5EB9D77F">
            <wp:extent cx="5731510" cy="2378710"/>
            <wp:effectExtent l="0" t="0" r="0" b="0"/>
            <wp:docPr id="1673112793" name="Picture 8" descr="A screenshot of a social media accou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112793" name="Picture 8" descr="A screenshot of a social media account&#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378710"/>
                    </a:xfrm>
                    <a:prstGeom prst="rect">
                      <a:avLst/>
                    </a:prstGeom>
                  </pic:spPr>
                </pic:pic>
              </a:graphicData>
            </a:graphic>
          </wp:inline>
        </w:drawing>
      </w:r>
    </w:p>
    <w:p w14:paraId="1F879141" w14:textId="77777777" w:rsidR="00E76A8E" w:rsidRDefault="00E76A8E" w:rsidP="00E76A8E">
      <w:pPr>
        <w:rPr>
          <w:rFonts w:ascii="Arial" w:hAnsi="Arial" w:cs="Arial"/>
          <w:b/>
          <w:bCs/>
        </w:rPr>
      </w:pPr>
    </w:p>
    <w:p w14:paraId="4E13832C" w14:textId="2D02981B" w:rsidR="00E76A8E" w:rsidRDefault="00E76A8E" w:rsidP="00E76A8E">
      <w:r>
        <w:t xml:space="preserve">Source: </w:t>
      </w:r>
      <w:proofErr w:type="spellStart"/>
      <w:r>
        <w:t>HypeAuditor</w:t>
      </w:r>
      <w:proofErr w:type="spellEnd"/>
      <w:r>
        <w:t xml:space="preserve"> (2026), historical Instagram follower data for Huda (@huda), accessed 20 October 2026.</w:t>
      </w:r>
    </w:p>
    <w:p w14:paraId="4B579065" w14:textId="77777777" w:rsidR="00E76A8E" w:rsidRDefault="00E76A8E" w:rsidP="00E76A8E"/>
    <w:p w14:paraId="5BAF2D74" w14:textId="77777777" w:rsidR="00E76A8E" w:rsidRDefault="00E76A8E" w:rsidP="00E76A8E"/>
    <w:p w14:paraId="560F2EB7" w14:textId="77777777" w:rsidR="00E76A8E" w:rsidRDefault="00E76A8E" w:rsidP="00E76A8E"/>
    <w:p w14:paraId="36E29419" w14:textId="77777777" w:rsidR="00E76A8E" w:rsidRDefault="00E76A8E" w:rsidP="00E76A8E">
      <w:pPr>
        <w:rPr>
          <w:rFonts w:ascii="Arial" w:hAnsi="Arial" w:cs="Arial"/>
          <w:b/>
          <w:bCs/>
          <w:sz w:val="28"/>
          <w:szCs w:val="28"/>
        </w:rPr>
      </w:pPr>
    </w:p>
    <w:p w14:paraId="516ACA0B" w14:textId="473D07EC" w:rsidR="00E76A8E" w:rsidRDefault="00E76A8E" w:rsidP="00E76A8E">
      <w:pPr>
        <w:rPr>
          <w:rFonts w:ascii="Arial" w:hAnsi="Arial" w:cs="Arial"/>
          <w:b/>
          <w:bCs/>
          <w:sz w:val="28"/>
          <w:szCs w:val="28"/>
        </w:rPr>
      </w:pPr>
    </w:p>
    <w:p w14:paraId="6426C4A4" w14:textId="77777777" w:rsidR="00E76A8E" w:rsidRDefault="00E76A8E" w:rsidP="00E76A8E">
      <w:pPr>
        <w:rPr>
          <w:rFonts w:ascii="Arial" w:hAnsi="Arial" w:cs="Arial"/>
          <w:b/>
          <w:bCs/>
          <w:sz w:val="28"/>
          <w:szCs w:val="28"/>
        </w:rPr>
      </w:pPr>
    </w:p>
    <w:p w14:paraId="084B7AE5" w14:textId="77777777" w:rsidR="00E76A8E" w:rsidRDefault="00E76A8E" w:rsidP="00E76A8E">
      <w:pPr>
        <w:rPr>
          <w:rFonts w:ascii="Arial" w:hAnsi="Arial" w:cs="Arial"/>
          <w:b/>
          <w:bCs/>
          <w:sz w:val="28"/>
          <w:szCs w:val="28"/>
        </w:rPr>
      </w:pPr>
    </w:p>
    <w:p w14:paraId="2DCA0B42" w14:textId="33751A50" w:rsidR="00E76A8E" w:rsidRDefault="00E76A8E" w:rsidP="00E76A8E">
      <w:pPr>
        <w:rPr>
          <w:rFonts w:ascii="Arial" w:hAnsi="Arial" w:cs="Arial"/>
          <w:b/>
          <w:bCs/>
          <w:sz w:val="28"/>
          <w:szCs w:val="28"/>
        </w:rPr>
      </w:pPr>
      <w:r w:rsidRPr="00E76A8E">
        <w:rPr>
          <w:rFonts w:ascii="Arial" w:hAnsi="Arial" w:cs="Arial"/>
          <w:b/>
          <w:bCs/>
          <w:sz w:val="28"/>
          <w:szCs w:val="28"/>
        </w:rPr>
        <w:t xml:space="preserve">Figure E3. The Diary of a </w:t>
      </w:r>
      <w:proofErr w:type="gramStart"/>
      <w:r w:rsidRPr="00E76A8E">
        <w:rPr>
          <w:rFonts w:ascii="Arial" w:hAnsi="Arial" w:cs="Arial"/>
          <w:b/>
          <w:bCs/>
          <w:sz w:val="28"/>
          <w:szCs w:val="28"/>
        </w:rPr>
        <w:t>CEO .</w:t>
      </w:r>
      <w:proofErr w:type="gramEnd"/>
    </w:p>
    <w:p w14:paraId="58A4618F" w14:textId="0AE6F455" w:rsidR="00E76A8E" w:rsidRPr="00E76A8E" w:rsidRDefault="00E76A8E" w:rsidP="00E76A8E">
      <w:pPr>
        <w:rPr>
          <w:rFonts w:ascii="Arial" w:hAnsi="Arial" w:cs="Arial"/>
          <w:b/>
          <w:bCs/>
          <w:sz w:val="28"/>
          <w:szCs w:val="28"/>
        </w:rPr>
      </w:pPr>
      <w:r>
        <w:t>Source: Social Blade (2026), daily YouTube channel metrics for The Diary of a CEO, accessed 21 October 2026.</w:t>
      </w:r>
    </w:p>
    <w:p w14:paraId="2F713ECC" w14:textId="21B60BE0" w:rsidR="00E76A8E" w:rsidRDefault="00E76A8E" w:rsidP="00E76A8E">
      <w:pPr>
        <w:pStyle w:val="ListParagraph"/>
        <w:ind w:left="860"/>
        <w:rPr>
          <w:rFonts w:ascii="Arial" w:hAnsi="Arial" w:cs="Arial"/>
          <w:b/>
          <w:bCs/>
          <w:sz w:val="28"/>
          <w:szCs w:val="28"/>
        </w:rPr>
      </w:pPr>
      <w:r>
        <w:rPr>
          <w:rFonts w:ascii="Arial" w:hAnsi="Arial" w:cs="Arial"/>
          <w:b/>
          <w:bCs/>
          <w:noProof/>
          <w:sz w:val="28"/>
          <w:szCs w:val="28"/>
        </w:rPr>
        <w:lastRenderedPageBreak/>
        <w:drawing>
          <wp:inline distT="0" distB="0" distL="0" distR="0" wp14:anchorId="6DF2F9B0" wp14:editId="70649BCC">
            <wp:extent cx="5731510" cy="2069465"/>
            <wp:effectExtent l="0" t="0" r="0" b="635"/>
            <wp:docPr id="1461542609" name="Picture 13"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542609" name="Picture 13" descr="A graph on a white background&#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2069465"/>
                    </a:xfrm>
                    <a:prstGeom prst="rect">
                      <a:avLst/>
                    </a:prstGeom>
                  </pic:spPr>
                </pic:pic>
              </a:graphicData>
            </a:graphic>
          </wp:inline>
        </w:drawing>
      </w:r>
      <w:r>
        <w:rPr>
          <w:rFonts w:ascii="Arial" w:hAnsi="Arial" w:cs="Arial"/>
          <w:b/>
          <w:bCs/>
          <w:noProof/>
          <w:sz w:val="28"/>
          <w:szCs w:val="28"/>
        </w:rPr>
        <w:drawing>
          <wp:inline distT="0" distB="0" distL="0" distR="0" wp14:anchorId="469915DC" wp14:editId="250949E5">
            <wp:extent cx="5731510" cy="2084705"/>
            <wp:effectExtent l="0" t="0" r="0" b="0"/>
            <wp:docPr id="2027569763" name="Picture 14"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69763" name="Picture 14" descr="A graph on a white background&#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2084705"/>
                    </a:xfrm>
                    <a:prstGeom prst="rect">
                      <a:avLst/>
                    </a:prstGeom>
                  </pic:spPr>
                </pic:pic>
              </a:graphicData>
            </a:graphic>
          </wp:inline>
        </w:drawing>
      </w:r>
      <w:r>
        <w:rPr>
          <w:rFonts w:ascii="Arial" w:hAnsi="Arial" w:cs="Arial"/>
          <w:b/>
          <w:bCs/>
          <w:noProof/>
          <w:sz w:val="28"/>
          <w:szCs w:val="28"/>
        </w:rPr>
        <w:drawing>
          <wp:inline distT="0" distB="0" distL="0" distR="0" wp14:anchorId="20E3DDE1" wp14:editId="5EB98740">
            <wp:extent cx="5731510" cy="4308475"/>
            <wp:effectExtent l="0" t="0" r="0" b="0"/>
            <wp:docPr id="654951524" name="Picture 15" descr="A screenshot of a video chann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51524" name="Picture 15" descr="A screenshot of a video channel&#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4308475"/>
                    </a:xfrm>
                    <a:prstGeom prst="rect">
                      <a:avLst/>
                    </a:prstGeom>
                  </pic:spPr>
                </pic:pic>
              </a:graphicData>
            </a:graphic>
          </wp:inline>
        </w:drawing>
      </w:r>
    </w:p>
    <w:p w14:paraId="5FE341B1" w14:textId="77777777" w:rsidR="00E76A8E" w:rsidRPr="002B1691" w:rsidRDefault="00E76A8E" w:rsidP="002B1691">
      <w:pPr>
        <w:spacing w:line="360" w:lineRule="auto"/>
        <w:rPr>
          <w:rFonts w:ascii="Arial" w:hAnsi="Arial" w:cs="Arial"/>
        </w:rPr>
      </w:pPr>
      <w:r w:rsidRPr="002B1691">
        <w:rPr>
          <w:rFonts w:ascii="Arial" w:hAnsi="Arial" w:cs="Arial"/>
        </w:rPr>
        <w:lastRenderedPageBreak/>
        <w:t xml:space="preserve">Interpretation: </w:t>
      </w:r>
      <w:proofErr w:type="spellStart"/>
      <w:r w:rsidRPr="002B1691">
        <w:rPr>
          <w:rFonts w:ascii="Arial" w:hAnsi="Arial" w:cs="Arial"/>
        </w:rPr>
        <w:t>IShowSpeed's</w:t>
      </w:r>
      <w:proofErr w:type="spellEnd"/>
      <w:r w:rsidRPr="002B1691">
        <w:rPr>
          <w:rFonts w:ascii="Arial" w:hAnsi="Arial" w:cs="Arial"/>
        </w:rPr>
        <w:t xml:space="preserve"> figures illustrate entertainment reach; Huda Kattan's personal Instagram figure illustrates the reach of a creator associated with a consumer brand; and Bartlett's YouTube milestone illustrates the scale of a long-form media property. These indicators do not establish relative income, engagement quality or profitability.</w:t>
      </w:r>
    </w:p>
    <w:p w14:paraId="1BFC9208" w14:textId="77777777" w:rsidR="002B1691" w:rsidRDefault="002B1691" w:rsidP="00E76A8E">
      <w:pPr>
        <w:rPr>
          <w:rFonts w:ascii="Arial" w:hAnsi="Arial" w:cs="Arial"/>
          <w:b/>
          <w:bCs/>
        </w:rPr>
      </w:pPr>
    </w:p>
    <w:p w14:paraId="3274FD59" w14:textId="77777777" w:rsidR="002B1691" w:rsidRPr="002B1691" w:rsidRDefault="002B1691" w:rsidP="002B1691">
      <w:pPr>
        <w:pStyle w:val="Heading1"/>
        <w:numPr>
          <w:ilvl w:val="0"/>
          <w:numId w:val="7"/>
        </w:numPr>
        <w:rPr>
          <w:rFonts w:ascii="Arial" w:hAnsi="Arial" w:cs="Arial"/>
          <w:b/>
          <w:bCs/>
          <w:color w:val="000000" w:themeColor="text1"/>
          <w:sz w:val="28"/>
          <w:szCs w:val="28"/>
        </w:rPr>
      </w:pPr>
      <w:r w:rsidRPr="002B1691">
        <w:rPr>
          <w:rFonts w:ascii="Arial" w:hAnsi="Arial" w:cs="Arial"/>
          <w:b/>
          <w:bCs/>
          <w:color w:val="000000" w:themeColor="text1"/>
          <w:sz w:val="28"/>
          <w:szCs w:val="28"/>
        </w:rPr>
        <w:t>Appendix F: Comparison of creator business models</w:t>
      </w:r>
    </w:p>
    <w:p w14:paraId="5E5931CA" w14:textId="77777777" w:rsidR="002B1691" w:rsidRPr="002B1691" w:rsidRDefault="002B1691" w:rsidP="002B1691">
      <w:pPr>
        <w:ind w:left="500"/>
        <w:rPr>
          <w:rFonts w:ascii="Arial" w:hAnsi="Arial" w:cs="Arial"/>
          <w:b/>
          <w:bCs/>
        </w:rPr>
      </w:pPr>
    </w:p>
    <w:tbl>
      <w:tblPr>
        <w:tblStyle w:val="TableGrid"/>
        <w:tblW w:w="10183" w:type="dxa"/>
        <w:tblInd w:w="-127" w:type="dxa"/>
        <w:tblLook w:val="04A0" w:firstRow="1" w:lastRow="0" w:firstColumn="1" w:lastColumn="0" w:noHBand="0" w:noVBand="1"/>
      </w:tblPr>
      <w:tblGrid>
        <w:gridCol w:w="2682"/>
        <w:gridCol w:w="2767"/>
        <w:gridCol w:w="2367"/>
        <w:gridCol w:w="2367"/>
      </w:tblGrid>
      <w:tr w:rsidR="002B1691" w14:paraId="61A8E8ED" w14:textId="77777777" w:rsidTr="002B1691">
        <w:trPr>
          <w:trHeight w:val="527"/>
        </w:trPr>
        <w:tc>
          <w:tcPr>
            <w:tcW w:w="2682" w:type="dxa"/>
          </w:tcPr>
          <w:p w14:paraId="0F927708" w14:textId="299348A1" w:rsidR="002B1691" w:rsidRDefault="002B1691" w:rsidP="002B1691">
            <w:pPr>
              <w:pStyle w:val="ListParagraph"/>
              <w:ind w:left="0"/>
              <w:rPr>
                <w:rFonts w:ascii="Arial" w:hAnsi="Arial" w:cs="Arial"/>
                <w:b/>
                <w:bCs/>
                <w:sz w:val="28"/>
                <w:szCs w:val="28"/>
              </w:rPr>
            </w:pPr>
            <w:r>
              <w:rPr>
                <w:rFonts w:ascii="Arial" w:hAnsi="Arial" w:cs="Arial"/>
                <w:b/>
                <w:bCs/>
                <w:sz w:val="28"/>
                <w:szCs w:val="28"/>
              </w:rPr>
              <w:t>Dimension</w:t>
            </w:r>
          </w:p>
        </w:tc>
        <w:tc>
          <w:tcPr>
            <w:tcW w:w="2767" w:type="dxa"/>
          </w:tcPr>
          <w:p w14:paraId="00ED1998" w14:textId="11AFA0A9" w:rsidR="002B1691" w:rsidRPr="002B1691" w:rsidRDefault="002B1691" w:rsidP="002B1691">
            <w:pPr>
              <w:pStyle w:val="ListParagraph"/>
              <w:ind w:left="0"/>
              <w:rPr>
                <w:rFonts w:ascii="Arial" w:hAnsi="Arial" w:cs="Arial"/>
                <w:b/>
                <w:bCs/>
              </w:rPr>
            </w:pPr>
            <w:proofErr w:type="spellStart"/>
            <w:r w:rsidRPr="002B1691">
              <w:rPr>
                <w:rFonts w:ascii="Arial" w:hAnsi="Arial" w:cs="Arial"/>
                <w:b/>
                <w:bCs/>
              </w:rPr>
              <w:t>IShowSpeeed</w:t>
            </w:r>
            <w:proofErr w:type="spellEnd"/>
          </w:p>
        </w:tc>
        <w:tc>
          <w:tcPr>
            <w:tcW w:w="2367" w:type="dxa"/>
          </w:tcPr>
          <w:p w14:paraId="22FB8BBA" w14:textId="1D00716F" w:rsidR="002B1691" w:rsidRPr="002B1691" w:rsidRDefault="002B1691" w:rsidP="002B1691">
            <w:pPr>
              <w:pStyle w:val="ListParagraph"/>
              <w:ind w:left="0"/>
              <w:rPr>
                <w:rFonts w:ascii="Arial" w:hAnsi="Arial" w:cs="Arial"/>
                <w:b/>
                <w:bCs/>
              </w:rPr>
            </w:pPr>
            <w:r w:rsidRPr="002B1691">
              <w:rPr>
                <w:rFonts w:ascii="Arial" w:hAnsi="Arial" w:cs="Arial"/>
                <w:b/>
                <w:bCs/>
              </w:rPr>
              <w:t>Huda Kattan</w:t>
            </w:r>
          </w:p>
        </w:tc>
        <w:tc>
          <w:tcPr>
            <w:tcW w:w="2367" w:type="dxa"/>
          </w:tcPr>
          <w:p w14:paraId="272C1831" w14:textId="1CB01145" w:rsidR="002B1691" w:rsidRPr="002B1691" w:rsidRDefault="002B1691" w:rsidP="002B1691">
            <w:pPr>
              <w:pStyle w:val="ListParagraph"/>
              <w:ind w:left="0"/>
              <w:rPr>
                <w:rFonts w:ascii="Arial" w:hAnsi="Arial" w:cs="Arial"/>
                <w:b/>
                <w:bCs/>
                <w:sz w:val="28"/>
                <w:szCs w:val="28"/>
              </w:rPr>
            </w:pPr>
            <w:r w:rsidRPr="002B1691">
              <w:rPr>
                <w:rFonts w:ascii="Arial" w:hAnsi="Arial" w:cs="Arial"/>
                <w:b/>
                <w:bCs/>
              </w:rPr>
              <w:t>Steven</w:t>
            </w:r>
            <w:r>
              <w:rPr>
                <w:rFonts w:ascii="Arial" w:hAnsi="Arial" w:cs="Arial"/>
                <w:b/>
                <w:bCs/>
              </w:rPr>
              <w:t xml:space="preserve"> </w:t>
            </w:r>
            <w:r w:rsidRPr="002B1691">
              <w:rPr>
                <w:rFonts w:ascii="Arial" w:hAnsi="Arial" w:cs="Arial"/>
                <w:b/>
                <w:bCs/>
              </w:rPr>
              <w:t>Bartlett</w:t>
            </w:r>
          </w:p>
        </w:tc>
      </w:tr>
      <w:tr w:rsidR="002B1691" w14:paraId="55A35E52" w14:textId="77777777" w:rsidTr="002B1691">
        <w:trPr>
          <w:trHeight w:val="676"/>
        </w:trPr>
        <w:tc>
          <w:tcPr>
            <w:tcW w:w="2682" w:type="dxa"/>
          </w:tcPr>
          <w:p w14:paraId="27FCBB7B" w14:textId="69104B7B"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Principal model</w:t>
            </w:r>
          </w:p>
        </w:tc>
        <w:tc>
          <w:tcPr>
            <w:tcW w:w="2767" w:type="dxa"/>
          </w:tcPr>
          <w:p w14:paraId="25B124B8" w14:textId="5FEA7715"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Livestreaming and personality-led entertainment</w:t>
            </w:r>
          </w:p>
        </w:tc>
        <w:tc>
          <w:tcPr>
            <w:tcW w:w="2367" w:type="dxa"/>
          </w:tcPr>
          <w:p w14:paraId="17DA61D1" w14:textId="7D68DD56"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Beauty content and creator-led consumer brand</w:t>
            </w:r>
          </w:p>
        </w:tc>
        <w:tc>
          <w:tcPr>
            <w:tcW w:w="2367" w:type="dxa"/>
          </w:tcPr>
          <w:p w14:paraId="2FE74088" w14:textId="190C886A"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Podcasting, media and entrepreneurship</w:t>
            </w:r>
          </w:p>
        </w:tc>
      </w:tr>
      <w:tr w:rsidR="002B1691" w14:paraId="3C1EDA55" w14:textId="77777777" w:rsidTr="002B1691">
        <w:trPr>
          <w:trHeight w:val="696"/>
        </w:trPr>
        <w:tc>
          <w:tcPr>
            <w:tcW w:w="2682" w:type="dxa"/>
          </w:tcPr>
          <w:p w14:paraId="7766637A" w14:textId="6209F179"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Main source of value</w:t>
            </w:r>
          </w:p>
        </w:tc>
        <w:tc>
          <w:tcPr>
            <w:tcW w:w="2767" w:type="dxa"/>
          </w:tcPr>
          <w:p w14:paraId="2E032A8B" w14:textId="4B02F4BE"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Live interaction, entertainment and shareable moments</w:t>
            </w:r>
          </w:p>
        </w:tc>
        <w:tc>
          <w:tcPr>
            <w:tcW w:w="2367" w:type="dxa"/>
          </w:tcPr>
          <w:p w14:paraId="4A83EDA3" w14:textId="3C08BFFE"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Beauty expertise, personal brand and products</w:t>
            </w:r>
          </w:p>
        </w:tc>
        <w:tc>
          <w:tcPr>
            <w:tcW w:w="2367" w:type="dxa"/>
          </w:tcPr>
          <w:p w14:paraId="42406992" w14:textId="65629E4F"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Long-form conversations and media distribution</w:t>
            </w:r>
          </w:p>
        </w:tc>
      </w:tr>
      <w:tr w:rsidR="002B1691" w14:paraId="10B91D3B" w14:textId="77777777" w:rsidTr="002B1691">
        <w:trPr>
          <w:trHeight w:val="676"/>
        </w:trPr>
        <w:tc>
          <w:tcPr>
            <w:tcW w:w="2682" w:type="dxa"/>
          </w:tcPr>
          <w:p w14:paraId="06AAD5FC" w14:textId="3CD1D435"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Most relevant STEEPLE factors</w:t>
            </w:r>
          </w:p>
        </w:tc>
        <w:tc>
          <w:tcPr>
            <w:tcW w:w="2767" w:type="dxa"/>
          </w:tcPr>
          <w:p w14:paraId="62DFD5A0" w14:textId="41D28E75"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Technological, social, ethical and legal</w:t>
            </w:r>
          </w:p>
        </w:tc>
        <w:tc>
          <w:tcPr>
            <w:tcW w:w="2367" w:type="dxa"/>
          </w:tcPr>
          <w:p w14:paraId="401333FE" w14:textId="35C5E0E5"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Economic, social, legal and ethical</w:t>
            </w:r>
          </w:p>
        </w:tc>
        <w:tc>
          <w:tcPr>
            <w:tcW w:w="2367" w:type="dxa"/>
          </w:tcPr>
          <w:p w14:paraId="3BBE5B16" w14:textId="49201F11"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Technological, economic, legal and ethical</w:t>
            </w:r>
          </w:p>
        </w:tc>
      </w:tr>
      <w:tr w:rsidR="002B1691" w14:paraId="438FF6AB" w14:textId="77777777" w:rsidTr="002B1691">
        <w:trPr>
          <w:trHeight w:val="676"/>
        </w:trPr>
        <w:tc>
          <w:tcPr>
            <w:tcW w:w="2682" w:type="dxa"/>
          </w:tcPr>
          <w:p w14:paraId="28A329CA" w14:textId="35C537E7"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Main vulnerability</w:t>
            </w:r>
          </w:p>
        </w:tc>
        <w:tc>
          <w:tcPr>
            <w:tcW w:w="2767" w:type="dxa"/>
          </w:tcPr>
          <w:p w14:paraId="1686FD8E" w14:textId="090E5306"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Platform visibility and live reputational risk</w:t>
            </w:r>
          </w:p>
        </w:tc>
        <w:tc>
          <w:tcPr>
            <w:tcW w:w="2367" w:type="dxa"/>
          </w:tcPr>
          <w:p w14:paraId="53B9FBE3" w14:textId="64D47198"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Product trust, competition and consumer confidence</w:t>
            </w:r>
          </w:p>
        </w:tc>
        <w:tc>
          <w:tcPr>
            <w:tcW w:w="2367" w:type="dxa"/>
          </w:tcPr>
          <w:p w14:paraId="2101225C" w14:textId="5AE4A5E8"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Platform discovery, audience retention and credibility</w:t>
            </w:r>
          </w:p>
        </w:tc>
      </w:tr>
      <w:tr w:rsidR="002B1691" w14:paraId="6B09A043" w14:textId="77777777" w:rsidTr="002B1691">
        <w:trPr>
          <w:trHeight w:val="676"/>
        </w:trPr>
        <w:tc>
          <w:tcPr>
            <w:tcW w:w="2682" w:type="dxa"/>
          </w:tcPr>
          <w:p w14:paraId="04F6D065" w14:textId="71001B86"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Recommended response</w:t>
            </w:r>
          </w:p>
        </w:tc>
        <w:tc>
          <w:tcPr>
            <w:tcW w:w="2767" w:type="dxa"/>
          </w:tcPr>
          <w:p w14:paraId="0BA5771B" w14:textId="3D5DCB9A"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Diversify distribution and use live-content safeguards</w:t>
            </w:r>
          </w:p>
        </w:tc>
        <w:tc>
          <w:tcPr>
            <w:tcW w:w="2367" w:type="dxa"/>
          </w:tcPr>
          <w:p w14:paraId="65D6F410" w14:textId="70CD618D"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Protect product quality and develop direct customer relationships</w:t>
            </w:r>
          </w:p>
        </w:tc>
        <w:tc>
          <w:tcPr>
            <w:tcW w:w="2367" w:type="dxa"/>
          </w:tcPr>
          <w:p w14:paraId="025DFEEE" w14:textId="633C4C5D"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Diversify distribution and maintain editorial standards</w:t>
            </w:r>
          </w:p>
        </w:tc>
      </w:tr>
      <w:tr w:rsidR="002B1691" w14:paraId="6E04C3EA" w14:textId="77777777" w:rsidTr="002B1691">
        <w:trPr>
          <w:trHeight w:val="676"/>
        </w:trPr>
        <w:tc>
          <w:tcPr>
            <w:tcW w:w="2682" w:type="dxa"/>
          </w:tcPr>
          <w:p w14:paraId="6B562632" w14:textId="4AF5F2B8"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Future opportunity</w:t>
            </w:r>
          </w:p>
        </w:tc>
        <w:tc>
          <w:tcPr>
            <w:tcW w:w="2767" w:type="dxa"/>
          </w:tcPr>
          <w:p w14:paraId="630446AC" w14:textId="1864BC24"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AI-assisted translation and cross-platform clips</w:t>
            </w:r>
          </w:p>
        </w:tc>
        <w:tc>
          <w:tcPr>
            <w:tcW w:w="2367" w:type="dxa"/>
          </w:tcPr>
          <w:p w14:paraId="36180DBA" w14:textId="6E0540C4"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Social commerce and owned product channels</w:t>
            </w:r>
          </w:p>
        </w:tc>
        <w:tc>
          <w:tcPr>
            <w:tcW w:w="2367" w:type="dxa"/>
          </w:tcPr>
          <w:p w14:paraId="53D358DC" w14:textId="704A15A6" w:rsidR="002B1691" w:rsidRDefault="002B1691" w:rsidP="002B1691">
            <w:pPr>
              <w:pStyle w:val="ListParagraph"/>
              <w:ind w:left="0"/>
              <w:rPr>
                <w:rFonts w:ascii="Arial" w:hAnsi="Arial" w:cs="Arial"/>
                <w:b/>
                <w:bCs/>
                <w:sz w:val="28"/>
                <w:szCs w:val="28"/>
              </w:rPr>
            </w:pPr>
            <w:r w:rsidRPr="00DB3935">
              <w:rPr>
                <w:rFonts w:ascii="Arial" w:hAnsi="Arial" w:cs="Arial"/>
                <w:color w:val="000000" w:themeColor="text1"/>
              </w:rPr>
              <w:t>Multi-format publishing and international distribution</w:t>
            </w:r>
          </w:p>
        </w:tc>
      </w:tr>
    </w:tbl>
    <w:p w14:paraId="0285DBA5" w14:textId="77777777" w:rsidR="002B1691" w:rsidRDefault="002B1691" w:rsidP="002B1691">
      <w:r>
        <w:t xml:space="preserve"> </w:t>
      </w:r>
    </w:p>
    <w:p w14:paraId="25401C04" w14:textId="2C84ED06" w:rsidR="002B1691" w:rsidRDefault="002B1691" w:rsidP="002B1691">
      <w:r>
        <w:t>This comparison applies the industry-wide frameworks to three different creator models. Appendix A identifies the external environment, Appendix B evaluates the industry's strategic position, and Appendix F demonstrates how the same factors can have different implications for individual creators.</w:t>
      </w:r>
    </w:p>
    <w:p w14:paraId="59DE9CCB" w14:textId="77777777" w:rsidR="00E76A8E" w:rsidRPr="00E76A8E" w:rsidRDefault="00E76A8E" w:rsidP="00E76A8E">
      <w:pPr>
        <w:pStyle w:val="ListParagraph"/>
        <w:ind w:left="860"/>
        <w:rPr>
          <w:rFonts w:ascii="Arial" w:hAnsi="Arial" w:cs="Arial"/>
          <w:b/>
          <w:bCs/>
          <w:sz w:val="28"/>
          <w:szCs w:val="28"/>
        </w:rPr>
      </w:pPr>
    </w:p>
    <w:sectPr w:rsidR="00E76A8E" w:rsidRPr="00E76A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812ACBD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5C7593E"/>
    <w:multiLevelType w:val="hybridMultilevel"/>
    <w:tmpl w:val="C8BC92DA"/>
    <w:lvl w:ilvl="0" w:tplc="FF38B3B2">
      <w:start w:val="1"/>
      <w:numFmt w:val="decimal"/>
      <w:lvlText w:val="%1."/>
      <w:lvlJc w:val="left"/>
      <w:pPr>
        <w:ind w:left="1720" w:hanging="360"/>
      </w:pPr>
      <w:rPr>
        <w:rFonts w:hint="default"/>
      </w:rPr>
    </w:lvl>
    <w:lvl w:ilvl="1" w:tplc="08090019" w:tentative="1">
      <w:start w:val="1"/>
      <w:numFmt w:val="lowerLetter"/>
      <w:lvlText w:val="%2."/>
      <w:lvlJc w:val="left"/>
      <w:pPr>
        <w:ind w:left="2660" w:hanging="360"/>
      </w:pPr>
    </w:lvl>
    <w:lvl w:ilvl="2" w:tplc="0809001B" w:tentative="1">
      <w:start w:val="1"/>
      <w:numFmt w:val="lowerRoman"/>
      <w:lvlText w:val="%3."/>
      <w:lvlJc w:val="right"/>
      <w:pPr>
        <w:ind w:left="3380" w:hanging="180"/>
      </w:pPr>
    </w:lvl>
    <w:lvl w:ilvl="3" w:tplc="0809000F" w:tentative="1">
      <w:start w:val="1"/>
      <w:numFmt w:val="decimal"/>
      <w:lvlText w:val="%4."/>
      <w:lvlJc w:val="left"/>
      <w:pPr>
        <w:ind w:left="4100" w:hanging="360"/>
      </w:pPr>
    </w:lvl>
    <w:lvl w:ilvl="4" w:tplc="08090019" w:tentative="1">
      <w:start w:val="1"/>
      <w:numFmt w:val="lowerLetter"/>
      <w:lvlText w:val="%5."/>
      <w:lvlJc w:val="left"/>
      <w:pPr>
        <w:ind w:left="4820" w:hanging="360"/>
      </w:pPr>
    </w:lvl>
    <w:lvl w:ilvl="5" w:tplc="0809001B" w:tentative="1">
      <w:start w:val="1"/>
      <w:numFmt w:val="lowerRoman"/>
      <w:lvlText w:val="%6."/>
      <w:lvlJc w:val="right"/>
      <w:pPr>
        <w:ind w:left="5540" w:hanging="180"/>
      </w:pPr>
    </w:lvl>
    <w:lvl w:ilvl="6" w:tplc="0809000F" w:tentative="1">
      <w:start w:val="1"/>
      <w:numFmt w:val="decimal"/>
      <w:lvlText w:val="%7."/>
      <w:lvlJc w:val="left"/>
      <w:pPr>
        <w:ind w:left="6260" w:hanging="360"/>
      </w:pPr>
    </w:lvl>
    <w:lvl w:ilvl="7" w:tplc="08090019" w:tentative="1">
      <w:start w:val="1"/>
      <w:numFmt w:val="lowerLetter"/>
      <w:lvlText w:val="%8."/>
      <w:lvlJc w:val="left"/>
      <w:pPr>
        <w:ind w:left="6980" w:hanging="360"/>
      </w:pPr>
    </w:lvl>
    <w:lvl w:ilvl="8" w:tplc="0809001B" w:tentative="1">
      <w:start w:val="1"/>
      <w:numFmt w:val="lowerRoman"/>
      <w:lvlText w:val="%9."/>
      <w:lvlJc w:val="right"/>
      <w:pPr>
        <w:ind w:left="7700" w:hanging="180"/>
      </w:pPr>
    </w:lvl>
  </w:abstractNum>
  <w:abstractNum w:abstractNumId="2" w15:restartNumberingAfterBreak="0">
    <w:nsid w:val="070A3F8C"/>
    <w:multiLevelType w:val="hybridMultilevel"/>
    <w:tmpl w:val="57A60842"/>
    <w:lvl w:ilvl="0" w:tplc="08090001">
      <w:start w:val="1"/>
      <w:numFmt w:val="bullet"/>
      <w:lvlText w:val=""/>
      <w:lvlJc w:val="left"/>
      <w:pPr>
        <w:ind w:left="1220" w:hanging="360"/>
      </w:pPr>
      <w:rPr>
        <w:rFonts w:ascii="Symbol" w:hAnsi="Symbol" w:hint="default"/>
      </w:rPr>
    </w:lvl>
    <w:lvl w:ilvl="1" w:tplc="08090003" w:tentative="1">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abstractNum w:abstractNumId="3" w15:restartNumberingAfterBreak="0">
    <w:nsid w:val="10E25BC2"/>
    <w:multiLevelType w:val="hybridMultilevel"/>
    <w:tmpl w:val="FAAC274A"/>
    <w:lvl w:ilvl="0" w:tplc="08090001">
      <w:start w:val="1"/>
      <w:numFmt w:val="bullet"/>
      <w:lvlText w:val=""/>
      <w:lvlJc w:val="left"/>
      <w:pPr>
        <w:ind w:left="1220" w:hanging="360"/>
      </w:pPr>
      <w:rPr>
        <w:rFonts w:ascii="Symbol" w:hAnsi="Symbol" w:hint="default"/>
      </w:rPr>
    </w:lvl>
    <w:lvl w:ilvl="1" w:tplc="08090003" w:tentative="1">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abstractNum w:abstractNumId="4" w15:restartNumberingAfterBreak="0">
    <w:nsid w:val="13210669"/>
    <w:multiLevelType w:val="hybridMultilevel"/>
    <w:tmpl w:val="1CB22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225B78"/>
    <w:multiLevelType w:val="hybridMultilevel"/>
    <w:tmpl w:val="4BA68982"/>
    <w:lvl w:ilvl="0" w:tplc="0809000F">
      <w:start w:val="1"/>
      <w:numFmt w:val="decimal"/>
      <w:lvlText w:val="%1."/>
      <w:lvlJc w:val="left"/>
      <w:pPr>
        <w:ind w:left="500" w:hanging="360"/>
      </w:pPr>
      <w:rPr>
        <w:rFonts w:hint="default"/>
      </w:rPr>
    </w:lvl>
    <w:lvl w:ilvl="1" w:tplc="08090019" w:tentative="1">
      <w:start w:val="1"/>
      <w:numFmt w:val="lowerLetter"/>
      <w:lvlText w:val="%2."/>
      <w:lvlJc w:val="left"/>
      <w:pPr>
        <w:ind w:left="1220" w:hanging="360"/>
      </w:pPr>
    </w:lvl>
    <w:lvl w:ilvl="2" w:tplc="0809001B" w:tentative="1">
      <w:start w:val="1"/>
      <w:numFmt w:val="lowerRoman"/>
      <w:lvlText w:val="%3."/>
      <w:lvlJc w:val="right"/>
      <w:pPr>
        <w:ind w:left="1940" w:hanging="180"/>
      </w:pPr>
    </w:lvl>
    <w:lvl w:ilvl="3" w:tplc="0809000F" w:tentative="1">
      <w:start w:val="1"/>
      <w:numFmt w:val="decimal"/>
      <w:lvlText w:val="%4."/>
      <w:lvlJc w:val="left"/>
      <w:pPr>
        <w:ind w:left="2660" w:hanging="360"/>
      </w:pPr>
    </w:lvl>
    <w:lvl w:ilvl="4" w:tplc="08090019" w:tentative="1">
      <w:start w:val="1"/>
      <w:numFmt w:val="lowerLetter"/>
      <w:lvlText w:val="%5."/>
      <w:lvlJc w:val="left"/>
      <w:pPr>
        <w:ind w:left="3380" w:hanging="360"/>
      </w:pPr>
    </w:lvl>
    <w:lvl w:ilvl="5" w:tplc="0809001B" w:tentative="1">
      <w:start w:val="1"/>
      <w:numFmt w:val="lowerRoman"/>
      <w:lvlText w:val="%6."/>
      <w:lvlJc w:val="right"/>
      <w:pPr>
        <w:ind w:left="4100" w:hanging="180"/>
      </w:pPr>
    </w:lvl>
    <w:lvl w:ilvl="6" w:tplc="0809000F" w:tentative="1">
      <w:start w:val="1"/>
      <w:numFmt w:val="decimal"/>
      <w:lvlText w:val="%7."/>
      <w:lvlJc w:val="left"/>
      <w:pPr>
        <w:ind w:left="4820" w:hanging="360"/>
      </w:pPr>
    </w:lvl>
    <w:lvl w:ilvl="7" w:tplc="08090019" w:tentative="1">
      <w:start w:val="1"/>
      <w:numFmt w:val="lowerLetter"/>
      <w:lvlText w:val="%8."/>
      <w:lvlJc w:val="left"/>
      <w:pPr>
        <w:ind w:left="5540" w:hanging="360"/>
      </w:pPr>
    </w:lvl>
    <w:lvl w:ilvl="8" w:tplc="0809001B" w:tentative="1">
      <w:start w:val="1"/>
      <w:numFmt w:val="lowerRoman"/>
      <w:lvlText w:val="%9."/>
      <w:lvlJc w:val="right"/>
      <w:pPr>
        <w:ind w:left="6260" w:hanging="180"/>
      </w:pPr>
    </w:lvl>
  </w:abstractNum>
  <w:abstractNum w:abstractNumId="6" w15:restartNumberingAfterBreak="0">
    <w:nsid w:val="254D3471"/>
    <w:multiLevelType w:val="hybridMultilevel"/>
    <w:tmpl w:val="FA8215A4"/>
    <w:lvl w:ilvl="0" w:tplc="08090001">
      <w:start w:val="1"/>
      <w:numFmt w:val="bullet"/>
      <w:lvlText w:val=""/>
      <w:lvlJc w:val="left"/>
      <w:pPr>
        <w:ind w:left="860" w:hanging="360"/>
      </w:pPr>
      <w:rPr>
        <w:rFonts w:ascii="Symbol" w:hAnsi="Symbol"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7" w15:restartNumberingAfterBreak="0">
    <w:nsid w:val="2A5B1ACD"/>
    <w:multiLevelType w:val="multilevel"/>
    <w:tmpl w:val="55C626DC"/>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2FAD4494"/>
    <w:multiLevelType w:val="hybridMultilevel"/>
    <w:tmpl w:val="66C4E952"/>
    <w:lvl w:ilvl="0" w:tplc="08090001">
      <w:start w:val="1"/>
      <w:numFmt w:val="bullet"/>
      <w:lvlText w:val=""/>
      <w:lvlJc w:val="left"/>
      <w:pPr>
        <w:ind w:left="1220" w:hanging="360"/>
      </w:pPr>
      <w:rPr>
        <w:rFonts w:ascii="Symbol" w:hAnsi="Symbol" w:hint="default"/>
      </w:rPr>
    </w:lvl>
    <w:lvl w:ilvl="1" w:tplc="08090003" w:tentative="1">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abstractNum w:abstractNumId="9" w15:restartNumberingAfterBreak="0">
    <w:nsid w:val="33882835"/>
    <w:multiLevelType w:val="multilevel"/>
    <w:tmpl w:val="55C626DC"/>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3824091F"/>
    <w:multiLevelType w:val="multilevel"/>
    <w:tmpl w:val="55C626DC"/>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575B796A"/>
    <w:multiLevelType w:val="hybridMultilevel"/>
    <w:tmpl w:val="1082BF08"/>
    <w:lvl w:ilvl="0" w:tplc="6D889594">
      <w:start w:val="3"/>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2E6A8F"/>
    <w:multiLevelType w:val="hybridMultilevel"/>
    <w:tmpl w:val="6D7A3A98"/>
    <w:lvl w:ilvl="0" w:tplc="0809000F">
      <w:start w:val="1"/>
      <w:numFmt w:val="decimal"/>
      <w:lvlText w:val="%1."/>
      <w:lvlJc w:val="left"/>
      <w:pPr>
        <w:ind w:left="1580" w:hanging="360"/>
      </w:pPr>
    </w:lvl>
    <w:lvl w:ilvl="1" w:tplc="08090019" w:tentative="1">
      <w:start w:val="1"/>
      <w:numFmt w:val="lowerLetter"/>
      <w:lvlText w:val="%2."/>
      <w:lvlJc w:val="left"/>
      <w:pPr>
        <w:ind w:left="2300" w:hanging="360"/>
      </w:pPr>
    </w:lvl>
    <w:lvl w:ilvl="2" w:tplc="0809001B" w:tentative="1">
      <w:start w:val="1"/>
      <w:numFmt w:val="lowerRoman"/>
      <w:lvlText w:val="%3."/>
      <w:lvlJc w:val="right"/>
      <w:pPr>
        <w:ind w:left="3020" w:hanging="180"/>
      </w:pPr>
    </w:lvl>
    <w:lvl w:ilvl="3" w:tplc="0809000F" w:tentative="1">
      <w:start w:val="1"/>
      <w:numFmt w:val="decimal"/>
      <w:lvlText w:val="%4."/>
      <w:lvlJc w:val="left"/>
      <w:pPr>
        <w:ind w:left="3740" w:hanging="360"/>
      </w:pPr>
    </w:lvl>
    <w:lvl w:ilvl="4" w:tplc="08090019" w:tentative="1">
      <w:start w:val="1"/>
      <w:numFmt w:val="lowerLetter"/>
      <w:lvlText w:val="%5."/>
      <w:lvlJc w:val="left"/>
      <w:pPr>
        <w:ind w:left="4460" w:hanging="360"/>
      </w:pPr>
    </w:lvl>
    <w:lvl w:ilvl="5" w:tplc="0809001B" w:tentative="1">
      <w:start w:val="1"/>
      <w:numFmt w:val="lowerRoman"/>
      <w:lvlText w:val="%6."/>
      <w:lvlJc w:val="right"/>
      <w:pPr>
        <w:ind w:left="5180" w:hanging="180"/>
      </w:pPr>
    </w:lvl>
    <w:lvl w:ilvl="6" w:tplc="0809000F" w:tentative="1">
      <w:start w:val="1"/>
      <w:numFmt w:val="decimal"/>
      <w:lvlText w:val="%7."/>
      <w:lvlJc w:val="left"/>
      <w:pPr>
        <w:ind w:left="5900" w:hanging="360"/>
      </w:pPr>
    </w:lvl>
    <w:lvl w:ilvl="7" w:tplc="08090019" w:tentative="1">
      <w:start w:val="1"/>
      <w:numFmt w:val="lowerLetter"/>
      <w:lvlText w:val="%8."/>
      <w:lvlJc w:val="left"/>
      <w:pPr>
        <w:ind w:left="6620" w:hanging="360"/>
      </w:pPr>
    </w:lvl>
    <w:lvl w:ilvl="8" w:tplc="0809001B" w:tentative="1">
      <w:start w:val="1"/>
      <w:numFmt w:val="lowerRoman"/>
      <w:lvlText w:val="%9."/>
      <w:lvlJc w:val="right"/>
      <w:pPr>
        <w:ind w:left="7340" w:hanging="180"/>
      </w:pPr>
    </w:lvl>
  </w:abstractNum>
  <w:abstractNum w:abstractNumId="13" w15:restartNumberingAfterBreak="0">
    <w:nsid w:val="66DD0508"/>
    <w:multiLevelType w:val="hybridMultilevel"/>
    <w:tmpl w:val="5792F8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760BDD"/>
    <w:multiLevelType w:val="multilevel"/>
    <w:tmpl w:val="55C626DC"/>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6AAC10F6"/>
    <w:multiLevelType w:val="hybridMultilevel"/>
    <w:tmpl w:val="9F06447A"/>
    <w:lvl w:ilvl="0" w:tplc="08090001">
      <w:start w:val="1"/>
      <w:numFmt w:val="bullet"/>
      <w:lvlText w:val=""/>
      <w:lvlJc w:val="left"/>
      <w:pPr>
        <w:ind w:left="1220" w:hanging="360"/>
      </w:pPr>
      <w:rPr>
        <w:rFonts w:ascii="Symbol" w:hAnsi="Symbol" w:hint="default"/>
      </w:rPr>
    </w:lvl>
    <w:lvl w:ilvl="1" w:tplc="08090003" w:tentative="1">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num w:numId="1" w16cid:durableId="971904988">
    <w:abstractNumId w:val="5"/>
  </w:num>
  <w:num w:numId="2" w16cid:durableId="1473911993">
    <w:abstractNumId w:val="3"/>
  </w:num>
  <w:num w:numId="3" w16cid:durableId="169950842">
    <w:abstractNumId w:val="1"/>
  </w:num>
  <w:num w:numId="4" w16cid:durableId="2039428118">
    <w:abstractNumId w:val="15"/>
  </w:num>
  <w:num w:numId="5" w16cid:durableId="559170285">
    <w:abstractNumId w:val="8"/>
  </w:num>
  <w:num w:numId="6" w16cid:durableId="2065719489">
    <w:abstractNumId w:val="2"/>
  </w:num>
  <w:num w:numId="7" w16cid:durableId="524288277">
    <w:abstractNumId w:val="6"/>
  </w:num>
  <w:num w:numId="8" w16cid:durableId="1155956618">
    <w:abstractNumId w:val="4"/>
  </w:num>
  <w:num w:numId="9" w16cid:durableId="2043282573">
    <w:abstractNumId w:val="9"/>
  </w:num>
  <w:num w:numId="10" w16cid:durableId="2107727849">
    <w:abstractNumId w:val="7"/>
  </w:num>
  <w:num w:numId="11" w16cid:durableId="689065833">
    <w:abstractNumId w:val="10"/>
  </w:num>
  <w:num w:numId="12" w16cid:durableId="328486012">
    <w:abstractNumId w:val="14"/>
  </w:num>
  <w:num w:numId="13" w16cid:durableId="2051873979">
    <w:abstractNumId w:val="11"/>
  </w:num>
  <w:num w:numId="14" w16cid:durableId="808523212">
    <w:abstractNumId w:val="12"/>
  </w:num>
  <w:num w:numId="15" w16cid:durableId="1487361077">
    <w:abstractNumId w:val="0"/>
  </w:num>
  <w:num w:numId="16" w16cid:durableId="107370126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58A"/>
    <w:rsid w:val="0000158A"/>
    <w:rsid w:val="000A3A03"/>
    <w:rsid w:val="00166596"/>
    <w:rsid w:val="002B1691"/>
    <w:rsid w:val="003452C8"/>
    <w:rsid w:val="00380524"/>
    <w:rsid w:val="00455438"/>
    <w:rsid w:val="00522C4B"/>
    <w:rsid w:val="00555DB7"/>
    <w:rsid w:val="005C7718"/>
    <w:rsid w:val="00746048"/>
    <w:rsid w:val="00783890"/>
    <w:rsid w:val="00853D6A"/>
    <w:rsid w:val="00A9241C"/>
    <w:rsid w:val="00BA33FE"/>
    <w:rsid w:val="00D47B96"/>
    <w:rsid w:val="00D55F68"/>
    <w:rsid w:val="00DC22C0"/>
    <w:rsid w:val="00E44BF4"/>
    <w:rsid w:val="00E76A8E"/>
    <w:rsid w:val="00F93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CD60D7"/>
  <w15:chartTrackingRefBased/>
  <w15:docId w15:val="{60F525E4-77AA-1241-BEAA-A2989FEB3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5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15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15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15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15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15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15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15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15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5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15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15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15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15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15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15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15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158A"/>
    <w:rPr>
      <w:rFonts w:eastAsiaTheme="majorEastAsia" w:cstheme="majorBidi"/>
      <w:color w:val="272727" w:themeColor="text1" w:themeTint="D8"/>
    </w:rPr>
  </w:style>
  <w:style w:type="paragraph" w:styleId="Title">
    <w:name w:val="Title"/>
    <w:basedOn w:val="Normal"/>
    <w:next w:val="Normal"/>
    <w:link w:val="TitleChar"/>
    <w:uiPriority w:val="10"/>
    <w:qFormat/>
    <w:rsid w:val="000015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5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15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5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158A"/>
    <w:pPr>
      <w:spacing w:before="160"/>
      <w:jc w:val="center"/>
    </w:pPr>
    <w:rPr>
      <w:i/>
      <w:iCs/>
      <w:color w:val="404040" w:themeColor="text1" w:themeTint="BF"/>
    </w:rPr>
  </w:style>
  <w:style w:type="character" w:customStyle="1" w:styleId="QuoteChar">
    <w:name w:val="Quote Char"/>
    <w:basedOn w:val="DefaultParagraphFont"/>
    <w:link w:val="Quote"/>
    <w:uiPriority w:val="29"/>
    <w:rsid w:val="0000158A"/>
    <w:rPr>
      <w:i/>
      <w:iCs/>
      <w:color w:val="404040" w:themeColor="text1" w:themeTint="BF"/>
    </w:rPr>
  </w:style>
  <w:style w:type="paragraph" w:styleId="ListParagraph">
    <w:name w:val="List Paragraph"/>
    <w:basedOn w:val="Normal"/>
    <w:uiPriority w:val="34"/>
    <w:qFormat/>
    <w:rsid w:val="0000158A"/>
    <w:pPr>
      <w:ind w:left="720"/>
      <w:contextualSpacing/>
    </w:pPr>
  </w:style>
  <w:style w:type="character" w:styleId="IntenseEmphasis">
    <w:name w:val="Intense Emphasis"/>
    <w:basedOn w:val="DefaultParagraphFont"/>
    <w:uiPriority w:val="21"/>
    <w:qFormat/>
    <w:rsid w:val="0000158A"/>
    <w:rPr>
      <w:i/>
      <w:iCs/>
      <w:color w:val="0F4761" w:themeColor="accent1" w:themeShade="BF"/>
    </w:rPr>
  </w:style>
  <w:style w:type="paragraph" w:styleId="IntenseQuote">
    <w:name w:val="Intense Quote"/>
    <w:basedOn w:val="Normal"/>
    <w:next w:val="Normal"/>
    <w:link w:val="IntenseQuoteChar"/>
    <w:uiPriority w:val="30"/>
    <w:qFormat/>
    <w:rsid w:val="000015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158A"/>
    <w:rPr>
      <w:i/>
      <w:iCs/>
      <w:color w:val="0F4761" w:themeColor="accent1" w:themeShade="BF"/>
    </w:rPr>
  </w:style>
  <w:style w:type="character" w:styleId="IntenseReference">
    <w:name w:val="Intense Reference"/>
    <w:basedOn w:val="DefaultParagraphFont"/>
    <w:uiPriority w:val="32"/>
    <w:qFormat/>
    <w:rsid w:val="0000158A"/>
    <w:rPr>
      <w:b/>
      <w:bCs/>
      <w:smallCaps/>
      <w:color w:val="0F4761" w:themeColor="accent1" w:themeShade="BF"/>
      <w:spacing w:val="5"/>
    </w:rPr>
  </w:style>
  <w:style w:type="paragraph" w:styleId="NormalWeb">
    <w:name w:val="Normal (Web)"/>
    <w:basedOn w:val="Normal"/>
    <w:uiPriority w:val="99"/>
    <w:unhideWhenUsed/>
    <w:rsid w:val="0000158A"/>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table" w:styleId="TableGrid">
    <w:name w:val="Table Grid"/>
    <w:basedOn w:val="TableNormal"/>
    <w:uiPriority w:val="39"/>
    <w:rsid w:val="007838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80524"/>
    <w:rPr>
      <w:color w:val="467886" w:themeColor="hyperlink"/>
      <w:u w:val="single"/>
    </w:rPr>
  </w:style>
  <w:style w:type="character" w:styleId="UnresolvedMention">
    <w:name w:val="Unresolved Mention"/>
    <w:basedOn w:val="DefaultParagraphFont"/>
    <w:uiPriority w:val="99"/>
    <w:semiHidden/>
    <w:unhideWhenUsed/>
    <w:rsid w:val="00380524"/>
    <w:rPr>
      <w:color w:val="605E5C"/>
      <w:shd w:val="clear" w:color="auto" w:fill="E1DFDD"/>
    </w:rPr>
  </w:style>
  <w:style w:type="paragraph" w:styleId="ListBullet">
    <w:name w:val="List Bullet"/>
    <w:basedOn w:val="Normal"/>
    <w:uiPriority w:val="99"/>
    <w:unhideWhenUsed/>
    <w:rsid w:val="005C7718"/>
    <w:pPr>
      <w:numPr>
        <w:numId w:val="15"/>
      </w:numPr>
      <w:tabs>
        <w:tab w:val="clear" w:pos="360"/>
      </w:tabs>
      <w:spacing w:after="120" w:line="276" w:lineRule="auto"/>
      <w:ind w:left="0" w:firstLine="0"/>
      <w:contextualSpacing/>
    </w:pPr>
    <w:rPr>
      <w:rFonts w:ascii="Times New Roman" w:eastAsiaTheme="minorEastAsia" w:hAnsi="Times New Roman"/>
      <w:kern w:val="0"/>
      <w:sz w:val="22"/>
      <w:szCs w:val="22"/>
      <w:lang w:val="en-US"/>
      <w14:ligatures w14:val="none"/>
    </w:rPr>
  </w:style>
  <w:style w:type="character" w:styleId="FollowedHyperlink">
    <w:name w:val="FollowedHyperlink"/>
    <w:basedOn w:val="DefaultParagraphFont"/>
    <w:uiPriority w:val="99"/>
    <w:semiHidden/>
    <w:unhideWhenUsed/>
    <w:rsid w:val="00555DB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social-media-endorsements-guidance-for-content-creators" TargetMode="External"/><Relationship Id="rId18" Type="http://schemas.openxmlformats.org/officeDocument/2006/relationships/hyperlink" Target="https://ijoc.org/index.php/ijoc/article/view/11729" TargetMode="External"/><Relationship Id="rId26" Type="http://schemas.openxmlformats.org/officeDocument/2006/relationships/hyperlink" Target="https://hypeauditor.com/youtube/UCWsDFcIhY2DBi3GB5uykGXA/" TargetMode="External"/><Relationship Id="rId39" Type="http://schemas.openxmlformats.org/officeDocument/2006/relationships/hyperlink" Target="https://doi.org/10.1016/j.jretconser.2019.01.011" TargetMode="External"/><Relationship Id="rId21" Type="http://schemas.openxmlformats.org/officeDocument/2006/relationships/hyperlink" Target="https://doi.org/10.1016/j.pubrev.2010.11.001" TargetMode="External"/><Relationship Id="rId34" Type="http://schemas.openxmlformats.org/officeDocument/2006/relationships/hyperlink" Target="https://doi.org/10.1787/9789264037472-en" TargetMode="External"/><Relationship Id="rId42" Type="http://schemas.openxmlformats.org/officeDocument/2006/relationships/diagramData" Target="diagrams/data1.xml"/><Relationship Id="rId47" Type="http://schemas.openxmlformats.org/officeDocument/2006/relationships/image" Target="media/image2.png"/><Relationship Id="rId50" Type="http://schemas.openxmlformats.org/officeDocument/2006/relationships/image" Target="media/image5.png"/><Relationship Id="rId55" Type="http://schemas.openxmlformats.org/officeDocument/2006/relationships/theme" Target="theme/theme1.xml"/><Relationship Id="rId7" Type="http://schemas.openxmlformats.org/officeDocument/2006/relationships/hyperlink" Target="https://www.asa.org.uk/resource/influencers-guide.html" TargetMode="External"/><Relationship Id="rId2" Type="http://schemas.openxmlformats.org/officeDocument/2006/relationships/styles" Target="styles.xml"/><Relationship Id="rId16" Type="http://schemas.openxmlformats.org/officeDocument/2006/relationships/hyperlink" Target="https://doi.org/10.1080/02650487.2017.1348035" TargetMode="External"/><Relationship Id="rId29" Type="http://schemas.openxmlformats.org/officeDocument/2006/relationships/hyperlink" Target="https://doi.org/10.1080/19392397.2016.1218292" TargetMode="External"/><Relationship Id="rId11" Type="http://schemas.openxmlformats.org/officeDocument/2006/relationships/hyperlink" Target="https://www.businessoffashion.com/articles/beauty/huda-kattan-the-face-that-built-a-beauty-empire/" TargetMode="External"/><Relationship Id="rId24" Type="http://schemas.openxmlformats.org/officeDocument/2006/relationships/hyperlink" Target="https://doi.org/10.1080/02650487.2020.1836925" TargetMode="External"/><Relationship Id="rId32" Type="http://schemas.openxmlformats.org/officeDocument/2006/relationships/hyperlink" Target="https://doi.org/10.1177/1461444818769694" TargetMode="External"/><Relationship Id="rId37" Type="http://schemas.openxmlformats.org/officeDocument/2006/relationships/hyperlink" Target="https://socialblade.com/youtube/handle/ishowspeed" TargetMode="External"/><Relationship Id="rId40" Type="http://schemas.openxmlformats.org/officeDocument/2006/relationships/hyperlink" Target="https://doi.org/10.1016/j.lrp.2009.07.003" TargetMode="External"/><Relationship Id="rId45" Type="http://schemas.openxmlformats.org/officeDocument/2006/relationships/diagramColors" Target="diagrams/colors1.xml"/><Relationship Id="rId53" Type="http://schemas.openxmlformats.org/officeDocument/2006/relationships/image" Target="media/image8.png"/><Relationship Id="rId5" Type="http://schemas.openxmlformats.org/officeDocument/2006/relationships/image" Target="media/image1.png"/><Relationship Id="rId10" Type="http://schemas.openxmlformats.org/officeDocument/2006/relationships/hyperlink" Target="https://stevenbartlett.com/" TargetMode="External"/><Relationship Id="rId19" Type="http://schemas.openxmlformats.org/officeDocument/2006/relationships/hyperlink" Target="https://digital-markets-act.ec.europa.eu/about-dma_en" TargetMode="External"/><Relationship Id="rId31" Type="http://schemas.openxmlformats.org/officeDocument/2006/relationships/hyperlink" Target="https://doi.org/10.1086/209217" TargetMode="External"/><Relationship Id="rId44" Type="http://schemas.openxmlformats.org/officeDocument/2006/relationships/diagramQuickStyle" Target="diagrams/quickStyle1.xml"/><Relationship Id="rId52"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doi.org/10.1016/j.jbusres.2018.07.002" TargetMode="External"/><Relationship Id="rId14" Type="http://schemas.openxmlformats.org/officeDocument/2006/relationships/hyperlink" Target="https://www.gov.uk/government/publications/reviews-and-social-media-endorsements-guidance-for-businesses-and-brands/social-media-endorsements-guidance-for-brands" TargetMode="External"/><Relationship Id="rId22" Type="http://schemas.openxmlformats.org/officeDocument/2006/relationships/hyperlink" Target="https://www.legislation.gov.uk/ukpga/2024/13/contents" TargetMode="External"/><Relationship Id="rId27" Type="http://schemas.openxmlformats.org/officeDocument/2006/relationships/hyperlink" Target="https://hypeauditor.com/youtube/UCGq-a57w-aPwyi3pW7XLiHw/" TargetMode="External"/><Relationship Id="rId30" Type="http://schemas.openxmlformats.org/officeDocument/2006/relationships/hyperlink" Target="https://doi.org/10.1080/15252019.2018.1533501" TargetMode="External"/><Relationship Id="rId35" Type="http://schemas.openxmlformats.org/officeDocument/2006/relationships/hyperlink" Target="https://www.ofcom.org.uk/media-use-and-attitudes/online-habits/online-nation" TargetMode="External"/><Relationship Id="rId43" Type="http://schemas.openxmlformats.org/officeDocument/2006/relationships/diagramLayout" Target="diagrams/layout1.xml"/><Relationship Id="rId48" Type="http://schemas.openxmlformats.org/officeDocument/2006/relationships/image" Target="media/image3.png"/><Relationship Id="rId8" Type="http://schemas.openxmlformats.org/officeDocument/2006/relationships/hyperlink" Target="https://www.asa.org.uk/news/influencer-ad-disclosure-on-social-media-instagram-and-tiktok-report-2024.html" TargetMode="External"/><Relationship Id="rId51" Type="http://schemas.openxmlformats.org/officeDocument/2006/relationships/image" Target="media/image6.png"/><Relationship Id="rId3" Type="http://schemas.openxmlformats.org/officeDocument/2006/relationships/settings" Target="settings.xml"/><Relationship Id="rId12" Type="http://schemas.openxmlformats.org/officeDocument/2006/relationships/hyperlink" Target="https://cnalifestyle.channelnewsasia.com/entertainment/ishowspeed-singapore-livestream-407991" TargetMode="External"/><Relationship Id="rId17" Type="http://schemas.openxmlformats.org/officeDocument/2006/relationships/hyperlink" Target="https://www.legislation.gov.uk/ukpga/2024/13/contents" TargetMode="External"/><Relationship Id="rId25" Type="http://schemas.openxmlformats.org/officeDocument/2006/relationships/hyperlink" Target="https://hypeauditor.com/instagram/huda/" TargetMode="External"/><Relationship Id="rId33" Type="http://schemas.openxmlformats.org/officeDocument/2006/relationships/hyperlink" Target="https://doi.org/10.1787/d5241a23-en" TargetMode="External"/><Relationship Id="rId38" Type="http://schemas.openxmlformats.org/officeDocument/2006/relationships/hyperlink" Target="https://socialblade.com/youtube/channel/UCGq-a57w-aPwyi3pW7XLiHw" TargetMode="External"/><Relationship Id="rId46" Type="http://schemas.microsoft.com/office/2007/relationships/diagramDrawing" Target="diagrams/drawing1.xml"/><Relationship Id="rId20" Type="http://schemas.openxmlformats.org/officeDocument/2006/relationships/hyperlink" Target="https://doi.org/10.1080/15252019.2017.1366885" TargetMode="External"/><Relationship Id="rId41" Type="http://schemas.openxmlformats.org/officeDocument/2006/relationships/hyperlink" Target="https://doi.org/10.1111/ijcs.12647"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77/1329878X16665177" TargetMode="External"/><Relationship Id="rId15" Type="http://schemas.openxmlformats.org/officeDocument/2006/relationships/hyperlink" Target="https://doi.org/10.1177/1461444818815684" TargetMode="External"/><Relationship Id="rId23" Type="http://schemas.openxmlformats.org/officeDocument/2006/relationships/hyperlink" Target="https://hudabeauty.com/" TargetMode="External"/><Relationship Id="rId28" Type="http://schemas.openxmlformats.org/officeDocument/2006/relationships/hyperlink" Target="https://www.youtube.com/@IShowSpeed" TargetMode="External"/><Relationship Id="rId36" Type="http://schemas.openxmlformats.org/officeDocument/2006/relationships/hyperlink" Target="https://doi.org/10.1016/j.ijresmar.2024.07.005" TargetMode="External"/><Relationship Id="rId49"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8E0F5F-21E6-DA4E-9C8F-781F4FA756DA}" type="doc">
      <dgm:prSet loTypeId="urn:microsoft.com/office/officeart/2005/8/layout/bProcess3" loCatId="" qsTypeId="urn:microsoft.com/office/officeart/2005/8/quickstyle/simple1" qsCatId="simple" csTypeId="urn:microsoft.com/office/officeart/2005/8/colors/accent1_2" csCatId="accent1" phldr="1"/>
      <dgm:spPr/>
      <dgm:t>
        <a:bodyPr/>
        <a:lstStyle/>
        <a:p>
          <a:endParaRPr lang="en-GB"/>
        </a:p>
      </dgm:t>
    </dgm:pt>
    <dgm:pt modelId="{15BC498A-3C4F-A140-817C-6A8F3928206E}">
      <dgm:prSet phldrT="[Text]" custT="1"/>
      <dgm:spPr/>
      <dgm:t>
        <a:bodyPr/>
        <a:lstStyle/>
        <a:p>
          <a:pPr>
            <a:buNone/>
          </a:pPr>
          <a:r>
            <a:rPr lang="en-US" sz="1200" b="1"/>
            <a:t>Drivers:</a:t>
          </a:r>
          <a:r>
            <a:rPr lang="en-US" sz="1200"/>
            <a:t> digital access, creator-led consumption, commercial demand and AI tools.</a:t>
          </a:r>
          <a:endParaRPr lang="en-GB" sz="1200">
            <a:latin typeface="Arial" panose="020B0604020202020204" pitchFamily="34" charset="0"/>
            <a:cs typeface="Arial" panose="020B0604020202020204" pitchFamily="34" charset="0"/>
          </a:endParaRPr>
        </a:p>
      </dgm:t>
    </dgm:pt>
    <dgm:pt modelId="{0064A4BF-ACFE-3F41-A87D-5058012913F1}" type="parTrans" cxnId="{D24AC95B-AE07-DA40-A74A-5909EABB951C}">
      <dgm:prSet/>
      <dgm:spPr/>
      <dgm:t>
        <a:bodyPr/>
        <a:lstStyle/>
        <a:p>
          <a:endParaRPr lang="en-GB"/>
        </a:p>
      </dgm:t>
    </dgm:pt>
    <dgm:pt modelId="{9C6EADBC-6D09-D24A-80A8-FBB48B39DF9F}" type="sibTrans" cxnId="{D24AC95B-AE07-DA40-A74A-5909EABB951C}">
      <dgm:prSet/>
      <dgm:spPr/>
      <dgm:t>
        <a:bodyPr/>
        <a:lstStyle/>
        <a:p>
          <a:endParaRPr lang="en-GB"/>
        </a:p>
      </dgm:t>
    </dgm:pt>
    <dgm:pt modelId="{EC4C1BE5-43B4-A946-B823-7F3224EF65E1}">
      <dgm:prSet phldrT="[Text]" custT="1"/>
      <dgm:spPr/>
      <dgm:t>
        <a:bodyPr/>
        <a:lstStyle/>
        <a:p>
          <a:pPr>
            <a:buNone/>
          </a:pPr>
          <a:r>
            <a:rPr lang="en-US" sz="1200" b="1"/>
            <a:t>Pressures</a:t>
          </a:r>
          <a:r>
            <a:rPr lang="en-US" sz="1200"/>
            <a:t>: platform dependence, competition, unstable income and compliance requirements.</a:t>
          </a:r>
          <a:endParaRPr lang="en-GB" sz="1200">
            <a:latin typeface="Arial" panose="020B0604020202020204" pitchFamily="34" charset="0"/>
            <a:cs typeface="Arial" panose="020B0604020202020204" pitchFamily="34" charset="0"/>
          </a:endParaRPr>
        </a:p>
      </dgm:t>
    </dgm:pt>
    <dgm:pt modelId="{4DB299CC-5416-7948-8EE0-052A9B24583F}" type="parTrans" cxnId="{FD5AF7D4-91BA-974E-B920-0738B362BC42}">
      <dgm:prSet/>
      <dgm:spPr/>
      <dgm:t>
        <a:bodyPr/>
        <a:lstStyle/>
        <a:p>
          <a:endParaRPr lang="en-GB"/>
        </a:p>
      </dgm:t>
    </dgm:pt>
    <dgm:pt modelId="{D14DD423-BBA9-7641-8368-3DFC8FAB6FAA}" type="sibTrans" cxnId="{FD5AF7D4-91BA-974E-B920-0738B362BC42}">
      <dgm:prSet/>
      <dgm:spPr/>
      <dgm:t>
        <a:bodyPr/>
        <a:lstStyle/>
        <a:p>
          <a:endParaRPr lang="en-GB"/>
        </a:p>
      </dgm:t>
    </dgm:pt>
    <dgm:pt modelId="{E00CAEC1-6B9A-3A4B-921B-18CA7EA33EDD}">
      <dgm:prSet phldrT="[Text]" custT="1"/>
      <dgm:spPr/>
      <dgm:t>
        <a:bodyPr/>
        <a:lstStyle/>
        <a:p>
          <a:pPr>
            <a:buNone/>
          </a:pPr>
          <a:r>
            <a:rPr lang="en-US" sz="1200" b="1"/>
            <a:t>State</a:t>
          </a:r>
          <a:r>
            <a:rPr lang="en-US" sz="1200"/>
            <a:t>: rapid industry growth with unequal reach, monetisation and resilience.</a:t>
          </a:r>
          <a:endParaRPr lang="en-GB" sz="1200">
            <a:latin typeface="Arial" panose="020B0604020202020204" pitchFamily="34" charset="0"/>
            <a:cs typeface="Arial" panose="020B0604020202020204" pitchFamily="34" charset="0"/>
          </a:endParaRPr>
        </a:p>
      </dgm:t>
    </dgm:pt>
    <dgm:pt modelId="{05D86EDA-4935-1C48-A451-4006F60A0FB8}" type="parTrans" cxnId="{368FA8D2-EEBE-2C41-A616-E9FD7F456B61}">
      <dgm:prSet/>
      <dgm:spPr/>
      <dgm:t>
        <a:bodyPr/>
        <a:lstStyle/>
        <a:p>
          <a:endParaRPr lang="en-GB"/>
        </a:p>
      </dgm:t>
    </dgm:pt>
    <dgm:pt modelId="{44ABB724-CDD0-7D47-BF67-C79D1EED8473}" type="sibTrans" cxnId="{368FA8D2-EEBE-2C41-A616-E9FD7F456B61}">
      <dgm:prSet/>
      <dgm:spPr/>
      <dgm:t>
        <a:bodyPr/>
        <a:lstStyle/>
        <a:p>
          <a:endParaRPr lang="en-GB"/>
        </a:p>
      </dgm:t>
    </dgm:pt>
    <dgm:pt modelId="{7587C01B-9F13-7C43-A4DA-1F64622A70A6}">
      <dgm:prSet phldrT="[Text]" custT="1"/>
      <dgm:spPr/>
      <dgm:t>
        <a:bodyPr/>
        <a:lstStyle/>
        <a:p>
          <a:pPr>
            <a:buNone/>
          </a:pPr>
          <a:r>
            <a:rPr lang="en-US" sz="1200" b="1"/>
            <a:t>Impacts: </a:t>
          </a:r>
          <a:r>
            <a:rPr lang="en-US" sz="1200"/>
            <a:t>entrepreneurial opportunities, cultural influence, income insecurity and trust risks.</a:t>
          </a:r>
          <a:endParaRPr lang="en-GB" sz="1200">
            <a:latin typeface="Arial" panose="020B0604020202020204" pitchFamily="34" charset="0"/>
            <a:cs typeface="Arial" panose="020B0604020202020204" pitchFamily="34" charset="0"/>
          </a:endParaRPr>
        </a:p>
      </dgm:t>
    </dgm:pt>
    <dgm:pt modelId="{A22E45E5-8436-3E48-883A-30A5DCB9835F}" type="parTrans" cxnId="{CA4D1073-C0BE-614F-8720-22E29ACF9688}">
      <dgm:prSet/>
      <dgm:spPr/>
      <dgm:t>
        <a:bodyPr/>
        <a:lstStyle/>
        <a:p>
          <a:endParaRPr lang="en-GB"/>
        </a:p>
      </dgm:t>
    </dgm:pt>
    <dgm:pt modelId="{6A740378-5ED1-2D40-B40F-9F1E18ED2127}" type="sibTrans" cxnId="{CA4D1073-C0BE-614F-8720-22E29ACF9688}">
      <dgm:prSet/>
      <dgm:spPr/>
      <dgm:t>
        <a:bodyPr/>
        <a:lstStyle/>
        <a:p>
          <a:endParaRPr lang="en-GB"/>
        </a:p>
      </dgm:t>
    </dgm:pt>
    <dgm:pt modelId="{5E453DA7-1847-7A4A-B19F-912454DC9912}">
      <dgm:prSet phldrT="[Text]" custT="1"/>
      <dgm:spPr/>
      <dgm:t>
        <a:bodyPr/>
        <a:lstStyle/>
        <a:p>
          <a:pPr>
            <a:buNone/>
          </a:pPr>
          <a:r>
            <a:rPr lang="en-US" sz="1200" b="1"/>
            <a:t>Responses: </a:t>
          </a:r>
          <a:r>
            <a:rPr lang="en-US" sz="1200"/>
            <a:t>diversification, transparent advertising, content safeguards and adaptive business models.</a:t>
          </a:r>
          <a:endParaRPr lang="en-GB" sz="1200">
            <a:latin typeface="Arial" panose="020B0604020202020204" pitchFamily="34" charset="0"/>
            <a:cs typeface="Arial" panose="020B0604020202020204" pitchFamily="34" charset="0"/>
          </a:endParaRPr>
        </a:p>
      </dgm:t>
    </dgm:pt>
    <dgm:pt modelId="{30AFE1F4-68C0-0E4E-A22F-67324553F1F6}" type="parTrans" cxnId="{E4146CE6-79FC-DA43-9F06-6F596CED2D7E}">
      <dgm:prSet/>
      <dgm:spPr/>
      <dgm:t>
        <a:bodyPr/>
        <a:lstStyle/>
        <a:p>
          <a:endParaRPr lang="en-GB"/>
        </a:p>
      </dgm:t>
    </dgm:pt>
    <dgm:pt modelId="{8123C2B5-4BC7-6F4B-A241-45B08F1E678E}" type="sibTrans" cxnId="{E4146CE6-79FC-DA43-9F06-6F596CED2D7E}">
      <dgm:prSet/>
      <dgm:spPr/>
      <dgm:t>
        <a:bodyPr/>
        <a:lstStyle/>
        <a:p>
          <a:endParaRPr lang="en-GB"/>
        </a:p>
      </dgm:t>
    </dgm:pt>
    <dgm:pt modelId="{D9704E0A-A3F6-3D42-A726-5F40A4E183D2}" type="pres">
      <dgm:prSet presAssocID="{A78E0F5F-21E6-DA4E-9C8F-781F4FA756DA}" presName="Name0" presStyleCnt="0">
        <dgm:presLayoutVars>
          <dgm:dir/>
          <dgm:resizeHandles val="exact"/>
        </dgm:presLayoutVars>
      </dgm:prSet>
      <dgm:spPr/>
    </dgm:pt>
    <dgm:pt modelId="{1641E1BF-AE47-7A49-BB0C-576F8A672C3E}" type="pres">
      <dgm:prSet presAssocID="{15BC498A-3C4F-A140-817C-6A8F3928206E}" presName="node" presStyleLbl="node1" presStyleIdx="0" presStyleCnt="5">
        <dgm:presLayoutVars>
          <dgm:bulletEnabled val="1"/>
        </dgm:presLayoutVars>
      </dgm:prSet>
      <dgm:spPr/>
    </dgm:pt>
    <dgm:pt modelId="{596E4DBA-A15D-C24E-8E56-E358C1784AB4}" type="pres">
      <dgm:prSet presAssocID="{9C6EADBC-6D09-D24A-80A8-FBB48B39DF9F}" presName="sibTrans" presStyleLbl="sibTrans1D1" presStyleIdx="0" presStyleCnt="4"/>
      <dgm:spPr/>
    </dgm:pt>
    <dgm:pt modelId="{4D03334D-2583-DB46-8D91-8F1F34E7AF58}" type="pres">
      <dgm:prSet presAssocID="{9C6EADBC-6D09-D24A-80A8-FBB48B39DF9F}" presName="connectorText" presStyleLbl="sibTrans1D1" presStyleIdx="0" presStyleCnt="4"/>
      <dgm:spPr/>
    </dgm:pt>
    <dgm:pt modelId="{8F394B00-74FF-304A-B5ED-4D9DFAA0674C}" type="pres">
      <dgm:prSet presAssocID="{EC4C1BE5-43B4-A946-B823-7F3224EF65E1}" presName="node" presStyleLbl="node1" presStyleIdx="1" presStyleCnt="5" custScaleX="103579" custScaleY="114593">
        <dgm:presLayoutVars>
          <dgm:bulletEnabled val="1"/>
        </dgm:presLayoutVars>
      </dgm:prSet>
      <dgm:spPr/>
    </dgm:pt>
    <dgm:pt modelId="{38796416-BC65-1343-A2E1-3DD563B99D41}" type="pres">
      <dgm:prSet presAssocID="{D14DD423-BBA9-7641-8368-3DFC8FAB6FAA}" presName="sibTrans" presStyleLbl="sibTrans1D1" presStyleIdx="1" presStyleCnt="4"/>
      <dgm:spPr/>
    </dgm:pt>
    <dgm:pt modelId="{F5A8EA92-85B0-2E48-A054-B75A18686DF9}" type="pres">
      <dgm:prSet presAssocID="{D14DD423-BBA9-7641-8368-3DFC8FAB6FAA}" presName="connectorText" presStyleLbl="sibTrans1D1" presStyleIdx="1" presStyleCnt="4"/>
      <dgm:spPr/>
    </dgm:pt>
    <dgm:pt modelId="{3B60FC8A-4870-D545-A961-135C49E7FE90}" type="pres">
      <dgm:prSet presAssocID="{E00CAEC1-6B9A-3A4B-921B-18CA7EA33EDD}" presName="node" presStyleLbl="node1" presStyleIdx="2" presStyleCnt="5">
        <dgm:presLayoutVars>
          <dgm:bulletEnabled val="1"/>
        </dgm:presLayoutVars>
      </dgm:prSet>
      <dgm:spPr/>
    </dgm:pt>
    <dgm:pt modelId="{DF02F8FA-73B1-B74B-8F66-011A39C742D2}" type="pres">
      <dgm:prSet presAssocID="{44ABB724-CDD0-7D47-BF67-C79D1EED8473}" presName="sibTrans" presStyleLbl="sibTrans1D1" presStyleIdx="2" presStyleCnt="4"/>
      <dgm:spPr/>
    </dgm:pt>
    <dgm:pt modelId="{B3D44DCF-ACAC-3A4C-8BE0-295BBB2AD4C5}" type="pres">
      <dgm:prSet presAssocID="{44ABB724-CDD0-7D47-BF67-C79D1EED8473}" presName="connectorText" presStyleLbl="sibTrans1D1" presStyleIdx="2" presStyleCnt="4"/>
      <dgm:spPr/>
    </dgm:pt>
    <dgm:pt modelId="{30E58062-06AD-7046-B657-324A5714A388}" type="pres">
      <dgm:prSet presAssocID="{7587C01B-9F13-7C43-A4DA-1F64622A70A6}" presName="node" presStyleLbl="node1" presStyleIdx="3" presStyleCnt="5" custScaleX="105453" custScaleY="119344">
        <dgm:presLayoutVars>
          <dgm:bulletEnabled val="1"/>
        </dgm:presLayoutVars>
      </dgm:prSet>
      <dgm:spPr/>
    </dgm:pt>
    <dgm:pt modelId="{C467FE3D-3E27-C74B-8D61-50EC34E091BC}" type="pres">
      <dgm:prSet presAssocID="{6A740378-5ED1-2D40-B40F-9F1E18ED2127}" presName="sibTrans" presStyleLbl="sibTrans1D1" presStyleIdx="3" presStyleCnt="4"/>
      <dgm:spPr/>
    </dgm:pt>
    <dgm:pt modelId="{D8B825DB-B25D-D441-B7BA-0E52D58B94FC}" type="pres">
      <dgm:prSet presAssocID="{6A740378-5ED1-2D40-B40F-9F1E18ED2127}" presName="connectorText" presStyleLbl="sibTrans1D1" presStyleIdx="3" presStyleCnt="4"/>
      <dgm:spPr/>
    </dgm:pt>
    <dgm:pt modelId="{C9534F75-4FFA-924D-BBFA-D082BB46A9A7}" type="pres">
      <dgm:prSet presAssocID="{5E453DA7-1847-7A4A-B19F-912454DC9912}" presName="node" presStyleLbl="node1" presStyleIdx="4" presStyleCnt="5" custScaleX="98990" custScaleY="123183">
        <dgm:presLayoutVars>
          <dgm:bulletEnabled val="1"/>
        </dgm:presLayoutVars>
      </dgm:prSet>
      <dgm:spPr/>
    </dgm:pt>
  </dgm:ptLst>
  <dgm:cxnLst>
    <dgm:cxn modelId="{59780503-C87E-BB43-A65E-FBC87DF2F003}" type="presOf" srcId="{D14DD423-BBA9-7641-8368-3DFC8FAB6FAA}" destId="{F5A8EA92-85B0-2E48-A054-B75A18686DF9}" srcOrd="1" destOrd="0" presId="urn:microsoft.com/office/officeart/2005/8/layout/bProcess3"/>
    <dgm:cxn modelId="{33690635-B604-094F-9A0D-E8EB5C466B20}" type="presOf" srcId="{6A740378-5ED1-2D40-B40F-9F1E18ED2127}" destId="{D8B825DB-B25D-D441-B7BA-0E52D58B94FC}" srcOrd="1" destOrd="0" presId="urn:microsoft.com/office/officeart/2005/8/layout/bProcess3"/>
    <dgm:cxn modelId="{0CACAF45-3082-0C42-A621-99E60B6D1254}" type="presOf" srcId="{6A740378-5ED1-2D40-B40F-9F1E18ED2127}" destId="{C467FE3D-3E27-C74B-8D61-50EC34E091BC}" srcOrd="0" destOrd="0" presId="urn:microsoft.com/office/officeart/2005/8/layout/bProcess3"/>
    <dgm:cxn modelId="{D24AC95B-AE07-DA40-A74A-5909EABB951C}" srcId="{A78E0F5F-21E6-DA4E-9C8F-781F4FA756DA}" destId="{15BC498A-3C4F-A140-817C-6A8F3928206E}" srcOrd="0" destOrd="0" parTransId="{0064A4BF-ACFE-3F41-A87D-5058012913F1}" sibTransId="{9C6EADBC-6D09-D24A-80A8-FBB48B39DF9F}"/>
    <dgm:cxn modelId="{F51AC65E-D809-E34B-9999-75279CF7AE34}" type="presOf" srcId="{EC4C1BE5-43B4-A946-B823-7F3224EF65E1}" destId="{8F394B00-74FF-304A-B5ED-4D9DFAA0674C}" srcOrd="0" destOrd="0" presId="urn:microsoft.com/office/officeart/2005/8/layout/bProcess3"/>
    <dgm:cxn modelId="{BD5EE064-0E0F-B044-AF04-6D44883E8CE6}" type="presOf" srcId="{44ABB724-CDD0-7D47-BF67-C79D1EED8473}" destId="{DF02F8FA-73B1-B74B-8F66-011A39C742D2}" srcOrd="0" destOrd="0" presId="urn:microsoft.com/office/officeart/2005/8/layout/bProcess3"/>
    <dgm:cxn modelId="{E67BD26D-A35F-8141-A87A-1E0AE7B2EC95}" type="presOf" srcId="{7587C01B-9F13-7C43-A4DA-1F64622A70A6}" destId="{30E58062-06AD-7046-B657-324A5714A388}" srcOrd="0" destOrd="0" presId="urn:microsoft.com/office/officeart/2005/8/layout/bProcess3"/>
    <dgm:cxn modelId="{225A4072-FE0E-4C4A-93DD-982DFCB59FE4}" type="presOf" srcId="{E00CAEC1-6B9A-3A4B-921B-18CA7EA33EDD}" destId="{3B60FC8A-4870-D545-A961-135C49E7FE90}" srcOrd="0" destOrd="0" presId="urn:microsoft.com/office/officeart/2005/8/layout/bProcess3"/>
    <dgm:cxn modelId="{CA4D1073-C0BE-614F-8720-22E29ACF9688}" srcId="{A78E0F5F-21E6-DA4E-9C8F-781F4FA756DA}" destId="{7587C01B-9F13-7C43-A4DA-1F64622A70A6}" srcOrd="3" destOrd="0" parTransId="{A22E45E5-8436-3E48-883A-30A5DCB9835F}" sibTransId="{6A740378-5ED1-2D40-B40F-9F1E18ED2127}"/>
    <dgm:cxn modelId="{BA526A79-9FE5-B348-9C48-DAF227D1EA04}" type="presOf" srcId="{15BC498A-3C4F-A140-817C-6A8F3928206E}" destId="{1641E1BF-AE47-7A49-BB0C-576F8A672C3E}" srcOrd="0" destOrd="0" presId="urn:microsoft.com/office/officeart/2005/8/layout/bProcess3"/>
    <dgm:cxn modelId="{9F882B88-C42D-614F-B754-62690933A5F0}" type="presOf" srcId="{9C6EADBC-6D09-D24A-80A8-FBB48B39DF9F}" destId="{4D03334D-2583-DB46-8D91-8F1F34E7AF58}" srcOrd="1" destOrd="0" presId="urn:microsoft.com/office/officeart/2005/8/layout/bProcess3"/>
    <dgm:cxn modelId="{A5C44DB1-1AD6-F14F-B3D3-DEDB3FD95848}" type="presOf" srcId="{A78E0F5F-21E6-DA4E-9C8F-781F4FA756DA}" destId="{D9704E0A-A3F6-3D42-A726-5F40A4E183D2}" srcOrd="0" destOrd="0" presId="urn:microsoft.com/office/officeart/2005/8/layout/bProcess3"/>
    <dgm:cxn modelId="{CCB6CEB1-26B5-2C49-81B7-ECB9F43ACB6C}" type="presOf" srcId="{5E453DA7-1847-7A4A-B19F-912454DC9912}" destId="{C9534F75-4FFA-924D-BBFA-D082BB46A9A7}" srcOrd="0" destOrd="0" presId="urn:microsoft.com/office/officeart/2005/8/layout/bProcess3"/>
    <dgm:cxn modelId="{83F118B5-07F5-4D49-B523-5679EA1A1B02}" type="presOf" srcId="{9C6EADBC-6D09-D24A-80A8-FBB48B39DF9F}" destId="{596E4DBA-A15D-C24E-8E56-E358C1784AB4}" srcOrd="0" destOrd="0" presId="urn:microsoft.com/office/officeart/2005/8/layout/bProcess3"/>
    <dgm:cxn modelId="{E30997BE-23A2-7240-837E-0D55E3CB2994}" type="presOf" srcId="{44ABB724-CDD0-7D47-BF67-C79D1EED8473}" destId="{B3D44DCF-ACAC-3A4C-8BE0-295BBB2AD4C5}" srcOrd="1" destOrd="0" presId="urn:microsoft.com/office/officeart/2005/8/layout/bProcess3"/>
    <dgm:cxn modelId="{368FA8D2-EEBE-2C41-A616-E9FD7F456B61}" srcId="{A78E0F5F-21E6-DA4E-9C8F-781F4FA756DA}" destId="{E00CAEC1-6B9A-3A4B-921B-18CA7EA33EDD}" srcOrd="2" destOrd="0" parTransId="{05D86EDA-4935-1C48-A451-4006F60A0FB8}" sibTransId="{44ABB724-CDD0-7D47-BF67-C79D1EED8473}"/>
    <dgm:cxn modelId="{FD5AF7D4-91BA-974E-B920-0738B362BC42}" srcId="{A78E0F5F-21E6-DA4E-9C8F-781F4FA756DA}" destId="{EC4C1BE5-43B4-A946-B823-7F3224EF65E1}" srcOrd="1" destOrd="0" parTransId="{4DB299CC-5416-7948-8EE0-052A9B24583F}" sibTransId="{D14DD423-BBA9-7641-8368-3DFC8FAB6FAA}"/>
    <dgm:cxn modelId="{E4146CE6-79FC-DA43-9F06-6F596CED2D7E}" srcId="{A78E0F5F-21E6-DA4E-9C8F-781F4FA756DA}" destId="{5E453DA7-1847-7A4A-B19F-912454DC9912}" srcOrd="4" destOrd="0" parTransId="{30AFE1F4-68C0-0E4E-A22F-67324553F1F6}" sibTransId="{8123C2B5-4BC7-6F4B-A241-45B08F1E678E}"/>
    <dgm:cxn modelId="{B9A4BDF6-2FD9-5741-9BF9-79C1E3AA6209}" type="presOf" srcId="{D14DD423-BBA9-7641-8368-3DFC8FAB6FAA}" destId="{38796416-BC65-1343-A2E1-3DD563B99D41}" srcOrd="0" destOrd="0" presId="urn:microsoft.com/office/officeart/2005/8/layout/bProcess3"/>
    <dgm:cxn modelId="{B37B0126-9510-F348-B026-BD4D80CB3F69}" type="presParOf" srcId="{D9704E0A-A3F6-3D42-A726-5F40A4E183D2}" destId="{1641E1BF-AE47-7A49-BB0C-576F8A672C3E}" srcOrd="0" destOrd="0" presId="urn:microsoft.com/office/officeart/2005/8/layout/bProcess3"/>
    <dgm:cxn modelId="{727626E7-8F2E-5B4A-AFDF-09E7A3A6019D}" type="presParOf" srcId="{D9704E0A-A3F6-3D42-A726-5F40A4E183D2}" destId="{596E4DBA-A15D-C24E-8E56-E358C1784AB4}" srcOrd="1" destOrd="0" presId="urn:microsoft.com/office/officeart/2005/8/layout/bProcess3"/>
    <dgm:cxn modelId="{7A0A9F61-C42E-8A46-9ED0-9AFAF3CFC906}" type="presParOf" srcId="{596E4DBA-A15D-C24E-8E56-E358C1784AB4}" destId="{4D03334D-2583-DB46-8D91-8F1F34E7AF58}" srcOrd="0" destOrd="0" presId="urn:microsoft.com/office/officeart/2005/8/layout/bProcess3"/>
    <dgm:cxn modelId="{D22DED15-BEBB-EF43-9C41-3DB59AEC863B}" type="presParOf" srcId="{D9704E0A-A3F6-3D42-A726-5F40A4E183D2}" destId="{8F394B00-74FF-304A-B5ED-4D9DFAA0674C}" srcOrd="2" destOrd="0" presId="urn:microsoft.com/office/officeart/2005/8/layout/bProcess3"/>
    <dgm:cxn modelId="{52698C0D-267D-0F48-A427-90C610766B17}" type="presParOf" srcId="{D9704E0A-A3F6-3D42-A726-5F40A4E183D2}" destId="{38796416-BC65-1343-A2E1-3DD563B99D41}" srcOrd="3" destOrd="0" presId="urn:microsoft.com/office/officeart/2005/8/layout/bProcess3"/>
    <dgm:cxn modelId="{E5BF11D3-3766-D448-BAE6-6678FD15E69E}" type="presParOf" srcId="{38796416-BC65-1343-A2E1-3DD563B99D41}" destId="{F5A8EA92-85B0-2E48-A054-B75A18686DF9}" srcOrd="0" destOrd="0" presId="urn:microsoft.com/office/officeart/2005/8/layout/bProcess3"/>
    <dgm:cxn modelId="{ECFA5B75-1CA4-6A4C-B18F-DB60A4BE9C79}" type="presParOf" srcId="{D9704E0A-A3F6-3D42-A726-5F40A4E183D2}" destId="{3B60FC8A-4870-D545-A961-135C49E7FE90}" srcOrd="4" destOrd="0" presId="urn:microsoft.com/office/officeart/2005/8/layout/bProcess3"/>
    <dgm:cxn modelId="{B402FBAE-DFEC-F24C-B97C-55E0595F5124}" type="presParOf" srcId="{D9704E0A-A3F6-3D42-A726-5F40A4E183D2}" destId="{DF02F8FA-73B1-B74B-8F66-011A39C742D2}" srcOrd="5" destOrd="0" presId="urn:microsoft.com/office/officeart/2005/8/layout/bProcess3"/>
    <dgm:cxn modelId="{5B46E5ED-7233-384A-B338-4C2415855C6A}" type="presParOf" srcId="{DF02F8FA-73B1-B74B-8F66-011A39C742D2}" destId="{B3D44DCF-ACAC-3A4C-8BE0-295BBB2AD4C5}" srcOrd="0" destOrd="0" presId="urn:microsoft.com/office/officeart/2005/8/layout/bProcess3"/>
    <dgm:cxn modelId="{72B6016A-1702-7E49-8F73-63C9CAE1DF96}" type="presParOf" srcId="{D9704E0A-A3F6-3D42-A726-5F40A4E183D2}" destId="{30E58062-06AD-7046-B657-324A5714A388}" srcOrd="6" destOrd="0" presId="urn:microsoft.com/office/officeart/2005/8/layout/bProcess3"/>
    <dgm:cxn modelId="{C97E0F2E-EBA2-3848-A530-C08D171A0159}" type="presParOf" srcId="{D9704E0A-A3F6-3D42-A726-5F40A4E183D2}" destId="{C467FE3D-3E27-C74B-8D61-50EC34E091BC}" srcOrd="7" destOrd="0" presId="urn:microsoft.com/office/officeart/2005/8/layout/bProcess3"/>
    <dgm:cxn modelId="{4FEEB9DA-5962-344C-B185-E3A387322796}" type="presParOf" srcId="{C467FE3D-3E27-C74B-8D61-50EC34E091BC}" destId="{D8B825DB-B25D-D441-B7BA-0E52D58B94FC}" srcOrd="0" destOrd="0" presId="urn:microsoft.com/office/officeart/2005/8/layout/bProcess3"/>
    <dgm:cxn modelId="{71C753E6-254E-6443-93C2-EB6CBC1C0E92}" type="presParOf" srcId="{D9704E0A-A3F6-3D42-A726-5F40A4E183D2}" destId="{C9534F75-4FFA-924D-BBFA-D082BB46A9A7}" srcOrd="8" destOrd="0" presId="urn:microsoft.com/office/officeart/2005/8/layout/bProcess3"/>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6E4DBA-A15D-C24E-8E56-E358C1784AB4}">
      <dsp:nvSpPr>
        <dsp:cNvPr id="0" name=""/>
        <dsp:cNvSpPr/>
      </dsp:nvSpPr>
      <dsp:spPr>
        <a:xfrm>
          <a:off x="1570473" y="795855"/>
          <a:ext cx="329494" cy="91440"/>
        </a:xfrm>
        <a:custGeom>
          <a:avLst/>
          <a:gdLst/>
          <a:ahLst/>
          <a:cxnLst/>
          <a:rect l="0" t="0" r="0" b="0"/>
          <a:pathLst>
            <a:path>
              <a:moveTo>
                <a:pt x="0" y="45720"/>
              </a:moveTo>
              <a:lnTo>
                <a:pt x="329494" y="45720"/>
              </a:lnTo>
            </a:path>
          </a:pathLst>
        </a:custGeom>
        <a:noFill/>
        <a:ln w="1270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26218" y="839773"/>
        <a:ext cx="18004" cy="3604"/>
      </dsp:txXfrm>
    </dsp:sp>
    <dsp:sp modelId="{1641E1BF-AE47-7A49-BB0C-576F8A672C3E}">
      <dsp:nvSpPr>
        <dsp:cNvPr id="0" name=""/>
        <dsp:cNvSpPr/>
      </dsp:nvSpPr>
      <dsp:spPr>
        <a:xfrm>
          <a:off x="6643" y="371886"/>
          <a:ext cx="1565629" cy="939377"/>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t>Drivers:</a:t>
          </a:r>
          <a:r>
            <a:rPr lang="en-US" sz="1200" kern="1200"/>
            <a:t> digital access, creator-led consumption, commercial demand and AI tools.</a:t>
          </a:r>
          <a:endParaRPr lang="en-GB" sz="1200" kern="1200">
            <a:latin typeface="Arial" panose="020B0604020202020204" pitchFamily="34" charset="0"/>
            <a:cs typeface="Arial" panose="020B0604020202020204" pitchFamily="34" charset="0"/>
          </a:endParaRPr>
        </a:p>
      </dsp:txBody>
      <dsp:txXfrm>
        <a:off x="6643" y="371886"/>
        <a:ext cx="1565629" cy="939377"/>
      </dsp:txXfrm>
    </dsp:sp>
    <dsp:sp modelId="{38796416-BC65-1343-A2E1-3DD563B99D41}">
      <dsp:nvSpPr>
        <dsp:cNvPr id="0" name=""/>
        <dsp:cNvSpPr/>
      </dsp:nvSpPr>
      <dsp:spPr>
        <a:xfrm>
          <a:off x="3552231" y="795855"/>
          <a:ext cx="329494" cy="91440"/>
        </a:xfrm>
        <a:custGeom>
          <a:avLst/>
          <a:gdLst/>
          <a:ahLst/>
          <a:cxnLst/>
          <a:rect l="0" t="0" r="0" b="0"/>
          <a:pathLst>
            <a:path>
              <a:moveTo>
                <a:pt x="0" y="45720"/>
              </a:moveTo>
              <a:lnTo>
                <a:pt x="329494" y="45720"/>
              </a:lnTo>
            </a:path>
          </a:pathLst>
        </a:custGeom>
        <a:noFill/>
        <a:ln w="1270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07976" y="839773"/>
        <a:ext cx="18004" cy="3604"/>
      </dsp:txXfrm>
    </dsp:sp>
    <dsp:sp modelId="{8F394B00-74FF-304A-B5ED-4D9DFAA0674C}">
      <dsp:nvSpPr>
        <dsp:cNvPr id="0" name=""/>
        <dsp:cNvSpPr/>
      </dsp:nvSpPr>
      <dsp:spPr>
        <a:xfrm>
          <a:off x="1932368" y="303345"/>
          <a:ext cx="1621663" cy="1076461"/>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t>Pressures</a:t>
          </a:r>
          <a:r>
            <a:rPr lang="en-US" sz="1200" kern="1200"/>
            <a:t>: platform dependence, competition, unstable income and compliance requirements.</a:t>
          </a:r>
          <a:endParaRPr lang="en-GB" sz="1200" kern="1200">
            <a:latin typeface="Arial" panose="020B0604020202020204" pitchFamily="34" charset="0"/>
            <a:cs typeface="Arial" panose="020B0604020202020204" pitchFamily="34" charset="0"/>
          </a:endParaRPr>
        </a:p>
      </dsp:txBody>
      <dsp:txXfrm>
        <a:off x="1932368" y="303345"/>
        <a:ext cx="1621663" cy="1076461"/>
      </dsp:txXfrm>
    </dsp:sp>
    <dsp:sp modelId="{DF02F8FA-73B1-B74B-8F66-011A39C742D2}">
      <dsp:nvSpPr>
        <dsp:cNvPr id="0" name=""/>
        <dsp:cNvSpPr/>
      </dsp:nvSpPr>
      <dsp:spPr>
        <a:xfrm>
          <a:off x="832145" y="1309464"/>
          <a:ext cx="3864796" cy="416067"/>
        </a:xfrm>
        <a:custGeom>
          <a:avLst/>
          <a:gdLst/>
          <a:ahLst/>
          <a:cxnLst/>
          <a:rect l="0" t="0" r="0" b="0"/>
          <a:pathLst>
            <a:path>
              <a:moveTo>
                <a:pt x="3864796" y="0"/>
              </a:moveTo>
              <a:lnTo>
                <a:pt x="3864796" y="225133"/>
              </a:lnTo>
              <a:lnTo>
                <a:pt x="0" y="225133"/>
              </a:lnTo>
              <a:lnTo>
                <a:pt x="0" y="416067"/>
              </a:lnTo>
            </a:path>
          </a:pathLst>
        </a:custGeom>
        <a:noFill/>
        <a:ln w="1270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67280" y="1515696"/>
        <a:ext cx="194526" cy="3604"/>
      </dsp:txXfrm>
    </dsp:sp>
    <dsp:sp modelId="{3B60FC8A-4870-D545-A961-135C49E7FE90}">
      <dsp:nvSpPr>
        <dsp:cNvPr id="0" name=""/>
        <dsp:cNvSpPr/>
      </dsp:nvSpPr>
      <dsp:spPr>
        <a:xfrm>
          <a:off x="3914126" y="371886"/>
          <a:ext cx="1565629" cy="939377"/>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t>State</a:t>
          </a:r>
          <a:r>
            <a:rPr lang="en-US" sz="1200" kern="1200"/>
            <a:t>: rapid industry growth with unequal reach, monetisation and resilience.</a:t>
          </a:r>
          <a:endParaRPr lang="en-GB" sz="1200" kern="1200">
            <a:latin typeface="Arial" panose="020B0604020202020204" pitchFamily="34" charset="0"/>
            <a:cs typeface="Arial" panose="020B0604020202020204" pitchFamily="34" charset="0"/>
          </a:endParaRPr>
        </a:p>
      </dsp:txBody>
      <dsp:txXfrm>
        <a:off x="3914126" y="371886"/>
        <a:ext cx="1565629" cy="939377"/>
      </dsp:txXfrm>
    </dsp:sp>
    <dsp:sp modelId="{C467FE3D-3E27-C74B-8D61-50EC34E091BC}">
      <dsp:nvSpPr>
        <dsp:cNvPr id="0" name=""/>
        <dsp:cNvSpPr/>
      </dsp:nvSpPr>
      <dsp:spPr>
        <a:xfrm>
          <a:off x="1655847" y="2272758"/>
          <a:ext cx="329494" cy="91440"/>
        </a:xfrm>
        <a:custGeom>
          <a:avLst/>
          <a:gdLst/>
          <a:ahLst/>
          <a:cxnLst/>
          <a:rect l="0" t="0" r="0" b="0"/>
          <a:pathLst>
            <a:path>
              <a:moveTo>
                <a:pt x="0" y="45720"/>
              </a:moveTo>
              <a:lnTo>
                <a:pt x="329494" y="45720"/>
              </a:lnTo>
            </a:path>
          </a:pathLst>
        </a:custGeom>
        <a:noFill/>
        <a:ln w="1270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11592" y="2316675"/>
        <a:ext cx="18004" cy="3604"/>
      </dsp:txXfrm>
    </dsp:sp>
    <dsp:sp modelId="{30E58062-06AD-7046-B657-324A5714A388}">
      <dsp:nvSpPr>
        <dsp:cNvPr id="0" name=""/>
        <dsp:cNvSpPr/>
      </dsp:nvSpPr>
      <dsp:spPr>
        <a:xfrm>
          <a:off x="6643" y="1757932"/>
          <a:ext cx="1651003" cy="1121091"/>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t>Impacts: </a:t>
          </a:r>
          <a:r>
            <a:rPr lang="en-US" sz="1200" kern="1200"/>
            <a:t>entrepreneurial opportunities, cultural influence, income insecurity and trust risks.</a:t>
          </a:r>
          <a:endParaRPr lang="en-GB" sz="1200" kern="1200">
            <a:latin typeface="Arial" panose="020B0604020202020204" pitchFamily="34" charset="0"/>
            <a:cs typeface="Arial" panose="020B0604020202020204" pitchFamily="34" charset="0"/>
          </a:endParaRPr>
        </a:p>
      </dsp:txBody>
      <dsp:txXfrm>
        <a:off x="6643" y="1757932"/>
        <a:ext cx="1651003" cy="1121091"/>
      </dsp:txXfrm>
    </dsp:sp>
    <dsp:sp modelId="{C9534F75-4FFA-924D-BBFA-D082BB46A9A7}">
      <dsp:nvSpPr>
        <dsp:cNvPr id="0" name=""/>
        <dsp:cNvSpPr/>
      </dsp:nvSpPr>
      <dsp:spPr>
        <a:xfrm>
          <a:off x="2017741" y="1739901"/>
          <a:ext cx="1549816" cy="1157153"/>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t>Responses: </a:t>
          </a:r>
          <a:r>
            <a:rPr lang="en-US" sz="1200" kern="1200"/>
            <a:t>diversification, transparent advertising, content safeguards and adaptive business models.</a:t>
          </a:r>
          <a:endParaRPr lang="en-GB" sz="1200" kern="1200">
            <a:latin typeface="Arial" panose="020B0604020202020204" pitchFamily="34" charset="0"/>
            <a:cs typeface="Arial" panose="020B0604020202020204" pitchFamily="34" charset="0"/>
          </a:endParaRPr>
        </a:p>
      </dsp:txBody>
      <dsp:txXfrm>
        <a:off x="2017741" y="1739901"/>
        <a:ext cx="1549816" cy="1157153"/>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179</TotalTime>
  <Pages>24</Pages>
  <Words>5054</Words>
  <Characters>28808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Aurelia-Mirela Sterian (2238113)</dc:creator>
  <cp:keywords/>
  <dc:description/>
  <cp:lastModifiedBy>Aurelia-Mirela Sterian (2238113)</cp:lastModifiedBy>
  <cp:revision>2</cp:revision>
  <dcterms:created xsi:type="dcterms:W3CDTF">2026-10-23T11:03:00Z</dcterms:created>
  <dcterms:modified xsi:type="dcterms:W3CDTF">2026-10-26T13:20:00Z</dcterms:modified>
</cp:coreProperties>
</file>