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rPr/>
      </w:pPr>
      <w:r w:rsidDel="00000000" w:rsidR="00000000" w:rsidRPr="00000000">
        <w:rPr>
          <w:rtl w:val="0"/>
        </w:rPr>
        <w:t xml:space="preserve">Hilton Worldwide Holdings Inc. — Comprehensive Financial &amp; Benchmark Summary</w:t>
      </w:r>
    </w:p>
    <w:p w:rsidR="00000000" w:rsidDel="00000000" w:rsidP="00000000" w:rsidRDefault="00000000" w:rsidRPr="00000000" w14:paraId="00000002">
      <w:pPr>
        <w:rPr/>
      </w:pPr>
      <w:r w:rsidDel="00000000" w:rsidR="00000000" w:rsidRPr="00000000">
        <w:rPr>
          <w:rtl w:val="0"/>
        </w:rPr>
        <w:t xml:space="preserve">Assessment Analysis (Fiscal Years 2021–2025) Based on Integrated Workbook Data</w:t>
      </w:r>
    </w:p>
    <w:p w:rsidR="00000000" w:rsidDel="00000000" w:rsidP="00000000" w:rsidRDefault="00000000" w:rsidRPr="00000000" w14:paraId="00000003">
      <w:pPr>
        <w:pStyle w:val="Heading2"/>
        <w:rPr/>
      </w:pPr>
      <w:r w:rsidDel="00000000" w:rsidR="00000000" w:rsidRPr="00000000">
        <w:rPr>
          <w:rtl w:val="0"/>
        </w:rPr>
        <w:t xml:space="preserve">1. Multi-Year Financial Performance &amp; Income Statement Trends</w:t>
      </w:r>
    </w:p>
    <w:p w:rsidR="00000000" w:rsidDel="00000000" w:rsidP="00000000" w:rsidRDefault="00000000" w:rsidRPr="00000000" w14:paraId="00000004">
      <w:pPr>
        <w:rPr/>
      </w:pPr>
      <w:r w:rsidDel="00000000" w:rsidR="00000000" w:rsidRPr="00000000">
        <w:rPr>
          <w:rtl w:val="0"/>
        </w:rPr>
        <w:t xml:space="preserve">Over the five-year period from 2021 to 2025, Hilton Worldwide Holdings Inc. demonstrated a strong, sustained post-pandemic recovery across all primary operational metrics. Total revenues expanded significantly from $5,788 million in 2021 to $12,039 million in 2025, representing more than a 100-percent top-line expansion. Core revenues before reimbursements—which isolate Hilton's proprietary earnings—doubled from $2,444 million to $4,954 million. This robust growth was heavily propelled by core franchise and licensing fees (growing from $1,493 million in 2021 to $2,780 million in 2025), reflecting aggressive net unit expansion and strong global travel demand. Operating income surged from $1,010 million to $2,693 million, while net income attributable to Hilton stockholders remained exceptionally robust at $1,457 million in 2025, supporting a stable diluted EPS of $6.12.</w:t>
      </w:r>
    </w:p>
    <w:p w:rsidR="00000000" w:rsidDel="00000000" w:rsidP="00000000" w:rsidRDefault="00000000" w:rsidRPr="00000000" w14:paraId="00000005">
      <w:pPr>
        <w:pStyle w:val="Heading2"/>
        <w:rPr/>
      </w:pPr>
      <w:r w:rsidDel="00000000" w:rsidR="00000000" w:rsidRPr="00000000">
        <w:rPr>
          <w:rtl w:val="0"/>
        </w:rPr>
        <w:t xml:space="preserve">2. Financial Ratio Analysis: Investment and Cash Flow Performance</w:t>
      </w:r>
    </w:p>
    <w:p w:rsidR="00000000" w:rsidDel="00000000" w:rsidP="00000000" w:rsidRDefault="00000000" w:rsidRPr="00000000" w14:paraId="00000006">
      <w:pPr>
        <w:rPr/>
      </w:pPr>
      <w:r w:rsidDel="00000000" w:rsidR="00000000" w:rsidRPr="00000000">
        <w:rPr>
          <w:rtl w:val="0"/>
        </w:rPr>
        <w:t xml:space="preserve">An evaluation of key investment and cash flow ratios reveals distinctive structural characteristics of Hilton’s business model:</w:t>
        <w:br w:type="textWrapping"/>
        <w:t xml:space="preserve">• Return on Equity (ROE): Due to aggressive, multi-billion-dollar annual share repurchases and consistent cash returns to shareholders, Hilton maintains a negative stockholders' equity position (-$5,388 million in 2025), resulting in negative ROE metrics that improve progressively from -49.94% in 2021 to -27.05% in 2025 as net income stabilizes.</w:t>
        <w:br w:type="textWrapping"/>
        <w:t xml:space="preserve">• Return on Assets (ROA): ROA demonstrates healthy asset productivity, climbing from 2.66% in 2021 and maintaining a solid 8.68% by 2025.</w:t>
        <w:br w:type="textWrapping"/>
        <w:t xml:space="preserve">• Price-to-Earnings (P/E) Ratio: Hilton’s P/E multiple stood at 43.32x in 2025, reflecting premium market valuation driven by investor confidence in its asset-light franchising pipeline.</w:t>
        <w:br w:type="textWrapping"/>
        <w:t xml:space="preserve">• Cash Flow Ratios: The Operating Cash Flow Ratio stood at 0.47x in 2025, while the Free Cash Flow Margin reached an impressive 16.15%, highlighting elite cash conversion capabilities with minimal capital expenditures.</w:t>
      </w:r>
    </w:p>
    <w:p w:rsidR="00000000" w:rsidDel="00000000" w:rsidP="00000000" w:rsidRDefault="00000000" w:rsidRPr="00000000" w14:paraId="00000007">
      <w:pPr>
        <w:pStyle w:val="Heading2"/>
        <w:rPr/>
      </w:pPr>
      <w:r w:rsidDel="00000000" w:rsidR="00000000" w:rsidRPr="00000000">
        <w:rPr>
          <w:rtl w:val="0"/>
        </w:rPr>
        <w:t xml:space="preserve">3. Industry Benchmark Comparison &amp; Competitive Positioning</w:t>
      </w:r>
    </w:p>
    <w:p w:rsidR="00000000" w:rsidDel="00000000" w:rsidP="00000000" w:rsidRDefault="00000000" w:rsidRPr="00000000" w14:paraId="00000008">
      <w:pPr>
        <w:rPr/>
      </w:pPr>
      <w:r w:rsidDel="00000000" w:rsidR="00000000" w:rsidRPr="00000000">
        <w:rPr>
          <w:rtl w:val="0"/>
        </w:rPr>
        <w:t xml:space="preserve">Comparing Hilton's 2025 performance against direct competitors (Marriott International and Hyatt Hotels) and the broader hospitality industry average highlights key competitive advantages and relative trade-offs:</w:t>
        <w:br w:type="textWrapping"/>
        <w:t xml:space="preserve">• Asset Productivity (ROA): Hilton’s ROA of 8.68% outperforms Marriott (6.20%), Hyatt (4.10%), and the industry average (5.00%), demonstrating superior capital efficiency under its fee-based franchising architecture.</w:t>
        <w:br w:type="textWrapping"/>
        <w:t xml:space="preserve">• Free Cash Flow Generation: Hilton leads the competitive set with a 16.15% FCF margin, well above Marriott (12.50%), Hyatt (9.20%), and the industry benchmark (10.50%), showcasing exceptional pricing power and low capital intensity.</w:t>
        <w:br w:type="textWrapping"/>
        <w:t xml:space="preserve">• Valuation &amp; Leverage Trade-offs: While Hilton's P/E multiple (43.32x) trades at a premium compared to Marriott (31.40x) and Hyatt (26.50x), its negative equity position (similar to Marriott's -35.10% ROE) reflects an intentional, aggressive capital return strategy rather than operational weakness.</w:t>
      </w:r>
    </w:p>
    <w:p w:rsidR="00000000" w:rsidDel="00000000" w:rsidP="00000000" w:rsidRDefault="00000000" w:rsidRPr="00000000" w14:paraId="00000009">
      <w:pPr>
        <w:pStyle w:val="Heading2"/>
        <w:rPr/>
      </w:pPr>
      <w:r w:rsidDel="00000000" w:rsidR="00000000" w:rsidRPr="00000000">
        <w:rPr>
          <w:rtl w:val="0"/>
        </w:rPr>
        <w:t xml:space="preserve">4. Strategic Conclusion &amp; Executive Summary</w:t>
      </w:r>
    </w:p>
    <w:p w:rsidR="00000000" w:rsidDel="00000000" w:rsidP="00000000" w:rsidRDefault="00000000" w:rsidRPr="00000000" w14:paraId="0000000A">
      <w:pPr>
        <w:rPr/>
      </w:pPr>
      <w:r w:rsidDel="00000000" w:rsidR="00000000" w:rsidRPr="00000000">
        <w:rPr>
          <w:rtl w:val="0"/>
        </w:rPr>
        <w:t xml:space="preserve">In summary, Hilton’s integrated financial model reflects a highly efficient, asset-light hospitality enterprise capable of generating massive free cash flow streams and superior asset returns. Despite balance sheet deficit adjustments resulting from aggressive shareholder distributions, Hilton maintains strong earnings quality, high operational margins, and industry-leading cash conversion metrics that position it favorably against key global competitors.</w:t>
      </w:r>
    </w:p>
    <w:sectPr>
      <w:pgSz w:h="15840" w:w="12240" w:orient="portrait"/>
      <w:pgMar w:bottom="1440" w:top="1440" w:left="1800" w:right="180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mbria" w:cs="Cambria" w:eastAsia="Cambria" w:hAnsi="Cambria"/>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Subtitle">
    <w:name w:val="Subtitle"/>
    <w:basedOn w:val="Normal"/>
    <w:next w:val="Normal"/>
    <w:pPr/>
    <w:rPr>
      <w:rFonts w:ascii="Calibri" w:cs="Calibri" w:eastAsia="Calibri" w:hAnsi="Calibri"/>
      <w:i w:val="1"/>
      <w:iCs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