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9C962" w14:textId="77777777" w:rsidR="00CF4AA0" w:rsidRDefault="00CF4AA0" w:rsidP="00C078DB">
      <w:pPr>
        <w:keepNext/>
        <w:keepLines/>
        <w:widowControl w:val="0"/>
        <w:spacing w:before="240" w:after="0" w:line="276" w:lineRule="auto"/>
        <w:jc w:val="center"/>
        <w:rPr>
          <w:rFonts w:ascii="Arial" w:eastAsia="Calibri" w:hAnsi="Arial" w:cs="Arial"/>
          <w:b/>
          <w:bCs/>
          <w:kern w:val="0"/>
          <w:sz w:val="44"/>
          <w:szCs w:val="44"/>
          <w:lang w:eastAsia="zh-CN"/>
          <w14:ligatures w14:val="none"/>
        </w:rPr>
      </w:pPr>
      <w:r w:rsidRPr="00CF4AA0">
        <w:rPr>
          <w:rFonts w:ascii="Arial" w:eastAsia="Calibri" w:hAnsi="Arial" w:cs="Arial"/>
          <w:b/>
          <w:bCs/>
          <w:noProof/>
          <w:kern w:val="0"/>
          <w:sz w:val="44"/>
          <w:szCs w:val="44"/>
          <w:lang w:eastAsia="zh-CN"/>
          <w14:ligatures w14:val="none"/>
        </w:rPr>
        <w:drawing>
          <wp:inline distT="0" distB="0" distL="0" distR="0" wp14:anchorId="5FDB6674" wp14:editId="1F407E1E">
            <wp:extent cx="3841667" cy="1204169"/>
            <wp:effectExtent l="0" t="0" r="6985" b="0"/>
            <wp:docPr id="1678797680" name="Picture 7"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1339" cy="1210335"/>
                    </a:xfrm>
                    <a:prstGeom prst="rect">
                      <a:avLst/>
                    </a:prstGeom>
                    <a:noFill/>
                    <a:ln>
                      <a:noFill/>
                    </a:ln>
                  </pic:spPr>
                </pic:pic>
              </a:graphicData>
            </a:graphic>
          </wp:inline>
        </w:drawing>
      </w:r>
    </w:p>
    <w:p w14:paraId="6315D32B" w14:textId="177AC5FA" w:rsidR="00C078DB" w:rsidRPr="00C078DB" w:rsidRDefault="00C078DB" w:rsidP="00CF4AA0">
      <w:pPr>
        <w:keepNext/>
        <w:keepLines/>
        <w:widowControl w:val="0"/>
        <w:spacing w:before="240" w:after="0" w:line="240" w:lineRule="auto"/>
        <w:jc w:val="center"/>
        <w:rPr>
          <w:rFonts w:ascii="Arial" w:eastAsia="Calibri" w:hAnsi="Arial" w:cs="Arial"/>
          <w:b/>
          <w:bCs/>
          <w:kern w:val="0"/>
          <w:sz w:val="40"/>
          <w:szCs w:val="40"/>
          <w:lang w:eastAsia="zh-CN"/>
          <w14:ligatures w14:val="none"/>
        </w:rPr>
      </w:pPr>
      <w:r w:rsidRPr="00C078DB">
        <w:rPr>
          <w:rFonts w:ascii="Arial" w:eastAsia="Calibri" w:hAnsi="Arial" w:cs="Arial"/>
          <w:b/>
          <w:bCs/>
          <w:kern w:val="0"/>
          <w:sz w:val="40"/>
          <w:szCs w:val="40"/>
          <w:lang w:eastAsia="zh-CN"/>
          <w14:ligatures w14:val="none"/>
        </w:rPr>
        <w:t>UNIVERSITY OF WALES</w:t>
      </w:r>
    </w:p>
    <w:p w14:paraId="575312AE" w14:textId="77777777" w:rsidR="00C078DB" w:rsidRPr="00C078DB" w:rsidRDefault="00C078DB" w:rsidP="00CF4AA0">
      <w:pPr>
        <w:keepNext/>
        <w:keepLines/>
        <w:widowControl w:val="0"/>
        <w:spacing w:before="240" w:after="0" w:line="240" w:lineRule="auto"/>
        <w:jc w:val="center"/>
        <w:rPr>
          <w:rFonts w:ascii="Calibri Light" w:eastAsia="Calibri" w:hAnsi="Calibri Light" w:cs="Arial"/>
          <w:color w:val="2F5496"/>
          <w:kern w:val="0"/>
          <w:sz w:val="20"/>
          <w:szCs w:val="20"/>
          <w:lang w:eastAsia="zh-CN"/>
          <w14:ligatures w14:val="none"/>
        </w:rPr>
      </w:pPr>
      <w:r w:rsidRPr="00C078DB">
        <w:rPr>
          <w:rFonts w:ascii="Arial" w:eastAsia="Calibri" w:hAnsi="Arial" w:cs="Arial"/>
          <w:b/>
          <w:bCs/>
          <w:kern w:val="0"/>
          <w:sz w:val="40"/>
          <w:szCs w:val="40"/>
          <w:lang w:eastAsia="zh-CN"/>
          <w14:ligatures w14:val="none"/>
        </w:rPr>
        <w:t>TRINITY SAINT DAVID</w:t>
      </w:r>
    </w:p>
    <w:p w14:paraId="052CE763" w14:textId="10B148D7" w:rsidR="00C078DB" w:rsidRDefault="00C078DB" w:rsidP="00E8488F">
      <w:pPr>
        <w:keepNext/>
        <w:keepLines/>
        <w:widowControl w:val="0"/>
        <w:spacing w:before="240" w:after="0" w:line="240" w:lineRule="auto"/>
        <w:jc w:val="both"/>
        <w:rPr>
          <w:rFonts w:ascii="Calibri Light" w:eastAsia="Calibri" w:hAnsi="Calibri Light" w:cs="Arial"/>
          <w:color w:val="2F5496"/>
          <w:kern w:val="0"/>
          <w:sz w:val="22"/>
          <w:szCs w:val="22"/>
          <w:lang w:eastAsia="zh-CN"/>
          <w14:ligatures w14:val="none"/>
        </w:rPr>
      </w:pPr>
      <w:r w:rsidRPr="00C078DB">
        <w:rPr>
          <w:rFonts w:ascii="Calibri Light" w:eastAsia="Calibri" w:hAnsi="Calibri Light" w:cs="Arial"/>
          <w:color w:val="2F5496"/>
          <w:kern w:val="0"/>
          <w:sz w:val="22"/>
          <w:szCs w:val="22"/>
          <w:lang w:eastAsia="zh-CN"/>
          <w14:ligatures w14:val="none"/>
        </w:rPr>
        <w:t xml:space="preserve"> </w:t>
      </w:r>
    </w:p>
    <w:p w14:paraId="479A1DC3" w14:textId="77777777" w:rsidR="00563D16" w:rsidRPr="00E8488F" w:rsidRDefault="00563D16" w:rsidP="00E8488F">
      <w:pPr>
        <w:keepNext/>
        <w:keepLines/>
        <w:widowControl w:val="0"/>
        <w:spacing w:before="240" w:after="0" w:line="240" w:lineRule="auto"/>
        <w:jc w:val="both"/>
        <w:rPr>
          <w:rFonts w:ascii="Calibri Light" w:eastAsia="Calibri" w:hAnsi="Calibri Light" w:cs="Arial"/>
          <w:color w:val="2F5496"/>
          <w:kern w:val="0"/>
          <w:sz w:val="22"/>
          <w:szCs w:val="22"/>
          <w:lang w:eastAsia="zh-CN"/>
          <w14:ligatures w14:val="none"/>
        </w:rPr>
      </w:pPr>
    </w:p>
    <w:p w14:paraId="3F45250A" w14:textId="14727B84" w:rsidR="00CF4AA0" w:rsidRPr="00563D16" w:rsidRDefault="00C078DB" w:rsidP="00563D16">
      <w:pPr>
        <w:widowControl w:val="0"/>
        <w:spacing w:line="360" w:lineRule="auto"/>
        <w:jc w:val="center"/>
        <w:rPr>
          <w:rFonts w:ascii="Arial" w:eastAsia="Calibri" w:hAnsi="Arial" w:cs="Arial"/>
          <w:b/>
          <w:bCs/>
          <w:kern w:val="0"/>
          <w:sz w:val="40"/>
          <w:szCs w:val="40"/>
          <w:lang w:eastAsia="zh-CN"/>
          <w14:ligatures w14:val="none"/>
        </w:rPr>
      </w:pPr>
      <w:r w:rsidRPr="00563D16">
        <w:rPr>
          <w:rFonts w:ascii="Arial" w:eastAsia="Calibri" w:hAnsi="Arial" w:cs="Arial"/>
          <w:b/>
          <w:bCs/>
          <w:kern w:val="0"/>
          <w:sz w:val="32"/>
          <w:szCs w:val="32"/>
          <w:lang w:eastAsia="zh-CN"/>
          <w14:ligatures w14:val="none"/>
        </w:rPr>
        <w:t>Topic</w:t>
      </w:r>
      <w:r w:rsidR="00413E7D" w:rsidRPr="00563D16">
        <w:rPr>
          <w:rFonts w:ascii="Arial" w:eastAsia="Calibri" w:hAnsi="Arial" w:cs="Arial"/>
          <w:b/>
          <w:bCs/>
          <w:kern w:val="0"/>
          <w:sz w:val="40"/>
          <w:szCs w:val="40"/>
          <w:lang w:eastAsia="zh-CN"/>
          <w14:ligatures w14:val="none"/>
        </w:rPr>
        <w:t xml:space="preserve">: </w:t>
      </w:r>
      <w:r w:rsidR="00563D16" w:rsidRPr="00563D16">
        <w:rPr>
          <w:rFonts w:ascii="Arial" w:eastAsia="Calibri" w:hAnsi="Arial" w:cs="Arial"/>
          <w:b/>
          <w:bCs/>
          <w:kern w:val="0"/>
          <w:sz w:val="40"/>
          <w:szCs w:val="40"/>
          <w:lang w:eastAsia="zh-CN"/>
          <w14:ligatures w14:val="none"/>
        </w:rPr>
        <w:t>Volkswagen Group</w:t>
      </w:r>
      <w:r w:rsidR="001E3396">
        <w:rPr>
          <w:rFonts w:ascii="Arial" w:eastAsia="Calibri" w:hAnsi="Arial" w:cs="Arial"/>
          <w:b/>
          <w:bCs/>
          <w:kern w:val="0"/>
          <w:sz w:val="40"/>
          <w:szCs w:val="40"/>
          <w:lang w:eastAsia="zh-CN"/>
          <w14:ligatures w14:val="none"/>
        </w:rPr>
        <w:t xml:space="preserve"> MNC</w:t>
      </w:r>
    </w:p>
    <w:p w14:paraId="5C3F9AD3" w14:textId="6E1FC97C" w:rsidR="00E8488F" w:rsidRDefault="001E3396" w:rsidP="00D86DD8">
      <w:pPr>
        <w:keepNext/>
        <w:keepLines/>
        <w:widowControl w:val="0"/>
        <w:spacing w:after="0" w:line="360" w:lineRule="auto"/>
        <w:jc w:val="center"/>
        <w:rPr>
          <w:rFonts w:ascii="Arial" w:eastAsia="Calibri" w:hAnsi="Arial" w:cs="Arial"/>
          <w:b/>
          <w:bCs/>
          <w:kern w:val="0"/>
          <w:sz w:val="28"/>
          <w:szCs w:val="28"/>
          <w:lang w:eastAsia="zh-CN"/>
          <w14:ligatures w14:val="none"/>
        </w:rPr>
      </w:pPr>
      <w:r w:rsidRPr="001E3396">
        <w:rPr>
          <w:rFonts w:ascii="Arial" w:eastAsia="Calibri" w:hAnsi="Arial" w:cs="Arial"/>
          <w:b/>
          <w:bCs/>
          <w:kern w:val="0"/>
          <w:sz w:val="28"/>
          <w:szCs w:val="28"/>
          <w:lang w:eastAsia="zh-CN"/>
          <w14:ligatures w14:val="none"/>
        </w:rPr>
        <w:t>International Business Consultancy Report</w:t>
      </w:r>
    </w:p>
    <w:p w14:paraId="760E45D9" w14:textId="09574F97" w:rsidR="004A0F5C" w:rsidRPr="00C74FCC" w:rsidRDefault="004A0F5C" w:rsidP="00D86DD8">
      <w:pPr>
        <w:keepNext/>
        <w:keepLines/>
        <w:widowControl w:val="0"/>
        <w:spacing w:after="0" w:line="360" w:lineRule="auto"/>
        <w:jc w:val="center"/>
        <w:rPr>
          <w:rFonts w:ascii="Arial" w:eastAsia="Calibri" w:hAnsi="Arial" w:cs="Arial"/>
          <w:b/>
          <w:bCs/>
          <w:i/>
          <w:iCs/>
          <w:kern w:val="0"/>
          <w:lang w:eastAsia="zh-CN"/>
          <w14:ligatures w14:val="none"/>
        </w:rPr>
      </w:pPr>
      <w:r w:rsidRPr="00C74FCC">
        <w:rPr>
          <w:rFonts w:ascii="Arial" w:eastAsia="Calibri" w:hAnsi="Arial" w:cs="Arial"/>
          <w:b/>
          <w:bCs/>
          <w:i/>
          <w:iCs/>
          <w:kern w:val="0"/>
          <w:lang w:eastAsia="zh-CN"/>
          <w14:ligatures w14:val="none"/>
        </w:rPr>
        <w:t xml:space="preserve">(Cross Country Analysis: Germany, Brazil, Slovakia, </w:t>
      </w:r>
      <w:r w:rsidR="00C74FCC" w:rsidRPr="00C74FCC">
        <w:rPr>
          <w:rFonts w:ascii="Arial" w:eastAsia="Calibri" w:hAnsi="Arial" w:cs="Arial"/>
          <w:b/>
          <w:bCs/>
          <w:i/>
          <w:iCs/>
          <w:kern w:val="0"/>
          <w:lang w:eastAsia="zh-CN"/>
          <w14:ligatures w14:val="none"/>
        </w:rPr>
        <w:t>Morocco</w:t>
      </w:r>
      <w:r w:rsidRPr="00C74FCC">
        <w:rPr>
          <w:rFonts w:ascii="Arial" w:eastAsia="Calibri" w:hAnsi="Arial" w:cs="Arial"/>
          <w:b/>
          <w:bCs/>
          <w:i/>
          <w:iCs/>
          <w:kern w:val="0"/>
          <w:lang w:eastAsia="zh-CN"/>
          <w14:ligatures w14:val="none"/>
        </w:rPr>
        <w:t>)</w:t>
      </w:r>
    </w:p>
    <w:p w14:paraId="36844D4D" w14:textId="77777777" w:rsidR="00D86DD8" w:rsidRDefault="00D86DD8" w:rsidP="00C74FCC">
      <w:pPr>
        <w:keepNext/>
        <w:keepLines/>
        <w:widowControl w:val="0"/>
        <w:spacing w:after="0" w:line="360" w:lineRule="auto"/>
        <w:rPr>
          <w:rFonts w:ascii="Arial" w:eastAsia="Calibri" w:hAnsi="Arial" w:cs="Arial"/>
          <w:b/>
          <w:bCs/>
          <w:kern w:val="0"/>
          <w:sz w:val="28"/>
          <w:szCs w:val="28"/>
          <w:lang w:eastAsia="zh-CN"/>
          <w14:ligatures w14:val="none"/>
        </w:rPr>
      </w:pPr>
    </w:p>
    <w:p w14:paraId="6EE1C75C" w14:textId="77777777" w:rsidR="009C6AE2" w:rsidRPr="00C76689" w:rsidRDefault="009C6AE2" w:rsidP="00D86DD8">
      <w:pPr>
        <w:keepNext/>
        <w:keepLines/>
        <w:widowControl w:val="0"/>
        <w:spacing w:after="0" w:line="360" w:lineRule="auto"/>
        <w:jc w:val="center"/>
        <w:rPr>
          <w:rFonts w:ascii="Arial" w:eastAsia="Calibri" w:hAnsi="Arial" w:cs="Arial"/>
          <w:b/>
          <w:bCs/>
          <w:kern w:val="0"/>
          <w:sz w:val="28"/>
          <w:szCs w:val="28"/>
          <w:lang w:eastAsia="zh-CN"/>
          <w14:ligatures w14:val="none"/>
        </w:rPr>
      </w:pPr>
    </w:p>
    <w:p w14:paraId="4A59D742" w14:textId="08B691B4" w:rsidR="00C76689" w:rsidRPr="00FB3692" w:rsidRDefault="008509D4" w:rsidP="00D86DD8">
      <w:pPr>
        <w:keepNext/>
        <w:keepLines/>
        <w:widowControl w:val="0"/>
        <w:spacing w:after="0" w:line="360" w:lineRule="auto"/>
        <w:jc w:val="center"/>
        <w:rPr>
          <w:rFonts w:ascii="Arial" w:eastAsia="Calibri" w:hAnsi="Arial" w:cs="Arial"/>
          <w:b/>
          <w:bCs/>
          <w:kern w:val="0"/>
          <w:sz w:val="28"/>
          <w:szCs w:val="28"/>
          <w:lang w:eastAsia="zh-CN"/>
          <w14:ligatures w14:val="none"/>
        </w:rPr>
      </w:pPr>
      <w:r w:rsidRPr="00FB3692">
        <w:rPr>
          <w:rFonts w:ascii="Arial" w:eastAsia="Calibri" w:hAnsi="Arial" w:cs="Arial"/>
          <w:b/>
          <w:bCs/>
          <w:kern w:val="0"/>
          <w:sz w:val="28"/>
          <w:szCs w:val="28"/>
          <w:lang w:eastAsia="zh-CN"/>
          <w14:ligatures w14:val="none"/>
        </w:rPr>
        <w:t xml:space="preserve">Module: </w:t>
      </w:r>
      <w:r w:rsidR="00FB3692" w:rsidRPr="00FB3692">
        <w:rPr>
          <w:rFonts w:ascii="Arial" w:hAnsi="Arial" w:cs="Arial"/>
          <w:b/>
          <w:sz w:val="28"/>
          <w:szCs w:val="28"/>
        </w:rPr>
        <w:t>International Business Concepts</w:t>
      </w:r>
      <w:r w:rsidR="00CF1366" w:rsidRPr="00FB3692">
        <w:rPr>
          <w:rFonts w:ascii="Arial" w:hAnsi="Arial" w:cs="Arial"/>
          <w:b/>
          <w:sz w:val="28"/>
          <w:szCs w:val="28"/>
        </w:rPr>
        <w:t>:</w:t>
      </w:r>
      <w:r w:rsidRPr="00FB3692">
        <w:rPr>
          <w:rFonts w:ascii="Arial" w:hAnsi="Arial" w:cs="Arial"/>
          <w:b/>
          <w:sz w:val="28"/>
          <w:szCs w:val="28"/>
        </w:rPr>
        <w:t xml:space="preserve"> </w:t>
      </w:r>
      <w:r w:rsidR="00D86DD8" w:rsidRPr="00FB3692">
        <w:rPr>
          <w:rFonts w:ascii="Arial" w:hAnsi="Arial" w:cs="Arial"/>
          <w:b/>
          <w:sz w:val="28"/>
          <w:szCs w:val="28"/>
        </w:rPr>
        <w:t>LCMB70</w:t>
      </w:r>
      <w:r w:rsidR="00FB3692" w:rsidRPr="00FB3692">
        <w:rPr>
          <w:rFonts w:ascii="Arial" w:hAnsi="Arial" w:cs="Arial"/>
          <w:b/>
          <w:sz w:val="28"/>
          <w:szCs w:val="28"/>
        </w:rPr>
        <w:t>3</w:t>
      </w:r>
      <w:r w:rsidR="00F37D27" w:rsidRPr="00FB3692">
        <w:rPr>
          <w:rFonts w:ascii="Arial" w:hAnsi="Arial" w:cs="Arial"/>
          <w:b/>
          <w:sz w:val="28"/>
          <w:szCs w:val="28"/>
        </w:rPr>
        <w:t>4</w:t>
      </w:r>
    </w:p>
    <w:p w14:paraId="1C04306C" w14:textId="01552256" w:rsidR="00C078DB" w:rsidRPr="00E8488F" w:rsidRDefault="00C078DB" w:rsidP="002F5FEF">
      <w:pPr>
        <w:keepNext/>
        <w:keepLines/>
        <w:widowControl w:val="0"/>
        <w:spacing w:before="240" w:after="0" w:line="360" w:lineRule="auto"/>
        <w:jc w:val="center"/>
        <w:rPr>
          <w:rFonts w:ascii="Arial" w:eastAsia="Calibri" w:hAnsi="Arial" w:cs="Arial"/>
          <w:b/>
          <w:bCs/>
          <w:kern w:val="0"/>
          <w:sz w:val="28"/>
          <w:szCs w:val="28"/>
          <w:lang w:eastAsia="zh-CN"/>
          <w14:ligatures w14:val="none"/>
        </w:rPr>
      </w:pPr>
      <w:r w:rsidRPr="00E8488F">
        <w:rPr>
          <w:rFonts w:ascii="Arial" w:eastAsia="Calibri" w:hAnsi="Arial" w:cs="Arial"/>
          <w:b/>
          <w:bCs/>
          <w:kern w:val="0"/>
          <w:sz w:val="28"/>
          <w:szCs w:val="28"/>
          <w:lang w:eastAsia="zh-CN"/>
          <w14:ligatures w14:val="none"/>
        </w:rPr>
        <w:t xml:space="preserve">Student: </w:t>
      </w:r>
      <w:r w:rsidR="00F00668" w:rsidRPr="00E8488F">
        <w:rPr>
          <w:rFonts w:ascii="Arial" w:eastAsia="Calibri" w:hAnsi="Arial" w:cs="Arial"/>
          <w:b/>
          <w:bCs/>
          <w:kern w:val="0"/>
          <w:sz w:val="28"/>
          <w:szCs w:val="28"/>
          <w:lang w:eastAsia="zh-CN"/>
          <w14:ligatures w14:val="none"/>
        </w:rPr>
        <w:t>Ivilina Atanasova Atanasova</w:t>
      </w:r>
    </w:p>
    <w:p w14:paraId="058FFF17" w14:textId="5BEB14F8" w:rsidR="00AC21C7" w:rsidRPr="00A65A88" w:rsidRDefault="00F00668" w:rsidP="00A65A88">
      <w:pPr>
        <w:keepNext/>
        <w:keepLines/>
        <w:widowControl w:val="0"/>
        <w:spacing w:before="240" w:after="0" w:line="360" w:lineRule="auto"/>
        <w:jc w:val="center"/>
        <w:rPr>
          <w:rFonts w:ascii="Arial" w:eastAsia="Calibri" w:hAnsi="Arial" w:cs="Arial"/>
          <w:b/>
          <w:bCs/>
          <w:kern w:val="0"/>
          <w:sz w:val="32"/>
          <w:szCs w:val="32"/>
          <w:lang w:eastAsia="zh-CN"/>
          <w14:ligatures w14:val="none"/>
        </w:rPr>
      </w:pPr>
      <w:r w:rsidRPr="00E8488F">
        <w:rPr>
          <w:rFonts w:ascii="Arial" w:eastAsia="Calibri" w:hAnsi="Arial" w:cs="Arial"/>
          <w:b/>
          <w:bCs/>
          <w:kern w:val="0"/>
          <w:sz w:val="28"/>
          <w:szCs w:val="28"/>
          <w:lang w:eastAsia="zh-CN"/>
          <w14:ligatures w14:val="none"/>
        </w:rPr>
        <w:t>Student Number: 2028391</w:t>
      </w:r>
    </w:p>
    <w:p w14:paraId="24CFBCDC" w14:textId="77777777" w:rsidR="00F00668" w:rsidRDefault="00F00668" w:rsidP="009543EF">
      <w:pPr>
        <w:spacing w:after="0" w:line="360" w:lineRule="auto"/>
        <w:jc w:val="both"/>
        <w:rPr>
          <w:rFonts w:ascii="Arial" w:hAnsi="Arial" w:cs="Arial"/>
          <w:b/>
          <w:bCs/>
          <w:sz w:val="22"/>
          <w:szCs w:val="22"/>
        </w:rPr>
      </w:pPr>
    </w:p>
    <w:p w14:paraId="7A2FD970" w14:textId="77777777" w:rsidR="00A65A88" w:rsidRDefault="00A65A88" w:rsidP="00C74FCC">
      <w:pPr>
        <w:spacing w:after="0" w:line="360" w:lineRule="auto"/>
        <w:jc w:val="both"/>
        <w:rPr>
          <w:rFonts w:ascii="Arial" w:hAnsi="Arial" w:cs="Arial"/>
          <w:b/>
          <w:bCs/>
          <w:sz w:val="22"/>
          <w:szCs w:val="22"/>
        </w:rPr>
      </w:pPr>
    </w:p>
    <w:p w14:paraId="773D7E80" w14:textId="77777777" w:rsidR="00C74FCC" w:rsidRDefault="00C74FCC" w:rsidP="00C74FCC">
      <w:pPr>
        <w:spacing w:after="0" w:line="360" w:lineRule="auto"/>
        <w:jc w:val="both"/>
        <w:rPr>
          <w:rFonts w:ascii="Arial" w:hAnsi="Arial" w:cs="Arial"/>
          <w:b/>
          <w:bCs/>
          <w:sz w:val="22"/>
          <w:szCs w:val="22"/>
        </w:rPr>
      </w:pPr>
    </w:p>
    <w:p w14:paraId="06F7BC99" w14:textId="77777777" w:rsidR="00F00668" w:rsidRDefault="00F00668" w:rsidP="001D60C7">
      <w:pPr>
        <w:spacing w:after="0" w:line="360" w:lineRule="auto"/>
        <w:ind w:firstLine="567"/>
        <w:jc w:val="both"/>
        <w:rPr>
          <w:rFonts w:ascii="Arial" w:hAnsi="Arial" w:cs="Arial"/>
          <w:b/>
          <w:bCs/>
          <w:sz w:val="22"/>
          <w:szCs w:val="22"/>
        </w:rPr>
      </w:pPr>
    </w:p>
    <w:p w14:paraId="618E9D21" w14:textId="10BDDCA5" w:rsidR="00F00668" w:rsidRPr="009543EF" w:rsidRDefault="00CF1366" w:rsidP="009543EF">
      <w:pPr>
        <w:spacing w:after="0" w:line="360" w:lineRule="auto"/>
        <w:jc w:val="center"/>
        <w:rPr>
          <w:rFonts w:ascii="Arial" w:hAnsi="Arial" w:cs="Arial"/>
          <w:b/>
          <w:bCs/>
          <w:sz w:val="32"/>
          <w:szCs w:val="32"/>
        </w:rPr>
      </w:pPr>
      <w:r w:rsidRPr="009543EF">
        <w:rPr>
          <w:rFonts w:ascii="Arial" w:hAnsi="Arial" w:cs="Arial"/>
          <w:b/>
          <w:bCs/>
          <w:sz w:val="32"/>
          <w:szCs w:val="32"/>
        </w:rPr>
        <w:t xml:space="preserve">Lecture: </w:t>
      </w:r>
      <w:r w:rsidR="00E8488F">
        <w:rPr>
          <w:rFonts w:ascii="Arial" w:hAnsi="Arial" w:cs="Arial"/>
          <w:b/>
          <w:bCs/>
          <w:sz w:val="32"/>
          <w:szCs w:val="32"/>
        </w:rPr>
        <w:t xml:space="preserve">Dr. </w:t>
      </w:r>
      <w:r w:rsidR="00256CE2" w:rsidRPr="00256CE2">
        <w:rPr>
          <w:rFonts w:ascii="Arial" w:hAnsi="Arial" w:cs="Arial"/>
          <w:b/>
          <w:bCs/>
          <w:sz w:val="32"/>
          <w:szCs w:val="32"/>
        </w:rPr>
        <w:t>Baber Syed</w:t>
      </w:r>
    </w:p>
    <w:p w14:paraId="7F0A04A4" w14:textId="77777777" w:rsidR="00F00668" w:rsidRDefault="00F00668" w:rsidP="00CF1366">
      <w:pPr>
        <w:spacing w:after="0" w:line="360" w:lineRule="auto"/>
        <w:jc w:val="both"/>
        <w:rPr>
          <w:rFonts w:ascii="Arial" w:hAnsi="Arial" w:cs="Arial"/>
          <w:b/>
          <w:bCs/>
          <w:sz w:val="22"/>
          <w:szCs w:val="22"/>
        </w:rPr>
      </w:pPr>
    </w:p>
    <w:p w14:paraId="05B4DA6E" w14:textId="77777777" w:rsidR="002F5FEF" w:rsidRDefault="002F5FEF" w:rsidP="001D60C7">
      <w:pPr>
        <w:spacing w:after="0" w:line="360" w:lineRule="auto"/>
        <w:ind w:firstLine="567"/>
        <w:jc w:val="both"/>
        <w:rPr>
          <w:rFonts w:ascii="Arial" w:hAnsi="Arial" w:cs="Arial"/>
          <w:b/>
          <w:bCs/>
          <w:sz w:val="22"/>
          <w:szCs w:val="22"/>
        </w:rPr>
      </w:pPr>
    </w:p>
    <w:p w14:paraId="3620AEF4" w14:textId="1054F448" w:rsidR="009543EF" w:rsidRDefault="009543EF" w:rsidP="001D60C7">
      <w:pPr>
        <w:spacing w:after="0" w:line="360" w:lineRule="auto"/>
        <w:ind w:firstLine="567"/>
        <w:jc w:val="both"/>
        <w:rPr>
          <w:rFonts w:ascii="Arial" w:hAnsi="Arial" w:cs="Arial"/>
          <w:b/>
          <w:bCs/>
          <w:sz w:val="22"/>
          <w:szCs w:val="22"/>
        </w:rPr>
      </w:pPr>
    </w:p>
    <w:p w14:paraId="7F9E8045" w14:textId="77777777" w:rsidR="009543EF" w:rsidRDefault="009543EF" w:rsidP="001D60C7">
      <w:pPr>
        <w:spacing w:after="0" w:line="360" w:lineRule="auto"/>
        <w:ind w:firstLine="567"/>
        <w:jc w:val="both"/>
        <w:rPr>
          <w:rFonts w:ascii="Arial" w:hAnsi="Arial" w:cs="Arial"/>
          <w:b/>
          <w:bCs/>
          <w:sz w:val="22"/>
          <w:szCs w:val="22"/>
        </w:rPr>
      </w:pPr>
    </w:p>
    <w:p w14:paraId="28EEC5CD" w14:textId="77777777" w:rsidR="00DD0AB7" w:rsidRDefault="00DD0AB7" w:rsidP="00C74FCC">
      <w:pPr>
        <w:spacing w:after="0" w:line="360" w:lineRule="auto"/>
        <w:jc w:val="both"/>
        <w:rPr>
          <w:rFonts w:ascii="Arial" w:hAnsi="Arial" w:cs="Arial"/>
          <w:b/>
          <w:bCs/>
          <w:sz w:val="22"/>
          <w:szCs w:val="22"/>
        </w:rPr>
      </w:pPr>
    </w:p>
    <w:p w14:paraId="0E282FF6" w14:textId="1F6F4D80" w:rsidR="002F5FEF" w:rsidRDefault="00F00668" w:rsidP="00A61E29">
      <w:pPr>
        <w:spacing w:after="0" w:line="360" w:lineRule="auto"/>
        <w:jc w:val="center"/>
        <w:rPr>
          <w:rFonts w:ascii="Arial" w:hAnsi="Arial" w:cs="Arial"/>
          <w:b/>
          <w:bCs/>
          <w:sz w:val="22"/>
          <w:szCs w:val="22"/>
        </w:rPr>
      </w:pPr>
      <w:r>
        <w:rPr>
          <w:rFonts w:ascii="Arial" w:hAnsi="Arial" w:cs="Arial"/>
          <w:b/>
          <w:bCs/>
          <w:sz w:val="22"/>
          <w:szCs w:val="22"/>
        </w:rPr>
        <w:t xml:space="preserve">Date: </w:t>
      </w:r>
      <w:r w:rsidR="009C6AE2">
        <w:rPr>
          <w:rFonts w:ascii="Arial" w:hAnsi="Arial" w:cs="Arial"/>
          <w:b/>
          <w:bCs/>
          <w:sz w:val="22"/>
          <w:szCs w:val="22"/>
        </w:rPr>
        <w:t>2</w:t>
      </w:r>
      <w:r w:rsidR="002F05A6">
        <w:rPr>
          <w:rFonts w:ascii="Arial" w:hAnsi="Arial" w:cs="Arial"/>
          <w:b/>
          <w:bCs/>
          <w:sz w:val="22"/>
          <w:szCs w:val="22"/>
        </w:rPr>
        <w:t>2</w:t>
      </w:r>
      <w:r>
        <w:rPr>
          <w:rFonts w:ascii="Arial" w:hAnsi="Arial" w:cs="Arial"/>
          <w:b/>
          <w:bCs/>
          <w:sz w:val="22"/>
          <w:szCs w:val="22"/>
        </w:rPr>
        <w:t>/</w:t>
      </w:r>
      <w:r w:rsidR="009C6AE2">
        <w:rPr>
          <w:rFonts w:ascii="Arial" w:hAnsi="Arial" w:cs="Arial"/>
          <w:b/>
          <w:bCs/>
          <w:sz w:val="22"/>
          <w:szCs w:val="22"/>
        </w:rPr>
        <w:t>11</w:t>
      </w:r>
      <w:r>
        <w:rPr>
          <w:rFonts w:ascii="Arial" w:hAnsi="Arial" w:cs="Arial"/>
          <w:b/>
          <w:bCs/>
          <w:sz w:val="22"/>
          <w:szCs w:val="22"/>
        </w:rPr>
        <w:t>/202</w:t>
      </w:r>
      <w:r w:rsidR="00A61E29">
        <w:rPr>
          <w:rFonts w:ascii="Arial" w:hAnsi="Arial" w:cs="Arial"/>
          <w:b/>
          <w:bCs/>
          <w:sz w:val="22"/>
          <w:szCs w:val="22"/>
        </w:rPr>
        <w:t>5</w:t>
      </w:r>
    </w:p>
    <w:sdt>
      <w:sdtPr>
        <w:rPr>
          <w:rFonts w:asciiTheme="minorHAnsi" w:eastAsiaTheme="minorHAnsi" w:hAnsiTheme="minorHAnsi" w:cstheme="minorBidi"/>
          <w:color w:val="auto"/>
          <w:kern w:val="2"/>
          <w:sz w:val="24"/>
          <w:szCs w:val="24"/>
          <w:lang w:val="en-GB"/>
          <w14:ligatures w14:val="standardContextual"/>
        </w:rPr>
        <w:id w:val="-2058389820"/>
        <w:docPartObj>
          <w:docPartGallery w:val="Table of Contents"/>
          <w:docPartUnique/>
        </w:docPartObj>
      </w:sdtPr>
      <w:sdtEndPr>
        <w:rPr>
          <w:b/>
          <w:bCs/>
        </w:rPr>
      </w:sdtEndPr>
      <w:sdtContent>
        <w:p w14:paraId="18F49D5B" w14:textId="4CF3DE66" w:rsidR="00576E1A" w:rsidRPr="00576E1A" w:rsidRDefault="00576E1A">
          <w:pPr>
            <w:pStyle w:val="TOCHeading"/>
            <w:rPr>
              <w:b/>
              <w:bCs/>
              <w:sz w:val="22"/>
              <w:szCs w:val="22"/>
            </w:rPr>
          </w:pPr>
          <w:r w:rsidRPr="00576E1A">
            <w:rPr>
              <w:b/>
              <w:bCs/>
              <w:sz w:val="22"/>
              <w:szCs w:val="22"/>
              <w:lang w:val="en-GB"/>
            </w:rPr>
            <w:t>Table of Contents</w:t>
          </w:r>
        </w:p>
        <w:p w14:paraId="6055EB4C" w14:textId="73DC48C2" w:rsidR="00576E1A" w:rsidRPr="00576E1A" w:rsidRDefault="00576E1A" w:rsidP="0043401C">
          <w:pPr>
            <w:pStyle w:val="TOC1"/>
          </w:pPr>
          <w:r>
            <w:fldChar w:fldCharType="begin"/>
          </w:r>
          <w:r>
            <w:instrText xml:space="preserve"> TOC \o "1-3" \h \z \u </w:instrText>
          </w:r>
          <w:r>
            <w:fldChar w:fldCharType="separate"/>
          </w:r>
          <w:hyperlink w:anchor="_Toc214529450" w:history="1">
            <w:r w:rsidRPr="00576E1A">
              <w:rPr>
                <w:rStyle w:val="Hyperlink"/>
                <w:b w:val="0"/>
                <w:bCs w:val="0"/>
              </w:rPr>
              <w:t xml:space="preserve">1. Introduction </w:t>
            </w:r>
            <w:r w:rsidRPr="00576E1A">
              <w:rPr>
                <w:rStyle w:val="Hyperlink"/>
                <w:b w:val="0"/>
                <w:bCs w:val="0"/>
                <w:i/>
                <w:iCs/>
              </w:rPr>
              <w:t>(147 words)</w:t>
            </w:r>
            <w:r w:rsidRPr="00576E1A">
              <w:rPr>
                <w:webHidden/>
              </w:rPr>
              <w:tab/>
            </w:r>
            <w:r w:rsidRPr="00576E1A">
              <w:rPr>
                <w:webHidden/>
              </w:rPr>
              <w:fldChar w:fldCharType="begin"/>
            </w:r>
            <w:r w:rsidRPr="00576E1A">
              <w:rPr>
                <w:webHidden/>
              </w:rPr>
              <w:instrText xml:space="preserve"> PAGEREF _Toc214529450 \h </w:instrText>
            </w:r>
            <w:r w:rsidRPr="00576E1A">
              <w:rPr>
                <w:webHidden/>
              </w:rPr>
            </w:r>
            <w:r w:rsidRPr="00576E1A">
              <w:rPr>
                <w:webHidden/>
              </w:rPr>
              <w:fldChar w:fldCharType="separate"/>
            </w:r>
            <w:r w:rsidR="00761BB3">
              <w:rPr>
                <w:webHidden/>
              </w:rPr>
              <w:t>3</w:t>
            </w:r>
            <w:r w:rsidRPr="00576E1A">
              <w:rPr>
                <w:webHidden/>
              </w:rPr>
              <w:fldChar w:fldCharType="end"/>
            </w:r>
          </w:hyperlink>
        </w:p>
        <w:p w14:paraId="5B309DCC" w14:textId="30F7C7CB" w:rsidR="00576E1A" w:rsidRPr="00576E1A" w:rsidRDefault="00576E1A" w:rsidP="0043401C">
          <w:pPr>
            <w:pStyle w:val="TOC1"/>
          </w:pPr>
          <w:hyperlink w:anchor="_Toc214529451" w:history="1">
            <w:r w:rsidRPr="00576E1A">
              <w:rPr>
                <w:rStyle w:val="Hyperlink"/>
                <w:b w:val="0"/>
                <w:bCs w:val="0"/>
              </w:rPr>
              <w:t xml:space="preserve">2. Benefits and Challenges of International Operations </w:t>
            </w:r>
            <w:r w:rsidRPr="00576E1A">
              <w:rPr>
                <w:rStyle w:val="Hyperlink"/>
                <w:b w:val="0"/>
                <w:bCs w:val="0"/>
                <w:i/>
                <w:iCs/>
              </w:rPr>
              <w:t>(1466 words)</w:t>
            </w:r>
            <w:r w:rsidRPr="00576E1A">
              <w:rPr>
                <w:webHidden/>
              </w:rPr>
              <w:tab/>
            </w:r>
            <w:r w:rsidRPr="00576E1A">
              <w:rPr>
                <w:webHidden/>
              </w:rPr>
              <w:fldChar w:fldCharType="begin"/>
            </w:r>
            <w:r w:rsidRPr="00576E1A">
              <w:rPr>
                <w:webHidden/>
              </w:rPr>
              <w:instrText xml:space="preserve"> PAGEREF _Toc214529451 \h </w:instrText>
            </w:r>
            <w:r w:rsidRPr="00576E1A">
              <w:rPr>
                <w:webHidden/>
              </w:rPr>
            </w:r>
            <w:r w:rsidRPr="00576E1A">
              <w:rPr>
                <w:webHidden/>
              </w:rPr>
              <w:fldChar w:fldCharType="separate"/>
            </w:r>
            <w:r w:rsidR="00761BB3">
              <w:rPr>
                <w:webHidden/>
              </w:rPr>
              <w:t>4</w:t>
            </w:r>
            <w:r w:rsidRPr="00576E1A">
              <w:rPr>
                <w:webHidden/>
              </w:rPr>
              <w:fldChar w:fldCharType="end"/>
            </w:r>
          </w:hyperlink>
        </w:p>
        <w:p w14:paraId="7322771E" w14:textId="1F173737" w:rsidR="00576E1A" w:rsidRPr="00576E1A" w:rsidRDefault="00576E1A" w:rsidP="0043401C">
          <w:pPr>
            <w:pStyle w:val="TOC1"/>
          </w:pPr>
          <w:hyperlink w:anchor="_Toc214529452" w:history="1">
            <w:r w:rsidRPr="00576E1A">
              <w:rPr>
                <w:rStyle w:val="Hyperlink"/>
                <w:b w:val="0"/>
                <w:bCs w:val="0"/>
              </w:rPr>
              <w:t>2a. Why Volkswagen Is an MNC/TNC</w:t>
            </w:r>
            <w:r w:rsidRPr="00576E1A">
              <w:rPr>
                <w:webHidden/>
              </w:rPr>
              <w:tab/>
            </w:r>
            <w:r w:rsidRPr="00576E1A">
              <w:rPr>
                <w:webHidden/>
              </w:rPr>
              <w:fldChar w:fldCharType="begin"/>
            </w:r>
            <w:r w:rsidRPr="00576E1A">
              <w:rPr>
                <w:webHidden/>
              </w:rPr>
              <w:instrText xml:space="preserve"> PAGEREF _Toc214529452 \h </w:instrText>
            </w:r>
            <w:r w:rsidRPr="00576E1A">
              <w:rPr>
                <w:webHidden/>
              </w:rPr>
            </w:r>
            <w:r w:rsidRPr="00576E1A">
              <w:rPr>
                <w:webHidden/>
              </w:rPr>
              <w:fldChar w:fldCharType="separate"/>
            </w:r>
            <w:r w:rsidR="00761BB3">
              <w:rPr>
                <w:webHidden/>
              </w:rPr>
              <w:t>4</w:t>
            </w:r>
            <w:r w:rsidRPr="00576E1A">
              <w:rPr>
                <w:webHidden/>
              </w:rPr>
              <w:fldChar w:fldCharType="end"/>
            </w:r>
          </w:hyperlink>
        </w:p>
        <w:p w14:paraId="0C40BC34" w14:textId="15F3F5C2" w:rsidR="00576E1A" w:rsidRPr="00576E1A" w:rsidRDefault="00576E1A" w:rsidP="0043401C">
          <w:pPr>
            <w:pStyle w:val="TOC1"/>
          </w:pPr>
          <w:hyperlink w:anchor="_Toc214529453" w:history="1">
            <w:r w:rsidRPr="00576E1A">
              <w:rPr>
                <w:rStyle w:val="Hyperlink"/>
                <w:b w:val="0"/>
                <w:bCs w:val="0"/>
              </w:rPr>
              <w:t>2b. Global Value Chain Overview</w:t>
            </w:r>
            <w:r w:rsidRPr="00576E1A">
              <w:rPr>
                <w:webHidden/>
              </w:rPr>
              <w:tab/>
            </w:r>
            <w:r w:rsidRPr="00576E1A">
              <w:rPr>
                <w:webHidden/>
              </w:rPr>
              <w:fldChar w:fldCharType="begin"/>
            </w:r>
            <w:r w:rsidRPr="00576E1A">
              <w:rPr>
                <w:webHidden/>
              </w:rPr>
              <w:instrText xml:space="preserve"> PAGEREF _Toc214529453 \h </w:instrText>
            </w:r>
            <w:r w:rsidRPr="00576E1A">
              <w:rPr>
                <w:webHidden/>
              </w:rPr>
            </w:r>
            <w:r w:rsidRPr="00576E1A">
              <w:rPr>
                <w:webHidden/>
              </w:rPr>
              <w:fldChar w:fldCharType="separate"/>
            </w:r>
            <w:r w:rsidR="00761BB3">
              <w:rPr>
                <w:webHidden/>
              </w:rPr>
              <w:t>8</w:t>
            </w:r>
            <w:r w:rsidRPr="00576E1A">
              <w:rPr>
                <w:webHidden/>
              </w:rPr>
              <w:fldChar w:fldCharType="end"/>
            </w:r>
          </w:hyperlink>
        </w:p>
        <w:p w14:paraId="2A80C593" w14:textId="7FACE077" w:rsidR="00576E1A" w:rsidRPr="00576E1A" w:rsidRDefault="00576E1A" w:rsidP="0043401C">
          <w:pPr>
            <w:pStyle w:val="TOC1"/>
          </w:pPr>
          <w:hyperlink w:anchor="_Toc214529454" w:history="1">
            <w:r w:rsidRPr="00576E1A">
              <w:rPr>
                <w:rStyle w:val="Hyperlink"/>
                <w:b w:val="0"/>
                <w:bCs w:val="0"/>
              </w:rPr>
              <w:t>2c) Country’s Entry modes</w:t>
            </w:r>
            <w:r w:rsidRPr="00576E1A">
              <w:rPr>
                <w:webHidden/>
              </w:rPr>
              <w:tab/>
            </w:r>
            <w:r w:rsidRPr="00576E1A">
              <w:rPr>
                <w:webHidden/>
              </w:rPr>
              <w:fldChar w:fldCharType="begin"/>
            </w:r>
            <w:r w:rsidRPr="00576E1A">
              <w:rPr>
                <w:webHidden/>
              </w:rPr>
              <w:instrText xml:space="preserve"> PAGEREF _Toc214529454 \h </w:instrText>
            </w:r>
            <w:r w:rsidRPr="00576E1A">
              <w:rPr>
                <w:webHidden/>
              </w:rPr>
            </w:r>
            <w:r w:rsidRPr="00576E1A">
              <w:rPr>
                <w:webHidden/>
              </w:rPr>
              <w:fldChar w:fldCharType="separate"/>
            </w:r>
            <w:r w:rsidR="00761BB3">
              <w:rPr>
                <w:webHidden/>
              </w:rPr>
              <w:t>11</w:t>
            </w:r>
            <w:r w:rsidRPr="00576E1A">
              <w:rPr>
                <w:webHidden/>
              </w:rPr>
              <w:fldChar w:fldCharType="end"/>
            </w:r>
          </w:hyperlink>
        </w:p>
        <w:p w14:paraId="29285219" w14:textId="5CD56A3E" w:rsidR="00576E1A" w:rsidRPr="00576E1A" w:rsidRDefault="00576E1A" w:rsidP="0043401C">
          <w:pPr>
            <w:pStyle w:val="TOC1"/>
          </w:pPr>
          <w:hyperlink w:anchor="_Toc214529455" w:history="1">
            <w:r w:rsidRPr="00576E1A">
              <w:rPr>
                <w:rStyle w:val="Hyperlink"/>
                <w:b w:val="0"/>
                <w:bCs w:val="0"/>
              </w:rPr>
              <w:t>2d. Key benefits obtained by the company from its international operations</w:t>
            </w:r>
            <w:r w:rsidRPr="00576E1A">
              <w:rPr>
                <w:webHidden/>
              </w:rPr>
              <w:tab/>
            </w:r>
            <w:r w:rsidRPr="00576E1A">
              <w:rPr>
                <w:webHidden/>
              </w:rPr>
              <w:fldChar w:fldCharType="begin"/>
            </w:r>
            <w:r w:rsidRPr="00576E1A">
              <w:rPr>
                <w:webHidden/>
              </w:rPr>
              <w:instrText xml:space="preserve"> PAGEREF _Toc214529455 \h </w:instrText>
            </w:r>
            <w:r w:rsidRPr="00576E1A">
              <w:rPr>
                <w:webHidden/>
              </w:rPr>
            </w:r>
            <w:r w:rsidRPr="00576E1A">
              <w:rPr>
                <w:webHidden/>
              </w:rPr>
              <w:fldChar w:fldCharType="separate"/>
            </w:r>
            <w:r w:rsidR="00761BB3">
              <w:rPr>
                <w:webHidden/>
              </w:rPr>
              <w:t>12</w:t>
            </w:r>
            <w:r w:rsidRPr="00576E1A">
              <w:rPr>
                <w:webHidden/>
              </w:rPr>
              <w:fldChar w:fldCharType="end"/>
            </w:r>
          </w:hyperlink>
        </w:p>
        <w:p w14:paraId="0AE25DAE" w14:textId="1E735535" w:rsidR="00576E1A" w:rsidRPr="00576E1A" w:rsidRDefault="00576E1A" w:rsidP="0043401C">
          <w:pPr>
            <w:pStyle w:val="TOC1"/>
          </w:pPr>
          <w:hyperlink w:anchor="_Toc214529456" w:history="1">
            <w:r w:rsidRPr="00576E1A">
              <w:rPr>
                <w:rStyle w:val="Hyperlink"/>
              </w:rPr>
              <w:t>3. Volkswagen Group OLI factors (Ownership, Location and Internalisation)</w:t>
            </w:r>
            <w:r w:rsidRPr="00576E1A">
              <w:rPr>
                <w:webHidden/>
              </w:rPr>
              <w:tab/>
            </w:r>
            <w:r w:rsidRPr="00576E1A">
              <w:rPr>
                <w:webHidden/>
              </w:rPr>
              <w:fldChar w:fldCharType="begin"/>
            </w:r>
            <w:r w:rsidRPr="00576E1A">
              <w:rPr>
                <w:webHidden/>
              </w:rPr>
              <w:instrText xml:space="preserve"> PAGEREF _Toc214529456 \h </w:instrText>
            </w:r>
            <w:r w:rsidRPr="00576E1A">
              <w:rPr>
                <w:webHidden/>
              </w:rPr>
            </w:r>
            <w:r w:rsidRPr="00576E1A">
              <w:rPr>
                <w:webHidden/>
              </w:rPr>
              <w:fldChar w:fldCharType="separate"/>
            </w:r>
            <w:r w:rsidR="00761BB3">
              <w:rPr>
                <w:webHidden/>
              </w:rPr>
              <w:t>13</w:t>
            </w:r>
            <w:r w:rsidRPr="00576E1A">
              <w:rPr>
                <w:webHidden/>
              </w:rPr>
              <w:fldChar w:fldCharType="end"/>
            </w:r>
          </w:hyperlink>
        </w:p>
        <w:p w14:paraId="29309276" w14:textId="19EF532B" w:rsidR="00576E1A" w:rsidRPr="00576E1A" w:rsidRDefault="00576E1A" w:rsidP="0043401C">
          <w:pPr>
            <w:pStyle w:val="TOC1"/>
          </w:pPr>
          <w:hyperlink w:anchor="_Toc214529457" w:history="1">
            <w:r w:rsidRPr="00576E1A">
              <w:rPr>
                <w:rStyle w:val="Hyperlink"/>
                <w:b w:val="0"/>
                <w:bCs w:val="0"/>
              </w:rPr>
              <w:t>3.1. Ownership Advantages</w:t>
            </w:r>
            <w:r w:rsidRPr="00576E1A">
              <w:rPr>
                <w:webHidden/>
              </w:rPr>
              <w:tab/>
            </w:r>
            <w:r w:rsidRPr="00576E1A">
              <w:rPr>
                <w:webHidden/>
              </w:rPr>
              <w:fldChar w:fldCharType="begin"/>
            </w:r>
            <w:r w:rsidRPr="00576E1A">
              <w:rPr>
                <w:webHidden/>
              </w:rPr>
              <w:instrText xml:space="preserve"> PAGEREF _Toc214529457 \h </w:instrText>
            </w:r>
            <w:r w:rsidRPr="00576E1A">
              <w:rPr>
                <w:webHidden/>
              </w:rPr>
            </w:r>
            <w:r w:rsidRPr="00576E1A">
              <w:rPr>
                <w:webHidden/>
              </w:rPr>
              <w:fldChar w:fldCharType="separate"/>
            </w:r>
            <w:r w:rsidR="00761BB3">
              <w:rPr>
                <w:webHidden/>
              </w:rPr>
              <w:t>13</w:t>
            </w:r>
            <w:r w:rsidRPr="00576E1A">
              <w:rPr>
                <w:webHidden/>
              </w:rPr>
              <w:fldChar w:fldCharType="end"/>
            </w:r>
          </w:hyperlink>
        </w:p>
        <w:p w14:paraId="476F7FD3" w14:textId="66B42709" w:rsidR="00576E1A" w:rsidRPr="00576E1A" w:rsidRDefault="00576E1A" w:rsidP="0043401C">
          <w:pPr>
            <w:pStyle w:val="TOC1"/>
          </w:pPr>
          <w:hyperlink w:anchor="_Toc214529458" w:history="1">
            <w:r w:rsidRPr="00576E1A">
              <w:rPr>
                <w:rStyle w:val="Hyperlink"/>
                <w:b w:val="0"/>
                <w:bCs w:val="0"/>
              </w:rPr>
              <w:t>3.2 Location Advantages (labour cost, market size, infrastructure)</w:t>
            </w:r>
            <w:r w:rsidRPr="00576E1A">
              <w:rPr>
                <w:webHidden/>
              </w:rPr>
              <w:tab/>
            </w:r>
            <w:r w:rsidRPr="00576E1A">
              <w:rPr>
                <w:webHidden/>
              </w:rPr>
              <w:fldChar w:fldCharType="begin"/>
            </w:r>
            <w:r w:rsidRPr="00576E1A">
              <w:rPr>
                <w:webHidden/>
              </w:rPr>
              <w:instrText xml:space="preserve"> PAGEREF _Toc214529458 \h </w:instrText>
            </w:r>
            <w:r w:rsidRPr="00576E1A">
              <w:rPr>
                <w:webHidden/>
              </w:rPr>
            </w:r>
            <w:r w:rsidRPr="00576E1A">
              <w:rPr>
                <w:webHidden/>
              </w:rPr>
              <w:fldChar w:fldCharType="separate"/>
            </w:r>
            <w:r w:rsidR="00761BB3">
              <w:rPr>
                <w:webHidden/>
              </w:rPr>
              <w:t>15</w:t>
            </w:r>
            <w:r w:rsidRPr="00576E1A">
              <w:rPr>
                <w:webHidden/>
              </w:rPr>
              <w:fldChar w:fldCharType="end"/>
            </w:r>
          </w:hyperlink>
        </w:p>
        <w:p w14:paraId="1B879C05" w14:textId="1698309F" w:rsidR="00576E1A" w:rsidRPr="00576E1A" w:rsidRDefault="00576E1A" w:rsidP="0043401C">
          <w:pPr>
            <w:pStyle w:val="TOC1"/>
          </w:pPr>
          <w:hyperlink w:anchor="_Toc214529459" w:history="1">
            <w:r w:rsidRPr="00576E1A">
              <w:rPr>
                <w:rStyle w:val="Hyperlink"/>
                <w:b w:val="0"/>
                <w:bCs w:val="0"/>
              </w:rPr>
              <w:t>3.3 Internalisation Benefits (retaining control, avoiding leakage, managing quality)</w:t>
            </w:r>
            <w:r w:rsidRPr="00576E1A">
              <w:rPr>
                <w:webHidden/>
              </w:rPr>
              <w:tab/>
            </w:r>
            <w:r w:rsidRPr="00576E1A">
              <w:rPr>
                <w:webHidden/>
              </w:rPr>
              <w:fldChar w:fldCharType="begin"/>
            </w:r>
            <w:r w:rsidRPr="00576E1A">
              <w:rPr>
                <w:webHidden/>
              </w:rPr>
              <w:instrText xml:space="preserve"> PAGEREF _Toc214529459 \h </w:instrText>
            </w:r>
            <w:r w:rsidRPr="00576E1A">
              <w:rPr>
                <w:webHidden/>
              </w:rPr>
            </w:r>
            <w:r w:rsidRPr="00576E1A">
              <w:rPr>
                <w:webHidden/>
              </w:rPr>
              <w:fldChar w:fldCharType="separate"/>
            </w:r>
            <w:r w:rsidR="00761BB3">
              <w:rPr>
                <w:webHidden/>
              </w:rPr>
              <w:t>15</w:t>
            </w:r>
            <w:r w:rsidRPr="00576E1A">
              <w:rPr>
                <w:webHidden/>
              </w:rPr>
              <w:fldChar w:fldCharType="end"/>
            </w:r>
          </w:hyperlink>
        </w:p>
        <w:p w14:paraId="3C79218A" w14:textId="1DC6F2F2" w:rsidR="00576E1A" w:rsidRPr="00576E1A" w:rsidRDefault="00576E1A" w:rsidP="0043401C">
          <w:pPr>
            <w:pStyle w:val="TOC1"/>
          </w:pPr>
          <w:hyperlink w:anchor="_Toc214529460" w:history="1">
            <w:r w:rsidRPr="00576E1A">
              <w:rPr>
                <w:rStyle w:val="Hyperlink"/>
                <w:b w:val="0"/>
                <w:bCs w:val="0"/>
              </w:rPr>
              <w:t>3.4 Integrated Comparison of OLI Across Countries</w:t>
            </w:r>
            <w:r w:rsidRPr="00576E1A">
              <w:rPr>
                <w:webHidden/>
              </w:rPr>
              <w:tab/>
            </w:r>
            <w:r w:rsidRPr="00576E1A">
              <w:rPr>
                <w:webHidden/>
              </w:rPr>
              <w:fldChar w:fldCharType="begin"/>
            </w:r>
            <w:r w:rsidRPr="00576E1A">
              <w:rPr>
                <w:webHidden/>
              </w:rPr>
              <w:instrText xml:space="preserve"> PAGEREF _Toc214529460 \h </w:instrText>
            </w:r>
            <w:r w:rsidRPr="00576E1A">
              <w:rPr>
                <w:webHidden/>
              </w:rPr>
            </w:r>
            <w:r w:rsidRPr="00576E1A">
              <w:rPr>
                <w:webHidden/>
              </w:rPr>
              <w:fldChar w:fldCharType="separate"/>
            </w:r>
            <w:r w:rsidR="00761BB3">
              <w:rPr>
                <w:webHidden/>
              </w:rPr>
              <w:t>15</w:t>
            </w:r>
            <w:r w:rsidRPr="00576E1A">
              <w:rPr>
                <w:webHidden/>
              </w:rPr>
              <w:fldChar w:fldCharType="end"/>
            </w:r>
          </w:hyperlink>
        </w:p>
        <w:p w14:paraId="0E088E0B" w14:textId="2BC24F0D" w:rsidR="00576E1A" w:rsidRPr="00576E1A" w:rsidRDefault="00576E1A" w:rsidP="0043401C">
          <w:pPr>
            <w:pStyle w:val="TOC1"/>
          </w:pPr>
          <w:hyperlink w:anchor="_Toc214529461" w:history="1">
            <w:r w:rsidRPr="00576E1A">
              <w:rPr>
                <w:rStyle w:val="Hyperlink"/>
                <w:b w:val="0"/>
                <w:bCs w:val="0"/>
              </w:rPr>
              <w:t>3.5. Inter-country Relationship and Risk Link</w:t>
            </w:r>
            <w:r w:rsidRPr="00576E1A">
              <w:rPr>
                <w:webHidden/>
              </w:rPr>
              <w:tab/>
            </w:r>
            <w:r w:rsidRPr="00576E1A">
              <w:rPr>
                <w:webHidden/>
              </w:rPr>
              <w:fldChar w:fldCharType="begin"/>
            </w:r>
            <w:r w:rsidRPr="00576E1A">
              <w:rPr>
                <w:webHidden/>
              </w:rPr>
              <w:instrText xml:space="preserve"> PAGEREF _Toc214529461 \h </w:instrText>
            </w:r>
            <w:r w:rsidRPr="00576E1A">
              <w:rPr>
                <w:webHidden/>
              </w:rPr>
            </w:r>
            <w:r w:rsidRPr="00576E1A">
              <w:rPr>
                <w:webHidden/>
              </w:rPr>
              <w:fldChar w:fldCharType="separate"/>
            </w:r>
            <w:r w:rsidR="00761BB3">
              <w:rPr>
                <w:webHidden/>
              </w:rPr>
              <w:t>16</w:t>
            </w:r>
            <w:r w:rsidRPr="00576E1A">
              <w:rPr>
                <w:webHidden/>
              </w:rPr>
              <w:fldChar w:fldCharType="end"/>
            </w:r>
          </w:hyperlink>
        </w:p>
        <w:p w14:paraId="793DE67A" w14:textId="134FC187" w:rsidR="00576E1A" w:rsidRPr="00576E1A" w:rsidRDefault="00576E1A" w:rsidP="0043401C">
          <w:pPr>
            <w:pStyle w:val="TOC1"/>
          </w:pPr>
          <w:hyperlink w:anchor="_Toc214529462" w:history="1">
            <w:r w:rsidRPr="00576E1A">
              <w:rPr>
                <w:rStyle w:val="Hyperlink"/>
              </w:rPr>
              <w:t>4. Cultural Differences Between Germany and the host countries Influence Volkswagen’s Market Entry Strategy and Long-Term Success (1072 words)</w:t>
            </w:r>
            <w:r w:rsidRPr="00576E1A">
              <w:rPr>
                <w:webHidden/>
              </w:rPr>
              <w:tab/>
            </w:r>
            <w:r w:rsidRPr="00576E1A">
              <w:rPr>
                <w:webHidden/>
              </w:rPr>
              <w:fldChar w:fldCharType="begin"/>
            </w:r>
            <w:r w:rsidRPr="00576E1A">
              <w:rPr>
                <w:webHidden/>
              </w:rPr>
              <w:instrText xml:space="preserve"> PAGEREF _Toc214529462 \h </w:instrText>
            </w:r>
            <w:r w:rsidRPr="00576E1A">
              <w:rPr>
                <w:webHidden/>
              </w:rPr>
            </w:r>
            <w:r w:rsidRPr="00576E1A">
              <w:rPr>
                <w:webHidden/>
              </w:rPr>
              <w:fldChar w:fldCharType="separate"/>
            </w:r>
            <w:r w:rsidR="00761BB3">
              <w:rPr>
                <w:webHidden/>
              </w:rPr>
              <w:t>16</w:t>
            </w:r>
            <w:r w:rsidRPr="00576E1A">
              <w:rPr>
                <w:webHidden/>
              </w:rPr>
              <w:fldChar w:fldCharType="end"/>
            </w:r>
          </w:hyperlink>
        </w:p>
        <w:p w14:paraId="56BFD626" w14:textId="249BD8E3" w:rsidR="00576E1A" w:rsidRPr="00576E1A" w:rsidRDefault="00576E1A" w:rsidP="0043401C">
          <w:pPr>
            <w:pStyle w:val="TOC1"/>
          </w:pPr>
          <w:hyperlink w:anchor="_Toc214529463" w:history="1">
            <w:r w:rsidRPr="00576E1A">
              <w:rPr>
                <w:rStyle w:val="Hyperlink"/>
                <w:b w:val="0"/>
                <w:bCs w:val="0"/>
              </w:rPr>
              <w:t>4.1. Hofstede Culture dimensions</w:t>
            </w:r>
            <w:r w:rsidRPr="00576E1A">
              <w:rPr>
                <w:webHidden/>
              </w:rPr>
              <w:tab/>
            </w:r>
            <w:r w:rsidRPr="00576E1A">
              <w:rPr>
                <w:webHidden/>
              </w:rPr>
              <w:fldChar w:fldCharType="begin"/>
            </w:r>
            <w:r w:rsidRPr="00576E1A">
              <w:rPr>
                <w:webHidden/>
              </w:rPr>
              <w:instrText xml:space="preserve"> PAGEREF _Toc214529463 \h </w:instrText>
            </w:r>
            <w:r w:rsidRPr="00576E1A">
              <w:rPr>
                <w:webHidden/>
              </w:rPr>
            </w:r>
            <w:r w:rsidRPr="00576E1A">
              <w:rPr>
                <w:webHidden/>
              </w:rPr>
              <w:fldChar w:fldCharType="separate"/>
            </w:r>
            <w:r w:rsidR="00761BB3">
              <w:rPr>
                <w:webHidden/>
              </w:rPr>
              <w:t>16</w:t>
            </w:r>
            <w:r w:rsidRPr="00576E1A">
              <w:rPr>
                <w:webHidden/>
              </w:rPr>
              <w:fldChar w:fldCharType="end"/>
            </w:r>
          </w:hyperlink>
        </w:p>
        <w:p w14:paraId="18874527" w14:textId="09522DAC" w:rsidR="00576E1A" w:rsidRPr="00576E1A" w:rsidRDefault="00576E1A" w:rsidP="0043401C">
          <w:pPr>
            <w:pStyle w:val="TOC1"/>
          </w:pPr>
          <w:hyperlink w:anchor="_Toc214529464" w:history="1">
            <w:r w:rsidRPr="00576E1A">
              <w:rPr>
                <w:rStyle w:val="Hyperlink"/>
                <w:b w:val="0"/>
                <w:bCs w:val="0"/>
              </w:rPr>
              <w:t>4.2. Volkswagen's cross-country management, hiring, customer-service, and strategies for negotiation</w:t>
            </w:r>
            <w:r w:rsidR="0043401C">
              <w:rPr>
                <w:rStyle w:val="Hyperlink"/>
                <w:b w:val="0"/>
                <w:bCs w:val="0"/>
              </w:rPr>
              <w:t>.</w:t>
            </w:r>
            <w:r w:rsidRPr="00576E1A">
              <w:rPr>
                <w:webHidden/>
              </w:rPr>
              <w:tab/>
            </w:r>
            <w:r w:rsidRPr="00576E1A">
              <w:rPr>
                <w:webHidden/>
              </w:rPr>
              <w:fldChar w:fldCharType="begin"/>
            </w:r>
            <w:r w:rsidRPr="00576E1A">
              <w:rPr>
                <w:webHidden/>
              </w:rPr>
              <w:instrText xml:space="preserve"> PAGEREF _Toc214529464 \h </w:instrText>
            </w:r>
            <w:r w:rsidRPr="00576E1A">
              <w:rPr>
                <w:webHidden/>
              </w:rPr>
            </w:r>
            <w:r w:rsidRPr="00576E1A">
              <w:rPr>
                <w:webHidden/>
              </w:rPr>
              <w:fldChar w:fldCharType="separate"/>
            </w:r>
            <w:r w:rsidR="00761BB3">
              <w:rPr>
                <w:webHidden/>
              </w:rPr>
              <w:t>18</w:t>
            </w:r>
            <w:r w:rsidRPr="00576E1A">
              <w:rPr>
                <w:webHidden/>
              </w:rPr>
              <w:fldChar w:fldCharType="end"/>
            </w:r>
          </w:hyperlink>
        </w:p>
        <w:p w14:paraId="18749860" w14:textId="4B414B2E" w:rsidR="00576E1A" w:rsidRPr="00576E1A" w:rsidRDefault="00576E1A" w:rsidP="0043401C">
          <w:pPr>
            <w:pStyle w:val="TOC1"/>
          </w:pPr>
          <w:hyperlink w:anchor="_Toc214529465" w:history="1">
            <w:r w:rsidRPr="00576E1A">
              <w:rPr>
                <w:rStyle w:val="Hyperlink"/>
                <w:b w:val="0"/>
                <w:bCs w:val="0"/>
              </w:rPr>
              <w:t>4.3. Integrating Cultural Risks and Training for Entry Mode Success</w:t>
            </w:r>
            <w:r w:rsidRPr="00576E1A">
              <w:rPr>
                <w:webHidden/>
              </w:rPr>
              <w:tab/>
            </w:r>
            <w:r w:rsidRPr="00576E1A">
              <w:rPr>
                <w:webHidden/>
              </w:rPr>
              <w:fldChar w:fldCharType="begin"/>
            </w:r>
            <w:r w:rsidRPr="00576E1A">
              <w:rPr>
                <w:webHidden/>
              </w:rPr>
              <w:instrText xml:space="preserve"> PAGEREF _Toc214529465 \h </w:instrText>
            </w:r>
            <w:r w:rsidRPr="00576E1A">
              <w:rPr>
                <w:webHidden/>
              </w:rPr>
            </w:r>
            <w:r w:rsidRPr="00576E1A">
              <w:rPr>
                <w:webHidden/>
              </w:rPr>
              <w:fldChar w:fldCharType="separate"/>
            </w:r>
            <w:r w:rsidR="00761BB3">
              <w:rPr>
                <w:webHidden/>
              </w:rPr>
              <w:t>19</w:t>
            </w:r>
            <w:r w:rsidRPr="00576E1A">
              <w:rPr>
                <w:webHidden/>
              </w:rPr>
              <w:fldChar w:fldCharType="end"/>
            </w:r>
          </w:hyperlink>
        </w:p>
        <w:p w14:paraId="4C065EFC" w14:textId="0B8BFFD6" w:rsidR="00576E1A" w:rsidRPr="0043401C" w:rsidRDefault="00576E1A" w:rsidP="0043401C">
          <w:pPr>
            <w:pStyle w:val="TOC1"/>
          </w:pPr>
          <w:hyperlink w:anchor="_Toc214529466" w:history="1">
            <w:r w:rsidRPr="0043401C">
              <w:rPr>
                <w:rStyle w:val="Hyperlink"/>
              </w:rPr>
              <w:t xml:space="preserve">5. Volkswagen’s SOP Adjustments for Effective Operations Across Germany, Brazil, Slovakia and Morocco </w:t>
            </w:r>
            <w:r w:rsidRPr="0043401C">
              <w:rPr>
                <w:rStyle w:val="Hyperlink"/>
                <w:i/>
                <w:iCs/>
              </w:rPr>
              <w:t>(1208)</w:t>
            </w:r>
            <w:r w:rsidRPr="0043401C">
              <w:rPr>
                <w:webHidden/>
              </w:rPr>
              <w:tab/>
            </w:r>
            <w:r w:rsidRPr="0043401C">
              <w:rPr>
                <w:webHidden/>
              </w:rPr>
              <w:fldChar w:fldCharType="begin"/>
            </w:r>
            <w:r w:rsidRPr="0043401C">
              <w:rPr>
                <w:webHidden/>
              </w:rPr>
              <w:instrText xml:space="preserve"> PAGEREF _Toc214529466 \h </w:instrText>
            </w:r>
            <w:r w:rsidRPr="0043401C">
              <w:rPr>
                <w:webHidden/>
              </w:rPr>
            </w:r>
            <w:r w:rsidRPr="0043401C">
              <w:rPr>
                <w:webHidden/>
              </w:rPr>
              <w:fldChar w:fldCharType="separate"/>
            </w:r>
            <w:r w:rsidR="00761BB3">
              <w:rPr>
                <w:webHidden/>
              </w:rPr>
              <w:t>19</w:t>
            </w:r>
            <w:r w:rsidRPr="0043401C">
              <w:rPr>
                <w:webHidden/>
              </w:rPr>
              <w:fldChar w:fldCharType="end"/>
            </w:r>
          </w:hyperlink>
        </w:p>
        <w:p w14:paraId="2B76C7A9" w14:textId="011A21E5" w:rsidR="00576E1A" w:rsidRPr="00576E1A" w:rsidRDefault="00576E1A" w:rsidP="0043401C">
          <w:pPr>
            <w:pStyle w:val="TOC1"/>
          </w:pPr>
          <w:hyperlink w:anchor="_Toc214529467" w:history="1">
            <w:r w:rsidRPr="00576E1A">
              <w:rPr>
                <w:rStyle w:val="Hyperlink"/>
                <w:b w:val="0"/>
                <w:bCs w:val="0"/>
              </w:rPr>
              <w:t>5.1. SOP Implications of the SOP Gap Between Germany and VW’s Host Markets (Brazil, Slovakia, Morocco)</w:t>
            </w:r>
            <w:r w:rsidRPr="00576E1A">
              <w:rPr>
                <w:webHidden/>
              </w:rPr>
              <w:tab/>
            </w:r>
            <w:r w:rsidRPr="00576E1A">
              <w:rPr>
                <w:webHidden/>
              </w:rPr>
              <w:fldChar w:fldCharType="begin"/>
            </w:r>
            <w:r w:rsidRPr="00576E1A">
              <w:rPr>
                <w:webHidden/>
              </w:rPr>
              <w:instrText xml:space="preserve"> PAGEREF _Toc214529467 \h </w:instrText>
            </w:r>
            <w:r w:rsidRPr="00576E1A">
              <w:rPr>
                <w:webHidden/>
              </w:rPr>
            </w:r>
            <w:r w:rsidRPr="00576E1A">
              <w:rPr>
                <w:webHidden/>
              </w:rPr>
              <w:fldChar w:fldCharType="separate"/>
            </w:r>
            <w:r w:rsidR="00761BB3">
              <w:rPr>
                <w:webHidden/>
              </w:rPr>
              <w:t>20</w:t>
            </w:r>
            <w:r w:rsidRPr="00576E1A">
              <w:rPr>
                <w:webHidden/>
              </w:rPr>
              <w:fldChar w:fldCharType="end"/>
            </w:r>
          </w:hyperlink>
        </w:p>
        <w:p w14:paraId="06D65745" w14:textId="3D351324" w:rsidR="00576E1A" w:rsidRPr="00576E1A" w:rsidRDefault="00576E1A" w:rsidP="0043401C">
          <w:pPr>
            <w:pStyle w:val="TOC1"/>
          </w:pPr>
          <w:hyperlink w:anchor="_Toc214529468" w:history="1">
            <w:r w:rsidRPr="00576E1A">
              <w:rPr>
                <w:rStyle w:val="Hyperlink"/>
                <w:b w:val="0"/>
                <w:bCs w:val="0"/>
              </w:rPr>
              <w:t>5.2. Supplementary SOP Requirements: Environmental Reporting, Cultural Integration, and Market-Specific Branding</w:t>
            </w:r>
            <w:r w:rsidRPr="00576E1A">
              <w:rPr>
                <w:webHidden/>
              </w:rPr>
              <w:tab/>
            </w:r>
            <w:r w:rsidRPr="00576E1A">
              <w:rPr>
                <w:webHidden/>
              </w:rPr>
              <w:fldChar w:fldCharType="begin"/>
            </w:r>
            <w:r w:rsidRPr="00576E1A">
              <w:rPr>
                <w:webHidden/>
              </w:rPr>
              <w:instrText xml:space="preserve"> PAGEREF _Toc214529468 \h </w:instrText>
            </w:r>
            <w:r w:rsidRPr="00576E1A">
              <w:rPr>
                <w:webHidden/>
              </w:rPr>
            </w:r>
            <w:r w:rsidRPr="00576E1A">
              <w:rPr>
                <w:webHidden/>
              </w:rPr>
              <w:fldChar w:fldCharType="separate"/>
            </w:r>
            <w:r w:rsidR="00761BB3">
              <w:rPr>
                <w:webHidden/>
              </w:rPr>
              <w:t>22</w:t>
            </w:r>
            <w:r w:rsidRPr="00576E1A">
              <w:rPr>
                <w:webHidden/>
              </w:rPr>
              <w:fldChar w:fldCharType="end"/>
            </w:r>
          </w:hyperlink>
        </w:p>
        <w:p w14:paraId="67DEA05F" w14:textId="741C45D0" w:rsidR="00576E1A" w:rsidRPr="0043401C" w:rsidRDefault="00576E1A" w:rsidP="0043401C">
          <w:pPr>
            <w:pStyle w:val="TOC1"/>
          </w:pPr>
          <w:hyperlink w:anchor="_Toc214529469" w:history="1">
            <w:r w:rsidRPr="0043401C">
              <w:rPr>
                <w:rStyle w:val="Hyperlink"/>
              </w:rPr>
              <w:t>Conclusion</w:t>
            </w:r>
            <w:r w:rsidRPr="0043401C">
              <w:rPr>
                <w:webHidden/>
              </w:rPr>
              <w:tab/>
            </w:r>
            <w:r w:rsidRPr="0043401C">
              <w:rPr>
                <w:webHidden/>
              </w:rPr>
              <w:fldChar w:fldCharType="begin"/>
            </w:r>
            <w:r w:rsidRPr="0043401C">
              <w:rPr>
                <w:webHidden/>
              </w:rPr>
              <w:instrText xml:space="preserve"> PAGEREF _Toc214529469 \h </w:instrText>
            </w:r>
            <w:r w:rsidRPr="0043401C">
              <w:rPr>
                <w:webHidden/>
              </w:rPr>
            </w:r>
            <w:r w:rsidRPr="0043401C">
              <w:rPr>
                <w:webHidden/>
              </w:rPr>
              <w:fldChar w:fldCharType="separate"/>
            </w:r>
            <w:r w:rsidR="00761BB3">
              <w:rPr>
                <w:webHidden/>
              </w:rPr>
              <w:t>24</w:t>
            </w:r>
            <w:r w:rsidRPr="0043401C">
              <w:rPr>
                <w:webHidden/>
              </w:rPr>
              <w:fldChar w:fldCharType="end"/>
            </w:r>
          </w:hyperlink>
        </w:p>
        <w:p w14:paraId="62BB4017" w14:textId="18817DF0" w:rsidR="00576E1A" w:rsidRPr="0043401C" w:rsidRDefault="00576E1A" w:rsidP="0043401C">
          <w:pPr>
            <w:pStyle w:val="TOC1"/>
          </w:pPr>
          <w:hyperlink w:anchor="_Toc214529470" w:history="1">
            <w:r w:rsidRPr="0043401C">
              <w:rPr>
                <w:rStyle w:val="Hyperlink"/>
              </w:rPr>
              <w:t>Appendix 1. Operation Countries VW</w:t>
            </w:r>
            <w:r w:rsidRPr="0043401C">
              <w:rPr>
                <w:webHidden/>
              </w:rPr>
              <w:tab/>
            </w:r>
            <w:r w:rsidRPr="0043401C">
              <w:rPr>
                <w:webHidden/>
              </w:rPr>
              <w:fldChar w:fldCharType="begin"/>
            </w:r>
            <w:r w:rsidRPr="0043401C">
              <w:rPr>
                <w:webHidden/>
              </w:rPr>
              <w:instrText xml:space="preserve"> PAGEREF _Toc214529470 \h </w:instrText>
            </w:r>
            <w:r w:rsidRPr="0043401C">
              <w:rPr>
                <w:webHidden/>
              </w:rPr>
            </w:r>
            <w:r w:rsidRPr="0043401C">
              <w:rPr>
                <w:webHidden/>
              </w:rPr>
              <w:fldChar w:fldCharType="separate"/>
            </w:r>
            <w:r w:rsidR="00761BB3">
              <w:rPr>
                <w:webHidden/>
              </w:rPr>
              <w:t>25</w:t>
            </w:r>
            <w:r w:rsidRPr="0043401C">
              <w:rPr>
                <w:webHidden/>
              </w:rPr>
              <w:fldChar w:fldCharType="end"/>
            </w:r>
          </w:hyperlink>
        </w:p>
        <w:p w14:paraId="44969B8E" w14:textId="7142B063" w:rsidR="00576E1A" w:rsidRPr="0043401C" w:rsidRDefault="00576E1A" w:rsidP="0043401C">
          <w:pPr>
            <w:pStyle w:val="TOC1"/>
          </w:pPr>
          <w:hyperlink w:anchor="_Toc214529471" w:history="1">
            <w:r w:rsidRPr="0043401C">
              <w:rPr>
                <w:rStyle w:val="Hyperlink"/>
              </w:rPr>
              <w:t>Appendix 2. Entry Mode(s) and Theoretical Models</w:t>
            </w:r>
            <w:r w:rsidRPr="0043401C">
              <w:rPr>
                <w:webHidden/>
              </w:rPr>
              <w:tab/>
            </w:r>
            <w:r w:rsidRPr="0043401C">
              <w:rPr>
                <w:webHidden/>
              </w:rPr>
              <w:fldChar w:fldCharType="begin"/>
            </w:r>
            <w:r w:rsidRPr="0043401C">
              <w:rPr>
                <w:webHidden/>
              </w:rPr>
              <w:instrText xml:space="preserve"> PAGEREF _Toc214529471 \h </w:instrText>
            </w:r>
            <w:r w:rsidRPr="0043401C">
              <w:rPr>
                <w:webHidden/>
              </w:rPr>
            </w:r>
            <w:r w:rsidRPr="0043401C">
              <w:rPr>
                <w:webHidden/>
              </w:rPr>
              <w:fldChar w:fldCharType="separate"/>
            </w:r>
            <w:r w:rsidR="00761BB3">
              <w:rPr>
                <w:webHidden/>
              </w:rPr>
              <w:t>26</w:t>
            </w:r>
            <w:r w:rsidRPr="0043401C">
              <w:rPr>
                <w:webHidden/>
              </w:rPr>
              <w:fldChar w:fldCharType="end"/>
            </w:r>
          </w:hyperlink>
        </w:p>
        <w:p w14:paraId="60DA7153" w14:textId="0F2F7F2C" w:rsidR="00576E1A" w:rsidRPr="0043401C" w:rsidRDefault="00576E1A" w:rsidP="0043401C">
          <w:pPr>
            <w:pStyle w:val="TOC1"/>
          </w:pPr>
          <w:hyperlink w:anchor="_Toc214529472" w:history="1">
            <w:r w:rsidRPr="0043401C">
              <w:rPr>
                <w:rStyle w:val="Hyperlink"/>
              </w:rPr>
              <w:t>Appendix 3. Major Recommended SOP Adjustments for Volkswagen Group</w:t>
            </w:r>
            <w:r w:rsidRPr="0043401C">
              <w:rPr>
                <w:webHidden/>
              </w:rPr>
              <w:tab/>
            </w:r>
            <w:r w:rsidRPr="0043401C">
              <w:rPr>
                <w:webHidden/>
              </w:rPr>
              <w:fldChar w:fldCharType="begin"/>
            </w:r>
            <w:r w:rsidRPr="0043401C">
              <w:rPr>
                <w:webHidden/>
              </w:rPr>
              <w:instrText xml:space="preserve"> PAGEREF _Toc214529472 \h </w:instrText>
            </w:r>
            <w:r w:rsidRPr="0043401C">
              <w:rPr>
                <w:webHidden/>
              </w:rPr>
            </w:r>
            <w:r w:rsidRPr="0043401C">
              <w:rPr>
                <w:webHidden/>
              </w:rPr>
              <w:fldChar w:fldCharType="separate"/>
            </w:r>
            <w:r w:rsidR="00761BB3">
              <w:rPr>
                <w:webHidden/>
              </w:rPr>
              <w:t>29</w:t>
            </w:r>
            <w:r w:rsidRPr="0043401C">
              <w:rPr>
                <w:webHidden/>
              </w:rPr>
              <w:fldChar w:fldCharType="end"/>
            </w:r>
          </w:hyperlink>
        </w:p>
        <w:p w14:paraId="373A55B8" w14:textId="6830E902" w:rsidR="00576E1A" w:rsidRPr="0043401C" w:rsidRDefault="00576E1A" w:rsidP="0043401C">
          <w:pPr>
            <w:pStyle w:val="TOC1"/>
          </w:pPr>
          <w:hyperlink w:anchor="_Toc214529473" w:history="1">
            <w:r w:rsidRPr="0043401C">
              <w:rPr>
                <w:rStyle w:val="Hyperlink"/>
              </w:rPr>
              <w:t>Reference List</w:t>
            </w:r>
            <w:r w:rsidRPr="0043401C">
              <w:rPr>
                <w:webHidden/>
              </w:rPr>
              <w:tab/>
            </w:r>
            <w:r w:rsidRPr="0043401C">
              <w:rPr>
                <w:webHidden/>
              </w:rPr>
              <w:fldChar w:fldCharType="begin"/>
            </w:r>
            <w:r w:rsidRPr="0043401C">
              <w:rPr>
                <w:webHidden/>
              </w:rPr>
              <w:instrText xml:space="preserve"> PAGEREF _Toc214529473 \h </w:instrText>
            </w:r>
            <w:r w:rsidRPr="0043401C">
              <w:rPr>
                <w:webHidden/>
              </w:rPr>
            </w:r>
            <w:r w:rsidRPr="0043401C">
              <w:rPr>
                <w:webHidden/>
              </w:rPr>
              <w:fldChar w:fldCharType="separate"/>
            </w:r>
            <w:r w:rsidR="00761BB3">
              <w:rPr>
                <w:webHidden/>
              </w:rPr>
              <w:t>32</w:t>
            </w:r>
            <w:r w:rsidRPr="0043401C">
              <w:rPr>
                <w:webHidden/>
              </w:rPr>
              <w:fldChar w:fldCharType="end"/>
            </w:r>
          </w:hyperlink>
        </w:p>
        <w:p w14:paraId="7B456C1E" w14:textId="2057375E" w:rsidR="00576E1A" w:rsidRDefault="00576E1A">
          <w:r>
            <w:rPr>
              <w:b/>
              <w:bCs/>
            </w:rPr>
            <w:fldChar w:fldCharType="end"/>
          </w:r>
        </w:p>
      </w:sdtContent>
    </w:sdt>
    <w:p w14:paraId="4E4C6192" w14:textId="77777777" w:rsidR="0085729B" w:rsidRDefault="0085729B" w:rsidP="008F0FC3">
      <w:pPr>
        <w:spacing w:after="0" w:line="240" w:lineRule="auto"/>
        <w:ind w:firstLine="567"/>
        <w:jc w:val="center"/>
        <w:rPr>
          <w:sz w:val="20"/>
          <w:szCs w:val="20"/>
        </w:rPr>
      </w:pPr>
    </w:p>
    <w:p w14:paraId="6FC71AA7" w14:textId="77777777" w:rsidR="00D00AA2" w:rsidRDefault="00D00AA2" w:rsidP="008F0FC3">
      <w:pPr>
        <w:spacing w:after="0" w:line="240" w:lineRule="auto"/>
        <w:ind w:firstLine="567"/>
        <w:jc w:val="center"/>
        <w:rPr>
          <w:sz w:val="20"/>
          <w:szCs w:val="20"/>
        </w:rPr>
      </w:pPr>
    </w:p>
    <w:p w14:paraId="43737FD4" w14:textId="77777777" w:rsidR="00D00AA2" w:rsidRDefault="00D00AA2" w:rsidP="0034696A">
      <w:pPr>
        <w:spacing w:after="0" w:line="240" w:lineRule="auto"/>
        <w:ind w:firstLine="567"/>
        <w:jc w:val="both"/>
        <w:rPr>
          <w:sz w:val="20"/>
          <w:szCs w:val="20"/>
        </w:rPr>
      </w:pPr>
    </w:p>
    <w:p w14:paraId="124F0281" w14:textId="77777777" w:rsidR="00D00AA2" w:rsidRDefault="00D00AA2" w:rsidP="008F0FC3">
      <w:pPr>
        <w:spacing w:after="0" w:line="240" w:lineRule="auto"/>
        <w:ind w:firstLine="567"/>
        <w:jc w:val="center"/>
        <w:rPr>
          <w:sz w:val="20"/>
          <w:szCs w:val="20"/>
        </w:rPr>
      </w:pPr>
    </w:p>
    <w:p w14:paraId="6C0D1724" w14:textId="77777777" w:rsidR="00D00AA2" w:rsidRDefault="00D00AA2" w:rsidP="008F0FC3">
      <w:pPr>
        <w:spacing w:after="0" w:line="240" w:lineRule="auto"/>
        <w:ind w:firstLine="567"/>
        <w:jc w:val="center"/>
        <w:rPr>
          <w:sz w:val="20"/>
          <w:szCs w:val="20"/>
        </w:rPr>
      </w:pPr>
    </w:p>
    <w:p w14:paraId="54CCDE7D" w14:textId="77777777" w:rsidR="00D00AA2" w:rsidRDefault="00D00AA2" w:rsidP="008F0FC3">
      <w:pPr>
        <w:spacing w:after="0" w:line="240" w:lineRule="auto"/>
        <w:ind w:firstLine="567"/>
        <w:jc w:val="center"/>
        <w:rPr>
          <w:sz w:val="20"/>
          <w:szCs w:val="20"/>
        </w:rPr>
      </w:pPr>
    </w:p>
    <w:p w14:paraId="1E4262D8" w14:textId="77777777" w:rsidR="00D00AA2" w:rsidRDefault="00D00AA2" w:rsidP="008F0FC3">
      <w:pPr>
        <w:spacing w:after="0" w:line="240" w:lineRule="auto"/>
        <w:ind w:firstLine="567"/>
        <w:jc w:val="center"/>
        <w:rPr>
          <w:sz w:val="20"/>
          <w:szCs w:val="20"/>
        </w:rPr>
      </w:pPr>
    </w:p>
    <w:p w14:paraId="104F74E8" w14:textId="77777777" w:rsidR="00D00AA2" w:rsidRDefault="00D00AA2" w:rsidP="008F0FC3">
      <w:pPr>
        <w:spacing w:after="0" w:line="240" w:lineRule="auto"/>
        <w:ind w:firstLine="567"/>
        <w:jc w:val="center"/>
        <w:rPr>
          <w:sz w:val="20"/>
          <w:szCs w:val="20"/>
        </w:rPr>
      </w:pPr>
    </w:p>
    <w:p w14:paraId="54BE0A43" w14:textId="77777777" w:rsidR="00256CE2" w:rsidRDefault="00256CE2" w:rsidP="00576E1A">
      <w:pPr>
        <w:spacing w:after="0" w:line="360" w:lineRule="auto"/>
        <w:jc w:val="both"/>
        <w:rPr>
          <w:sz w:val="22"/>
          <w:szCs w:val="22"/>
        </w:rPr>
      </w:pPr>
    </w:p>
    <w:p w14:paraId="1AD2EDC1" w14:textId="77777777" w:rsidR="00C50DBE" w:rsidRDefault="00C50DBE" w:rsidP="008F0FC3">
      <w:pPr>
        <w:spacing w:after="0" w:line="360" w:lineRule="auto"/>
        <w:jc w:val="both"/>
        <w:rPr>
          <w:rFonts w:ascii="Arial" w:hAnsi="Arial" w:cs="Arial"/>
          <w:b/>
          <w:bCs/>
          <w:sz w:val="22"/>
          <w:szCs w:val="22"/>
        </w:rPr>
      </w:pPr>
    </w:p>
    <w:p w14:paraId="4E4D637B" w14:textId="12CA4AA4" w:rsidR="00071044" w:rsidRPr="007B79FC" w:rsidRDefault="0052597E" w:rsidP="007B79FC">
      <w:pPr>
        <w:pStyle w:val="Heading1"/>
        <w:spacing w:before="0" w:after="0" w:line="360" w:lineRule="auto"/>
        <w:rPr>
          <w:b/>
          <w:bCs/>
          <w:sz w:val="22"/>
          <w:szCs w:val="22"/>
        </w:rPr>
      </w:pPr>
      <w:bookmarkStart w:id="0" w:name="_Toc214529450"/>
      <w:r w:rsidRPr="007B79FC">
        <w:rPr>
          <w:b/>
          <w:bCs/>
          <w:sz w:val="22"/>
          <w:szCs w:val="22"/>
        </w:rPr>
        <w:lastRenderedPageBreak/>
        <w:t xml:space="preserve">1. </w:t>
      </w:r>
      <w:r w:rsidR="002E4E93" w:rsidRPr="007B79FC">
        <w:rPr>
          <w:b/>
          <w:bCs/>
          <w:sz w:val="22"/>
          <w:szCs w:val="22"/>
        </w:rPr>
        <w:t>Introduction</w:t>
      </w:r>
      <w:r w:rsidR="003C198B" w:rsidRPr="007B79FC">
        <w:rPr>
          <w:b/>
          <w:bCs/>
          <w:sz w:val="22"/>
          <w:szCs w:val="22"/>
        </w:rPr>
        <w:t xml:space="preserve"> </w:t>
      </w:r>
      <w:r w:rsidR="003C198B" w:rsidRPr="007B79FC">
        <w:rPr>
          <w:b/>
          <w:bCs/>
          <w:i/>
          <w:iCs/>
          <w:sz w:val="22"/>
          <w:szCs w:val="22"/>
        </w:rPr>
        <w:t>(147 words)</w:t>
      </w:r>
      <w:bookmarkEnd w:id="0"/>
    </w:p>
    <w:p w14:paraId="402F0752" w14:textId="77777777" w:rsidR="009D0880" w:rsidRPr="009D0880" w:rsidRDefault="009D0880" w:rsidP="009D0880">
      <w:pPr>
        <w:spacing w:after="0" w:line="360" w:lineRule="auto"/>
        <w:ind w:firstLine="567"/>
        <w:jc w:val="both"/>
        <w:rPr>
          <w:rFonts w:ascii="Arial" w:hAnsi="Arial" w:cs="Arial"/>
          <w:sz w:val="22"/>
          <w:szCs w:val="22"/>
        </w:rPr>
      </w:pPr>
      <w:r w:rsidRPr="009D0880">
        <w:rPr>
          <w:rFonts w:ascii="Arial" w:hAnsi="Arial" w:cs="Arial"/>
          <w:sz w:val="22"/>
          <w:szCs w:val="22"/>
        </w:rPr>
        <w:t>The company was established in 1937 by members of the German Labour Front, Paul A. Brinckmann, Alexander Halder, and Werner Boltz. The first models were manufactured in Wolfsburg in 1938, and civilian production resumed after the war. Wolfsburg, Germany is home to Volkswagen's headquarters, although the company has expanded into 112 facilities in Europe, the Americas, Asia, and Africa. Germany is still the Group's software, battery, and R&amp;D hub, but as you can see from Table 1, Brazil, Slovakia, and Morocco are becoming more strategic players. Such international connections are crucial, according to Volkswagen Group (2024), because sustained expansion requires bringing together disparate locations into a unified worldwide system. The combination of Germany's technological power with the size and efficiency of the EU in Slovakia's production and the growing distribution capacity in Morocco positions the company to better handle the fast-paced changes in the sector.</w:t>
      </w:r>
    </w:p>
    <w:p w14:paraId="37CB0875" w14:textId="77777777" w:rsidR="00256CE2" w:rsidRDefault="00256CE2" w:rsidP="001D60C7">
      <w:pPr>
        <w:spacing w:after="0" w:line="360" w:lineRule="auto"/>
        <w:ind w:firstLine="567"/>
        <w:jc w:val="both"/>
        <w:rPr>
          <w:rFonts w:ascii="Arial" w:hAnsi="Arial" w:cs="Arial"/>
          <w:sz w:val="22"/>
          <w:szCs w:val="22"/>
        </w:rPr>
      </w:pPr>
    </w:p>
    <w:p w14:paraId="435FCFC7" w14:textId="77777777" w:rsidR="009D0880" w:rsidRDefault="009D0880" w:rsidP="001D60C7">
      <w:pPr>
        <w:spacing w:after="0" w:line="360" w:lineRule="auto"/>
        <w:ind w:firstLine="567"/>
        <w:jc w:val="both"/>
        <w:rPr>
          <w:rFonts w:ascii="Arial" w:hAnsi="Arial" w:cs="Arial"/>
          <w:sz w:val="22"/>
          <w:szCs w:val="22"/>
        </w:rPr>
      </w:pPr>
    </w:p>
    <w:p w14:paraId="62F8C395" w14:textId="77777777" w:rsidR="009D0880" w:rsidRDefault="009D0880" w:rsidP="001D60C7">
      <w:pPr>
        <w:spacing w:after="0" w:line="360" w:lineRule="auto"/>
        <w:ind w:firstLine="567"/>
        <w:jc w:val="both"/>
        <w:rPr>
          <w:rFonts w:ascii="Arial" w:hAnsi="Arial" w:cs="Arial"/>
          <w:sz w:val="22"/>
          <w:szCs w:val="22"/>
        </w:rPr>
      </w:pPr>
    </w:p>
    <w:p w14:paraId="0AC70612" w14:textId="77777777" w:rsidR="009D0880" w:rsidRDefault="009D0880" w:rsidP="001D60C7">
      <w:pPr>
        <w:spacing w:after="0" w:line="360" w:lineRule="auto"/>
        <w:ind w:firstLine="567"/>
        <w:jc w:val="both"/>
        <w:rPr>
          <w:rFonts w:ascii="Arial" w:hAnsi="Arial" w:cs="Arial"/>
          <w:sz w:val="22"/>
          <w:szCs w:val="22"/>
        </w:rPr>
      </w:pPr>
    </w:p>
    <w:p w14:paraId="18197386" w14:textId="77777777" w:rsidR="009D0880" w:rsidRDefault="009D0880" w:rsidP="001D60C7">
      <w:pPr>
        <w:spacing w:after="0" w:line="360" w:lineRule="auto"/>
        <w:ind w:firstLine="567"/>
        <w:jc w:val="both"/>
        <w:rPr>
          <w:rFonts w:ascii="Arial" w:hAnsi="Arial" w:cs="Arial"/>
          <w:sz w:val="22"/>
          <w:szCs w:val="22"/>
        </w:rPr>
      </w:pPr>
    </w:p>
    <w:p w14:paraId="5A3C98C8" w14:textId="77777777" w:rsidR="009D0880" w:rsidRDefault="009D0880" w:rsidP="001D60C7">
      <w:pPr>
        <w:spacing w:after="0" w:line="360" w:lineRule="auto"/>
        <w:ind w:firstLine="567"/>
        <w:jc w:val="both"/>
        <w:rPr>
          <w:rFonts w:ascii="Arial" w:hAnsi="Arial" w:cs="Arial"/>
          <w:sz w:val="22"/>
          <w:szCs w:val="22"/>
        </w:rPr>
      </w:pPr>
    </w:p>
    <w:p w14:paraId="56FB09E3" w14:textId="77777777" w:rsidR="009D0880" w:rsidRDefault="009D0880" w:rsidP="001D60C7">
      <w:pPr>
        <w:spacing w:after="0" w:line="360" w:lineRule="auto"/>
        <w:ind w:firstLine="567"/>
        <w:jc w:val="both"/>
        <w:rPr>
          <w:rFonts w:ascii="Arial" w:hAnsi="Arial" w:cs="Arial"/>
          <w:sz w:val="22"/>
          <w:szCs w:val="22"/>
        </w:rPr>
      </w:pPr>
    </w:p>
    <w:p w14:paraId="4AD49659" w14:textId="77777777" w:rsidR="009D0880" w:rsidRDefault="009D0880" w:rsidP="001D60C7">
      <w:pPr>
        <w:spacing w:after="0" w:line="360" w:lineRule="auto"/>
        <w:ind w:firstLine="567"/>
        <w:jc w:val="both"/>
        <w:rPr>
          <w:rFonts w:ascii="Arial" w:hAnsi="Arial" w:cs="Arial"/>
          <w:sz w:val="22"/>
          <w:szCs w:val="22"/>
        </w:rPr>
      </w:pPr>
    </w:p>
    <w:p w14:paraId="75899234" w14:textId="77777777" w:rsidR="009D0880" w:rsidRDefault="009D0880" w:rsidP="001D60C7">
      <w:pPr>
        <w:spacing w:after="0" w:line="360" w:lineRule="auto"/>
        <w:ind w:firstLine="567"/>
        <w:jc w:val="both"/>
        <w:rPr>
          <w:rFonts w:ascii="Arial" w:hAnsi="Arial" w:cs="Arial"/>
          <w:sz w:val="22"/>
          <w:szCs w:val="22"/>
        </w:rPr>
      </w:pPr>
    </w:p>
    <w:p w14:paraId="4E7F979F" w14:textId="77777777" w:rsidR="009D0880" w:rsidRDefault="009D0880" w:rsidP="001D60C7">
      <w:pPr>
        <w:spacing w:after="0" w:line="360" w:lineRule="auto"/>
        <w:ind w:firstLine="567"/>
        <w:jc w:val="both"/>
        <w:rPr>
          <w:rFonts w:ascii="Arial" w:hAnsi="Arial" w:cs="Arial"/>
          <w:sz w:val="22"/>
          <w:szCs w:val="22"/>
        </w:rPr>
      </w:pPr>
    </w:p>
    <w:p w14:paraId="68571BE6" w14:textId="77777777" w:rsidR="009D0880" w:rsidRDefault="009D0880" w:rsidP="001D60C7">
      <w:pPr>
        <w:spacing w:after="0" w:line="360" w:lineRule="auto"/>
        <w:ind w:firstLine="567"/>
        <w:jc w:val="both"/>
        <w:rPr>
          <w:rFonts w:ascii="Arial" w:hAnsi="Arial" w:cs="Arial"/>
          <w:sz w:val="22"/>
          <w:szCs w:val="22"/>
        </w:rPr>
      </w:pPr>
    </w:p>
    <w:p w14:paraId="225D0B04" w14:textId="77777777" w:rsidR="00256CE2" w:rsidRDefault="00256CE2" w:rsidP="001D60C7">
      <w:pPr>
        <w:spacing w:after="0" w:line="360" w:lineRule="auto"/>
        <w:ind w:firstLine="567"/>
        <w:jc w:val="both"/>
        <w:rPr>
          <w:rFonts w:ascii="Arial" w:hAnsi="Arial" w:cs="Arial"/>
          <w:sz w:val="22"/>
          <w:szCs w:val="22"/>
        </w:rPr>
      </w:pPr>
    </w:p>
    <w:p w14:paraId="5EDE63F9" w14:textId="77777777" w:rsidR="00187D1C" w:rsidRDefault="00187D1C" w:rsidP="001D60C7">
      <w:pPr>
        <w:spacing w:after="0" w:line="360" w:lineRule="auto"/>
        <w:ind w:firstLine="567"/>
        <w:jc w:val="both"/>
        <w:rPr>
          <w:rFonts w:ascii="Arial" w:hAnsi="Arial" w:cs="Arial"/>
          <w:sz w:val="22"/>
          <w:szCs w:val="22"/>
        </w:rPr>
      </w:pPr>
    </w:p>
    <w:p w14:paraId="78D5800B" w14:textId="77777777" w:rsidR="00187D1C" w:rsidRDefault="00187D1C" w:rsidP="001D60C7">
      <w:pPr>
        <w:spacing w:after="0" w:line="360" w:lineRule="auto"/>
        <w:ind w:firstLine="567"/>
        <w:jc w:val="both"/>
        <w:rPr>
          <w:rFonts w:ascii="Arial" w:hAnsi="Arial" w:cs="Arial"/>
          <w:sz w:val="22"/>
          <w:szCs w:val="22"/>
        </w:rPr>
      </w:pPr>
    </w:p>
    <w:p w14:paraId="1A436ED4" w14:textId="77777777" w:rsidR="00187D1C" w:rsidRDefault="00187D1C" w:rsidP="001D60C7">
      <w:pPr>
        <w:spacing w:after="0" w:line="360" w:lineRule="auto"/>
        <w:ind w:firstLine="567"/>
        <w:jc w:val="both"/>
        <w:rPr>
          <w:rFonts w:ascii="Arial" w:hAnsi="Arial" w:cs="Arial"/>
          <w:sz w:val="22"/>
          <w:szCs w:val="22"/>
        </w:rPr>
      </w:pPr>
    </w:p>
    <w:p w14:paraId="1356BBC5" w14:textId="77777777" w:rsidR="00CD34DB" w:rsidRDefault="00CD34DB" w:rsidP="001D60C7">
      <w:pPr>
        <w:spacing w:after="0" w:line="360" w:lineRule="auto"/>
        <w:ind w:firstLine="567"/>
        <w:jc w:val="both"/>
        <w:rPr>
          <w:rFonts w:ascii="Arial" w:hAnsi="Arial" w:cs="Arial"/>
          <w:sz w:val="22"/>
          <w:szCs w:val="22"/>
        </w:rPr>
      </w:pPr>
    </w:p>
    <w:p w14:paraId="7A593BC9" w14:textId="77777777" w:rsidR="00CD34DB" w:rsidRDefault="00CD34DB" w:rsidP="001D60C7">
      <w:pPr>
        <w:spacing w:after="0" w:line="360" w:lineRule="auto"/>
        <w:ind w:firstLine="567"/>
        <w:jc w:val="both"/>
        <w:rPr>
          <w:rFonts w:ascii="Arial" w:hAnsi="Arial" w:cs="Arial"/>
          <w:sz w:val="22"/>
          <w:szCs w:val="22"/>
        </w:rPr>
      </w:pPr>
    </w:p>
    <w:p w14:paraId="549F0D83" w14:textId="77777777" w:rsidR="00CD34DB" w:rsidRDefault="00CD34DB" w:rsidP="001D60C7">
      <w:pPr>
        <w:spacing w:after="0" w:line="360" w:lineRule="auto"/>
        <w:ind w:firstLine="567"/>
        <w:jc w:val="both"/>
        <w:rPr>
          <w:rFonts w:ascii="Arial" w:hAnsi="Arial" w:cs="Arial"/>
          <w:sz w:val="22"/>
          <w:szCs w:val="22"/>
        </w:rPr>
      </w:pPr>
    </w:p>
    <w:p w14:paraId="58D70F6F" w14:textId="77777777" w:rsidR="00CD34DB" w:rsidRDefault="00CD34DB" w:rsidP="001D60C7">
      <w:pPr>
        <w:spacing w:after="0" w:line="360" w:lineRule="auto"/>
        <w:ind w:firstLine="567"/>
        <w:jc w:val="both"/>
        <w:rPr>
          <w:rFonts w:ascii="Arial" w:hAnsi="Arial" w:cs="Arial"/>
          <w:sz w:val="22"/>
          <w:szCs w:val="22"/>
        </w:rPr>
      </w:pPr>
    </w:p>
    <w:p w14:paraId="0D8C45F5" w14:textId="77777777" w:rsidR="00187D1C" w:rsidRDefault="00187D1C" w:rsidP="001D60C7">
      <w:pPr>
        <w:spacing w:after="0" w:line="360" w:lineRule="auto"/>
        <w:ind w:firstLine="567"/>
        <w:jc w:val="both"/>
        <w:rPr>
          <w:rFonts w:ascii="Arial" w:hAnsi="Arial" w:cs="Arial"/>
          <w:sz w:val="22"/>
          <w:szCs w:val="22"/>
        </w:rPr>
      </w:pPr>
    </w:p>
    <w:p w14:paraId="7F634988" w14:textId="77777777" w:rsidR="00187D1C" w:rsidRDefault="00187D1C" w:rsidP="001D60C7">
      <w:pPr>
        <w:spacing w:after="0" w:line="360" w:lineRule="auto"/>
        <w:ind w:firstLine="567"/>
        <w:jc w:val="both"/>
        <w:rPr>
          <w:rFonts w:ascii="Arial" w:hAnsi="Arial" w:cs="Arial"/>
          <w:sz w:val="22"/>
          <w:szCs w:val="22"/>
        </w:rPr>
      </w:pPr>
    </w:p>
    <w:p w14:paraId="3466D647" w14:textId="77777777" w:rsidR="00187D1C" w:rsidRDefault="00187D1C" w:rsidP="001D60C7">
      <w:pPr>
        <w:spacing w:after="0" w:line="360" w:lineRule="auto"/>
        <w:ind w:firstLine="567"/>
        <w:jc w:val="both"/>
        <w:rPr>
          <w:rFonts w:ascii="Arial" w:hAnsi="Arial" w:cs="Arial"/>
          <w:sz w:val="22"/>
          <w:szCs w:val="22"/>
        </w:rPr>
      </w:pPr>
    </w:p>
    <w:p w14:paraId="016D2E16" w14:textId="77777777" w:rsidR="000B3F17" w:rsidRDefault="000B3F17" w:rsidP="001D60C7">
      <w:pPr>
        <w:spacing w:after="0" w:line="360" w:lineRule="auto"/>
        <w:ind w:firstLine="567"/>
        <w:jc w:val="both"/>
        <w:rPr>
          <w:rFonts w:ascii="Arial" w:hAnsi="Arial" w:cs="Arial"/>
          <w:sz w:val="22"/>
          <w:szCs w:val="22"/>
        </w:rPr>
      </w:pPr>
    </w:p>
    <w:p w14:paraId="46A8A2A1" w14:textId="77777777" w:rsidR="00C956EB" w:rsidRDefault="00C956EB" w:rsidP="001D60C7">
      <w:pPr>
        <w:spacing w:after="0" w:line="360" w:lineRule="auto"/>
        <w:ind w:firstLine="567"/>
        <w:jc w:val="both"/>
        <w:rPr>
          <w:rFonts w:ascii="Arial" w:hAnsi="Arial" w:cs="Arial"/>
          <w:sz w:val="22"/>
          <w:szCs w:val="22"/>
        </w:rPr>
      </w:pPr>
    </w:p>
    <w:p w14:paraId="4F197FE4" w14:textId="77777777" w:rsidR="00C956EB" w:rsidRDefault="00C956EB" w:rsidP="001D60C7">
      <w:pPr>
        <w:spacing w:after="0" w:line="360" w:lineRule="auto"/>
        <w:ind w:firstLine="567"/>
        <w:jc w:val="both"/>
        <w:rPr>
          <w:rFonts w:ascii="Arial" w:hAnsi="Arial" w:cs="Arial"/>
          <w:sz w:val="22"/>
          <w:szCs w:val="22"/>
        </w:rPr>
      </w:pPr>
    </w:p>
    <w:p w14:paraId="270D409A" w14:textId="5CA42AFB" w:rsidR="00C956EB" w:rsidRPr="007B79FC" w:rsidRDefault="00EA06E6" w:rsidP="007B79FC">
      <w:pPr>
        <w:pStyle w:val="Heading1"/>
        <w:spacing w:before="0" w:after="0" w:line="360" w:lineRule="auto"/>
        <w:rPr>
          <w:b/>
          <w:bCs/>
          <w:sz w:val="22"/>
          <w:szCs w:val="22"/>
        </w:rPr>
      </w:pPr>
      <w:bookmarkStart w:id="1" w:name="_Toc214529451"/>
      <w:r w:rsidRPr="007B79FC">
        <w:rPr>
          <w:b/>
          <w:bCs/>
          <w:sz w:val="22"/>
          <w:szCs w:val="22"/>
        </w:rPr>
        <w:lastRenderedPageBreak/>
        <w:t>2. Benefits and Challenges of International Operations</w:t>
      </w:r>
      <w:r w:rsidR="003C198B" w:rsidRPr="007B79FC">
        <w:rPr>
          <w:b/>
          <w:bCs/>
          <w:sz w:val="22"/>
          <w:szCs w:val="22"/>
        </w:rPr>
        <w:t xml:space="preserve"> </w:t>
      </w:r>
      <w:r w:rsidR="003C198B" w:rsidRPr="007B79FC">
        <w:rPr>
          <w:b/>
          <w:bCs/>
          <w:i/>
          <w:iCs/>
          <w:sz w:val="22"/>
          <w:szCs w:val="22"/>
        </w:rPr>
        <w:t>(1466 words)</w:t>
      </w:r>
      <w:bookmarkEnd w:id="1"/>
    </w:p>
    <w:p w14:paraId="0A730275" w14:textId="258B41C3" w:rsidR="00F22656" w:rsidRDefault="00C741FC" w:rsidP="001D60C7">
      <w:pPr>
        <w:spacing w:after="0" w:line="360" w:lineRule="auto"/>
        <w:ind w:firstLine="567"/>
        <w:jc w:val="both"/>
        <w:rPr>
          <w:rFonts w:ascii="Arial" w:hAnsi="Arial" w:cs="Arial"/>
          <w:sz w:val="22"/>
          <w:szCs w:val="22"/>
        </w:rPr>
      </w:pPr>
      <w:r w:rsidRPr="00C741FC">
        <w:rPr>
          <w:rFonts w:ascii="Arial" w:hAnsi="Arial" w:cs="Arial"/>
          <w:sz w:val="22"/>
          <w:szCs w:val="22"/>
        </w:rPr>
        <w:t xml:space="preserve">The classic instance of how worldwide development can be both a gain and problematic </w:t>
      </w:r>
      <w:r w:rsidR="00590AD5" w:rsidRPr="00C741FC">
        <w:rPr>
          <w:rFonts w:ascii="Arial" w:hAnsi="Arial" w:cs="Arial"/>
          <w:sz w:val="22"/>
          <w:szCs w:val="22"/>
        </w:rPr>
        <w:t>are</w:t>
      </w:r>
      <w:r w:rsidRPr="00C741FC">
        <w:rPr>
          <w:rFonts w:ascii="Arial" w:hAnsi="Arial" w:cs="Arial"/>
          <w:sz w:val="22"/>
          <w:szCs w:val="22"/>
        </w:rPr>
        <w:t xml:space="preserve"> Volkswagen's ability in navigating different markets.</w:t>
      </w:r>
    </w:p>
    <w:p w14:paraId="325F34E8" w14:textId="4CC7C3BC" w:rsidR="00590AD5" w:rsidRPr="007B79FC" w:rsidRDefault="00590AD5" w:rsidP="007B79FC">
      <w:pPr>
        <w:pStyle w:val="Heading1"/>
        <w:spacing w:before="0" w:after="0" w:line="360" w:lineRule="auto"/>
        <w:rPr>
          <w:b/>
          <w:bCs/>
          <w:sz w:val="22"/>
          <w:szCs w:val="22"/>
        </w:rPr>
      </w:pPr>
      <w:bookmarkStart w:id="2" w:name="_Toc214529452"/>
      <w:r w:rsidRPr="007B79FC">
        <w:rPr>
          <w:b/>
          <w:bCs/>
          <w:sz w:val="22"/>
          <w:szCs w:val="22"/>
        </w:rPr>
        <w:t>2a. Why Volkswagen Is an MNC/TNC</w:t>
      </w:r>
      <w:bookmarkEnd w:id="2"/>
    </w:p>
    <w:p w14:paraId="100A4046" w14:textId="141405BC" w:rsidR="008C1EB4" w:rsidRPr="008C1EB4" w:rsidRDefault="00487DDC" w:rsidP="009D03B9">
      <w:pPr>
        <w:spacing w:after="0" w:line="360" w:lineRule="auto"/>
        <w:ind w:firstLine="567"/>
        <w:jc w:val="both"/>
        <w:rPr>
          <w:rFonts w:ascii="Arial" w:hAnsi="Arial" w:cs="Arial"/>
          <w:sz w:val="22"/>
          <w:szCs w:val="22"/>
        </w:rPr>
      </w:pPr>
      <w:r w:rsidRPr="00487DDC">
        <w:rPr>
          <w:rFonts w:ascii="Arial" w:hAnsi="Arial" w:cs="Arial"/>
          <w:sz w:val="22"/>
          <w:szCs w:val="22"/>
        </w:rPr>
        <w:t xml:space="preserve">Volkswagen, </w:t>
      </w:r>
      <w:r w:rsidR="009D03B9" w:rsidRPr="00487DDC">
        <w:rPr>
          <w:rFonts w:ascii="Arial" w:hAnsi="Arial" w:cs="Arial"/>
          <w:sz w:val="22"/>
          <w:szCs w:val="22"/>
        </w:rPr>
        <w:t>like</w:t>
      </w:r>
      <w:r w:rsidRPr="00487DDC">
        <w:rPr>
          <w:rFonts w:ascii="Arial" w:hAnsi="Arial" w:cs="Arial"/>
          <w:sz w:val="22"/>
          <w:szCs w:val="22"/>
        </w:rPr>
        <w:t xml:space="preserve"> a typical multinational corporation (operating in 152 countries—see Appendix 1 for the complete list of countries), would be exceedingly dependent if it </w:t>
      </w:r>
      <w:r w:rsidR="00A8057D" w:rsidRPr="00487DDC">
        <w:rPr>
          <w:rFonts w:ascii="Arial" w:hAnsi="Arial" w:cs="Arial"/>
          <w:sz w:val="22"/>
          <w:szCs w:val="22"/>
        </w:rPr>
        <w:t>relies</w:t>
      </w:r>
      <w:r w:rsidRPr="00487DDC">
        <w:rPr>
          <w:rFonts w:ascii="Arial" w:hAnsi="Arial" w:cs="Arial"/>
          <w:sz w:val="22"/>
          <w:szCs w:val="22"/>
        </w:rPr>
        <w:t xml:space="preserve"> solely on a single national market.</w:t>
      </w:r>
      <w:r w:rsidR="009D03B9">
        <w:rPr>
          <w:rFonts w:ascii="Arial" w:hAnsi="Arial" w:cs="Arial"/>
          <w:sz w:val="22"/>
          <w:szCs w:val="22"/>
        </w:rPr>
        <w:t xml:space="preserve"> </w:t>
      </w:r>
      <w:r w:rsidR="008C1EB4" w:rsidRPr="008C1EB4">
        <w:rPr>
          <w:rFonts w:ascii="Arial" w:hAnsi="Arial" w:cs="Arial"/>
          <w:sz w:val="22"/>
          <w:szCs w:val="22"/>
        </w:rPr>
        <w:t>With its high-tech industries, software hubs, and battery centres, Germany is the Group's core component. However, relying just on this expensive environment would limit our long-term flexibility (Deresky, 2020). It need new growth engines for the system in case Germany tightens any further due to cost or regulatory challenges. Brazil is important because it offers scale and localisation that Germany cannot in a market where demand is always changing. However, this equilibrium will only persist provided the efficiency benefits are not diminished by Brazil's unpredictable weather.</w:t>
      </w:r>
      <w:r w:rsidR="008C1EB4" w:rsidRPr="008C1EB4">
        <w:rPr>
          <w:rFonts w:ascii="Arial" w:hAnsi="Arial" w:cs="Arial"/>
          <w:sz w:val="22"/>
          <w:szCs w:val="22"/>
        </w:rPr>
        <w:br/>
        <w:t>At the same time, Slovakia stabilises the connection between low-cost industries and the integrated value chains of the European Union. Its ability to efficiently assemble models helps to mitigate disruptions in other areas. To further fortify the system's resilience, Morocco can expand its distribution and assembly base, which will allow it to fortify its access to North and West Africa</w:t>
      </w:r>
      <w:r w:rsidR="00200EC2">
        <w:rPr>
          <w:rFonts w:ascii="Arial" w:hAnsi="Arial" w:cs="Arial"/>
          <w:sz w:val="22"/>
          <w:szCs w:val="22"/>
        </w:rPr>
        <w:t xml:space="preserve"> - table 1</w:t>
      </w:r>
      <w:r w:rsidR="008C1EB4" w:rsidRPr="008C1EB4">
        <w:rPr>
          <w:rFonts w:ascii="Arial" w:hAnsi="Arial" w:cs="Arial"/>
          <w:sz w:val="22"/>
          <w:szCs w:val="22"/>
        </w:rPr>
        <w:t xml:space="preserve"> (Volkswagen Group, 2024).</w:t>
      </w:r>
    </w:p>
    <w:p w14:paraId="324B86DF" w14:textId="77777777" w:rsidR="00067410" w:rsidRDefault="00067410" w:rsidP="007A2DBF">
      <w:pPr>
        <w:spacing w:after="0" w:line="360" w:lineRule="auto"/>
        <w:ind w:firstLine="567"/>
        <w:jc w:val="both"/>
        <w:rPr>
          <w:rFonts w:ascii="Arial" w:hAnsi="Arial" w:cs="Arial"/>
          <w:sz w:val="22"/>
          <w:szCs w:val="22"/>
        </w:rPr>
      </w:pPr>
    </w:p>
    <w:p w14:paraId="0DB6BBC4" w14:textId="77777777" w:rsidR="00067410" w:rsidRDefault="00067410" w:rsidP="007A2DBF">
      <w:pPr>
        <w:spacing w:after="0" w:line="360" w:lineRule="auto"/>
        <w:ind w:firstLine="567"/>
        <w:jc w:val="both"/>
        <w:rPr>
          <w:rFonts w:ascii="Arial" w:hAnsi="Arial" w:cs="Arial"/>
          <w:sz w:val="22"/>
          <w:szCs w:val="22"/>
        </w:rPr>
      </w:pPr>
    </w:p>
    <w:p w14:paraId="693326ED" w14:textId="77777777" w:rsidR="00067410" w:rsidRDefault="00067410" w:rsidP="007A2DBF">
      <w:pPr>
        <w:spacing w:after="0" w:line="360" w:lineRule="auto"/>
        <w:ind w:firstLine="567"/>
        <w:jc w:val="both"/>
        <w:rPr>
          <w:rFonts w:ascii="Arial" w:hAnsi="Arial" w:cs="Arial"/>
          <w:sz w:val="22"/>
          <w:szCs w:val="22"/>
        </w:rPr>
      </w:pPr>
    </w:p>
    <w:p w14:paraId="60CCFC17" w14:textId="77777777" w:rsidR="00067410" w:rsidRDefault="00067410" w:rsidP="007A2DBF">
      <w:pPr>
        <w:spacing w:after="0" w:line="360" w:lineRule="auto"/>
        <w:ind w:firstLine="567"/>
        <w:jc w:val="both"/>
        <w:rPr>
          <w:rFonts w:ascii="Arial" w:hAnsi="Arial" w:cs="Arial"/>
          <w:sz w:val="22"/>
          <w:szCs w:val="22"/>
        </w:rPr>
      </w:pPr>
    </w:p>
    <w:p w14:paraId="377F19BD" w14:textId="77777777" w:rsidR="00067410" w:rsidRDefault="00067410" w:rsidP="007A2DBF">
      <w:pPr>
        <w:spacing w:after="0" w:line="360" w:lineRule="auto"/>
        <w:ind w:firstLine="567"/>
        <w:jc w:val="both"/>
        <w:rPr>
          <w:rFonts w:ascii="Arial" w:hAnsi="Arial" w:cs="Arial"/>
          <w:sz w:val="22"/>
          <w:szCs w:val="22"/>
        </w:rPr>
      </w:pPr>
    </w:p>
    <w:p w14:paraId="2677AAAE" w14:textId="77777777" w:rsidR="00067410" w:rsidRDefault="00067410" w:rsidP="007A2DBF">
      <w:pPr>
        <w:spacing w:after="0" w:line="360" w:lineRule="auto"/>
        <w:ind w:firstLine="567"/>
        <w:jc w:val="both"/>
        <w:rPr>
          <w:rFonts w:ascii="Arial" w:hAnsi="Arial" w:cs="Arial"/>
          <w:sz w:val="22"/>
          <w:szCs w:val="22"/>
        </w:rPr>
      </w:pPr>
    </w:p>
    <w:p w14:paraId="1FB25019" w14:textId="77777777" w:rsidR="00067410" w:rsidRDefault="00067410" w:rsidP="007A2DBF">
      <w:pPr>
        <w:spacing w:after="0" w:line="360" w:lineRule="auto"/>
        <w:ind w:firstLine="567"/>
        <w:jc w:val="both"/>
        <w:rPr>
          <w:rFonts w:ascii="Arial" w:hAnsi="Arial" w:cs="Arial"/>
          <w:sz w:val="22"/>
          <w:szCs w:val="22"/>
        </w:rPr>
      </w:pPr>
    </w:p>
    <w:p w14:paraId="1C00F821" w14:textId="77777777" w:rsidR="00067410" w:rsidRDefault="00067410" w:rsidP="007A2DBF">
      <w:pPr>
        <w:spacing w:after="0" w:line="360" w:lineRule="auto"/>
        <w:ind w:firstLine="567"/>
        <w:jc w:val="both"/>
        <w:rPr>
          <w:rFonts w:ascii="Arial" w:hAnsi="Arial" w:cs="Arial"/>
          <w:sz w:val="22"/>
          <w:szCs w:val="22"/>
        </w:rPr>
      </w:pPr>
    </w:p>
    <w:p w14:paraId="4BD4A4E9" w14:textId="77777777" w:rsidR="00067410" w:rsidRDefault="00067410" w:rsidP="007A2DBF">
      <w:pPr>
        <w:spacing w:after="0" w:line="360" w:lineRule="auto"/>
        <w:ind w:firstLine="567"/>
        <w:jc w:val="both"/>
        <w:rPr>
          <w:rFonts w:ascii="Arial" w:hAnsi="Arial" w:cs="Arial"/>
          <w:sz w:val="22"/>
          <w:szCs w:val="22"/>
        </w:rPr>
      </w:pPr>
    </w:p>
    <w:p w14:paraId="0444C507" w14:textId="77777777" w:rsidR="00067410" w:rsidRDefault="00067410" w:rsidP="00AC1247">
      <w:pPr>
        <w:spacing w:after="0" w:line="360" w:lineRule="auto"/>
        <w:jc w:val="both"/>
        <w:rPr>
          <w:rFonts w:ascii="Arial" w:hAnsi="Arial" w:cs="Arial"/>
          <w:sz w:val="22"/>
          <w:szCs w:val="22"/>
        </w:rPr>
      </w:pPr>
    </w:p>
    <w:p w14:paraId="71684CB2" w14:textId="77777777" w:rsidR="00AC1247" w:rsidRDefault="00AC1247" w:rsidP="00AC1247">
      <w:pPr>
        <w:spacing w:after="0" w:line="360" w:lineRule="auto"/>
        <w:jc w:val="both"/>
        <w:rPr>
          <w:rFonts w:ascii="Arial" w:hAnsi="Arial" w:cs="Arial"/>
          <w:sz w:val="22"/>
          <w:szCs w:val="22"/>
        </w:rPr>
      </w:pPr>
    </w:p>
    <w:p w14:paraId="150FF213" w14:textId="77777777" w:rsidR="00067410" w:rsidRDefault="00067410" w:rsidP="007A2DBF">
      <w:pPr>
        <w:spacing w:after="0" w:line="360" w:lineRule="auto"/>
        <w:ind w:firstLine="567"/>
        <w:jc w:val="both"/>
        <w:rPr>
          <w:rFonts w:ascii="Arial" w:hAnsi="Arial" w:cs="Arial"/>
          <w:sz w:val="22"/>
          <w:szCs w:val="22"/>
        </w:rPr>
      </w:pPr>
    </w:p>
    <w:p w14:paraId="320B4BFA" w14:textId="77777777" w:rsidR="008C1EB4" w:rsidRDefault="008C1EB4" w:rsidP="007A2DBF">
      <w:pPr>
        <w:spacing w:after="0" w:line="360" w:lineRule="auto"/>
        <w:ind w:firstLine="567"/>
        <w:jc w:val="both"/>
        <w:rPr>
          <w:rFonts w:ascii="Arial" w:hAnsi="Arial" w:cs="Arial"/>
          <w:sz w:val="22"/>
          <w:szCs w:val="22"/>
        </w:rPr>
      </w:pPr>
    </w:p>
    <w:p w14:paraId="07B5B8A9" w14:textId="77777777" w:rsidR="008C1EB4" w:rsidRDefault="008C1EB4" w:rsidP="007A2DBF">
      <w:pPr>
        <w:spacing w:after="0" w:line="360" w:lineRule="auto"/>
        <w:ind w:firstLine="567"/>
        <w:jc w:val="both"/>
        <w:rPr>
          <w:rFonts w:ascii="Arial" w:hAnsi="Arial" w:cs="Arial"/>
          <w:sz w:val="22"/>
          <w:szCs w:val="22"/>
        </w:rPr>
      </w:pPr>
    </w:p>
    <w:p w14:paraId="1BC3DE8C" w14:textId="77777777" w:rsidR="008C1EB4" w:rsidRDefault="008C1EB4" w:rsidP="007A2DBF">
      <w:pPr>
        <w:spacing w:after="0" w:line="360" w:lineRule="auto"/>
        <w:ind w:firstLine="567"/>
        <w:jc w:val="both"/>
        <w:rPr>
          <w:rFonts w:ascii="Arial" w:hAnsi="Arial" w:cs="Arial"/>
          <w:sz w:val="22"/>
          <w:szCs w:val="22"/>
        </w:rPr>
      </w:pPr>
    </w:p>
    <w:p w14:paraId="0303D473" w14:textId="77777777" w:rsidR="008C1EB4" w:rsidRDefault="008C1EB4" w:rsidP="007A2DBF">
      <w:pPr>
        <w:spacing w:after="0" w:line="360" w:lineRule="auto"/>
        <w:ind w:firstLine="567"/>
        <w:jc w:val="both"/>
        <w:rPr>
          <w:rFonts w:ascii="Arial" w:hAnsi="Arial" w:cs="Arial"/>
          <w:sz w:val="22"/>
          <w:szCs w:val="22"/>
        </w:rPr>
      </w:pPr>
    </w:p>
    <w:p w14:paraId="009E5C8A" w14:textId="77777777" w:rsidR="008C1EB4" w:rsidRDefault="008C1EB4" w:rsidP="009D03B9">
      <w:pPr>
        <w:spacing w:after="0" w:line="360" w:lineRule="auto"/>
        <w:jc w:val="both"/>
        <w:rPr>
          <w:rFonts w:ascii="Arial" w:hAnsi="Arial" w:cs="Arial"/>
          <w:sz w:val="22"/>
          <w:szCs w:val="22"/>
        </w:rPr>
      </w:pPr>
    </w:p>
    <w:p w14:paraId="74C74D06" w14:textId="77777777" w:rsidR="008C1EB4" w:rsidRPr="007A2DBF" w:rsidRDefault="008C1EB4" w:rsidP="007A2DBF">
      <w:pPr>
        <w:spacing w:after="0" w:line="360" w:lineRule="auto"/>
        <w:ind w:firstLine="567"/>
        <w:jc w:val="both"/>
        <w:rPr>
          <w:rFonts w:ascii="Arial" w:hAnsi="Arial" w:cs="Arial"/>
          <w:sz w:val="22"/>
          <w:szCs w:val="22"/>
        </w:rPr>
      </w:pPr>
    </w:p>
    <w:p w14:paraId="6D30DBB2" w14:textId="10DF789C" w:rsidR="002C5A07" w:rsidRPr="00990A4B" w:rsidRDefault="002C5A07" w:rsidP="002C5A07">
      <w:pPr>
        <w:spacing w:after="0" w:line="360" w:lineRule="auto"/>
        <w:ind w:firstLine="567"/>
        <w:jc w:val="both"/>
        <w:rPr>
          <w:rFonts w:ascii="Arial" w:hAnsi="Arial" w:cs="Arial"/>
          <w:sz w:val="16"/>
          <w:szCs w:val="16"/>
        </w:rPr>
      </w:pPr>
    </w:p>
    <w:p w14:paraId="493CA632" w14:textId="65CF343D" w:rsidR="009B2AFB" w:rsidRDefault="00990A4B" w:rsidP="00990A4B">
      <w:pPr>
        <w:spacing w:after="0" w:line="360" w:lineRule="auto"/>
        <w:jc w:val="center"/>
        <w:rPr>
          <w:rFonts w:ascii="Arial" w:hAnsi="Arial" w:cs="Arial"/>
          <w:sz w:val="20"/>
          <w:szCs w:val="20"/>
        </w:rPr>
      </w:pPr>
      <w:r w:rsidRPr="00990A4B">
        <w:rPr>
          <w:rFonts w:ascii="Arial" w:hAnsi="Arial" w:cs="Arial"/>
          <w:sz w:val="20"/>
          <w:szCs w:val="20"/>
        </w:rPr>
        <w:lastRenderedPageBreak/>
        <w:t>Table 1. Volkswagen Group – Presence Across the Four Selected Economies</w:t>
      </w:r>
      <w:r w:rsidR="00D97677">
        <w:rPr>
          <w:rFonts w:ascii="Arial" w:hAnsi="Arial" w:cs="Arial"/>
          <w:sz w:val="20"/>
          <w:szCs w:val="20"/>
        </w:rPr>
        <w:t xml:space="preserve"> 2024</w:t>
      </w:r>
    </w:p>
    <w:p w14:paraId="69A8AEF3" w14:textId="6597F27E" w:rsidR="00AB55E5" w:rsidRDefault="00717D6B" w:rsidP="00040AA2">
      <w:pPr>
        <w:spacing w:after="0" w:line="360" w:lineRule="auto"/>
        <w:jc w:val="center"/>
        <w:rPr>
          <w:rFonts w:ascii="Arial" w:hAnsi="Arial" w:cs="Arial"/>
          <w:sz w:val="20"/>
          <w:szCs w:val="20"/>
        </w:rPr>
      </w:pPr>
      <w:r w:rsidRPr="00717D6B">
        <w:rPr>
          <w:rFonts w:ascii="Arial" w:hAnsi="Arial" w:cs="Arial"/>
          <w:noProof/>
          <w:sz w:val="20"/>
          <w:szCs w:val="20"/>
        </w:rPr>
        <w:drawing>
          <wp:inline distT="0" distB="0" distL="0" distR="0" wp14:anchorId="7A09FC8C" wp14:editId="3FA10DBC">
            <wp:extent cx="6035040" cy="8575927"/>
            <wp:effectExtent l="0" t="0" r="3810" b="0"/>
            <wp:docPr id="248520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520127" name=""/>
                    <pic:cNvPicPr/>
                  </pic:nvPicPr>
                  <pic:blipFill>
                    <a:blip r:embed="rId9"/>
                    <a:stretch>
                      <a:fillRect/>
                    </a:stretch>
                  </pic:blipFill>
                  <pic:spPr>
                    <a:xfrm>
                      <a:off x="0" y="0"/>
                      <a:ext cx="6047726" cy="8593954"/>
                    </a:xfrm>
                    <a:prstGeom prst="rect">
                      <a:avLst/>
                    </a:prstGeom>
                  </pic:spPr>
                </pic:pic>
              </a:graphicData>
            </a:graphic>
          </wp:inline>
        </w:drawing>
      </w:r>
    </w:p>
    <w:p w14:paraId="1C575E2D" w14:textId="482D25F6" w:rsidR="00AB55E5" w:rsidRDefault="00AB55E5" w:rsidP="00990A4B">
      <w:pPr>
        <w:spacing w:after="0" w:line="360" w:lineRule="auto"/>
        <w:jc w:val="center"/>
        <w:rPr>
          <w:rFonts w:ascii="Arial" w:hAnsi="Arial" w:cs="Arial"/>
          <w:sz w:val="20"/>
          <w:szCs w:val="20"/>
        </w:rPr>
      </w:pPr>
    </w:p>
    <w:p w14:paraId="38EFB515" w14:textId="11235594" w:rsidR="00AB55E5" w:rsidRDefault="00C042B8" w:rsidP="00990A4B">
      <w:pPr>
        <w:spacing w:after="0" w:line="360" w:lineRule="auto"/>
        <w:jc w:val="center"/>
        <w:rPr>
          <w:rFonts w:ascii="Arial" w:hAnsi="Arial" w:cs="Arial"/>
          <w:sz w:val="20"/>
          <w:szCs w:val="20"/>
        </w:rPr>
      </w:pPr>
      <w:r>
        <w:rPr>
          <w:noProof/>
        </w:rPr>
        <w:drawing>
          <wp:inline distT="0" distB="0" distL="0" distR="0" wp14:anchorId="1396C0AC" wp14:editId="5EBD0C38">
            <wp:extent cx="5835532" cy="8571506"/>
            <wp:effectExtent l="0" t="0" r="0" b="1270"/>
            <wp:docPr id="3" name="Picture 2" descr="User 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 upload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4471" cy="8599324"/>
                    </a:xfrm>
                    <a:prstGeom prst="rect">
                      <a:avLst/>
                    </a:prstGeom>
                    <a:noFill/>
                    <a:ln>
                      <a:noFill/>
                    </a:ln>
                  </pic:spPr>
                </pic:pic>
              </a:graphicData>
            </a:graphic>
          </wp:inline>
        </w:drawing>
      </w:r>
    </w:p>
    <w:p w14:paraId="20DC687A" w14:textId="0354D6F0" w:rsidR="009B2AFB" w:rsidRDefault="0076357C" w:rsidP="00EA27B8">
      <w:pPr>
        <w:spacing w:after="0" w:line="360" w:lineRule="auto"/>
        <w:jc w:val="center"/>
        <w:rPr>
          <w:rFonts w:ascii="Arial" w:hAnsi="Arial" w:cs="Arial"/>
          <w:sz w:val="20"/>
          <w:szCs w:val="20"/>
        </w:rPr>
      </w:pPr>
      <w:r w:rsidRPr="0076357C">
        <w:rPr>
          <w:rFonts w:ascii="Arial" w:hAnsi="Arial" w:cs="Arial"/>
          <w:noProof/>
          <w:sz w:val="20"/>
          <w:szCs w:val="20"/>
        </w:rPr>
        <w:lastRenderedPageBreak/>
        <w:drawing>
          <wp:inline distT="0" distB="0" distL="0" distR="0" wp14:anchorId="15887128" wp14:editId="272C409A">
            <wp:extent cx="5731510" cy="5783580"/>
            <wp:effectExtent l="0" t="0" r="2540" b="7620"/>
            <wp:docPr id="727155425" name="Picture 4" descr="User 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 upload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783580"/>
                    </a:xfrm>
                    <a:prstGeom prst="rect">
                      <a:avLst/>
                    </a:prstGeom>
                    <a:noFill/>
                    <a:ln>
                      <a:noFill/>
                    </a:ln>
                  </pic:spPr>
                </pic:pic>
              </a:graphicData>
            </a:graphic>
          </wp:inline>
        </w:drawing>
      </w:r>
    </w:p>
    <w:p w14:paraId="6C25D3D2" w14:textId="77777777" w:rsidR="00F17B0A" w:rsidRDefault="00F17B0A" w:rsidP="00F17B0A">
      <w:pPr>
        <w:jc w:val="center"/>
        <w:rPr>
          <w:rFonts w:ascii="Arial" w:hAnsi="Arial" w:cs="Arial"/>
          <w:i/>
          <w:iCs/>
          <w:sz w:val="20"/>
          <w:szCs w:val="20"/>
        </w:rPr>
      </w:pPr>
      <w:r w:rsidRPr="00F17B0A">
        <w:rPr>
          <w:rFonts w:ascii="Arial" w:hAnsi="Arial" w:cs="Arial"/>
          <w:i/>
          <w:iCs/>
          <w:sz w:val="20"/>
          <w:szCs w:val="20"/>
        </w:rPr>
        <w:t>(Source: Created by author from Volkswagen Group Annual Report, 2024)</w:t>
      </w:r>
    </w:p>
    <w:p w14:paraId="6F76B28E" w14:textId="77777777" w:rsidR="00815E7B" w:rsidRPr="00F17B0A" w:rsidRDefault="00815E7B" w:rsidP="00815E7B">
      <w:pPr>
        <w:spacing w:after="0" w:line="360" w:lineRule="auto"/>
        <w:jc w:val="center"/>
        <w:rPr>
          <w:rFonts w:ascii="Arial" w:hAnsi="Arial" w:cs="Arial"/>
          <w:sz w:val="16"/>
          <w:szCs w:val="16"/>
        </w:rPr>
      </w:pPr>
    </w:p>
    <w:p w14:paraId="7B94E624" w14:textId="565F2C36" w:rsidR="00C956EB" w:rsidRDefault="002C5A07" w:rsidP="002C5A07">
      <w:pPr>
        <w:spacing w:after="0" w:line="360" w:lineRule="auto"/>
        <w:ind w:firstLine="567"/>
        <w:jc w:val="both"/>
        <w:rPr>
          <w:rFonts w:ascii="Arial" w:hAnsi="Arial" w:cs="Arial"/>
          <w:sz w:val="22"/>
          <w:szCs w:val="22"/>
        </w:rPr>
      </w:pPr>
      <w:r w:rsidRPr="002C5A07">
        <w:rPr>
          <w:rFonts w:ascii="Arial" w:hAnsi="Arial" w:cs="Arial"/>
          <w:sz w:val="22"/>
          <w:szCs w:val="22"/>
        </w:rPr>
        <w:t xml:space="preserve"> </w:t>
      </w:r>
      <w:r w:rsidR="00FA6F2C" w:rsidRPr="00FA6F2C">
        <w:rPr>
          <w:rFonts w:ascii="Arial" w:hAnsi="Arial" w:cs="Arial"/>
          <w:sz w:val="22"/>
          <w:szCs w:val="22"/>
        </w:rPr>
        <w:t xml:space="preserve">Why the relationship between these places is crucial to Volkswagen's growth is shown by the numerical differences in Table 1:  The strategic significance of Germany's 490,000 vehicle and 5.2 million component innovation base depends on the assistance it receives from large-scale manufacturing in Brazil (over 194,000 cars), production streams in Slovakia that are connected with the EU, and an increasing distribution network in Morocco.  The ability of Volkswagen to integrate its geographically scattered capabilities into </w:t>
      </w:r>
      <w:r w:rsidR="00975F8F">
        <w:rPr>
          <w:rFonts w:ascii="Arial" w:hAnsi="Arial" w:cs="Arial"/>
          <w:sz w:val="22"/>
          <w:szCs w:val="22"/>
        </w:rPr>
        <w:t>a global value chain depends</w:t>
      </w:r>
      <w:r w:rsidR="00FA6F2C" w:rsidRPr="00FA6F2C">
        <w:rPr>
          <w:rFonts w:ascii="Arial" w:hAnsi="Arial" w:cs="Arial"/>
          <w:sz w:val="22"/>
          <w:szCs w:val="22"/>
        </w:rPr>
        <w:t xml:space="preserve"> on the efficiency with which the company manages this international system (Sloman, 2019</w:t>
      </w:r>
      <w:r w:rsidR="00DD769A">
        <w:rPr>
          <w:rFonts w:ascii="Arial" w:hAnsi="Arial" w:cs="Arial"/>
          <w:sz w:val="22"/>
          <w:szCs w:val="22"/>
        </w:rPr>
        <w:t xml:space="preserve">, </w:t>
      </w:r>
      <w:r w:rsidR="00DD769A" w:rsidRPr="00DD769A">
        <w:rPr>
          <w:rFonts w:ascii="Arial" w:hAnsi="Arial" w:cs="Arial"/>
          <w:sz w:val="22"/>
          <w:szCs w:val="22"/>
        </w:rPr>
        <w:t xml:space="preserve">Volkswagen do </w:t>
      </w:r>
      <w:r w:rsidR="00DC194D" w:rsidRPr="00DD769A">
        <w:rPr>
          <w:rFonts w:ascii="Arial" w:hAnsi="Arial" w:cs="Arial"/>
          <w:sz w:val="22"/>
          <w:szCs w:val="22"/>
        </w:rPr>
        <w:t>Brazil</w:t>
      </w:r>
      <w:r w:rsidR="00DD769A" w:rsidRPr="00DD769A">
        <w:rPr>
          <w:rFonts w:ascii="Arial" w:hAnsi="Arial" w:cs="Arial"/>
          <w:sz w:val="22"/>
          <w:szCs w:val="22"/>
        </w:rPr>
        <w:t>, 2025</w:t>
      </w:r>
      <w:r w:rsidR="00FA6F2C" w:rsidRPr="00FA6F2C">
        <w:rPr>
          <w:rFonts w:ascii="Arial" w:hAnsi="Arial" w:cs="Arial"/>
          <w:sz w:val="22"/>
          <w:szCs w:val="22"/>
        </w:rPr>
        <w:t>).</w:t>
      </w:r>
    </w:p>
    <w:p w14:paraId="39854977" w14:textId="77777777" w:rsidR="005B5EB2" w:rsidRDefault="005B5EB2" w:rsidP="002C5A07">
      <w:pPr>
        <w:spacing w:after="0" w:line="360" w:lineRule="auto"/>
        <w:ind w:firstLine="567"/>
        <w:jc w:val="both"/>
        <w:rPr>
          <w:rFonts w:ascii="Arial" w:hAnsi="Arial" w:cs="Arial"/>
          <w:sz w:val="22"/>
          <w:szCs w:val="22"/>
        </w:rPr>
      </w:pPr>
    </w:p>
    <w:p w14:paraId="0B66E074" w14:textId="77777777" w:rsidR="005B5EB2" w:rsidRDefault="005B5EB2" w:rsidP="002C5A07">
      <w:pPr>
        <w:spacing w:after="0" w:line="360" w:lineRule="auto"/>
        <w:ind w:firstLine="567"/>
        <w:jc w:val="both"/>
        <w:rPr>
          <w:rFonts w:ascii="Arial" w:hAnsi="Arial" w:cs="Arial"/>
          <w:sz w:val="22"/>
          <w:szCs w:val="22"/>
        </w:rPr>
      </w:pPr>
    </w:p>
    <w:p w14:paraId="394D3BFE" w14:textId="1FD93A80" w:rsidR="00C956EB" w:rsidRPr="007B79FC" w:rsidRDefault="00021009" w:rsidP="007B79FC">
      <w:pPr>
        <w:pStyle w:val="Heading1"/>
        <w:spacing w:before="0" w:after="0" w:line="360" w:lineRule="auto"/>
        <w:rPr>
          <w:b/>
          <w:bCs/>
          <w:sz w:val="22"/>
          <w:szCs w:val="22"/>
        </w:rPr>
      </w:pPr>
      <w:bookmarkStart w:id="3" w:name="_Toc214529453"/>
      <w:r w:rsidRPr="007B79FC">
        <w:rPr>
          <w:b/>
          <w:bCs/>
          <w:sz w:val="22"/>
          <w:szCs w:val="22"/>
        </w:rPr>
        <w:lastRenderedPageBreak/>
        <w:t>2b. Global Value Chain Overview</w:t>
      </w:r>
      <w:bookmarkEnd w:id="3"/>
    </w:p>
    <w:p w14:paraId="128CDE90" w14:textId="323756C2" w:rsidR="00C956EB" w:rsidRDefault="00E86A90" w:rsidP="001D60C7">
      <w:pPr>
        <w:spacing w:after="0" w:line="360" w:lineRule="auto"/>
        <w:ind w:firstLine="567"/>
        <w:jc w:val="both"/>
        <w:rPr>
          <w:rFonts w:ascii="Arial" w:hAnsi="Arial" w:cs="Arial"/>
          <w:sz w:val="22"/>
          <w:szCs w:val="22"/>
        </w:rPr>
      </w:pPr>
      <w:r w:rsidRPr="00E86A90">
        <w:rPr>
          <w:rFonts w:ascii="Arial" w:hAnsi="Arial" w:cs="Arial"/>
          <w:sz w:val="22"/>
          <w:szCs w:val="22"/>
        </w:rPr>
        <w:t xml:space="preserve">VW's worldwide value chain shows how effective cross-country integration of R&amp;D, procurement, manufacturing, logistics, sales, and financing gives a competitive edge.  Table 2 summarises these 2024 activities in Germany, Brazil, Slovakia, and Morocco, </w:t>
      </w:r>
      <w:r w:rsidR="00D945D2">
        <w:rPr>
          <w:rFonts w:ascii="Arial" w:hAnsi="Arial" w:cs="Arial"/>
          <w:sz w:val="22"/>
          <w:szCs w:val="22"/>
        </w:rPr>
        <w:t>highlighting their distinct yet interacting</w:t>
      </w:r>
      <w:r w:rsidRPr="00E86A90">
        <w:rPr>
          <w:rFonts w:ascii="Arial" w:hAnsi="Arial" w:cs="Arial"/>
          <w:sz w:val="22"/>
          <w:szCs w:val="22"/>
        </w:rPr>
        <w:t xml:space="preserve"> functions</w:t>
      </w:r>
      <w:r w:rsidR="00EF0D78">
        <w:rPr>
          <w:rFonts w:ascii="Arial" w:hAnsi="Arial" w:cs="Arial"/>
          <w:sz w:val="22"/>
          <w:szCs w:val="22"/>
        </w:rPr>
        <w:t xml:space="preserve"> (</w:t>
      </w:r>
      <w:r w:rsidR="00EF0D78" w:rsidRPr="00EF0D78">
        <w:rPr>
          <w:rFonts w:ascii="Arial" w:hAnsi="Arial" w:cs="Arial"/>
          <w:sz w:val="22"/>
          <w:szCs w:val="22"/>
        </w:rPr>
        <w:t>Deresky, 2016)</w:t>
      </w:r>
      <w:r w:rsidR="000E45E1">
        <w:rPr>
          <w:rFonts w:ascii="Arial" w:hAnsi="Arial" w:cs="Arial"/>
          <w:sz w:val="22"/>
          <w:szCs w:val="22"/>
        </w:rPr>
        <w:t xml:space="preserve">. </w:t>
      </w:r>
    </w:p>
    <w:p w14:paraId="3C4C4528" w14:textId="77777777" w:rsidR="00761BAB" w:rsidRPr="00761BAB" w:rsidRDefault="00761BAB" w:rsidP="001D60C7">
      <w:pPr>
        <w:spacing w:after="0" w:line="360" w:lineRule="auto"/>
        <w:ind w:firstLine="567"/>
        <w:jc w:val="both"/>
        <w:rPr>
          <w:rFonts w:ascii="Arial" w:hAnsi="Arial" w:cs="Arial"/>
          <w:sz w:val="16"/>
          <w:szCs w:val="16"/>
        </w:rPr>
      </w:pPr>
    </w:p>
    <w:p w14:paraId="71F1055D" w14:textId="769D1858" w:rsidR="00C95062" w:rsidRDefault="00761BAB" w:rsidP="00DF791A">
      <w:pPr>
        <w:spacing w:after="0" w:line="360" w:lineRule="auto"/>
        <w:jc w:val="center"/>
        <w:rPr>
          <w:rFonts w:ascii="Arial" w:hAnsi="Arial" w:cs="Arial"/>
          <w:sz w:val="20"/>
          <w:szCs w:val="20"/>
        </w:rPr>
      </w:pPr>
      <w:r w:rsidRPr="00761BAB">
        <w:rPr>
          <w:rFonts w:ascii="Arial" w:hAnsi="Arial" w:cs="Arial"/>
          <w:sz w:val="20"/>
          <w:szCs w:val="20"/>
        </w:rPr>
        <w:t>Table 2</w:t>
      </w:r>
      <w:r w:rsidR="00F17B0A">
        <w:rPr>
          <w:rFonts w:ascii="Arial" w:hAnsi="Arial" w:cs="Arial"/>
          <w:sz w:val="20"/>
          <w:szCs w:val="20"/>
        </w:rPr>
        <w:t xml:space="preserve">. </w:t>
      </w:r>
      <w:r w:rsidRPr="00761BAB">
        <w:rPr>
          <w:rFonts w:ascii="Arial" w:hAnsi="Arial" w:cs="Arial"/>
          <w:sz w:val="20"/>
          <w:szCs w:val="20"/>
        </w:rPr>
        <w:t>2024 Value Chain Breakdown by Country</w:t>
      </w:r>
    </w:p>
    <w:p w14:paraId="043FDF1D" w14:textId="696F2D9B" w:rsidR="00EC2D2F" w:rsidRDefault="00EC2D2F" w:rsidP="00F17B0A">
      <w:pPr>
        <w:spacing w:after="0" w:line="360" w:lineRule="auto"/>
        <w:jc w:val="center"/>
        <w:rPr>
          <w:rFonts w:ascii="Arial" w:hAnsi="Arial" w:cs="Arial"/>
          <w:i/>
          <w:iCs/>
          <w:sz w:val="20"/>
          <w:szCs w:val="20"/>
        </w:rPr>
      </w:pPr>
      <w:bookmarkStart w:id="4" w:name="_Hlk213940254"/>
      <w:r w:rsidRPr="00EC2D2F">
        <w:rPr>
          <w:rFonts w:ascii="Arial" w:hAnsi="Arial" w:cs="Arial"/>
          <w:i/>
          <w:iCs/>
          <w:noProof/>
          <w:sz w:val="20"/>
          <w:szCs w:val="20"/>
        </w:rPr>
        <w:drawing>
          <wp:inline distT="0" distB="0" distL="0" distR="0" wp14:anchorId="69358845" wp14:editId="4E573A1C">
            <wp:extent cx="5225143" cy="5092064"/>
            <wp:effectExtent l="0" t="0" r="0" b="0"/>
            <wp:docPr id="1750861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861486" name=""/>
                    <pic:cNvPicPr/>
                  </pic:nvPicPr>
                  <pic:blipFill>
                    <a:blip r:embed="rId12"/>
                    <a:stretch>
                      <a:fillRect/>
                    </a:stretch>
                  </pic:blipFill>
                  <pic:spPr>
                    <a:xfrm>
                      <a:off x="0" y="0"/>
                      <a:ext cx="5249170" cy="5115479"/>
                    </a:xfrm>
                    <a:prstGeom prst="rect">
                      <a:avLst/>
                    </a:prstGeom>
                  </pic:spPr>
                </pic:pic>
              </a:graphicData>
            </a:graphic>
          </wp:inline>
        </w:drawing>
      </w:r>
    </w:p>
    <w:p w14:paraId="072B9B85" w14:textId="3E5CAC04" w:rsidR="00F17B0A" w:rsidRPr="00F17B0A" w:rsidRDefault="00F17B0A" w:rsidP="00F17B0A">
      <w:pPr>
        <w:spacing w:after="0" w:line="360" w:lineRule="auto"/>
        <w:jc w:val="center"/>
        <w:rPr>
          <w:rFonts w:ascii="Arial" w:hAnsi="Arial" w:cs="Arial"/>
          <w:i/>
          <w:iCs/>
          <w:sz w:val="20"/>
          <w:szCs w:val="20"/>
        </w:rPr>
      </w:pPr>
      <w:r w:rsidRPr="00F17B0A">
        <w:rPr>
          <w:rFonts w:ascii="Arial" w:hAnsi="Arial" w:cs="Arial"/>
          <w:i/>
          <w:iCs/>
          <w:sz w:val="20"/>
          <w:szCs w:val="20"/>
        </w:rPr>
        <w:t>(Source: Created by author from Volkswagen Group Annual Report, 2024)</w:t>
      </w:r>
    </w:p>
    <w:bookmarkEnd w:id="4"/>
    <w:p w14:paraId="2EF9E45C" w14:textId="77777777" w:rsidR="00F17B0A" w:rsidRPr="006D5FEB" w:rsidRDefault="00F17B0A" w:rsidP="00F17B0A">
      <w:pPr>
        <w:spacing w:after="0" w:line="360" w:lineRule="auto"/>
        <w:jc w:val="center"/>
        <w:rPr>
          <w:rFonts w:ascii="Arial" w:hAnsi="Arial" w:cs="Arial"/>
          <w:sz w:val="16"/>
          <w:szCs w:val="16"/>
        </w:rPr>
      </w:pPr>
    </w:p>
    <w:p w14:paraId="24CA8A58" w14:textId="6B71F8BF" w:rsidR="006D5FEB" w:rsidRPr="006D5FEB" w:rsidRDefault="006D5FEB" w:rsidP="006D5FEB">
      <w:pPr>
        <w:spacing w:after="0" w:line="360" w:lineRule="auto"/>
        <w:ind w:firstLine="567"/>
        <w:jc w:val="both"/>
        <w:rPr>
          <w:rFonts w:ascii="Arial" w:hAnsi="Arial" w:cs="Arial"/>
          <w:sz w:val="22"/>
          <w:szCs w:val="22"/>
        </w:rPr>
      </w:pPr>
      <w:r w:rsidRPr="006D5FEB">
        <w:rPr>
          <w:rFonts w:ascii="Arial" w:hAnsi="Arial" w:cs="Arial"/>
          <w:sz w:val="22"/>
          <w:szCs w:val="22"/>
        </w:rPr>
        <w:t xml:space="preserve">The inter-regional reinforcement of a company's strengths is more important than its isolated strengths in determining its resilience.  Although Volkswagen benefits from Germany's €185 billion procurement base and €21 billion R&amp;D spend, this advantage is only meaningful if it is seamlessly integrated into global production networks (Volkswagen Group, 2024).  German high-cost infrastructure can't handle every regulatory or market shock, which is why Brazil is so important.  Brazilian volume-driven production, as seen by an 8% rise in deliveries </w:t>
      </w:r>
      <w:r w:rsidRPr="006D5FEB">
        <w:rPr>
          <w:rFonts w:ascii="Arial" w:hAnsi="Arial" w:cs="Arial"/>
          <w:sz w:val="22"/>
          <w:szCs w:val="22"/>
        </w:rPr>
        <w:lastRenderedPageBreak/>
        <w:t>and €8.4 billion in turnover, stabilises margins that might otherwise erode in Europe as pressures tighten.</w:t>
      </w:r>
    </w:p>
    <w:p w14:paraId="4BC40217" w14:textId="0F26875D" w:rsidR="00EC2D2F" w:rsidRPr="006D5FEB" w:rsidRDefault="006D5FEB" w:rsidP="006D5FEB">
      <w:pPr>
        <w:spacing w:after="0" w:line="360" w:lineRule="auto"/>
        <w:ind w:firstLine="567"/>
        <w:jc w:val="both"/>
        <w:rPr>
          <w:rFonts w:ascii="Arial" w:hAnsi="Arial" w:cs="Arial"/>
          <w:sz w:val="22"/>
          <w:szCs w:val="22"/>
        </w:rPr>
      </w:pPr>
      <w:r w:rsidRPr="006D5FEB">
        <w:rPr>
          <w:rFonts w:ascii="Arial" w:hAnsi="Arial" w:cs="Arial"/>
          <w:sz w:val="22"/>
          <w:szCs w:val="22"/>
        </w:rPr>
        <w:t xml:space="preserve"> Also, the Group is vulnerable to transport-route instability due to Slovakia's 99 </w:t>
      </w:r>
      <w:r w:rsidR="00AD1CF0">
        <w:rPr>
          <w:rFonts w:ascii="Arial" w:hAnsi="Arial" w:cs="Arial"/>
          <w:sz w:val="22"/>
          <w:szCs w:val="22"/>
        </w:rPr>
        <w:t xml:space="preserve">% </w:t>
      </w:r>
      <w:r w:rsidRPr="006D5FEB">
        <w:rPr>
          <w:rFonts w:ascii="Arial" w:hAnsi="Arial" w:cs="Arial"/>
          <w:sz w:val="22"/>
          <w:szCs w:val="22"/>
        </w:rPr>
        <w:t>export dependency, but the country manages to turn expensive engineering into scalable efficiency.  Tanger-Med, with its 9 million-container capacity, connects European supply chains to the quickly growing African markets (Cavusgil et al., 2017), hence Morocco, despite its small finances, answers a strategic need.  The link between Volkswagen's cross-country capacity and investment, as shown in Figure 1, is shaped by these interdependencies.</w:t>
      </w:r>
    </w:p>
    <w:p w14:paraId="706C02E8" w14:textId="77777777" w:rsidR="006D5FEB" w:rsidRPr="002C3BF6" w:rsidRDefault="006D5FEB" w:rsidP="006D5FEB">
      <w:pPr>
        <w:spacing w:after="0" w:line="360" w:lineRule="auto"/>
        <w:jc w:val="both"/>
        <w:rPr>
          <w:rFonts w:ascii="Arial" w:hAnsi="Arial" w:cs="Arial"/>
          <w:sz w:val="16"/>
          <w:szCs w:val="16"/>
        </w:rPr>
      </w:pPr>
    </w:p>
    <w:p w14:paraId="26D7432E" w14:textId="4A435577" w:rsidR="002C3BF6" w:rsidRPr="002C3BF6" w:rsidRDefault="002C3BF6" w:rsidP="00360F52">
      <w:pPr>
        <w:spacing w:after="0" w:line="240" w:lineRule="auto"/>
        <w:ind w:firstLine="567"/>
        <w:jc w:val="center"/>
        <w:rPr>
          <w:rFonts w:ascii="Arial" w:hAnsi="Arial" w:cs="Arial"/>
          <w:sz w:val="20"/>
          <w:szCs w:val="20"/>
        </w:rPr>
      </w:pPr>
      <w:r w:rsidRPr="002C3BF6">
        <w:rPr>
          <w:rFonts w:ascii="Arial" w:hAnsi="Arial" w:cs="Arial"/>
          <w:sz w:val="20"/>
          <w:szCs w:val="20"/>
        </w:rPr>
        <w:t>Figure 1</w:t>
      </w:r>
      <w:r w:rsidR="00360F52">
        <w:rPr>
          <w:rFonts w:ascii="Arial" w:hAnsi="Arial" w:cs="Arial"/>
          <w:sz w:val="20"/>
          <w:szCs w:val="20"/>
        </w:rPr>
        <w:t xml:space="preserve">. </w:t>
      </w:r>
      <w:r w:rsidRPr="002C3BF6">
        <w:rPr>
          <w:rFonts w:ascii="Arial" w:hAnsi="Arial" w:cs="Arial"/>
          <w:sz w:val="20"/>
          <w:szCs w:val="20"/>
        </w:rPr>
        <w:t xml:space="preserve">Volkswagen’s cross-country imbalance in capacity and investment </w:t>
      </w:r>
      <w:bookmarkStart w:id="5" w:name="_Hlk214274912"/>
      <w:r w:rsidRPr="002C3BF6">
        <w:rPr>
          <w:rFonts w:ascii="Arial" w:hAnsi="Arial" w:cs="Arial"/>
          <w:sz w:val="20"/>
          <w:szCs w:val="20"/>
        </w:rPr>
        <w:t>(Volkswagen Group, 2024)</w:t>
      </w:r>
    </w:p>
    <w:bookmarkEnd w:id="5"/>
    <w:p w14:paraId="073B592D" w14:textId="053CDE61" w:rsidR="00C973E0" w:rsidRDefault="003352C6" w:rsidP="003352C6">
      <w:pPr>
        <w:spacing w:after="0" w:line="360" w:lineRule="auto"/>
        <w:ind w:firstLine="567"/>
        <w:jc w:val="center"/>
        <w:rPr>
          <w:rFonts w:ascii="Arial" w:hAnsi="Arial" w:cs="Arial"/>
          <w:sz w:val="22"/>
          <w:szCs w:val="22"/>
        </w:rPr>
      </w:pPr>
      <w:r>
        <w:rPr>
          <w:rFonts w:ascii="Arial" w:hAnsi="Arial" w:cs="Arial"/>
          <w:noProof/>
          <w:sz w:val="22"/>
          <w:szCs w:val="22"/>
        </w:rPr>
        <w:drawing>
          <wp:inline distT="0" distB="0" distL="0" distR="0" wp14:anchorId="303A02D1" wp14:editId="7AFB995B">
            <wp:extent cx="3847605" cy="2075358"/>
            <wp:effectExtent l="0" t="0" r="635" b="1270"/>
            <wp:docPr id="1385061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70362" cy="2087633"/>
                    </a:xfrm>
                    <a:prstGeom prst="rect">
                      <a:avLst/>
                    </a:prstGeom>
                    <a:noFill/>
                  </pic:spPr>
                </pic:pic>
              </a:graphicData>
            </a:graphic>
          </wp:inline>
        </w:drawing>
      </w:r>
    </w:p>
    <w:p w14:paraId="6AD3A102" w14:textId="77777777" w:rsidR="00EB0A59" w:rsidRPr="00EB0A59" w:rsidRDefault="00EB0A59" w:rsidP="003352C6">
      <w:pPr>
        <w:spacing w:after="0" w:line="360" w:lineRule="auto"/>
        <w:ind w:firstLine="567"/>
        <w:jc w:val="center"/>
        <w:rPr>
          <w:rFonts w:ascii="Arial" w:hAnsi="Arial" w:cs="Arial"/>
          <w:sz w:val="16"/>
          <w:szCs w:val="16"/>
        </w:rPr>
      </w:pPr>
    </w:p>
    <w:p w14:paraId="1A687B09" w14:textId="7AD29594" w:rsidR="003D08B0" w:rsidRDefault="00AD189F" w:rsidP="00D82DAF">
      <w:pPr>
        <w:spacing w:after="0" w:line="360" w:lineRule="auto"/>
        <w:ind w:firstLine="567"/>
        <w:jc w:val="both"/>
        <w:rPr>
          <w:rFonts w:ascii="Arial" w:hAnsi="Arial" w:cs="Arial"/>
          <w:sz w:val="22"/>
          <w:szCs w:val="22"/>
        </w:rPr>
      </w:pPr>
      <w:r w:rsidRPr="00AD189F">
        <w:rPr>
          <w:rFonts w:ascii="Arial" w:hAnsi="Arial" w:cs="Arial"/>
          <w:sz w:val="22"/>
          <w:szCs w:val="22"/>
        </w:rPr>
        <w:t xml:space="preserve">Germany's dominance in procurement (€185bn) and manufacturing (1.69m units) highlights how the network relies on technological depth; without it, Brazil and Slovakia couldn't stabilise regional demand or absorb volume shocks.  Morocco's distribution-based role enhances market access in North and West </w:t>
      </w:r>
      <w:r w:rsidR="00CF0688" w:rsidRPr="00AD189F">
        <w:rPr>
          <w:rFonts w:ascii="Arial" w:hAnsi="Arial" w:cs="Arial"/>
          <w:sz w:val="22"/>
          <w:szCs w:val="22"/>
        </w:rPr>
        <w:t>Africa;</w:t>
      </w:r>
      <w:r w:rsidRPr="00AD189F">
        <w:rPr>
          <w:rFonts w:ascii="Arial" w:hAnsi="Arial" w:cs="Arial"/>
          <w:sz w:val="22"/>
          <w:szCs w:val="22"/>
        </w:rPr>
        <w:t xml:space="preserve"> </w:t>
      </w:r>
      <w:r w:rsidR="00CF0688" w:rsidRPr="00AD189F">
        <w:rPr>
          <w:rFonts w:ascii="Arial" w:hAnsi="Arial" w:cs="Arial"/>
          <w:sz w:val="22"/>
          <w:szCs w:val="22"/>
        </w:rPr>
        <w:t>therefore,</w:t>
      </w:r>
      <w:r w:rsidRPr="00AD189F">
        <w:rPr>
          <w:rFonts w:ascii="Arial" w:hAnsi="Arial" w:cs="Arial"/>
          <w:sz w:val="22"/>
          <w:szCs w:val="22"/>
        </w:rPr>
        <w:t xml:space="preserve"> Volkswagen's expansion relies on these nations complementing each other through specific functions rather than competing for the same skills.</w:t>
      </w:r>
      <w:r w:rsidR="00D91B94">
        <w:rPr>
          <w:rFonts w:ascii="Arial" w:hAnsi="Arial" w:cs="Arial"/>
          <w:sz w:val="22"/>
          <w:szCs w:val="22"/>
        </w:rPr>
        <w:t xml:space="preserve"> </w:t>
      </w:r>
      <w:r w:rsidR="00CF0688" w:rsidRPr="00CF0688">
        <w:rPr>
          <w:rFonts w:ascii="Arial" w:hAnsi="Arial" w:cs="Arial"/>
          <w:sz w:val="22"/>
          <w:szCs w:val="22"/>
        </w:rPr>
        <w:t>Figure 2 shows the structural differences in export and domestic market reliance among the four countries.</w:t>
      </w:r>
    </w:p>
    <w:p w14:paraId="3EC37716" w14:textId="77777777" w:rsidR="00D82DAF" w:rsidRPr="00D82DAF" w:rsidRDefault="00D82DAF" w:rsidP="00D82DAF">
      <w:pPr>
        <w:spacing w:after="0" w:line="360" w:lineRule="auto"/>
        <w:ind w:firstLine="567"/>
        <w:jc w:val="both"/>
        <w:rPr>
          <w:rFonts w:ascii="Arial" w:hAnsi="Arial" w:cs="Arial"/>
          <w:sz w:val="16"/>
          <w:szCs w:val="16"/>
        </w:rPr>
      </w:pPr>
    </w:p>
    <w:p w14:paraId="2A1DF29B" w14:textId="3FF3F16E" w:rsidR="00536776" w:rsidRDefault="000F440B" w:rsidP="00BF100C">
      <w:pPr>
        <w:spacing w:after="0" w:line="240" w:lineRule="auto"/>
        <w:jc w:val="center"/>
        <w:rPr>
          <w:rFonts w:ascii="Arial" w:hAnsi="Arial" w:cs="Arial"/>
          <w:sz w:val="20"/>
          <w:szCs w:val="20"/>
        </w:rPr>
      </w:pPr>
      <w:r w:rsidRPr="000F440B">
        <w:rPr>
          <w:rFonts w:ascii="Arial" w:hAnsi="Arial" w:cs="Arial"/>
          <w:sz w:val="20"/>
          <w:szCs w:val="20"/>
        </w:rPr>
        <w:t>Figure 2</w:t>
      </w:r>
      <w:r>
        <w:rPr>
          <w:rFonts w:ascii="Arial" w:hAnsi="Arial" w:cs="Arial"/>
          <w:sz w:val="20"/>
          <w:szCs w:val="20"/>
        </w:rPr>
        <w:t>. C</w:t>
      </w:r>
      <w:r w:rsidRPr="000F440B">
        <w:rPr>
          <w:rFonts w:ascii="Arial" w:hAnsi="Arial" w:cs="Arial"/>
          <w:sz w:val="20"/>
          <w:szCs w:val="20"/>
        </w:rPr>
        <w:t xml:space="preserve">ountries </w:t>
      </w:r>
      <w:r w:rsidR="00BF100C" w:rsidRPr="000F440B">
        <w:rPr>
          <w:rFonts w:ascii="Arial" w:hAnsi="Arial" w:cs="Arial"/>
          <w:sz w:val="20"/>
          <w:szCs w:val="20"/>
        </w:rPr>
        <w:t>contribute</w:t>
      </w:r>
      <w:r w:rsidRPr="000F440B">
        <w:rPr>
          <w:rFonts w:ascii="Arial" w:hAnsi="Arial" w:cs="Arial"/>
          <w:sz w:val="20"/>
          <w:szCs w:val="20"/>
        </w:rPr>
        <w:t xml:space="preserve"> to Volkswagen’s market exposure</w:t>
      </w:r>
    </w:p>
    <w:p w14:paraId="6693AA2B" w14:textId="7E203866" w:rsidR="00BF100C" w:rsidRPr="000F440B" w:rsidRDefault="00BF100C" w:rsidP="00BF100C">
      <w:pPr>
        <w:spacing w:after="0" w:line="240" w:lineRule="auto"/>
        <w:jc w:val="center"/>
        <w:rPr>
          <w:rFonts w:ascii="Arial" w:hAnsi="Arial" w:cs="Arial"/>
          <w:sz w:val="20"/>
          <w:szCs w:val="20"/>
        </w:rPr>
      </w:pPr>
      <w:r w:rsidRPr="00BF100C">
        <w:rPr>
          <w:rFonts w:ascii="Arial" w:hAnsi="Arial" w:cs="Arial"/>
          <w:sz w:val="20"/>
          <w:szCs w:val="20"/>
        </w:rPr>
        <w:t>(Volkswagen Group, 2024)</w:t>
      </w:r>
    </w:p>
    <w:p w14:paraId="2EBE98E4" w14:textId="51CD6B59" w:rsidR="00C973E0" w:rsidRDefault="00536776" w:rsidP="00F31871">
      <w:pPr>
        <w:spacing w:after="0" w:line="360" w:lineRule="auto"/>
        <w:ind w:firstLine="567"/>
        <w:jc w:val="center"/>
        <w:rPr>
          <w:rFonts w:ascii="Arial" w:hAnsi="Arial" w:cs="Arial"/>
          <w:sz w:val="22"/>
          <w:szCs w:val="22"/>
        </w:rPr>
      </w:pPr>
      <w:r>
        <w:rPr>
          <w:rFonts w:ascii="Arial" w:hAnsi="Arial" w:cs="Arial"/>
          <w:noProof/>
          <w:sz w:val="22"/>
          <w:szCs w:val="22"/>
        </w:rPr>
        <w:drawing>
          <wp:inline distT="0" distB="0" distL="0" distR="0" wp14:anchorId="18735727" wp14:editId="5B9DF282">
            <wp:extent cx="4245765" cy="1981135"/>
            <wp:effectExtent l="0" t="0" r="2540" b="635"/>
            <wp:docPr id="15864226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72731" cy="1993718"/>
                    </a:xfrm>
                    <a:prstGeom prst="rect">
                      <a:avLst/>
                    </a:prstGeom>
                    <a:noFill/>
                  </pic:spPr>
                </pic:pic>
              </a:graphicData>
            </a:graphic>
          </wp:inline>
        </w:drawing>
      </w:r>
    </w:p>
    <w:p w14:paraId="44AC0E41" w14:textId="0475934B" w:rsidR="00330735" w:rsidRPr="00330735" w:rsidRDefault="00330735" w:rsidP="00330735">
      <w:pPr>
        <w:spacing w:after="0" w:line="360" w:lineRule="auto"/>
        <w:ind w:firstLine="567"/>
        <w:jc w:val="both"/>
        <w:rPr>
          <w:rFonts w:ascii="Arial" w:hAnsi="Arial" w:cs="Arial"/>
          <w:sz w:val="22"/>
          <w:szCs w:val="22"/>
        </w:rPr>
      </w:pPr>
      <w:r w:rsidRPr="00330735">
        <w:rPr>
          <w:rFonts w:ascii="Arial" w:hAnsi="Arial" w:cs="Arial"/>
          <w:sz w:val="22"/>
          <w:szCs w:val="22"/>
        </w:rPr>
        <w:lastRenderedPageBreak/>
        <w:t>While Germany's exports and domestic sales are rather balanced (58.6% and 41.4%, respectively), Brazil's dependence on local demand (90%) could limit competitiveness in the event of changes in regional conditions.  In addition, the strong reliance of Slovakia on exports (99%) means that disruptions due to problems with transit routes through Koper or Hamburg could be worsened rather than mitigated.  Assuming high-export economies maintain synchronisation with distribution-led markets, Morocco's entirely domestic focus can mitigate these risks by expanding customer access throughout Africa.</w:t>
      </w:r>
    </w:p>
    <w:p w14:paraId="7ECE9B56" w14:textId="17ABA2D1" w:rsidR="00F20383" w:rsidRPr="00330735" w:rsidRDefault="00330735" w:rsidP="00330735">
      <w:pPr>
        <w:spacing w:after="0" w:line="360" w:lineRule="auto"/>
        <w:ind w:firstLine="567"/>
        <w:jc w:val="both"/>
        <w:rPr>
          <w:rFonts w:ascii="Arial" w:hAnsi="Arial" w:cs="Arial"/>
          <w:sz w:val="22"/>
          <w:szCs w:val="22"/>
        </w:rPr>
      </w:pPr>
      <w:r w:rsidRPr="00330735">
        <w:rPr>
          <w:rFonts w:ascii="Arial" w:hAnsi="Arial" w:cs="Arial"/>
          <w:sz w:val="22"/>
          <w:szCs w:val="22"/>
        </w:rPr>
        <w:t xml:space="preserve"> Synergy, not location, is the driving force behind Volkswagen's success, according to these dynamics taken as a whole.  Table 3 from Volkswagen Group (2024) shows that the Group is vulnerable to "supply-chain risks, environmental concerns, and currency fluctuations" due to its interconnectedness.</w:t>
      </w:r>
    </w:p>
    <w:p w14:paraId="69CCD6DD" w14:textId="77777777" w:rsidR="008E2616" w:rsidRPr="00E530E1" w:rsidRDefault="008E2616" w:rsidP="008E2616">
      <w:pPr>
        <w:spacing w:after="0" w:line="360" w:lineRule="auto"/>
        <w:jc w:val="both"/>
        <w:rPr>
          <w:rFonts w:ascii="Arial" w:hAnsi="Arial" w:cs="Arial"/>
          <w:sz w:val="16"/>
          <w:szCs w:val="16"/>
        </w:rPr>
      </w:pPr>
    </w:p>
    <w:p w14:paraId="59BF0DB1" w14:textId="5F33CB55" w:rsidR="006A5215" w:rsidRPr="002278E7" w:rsidRDefault="002278E7" w:rsidP="002278E7">
      <w:pPr>
        <w:spacing w:after="0" w:line="360" w:lineRule="auto"/>
        <w:jc w:val="center"/>
        <w:rPr>
          <w:rFonts w:ascii="Arial" w:hAnsi="Arial" w:cs="Arial"/>
          <w:sz w:val="20"/>
          <w:szCs w:val="20"/>
        </w:rPr>
      </w:pPr>
      <w:r w:rsidRPr="002278E7">
        <w:rPr>
          <w:rFonts w:ascii="Arial" w:hAnsi="Arial" w:cs="Arial"/>
          <w:sz w:val="20"/>
          <w:szCs w:val="20"/>
        </w:rPr>
        <w:t>Table 3. Supply-Chain Risks, Dependencies</w:t>
      </w:r>
      <w:r w:rsidR="00946FC6">
        <w:rPr>
          <w:rFonts w:ascii="Arial" w:hAnsi="Arial" w:cs="Arial"/>
          <w:sz w:val="20"/>
          <w:szCs w:val="20"/>
        </w:rPr>
        <w:t>,</w:t>
      </w:r>
      <w:r w:rsidRPr="002278E7">
        <w:rPr>
          <w:rFonts w:ascii="Arial" w:hAnsi="Arial" w:cs="Arial"/>
          <w:sz w:val="20"/>
          <w:szCs w:val="20"/>
        </w:rPr>
        <w:t xml:space="preserve"> Environmental Pressures </w:t>
      </w:r>
      <w:r w:rsidR="00AF0CDE">
        <w:rPr>
          <w:rFonts w:ascii="Arial" w:hAnsi="Arial" w:cs="Arial"/>
          <w:sz w:val="20"/>
          <w:szCs w:val="20"/>
        </w:rPr>
        <w:t xml:space="preserve">&amp; Currency Fluctuation </w:t>
      </w:r>
      <w:r w:rsidRPr="002278E7">
        <w:rPr>
          <w:rFonts w:ascii="Arial" w:hAnsi="Arial" w:cs="Arial"/>
          <w:sz w:val="20"/>
          <w:szCs w:val="20"/>
        </w:rPr>
        <w:t>2024</w:t>
      </w:r>
    </w:p>
    <w:p w14:paraId="2A2CA476" w14:textId="24D3D6DF" w:rsidR="008E2616" w:rsidRDefault="008E2616" w:rsidP="003D5E1E">
      <w:pPr>
        <w:spacing w:after="0" w:line="360" w:lineRule="auto"/>
        <w:jc w:val="center"/>
        <w:rPr>
          <w:rFonts w:ascii="Arial" w:hAnsi="Arial" w:cs="Arial"/>
          <w:i/>
          <w:iCs/>
          <w:sz w:val="20"/>
          <w:szCs w:val="20"/>
        </w:rPr>
      </w:pPr>
      <w:bookmarkStart w:id="6" w:name="_Hlk214263459"/>
      <w:r w:rsidRPr="008E2616">
        <w:rPr>
          <w:rFonts w:ascii="Arial" w:hAnsi="Arial" w:cs="Arial"/>
          <w:i/>
          <w:iCs/>
          <w:noProof/>
          <w:sz w:val="20"/>
          <w:szCs w:val="20"/>
        </w:rPr>
        <w:drawing>
          <wp:inline distT="0" distB="0" distL="0" distR="0" wp14:anchorId="6DE70206" wp14:editId="0240CA4E">
            <wp:extent cx="4791694" cy="5550707"/>
            <wp:effectExtent l="0" t="0" r="9525" b="0"/>
            <wp:docPr id="975072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072932" name=""/>
                    <pic:cNvPicPr/>
                  </pic:nvPicPr>
                  <pic:blipFill>
                    <a:blip r:embed="rId15"/>
                    <a:stretch>
                      <a:fillRect/>
                    </a:stretch>
                  </pic:blipFill>
                  <pic:spPr>
                    <a:xfrm>
                      <a:off x="0" y="0"/>
                      <a:ext cx="4813675" cy="5576170"/>
                    </a:xfrm>
                    <a:prstGeom prst="rect">
                      <a:avLst/>
                    </a:prstGeom>
                  </pic:spPr>
                </pic:pic>
              </a:graphicData>
            </a:graphic>
          </wp:inline>
        </w:drawing>
      </w:r>
    </w:p>
    <w:p w14:paraId="2D82C200" w14:textId="1992A766" w:rsidR="00C956EB" w:rsidRPr="003D5E1E" w:rsidRDefault="006A5215" w:rsidP="003D5E1E">
      <w:pPr>
        <w:spacing w:after="0" w:line="360" w:lineRule="auto"/>
        <w:jc w:val="center"/>
        <w:rPr>
          <w:rFonts w:ascii="Arial" w:hAnsi="Arial" w:cs="Arial"/>
          <w:i/>
          <w:iCs/>
          <w:sz w:val="20"/>
          <w:szCs w:val="20"/>
        </w:rPr>
      </w:pPr>
      <w:r w:rsidRPr="003D5E1E">
        <w:rPr>
          <w:rFonts w:ascii="Arial" w:hAnsi="Arial" w:cs="Arial"/>
          <w:i/>
          <w:iCs/>
          <w:sz w:val="20"/>
          <w:szCs w:val="20"/>
        </w:rPr>
        <w:t>(Source: Created by author from Volkswagen Group Annual Report, 2024)</w:t>
      </w:r>
    </w:p>
    <w:bookmarkEnd w:id="6"/>
    <w:p w14:paraId="589F0009" w14:textId="77777777" w:rsidR="00C956EB" w:rsidRPr="00F051AA" w:rsidRDefault="00C956EB" w:rsidP="003D5E1E">
      <w:pPr>
        <w:spacing w:after="0" w:line="360" w:lineRule="auto"/>
        <w:jc w:val="center"/>
        <w:rPr>
          <w:rFonts w:ascii="Arial" w:hAnsi="Arial" w:cs="Arial"/>
          <w:b/>
          <w:bCs/>
          <w:i/>
          <w:iCs/>
          <w:sz w:val="16"/>
          <w:szCs w:val="16"/>
        </w:rPr>
      </w:pPr>
    </w:p>
    <w:p w14:paraId="690FA418" w14:textId="55D1B058" w:rsidR="00194426" w:rsidRPr="00194426" w:rsidRDefault="00194426" w:rsidP="00194426">
      <w:pPr>
        <w:spacing w:after="0" w:line="360" w:lineRule="auto"/>
        <w:ind w:firstLine="567"/>
        <w:jc w:val="both"/>
        <w:rPr>
          <w:rFonts w:ascii="Arial" w:hAnsi="Arial" w:cs="Arial"/>
          <w:sz w:val="22"/>
          <w:szCs w:val="22"/>
        </w:rPr>
      </w:pPr>
      <w:r w:rsidRPr="00194426">
        <w:rPr>
          <w:rFonts w:ascii="Arial" w:hAnsi="Arial" w:cs="Arial"/>
          <w:sz w:val="22"/>
          <w:szCs w:val="22"/>
        </w:rPr>
        <w:t>Strategy management of exposure to supply risks, rather than avoiding them, is what generates growth, according to Volkswagen's cross-country operational network.  Cost pressures are increasing in Germany due to carbon levies and volatile energy markets. The country imports 60% of its energy needs and spends €380 million per year on compliance costs.  While the EU's carbon restrictions might be somewhat offset by Slovakia's minimum environmental cost of €60 million, which eases regulatory demand on high-cost German industries, this balance would collapse in the event of disruption to export routes through Koper or Hamburg.</w:t>
      </w:r>
    </w:p>
    <w:p w14:paraId="4B799309" w14:textId="6E44E9B9" w:rsidR="00194426" w:rsidRPr="00194426" w:rsidRDefault="00194426" w:rsidP="00194426">
      <w:pPr>
        <w:spacing w:after="0" w:line="360" w:lineRule="auto"/>
        <w:ind w:firstLine="567"/>
        <w:jc w:val="both"/>
        <w:rPr>
          <w:rFonts w:ascii="Arial" w:hAnsi="Arial" w:cs="Arial"/>
          <w:sz w:val="22"/>
          <w:szCs w:val="22"/>
        </w:rPr>
      </w:pPr>
      <w:r w:rsidRPr="00194426">
        <w:rPr>
          <w:rFonts w:ascii="Arial" w:hAnsi="Arial" w:cs="Arial"/>
          <w:sz w:val="22"/>
          <w:szCs w:val="22"/>
        </w:rPr>
        <w:t xml:space="preserve"> As the 55% reliance on imports in Brazil shows, localisation in an emerging market can sustain production even when logistics get tight.  The capacity to absorb financial shocks caused by CEVA's inland network and BRL/USD volatility (4.7-5.5) (Wild, 2016) and adaptive sourcing both contribute to resilience. Another factor is flexible inventory management.  Conversely, Morocco provides continental reach without substantial capital exposure, serving as a controlled testing ground for Volkswagen's low-risk expansion approach. The country relies on imports at a rate of 95% and has compliance costs of only €8 million.</w:t>
      </w:r>
    </w:p>
    <w:p w14:paraId="56C32317" w14:textId="120AA6A0" w:rsidR="00194426" w:rsidRPr="00194426" w:rsidRDefault="00194426" w:rsidP="00194426">
      <w:pPr>
        <w:spacing w:after="0" w:line="360" w:lineRule="auto"/>
        <w:ind w:firstLine="567"/>
        <w:jc w:val="both"/>
        <w:rPr>
          <w:rFonts w:ascii="Arial" w:hAnsi="Arial" w:cs="Arial"/>
          <w:sz w:val="22"/>
          <w:szCs w:val="22"/>
        </w:rPr>
      </w:pPr>
      <w:r w:rsidRPr="00194426">
        <w:rPr>
          <w:rFonts w:ascii="Arial" w:hAnsi="Arial" w:cs="Arial"/>
          <w:sz w:val="22"/>
          <w:szCs w:val="22"/>
        </w:rPr>
        <w:t xml:space="preserve"> German innovation helps the Slovaks be more efficient, Brazil dampens cyclical instability, and Morocco opens the door to North Africa. This four-country framework acts as a circular buffer.  Using data-driven analysis, Volkswagen will continue to simulate carbon, currency, and localisation restrictions; this interconnected system will influence competitiveness (CACI, 2024).</w:t>
      </w:r>
    </w:p>
    <w:p w14:paraId="7BBC7AFC" w14:textId="485DEFBE" w:rsidR="00C956EB" w:rsidRPr="00903ACB" w:rsidRDefault="005C45BA" w:rsidP="007B79FC">
      <w:pPr>
        <w:pStyle w:val="Heading1"/>
        <w:spacing w:before="0" w:after="0" w:line="360" w:lineRule="auto"/>
        <w:rPr>
          <w:b/>
          <w:bCs/>
          <w:sz w:val="22"/>
          <w:szCs w:val="22"/>
        </w:rPr>
      </w:pPr>
      <w:bookmarkStart w:id="7" w:name="_Toc214529454"/>
      <w:r w:rsidRPr="00903ACB">
        <w:rPr>
          <w:b/>
          <w:bCs/>
          <w:sz w:val="22"/>
          <w:szCs w:val="22"/>
        </w:rPr>
        <w:t>2c)</w:t>
      </w:r>
      <w:r w:rsidR="00D155B1" w:rsidRPr="00903ACB">
        <w:rPr>
          <w:b/>
          <w:bCs/>
          <w:sz w:val="22"/>
          <w:szCs w:val="22"/>
        </w:rPr>
        <w:t xml:space="preserve"> Country’s</w:t>
      </w:r>
      <w:r w:rsidRPr="00903ACB">
        <w:rPr>
          <w:b/>
          <w:bCs/>
          <w:sz w:val="22"/>
          <w:szCs w:val="22"/>
        </w:rPr>
        <w:t xml:space="preserve"> Entry modes</w:t>
      </w:r>
      <w:bookmarkEnd w:id="7"/>
      <w:r w:rsidRPr="00903ACB">
        <w:rPr>
          <w:b/>
          <w:bCs/>
          <w:sz w:val="22"/>
          <w:szCs w:val="22"/>
        </w:rPr>
        <w:t xml:space="preserve"> </w:t>
      </w:r>
    </w:p>
    <w:p w14:paraId="2AA68FFB" w14:textId="118E78F0" w:rsidR="002771B3" w:rsidRDefault="0099460C" w:rsidP="007B7235">
      <w:pPr>
        <w:spacing w:after="0" w:line="360" w:lineRule="auto"/>
        <w:ind w:firstLine="567"/>
        <w:jc w:val="both"/>
        <w:rPr>
          <w:rFonts w:ascii="Arial" w:hAnsi="Arial" w:cs="Arial"/>
          <w:sz w:val="22"/>
          <w:szCs w:val="22"/>
        </w:rPr>
      </w:pPr>
      <w:r w:rsidRPr="0099460C">
        <w:rPr>
          <w:rFonts w:ascii="Arial" w:hAnsi="Arial" w:cs="Arial"/>
          <w:sz w:val="22"/>
          <w:szCs w:val="22"/>
        </w:rPr>
        <w:t>The entry modes chosen by Volkswagen in Germany, Brazil, Slovakia, and Morocco demonstrate strategic caution rather than a straightforward expansion strategy, as illustrated in table 4</w:t>
      </w:r>
      <w:r w:rsidR="00C240B1">
        <w:rPr>
          <w:rFonts w:ascii="Arial" w:hAnsi="Arial" w:cs="Arial"/>
          <w:sz w:val="22"/>
          <w:szCs w:val="22"/>
        </w:rPr>
        <w:t xml:space="preserve"> (</w:t>
      </w:r>
      <w:r w:rsidR="007B7235" w:rsidRPr="007B7235">
        <w:rPr>
          <w:rFonts w:ascii="Arial" w:hAnsi="Arial" w:cs="Arial"/>
          <w:sz w:val="22"/>
          <w:szCs w:val="22"/>
        </w:rPr>
        <w:t>Detailed entry mode explanations in Appendix 2</w:t>
      </w:r>
      <w:r w:rsidR="007A0D1D">
        <w:rPr>
          <w:rFonts w:ascii="Arial" w:hAnsi="Arial" w:cs="Arial"/>
          <w:sz w:val="22"/>
          <w:szCs w:val="22"/>
        </w:rPr>
        <w:t>).</w:t>
      </w:r>
    </w:p>
    <w:p w14:paraId="3752E519" w14:textId="77777777" w:rsidR="007B7235" w:rsidRPr="007B7235" w:rsidRDefault="007B7235" w:rsidP="007B7235">
      <w:pPr>
        <w:spacing w:after="0" w:line="360" w:lineRule="auto"/>
        <w:ind w:firstLine="567"/>
        <w:jc w:val="both"/>
        <w:rPr>
          <w:rFonts w:ascii="Arial" w:hAnsi="Arial" w:cs="Arial"/>
          <w:sz w:val="16"/>
          <w:szCs w:val="16"/>
        </w:rPr>
      </w:pPr>
    </w:p>
    <w:p w14:paraId="570D8A58" w14:textId="676D41FE" w:rsidR="00C956EB" w:rsidRPr="002771B3" w:rsidRDefault="002771B3" w:rsidP="002771B3">
      <w:pPr>
        <w:spacing w:after="0" w:line="360" w:lineRule="auto"/>
        <w:jc w:val="center"/>
        <w:rPr>
          <w:rFonts w:ascii="Arial" w:hAnsi="Arial" w:cs="Arial"/>
          <w:sz w:val="20"/>
          <w:szCs w:val="20"/>
        </w:rPr>
      </w:pPr>
      <w:r>
        <w:rPr>
          <w:rFonts w:ascii="Arial" w:hAnsi="Arial" w:cs="Arial"/>
          <w:sz w:val="20"/>
          <w:szCs w:val="20"/>
        </w:rPr>
        <w:t xml:space="preserve">Table 4. </w:t>
      </w:r>
      <w:r w:rsidRPr="002771B3">
        <w:rPr>
          <w:rFonts w:ascii="Arial" w:hAnsi="Arial" w:cs="Arial"/>
          <w:sz w:val="20"/>
          <w:szCs w:val="20"/>
        </w:rPr>
        <w:t>Entry Modes per Country</w:t>
      </w:r>
    </w:p>
    <w:p w14:paraId="56697F9E" w14:textId="60B6209A" w:rsidR="00A70F22" w:rsidRPr="00A70F22" w:rsidRDefault="00A70F22" w:rsidP="002771B3">
      <w:pPr>
        <w:spacing w:after="0" w:line="360" w:lineRule="auto"/>
        <w:jc w:val="center"/>
        <w:rPr>
          <w:rFonts w:ascii="Arial" w:hAnsi="Arial" w:cs="Arial"/>
          <w:sz w:val="20"/>
          <w:szCs w:val="20"/>
        </w:rPr>
      </w:pPr>
      <w:r w:rsidRPr="00A70F22">
        <w:rPr>
          <w:rFonts w:ascii="Arial" w:hAnsi="Arial" w:cs="Arial"/>
          <w:noProof/>
          <w:sz w:val="20"/>
          <w:szCs w:val="20"/>
        </w:rPr>
        <w:drawing>
          <wp:inline distT="0" distB="0" distL="0" distR="0" wp14:anchorId="460D9008" wp14:editId="0FA76B19">
            <wp:extent cx="5731510" cy="1904365"/>
            <wp:effectExtent l="0" t="0" r="2540" b="635"/>
            <wp:docPr id="2095167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167938" name=""/>
                    <pic:cNvPicPr/>
                  </pic:nvPicPr>
                  <pic:blipFill>
                    <a:blip r:embed="rId16"/>
                    <a:stretch>
                      <a:fillRect/>
                    </a:stretch>
                  </pic:blipFill>
                  <pic:spPr>
                    <a:xfrm>
                      <a:off x="0" y="0"/>
                      <a:ext cx="5731510" cy="1904365"/>
                    </a:xfrm>
                    <a:prstGeom prst="rect">
                      <a:avLst/>
                    </a:prstGeom>
                  </pic:spPr>
                </pic:pic>
              </a:graphicData>
            </a:graphic>
          </wp:inline>
        </w:drawing>
      </w:r>
    </w:p>
    <w:p w14:paraId="2C85F40D" w14:textId="22529D4E" w:rsidR="00F94EFA" w:rsidRPr="002771B3" w:rsidRDefault="002771B3" w:rsidP="002771B3">
      <w:pPr>
        <w:spacing w:after="0" w:line="360" w:lineRule="auto"/>
        <w:jc w:val="center"/>
        <w:rPr>
          <w:rFonts w:ascii="Arial" w:hAnsi="Arial" w:cs="Arial"/>
          <w:i/>
          <w:iCs/>
          <w:sz w:val="20"/>
          <w:szCs w:val="20"/>
        </w:rPr>
      </w:pPr>
      <w:bookmarkStart w:id="8" w:name="_Hlk214455925"/>
      <w:r w:rsidRPr="002771B3">
        <w:rPr>
          <w:rFonts w:ascii="Arial" w:hAnsi="Arial" w:cs="Arial"/>
          <w:i/>
          <w:iCs/>
          <w:sz w:val="20"/>
          <w:szCs w:val="20"/>
        </w:rPr>
        <w:t>(Source: Created by author from Volkswagen Group Annual Report, 2024)</w:t>
      </w:r>
    </w:p>
    <w:bookmarkEnd w:id="8"/>
    <w:p w14:paraId="1F71D643" w14:textId="77777777" w:rsidR="00C956EB" w:rsidRDefault="00C956EB" w:rsidP="001D60C7">
      <w:pPr>
        <w:spacing w:after="0" w:line="360" w:lineRule="auto"/>
        <w:ind w:firstLine="567"/>
        <w:jc w:val="both"/>
        <w:rPr>
          <w:rFonts w:ascii="Arial" w:hAnsi="Arial" w:cs="Arial"/>
          <w:sz w:val="22"/>
          <w:szCs w:val="22"/>
        </w:rPr>
      </w:pPr>
    </w:p>
    <w:p w14:paraId="7C26AD9C" w14:textId="2DC7AC10" w:rsidR="00EF664B" w:rsidRPr="00EF664B" w:rsidRDefault="00EF664B" w:rsidP="00EF664B">
      <w:pPr>
        <w:spacing w:after="0" w:line="360" w:lineRule="auto"/>
        <w:ind w:firstLine="567"/>
        <w:jc w:val="both"/>
        <w:rPr>
          <w:rFonts w:ascii="Arial" w:hAnsi="Arial" w:cs="Arial"/>
          <w:sz w:val="22"/>
          <w:szCs w:val="22"/>
        </w:rPr>
      </w:pPr>
      <w:r w:rsidRPr="00EF664B">
        <w:rPr>
          <w:rFonts w:ascii="Arial" w:hAnsi="Arial" w:cs="Arial"/>
          <w:b/>
          <w:bCs/>
          <w:sz w:val="22"/>
          <w:szCs w:val="22"/>
        </w:rPr>
        <w:lastRenderedPageBreak/>
        <w:t>Germany</w:t>
      </w:r>
      <w:r w:rsidRPr="00EF664B">
        <w:rPr>
          <w:rFonts w:ascii="Arial" w:hAnsi="Arial" w:cs="Arial"/>
          <w:sz w:val="22"/>
          <w:szCs w:val="22"/>
        </w:rPr>
        <w:t xml:space="preserve"> is approached through </w:t>
      </w:r>
      <w:r w:rsidRPr="00EF664B">
        <w:rPr>
          <w:rFonts w:ascii="Arial" w:hAnsi="Arial" w:cs="Arial"/>
          <w:b/>
          <w:bCs/>
          <w:sz w:val="22"/>
          <w:szCs w:val="22"/>
        </w:rPr>
        <w:t xml:space="preserve">export </w:t>
      </w:r>
      <w:r w:rsidRPr="00EF664B">
        <w:rPr>
          <w:rFonts w:ascii="Arial" w:hAnsi="Arial" w:cs="Arial"/>
          <w:sz w:val="22"/>
          <w:szCs w:val="22"/>
        </w:rPr>
        <w:t>and</w:t>
      </w:r>
      <w:r w:rsidRPr="00EF664B">
        <w:rPr>
          <w:rFonts w:ascii="Arial" w:hAnsi="Arial" w:cs="Arial"/>
          <w:b/>
          <w:bCs/>
          <w:sz w:val="22"/>
          <w:szCs w:val="22"/>
        </w:rPr>
        <w:t xml:space="preserve"> licensing</w:t>
      </w:r>
      <w:r w:rsidRPr="00EF664B">
        <w:rPr>
          <w:rFonts w:ascii="Arial" w:hAnsi="Arial" w:cs="Arial"/>
          <w:sz w:val="22"/>
          <w:szCs w:val="22"/>
        </w:rPr>
        <w:t xml:space="preserve"> rather than deeper ownership, which would expose Volkswagen to strict regulations and high labour costs, which might eat into margins. However, the country's market accessibility and investor trust help to lessen uncertainty.  Germany serves as a solid operational anchor rather than a launching pad for dangerous expansion.</w:t>
      </w:r>
    </w:p>
    <w:p w14:paraId="79D00BB4" w14:textId="34EA7F76" w:rsidR="00EF664B" w:rsidRPr="00EF664B" w:rsidRDefault="00EF664B" w:rsidP="00EF664B">
      <w:pPr>
        <w:spacing w:after="0" w:line="360" w:lineRule="auto"/>
        <w:ind w:firstLine="567"/>
        <w:jc w:val="both"/>
        <w:rPr>
          <w:rFonts w:ascii="Arial" w:hAnsi="Arial" w:cs="Arial"/>
          <w:sz w:val="22"/>
          <w:szCs w:val="22"/>
        </w:rPr>
      </w:pPr>
      <w:r w:rsidRPr="00EF664B">
        <w:rPr>
          <w:rFonts w:ascii="Arial" w:hAnsi="Arial" w:cs="Arial"/>
          <w:sz w:val="22"/>
          <w:szCs w:val="22"/>
        </w:rPr>
        <w:t xml:space="preserve"> Full ownership is strategically naïve because to regulatory volatility and currency instability, as </w:t>
      </w:r>
      <w:r w:rsidRPr="00EF664B">
        <w:rPr>
          <w:rFonts w:ascii="Arial" w:hAnsi="Arial" w:cs="Arial"/>
          <w:b/>
          <w:bCs/>
          <w:sz w:val="22"/>
          <w:szCs w:val="22"/>
        </w:rPr>
        <w:t>Brazil's Joint-Venture</w:t>
      </w:r>
      <w:r w:rsidRPr="00EF664B">
        <w:rPr>
          <w:rFonts w:ascii="Arial" w:hAnsi="Arial" w:cs="Arial"/>
          <w:sz w:val="22"/>
          <w:szCs w:val="22"/>
        </w:rPr>
        <w:t xml:space="preserve"> approach acknowledges.  Daniels et al. (2019) argues that joint ventures reallocate institutional risk to local partners. If Volkswagen assumed entire control, friction costs would be amplified due to bureaucratic enforcement gaps.</w:t>
      </w:r>
    </w:p>
    <w:p w14:paraId="5847BA47" w14:textId="3401414A" w:rsidR="00EF664B" w:rsidRPr="00EF664B" w:rsidRDefault="00EF664B" w:rsidP="00EF664B">
      <w:pPr>
        <w:spacing w:after="0" w:line="360" w:lineRule="auto"/>
        <w:ind w:firstLine="567"/>
        <w:jc w:val="both"/>
        <w:rPr>
          <w:rFonts w:ascii="Arial" w:hAnsi="Arial" w:cs="Arial"/>
          <w:sz w:val="22"/>
          <w:szCs w:val="22"/>
        </w:rPr>
      </w:pPr>
      <w:r w:rsidRPr="00EF664B">
        <w:rPr>
          <w:rFonts w:ascii="Arial" w:hAnsi="Arial" w:cs="Arial"/>
          <w:b/>
          <w:bCs/>
          <w:sz w:val="22"/>
          <w:szCs w:val="22"/>
        </w:rPr>
        <w:t xml:space="preserve"> Wholly Owned Subsidiary /</w:t>
      </w:r>
      <w:r w:rsidRPr="00EF664B">
        <w:rPr>
          <w:rFonts w:ascii="Arial" w:hAnsi="Arial" w:cs="Arial"/>
          <w:sz w:val="22"/>
          <w:szCs w:val="22"/>
        </w:rPr>
        <w:t xml:space="preserve"> Joint Venture structures are justified in </w:t>
      </w:r>
      <w:r w:rsidRPr="00EF664B">
        <w:rPr>
          <w:rFonts w:ascii="Arial" w:hAnsi="Arial" w:cs="Arial"/>
          <w:b/>
          <w:bCs/>
          <w:sz w:val="22"/>
          <w:szCs w:val="22"/>
        </w:rPr>
        <w:t xml:space="preserve">Slovakia </w:t>
      </w:r>
      <w:r w:rsidRPr="00EF664B">
        <w:rPr>
          <w:rFonts w:ascii="Arial" w:hAnsi="Arial" w:cs="Arial"/>
          <w:sz w:val="22"/>
          <w:szCs w:val="22"/>
        </w:rPr>
        <w:t>due to the country's predictable regulations and good investor confidence.  With full ownership, the export-heavy system is better able to coordinate and take advantage of economies of scale (Volkswagen Group, 2025).</w:t>
      </w:r>
    </w:p>
    <w:p w14:paraId="7951B1DB" w14:textId="2600B4D5" w:rsidR="00EF664B" w:rsidRPr="00EF664B" w:rsidRDefault="00EF664B" w:rsidP="00C16C11">
      <w:pPr>
        <w:spacing w:after="0" w:line="360" w:lineRule="auto"/>
        <w:ind w:firstLine="567"/>
        <w:jc w:val="both"/>
        <w:rPr>
          <w:rFonts w:ascii="Arial" w:hAnsi="Arial" w:cs="Arial"/>
          <w:sz w:val="22"/>
          <w:szCs w:val="22"/>
        </w:rPr>
      </w:pPr>
      <w:r w:rsidRPr="00EF664B">
        <w:rPr>
          <w:rFonts w:ascii="Arial" w:hAnsi="Arial" w:cs="Arial"/>
          <w:sz w:val="22"/>
          <w:szCs w:val="22"/>
        </w:rPr>
        <w:t xml:space="preserve"> Full ownership would increase vulnerability to conflicting regulations and shaky logistics, making Morocco's Joint Ventures important.</w:t>
      </w:r>
    </w:p>
    <w:p w14:paraId="1E9DEC09" w14:textId="19628682" w:rsidR="00EF664B" w:rsidRPr="00EF664B" w:rsidRDefault="00EF664B" w:rsidP="00EF664B">
      <w:pPr>
        <w:spacing w:after="0" w:line="360" w:lineRule="auto"/>
        <w:ind w:firstLine="567"/>
        <w:jc w:val="both"/>
        <w:rPr>
          <w:rFonts w:ascii="Arial" w:hAnsi="Arial" w:cs="Arial"/>
          <w:sz w:val="22"/>
          <w:szCs w:val="22"/>
        </w:rPr>
      </w:pPr>
      <w:r w:rsidRPr="00EF664B">
        <w:rPr>
          <w:rFonts w:ascii="Arial" w:hAnsi="Arial" w:cs="Arial"/>
          <w:sz w:val="22"/>
          <w:szCs w:val="22"/>
        </w:rPr>
        <w:t xml:space="preserve"> Risk, accessibility, and market performance are all </w:t>
      </w:r>
      <w:r w:rsidR="00A47312" w:rsidRPr="00EF664B">
        <w:rPr>
          <w:rFonts w:ascii="Arial" w:hAnsi="Arial" w:cs="Arial"/>
          <w:sz w:val="22"/>
          <w:szCs w:val="22"/>
        </w:rPr>
        <w:t>considered</w:t>
      </w:r>
      <w:r w:rsidRPr="00EF664B">
        <w:rPr>
          <w:rFonts w:ascii="Arial" w:hAnsi="Arial" w:cs="Arial"/>
          <w:sz w:val="22"/>
          <w:szCs w:val="22"/>
        </w:rPr>
        <w:t xml:space="preserve"> by Volkswagen's multi-entry strategy in these four nations.</w:t>
      </w:r>
    </w:p>
    <w:p w14:paraId="44CFA0F1" w14:textId="569B4B20" w:rsidR="00995971" w:rsidRPr="00903ACB" w:rsidRDefault="00C47DFA" w:rsidP="00903ACB">
      <w:pPr>
        <w:pStyle w:val="Heading1"/>
        <w:spacing w:before="0" w:after="0"/>
        <w:rPr>
          <w:b/>
          <w:bCs/>
        </w:rPr>
      </w:pPr>
      <w:bookmarkStart w:id="9" w:name="_Toc214529455"/>
      <w:r w:rsidRPr="00903ACB">
        <w:rPr>
          <w:b/>
          <w:bCs/>
          <w:sz w:val="22"/>
          <w:szCs w:val="22"/>
        </w:rPr>
        <w:t>2</w:t>
      </w:r>
      <w:r w:rsidR="00FF2182" w:rsidRPr="00903ACB">
        <w:rPr>
          <w:b/>
          <w:bCs/>
          <w:sz w:val="22"/>
          <w:szCs w:val="22"/>
        </w:rPr>
        <w:t>d.</w:t>
      </w:r>
      <w:r w:rsidR="002758A7" w:rsidRPr="00903ACB">
        <w:rPr>
          <w:b/>
          <w:bCs/>
          <w:sz w:val="22"/>
          <w:szCs w:val="22"/>
        </w:rPr>
        <w:t xml:space="preserve"> </w:t>
      </w:r>
      <w:r w:rsidR="00FF2182" w:rsidRPr="00903ACB">
        <w:rPr>
          <w:b/>
          <w:bCs/>
          <w:sz w:val="22"/>
          <w:szCs w:val="22"/>
        </w:rPr>
        <w:t>K</w:t>
      </w:r>
      <w:r w:rsidR="002758A7" w:rsidRPr="00903ACB">
        <w:rPr>
          <w:b/>
          <w:bCs/>
          <w:sz w:val="22"/>
          <w:szCs w:val="22"/>
        </w:rPr>
        <w:t>ey benefits obtained by the company from its international operations</w:t>
      </w:r>
      <w:bookmarkEnd w:id="9"/>
    </w:p>
    <w:p w14:paraId="2848C4FA" w14:textId="78AE29AA" w:rsidR="00097F04" w:rsidRPr="00097F04" w:rsidRDefault="00097F04" w:rsidP="00097F04">
      <w:pPr>
        <w:spacing w:after="0" w:line="360" w:lineRule="auto"/>
        <w:ind w:firstLine="567"/>
        <w:jc w:val="both"/>
        <w:rPr>
          <w:rFonts w:ascii="Arial" w:hAnsi="Arial" w:cs="Arial"/>
          <w:sz w:val="22"/>
          <w:szCs w:val="22"/>
        </w:rPr>
      </w:pPr>
      <w:r w:rsidRPr="00097F04">
        <w:rPr>
          <w:rFonts w:ascii="Arial" w:hAnsi="Arial" w:cs="Arial"/>
          <w:sz w:val="22"/>
          <w:szCs w:val="22"/>
        </w:rPr>
        <w:t>The fact that the four nations are not imitating one another is the very reason why Volkswagen has an advantage in the global market.  Slovak cost-efficient engineering, Brazilian size, and Moroccan frontier-market flexibility will cancel out Germany's technical depth and sustainability leadership.  According to Wild (2016), growth can only be achieved by turning these imbalances into advantages. This means that Volkswagen needs to do more than just occupy diversity in its institutions; it needs to actively manage it.</w:t>
      </w:r>
    </w:p>
    <w:p w14:paraId="06A5214A" w14:textId="7EF2F1A3" w:rsidR="00097F04" w:rsidRPr="00097F04" w:rsidRDefault="00097F04" w:rsidP="003962A6">
      <w:pPr>
        <w:spacing w:after="0" w:line="360" w:lineRule="auto"/>
        <w:ind w:firstLine="567"/>
        <w:jc w:val="both"/>
        <w:rPr>
          <w:rFonts w:ascii="Arial" w:hAnsi="Arial" w:cs="Arial"/>
          <w:sz w:val="22"/>
          <w:szCs w:val="22"/>
        </w:rPr>
      </w:pPr>
      <w:r w:rsidRPr="00097F04">
        <w:rPr>
          <w:rFonts w:ascii="Arial" w:hAnsi="Arial" w:cs="Arial"/>
          <w:sz w:val="22"/>
          <w:szCs w:val="22"/>
        </w:rPr>
        <w:t xml:space="preserve"> Because of inequalities in the distribution of work, logistics, and environmental pressure, economies of scale develop.  For Germany's heavy regulation to remain in place, Slovakia must embrace compliance efficiencies; for Brazil's unstable manufacturing base to make a significant impact, it must be combined with the resource-stable EU operations; and for Morocco's incremental CKD environment to be valuable, it must embrace low-risk experimentation without disrupting capital allocation.</w:t>
      </w:r>
    </w:p>
    <w:p w14:paraId="70AAF81A" w14:textId="5AC6CD00" w:rsidR="00097F04" w:rsidRPr="00097F04" w:rsidRDefault="00097F04" w:rsidP="00097F04">
      <w:pPr>
        <w:spacing w:after="0" w:line="360" w:lineRule="auto"/>
        <w:ind w:firstLine="567"/>
        <w:jc w:val="both"/>
        <w:rPr>
          <w:rFonts w:ascii="Arial" w:hAnsi="Arial" w:cs="Arial"/>
          <w:sz w:val="22"/>
          <w:szCs w:val="22"/>
        </w:rPr>
      </w:pPr>
      <w:r w:rsidRPr="00097F04">
        <w:rPr>
          <w:rFonts w:ascii="Arial" w:hAnsi="Arial" w:cs="Arial"/>
          <w:sz w:val="22"/>
          <w:szCs w:val="22"/>
        </w:rPr>
        <w:t xml:space="preserve"> Diversification of risk is still the most important advantage.  Slovak stability in relation to the euro mitigates volatility in Brazil's currency; low-cost model in Morocco absorbs pressure from rising sustainability costs in Germany.  When combined, these synergies strengthen Volkswagen's plans for expansion, new product development, and long-term market dominance</w:t>
      </w:r>
      <w:r w:rsidR="0068421D">
        <w:rPr>
          <w:rFonts w:ascii="Arial" w:hAnsi="Arial" w:cs="Arial"/>
          <w:sz w:val="22"/>
          <w:szCs w:val="22"/>
        </w:rPr>
        <w:t xml:space="preserve"> (Sloman et al., 2018</w:t>
      </w:r>
      <w:r w:rsidR="001F65CD">
        <w:rPr>
          <w:rFonts w:ascii="Arial" w:hAnsi="Arial" w:cs="Arial"/>
          <w:sz w:val="22"/>
          <w:szCs w:val="22"/>
        </w:rPr>
        <w:t>).</w:t>
      </w:r>
    </w:p>
    <w:p w14:paraId="2A5C3277" w14:textId="77777777" w:rsidR="00097F04" w:rsidRDefault="00097F04" w:rsidP="001D60C7">
      <w:pPr>
        <w:spacing w:after="0" w:line="360" w:lineRule="auto"/>
        <w:ind w:firstLine="567"/>
        <w:jc w:val="both"/>
        <w:rPr>
          <w:rFonts w:ascii="Arial" w:hAnsi="Arial" w:cs="Arial"/>
          <w:b/>
          <w:bCs/>
          <w:sz w:val="22"/>
          <w:szCs w:val="22"/>
        </w:rPr>
      </w:pPr>
    </w:p>
    <w:p w14:paraId="1F9FB136" w14:textId="77777777" w:rsidR="00097F04" w:rsidRDefault="00097F04" w:rsidP="001D60C7">
      <w:pPr>
        <w:spacing w:after="0" w:line="360" w:lineRule="auto"/>
        <w:ind w:firstLine="567"/>
        <w:jc w:val="both"/>
        <w:rPr>
          <w:rFonts w:ascii="Arial" w:hAnsi="Arial" w:cs="Arial"/>
          <w:b/>
          <w:bCs/>
          <w:sz w:val="22"/>
          <w:szCs w:val="22"/>
        </w:rPr>
      </w:pPr>
    </w:p>
    <w:p w14:paraId="5E294669" w14:textId="77777777" w:rsidR="0058110B" w:rsidRPr="00903ACB" w:rsidRDefault="00780CCB" w:rsidP="00903ACB">
      <w:pPr>
        <w:pStyle w:val="Heading1"/>
        <w:spacing w:before="0" w:after="0" w:line="360" w:lineRule="auto"/>
        <w:rPr>
          <w:b/>
          <w:bCs/>
          <w:sz w:val="22"/>
          <w:szCs w:val="22"/>
        </w:rPr>
      </w:pPr>
      <w:bookmarkStart w:id="10" w:name="_Toc214529456"/>
      <w:r w:rsidRPr="00903ACB">
        <w:rPr>
          <w:b/>
          <w:bCs/>
          <w:sz w:val="22"/>
          <w:szCs w:val="22"/>
        </w:rPr>
        <w:lastRenderedPageBreak/>
        <w:t xml:space="preserve">3. </w:t>
      </w:r>
      <w:r w:rsidR="00F04DC0" w:rsidRPr="00903ACB">
        <w:rPr>
          <w:b/>
          <w:bCs/>
          <w:sz w:val="22"/>
          <w:szCs w:val="22"/>
        </w:rPr>
        <w:t xml:space="preserve">Volkswagen </w:t>
      </w:r>
      <w:r w:rsidR="0093190E" w:rsidRPr="00903ACB">
        <w:rPr>
          <w:b/>
          <w:bCs/>
          <w:sz w:val="22"/>
          <w:szCs w:val="22"/>
        </w:rPr>
        <w:t xml:space="preserve">Group </w:t>
      </w:r>
      <w:r w:rsidR="00F04DC0" w:rsidRPr="00903ACB">
        <w:rPr>
          <w:b/>
          <w:bCs/>
          <w:sz w:val="22"/>
          <w:szCs w:val="22"/>
        </w:rPr>
        <w:t>OLI factors (Ownership, Location and Internalisation)</w:t>
      </w:r>
      <w:bookmarkEnd w:id="10"/>
      <w:r w:rsidR="008C5F93" w:rsidRPr="00903ACB">
        <w:rPr>
          <w:b/>
          <w:bCs/>
          <w:sz w:val="22"/>
          <w:szCs w:val="22"/>
        </w:rPr>
        <w:t xml:space="preserve"> </w:t>
      </w:r>
    </w:p>
    <w:p w14:paraId="72AAEFD1" w14:textId="6E340ED0" w:rsidR="00C956EB" w:rsidRPr="0058110B" w:rsidRDefault="008C5F93" w:rsidP="001D60C7">
      <w:pPr>
        <w:spacing w:after="0" w:line="360" w:lineRule="auto"/>
        <w:ind w:firstLine="567"/>
        <w:jc w:val="both"/>
        <w:rPr>
          <w:rFonts w:ascii="Arial" w:hAnsi="Arial" w:cs="Arial"/>
          <w:i/>
          <w:iCs/>
          <w:sz w:val="22"/>
          <w:szCs w:val="22"/>
        </w:rPr>
      </w:pPr>
      <w:r w:rsidRPr="0058110B">
        <w:rPr>
          <w:rFonts w:ascii="Arial" w:hAnsi="Arial" w:cs="Arial"/>
          <w:i/>
          <w:iCs/>
          <w:sz w:val="22"/>
          <w:szCs w:val="22"/>
        </w:rPr>
        <w:t>(1004</w:t>
      </w:r>
      <w:r w:rsidR="0058110B" w:rsidRPr="0058110B">
        <w:rPr>
          <w:rFonts w:ascii="Arial" w:hAnsi="Arial" w:cs="Arial"/>
          <w:i/>
          <w:iCs/>
          <w:sz w:val="22"/>
          <w:szCs w:val="22"/>
        </w:rPr>
        <w:t xml:space="preserve"> Words)</w:t>
      </w:r>
    </w:p>
    <w:p w14:paraId="192B7E4F" w14:textId="62BB234E" w:rsidR="00C956EB" w:rsidRDefault="004E015C" w:rsidP="001D60C7">
      <w:pPr>
        <w:spacing w:after="0" w:line="360" w:lineRule="auto"/>
        <w:ind w:firstLine="567"/>
        <w:jc w:val="both"/>
        <w:rPr>
          <w:rFonts w:ascii="Arial" w:hAnsi="Arial" w:cs="Arial"/>
          <w:sz w:val="22"/>
          <w:szCs w:val="22"/>
        </w:rPr>
      </w:pPr>
      <w:r w:rsidRPr="004E015C">
        <w:rPr>
          <w:rFonts w:ascii="Arial" w:hAnsi="Arial" w:cs="Arial"/>
          <w:sz w:val="22"/>
          <w:szCs w:val="22"/>
        </w:rPr>
        <w:t xml:space="preserve">When ownership, location, and internalisation advantages justify involvement, international companies switch from domestic production to foreign direct investment adopting the Eclectic Paradigm in Figure </w:t>
      </w:r>
      <w:r w:rsidR="008C3DFE">
        <w:rPr>
          <w:rFonts w:ascii="Arial" w:hAnsi="Arial" w:cs="Arial"/>
          <w:sz w:val="22"/>
          <w:szCs w:val="22"/>
        </w:rPr>
        <w:t>3</w:t>
      </w:r>
      <w:r w:rsidRPr="004E015C">
        <w:rPr>
          <w:rFonts w:ascii="Arial" w:hAnsi="Arial" w:cs="Arial"/>
          <w:sz w:val="22"/>
          <w:szCs w:val="22"/>
        </w:rPr>
        <w:t>.</w:t>
      </w:r>
    </w:p>
    <w:p w14:paraId="7954F821" w14:textId="77777777" w:rsidR="00C956EB" w:rsidRPr="009E3965" w:rsidRDefault="00C956EB" w:rsidP="008C3DFE">
      <w:pPr>
        <w:spacing w:after="0" w:line="360" w:lineRule="auto"/>
        <w:jc w:val="both"/>
        <w:rPr>
          <w:rFonts w:ascii="Arial" w:hAnsi="Arial" w:cs="Arial"/>
          <w:sz w:val="16"/>
          <w:szCs w:val="16"/>
        </w:rPr>
      </w:pPr>
    </w:p>
    <w:p w14:paraId="1E151100" w14:textId="5F176FBF" w:rsidR="00C956EB" w:rsidRPr="009E3965" w:rsidRDefault="00631C74" w:rsidP="009E3965">
      <w:pPr>
        <w:spacing w:after="0" w:line="360" w:lineRule="auto"/>
        <w:jc w:val="center"/>
        <w:rPr>
          <w:rFonts w:ascii="Arial" w:hAnsi="Arial" w:cs="Arial"/>
          <w:sz w:val="20"/>
          <w:szCs w:val="20"/>
        </w:rPr>
      </w:pPr>
      <w:r w:rsidRPr="009E3965">
        <w:rPr>
          <w:rFonts w:ascii="Arial" w:hAnsi="Arial" w:cs="Arial"/>
          <w:sz w:val="20"/>
          <w:szCs w:val="20"/>
        </w:rPr>
        <w:t xml:space="preserve">Figure 3. </w:t>
      </w:r>
      <w:r w:rsidR="000F254C" w:rsidRPr="009E3965">
        <w:rPr>
          <w:rFonts w:ascii="Arial" w:hAnsi="Arial" w:cs="Arial"/>
          <w:sz w:val="20"/>
          <w:szCs w:val="20"/>
        </w:rPr>
        <w:t xml:space="preserve">OLI factors in Volkswagen Group </w:t>
      </w:r>
      <w:r w:rsidR="009E3965" w:rsidRPr="009E3965">
        <w:rPr>
          <w:rFonts w:ascii="Arial" w:hAnsi="Arial" w:cs="Arial"/>
          <w:sz w:val="20"/>
          <w:szCs w:val="20"/>
        </w:rPr>
        <w:t>(Lampón, J. et al., 2017)</w:t>
      </w:r>
    </w:p>
    <w:p w14:paraId="1BB10C1E" w14:textId="54345493" w:rsidR="00F36D5F" w:rsidRDefault="008C3DFE" w:rsidP="009E3965">
      <w:pPr>
        <w:spacing w:after="0" w:line="360" w:lineRule="auto"/>
        <w:jc w:val="center"/>
        <w:rPr>
          <w:rFonts w:ascii="Arial" w:hAnsi="Arial" w:cs="Arial"/>
          <w:sz w:val="22"/>
          <w:szCs w:val="22"/>
        </w:rPr>
      </w:pPr>
      <w:r>
        <w:rPr>
          <w:rFonts w:ascii="Arial" w:hAnsi="Arial" w:cs="Arial"/>
          <w:noProof/>
          <w:sz w:val="22"/>
          <w:szCs w:val="22"/>
        </w:rPr>
        <w:drawing>
          <wp:inline distT="0" distB="0" distL="0" distR="0" wp14:anchorId="09AC79D0" wp14:editId="06132082">
            <wp:extent cx="4985795" cy="2352922"/>
            <wp:effectExtent l="0" t="0" r="5715" b="9525"/>
            <wp:docPr id="13583281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92102" cy="2355898"/>
                    </a:xfrm>
                    <a:prstGeom prst="rect">
                      <a:avLst/>
                    </a:prstGeom>
                    <a:noFill/>
                  </pic:spPr>
                </pic:pic>
              </a:graphicData>
            </a:graphic>
          </wp:inline>
        </w:drawing>
      </w:r>
    </w:p>
    <w:p w14:paraId="67795577" w14:textId="77777777" w:rsidR="00F36D5F" w:rsidRPr="00A0331F" w:rsidRDefault="00F36D5F" w:rsidP="001D60C7">
      <w:pPr>
        <w:spacing w:after="0" w:line="360" w:lineRule="auto"/>
        <w:ind w:firstLine="567"/>
        <w:jc w:val="both"/>
        <w:rPr>
          <w:rFonts w:ascii="Arial" w:hAnsi="Arial" w:cs="Arial"/>
          <w:sz w:val="16"/>
          <w:szCs w:val="16"/>
        </w:rPr>
      </w:pPr>
    </w:p>
    <w:p w14:paraId="42F6F466" w14:textId="154612EA" w:rsidR="00F36D5F" w:rsidRDefault="00EE5FAB" w:rsidP="001D60C7">
      <w:pPr>
        <w:spacing w:after="0" w:line="360" w:lineRule="auto"/>
        <w:ind w:firstLine="567"/>
        <w:jc w:val="both"/>
        <w:rPr>
          <w:rFonts w:ascii="Arial" w:hAnsi="Arial" w:cs="Arial"/>
          <w:sz w:val="22"/>
          <w:szCs w:val="22"/>
        </w:rPr>
      </w:pPr>
      <w:r w:rsidRPr="00EE5FAB">
        <w:rPr>
          <w:rFonts w:ascii="Arial" w:hAnsi="Arial" w:cs="Arial"/>
          <w:sz w:val="22"/>
          <w:szCs w:val="22"/>
        </w:rPr>
        <w:t>Competitive strength for Volkswagen (VW) results from the interactions between the four economies that were chosen, rather than from any one of them acting alone.  Consequently, the OLI framework reveals the reasons behind VW's strategy deviation from a universal approach in Germany, Brazil, Slovakia, and Morocco, as well as how an incorrect mode choice might impact the entire network</w:t>
      </w:r>
      <w:r w:rsidR="00A0331F">
        <w:rPr>
          <w:rFonts w:ascii="Arial" w:hAnsi="Arial" w:cs="Arial"/>
          <w:sz w:val="22"/>
          <w:szCs w:val="22"/>
        </w:rPr>
        <w:t xml:space="preserve"> (</w:t>
      </w:r>
      <w:r w:rsidR="00A0331F" w:rsidRPr="00A0331F">
        <w:rPr>
          <w:rFonts w:ascii="Arial" w:hAnsi="Arial" w:cs="Arial"/>
          <w:sz w:val="22"/>
          <w:szCs w:val="22"/>
        </w:rPr>
        <w:t>Lampón, J. et al., 2017)</w:t>
      </w:r>
      <w:r w:rsidR="00A0331F">
        <w:rPr>
          <w:rFonts w:ascii="Arial" w:hAnsi="Arial" w:cs="Arial"/>
          <w:sz w:val="22"/>
          <w:szCs w:val="22"/>
        </w:rPr>
        <w:t>.</w:t>
      </w:r>
    </w:p>
    <w:p w14:paraId="10F92DD6" w14:textId="271C475C" w:rsidR="00F36D5F" w:rsidRPr="00903ACB" w:rsidRDefault="00A0331F" w:rsidP="00903ACB">
      <w:pPr>
        <w:pStyle w:val="Heading1"/>
        <w:spacing w:before="0" w:after="0" w:line="360" w:lineRule="auto"/>
        <w:rPr>
          <w:b/>
          <w:bCs/>
        </w:rPr>
      </w:pPr>
      <w:bookmarkStart w:id="11" w:name="_Toc214529457"/>
      <w:r w:rsidRPr="00903ACB">
        <w:rPr>
          <w:b/>
          <w:bCs/>
          <w:sz w:val="22"/>
          <w:szCs w:val="22"/>
        </w:rPr>
        <w:t xml:space="preserve">3.1. </w:t>
      </w:r>
      <w:r w:rsidR="004E04D2" w:rsidRPr="00903ACB">
        <w:rPr>
          <w:b/>
          <w:bCs/>
          <w:sz w:val="22"/>
          <w:szCs w:val="22"/>
        </w:rPr>
        <w:t>Ownership Advantages</w:t>
      </w:r>
      <w:bookmarkEnd w:id="11"/>
    </w:p>
    <w:p w14:paraId="74672B19" w14:textId="28BB6448" w:rsidR="004E04D2" w:rsidRPr="00737B4A" w:rsidRDefault="00737B4A" w:rsidP="001D60C7">
      <w:pPr>
        <w:spacing w:after="0" w:line="360" w:lineRule="auto"/>
        <w:ind w:firstLine="567"/>
        <w:jc w:val="both"/>
        <w:rPr>
          <w:rFonts w:ascii="Arial" w:hAnsi="Arial" w:cs="Arial"/>
          <w:sz w:val="22"/>
          <w:szCs w:val="22"/>
        </w:rPr>
      </w:pPr>
      <w:r w:rsidRPr="00737B4A">
        <w:rPr>
          <w:rFonts w:ascii="Arial" w:hAnsi="Arial" w:cs="Arial"/>
          <w:sz w:val="22"/>
          <w:szCs w:val="22"/>
        </w:rPr>
        <w:t>VW's patented technology, electrification platforms (MEB/MQB), brand reputation, R&amp;D, and long-established supplier networks give it ownership benefits.  These strengths only matter if they can traverse borders without IP leakage, institutional hindrance, or operational value loss.  Table 5 shows ownership benefits in each of the economies.</w:t>
      </w:r>
    </w:p>
    <w:p w14:paraId="7CBED8A6" w14:textId="77777777" w:rsidR="00F36D5F" w:rsidRDefault="00F36D5F" w:rsidP="001D60C7">
      <w:pPr>
        <w:spacing w:after="0" w:line="360" w:lineRule="auto"/>
        <w:ind w:firstLine="567"/>
        <w:jc w:val="both"/>
        <w:rPr>
          <w:rFonts w:ascii="Arial" w:hAnsi="Arial" w:cs="Arial"/>
          <w:sz w:val="22"/>
          <w:szCs w:val="22"/>
        </w:rPr>
      </w:pPr>
    </w:p>
    <w:p w14:paraId="1791B80B" w14:textId="77777777" w:rsidR="00F36D5F" w:rsidRDefault="00F36D5F" w:rsidP="001D60C7">
      <w:pPr>
        <w:spacing w:after="0" w:line="360" w:lineRule="auto"/>
        <w:ind w:firstLine="567"/>
        <w:jc w:val="both"/>
        <w:rPr>
          <w:rFonts w:ascii="Arial" w:hAnsi="Arial" w:cs="Arial"/>
          <w:sz w:val="22"/>
          <w:szCs w:val="22"/>
        </w:rPr>
      </w:pPr>
    </w:p>
    <w:p w14:paraId="7142444E" w14:textId="77777777" w:rsidR="00F36D5F" w:rsidRDefault="00F36D5F" w:rsidP="001D60C7">
      <w:pPr>
        <w:spacing w:after="0" w:line="360" w:lineRule="auto"/>
        <w:ind w:firstLine="567"/>
        <w:jc w:val="both"/>
        <w:rPr>
          <w:rFonts w:ascii="Arial" w:hAnsi="Arial" w:cs="Arial"/>
          <w:sz w:val="22"/>
          <w:szCs w:val="22"/>
        </w:rPr>
      </w:pPr>
    </w:p>
    <w:p w14:paraId="2F5E575F" w14:textId="77777777" w:rsidR="00F36D5F" w:rsidRDefault="00F36D5F" w:rsidP="001D60C7">
      <w:pPr>
        <w:spacing w:after="0" w:line="360" w:lineRule="auto"/>
        <w:ind w:firstLine="567"/>
        <w:jc w:val="both"/>
        <w:rPr>
          <w:rFonts w:ascii="Arial" w:hAnsi="Arial" w:cs="Arial"/>
          <w:sz w:val="22"/>
          <w:szCs w:val="22"/>
        </w:rPr>
      </w:pPr>
    </w:p>
    <w:p w14:paraId="36CDDA89" w14:textId="77777777" w:rsidR="00F36D5F" w:rsidRDefault="00F36D5F" w:rsidP="001D60C7">
      <w:pPr>
        <w:spacing w:after="0" w:line="360" w:lineRule="auto"/>
        <w:ind w:firstLine="567"/>
        <w:jc w:val="both"/>
        <w:rPr>
          <w:rFonts w:ascii="Arial" w:hAnsi="Arial" w:cs="Arial"/>
          <w:sz w:val="22"/>
          <w:szCs w:val="22"/>
        </w:rPr>
      </w:pPr>
    </w:p>
    <w:p w14:paraId="1187817F" w14:textId="77777777" w:rsidR="00F36D5F" w:rsidRDefault="00F36D5F" w:rsidP="001D60C7">
      <w:pPr>
        <w:spacing w:after="0" w:line="360" w:lineRule="auto"/>
        <w:ind w:firstLine="567"/>
        <w:jc w:val="both"/>
        <w:rPr>
          <w:rFonts w:ascii="Arial" w:hAnsi="Arial" w:cs="Arial"/>
          <w:sz w:val="22"/>
          <w:szCs w:val="22"/>
        </w:rPr>
      </w:pPr>
    </w:p>
    <w:p w14:paraId="2EACFFBE" w14:textId="77777777" w:rsidR="00C956EB" w:rsidRDefault="00C956EB" w:rsidP="001D60C7">
      <w:pPr>
        <w:spacing w:after="0" w:line="360" w:lineRule="auto"/>
        <w:ind w:firstLine="567"/>
        <w:jc w:val="both"/>
        <w:rPr>
          <w:rFonts w:ascii="Arial" w:hAnsi="Arial" w:cs="Arial"/>
          <w:sz w:val="22"/>
          <w:szCs w:val="22"/>
        </w:rPr>
      </w:pPr>
    </w:p>
    <w:p w14:paraId="35BF8725" w14:textId="77777777" w:rsidR="00C956EB" w:rsidRDefault="00C956EB" w:rsidP="001D60C7">
      <w:pPr>
        <w:spacing w:after="0" w:line="360" w:lineRule="auto"/>
        <w:ind w:firstLine="567"/>
        <w:jc w:val="both"/>
        <w:rPr>
          <w:rFonts w:ascii="Arial" w:hAnsi="Arial" w:cs="Arial"/>
          <w:sz w:val="22"/>
          <w:szCs w:val="22"/>
        </w:rPr>
      </w:pPr>
    </w:p>
    <w:p w14:paraId="64635CCD" w14:textId="77777777" w:rsidR="00C956EB" w:rsidRDefault="00C956EB" w:rsidP="001D60C7">
      <w:pPr>
        <w:spacing w:after="0" w:line="360" w:lineRule="auto"/>
        <w:ind w:firstLine="567"/>
        <w:jc w:val="both"/>
        <w:rPr>
          <w:rFonts w:ascii="Arial" w:hAnsi="Arial" w:cs="Arial"/>
          <w:sz w:val="22"/>
          <w:szCs w:val="22"/>
        </w:rPr>
      </w:pPr>
    </w:p>
    <w:p w14:paraId="46B284C1" w14:textId="6F43653C" w:rsidR="00C956EB" w:rsidRPr="00E05D1F" w:rsidRDefault="007A38B5" w:rsidP="00416E48">
      <w:pPr>
        <w:spacing w:after="0" w:line="360" w:lineRule="auto"/>
        <w:jc w:val="center"/>
        <w:rPr>
          <w:rFonts w:ascii="Arial" w:hAnsi="Arial" w:cs="Arial"/>
          <w:sz w:val="20"/>
          <w:szCs w:val="20"/>
        </w:rPr>
      </w:pPr>
      <w:r w:rsidRPr="00E05D1F">
        <w:rPr>
          <w:rFonts w:ascii="Arial" w:hAnsi="Arial" w:cs="Arial"/>
          <w:sz w:val="20"/>
          <w:szCs w:val="20"/>
        </w:rPr>
        <w:lastRenderedPageBreak/>
        <w:t>Table 5. Volkswagen’s Ownership Advantages Across Four Countries</w:t>
      </w:r>
    </w:p>
    <w:p w14:paraId="7A633955" w14:textId="7EB83982" w:rsidR="00E05D1F" w:rsidRDefault="008B5E53" w:rsidP="008B5E53">
      <w:pPr>
        <w:spacing w:after="0" w:line="360" w:lineRule="auto"/>
        <w:jc w:val="center"/>
        <w:rPr>
          <w:rFonts w:ascii="Arial" w:hAnsi="Arial" w:cs="Arial"/>
          <w:sz w:val="22"/>
          <w:szCs w:val="22"/>
        </w:rPr>
      </w:pPr>
      <w:r w:rsidRPr="008B5E53">
        <w:rPr>
          <w:rFonts w:ascii="Arial" w:hAnsi="Arial" w:cs="Arial"/>
          <w:noProof/>
          <w:sz w:val="22"/>
          <w:szCs w:val="22"/>
        </w:rPr>
        <w:drawing>
          <wp:inline distT="0" distB="0" distL="0" distR="0" wp14:anchorId="04943766" wp14:editId="25E20675">
            <wp:extent cx="5731510" cy="2625725"/>
            <wp:effectExtent l="0" t="0" r="2540" b="3175"/>
            <wp:docPr id="255181290" name="Picture 1" descr="A table of informationa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181290" name="Picture 1" descr="A table of informational text&#10;&#10;AI-generated content may be incorrect."/>
                    <pic:cNvPicPr/>
                  </pic:nvPicPr>
                  <pic:blipFill>
                    <a:blip r:embed="rId18"/>
                    <a:stretch>
                      <a:fillRect/>
                    </a:stretch>
                  </pic:blipFill>
                  <pic:spPr>
                    <a:xfrm>
                      <a:off x="0" y="0"/>
                      <a:ext cx="5731510" cy="2625725"/>
                    </a:xfrm>
                    <a:prstGeom prst="rect">
                      <a:avLst/>
                    </a:prstGeom>
                  </pic:spPr>
                </pic:pic>
              </a:graphicData>
            </a:graphic>
          </wp:inline>
        </w:drawing>
      </w:r>
    </w:p>
    <w:p w14:paraId="072C1B83" w14:textId="42E43DFE" w:rsidR="00C956EB" w:rsidRDefault="00E05D1F" w:rsidP="008B5E53">
      <w:pPr>
        <w:spacing w:after="0" w:line="360" w:lineRule="auto"/>
        <w:ind w:firstLine="567"/>
        <w:jc w:val="center"/>
        <w:rPr>
          <w:rFonts w:ascii="Arial" w:hAnsi="Arial" w:cs="Arial"/>
          <w:i/>
          <w:iCs/>
          <w:sz w:val="20"/>
          <w:szCs w:val="20"/>
        </w:rPr>
      </w:pPr>
      <w:bookmarkStart w:id="12" w:name="_Hlk214288322"/>
      <w:r w:rsidRPr="008B5E53">
        <w:rPr>
          <w:rFonts w:ascii="Arial" w:hAnsi="Arial" w:cs="Arial"/>
          <w:i/>
          <w:iCs/>
          <w:sz w:val="20"/>
          <w:szCs w:val="20"/>
        </w:rPr>
        <w:t xml:space="preserve">(Source: Created by author from </w:t>
      </w:r>
      <w:bookmarkEnd w:id="12"/>
      <w:r w:rsidRPr="008B5E53">
        <w:rPr>
          <w:rFonts w:ascii="Arial" w:hAnsi="Arial" w:cs="Arial"/>
          <w:i/>
          <w:iCs/>
          <w:sz w:val="20"/>
          <w:szCs w:val="20"/>
        </w:rPr>
        <w:t>Daniels et al.’s 2022 and Volkswagen Group, 2025)</w:t>
      </w:r>
    </w:p>
    <w:p w14:paraId="5553D08F" w14:textId="77777777" w:rsidR="0002769E" w:rsidRPr="0002769E" w:rsidRDefault="0002769E" w:rsidP="008B5E53">
      <w:pPr>
        <w:spacing w:after="0" w:line="360" w:lineRule="auto"/>
        <w:ind w:firstLine="567"/>
        <w:jc w:val="center"/>
        <w:rPr>
          <w:rFonts w:ascii="Arial" w:hAnsi="Arial" w:cs="Arial"/>
          <w:i/>
          <w:iCs/>
          <w:sz w:val="16"/>
          <w:szCs w:val="16"/>
        </w:rPr>
      </w:pPr>
    </w:p>
    <w:p w14:paraId="3E43CF37" w14:textId="1D59089E" w:rsidR="0002769E" w:rsidRPr="0002769E" w:rsidRDefault="0002769E" w:rsidP="0002769E">
      <w:pPr>
        <w:spacing w:after="0" w:line="360" w:lineRule="auto"/>
        <w:ind w:firstLine="567"/>
        <w:jc w:val="both"/>
        <w:rPr>
          <w:rFonts w:ascii="Arial" w:hAnsi="Arial" w:cs="Arial"/>
          <w:sz w:val="22"/>
          <w:szCs w:val="22"/>
        </w:rPr>
      </w:pPr>
      <w:r w:rsidRPr="0002769E">
        <w:rPr>
          <w:rFonts w:ascii="Arial" w:hAnsi="Arial" w:cs="Arial"/>
          <w:sz w:val="22"/>
          <w:szCs w:val="22"/>
        </w:rPr>
        <w:t>However, despite Germany's greatest ownership advantages, the country's stringent regulatory framework makes more ownership costly, therefore this does not justify increasing FDI.  The advantages of Volkswagen's technological superiority would has decreased if the company aggressively extended its proprietary operations in Germany, due to increasing labour costs and carbon compliance demands (Volkswagen Group, 2024a).  Consequently, a high-commitment mode is not always the result of strong ownership.</w:t>
      </w:r>
    </w:p>
    <w:p w14:paraId="762DD905" w14:textId="7BC0B7BE" w:rsidR="0002769E" w:rsidRPr="0002769E" w:rsidRDefault="0002769E" w:rsidP="00507F1B">
      <w:pPr>
        <w:spacing w:after="0" w:line="360" w:lineRule="auto"/>
        <w:ind w:firstLine="567"/>
        <w:jc w:val="both"/>
        <w:rPr>
          <w:rFonts w:ascii="Arial" w:hAnsi="Arial" w:cs="Arial"/>
          <w:sz w:val="22"/>
          <w:szCs w:val="22"/>
        </w:rPr>
      </w:pPr>
      <w:r w:rsidRPr="0002769E">
        <w:rPr>
          <w:rFonts w:ascii="Arial" w:hAnsi="Arial" w:cs="Arial"/>
          <w:sz w:val="22"/>
          <w:szCs w:val="22"/>
        </w:rPr>
        <w:t xml:space="preserve"> On the other hand, Brazil presents a problem.  Full ownership might erode VW's ownership advantages owing to high regulatory arbitrariness and insufficient institutional enforcement.  In line with the claim made by Daniels et al. (2022) that JVs serve as institutional "shock absorbers," the corporation is shielded from potential legal and political risks by dividing them up among local partners in a joint venture.</w:t>
      </w:r>
    </w:p>
    <w:p w14:paraId="02D21D3A" w14:textId="6018A21A" w:rsidR="0002769E" w:rsidRPr="0002769E" w:rsidRDefault="0002769E" w:rsidP="00507F1B">
      <w:pPr>
        <w:spacing w:after="0" w:line="360" w:lineRule="auto"/>
        <w:ind w:firstLine="567"/>
        <w:jc w:val="both"/>
        <w:rPr>
          <w:rFonts w:ascii="Arial" w:hAnsi="Arial" w:cs="Arial"/>
          <w:sz w:val="22"/>
          <w:szCs w:val="22"/>
        </w:rPr>
      </w:pPr>
      <w:r w:rsidRPr="0002769E">
        <w:rPr>
          <w:rFonts w:ascii="Arial" w:hAnsi="Arial" w:cs="Arial"/>
          <w:sz w:val="22"/>
          <w:szCs w:val="22"/>
        </w:rPr>
        <w:t xml:space="preserve"> Due to the stable industrial policy and EU IP legislation, Slovakia provides an environment where ownership advantages can be fully realised.  Strategically, </w:t>
      </w:r>
      <w:r w:rsidR="00507F1B" w:rsidRPr="0002769E">
        <w:rPr>
          <w:rFonts w:ascii="Arial" w:hAnsi="Arial" w:cs="Arial"/>
          <w:sz w:val="22"/>
          <w:szCs w:val="22"/>
        </w:rPr>
        <w:t>wholly owned</w:t>
      </w:r>
      <w:r w:rsidRPr="0002769E">
        <w:rPr>
          <w:rFonts w:ascii="Arial" w:hAnsi="Arial" w:cs="Arial"/>
          <w:sz w:val="22"/>
          <w:szCs w:val="22"/>
        </w:rPr>
        <w:t xml:space="preserve"> subsidiaries are more justified in this country than in emerging countries because of the highly trained staff, which increases platform efficiency and decreases adaption costs (Hennart, 2022).</w:t>
      </w:r>
    </w:p>
    <w:p w14:paraId="170B2839" w14:textId="51B7E9E0" w:rsidR="00C956EB" w:rsidRDefault="0002769E" w:rsidP="0002769E">
      <w:pPr>
        <w:spacing w:after="0" w:line="360" w:lineRule="auto"/>
        <w:ind w:firstLine="567"/>
        <w:jc w:val="both"/>
        <w:rPr>
          <w:rFonts w:ascii="Arial" w:hAnsi="Arial" w:cs="Arial"/>
          <w:sz w:val="22"/>
          <w:szCs w:val="22"/>
        </w:rPr>
      </w:pPr>
      <w:r w:rsidRPr="0002769E">
        <w:rPr>
          <w:rFonts w:ascii="Arial" w:hAnsi="Arial" w:cs="Arial"/>
          <w:sz w:val="22"/>
          <w:szCs w:val="22"/>
        </w:rPr>
        <w:t xml:space="preserve"> Trade in cutting-edge electronics suffers from restrictions by Morocco's feeble supplier environment and weak intellectual property enforcement.  Volkswagen may lose technology and cause a misalignment between its high-cost innovations and its low-capability absorption if it took too much control of this.  Consequently, regulated CKD operations and low-commitment JV models are favoured by owners due to ownership advantages.</w:t>
      </w:r>
    </w:p>
    <w:p w14:paraId="489404DA" w14:textId="77777777" w:rsidR="00C956EB" w:rsidRDefault="00C956EB" w:rsidP="001D60C7">
      <w:pPr>
        <w:spacing w:after="0" w:line="360" w:lineRule="auto"/>
        <w:ind w:firstLine="567"/>
        <w:jc w:val="both"/>
        <w:rPr>
          <w:rFonts w:ascii="Arial" w:hAnsi="Arial" w:cs="Arial"/>
          <w:sz w:val="22"/>
          <w:szCs w:val="22"/>
        </w:rPr>
      </w:pPr>
    </w:p>
    <w:p w14:paraId="794B312E" w14:textId="77777777" w:rsidR="002E311F" w:rsidRDefault="002E311F" w:rsidP="001D60C7">
      <w:pPr>
        <w:spacing w:after="0" w:line="360" w:lineRule="auto"/>
        <w:ind w:firstLine="567"/>
        <w:jc w:val="both"/>
        <w:rPr>
          <w:rFonts w:ascii="Arial" w:hAnsi="Arial" w:cs="Arial"/>
          <w:sz w:val="22"/>
          <w:szCs w:val="22"/>
        </w:rPr>
      </w:pPr>
    </w:p>
    <w:p w14:paraId="7E749DED" w14:textId="2D674C1A" w:rsidR="00C956EB" w:rsidRPr="00903ACB" w:rsidRDefault="00EF6AA2" w:rsidP="00903ACB">
      <w:pPr>
        <w:pStyle w:val="Heading1"/>
        <w:spacing w:before="0" w:after="0" w:line="360" w:lineRule="auto"/>
        <w:rPr>
          <w:b/>
          <w:bCs/>
          <w:sz w:val="22"/>
          <w:szCs w:val="22"/>
        </w:rPr>
      </w:pPr>
      <w:bookmarkStart w:id="13" w:name="_Toc214529458"/>
      <w:r w:rsidRPr="00903ACB">
        <w:rPr>
          <w:b/>
          <w:bCs/>
          <w:sz w:val="22"/>
          <w:szCs w:val="22"/>
        </w:rPr>
        <w:lastRenderedPageBreak/>
        <w:t>3.2 Location Advantages (labour cost, market size, infrastructure)</w:t>
      </w:r>
      <w:bookmarkEnd w:id="13"/>
    </w:p>
    <w:p w14:paraId="3F9DA45A" w14:textId="77777777" w:rsidR="002C2B6F" w:rsidRPr="002C2B6F" w:rsidRDefault="002C2B6F" w:rsidP="002C2B6F">
      <w:pPr>
        <w:spacing w:after="0" w:line="360" w:lineRule="auto"/>
        <w:ind w:firstLine="567"/>
        <w:jc w:val="both"/>
        <w:rPr>
          <w:rFonts w:ascii="Arial" w:hAnsi="Arial" w:cs="Arial"/>
          <w:sz w:val="22"/>
          <w:szCs w:val="22"/>
        </w:rPr>
      </w:pPr>
      <w:r w:rsidRPr="002C2B6F">
        <w:rPr>
          <w:rFonts w:ascii="Arial" w:hAnsi="Arial" w:cs="Arial"/>
          <w:sz w:val="22"/>
          <w:szCs w:val="22"/>
        </w:rPr>
        <w:t>The advantages of location impact the suitability of domestic production, the potential for export, or the integration into overseas manufacturing facilities.  Germany presents robust infrastructure and a stable market; however, it is burdened by elevated labour costs and energy vulnerabilities.  Brazil has strengths in domestic demand and labour costs; however, the instability in regulations reduces predictability.  Slovakia has the advantage of EU logistics corridors and reasonable costs, while Morocco provides access to North and West Africa with competitive labour, though its infrastructure is lacking.</w:t>
      </w:r>
    </w:p>
    <w:p w14:paraId="3247660D" w14:textId="10ADE897" w:rsidR="00C956EB" w:rsidRDefault="002C2B6F" w:rsidP="002C2B6F">
      <w:pPr>
        <w:spacing w:after="0" w:line="360" w:lineRule="auto"/>
        <w:ind w:firstLine="567"/>
        <w:jc w:val="both"/>
        <w:rPr>
          <w:rFonts w:ascii="Arial" w:hAnsi="Arial" w:cs="Arial"/>
          <w:sz w:val="22"/>
          <w:szCs w:val="22"/>
        </w:rPr>
      </w:pPr>
      <w:r w:rsidRPr="002C2B6F">
        <w:rPr>
          <w:rFonts w:ascii="Arial" w:hAnsi="Arial" w:cs="Arial"/>
          <w:sz w:val="22"/>
          <w:szCs w:val="22"/>
        </w:rPr>
        <w:t xml:space="preserve"> The significance of this cannot be overstated:  If VW ignores the variations in location advantages, the company could misallocate production, weaken its competitiveness in electrification, or exacerbate delays in the supply chain</w:t>
      </w:r>
      <w:r w:rsidR="00A62991">
        <w:rPr>
          <w:rFonts w:ascii="Arial" w:hAnsi="Arial" w:cs="Arial"/>
          <w:sz w:val="22"/>
          <w:szCs w:val="22"/>
        </w:rPr>
        <w:t xml:space="preserve"> (</w:t>
      </w:r>
      <w:r w:rsidR="00A62991" w:rsidRPr="00A62991">
        <w:rPr>
          <w:rFonts w:ascii="Arial" w:hAnsi="Arial" w:cs="Arial"/>
          <w:sz w:val="22"/>
          <w:szCs w:val="22"/>
        </w:rPr>
        <w:t>Reuters</w:t>
      </w:r>
      <w:r w:rsidR="00A62991">
        <w:rPr>
          <w:rFonts w:ascii="Arial" w:hAnsi="Arial" w:cs="Arial"/>
          <w:sz w:val="22"/>
          <w:szCs w:val="22"/>
        </w:rPr>
        <w:t xml:space="preserve">, </w:t>
      </w:r>
      <w:r w:rsidR="00A62991" w:rsidRPr="00A62991">
        <w:rPr>
          <w:rFonts w:ascii="Arial" w:hAnsi="Arial" w:cs="Arial"/>
          <w:sz w:val="22"/>
          <w:szCs w:val="22"/>
        </w:rPr>
        <w:t>2024)</w:t>
      </w:r>
      <w:r w:rsidR="00A62991">
        <w:rPr>
          <w:rFonts w:ascii="Arial" w:hAnsi="Arial" w:cs="Arial"/>
          <w:sz w:val="22"/>
          <w:szCs w:val="22"/>
        </w:rPr>
        <w:t>.</w:t>
      </w:r>
    </w:p>
    <w:p w14:paraId="69A694D2" w14:textId="76BEFEA4" w:rsidR="00C956EB" w:rsidRPr="00903ACB" w:rsidRDefault="00420103" w:rsidP="00903ACB">
      <w:pPr>
        <w:pStyle w:val="Heading1"/>
        <w:spacing w:before="0" w:after="0" w:line="360" w:lineRule="auto"/>
        <w:rPr>
          <w:b/>
          <w:bCs/>
          <w:sz w:val="22"/>
          <w:szCs w:val="22"/>
        </w:rPr>
      </w:pPr>
      <w:bookmarkStart w:id="14" w:name="_Toc214529459"/>
      <w:r w:rsidRPr="00903ACB">
        <w:rPr>
          <w:b/>
          <w:bCs/>
          <w:sz w:val="22"/>
          <w:szCs w:val="22"/>
        </w:rPr>
        <w:t>3.3 Internalisation Benefits (retaining control, avoiding leakage, managing quality)</w:t>
      </w:r>
      <w:bookmarkEnd w:id="14"/>
    </w:p>
    <w:p w14:paraId="555E0983" w14:textId="77777777" w:rsidR="00E15B96" w:rsidRPr="00E15B96" w:rsidRDefault="00E15B96" w:rsidP="00E15B96">
      <w:pPr>
        <w:spacing w:after="0" w:line="360" w:lineRule="auto"/>
        <w:ind w:firstLine="567"/>
        <w:jc w:val="both"/>
        <w:rPr>
          <w:rFonts w:ascii="Arial" w:hAnsi="Arial" w:cs="Arial"/>
          <w:sz w:val="22"/>
          <w:szCs w:val="22"/>
        </w:rPr>
      </w:pPr>
      <w:r w:rsidRPr="00E15B96">
        <w:rPr>
          <w:rFonts w:ascii="Arial" w:hAnsi="Arial" w:cs="Arial"/>
          <w:sz w:val="22"/>
          <w:szCs w:val="22"/>
        </w:rPr>
        <w:t>Because of the highly regulated nature of the industries in which VW operates, outsourcing quality control, safety measures, and software integration would be a huge financial loss.  Yet, political vulnerability increases with too much internalisation in high-risk markets, while strategic coordination suffers with too little internalisation in core markets.</w:t>
      </w:r>
    </w:p>
    <w:p w14:paraId="4B861ABF" w14:textId="139FD556" w:rsidR="00420103" w:rsidRPr="00420103" w:rsidRDefault="00E15B96" w:rsidP="00E15B96">
      <w:pPr>
        <w:spacing w:after="0" w:line="360" w:lineRule="auto"/>
        <w:ind w:firstLine="567"/>
        <w:jc w:val="both"/>
        <w:rPr>
          <w:rFonts w:ascii="Arial" w:hAnsi="Arial" w:cs="Arial"/>
          <w:sz w:val="22"/>
          <w:szCs w:val="22"/>
        </w:rPr>
      </w:pPr>
      <w:r w:rsidRPr="00E15B96">
        <w:rPr>
          <w:rFonts w:ascii="Arial" w:hAnsi="Arial" w:cs="Arial"/>
          <w:sz w:val="22"/>
          <w:szCs w:val="22"/>
        </w:rPr>
        <w:t xml:space="preserve"> Due to their stable industrial policies and strong institutional frameworks, Germany and Slovakia are in favour of complete internalisation.  Morocco and Brazil do not because internalisation becomes too high due to infrastructure restrictions, political risks, and fluctuating exchange rates without joint ventures (Daniels, J. et al., 2022).</w:t>
      </w:r>
    </w:p>
    <w:p w14:paraId="56566DB2" w14:textId="594E5429" w:rsidR="00420103" w:rsidRPr="00903ACB" w:rsidRDefault="00D765D7" w:rsidP="00903ACB">
      <w:pPr>
        <w:pStyle w:val="Heading1"/>
        <w:spacing w:before="0" w:after="0" w:line="360" w:lineRule="auto"/>
        <w:rPr>
          <w:b/>
          <w:bCs/>
          <w:sz w:val="22"/>
          <w:szCs w:val="22"/>
        </w:rPr>
      </w:pPr>
      <w:bookmarkStart w:id="15" w:name="_Toc214529460"/>
      <w:r w:rsidRPr="00903ACB">
        <w:rPr>
          <w:b/>
          <w:bCs/>
          <w:sz w:val="22"/>
          <w:szCs w:val="22"/>
        </w:rPr>
        <w:t>3.4 Integrated Comparison of OLI Across Countries</w:t>
      </w:r>
      <w:bookmarkEnd w:id="15"/>
    </w:p>
    <w:p w14:paraId="61BD12AA" w14:textId="5A61BF12" w:rsidR="00D765D7" w:rsidRDefault="005D0D6C" w:rsidP="001D60C7">
      <w:pPr>
        <w:spacing w:after="0" w:line="360" w:lineRule="auto"/>
        <w:ind w:firstLine="567"/>
        <w:jc w:val="both"/>
        <w:rPr>
          <w:rFonts w:ascii="Arial" w:hAnsi="Arial" w:cs="Arial"/>
          <w:sz w:val="22"/>
          <w:szCs w:val="22"/>
        </w:rPr>
      </w:pPr>
      <w:r w:rsidRPr="005D0D6C">
        <w:rPr>
          <w:rFonts w:ascii="Arial" w:hAnsi="Arial" w:cs="Arial"/>
          <w:sz w:val="22"/>
          <w:szCs w:val="22"/>
        </w:rPr>
        <w:t>The comparison indicates that OLI factors do not result in a consistent entry mode.  The interconnection among countries indicates that every choice impacts the entire corporate framework - table 6</w:t>
      </w:r>
      <w:r>
        <w:rPr>
          <w:rFonts w:ascii="Arial" w:hAnsi="Arial" w:cs="Arial"/>
          <w:sz w:val="22"/>
          <w:szCs w:val="22"/>
        </w:rPr>
        <w:t>.</w:t>
      </w:r>
    </w:p>
    <w:p w14:paraId="0CA5BEA8" w14:textId="77777777" w:rsidR="00FE4476" w:rsidRPr="00FE4476" w:rsidRDefault="00FE4476" w:rsidP="001D60C7">
      <w:pPr>
        <w:spacing w:after="0" w:line="360" w:lineRule="auto"/>
        <w:ind w:firstLine="567"/>
        <w:jc w:val="both"/>
        <w:rPr>
          <w:rFonts w:ascii="Arial" w:hAnsi="Arial" w:cs="Arial"/>
          <w:sz w:val="16"/>
          <w:szCs w:val="16"/>
        </w:rPr>
      </w:pPr>
    </w:p>
    <w:p w14:paraId="62EBCFA5" w14:textId="28240CE5" w:rsidR="005D0D6C" w:rsidRPr="00FE4476" w:rsidRDefault="00FE4476" w:rsidP="00FE4476">
      <w:pPr>
        <w:spacing w:after="0" w:line="360" w:lineRule="auto"/>
        <w:jc w:val="center"/>
        <w:rPr>
          <w:rFonts w:ascii="Arial" w:hAnsi="Arial" w:cs="Arial"/>
          <w:sz w:val="20"/>
          <w:szCs w:val="20"/>
        </w:rPr>
      </w:pPr>
      <w:r w:rsidRPr="00FE4476">
        <w:rPr>
          <w:rFonts w:ascii="Arial" w:hAnsi="Arial" w:cs="Arial"/>
          <w:sz w:val="20"/>
          <w:szCs w:val="20"/>
        </w:rPr>
        <w:t>Table 6. Comparison of OLI Implications for Entry Mode Across Four Economies</w:t>
      </w:r>
    </w:p>
    <w:p w14:paraId="51AE393E" w14:textId="01FF5C6D" w:rsidR="00806AB1" w:rsidRDefault="00806AB1" w:rsidP="00ED6CAC">
      <w:pPr>
        <w:spacing w:after="0" w:line="360" w:lineRule="auto"/>
        <w:jc w:val="center"/>
        <w:rPr>
          <w:rFonts w:ascii="Arial" w:hAnsi="Arial" w:cs="Arial"/>
          <w:i/>
          <w:iCs/>
          <w:sz w:val="20"/>
          <w:szCs w:val="20"/>
        </w:rPr>
      </w:pPr>
      <w:r w:rsidRPr="00806AB1">
        <w:rPr>
          <w:rFonts w:ascii="Arial" w:hAnsi="Arial" w:cs="Arial"/>
          <w:i/>
          <w:iCs/>
          <w:noProof/>
          <w:sz w:val="20"/>
          <w:szCs w:val="20"/>
        </w:rPr>
        <w:drawing>
          <wp:inline distT="0" distB="0" distL="0" distR="0" wp14:anchorId="3C897945" wp14:editId="39E2B440">
            <wp:extent cx="5731510" cy="2205355"/>
            <wp:effectExtent l="0" t="0" r="2540" b="4445"/>
            <wp:docPr id="438717068" name="Picture 1" descr="A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717068" name="Picture 1" descr="A table with black text&#10;&#10;AI-generated content may be incorrect."/>
                    <pic:cNvPicPr/>
                  </pic:nvPicPr>
                  <pic:blipFill>
                    <a:blip r:embed="rId19"/>
                    <a:stretch>
                      <a:fillRect/>
                    </a:stretch>
                  </pic:blipFill>
                  <pic:spPr>
                    <a:xfrm>
                      <a:off x="0" y="0"/>
                      <a:ext cx="5731510" cy="2205355"/>
                    </a:xfrm>
                    <a:prstGeom prst="rect">
                      <a:avLst/>
                    </a:prstGeom>
                  </pic:spPr>
                </pic:pic>
              </a:graphicData>
            </a:graphic>
          </wp:inline>
        </w:drawing>
      </w:r>
    </w:p>
    <w:p w14:paraId="43A89308" w14:textId="146E3107" w:rsidR="00420103" w:rsidRPr="0043401C" w:rsidRDefault="00FE4476" w:rsidP="0043401C">
      <w:pPr>
        <w:spacing w:after="0" w:line="360" w:lineRule="auto"/>
        <w:jc w:val="center"/>
        <w:rPr>
          <w:rFonts w:ascii="Arial" w:hAnsi="Arial" w:cs="Arial"/>
          <w:i/>
          <w:iCs/>
          <w:sz w:val="20"/>
          <w:szCs w:val="20"/>
        </w:rPr>
      </w:pPr>
      <w:r w:rsidRPr="00ED6CAC">
        <w:rPr>
          <w:rFonts w:ascii="Arial" w:hAnsi="Arial" w:cs="Arial"/>
          <w:i/>
          <w:iCs/>
          <w:sz w:val="20"/>
          <w:szCs w:val="20"/>
        </w:rPr>
        <w:t>(Source: Created by author from</w:t>
      </w:r>
      <w:r w:rsidR="00ED6CAC" w:rsidRPr="00ED6CAC">
        <w:rPr>
          <w:rFonts w:ascii="Arial" w:hAnsi="Arial" w:cs="Arial"/>
          <w:i/>
          <w:iCs/>
          <w:sz w:val="20"/>
          <w:szCs w:val="20"/>
        </w:rPr>
        <w:t xml:space="preserve"> Lampón et al., 2017)</w:t>
      </w:r>
    </w:p>
    <w:p w14:paraId="13D5F0C3" w14:textId="7DF8C780" w:rsidR="00DA4336" w:rsidRPr="00DA4336" w:rsidRDefault="00DA4336" w:rsidP="00DA4336">
      <w:pPr>
        <w:spacing w:after="0" w:line="360" w:lineRule="auto"/>
        <w:ind w:firstLine="567"/>
        <w:jc w:val="both"/>
        <w:rPr>
          <w:rFonts w:ascii="Arial" w:hAnsi="Arial" w:cs="Arial"/>
          <w:sz w:val="22"/>
          <w:szCs w:val="22"/>
        </w:rPr>
      </w:pPr>
      <w:r w:rsidRPr="00DA4336">
        <w:rPr>
          <w:rFonts w:ascii="Arial" w:hAnsi="Arial" w:cs="Arial"/>
          <w:sz w:val="22"/>
          <w:szCs w:val="22"/>
        </w:rPr>
        <w:lastRenderedPageBreak/>
        <w:t>According to the World Bank (2024), the BRL is one of the most volatile emerging-market currencies; if Volkswagen decided to have 100% Brazilian ownership, the company would be vulnerable to this volatility.  Additionally, modular-platform efficiency would decrease in a JV-operated Slovakia compared to a WOS-operated Slovakia since shared ownership undermines centralised production planning (Lampón et al., 2017).</w:t>
      </w:r>
    </w:p>
    <w:p w14:paraId="47C45E41" w14:textId="5DDCE237" w:rsidR="00DA4336" w:rsidRPr="00DA4336" w:rsidRDefault="00DA4336" w:rsidP="00DA4336">
      <w:pPr>
        <w:spacing w:after="0" w:line="360" w:lineRule="auto"/>
        <w:ind w:firstLine="567"/>
        <w:jc w:val="both"/>
        <w:rPr>
          <w:rFonts w:ascii="Arial" w:hAnsi="Arial" w:cs="Arial"/>
          <w:sz w:val="22"/>
          <w:szCs w:val="22"/>
        </w:rPr>
      </w:pPr>
      <w:r w:rsidRPr="00DA4336">
        <w:rPr>
          <w:rFonts w:ascii="Arial" w:hAnsi="Arial" w:cs="Arial"/>
          <w:sz w:val="22"/>
          <w:szCs w:val="22"/>
        </w:rPr>
        <w:t xml:space="preserve"> The situation in Morocco is the best example of how OLI forces are compelling VW to adopt risk-controlled practices.  Full internalisation wouldn't help much, even though Tanger-Med gives it a considerable geographical advantage. Foreign direct investment flows are still unpredictable (UNCTAD, 2024).  Volkswagen can test CKD assembly through JVs without incurring sunk expenses.</w:t>
      </w:r>
    </w:p>
    <w:p w14:paraId="47A32467" w14:textId="348B93F5" w:rsidR="00420103" w:rsidRPr="00DA4336" w:rsidRDefault="00DA4336" w:rsidP="00DA4336">
      <w:pPr>
        <w:spacing w:after="0" w:line="360" w:lineRule="auto"/>
        <w:ind w:firstLine="567"/>
        <w:jc w:val="both"/>
        <w:rPr>
          <w:rFonts w:ascii="Arial" w:hAnsi="Arial" w:cs="Arial"/>
          <w:sz w:val="22"/>
          <w:szCs w:val="22"/>
        </w:rPr>
      </w:pPr>
      <w:r w:rsidRPr="00DA4336">
        <w:rPr>
          <w:rFonts w:ascii="Arial" w:hAnsi="Arial" w:cs="Arial"/>
          <w:sz w:val="22"/>
          <w:szCs w:val="22"/>
        </w:rPr>
        <w:t xml:space="preserve"> Foreign direct investment (FDI) is not warranted in Germany, despite the country's strong ownership and internalisation.  The viability of high-ownership expansion is undermined by high carbon compliance costs</w:t>
      </w:r>
      <w:r>
        <w:rPr>
          <w:rFonts w:ascii="Arial" w:hAnsi="Arial" w:cs="Arial"/>
          <w:sz w:val="22"/>
          <w:szCs w:val="22"/>
        </w:rPr>
        <w:t>; t</w:t>
      </w:r>
      <w:r w:rsidRPr="00DA4336">
        <w:rPr>
          <w:rFonts w:ascii="Arial" w:hAnsi="Arial" w:cs="Arial"/>
          <w:sz w:val="22"/>
          <w:szCs w:val="22"/>
        </w:rPr>
        <w:t>herefore, licensing and exporting continue to be the best options</w:t>
      </w:r>
      <w:r>
        <w:rPr>
          <w:rFonts w:ascii="Arial" w:hAnsi="Arial" w:cs="Arial"/>
          <w:sz w:val="22"/>
          <w:szCs w:val="22"/>
        </w:rPr>
        <w:t xml:space="preserve"> </w:t>
      </w:r>
      <w:r w:rsidRPr="00DA4336">
        <w:rPr>
          <w:rFonts w:ascii="Arial" w:hAnsi="Arial" w:cs="Arial"/>
          <w:sz w:val="22"/>
          <w:szCs w:val="22"/>
        </w:rPr>
        <w:t xml:space="preserve">(Reuters, 2024).  </w:t>
      </w:r>
    </w:p>
    <w:p w14:paraId="31EA5527" w14:textId="6A9676B0" w:rsidR="00420103" w:rsidRPr="00903ACB" w:rsidRDefault="001127A0" w:rsidP="00903ACB">
      <w:pPr>
        <w:pStyle w:val="Heading1"/>
        <w:spacing w:before="0" w:after="0" w:line="360" w:lineRule="auto"/>
        <w:rPr>
          <w:b/>
          <w:bCs/>
          <w:sz w:val="22"/>
          <w:szCs w:val="22"/>
        </w:rPr>
      </w:pPr>
      <w:bookmarkStart w:id="16" w:name="_Toc214529461"/>
      <w:r w:rsidRPr="00903ACB">
        <w:rPr>
          <w:b/>
          <w:bCs/>
          <w:sz w:val="22"/>
          <w:szCs w:val="22"/>
        </w:rPr>
        <w:t>3.5. Inter-country Relationship and Risk Link</w:t>
      </w:r>
      <w:bookmarkEnd w:id="16"/>
    </w:p>
    <w:p w14:paraId="522A1A9B" w14:textId="60D9D4F9" w:rsidR="00420103" w:rsidRPr="00A1342F" w:rsidRDefault="00A1342F" w:rsidP="001D60C7">
      <w:pPr>
        <w:spacing w:after="0" w:line="360" w:lineRule="auto"/>
        <w:ind w:firstLine="567"/>
        <w:jc w:val="both"/>
        <w:rPr>
          <w:rFonts w:ascii="Arial" w:hAnsi="Arial" w:cs="Arial"/>
          <w:sz w:val="22"/>
          <w:szCs w:val="22"/>
        </w:rPr>
      </w:pPr>
      <w:r w:rsidRPr="00A1342F">
        <w:rPr>
          <w:rFonts w:ascii="Arial" w:hAnsi="Arial" w:cs="Arial"/>
          <w:sz w:val="22"/>
          <w:szCs w:val="22"/>
        </w:rPr>
        <w:t xml:space="preserve">On top of serving as a geographical spread, the four-country system is an interdependent risk-balancing mechanism.  For Germany to bear technological risk, its lower-cost partners must ensure that innovation does not become economically harmful.  A stabilisation of output in Slovakia has no value if the export lanes via Koper or Hamburg become weak.  Brazil lowers demand volatility, but it loses all </w:t>
      </w:r>
      <w:r w:rsidR="00D71517" w:rsidRPr="00A1342F">
        <w:rPr>
          <w:rFonts w:ascii="Arial" w:hAnsi="Arial" w:cs="Arial"/>
          <w:sz w:val="22"/>
          <w:szCs w:val="22"/>
        </w:rPr>
        <w:t>it’s</w:t>
      </w:r>
      <w:r w:rsidRPr="00A1342F">
        <w:rPr>
          <w:rFonts w:ascii="Arial" w:hAnsi="Arial" w:cs="Arial"/>
          <w:sz w:val="22"/>
          <w:szCs w:val="22"/>
        </w:rPr>
        <w:t xml:space="preserve"> worth when localisation efforts are outpaced by currency instability.  If its underdeveloped infrastructure doesn't amplify bottlenecks in the upstream process, Morocco reduces the danger of geographical growth.  According to Hennart (2022), there can be no profit to international networks unless their dispersed operations complement one other, not duplicate each other.  Everything is on the brink of collapse if Volkswagen misaligns its OLI choices, such as by over-or under-internalizing in Slovakia or Morocco, causing shocks to ripple through the logistics and electrification systems.</w:t>
      </w:r>
    </w:p>
    <w:p w14:paraId="53E14962" w14:textId="2A2CC404" w:rsidR="00420103" w:rsidRPr="00903ACB" w:rsidRDefault="00A1342F" w:rsidP="00903ACB">
      <w:pPr>
        <w:pStyle w:val="Heading1"/>
        <w:spacing w:before="0" w:after="0" w:line="360" w:lineRule="auto"/>
        <w:rPr>
          <w:b/>
          <w:bCs/>
          <w:sz w:val="22"/>
          <w:szCs w:val="22"/>
        </w:rPr>
      </w:pPr>
      <w:bookmarkStart w:id="17" w:name="_Toc214529462"/>
      <w:r w:rsidRPr="00903ACB">
        <w:rPr>
          <w:b/>
          <w:bCs/>
          <w:sz w:val="22"/>
          <w:szCs w:val="22"/>
        </w:rPr>
        <w:t xml:space="preserve">4. </w:t>
      </w:r>
      <w:r w:rsidR="00DC1A46" w:rsidRPr="00903ACB">
        <w:rPr>
          <w:b/>
          <w:bCs/>
          <w:sz w:val="22"/>
          <w:szCs w:val="22"/>
        </w:rPr>
        <w:t xml:space="preserve">Cultural Differences Between Germany and the </w:t>
      </w:r>
      <w:r w:rsidR="008C5F93" w:rsidRPr="00903ACB">
        <w:rPr>
          <w:b/>
          <w:bCs/>
          <w:sz w:val="22"/>
          <w:szCs w:val="22"/>
        </w:rPr>
        <w:t>host countries</w:t>
      </w:r>
      <w:r w:rsidR="00DC1A46" w:rsidRPr="00903ACB">
        <w:rPr>
          <w:b/>
          <w:bCs/>
          <w:sz w:val="22"/>
          <w:szCs w:val="22"/>
        </w:rPr>
        <w:t xml:space="preserve"> Influence Volkswagen’s Market Entry Strategy and Long-Term Success</w:t>
      </w:r>
      <w:r w:rsidR="006159AE" w:rsidRPr="00903ACB">
        <w:rPr>
          <w:b/>
          <w:bCs/>
          <w:sz w:val="22"/>
          <w:szCs w:val="22"/>
        </w:rPr>
        <w:t xml:space="preserve"> (1072 words)</w:t>
      </w:r>
      <w:bookmarkEnd w:id="17"/>
    </w:p>
    <w:p w14:paraId="665F8AEF" w14:textId="6D4E2CBF" w:rsidR="00122ACF" w:rsidRPr="00903ACB" w:rsidRDefault="009D05EB" w:rsidP="00903ACB">
      <w:pPr>
        <w:pStyle w:val="Heading1"/>
        <w:spacing w:before="0" w:after="0" w:line="360" w:lineRule="auto"/>
        <w:rPr>
          <w:b/>
          <w:bCs/>
          <w:sz w:val="22"/>
          <w:szCs w:val="22"/>
        </w:rPr>
      </w:pPr>
      <w:bookmarkStart w:id="18" w:name="_Toc214529463"/>
      <w:r w:rsidRPr="00903ACB">
        <w:rPr>
          <w:b/>
          <w:bCs/>
          <w:sz w:val="22"/>
          <w:szCs w:val="22"/>
        </w:rPr>
        <w:t>4.1. Hofstede Culture dimensions</w:t>
      </w:r>
      <w:bookmarkEnd w:id="18"/>
    </w:p>
    <w:p w14:paraId="342FA933" w14:textId="7DC5D4C2" w:rsidR="00420103" w:rsidRDefault="004365C9" w:rsidP="001D60C7">
      <w:pPr>
        <w:spacing w:after="0" w:line="360" w:lineRule="auto"/>
        <w:ind w:firstLine="567"/>
        <w:jc w:val="both"/>
        <w:rPr>
          <w:rFonts w:ascii="Arial" w:hAnsi="Arial" w:cs="Arial"/>
          <w:sz w:val="22"/>
          <w:szCs w:val="22"/>
        </w:rPr>
      </w:pPr>
      <w:r w:rsidRPr="004365C9">
        <w:rPr>
          <w:rFonts w:ascii="Arial" w:hAnsi="Arial" w:cs="Arial"/>
          <w:sz w:val="22"/>
          <w:szCs w:val="22"/>
        </w:rPr>
        <w:t xml:space="preserve">Using six Hofstede-Minkov dimensions, figure 4 shows the cultural distance that Volkswagen must traverse while coordinating with Brazil, Slovakia, and Morocco from Germany.  The hierarchical, collectivist, rule-dependent culture of Brazil stands in stark contrast to the flat, individualistic, and somewhat risk-averse German culture (35 power distance, 79 </w:t>
      </w:r>
      <w:r w:rsidR="0004065B" w:rsidRPr="004365C9">
        <w:rPr>
          <w:rFonts w:ascii="Arial" w:hAnsi="Arial" w:cs="Arial"/>
          <w:sz w:val="22"/>
          <w:szCs w:val="22"/>
        </w:rPr>
        <w:t>individuali</w:t>
      </w:r>
      <w:r w:rsidR="0004065B">
        <w:rPr>
          <w:rFonts w:ascii="Arial" w:hAnsi="Arial" w:cs="Arial"/>
          <w:sz w:val="22"/>
          <w:szCs w:val="22"/>
        </w:rPr>
        <w:t>s</w:t>
      </w:r>
      <w:r w:rsidR="0004065B" w:rsidRPr="004365C9">
        <w:rPr>
          <w:rFonts w:ascii="Arial" w:hAnsi="Arial" w:cs="Arial"/>
          <w:sz w:val="22"/>
          <w:szCs w:val="22"/>
        </w:rPr>
        <w:t>ms</w:t>
      </w:r>
      <w:r w:rsidRPr="004365C9">
        <w:rPr>
          <w:rFonts w:ascii="Arial" w:hAnsi="Arial" w:cs="Arial"/>
          <w:sz w:val="22"/>
          <w:szCs w:val="22"/>
        </w:rPr>
        <w:t xml:space="preserve">, 65 uncertainty avoidance) (Hofstede, 1991; Minkov &amp; Kaasa, 2022).  Cultures and Organisations (2010) found that Slovakia is very hierarchical and decisive </w:t>
      </w:r>
      <w:r w:rsidRPr="004365C9">
        <w:rPr>
          <w:rFonts w:ascii="Arial" w:hAnsi="Arial" w:cs="Arial"/>
          <w:sz w:val="22"/>
          <w:szCs w:val="22"/>
        </w:rPr>
        <w:lastRenderedPageBreak/>
        <w:t>(PDI 100; MAS 100), whereas Morocco is very collectivist and avoids uncertainty to a significant degree (70 power distance).  Success for Volkswagen's entrance modalities in all four markets is ultimately determined by how these variances impact the formation of trust, the interpretation of authority, and the tolerance of risk.</w:t>
      </w:r>
    </w:p>
    <w:p w14:paraId="171EBE00" w14:textId="77777777" w:rsidR="0011797D" w:rsidRPr="00B57BE8" w:rsidRDefault="0011797D" w:rsidP="001D60C7">
      <w:pPr>
        <w:spacing w:after="0" w:line="360" w:lineRule="auto"/>
        <w:ind w:firstLine="567"/>
        <w:jc w:val="both"/>
        <w:rPr>
          <w:rFonts w:ascii="Arial" w:hAnsi="Arial" w:cs="Arial"/>
          <w:sz w:val="16"/>
          <w:szCs w:val="16"/>
        </w:rPr>
      </w:pPr>
    </w:p>
    <w:p w14:paraId="3D74132E" w14:textId="57181AAD" w:rsidR="00420103" w:rsidRPr="00B57BE8" w:rsidRDefault="00191EF8" w:rsidP="008E5887">
      <w:pPr>
        <w:spacing w:after="0" w:line="360" w:lineRule="auto"/>
        <w:ind w:firstLine="567"/>
        <w:jc w:val="center"/>
        <w:rPr>
          <w:rFonts w:ascii="Arial" w:hAnsi="Arial" w:cs="Arial"/>
          <w:sz w:val="20"/>
          <w:szCs w:val="20"/>
        </w:rPr>
      </w:pPr>
      <w:r w:rsidRPr="00B57BE8">
        <w:rPr>
          <w:rFonts w:ascii="Arial" w:hAnsi="Arial" w:cs="Arial"/>
          <w:sz w:val="20"/>
          <w:szCs w:val="20"/>
        </w:rPr>
        <w:t>Figure 4. Hofstede Culture dimensions</w:t>
      </w:r>
      <w:r w:rsidR="00B57BE8" w:rsidRPr="00B57BE8">
        <w:rPr>
          <w:sz w:val="20"/>
          <w:szCs w:val="20"/>
        </w:rPr>
        <w:t xml:space="preserve"> (</w:t>
      </w:r>
      <w:r w:rsidR="00B57BE8" w:rsidRPr="00B57BE8">
        <w:rPr>
          <w:rFonts w:ascii="Arial" w:hAnsi="Arial" w:cs="Arial"/>
          <w:sz w:val="20"/>
          <w:szCs w:val="20"/>
        </w:rPr>
        <w:t>The Culture Factor Group, 2025)</w:t>
      </w:r>
    </w:p>
    <w:p w14:paraId="65BA9F52" w14:textId="39383038" w:rsidR="0011797D" w:rsidRPr="0011797D" w:rsidRDefault="0011797D" w:rsidP="00B57BE8">
      <w:pPr>
        <w:spacing w:after="0" w:line="360" w:lineRule="auto"/>
        <w:jc w:val="center"/>
        <w:rPr>
          <w:rFonts w:ascii="Arial" w:hAnsi="Arial" w:cs="Arial"/>
          <w:sz w:val="22"/>
          <w:szCs w:val="22"/>
        </w:rPr>
      </w:pPr>
      <w:r w:rsidRPr="0011797D">
        <w:rPr>
          <w:rFonts w:ascii="Arial" w:hAnsi="Arial" w:cs="Arial"/>
          <w:noProof/>
          <w:sz w:val="22"/>
          <w:szCs w:val="22"/>
        </w:rPr>
        <w:drawing>
          <wp:inline distT="0" distB="0" distL="0" distR="0" wp14:anchorId="3B9E9648" wp14:editId="5C624C5B">
            <wp:extent cx="4904509" cy="1964055"/>
            <wp:effectExtent l="0" t="0" r="0" b="0"/>
            <wp:docPr id="50020070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200701" name="Picture 1" descr="A screenshot of a graph&#10;&#10;AI-generated content may be incorrect."/>
                    <pic:cNvPicPr/>
                  </pic:nvPicPr>
                  <pic:blipFill>
                    <a:blip r:embed="rId20"/>
                    <a:stretch>
                      <a:fillRect/>
                    </a:stretch>
                  </pic:blipFill>
                  <pic:spPr>
                    <a:xfrm>
                      <a:off x="0" y="0"/>
                      <a:ext cx="4968873" cy="1989830"/>
                    </a:xfrm>
                    <a:prstGeom prst="rect">
                      <a:avLst/>
                    </a:prstGeom>
                  </pic:spPr>
                </pic:pic>
              </a:graphicData>
            </a:graphic>
          </wp:inline>
        </w:drawing>
      </w:r>
    </w:p>
    <w:p w14:paraId="00834EB0" w14:textId="77777777" w:rsidR="00420103" w:rsidRPr="008A6E9D" w:rsidRDefault="00420103" w:rsidP="001D60C7">
      <w:pPr>
        <w:spacing w:after="0" w:line="360" w:lineRule="auto"/>
        <w:ind w:firstLine="567"/>
        <w:jc w:val="both"/>
        <w:rPr>
          <w:rFonts w:ascii="Arial" w:hAnsi="Arial" w:cs="Arial"/>
          <w:b/>
          <w:bCs/>
          <w:i/>
          <w:iCs/>
          <w:sz w:val="16"/>
          <w:szCs w:val="16"/>
        </w:rPr>
      </w:pPr>
    </w:p>
    <w:p w14:paraId="240E5F18" w14:textId="41E51FDC" w:rsidR="008A6E9D" w:rsidRPr="008A6E9D" w:rsidRDefault="008A6E9D" w:rsidP="008A6E9D">
      <w:pPr>
        <w:spacing w:after="0" w:line="360" w:lineRule="auto"/>
        <w:ind w:firstLine="567"/>
        <w:jc w:val="both"/>
        <w:rPr>
          <w:rFonts w:ascii="Arial" w:hAnsi="Arial" w:cs="Arial"/>
          <w:sz w:val="22"/>
          <w:szCs w:val="22"/>
        </w:rPr>
      </w:pPr>
      <w:r w:rsidRPr="008A6E9D">
        <w:rPr>
          <w:rFonts w:ascii="Arial" w:hAnsi="Arial" w:cs="Arial"/>
          <w:sz w:val="22"/>
          <w:szCs w:val="22"/>
        </w:rPr>
        <w:t xml:space="preserve">Looking at the chart deeper reveals that cultural distance is a powerful factor that changes Volkswagen's overall strategy for entering new markets.  Due to the country's strong individualism and minimal power distance, export and licensing are a good match for Germany. Decisions are anticipated to be decentralised and justified.  On the other hand, when applied to Brazil, where social and organisational hierarchies are well ingrained, this reasoning breaks down (Hofstede, 1984).  There would be less oversight and slower plant coordination if Volkswagen adopted a decentralisation model </w:t>
      </w:r>
      <w:proofErr w:type="gramStart"/>
      <w:r w:rsidRPr="008A6E9D">
        <w:rPr>
          <w:rFonts w:ascii="Arial" w:hAnsi="Arial" w:cs="Arial"/>
          <w:sz w:val="22"/>
          <w:szCs w:val="22"/>
        </w:rPr>
        <w:t>similar to</w:t>
      </w:r>
      <w:proofErr w:type="gramEnd"/>
      <w:r w:rsidRPr="008A6E9D">
        <w:rPr>
          <w:rFonts w:ascii="Arial" w:hAnsi="Arial" w:cs="Arial"/>
          <w:sz w:val="22"/>
          <w:szCs w:val="22"/>
        </w:rPr>
        <w:t xml:space="preserve"> Germany's.  Joint venture models, which can establish administrative authority at the local level and buffer institutional uncertainty, are more in line with the requirement for a single, esteemed figure.</w:t>
      </w:r>
    </w:p>
    <w:p w14:paraId="2796C422" w14:textId="641E97FD" w:rsidR="008A6E9D" w:rsidRPr="008A6E9D" w:rsidRDefault="008A6E9D" w:rsidP="008A6E9D">
      <w:pPr>
        <w:spacing w:after="0" w:line="360" w:lineRule="auto"/>
        <w:ind w:firstLine="567"/>
        <w:jc w:val="both"/>
        <w:rPr>
          <w:rFonts w:ascii="Arial" w:hAnsi="Arial" w:cs="Arial"/>
          <w:sz w:val="22"/>
          <w:szCs w:val="22"/>
        </w:rPr>
      </w:pPr>
      <w:r w:rsidRPr="008A6E9D">
        <w:rPr>
          <w:rFonts w:ascii="Arial" w:hAnsi="Arial" w:cs="Arial"/>
          <w:sz w:val="22"/>
          <w:szCs w:val="22"/>
        </w:rPr>
        <w:t xml:space="preserve"> Even though Slovakia is like Germany in that it avoids ambiguity, the paradoxical combination of its high accomplishment culture (100), extreme power distance (100), and similarity to Germany further complicates the pattern.  Fully owned subsidiaries are responsible for enforcing Volkswagen's stringent production discipline in an environment where hierarchy is tolerated but performance must be apparent.  Having a joint venture will weaken the platform's efficiency in a culture where executives are required to "prove themselves" (Hofstede, 1991).</w:t>
      </w:r>
    </w:p>
    <w:p w14:paraId="3535358D" w14:textId="4E6347AA" w:rsidR="008A6E9D" w:rsidRPr="008A6E9D" w:rsidRDefault="008A6E9D" w:rsidP="008A6E9D">
      <w:pPr>
        <w:spacing w:after="0" w:line="360" w:lineRule="auto"/>
        <w:ind w:firstLine="567"/>
        <w:jc w:val="both"/>
        <w:rPr>
          <w:rFonts w:ascii="Arial" w:hAnsi="Arial" w:cs="Arial"/>
          <w:sz w:val="22"/>
          <w:szCs w:val="22"/>
        </w:rPr>
      </w:pPr>
      <w:r w:rsidRPr="008A6E9D">
        <w:rPr>
          <w:rFonts w:ascii="Arial" w:hAnsi="Arial" w:cs="Arial"/>
          <w:sz w:val="22"/>
          <w:szCs w:val="22"/>
        </w:rPr>
        <w:t xml:space="preserve"> Trust in Morocco is relational rather than procedural because of the country's mix of powerful hierarchy, strong collectivism, and rule sensitivity (Cultures and Organisations, 2010).  Since foreign dominance is not tolerated but authority is, an entry through a high-ownership structure would backfire.  Thus, joint ventures serve as a cultural bridge, enabling Volkswagen to navigate Morocco's inclination towards directed authority and group-based decision norms.</w:t>
      </w:r>
    </w:p>
    <w:p w14:paraId="50F1009C" w14:textId="55542AD4" w:rsidR="00420103" w:rsidRPr="009D05EB" w:rsidRDefault="008A6E9D" w:rsidP="008A6E9D">
      <w:pPr>
        <w:spacing w:after="0" w:line="360" w:lineRule="auto"/>
        <w:ind w:firstLine="567"/>
        <w:jc w:val="both"/>
        <w:rPr>
          <w:rFonts w:ascii="Arial" w:hAnsi="Arial" w:cs="Arial"/>
          <w:sz w:val="22"/>
          <w:szCs w:val="22"/>
        </w:rPr>
      </w:pPr>
      <w:r w:rsidRPr="008A6E9D">
        <w:rPr>
          <w:rFonts w:ascii="Arial" w:hAnsi="Arial" w:cs="Arial"/>
          <w:sz w:val="22"/>
          <w:szCs w:val="22"/>
        </w:rPr>
        <w:lastRenderedPageBreak/>
        <w:t xml:space="preserve"> The management style, recruiting procedures, customer service standards, and negotiation strategies of Volkswagen are all impacted by cultural incompatibilities, which in turn affect the perceptions of control, legitimacy, and willingness to share risks.</w:t>
      </w:r>
    </w:p>
    <w:p w14:paraId="51696D69" w14:textId="779002F5" w:rsidR="00420103" w:rsidRPr="00903ACB" w:rsidRDefault="001A3E83" w:rsidP="00903ACB">
      <w:pPr>
        <w:pStyle w:val="Heading1"/>
        <w:spacing w:before="0" w:after="0" w:line="360" w:lineRule="auto"/>
        <w:rPr>
          <w:b/>
          <w:bCs/>
          <w:sz w:val="22"/>
          <w:szCs w:val="22"/>
        </w:rPr>
      </w:pPr>
      <w:bookmarkStart w:id="19" w:name="_Toc214529464"/>
      <w:r w:rsidRPr="00903ACB">
        <w:rPr>
          <w:b/>
          <w:bCs/>
          <w:sz w:val="22"/>
          <w:szCs w:val="22"/>
        </w:rPr>
        <w:t>4.2. Volkswagen's cross-country management, hiring, customer-service, and strategies for negotiations.</w:t>
      </w:r>
      <w:bookmarkEnd w:id="19"/>
    </w:p>
    <w:p w14:paraId="575DFCE9" w14:textId="29A15927" w:rsidR="007956A0" w:rsidRPr="00A742B8" w:rsidRDefault="00A742B8" w:rsidP="00B15D67">
      <w:pPr>
        <w:spacing w:after="0" w:line="360" w:lineRule="auto"/>
        <w:ind w:firstLine="567"/>
        <w:jc w:val="both"/>
        <w:rPr>
          <w:rFonts w:ascii="Arial" w:hAnsi="Arial" w:cs="Arial"/>
          <w:sz w:val="22"/>
          <w:szCs w:val="22"/>
        </w:rPr>
      </w:pPr>
      <w:r w:rsidRPr="00A742B8">
        <w:rPr>
          <w:rFonts w:ascii="Arial" w:hAnsi="Arial" w:cs="Arial"/>
          <w:sz w:val="22"/>
          <w:szCs w:val="22"/>
        </w:rPr>
        <w:t>The true test will be how Volkswagen handles management, people, and consumers in four distinct cultures, despite the lovely sounding motto "Mobility for Generations" of the company.  Volkswagen Group (2024) states that to achieve its strategic goals of resilience, flexibility, and financial stability, the company's leadership must demonstrate credibility on a local level, rather than relying on a single German model.</w:t>
      </w:r>
    </w:p>
    <w:p w14:paraId="1EED4F13" w14:textId="3CAE8FEE" w:rsidR="00A742B8" w:rsidRPr="00A742B8" w:rsidRDefault="00A742B8" w:rsidP="00A742B8">
      <w:pPr>
        <w:spacing w:after="0" w:line="360" w:lineRule="auto"/>
        <w:ind w:firstLine="567"/>
        <w:jc w:val="both"/>
        <w:rPr>
          <w:rFonts w:ascii="Arial" w:hAnsi="Arial" w:cs="Arial"/>
          <w:sz w:val="22"/>
          <w:szCs w:val="22"/>
        </w:rPr>
      </w:pPr>
      <w:r w:rsidRPr="00A742B8">
        <w:rPr>
          <w:rFonts w:ascii="Arial" w:hAnsi="Arial" w:cs="Arial"/>
          <w:sz w:val="22"/>
          <w:szCs w:val="22"/>
        </w:rPr>
        <w:t xml:space="preserve"> There is a lack of harmony in the management style.  Germans like expert-driven, participatory leadership styles with a minimal power distance and a high degree of individuality.  Managers in Brazil and Morocco are expected to make decisions and provide protection rather than constantly seeking employee input. House et al. (2014) warned that workers might see flat hierarchies of the German model as a sign of weakness rather than empowerment if they were to blindly imitate them.  Because of Slovakia's distinctive combination of a </w:t>
      </w:r>
      <w:r w:rsidR="006A2456" w:rsidRPr="00A742B8">
        <w:rPr>
          <w:rFonts w:ascii="Arial" w:hAnsi="Arial" w:cs="Arial"/>
          <w:sz w:val="22"/>
          <w:szCs w:val="22"/>
        </w:rPr>
        <w:t>high-power</w:t>
      </w:r>
      <w:r w:rsidRPr="00A742B8">
        <w:rPr>
          <w:rFonts w:ascii="Arial" w:hAnsi="Arial" w:cs="Arial"/>
          <w:sz w:val="22"/>
          <w:szCs w:val="22"/>
        </w:rPr>
        <w:t xml:space="preserve"> distance and a strong accomplishment orientation, plant managers there must act as visible "authority figures" while equally enforcing the German process discipline.</w:t>
      </w:r>
    </w:p>
    <w:p w14:paraId="2FBB6989" w14:textId="316C319D" w:rsidR="00A742B8" w:rsidRPr="00A742B8" w:rsidRDefault="00A742B8" w:rsidP="00A742B8">
      <w:pPr>
        <w:spacing w:after="0" w:line="360" w:lineRule="auto"/>
        <w:ind w:firstLine="567"/>
        <w:jc w:val="both"/>
        <w:rPr>
          <w:rFonts w:ascii="Arial" w:hAnsi="Arial" w:cs="Arial"/>
          <w:sz w:val="22"/>
          <w:szCs w:val="22"/>
        </w:rPr>
      </w:pPr>
      <w:r w:rsidRPr="00A742B8">
        <w:rPr>
          <w:rFonts w:ascii="Arial" w:hAnsi="Arial" w:cs="Arial"/>
          <w:sz w:val="22"/>
          <w:szCs w:val="22"/>
        </w:rPr>
        <w:t xml:space="preserve"> These differences carry over into the recruiting process.  German locations vie for independent experts, whereas their Brazilian and Moroccan counterparts need to find workers who are loyal, respectful of authority, and able to follow complex protocols even when faced with unknown outcomes.  Volkswagen runs the danger of hiring the "wrong" individuals based on local expectations if HR is adamant on using comparable competence models; this would damage retention and foster distrust in the workplace (Tung &amp; Verbeke, 2017).</w:t>
      </w:r>
    </w:p>
    <w:p w14:paraId="155B229E" w14:textId="64FBC587" w:rsidR="00A742B8" w:rsidRDefault="00A742B8" w:rsidP="00A742B8">
      <w:pPr>
        <w:spacing w:after="0" w:line="360" w:lineRule="auto"/>
        <w:ind w:firstLine="567"/>
        <w:jc w:val="both"/>
        <w:rPr>
          <w:rFonts w:ascii="Arial" w:hAnsi="Arial" w:cs="Arial"/>
          <w:sz w:val="22"/>
          <w:szCs w:val="22"/>
        </w:rPr>
      </w:pPr>
      <w:r w:rsidRPr="00A742B8">
        <w:rPr>
          <w:rFonts w:ascii="Arial" w:hAnsi="Arial" w:cs="Arial"/>
          <w:sz w:val="22"/>
          <w:szCs w:val="22"/>
        </w:rPr>
        <w:t xml:space="preserve"> Dealing with customers and negotiating both widen the divide.  Clients in Germany and Slovakia want talks to be based on contracts and on time.  The brand's claims of "user-friendly" mobility may be undermined when customers in Brazil and Morocco, who value connections, flexibility, and informal problem-solving more highly, see the rigorous service scripts developed in Wolfsburg as cold and disrespectful (Volkswagen Group, 2024).  Inconsistencies across factories, dealers, and contact centres swiftly undermine trust once expectations are formed, due to the high uncertainty avoidance in all four nations.</w:t>
      </w:r>
    </w:p>
    <w:p w14:paraId="67A882F2" w14:textId="1860E546" w:rsidR="00B15D67" w:rsidRDefault="002F2F31" w:rsidP="00A742B8">
      <w:pPr>
        <w:spacing w:after="0" w:line="360" w:lineRule="auto"/>
        <w:ind w:firstLine="567"/>
        <w:jc w:val="both"/>
        <w:rPr>
          <w:rFonts w:ascii="Arial" w:hAnsi="Arial" w:cs="Arial"/>
          <w:sz w:val="22"/>
          <w:szCs w:val="22"/>
        </w:rPr>
      </w:pPr>
      <w:r w:rsidRPr="002F2F31">
        <w:rPr>
          <w:rFonts w:ascii="Arial" w:hAnsi="Arial" w:cs="Arial"/>
          <w:sz w:val="22"/>
          <w:szCs w:val="22"/>
        </w:rPr>
        <w:t>The fact that Brazil and Morocco value implicit, relationship-based trust more than Germany's 'Low Context' reliance on explicit, contract-bound precision makes this friction even more severe. As a result, VW's strict legalistic enforcement could unintentionally ruin the rapport that is crucial to the success of the joint venture.</w:t>
      </w:r>
    </w:p>
    <w:p w14:paraId="5566DA3A" w14:textId="77777777" w:rsidR="00DB1D4F" w:rsidRPr="00903ACB" w:rsidRDefault="00BC0968" w:rsidP="00903ACB">
      <w:pPr>
        <w:pStyle w:val="Heading1"/>
        <w:spacing w:before="0" w:after="0" w:line="360" w:lineRule="auto"/>
        <w:rPr>
          <w:b/>
          <w:bCs/>
          <w:sz w:val="22"/>
          <w:szCs w:val="22"/>
        </w:rPr>
      </w:pPr>
      <w:bookmarkStart w:id="20" w:name="_Toc214529465"/>
      <w:r w:rsidRPr="00903ACB">
        <w:rPr>
          <w:b/>
          <w:bCs/>
          <w:sz w:val="22"/>
          <w:szCs w:val="22"/>
        </w:rPr>
        <w:lastRenderedPageBreak/>
        <w:t xml:space="preserve">4.3. </w:t>
      </w:r>
      <w:r w:rsidR="00DB1D4F" w:rsidRPr="00903ACB">
        <w:rPr>
          <w:b/>
          <w:bCs/>
          <w:sz w:val="22"/>
          <w:szCs w:val="22"/>
        </w:rPr>
        <w:t>Integrating Cultural Risks and Training for Entry Mode Success</w:t>
      </w:r>
      <w:bookmarkEnd w:id="20"/>
    </w:p>
    <w:p w14:paraId="6217865F" w14:textId="0017F9F2" w:rsidR="00C0041F" w:rsidRPr="00C0041F" w:rsidRDefault="00C0041F" w:rsidP="00C0041F">
      <w:pPr>
        <w:spacing w:after="0" w:line="360" w:lineRule="auto"/>
        <w:ind w:firstLine="567"/>
        <w:jc w:val="both"/>
        <w:rPr>
          <w:rFonts w:ascii="Arial" w:hAnsi="Arial" w:cs="Arial"/>
          <w:sz w:val="22"/>
          <w:szCs w:val="22"/>
        </w:rPr>
      </w:pPr>
      <w:r w:rsidRPr="00C0041F">
        <w:rPr>
          <w:rFonts w:ascii="Arial" w:hAnsi="Arial" w:cs="Arial"/>
          <w:sz w:val="22"/>
          <w:szCs w:val="22"/>
        </w:rPr>
        <w:t xml:space="preserve">Cultural alignment is crucial for Volkswagen's entry-mode selections to be successful since the four-country network is interconnected and any disruption to one part might affect the other parts.  However, if headquarters believes these behaviours naturally transfer outside, coordination gaps will rapidly appear (Taras et al., 2021). This </w:t>
      </w:r>
      <w:r w:rsidR="0013532E" w:rsidRPr="00C0041F">
        <w:rPr>
          <w:rFonts w:ascii="Arial" w:hAnsi="Arial" w:cs="Arial"/>
          <w:sz w:val="22"/>
          <w:szCs w:val="22"/>
        </w:rPr>
        <w:t>contrasts with</w:t>
      </w:r>
      <w:r w:rsidRPr="00C0041F">
        <w:rPr>
          <w:rFonts w:ascii="Arial" w:hAnsi="Arial" w:cs="Arial"/>
          <w:sz w:val="22"/>
          <w:szCs w:val="22"/>
        </w:rPr>
        <w:t xml:space="preserve"> Germany's export-and-licensing model, which is successful because of low power distance and strong individualism, which make process compliance and technical autonomy believable.  German managers need extensive intercultural training to avoid mistaking informality for inefficiency in Brazil, a country with a joint-venture structure that absorbs institutional volatility but a culture that is more risk averse and relationship-driven in its communication.  Over-centralization of decision-making by VW could lead to disengagement in a culture that prioritises achievement visibility over shared authority, which is a problem for Slovakia's wholly owned subsidiary model (Venaik &amp; Midgley, 2019).  Structured onboarding, clear hierarchical communication channels, and culturally adaptive quality-control methods are required due to Morocco's large power distance and collectivism, which in turn restrict capital exposure via the JV/CKD route.</w:t>
      </w:r>
    </w:p>
    <w:p w14:paraId="65CECAB2" w14:textId="3B8AD5E2" w:rsidR="00DB1D4F" w:rsidRPr="00DB1D4F" w:rsidRDefault="00C0041F" w:rsidP="00C0041F">
      <w:pPr>
        <w:spacing w:after="0" w:line="360" w:lineRule="auto"/>
        <w:ind w:firstLine="567"/>
        <w:jc w:val="both"/>
        <w:rPr>
          <w:rFonts w:ascii="Arial" w:hAnsi="Arial" w:cs="Arial"/>
          <w:sz w:val="22"/>
          <w:szCs w:val="22"/>
        </w:rPr>
      </w:pPr>
      <w:r w:rsidRPr="00C0041F">
        <w:rPr>
          <w:rFonts w:ascii="Arial" w:hAnsi="Arial" w:cs="Arial"/>
          <w:sz w:val="22"/>
          <w:szCs w:val="22"/>
        </w:rPr>
        <w:t xml:space="preserve"> Misreading cultural distance raises operational risk, which in turn undermines the rationale of the selected mode, creating a virtuous cycle in all four contexts (</w:t>
      </w:r>
      <w:proofErr w:type="spellStart"/>
      <w:r w:rsidRPr="00C0041F">
        <w:rPr>
          <w:rFonts w:ascii="Arial" w:hAnsi="Arial" w:cs="Arial"/>
          <w:sz w:val="22"/>
          <w:szCs w:val="22"/>
        </w:rPr>
        <w:t>Hutzschenreuter</w:t>
      </w:r>
      <w:proofErr w:type="spellEnd"/>
      <w:r w:rsidRPr="00C0041F">
        <w:rPr>
          <w:rFonts w:ascii="Arial" w:hAnsi="Arial" w:cs="Arial"/>
          <w:sz w:val="22"/>
          <w:szCs w:val="22"/>
        </w:rPr>
        <w:t xml:space="preserve"> et al., 2020).  Volkswagen safeguards supply-chain synchronisation across four locations: the innovation hub in Germany, the EU bridge in Slovakia, the demand stabiliser in Brazil, and the regional gateway in Morocco through internal training in communication norms, expectations of decision-authority, and negotiation style.  The next section will build on this by suggesting three key changes to VW's standard operating procedures (SOPs) that the company must do if it wants to succeed in the chosen developing market over the long run.</w:t>
      </w:r>
    </w:p>
    <w:p w14:paraId="421ABE84" w14:textId="479069CF" w:rsidR="0060137C" w:rsidRPr="00903ACB" w:rsidRDefault="00557A0B" w:rsidP="00903ACB">
      <w:pPr>
        <w:pStyle w:val="Heading1"/>
        <w:spacing w:before="0" w:after="0" w:line="360" w:lineRule="auto"/>
        <w:rPr>
          <w:b/>
          <w:bCs/>
          <w:sz w:val="22"/>
          <w:szCs w:val="22"/>
        </w:rPr>
      </w:pPr>
      <w:bookmarkStart w:id="21" w:name="_Toc214529466"/>
      <w:r w:rsidRPr="00903ACB">
        <w:rPr>
          <w:b/>
          <w:bCs/>
          <w:sz w:val="22"/>
          <w:szCs w:val="22"/>
        </w:rPr>
        <w:t>5. Volkswagen’s SOP Adjustments for Effective Operations Across Germany, Brazil, Slovakia and Morocco</w:t>
      </w:r>
      <w:r w:rsidR="00FA41D4" w:rsidRPr="00903ACB">
        <w:rPr>
          <w:b/>
          <w:bCs/>
          <w:sz w:val="22"/>
          <w:szCs w:val="22"/>
        </w:rPr>
        <w:t xml:space="preserve"> </w:t>
      </w:r>
      <w:r w:rsidR="00FA41D4" w:rsidRPr="00903ACB">
        <w:rPr>
          <w:b/>
          <w:bCs/>
          <w:i/>
          <w:iCs/>
          <w:sz w:val="22"/>
          <w:szCs w:val="22"/>
        </w:rPr>
        <w:t>(1208)</w:t>
      </w:r>
      <w:bookmarkEnd w:id="21"/>
    </w:p>
    <w:p w14:paraId="54E951DE" w14:textId="1A4FDADE" w:rsidR="003B649A" w:rsidRPr="00FF443C" w:rsidRDefault="003B649A" w:rsidP="007D497E">
      <w:pPr>
        <w:spacing w:after="0" w:line="360" w:lineRule="auto"/>
        <w:ind w:firstLine="567"/>
        <w:jc w:val="both"/>
        <w:rPr>
          <w:rFonts w:ascii="Arial" w:hAnsi="Arial" w:cs="Arial"/>
          <w:sz w:val="22"/>
          <w:szCs w:val="22"/>
        </w:rPr>
      </w:pPr>
      <w:r w:rsidRPr="003B649A">
        <w:rPr>
          <w:rFonts w:ascii="Arial" w:hAnsi="Arial" w:cs="Arial"/>
          <w:sz w:val="22"/>
          <w:szCs w:val="22"/>
        </w:rPr>
        <w:t>Since developing market frameworks break down under institutional instabilities, Volkswagen's standard operating procedures (SOPs) cannot continue to be strict checklists.  Rather, their efficacy is contingent upon their ability to absorb shocks while maintaining operational discipline.  To avoid worsening personnel shortages and supply-chain delays, Haleem et al. (2022) state that processes must adapt to local interruptions for cross-border consistency to improve.  Determining criteria for disruption response, currency risk levels, and supplier onboarding flexibility is so essential for VW.  Bayo-Merino et al. (2023) demonstrates that flexible structures improve global performance by combining central supervision with local autonomy, in contrast to the usual emphasis on control in SOPs.  Coordination problems weaken system resilience, according to Meyer and Benito (2020), who caution against ignoring institutional distance</w:t>
      </w:r>
      <w:r w:rsidR="006C306E">
        <w:rPr>
          <w:rFonts w:ascii="Arial" w:hAnsi="Arial" w:cs="Arial"/>
          <w:sz w:val="22"/>
          <w:szCs w:val="22"/>
        </w:rPr>
        <w:t>.</w:t>
      </w:r>
    </w:p>
    <w:p w14:paraId="63BD5133" w14:textId="2BB49D83" w:rsidR="00420103" w:rsidRPr="005E476D" w:rsidRDefault="00B61B43" w:rsidP="005E476D">
      <w:pPr>
        <w:pStyle w:val="Heading1"/>
        <w:spacing w:before="0" w:after="0" w:line="360" w:lineRule="auto"/>
        <w:rPr>
          <w:b/>
          <w:bCs/>
          <w:sz w:val="22"/>
          <w:szCs w:val="22"/>
        </w:rPr>
      </w:pPr>
      <w:bookmarkStart w:id="22" w:name="_Toc214529467"/>
      <w:r w:rsidRPr="005E476D">
        <w:rPr>
          <w:b/>
          <w:bCs/>
          <w:sz w:val="22"/>
          <w:szCs w:val="22"/>
        </w:rPr>
        <w:lastRenderedPageBreak/>
        <w:t xml:space="preserve">5.1. SOP Implications of the </w:t>
      </w:r>
      <w:r w:rsidR="009E1950" w:rsidRPr="005E476D">
        <w:rPr>
          <w:b/>
          <w:bCs/>
          <w:sz w:val="22"/>
          <w:szCs w:val="22"/>
        </w:rPr>
        <w:t>SOP</w:t>
      </w:r>
      <w:r w:rsidRPr="005E476D">
        <w:rPr>
          <w:b/>
          <w:bCs/>
          <w:sz w:val="22"/>
          <w:szCs w:val="22"/>
        </w:rPr>
        <w:t xml:space="preserve"> Gap Between Germany and </w:t>
      </w:r>
      <w:r w:rsidR="00641EBF" w:rsidRPr="005E476D">
        <w:rPr>
          <w:b/>
          <w:bCs/>
          <w:sz w:val="22"/>
          <w:szCs w:val="22"/>
        </w:rPr>
        <w:t>VW’s Host</w:t>
      </w:r>
      <w:r w:rsidR="00DB137C" w:rsidRPr="005E476D">
        <w:rPr>
          <w:b/>
          <w:bCs/>
          <w:sz w:val="22"/>
          <w:szCs w:val="22"/>
        </w:rPr>
        <w:t xml:space="preserve"> </w:t>
      </w:r>
      <w:r w:rsidRPr="005E476D">
        <w:rPr>
          <w:b/>
          <w:bCs/>
          <w:sz w:val="22"/>
          <w:szCs w:val="22"/>
        </w:rPr>
        <w:t>Markets (Brazil, Slovakia, Morocco)</w:t>
      </w:r>
      <w:bookmarkEnd w:id="22"/>
    </w:p>
    <w:p w14:paraId="370883BD" w14:textId="7F7AB088" w:rsidR="00420103" w:rsidRPr="00304D59" w:rsidRDefault="00304D59" w:rsidP="001D60C7">
      <w:pPr>
        <w:spacing w:after="0" w:line="360" w:lineRule="auto"/>
        <w:ind w:firstLine="567"/>
        <w:jc w:val="both"/>
        <w:rPr>
          <w:rFonts w:ascii="Arial" w:hAnsi="Arial" w:cs="Arial"/>
          <w:sz w:val="22"/>
          <w:szCs w:val="22"/>
        </w:rPr>
      </w:pPr>
      <w:r w:rsidRPr="00304D59">
        <w:rPr>
          <w:rFonts w:ascii="Arial" w:hAnsi="Arial" w:cs="Arial"/>
          <w:sz w:val="22"/>
          <w:szCs w:val="22"/>
        </w:rPr>
        <w:t>The VW Group's global competitiveness operates on its ability to balance deeply rooted, centrally administered SOPs with diverse market and operational realities.   Table 7 compares the mature German core to the dynamic developing markets of Brazil, Slovakia, and Morocco, setting the framework for SOP changes.</w:t>
      </w:r>
    </w:p>
    <w:p w14:paraId="6AFBA231" w14:textId="77777777" w:rsidR="00C01C14" w:rsidRPr="003B649A" w:rsidRDefault="00C01C14" w:rsidP="003B649A">
      <w:pPr>
        <w:spacing w:after="0" w:line="360" w:lineRule="auto"/>
        <w:jc w:val="both"/>
        <w:rPr>
          <w:rFonts w:ascii="Arial" w:hAnsi="Arial" w:cs="Arial"/>
          <w:b/>
          <w:bCs/>
          <w:i/>
          <w:iCs/>
          <w:sz w:val="16"/>
          <w:szCs w:val="16"/>
        </w:rPr>
      </w:pPr>
    </w:p>
    <w:p w14:paraId="4E11B90E" w14:textId="44F27103" w:rsidR="00420103" w:rsidRPr="00C01C14" w:rsidRDefault="00246203" w:rsidP="00C01C14">
      <w:pPr>
        <w:spacing w:after="0" w:line="240" w:lineRule="auto"/>
        <w:jc w:val="center"/>
        <w:rPr>
          <w:rFonts w:ascii="Arial" w:hAnsi="Arial" w:cs="Arial"/>
          <w:sz w:val="20"/>
          <w:szCs w:val="20"/>
        </w:rPr>
      </w:pPr>
      <w:r w:rsidRPr="00C01C14">
        <w:rPr>
          <w:rFonts w:ascii="Arial" w:hAnsi="Arial" w:cs="Arial"/>
          <w:sz w:val="20"/>
          <w:szCs w:val="20"/>
        </w:rPr>
        <w:t>Table 7</w:t>
      </w:r>
      <w:r w:rsidR="00304D59">
        <w:rPr>
          <w:rFonts w:ascii="Arial" w:hAnsi="Arial" w:cs="Arial"/>
          <w:sz w:val="20"/>
          <w:szCs w:val="20"/>
        </w:rPr>
        <w:t>.</w:t>
      </w:r>
      <w:r w:rsidR="00C01C14" w:rsidRPr="00C01C14">
        <w:rPr>
          <w:rFonts w:ascii="Arial" w:hAnsi="Arial" w:cs="Arial"/>
          <w:sz w:val="20"/>
          <w:szCs w:val="20"/>
        </w:rPr>
        <w:t xml:space="preserve"> Core Differences Shaping SOP Reform Across Germany, Brazil, Slovakia and Morocco</w:t>
      </w:r>
    </w:p>
    <w:p w14:paraId="0350EAA5" w14:textId="259BF0A0" w:rsidR="00A34739" w:rsidRPr="00A34739" w:rsidRDefault="00A34739" w:rsidP="00A34739">
      <w:pPr>
        <w:spacing w:after="0" w:line="360" w:lineRule="auto"/>
        <w:jc w:val="center"/>
        <w:rPr>
          <w:rFonts w:ascii="Arial" w:hAnsi="Arial" w:cs="Arial"/>
          <w:sz w:val="20"/>
          <w:szCs w:val="20"/>
        </w:rPr>
      </w:pPr>
      <w:r w:rsidRPr="00A34739">
        <w:rPr>
          <w:rFonts w:ascii="Arial" w:hAnsi="Arial" w:cs="Arial"/>
          <w:noProof/>
          <w:sz w:val="20"/>
          <w:szCs w:val="20"/>
        </w:rPr>
        <w:drawing>
          <wp:inline distT="0" distB="0" distL="0" distR="0" wp14:anchorId="6A6AFC9E" wp14:editId="409D2854">
            <wp:extent cx="5084531" cy="6822374"/>
            <wp:effectExtent l="0" t="0" r="1905" b="0"/>
            <wp:docPr id="122492969" name="Picture 1"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92969" name="Picture 1" descr="A close-up of a table&#10;&#10;AI-generated content may be incorrect."/>
                    <pic:cNvPicPr/>
                  </pic:nvPicPr>
                  <pic:blipFill>
                    <a:blip r:embed="rId21"/>
                    <a:stretch>
                      <a:fillRect/>
                    </a:stretch>
                  </pic:blipFill>
                  <pic:spPr>
                    <a:xfrm>
                      <a:off x="0" y="0"/>
                      <a:ext cx="5095659" cy="6837305"/>
                    </a:xfrm>
                    <a:prstGeom prst="rect">
                      <a:avLst/>
                    </a:prstGeom>
                  </pic:spPr>
                </pic:pic>
              </a:graphicData>
            </a:graphic>
          </wp:inline>
        </w:drawing>
      </w:r>
    </w:p>
    <w:p w14:paraId="3EC47904" w14:textId="5FB58042" w:rsidR="00420103" w:rsidRPr="0043401C" w:rsidRDefault="006A2456" w:rsidP="0043401C">
      <w:pPr>
        <w:spacing w:after="0" w:line="360" w:lineRule="auto"/>
        <w:jc w:val="center"/>
        <w:rPr>
          <w:rFonts w:ascii="Arial" w:hAnsi="Arial" w:cs="Arial"/>
          <w:i/>
          <w:iCs/>
          <w:sz w:val="20"/>
          <w:szCs w:val="20"/>
        </w:rPr>
      </w:pPr>
      <w:r w:rsidRPr="006A2456">
        <w:rPr>
          <w:rFonts w:ascii="Arial" w:hAnsi="Arial" w:cs="Arial"/>
          <w:i/>
          <w:iCs/>
          <w:sz w:val="20"/>
          <w:szCs w:val="20"/>
        </w:rPr>
        <w:t>(Source: Created by author from Volkswagen Group Annual Report, 2024)</w:t>
      </w:r>
    </w:p>
    <w:p w14:paraId="458EB7E9" w14:textId="7C44A736" w:rsidR="005616BF" w:rsidRPr="008B5A43" w:rsidRDefault="008B5A43" w:rsidP="00F4353C">
      <w:pPr>
        <w:spacing w:after="0" w:line="360" w:lineRule="auto"/>
        <w:ind w:firstLine="567"/>
        <w:jc w:val="both"/>
        <w:rPr>
          <w:rFonts w:ascii="Arial" w:hAnsi="Arial" w:cs="Arial"/>
          <w:sz w:val="22"/>
          <w:szCs w:val="22"/>
        </w:rPr>
      </w:pPr>
      <w:r w:rsidRPr="008B5A43">
        <w:rPr>
          <w:rFonts w:ascii="Arial" w:hAnsi="Arial" w:cs="Arial"/>
          <w:sz w:val="22"/>
          <w:szCs w:val="22"/>
        </w:rPr>
        <w:lastRenderedPageBreak/>
        <w:t>In Germany, Brazil, Slovakia, and Morocco, Volkswagen's stability depends on whether its SOPs can absorb institutional volatility rather than record processes.</w:t>
      </w:r>
    </w:p>
    <w:p w14:paraId="22AB41C1" w14:textId="7893E964" w:rsidR="001713BA" w:rsidRPr="001713BA" w:rsidRDefault="001713BA" w:rsidP="001713BA">
      <w:pPr>
        <w:spacing w:after="0" w:line="360" w:lineRule="auto"/>
        <w:ind w:firstLine="567"/>
        <w:jc w:val="both"/>
        <w:rPr>
          <w:rFonts w:ascii="Arial" w:hAnsi="Arial" w:cs="Arial"/>
          <w:sz w:val="22"/>
          <w:szCs w:val="22"/>
        </w:rPr>
      </w:pPr>
      <w:r w:rsidRPr="001713BA">
        <w:rPr>
          <w:rFonts w:ascii="Arial" w:hAnsi="Arial" w:cs="Arial"/>
          <w:sz w:val="22"/>
          <w:szCs w:val="22"/>
        </w:rPr>
        <w:t xml:space="preserve">Due to the impending failure of the Group's goal to cut €1.5 billion in people expenditures, the </w:t>
      </w:r>
      <w:r w:rsidRPr="00690EA8">
        <w:rPr>
          <w:rFonts w:ascii="Arial" w:hAnsi="Arial" w:cs="Arial"/>
          <w:b/>
          <w:bCs/>
          <w:sz w:val="22"/>
          <w:szCs w:val="22"/>
        </w:rPr>
        <w:t>HR SOP</w:t>
      </w:r>
      <w:r w:rsidRPr="001713BA">
        <w:rPr>
          <w:rFonts w:ascii="Arial" w:hAnsi="Arial" w:cs="Arial"/>
          <w:sz w:val="22"/>
          <w:szCs w:val="22"/>
        </w:rPr>
        <w:t xml:space="preserve"> is under urgent pressure to reorganise capabilities as core jobs evaporate.  If Volkswagen does not formally establish the Transformation Training Pathways </w:t>
      </w:r>
      <w:r w:rsidRPr="00690EA8">
        <w:rPr>
          <w:rFonts w:ascii="Arial" w:hAnsi="Arial" w:cs="Arial"/>
          <w:b/>
          <w:bCs/>
          <w:sz w:val="22"/>
          <w:szCs w:val="22"/>
        </w:rPr>
        <w:t>(TTP)</w:t>
      </w:r>
      <w:r w:rsidRPr="001713BA">
        <w:rPr>
          <w:rFonts w:ascii="Arial" w:hAnsi="Arial" w:cs="Arial"/>
          <w:sz w:val="22"/>
          <w:szCs w:val="22"/>
        </w:rPr>
        <w:t xml:space="preserve"> standard operating procedure, the German core will be unable to synchronise the anticipated loss of 95,000 employment connected to internal combustion engines (ICEs) and gain of 500,000 jobs related to electric vehicles (EVs).  Without planned upskilling, the gap in expertise between Germany's high-tech foundation and Brazil's operational flexibility would only expand, throwing the whole production network into disarray, making the </w:t>
      </w:r>
      <w:r w:rsidRPr="00690EA8">
        <w:rPr>
          <w:rFonts w:ascii="Arial" w:hAnsi="Arial" w:cs="Arial"/>
          <w:b/>
          <w:bCs/>
          <w:sz w:val="22"/>
          <w:szCs w:val="22"/>
        </w:rPr>
        <w:t>TTP SOP</w:t>
      </w:r>
      <w:r w:rsidRPr="001713BA">
        <w:rPr>
          <w:rFonts w:ascii="Arial" w:hAnsi="Arial" w:cs="Arial"/>
          <w:sz w:val="22"/>
          <w:szCs w:val="22"/>
        </w:rPr>
        <w:t xml:space="preserve"> crucial, and not only for its administrative neatness</w:t>
      </w:r>
      <w:r w:rsidR="00CB39FC">
        <w:rPr>
          <w:rFonts w:ascii="Arial" w:hAnsi="Arial" w:cs="Arial"/>
          <w:sz w:val="22"/>
          <w:szCs w:val="22"/>
        </w:rPr>
        <w:t xml:space="preserve"> </w:t>
      </w:r>
      <w:r w:rsidR="00CB39FC" w:rsidRPr="00CB39FC">
        <w:rPr>
          <w:rFonts w:ascii="Arial" w:hAnsi="Arial" w:cs="Arial"/>
          <w:sz w:val="22"/>
          <w:szCs w:val="22"/>
        </w:rPr>
        <w:t>(Aguinis and Burgi-Tian, 2021)</w:t>
      </w:r>
      <w:r w:rsidR="00CB39FC">
        <w:rPr>
          <w:rFonts w:ascii="Arial" w:hAnsi="Arial" w:cs="Arial"/>
          <w:sz w:val="22"/>
          <w:szCs w:val="22"/>
        </w:rPr>
        <w:t>.</w:t>
      </w:r>
    </w:p>
    <w:p w14:paraId="51573019" w14:textId="3A214C9B" w:rsidR="001713BA" w:rsidRPr="00AF36CA" w:rsidRDefault="001713BA" w:rsidP="00AF36CA">
      <w:pPr>
        <w:spacing w:after="0" w:line="360" w:lineRule="auto"/>
        <w:ind w:firstLine="567"/>
        <w:jc w:val="both"/>
        <w:rPr>
          <w:rFonts w:ascii="Arial" w:hAnsi="Arial" w:cs="Arial"/>
          <w:sz w:val="22"/>
          <w:szCs w:val="22"/>
        </w:rPr>
      </w:pPr>
      <w:r w:rsidRPr="001713BA">
        <w:rPr>
          <w:rFonts w:ascii="Arial" w:hAnsi="Arial" w:cs="Arial"/>
          <w:sz w:val="22"/>
          <w:szCs w:val="22"/>
        </w:rPr>
        <w:t xml:space="preserve"> Also, a rethought standard </w:t>
      </w:r>
      <w:r w:rsidRPr="00BF5CA9">
        <w:rPr>
          <w:rFonts w:ascii="Arial" w:hAnsi="Arial" w:cs="Arial"/>
          <w:b/>
          <w:bCs/>
          <w:sz w:val="22"/>
          <w:szCs w:val="22"/>
        </w:rPr>
        <w:t>operating</w:t>
      </w:r>
      <w:r w:rsidRPr="001713BA">
        <w:rPr>
          <w:rFonts w:ascii="Arial" w:hAnsi="Arial" w:cs="Arial"/>
          <w:sz w:val="22"/>
          <w:szCs w:val="22"/>
        </w:rPr>
        <w:t xml:space="preserve"> procedure is necessary for operations </w:t>
      </w:r>
      <w:r w:rsidR="00E86F5B" w:rsidRPr="001713BA">
        <w:rPr>
          <w:rFonts w:ascii="Arial" w:hAnsi="Arial" w:cs="Arial"/>
          <w:sz w:val="22"/>
          <w:szCs w:val="22"/>
        </w:rPr>
        <w:t>since</w:t>
      </w:r>
      <w:r w:rsidRPr="001713BA">
        <w:rPr>
          <w:rFonts w:ascii="Arial" w:hAnsi="Arial" w:cs="Arial"/>
          <w:sz w:val="22"/>
          <w:szCs w:val="22"/>
        </w:rPr>
        <w:t xml:space="preserve"> Brazil's €19.0 billion sales performance shows how inflexible workflows delay time-to-market at the same point when momentum is most required in the area.  To alleviate this conflict, a new </w:t>
      </w:r>
      <w:r w:rsidRPr="00E86F5B">
        <w:rPr>
          <w:rFonts w:ascii="Arial" w:hAnsi="Arial" w:cs="Arial"/>
          <w:b/>
          <w:bCs/>
          <w:sz w:val="22"/>
          <w:szCs w:val="22"/>
        </w:rPr>
        <w:t>RPAL SOP</w:t>
      </w:r>
      <w:r w:rsidRPr="001713BA">
        <w:rPr>
          <w:rFonts w:ascii="Arial" w:hAnsi="Arial" w:cs="Arial"/>
          <w:sz w:val="22"/>
          <w:szCs w:val="22"/>
        </w:rPr>
        <w:t xml:space="preserve"> (Regional-Product Acceleration Logic) is required, which will guarantee conformity with Germany's innovation cycle while also delegating authority to local teams to handle demand surges.  The system is at risk of being overtaken by rivals with more agility if RPAL is not implemented. This is especially true in China, where the production of automobiles exceeded 11 trillion RMB in 2023, indicating that innovation cycles on a worldwide scale are now quite short.  </w:t>
      </w:r>
      <w:r w:rsidR="00B7654D" w:rsidRPr="00B7654D">
        <w:rPr>
          <w:rFonts w:ascii="Arial" w:hAnsi="Arial" w:cs="Arial"/>
          <w:sz w:val="22"/>
          <w:szCs w:val="22"/>
        </w:rPr>
        <w:t>In Brazil, Slovakia, and Morocco, Volkswagen's heavier central SOP structure risks slower institutional responsiveness, especially when rapid adaptation is needed to manage regulatory shocks and uneven EV-service capacity, unlike Toyota's decentralised Kaizen-driven operating system.</w:t>
      </w:r>
      <w:r w:rsidR="00B7654D">
        <w:rPr>
          <w:rFonts w:ascii="Arial" w:hAnsi="Arial" w:cs="Arial"/>
          <w:sz w:val="22"/>
          <w:szCs w:val="22"/>
        </w:rPr>
        <w:t xml:space="preserve"> </w:t>
      </w:r>
      <w:r w:rsidRPr="001713BA">
        <w:rPr>
          <w:rFonts w:ascii="Arial" w:hAnsi="Arial" w:cs="Arial"/>
          <w:sz w:val="22"/>
          <w:szCs w:val="22"/>
        </w:rPr>
        <w:t>To avoid the stifling of Brazil's economic potential or overloading of Slovakia's export-dependent system by standardised German processes, RPAL is essential, but not for irresponsible decentralisation</w:t>
      </w:r>
      <w:r w:rsidR="00AF36CA">
        <w:rPr>
          <w:rFonts w:ascii="Arial" w:hAnsi="Arial" w:cs="Arial"/>
          <w:sz w:val="22"/>
          <w:szCs w:val="22"/>
        </w:rPr>
        <w:t xml:space="preserve"> </w:t>
      </w:r>
      <w:r w:rsidR="00AF36CA" w:rsidRPr="00AF36CA">
        <w:rPr>
          <w:rFonts w:ascii="Arial" w:hAnsi="Arial" w:cs="Arial"/>
          <w:sz w:val="22"/>
          <w:szCs w:val="22"/>
        </w:rPr>
        <w:t>(Verbeke, Kano and Yuan, 2021).</w:t>
      </w:r>
    </w:p>
    <w:p w14:paraId="7645D085" w14:textId="2D538A2C" w:rsidR="004D6677" w:rsidRDefault="001713BA" w:rsidP="001713BA">
      <w:pPr>
        <w:spacing w:after="0" w:line="360" w:lineRule="auto"/>
        <w:ind w:firstLine="567"/>
        <w:jc w:val="both"/>
        <w:rPr>
          <w:rFonts w:ascii="Arial" w:hAnsi="Arial" w:cs="Arial"/>
          <w:sz w:val="22"/>
          <w:szCs w:val="22"/>
        </w:rPr>
      </w:pPr>
      <w:r w:rsidRPr="001713BA">
        <w:rPr>
          <w:rFonts w:ascii="Arial" w:hAnsi="Arial" w:cs="Arial"/>
          <w:sz w:val="22"/>
          <w:szCs w:val="22"/>
        </w:rPr>
        <w:t xml:space="preserve"> Most basic SOP revamp is necessary in </w:t>
      </w:r>
      <w:r w:rsidRPr="00BF5CA9">
        <w:rPr>
          <w:rFonts w:ascii="Arial" w:hAnsi="Arial" w:cs="Arial"/>
          <w:b/>
          <w:bCs/>
          <w:sz w:val="22"/>
          <w:szCs w:val="22"/>
        </w:rPr>
        <w:t>finance</w:t>
      </w:r>
      <w:r w:rsidRPr="001713BA">
        <w:rPr>
          <w:rFonts w:ascii="Arial" w:hAnsi="Arial" w:cs="Arial"/>
          <w:sz w:val="22"/>
          <w:szCs w:val="22"/>
        </w:rPr>
        <w:t xml:space="preserve">.  Because of the reliance on Chinese supply chains by 80% of NMC cathodes, the Group's €36.1 billion liquidity cannot be left vulnerable to concentrated battery-material risks.  </w:t>
      </w:r>
      <w:r w:rsidR="00BF5CA9" w:rsidRPr="001713BA">
        <w:rPr>
          <w:rFonts w:ascii="Arial" w:hAnsi="Arial" w:cs="Arial"/>
          <w:sz w:val="22"/>
          <w:szCs w:val="22"/>
        </w:rPr>
        <w:t>To</w:t>
      </w:r>
      <w:r w:rsidRPr="001713BA">
        <w:rPr>
          <w:rFonts w:ascii="Arial" w:hAnsi="Arial" w:cs="Arial"/>
          <w:sz w:val="22"/>
          <w:szCs w:val="22"/>
        </w:rPr>
        <w:t xml:space="preserve"> finance vertical integration, diversify raw material sourcing, and sustain Morocco's high-import environment, a </w:t>
      </w:r>
      <w:r w:rsidRPr="00BF5CA9">
        <w:rPr>
          <w:rFonts w:ascii="Arial" w:hAnsi="Arial" w:cs="Arial"/>
          <w:b/>
          <w:bCs/>
          <w:sz w:val="22"/>
          <w:szCs w:val="22"/>
        </w:rPr>
        <w:t>DLD SOP</w:t>
      </w:r>
      <w:r w:rsidRPr="001713BA">
        <w:rPr>
          <w:rFonts w:ascii="Arial" w:hAnsi="Arial" w:cs="Arial"/>
          <w:sz w:val="22"/>
          <w:szCs w:val="22"/>
        </w:rPr>
        <w:t xml:space="preserve"> (Decentralised Liquidity Deployment) is necessary.  The four nations' interconnectedness becomes systemic vulnerability if liquidity stays concentrated and geopolitical shocks hit hard.  Consequently, the DLD SOP serves as a tool to stabilise German R&amp;D, maintain operational cycles in Brazil, and safeguard premium multi-brand manufacturing in Slovakia</w:t>
      </w:r>
      <w:r w:rsidR="00AF36CA">
        <w:rPr>
          <w:rFonts w:ascii="Arial" w:hAnsi="Arial" w:cs="Arial"/>
          <w:sz w:val="22"/>
          <w:szCs w:val="22"/>
        </w:rPr>
        <w:t xml:space="preserve"> </w:t>
      </w:r>
      <w:r w:rsidR="00AF36CA" w:rsidRPr="00AF36CA">
        <w:rPr>
          <w:rFonts w:ascii="Arial" w:hAnsi="Arial" w:cs="Arial"/>
          <w:sz w:val="22"/>
          <w:szCs w:val="22"/>
        </w:rPr>
        <w:t>(Lins, Servaes and Tamayo, 2017)</w:t>
      </w:r>
      <w:r w:rsidR="00AF36CA">
        <w:rPr>
          <w:rFonts w:ascii="Arial" w:hAnsi="Arial" w:cs="Arial"/>
          <w:sz w:val="22"/>
          <w:szCs w:val="22"/>
        </w:rPr>
        <w:t>.</w:t>
      </w:r>
    </w:p>
    <w:p w14:paraId="36AF9856" w14:textId="64D4C3DC" w:rsidR="00DE1386" w:rsidRDefault="00DE1386" w:rsidP="001713BA">
      <w:pPr>
        <w:spacing w:after="0" w:line="360" w:lineRule="auto"/>
        <w:ind w:firstLine="567"/>
        <w:jc w:val="both"/>
        <w:rPr>
          <w:rFonts w:ascii="Arial" w:hAnsi="Arial" w:cs="Arial"/>
          <w:sz w:val="22"/>
          <w:szCs w:val="22"/>
        </w:rPr>
      </w:pPr>
      <w:r w:rsidRPr="00DE1386">
        <w:rPr>
          <w:rFonts w:ascii="Arial" w:hAnsi="Arial" w:cs="Arial"/>
          <w:sz w:val="22"/>
          <w:szCs w:val="22"/>
        </w:rPr>
        <w:t>SOP reforms—TTP in HR, RPAL in operations, and DLD in finance—form Appendix 3's structural backbone.  Volkswagen's four-country network cannot function without them, and institutional pressure might fracture its worldwide electrification effort.</w:t>
      </w:r>
    </w:p>
    <w:p w14:paraId="0B36F30D" w14:textId="77777777" w:rsidR="00AD76DD" w:rsidRPr="004D6677" w:rsidRDefault="00AD76DD" w:rsidP="00175D6F">
      <w:pPr>
        <w:spacing w:after="0" w:line="360" w:lineRule="auto"/>
        <w:jc w:val="both"/>
        <w:rPr>
          <w:rFonts w:ascii="Arial" w:hAnsi="Arial" w:cs="Arial"/>
          <w:sz w:val="22"/>
          <w:szCs w:val="22"/>
        </w:rPr>
      </w:pPr>
    </w:p>
    <w:p w14:paraId="3090F505" w14:textId="1F540B64" w:rsidR="00420103" w:rsidRPr="005E476D" w:rsidRDefault="003D6A24" w:rsidP="005E476D">
      <w:pPr>
        <w:pStyle w:val="Heading1"/>
        <w:spacing w:before="0" w:after="0" w:line="360" w:lineRule="auto"/>
        <w:rPr>
          <w:b/>
          <w:bCs/>
          <w:sz w:val="22"/>
          <w:szCs w:val="22"/>
        </w:rPr>
      </w:pPr>
      <w:bookmarkStart w:id="23" w:name="_Toc214529468"/>
      <w:r w:rsidRPr="005E476D">
        <w:rPr>
          <w:b/>
          <w:bCs/>
          <w:sz w:val="22"/>
          <w:szCs w:val="22"/>
        </w:rPr>
        <w:lastRenderedPageBreak/>
        <w:t xml:space="preserve">5.2. </w:t>
      </w:r>
      <w:r w:rsidR="00ED63CE" w:rsidRPr="005E476D">
        <w:rPr>
          <w:b/>
          <w:bCs/>
          <w:sz w:val="22"/>
          <w:szCs w:val="22"/>
        </w:rPr>
        <w:t>Supplementary SOP Requirements: Environmental Reporting, Cultural Integration, and Market-Specific Branding</w:t>
      </w:r>
      <w:bookmarkEnd w:id="23"/>
    </w:p>
    <w:p w14:paraId="6B05F51C" w14:textId="77777777" w:rsidR="00644481" w:rsidRPr="00644481" w:rsidRDefault="00644481" w:rsidP="00644481">
      <w:pPr>
        <w:spacing w:after="0" w:line="360" w:lineRule="auto"/>
        <w:ind w:firstLine="567"/>
        <w:jc w:val="both"/>
        <w:rPr>
          <w:rFonts w:ascii="Arial" w:hAnsi="Arial" w:cs="Arial"/>
          <w:sz w:val="22"/>
          <w:szCs w:val="22"/>
        </w:rPr>
      </w:pPr>
      <w:r w:rsidRPr="00644481">
        <w:rPr>
          <w:rFonts w:ascii="Arial" w:hAnsi="Arial" w:cs="Arial"/>
          <w:sz w:val="22"/>
          <w:szCs w:val="22"/>
        </w:rPr>
        <w:t xml:space="preserve">Volkswagen Group's efforts to implement consistent corporate policies </w:t>
      </w:r>
      <w:proofErr w:type="gramStart"/>
      <w:r w:rsidRPr="00644481">
        <w:rPr>
          <w:rFonts w:ascii="Arial" w:hAnsi="Arial" w:cs="Arial"/>
          <w:sz w:val="22"/>
          <w:szCs w:val="22"/>
        </w:rPr>
        <w:t>in spite of</w:t>
      </w:r>
      <w:proofErr w:type="gramEnd"/>
      <w:r w:rsidRPr="00644481">
        <w:rPr>
          <w:rFonts w:ascii="Arial" w:hAnsi="Arial" w:cs="Arial"/>
          <w:sz w:val="22"/>
          <w:szCs w:val="22"/>
        </w:rPr>
        <w:t xml:space="preserve"> significant differences throughout its four-country network are shown by two graphs. Despite the clear differences in institutional frameworks across Germany, Brazil, Slovakia, and Morocco, the Group records almost equal levels of CO</w:t>
      </w:r>
      <w:r w:rsidRPr="00644481">
        <w:rPr>
          <w:rFonts w:ascii="Cambria Math" w:hAnsi="Cambria Math" w:cs="Cambria Math"/>
          <w:sz w:val="22"/>
          <w:szCs w:val="22"/>
        </w:rPr>
        <w:t>₂</w:t>
      </w:r>
      <w:r w:rsidRPr="00644481">
        <w:rPr>
          <w:rFonts w:ascii="Arial" w:hAnsi="Arial" w:cs="Arial"/>
          <w:sz w:val="22"/>
          <w:szCs w:val="22"/>
        </w:rPr>
        <w:t xml:space="preserve"> compliance (91–95%) and a consistent 20.8 training hours per year (Figure 5).</w:t>
      </w:r>
    </w:p>
    <w:p w14:paraId="65C590EA" w14:textId="77777777" w:rsidR="00E502EA" w:rsidRPr="00E40363" w:rsidRDefault="00E502EA" w:rsidP="00E502EA">
      <w:pPr>
        <w:spacing w:after="0" w:line="360" w:lineRule="auto"/>
        <w:ind w:firstLine="567"/>
        <w:jc w:val="both"/>
        <w:rPr>
          <w:rFonts w:ascii="Arial" w:hAnsi="Arial" w:cs="Arial"/>
          <w:sz w:val="16"/>
          <w:szCs w:val="16"/>
        </w:rPr>
      </w:pPr>
    </w:p>
    <w:p w14:paraId="5B558EB4" w14:textId="15EE66E8" w:rsidR="00700F66" w:rsidRDefault="001A05EA" w:rsidP="00A16802">
      <w:pPr>
        <w:spacing w:after="0" w:line="240" w:lineRule="auto"/>
        <w:jc w:val="center"/>
        <w:rPr>
          <w:rFonts w:ascii="Arial" w:hAnsi="Arial" w:cs="Arial"/>
          <w:sz w:val="20"/>
          <w:szCs w:val="20"/>
        </w:rPr>
      </w:pPr>
      <w:r>
        <w:rPr>
          <w:rFonts w:ascii="Arial" w:hAnsi="Arial" w:cs="Arial"/>
          <w:sz w:val="20"/>
          <w:szCs w:val="20"/>
        </w:rPr>
        <w:t xml:space="preserve">Figure 5. </w:t>
      </w:r>
      <w:r w:rsidR="000C194C" w:rsidRPr="000C194C">
        <w:rPr>
          <w:rFonts w:ascii="Arial" w:hAnsi="Arial" w:cs="Arial"/>
          <w:sz w:val="20"/>
          <w:szCs w:val="20"/>
        </w:rPr>
        <w:t>Standardized Group Metrics: CO_2 Compliance and Workforce Training 2024</w:t>
      </w:r>
      <w:r w:rsidR="000C194C">
        <w:rPr>
          <w:rFonts w:ascii="Arial" w:hAnsi="Arial" w:cs="Arial"/>
          <w:sz w:val="20"/>
          <w:szCs w:val="20"/>
        </w:rPr>
        <w:t xml:space="preserve"> </w:t>
      </w:r>
    </w:p>
    <w:p w14:paraId="16826AAE" w14:textId="7C507A9C" w:rsidR="0069609A" w:rsidRPr="0069609A" w:rsidRDefault="00700F66" w:rsidP="00700F66">
      <w:pPr>
        <w:spacing w:after="0" w:line="240" w:lineRule="auto"/>
        <w:ind w:firstLine="567"/>
        <w:jc w:val="center"/>
        <w:rPr>
          <w:rFonts w:ascii="Arial" w:hAnsi="Arial" w:cs="Arial"/>
          <w:sz w:val="20"/>
          <w:szCs w:val="20"/>
        </w:rPr>
      </w:pPr>
      <w:r>
        <w:rPr>
          <w:rFonts w:ascii="Arial" w:hAnsi="Arial" w:cs="Arial"/>
          <w:i/>
          <w:iCs/>
          <w:sz w:val="20"/>
          <w:szCs w:val="20"/>
        </w:rPr>
        <w:t>(</w:t>
      </w:r>
      <w:r w:rsidR="000C194C" w:rsidRPr="006A2456">
        <w:rPr>
          <w:rFonts w:ascii="Arial" w:hAnsi="Arial" w:cs="Arial"/>
          <w:i/>
          <w:iCs/>
          <w:sz w:val="20"/>
          <w:szCs w:val="20"/>
        </w:rPr>
        <w:t>Volkswagen Group Annual Report, 2024)</w:t>
      </w:r>
    </w:p>
    <w:p w14:paraId="6C84B074" w14:textId="20424134" w:rsidR="00824752" w:rsidRDefault="0069609A" w:rsidP="00A16802">
      <w:pPr>
        <w:spacing w:after="0" w:line="360" w:lineRule="auto"/>
        <w:jc w:val="center"/>
        <w:rPr>
          <w:rFonts w:ascii="Arial" w:hAnsi="Arial" w:cs="Arial"/>
          <w:sz w:val="22"/>
          <w:szCs w:val="22"/>
        </w:rPr>
      </w:pPr>
      <w:r>
        <w:rPr>
          <w:rFonts w:ascii="Arial" w:hAnsi="Arial" w:cs="Arial"/>
          <w:noProof/>
          <w:sz w:val="22"/>
          <w:szCs w:val="22"/>
        </w:rPr>
        <w:drawing>
          <wp:inline distT="0" distB="0" distL="0" distR="0" wp14:anchorId="69470333" wp14:editId="3D91FBAA">
            <wp:extent cx="5005449" cy="2285843"/>
            <wp:effectExtent l="0" t="0" r="5080" b="635"/>
            <wp:docPr id="69947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20973" cy="2292932"/>
                    </a:xfrm>
                    <a:prstGeom prst="rect">
                      <a:avLst/>
                    </a:prstGeom>
                    <a:noFill/>
                  </pic:spPr>
                </pic:pic>
              </a:graphicData>
            </a:graphic>
          </wp:inline>
        </w:drawing>
      </w:r>
    </w:p>
    <w:p w14:paraId="6EEDECD2" w14:textId="77777777" w:rsidR="00824752" w:rsidRPr="001A05EA" w:rsidRDefault="00824752" w:rsidP="001D60C7">
      <w:pPr>
        <w:spacing w:after="0" w:line="360" w:lineRule="auto"/>
        <w:ind w:firstLine="567"/>
        <w:jc w:val="both"/>
        <w:rPr>
          <w:rFonts w:ascii="Arial" w:hAnsi="Arial" w:cs="Arial"/>
          <w:sz w:val="16"/>
          <w:szCs w:val="16"/>
        </w:rPr>
      </w:pPr>
    </w:p>
    <w:p w14:paraId="00FA1E18" w14:textId="0C5B35A3" w:rsidR="00BD6532" w:rsidRPr="00BD6532" w:rsidRDefault="00BD6532" w:rsidP="00BD6532">
      <w:pPr>
        <w:spacing w:after="0" w:line="360" w:lineRule="auto"/>
        <w:ind w:firstLine="567"/>
        <w:jc w:val="both"/>
        <w:rPr>
          <w:rFonts w:ascii="Arial" w:hAnsi="Arial" w:cs="Arial"/>
          <w:sz w:val="22"/>
          <w:szCs w:val="22"/>
        </w:rPr>
      </w:pPr>
      <w:r w:rsidRPr="00BD6532">
        <w:rPr>
          <w:rFonts w:ascii="Arial" w:hAnsi="Arial" w:cs="Arial"/>
          <w:sz w:val="22"/>
          <w:szCs w:val="22"/>
        </w:rPr>
        <w:t>Nevertheless, less obvious disparities in competence are concealed by this numerical symmetry.  Standardised measurements often mask operational imbalance instead of fixing it, according to Haleem, Javaid, and Khan (2022).</w:t>
      </w:r>
    </w:p>
    <w:p w14:paraId="29A45BC7" w14:textId="79821B39" w:rsidR="00BD6532" w:rsidRPr="00BD6532" w:rsidRDefault="00BD6532" w:rsidP="00BD6532">
      <w:pPr>
        <w:spacing w:after="0" w:line="360" w:lineRule="auto"/>
        <w:ind w:firstLine="567"/>
        <w:jc w:val="both"/>
        <w:rPr>
          <w:rFonts w:ascii="Arial" w:hAnsi="Arial" w:cs="Arial"/>
          <w:sz w:val="22"/>
          <w:szCs w:val="22"/>
        </w:rPr>
      </w:pPr>
      <w:r w:rsidRPr="00BD6532">
        <w:rPr>
          <w:rFonts w:ascii="Arial" w:hAnsi="Arial" w:cs="Arial"/>
          <w:sz w:val="22"/>
          <w:szCs w:val="22"/>
        </w:rPr>
        <w:t xml:space="preserve"> In contrast to Germany, where sophisticated EV software competency should be prioritised, Morocco's training programs are more likely to focus on fundamental dealer operations.  Volkswagen might end up worsening skill gaps rather than fixing them if these variations are homogenised into equal standard operating procedure standards.  Similar training hours might hide different strategic requirements in different nations, as Meyer and Benito (2020) demonstrate. This is because centralised methods do not take institutional distance into account</w:t>
      </w:r>
      <w:r>
        <w:rPr>
          <w:rFonts w:ascii="Arial" w:hAnsi="Arial" w:cs="Arial"/>
          <w:sz w:val="22"/>
          <w:szCs w:val="22"/>
        </w:rPr>
        <w:t>.</w:t>
      </w:r>
    </w:p>
    <w:p w14:paraId="3CC0CFAF" w14:textId="6ED865D7" w:rsidR="00BD6532" w:rsidRPr="00BD6532" w:rsidRDefault="00BD6532" w:rsidP="00BD6532">
      <w:pPr>
        <w:spacing w:after="0" w:line="360" w:lineRule="auto"/>
        <w:ind w:firstLine="567"/>
        <w:jc w:val="both"/>
        <w:rPr>
          <w:rFonts w:ascii="Arial" w:hAnsi="Arial" w:cs="Arial"/>
          <w:sz w:val="22"/>
          <w:szCs w:val="22"/>
        </w:rPr>
      </w:pPr>
      <w:r w:rsidRPr="00BD6532">
        <w:rPr>
          <w:rFonts w:ascii="Arial" w:hAnsi="Arial" w:cs="Arial"/>
          <w:sz w:val="22"/>
          <w:szCs w:val="22"/>
        </w:rPr>
        <w:t xml:space="preserve"> Instead of seeing conformity to an end—the danger of viewing it as a formal goal—is shown in Figure 5.  To accurately quantify competence depth and not only time allocation, the TTP SOP must be quickly adjusted.  The strategic mismatch will worsen if VW persists in associating uniform preparedness with uniform hours.</w:t>
      </w:r>
    </w:p>
    <w:p w14:paraId="4AE3D4B0" w14:textId="4BEC4733" w:rsidR="00AD76DD" w:rsidRDefault="00BD6532" w:rsidP="00BD6532">
      <w:pPr>
        <w:spacing w:after="0" w:line="360" w:lineRule="auto"/>
        <w:ind w:firstLine="567"/>
        <w:jc w:val="both"/>
        <w:rPr>
          <w:rFonts w:ascii="Arial" w:hAnsi="Arial" w:cs="Arial"/>
          <w:sz w:val="16"/>
          <w:szCs w:val="16"/>
        </w:rPr>
      </w:pPr>
      <w:r w:rsidRPr="00BD6532">
        <w:rPr>
          <w:rFonts w:ascii="Arial" w:hAnsi="Arial" w:cs="Arial"/>
          <w:sz w:val="22"/>
          <w:szCs w:val="22"/>
        </w:rPr>
        <w:t xml:space="preserve"> Additional evidence of how operational and market differences weaken inflexible global SOPs is shown in Figure 6.</w:t>
      </w:r>
    </w:p>
    <w:p w14:paraId="5CFC58CA" w14:textId="77777777" w:rsidR="00AD76DD" w:rsidRPr="00434D32" w:rsidRDefault="00AD76DD" w:rsidP="00CD546A">
      <w:pPr>
        <w:spacing w:after="0" w:line="360" w:lineRule="auto"/>
        <w:jc w:val="both"/>
        <w:rPr>
          <w:rFonts w:ascii="Arial" w:hAnsi="Arial" w:cs="Arial"/>
          <w:sz w:val="16"/>
          <w:szCs w:val="16"/>
        </w:rPr>
      </w:pPr>
    </w:p>
    <w:p w14:paraId="2D71287C" w14:textId="4466D103" w:rsidR="00841560" w:rsidRDefault="00841560" w:rsidP="00841560">
      <w:pPr>
        <w:spacing w:after="0" w:line="240" w:lineRule="auto"/>
        <w:jc w:val="center"/>
        <w:rPr>
          <w:rFonts w:ascii="Arial" w:hAnsi="Arial" w:cs="Arial"/>
          <w:sz w:val="20"/>
          <w:szCs w:val="20"/>
        </w:rPr>
      </w:pPr>
      <w:r>
        <w:rPr>
          <w:rFonts w:ascii="Arial" w:hAnsi="Arial" w:cs="Arial"/>
          <w:sz w:val="20"/>
          <w:szCs w:val="20"/>
        </w:rPr>
        <w:lastRenderedPageBreak/>
        <w:t xml:space="preserve">Figure 6. </w:t>
      </w:r>
      <w:r w:rsidRPr="00841560">
        <w:rPr>
          <w:rFonts w:ascii="Arial" w:hAnsi="Arial" w:cs="Arial"/>
          <w:sz w:val="20"/>
          <w:szCs w:val="20"/>
        </w:rPr>
        <w:t>Regional Disparities: EV Sales Volume and Service Network (2024)</w:t>
      </w:r>
    </w:p>
    <w:p w14:paraId="271B157E" w14:textId="411DE034" w:rsidR="00841560" w:rsidRPr="00841560" w:rsidRDefault="00841560" w:rsidP="00841560">
      <w:pPr>
        <w:spacing w:after="0" w:line="240" w:lineRule="auto"/>
        <w:jc w:val="center"/>
        <w:rPr>
          <w:rFonts w:ascii="Arial" w:hAnsi="Arial" w:cs="Arial"/>
          <w:sz w:val="20"/>
          <w:szCs w:val="20"/>
        </w:rPr>
      </w:pPr>
      <w:bookmarkStart w:id="24" w:name="_Hlk214530597"/>
      <w:r w:rsidRPr="00841560">
        <w:rPr>
          <w:rFonts w:ascii="Arial" w:hAnsi="Arial" w:cs="Arial"/>
          <w:sz w:val="20"/>
          <w:szCs w:val="20"/>
        </w:rPr>
        <w:t>(Volkswagen Group Annual Report, 2024)</w:t>
      </w:r>
    </w:p>
    <w:bookmarkEnd w:id="24"/>
    <w:p w14:paraId="7EF6CCE2" w14:textId="16AB0D1D" w:rsidR="00824752" w:rsidRDefault="00064A1F" w:rsidP="00A111E2">
      <w:pPr>
        <w:spacing w:after="0" w:line="360" w:lineRule="auto"/>
        <w:jc w:val="center"/>
        <w:rPr>
          <w:rFonts w:ascii="Arial" w:hAnsi="Arial" w:cs="Arial"/>
          <w:sz w:val="22"/>
          <w:szCs w:val="22"/>
        </w:rPr>
      </w:pPr>
      <w:r>
        <w:rPr>
          <w:rFonts w:ascii="Arial" w:hAnsi="Arial" w:cs="Arial"/>
          <w:noProof/>
          <w:sz w:val="22"/>
          <w:szCs w:val="22"/>
        </w:rPr>
        <w:drawing>
          <wp:inline distT="0" distB="0" distL="0" distR="0" wp14:anchorId="6EAE798C" wp14:editId="538AB999">
            <wp:extent cx="4352307" cy="1969135"/>
            <wp:effectExtent l="0" t="0" r="0" b="0"/>
            <wp:docPr id="9050471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98117" cy="1989861"/>
                    </a:xfrm>
                    <a:prstGeom prst="rect">
                      <a:avLst/>
                    </a:prstGeom>
                    <a:noFill/>
                  </pic:spPr>
                </pic:pic>
              </a:graphicData>
            </a:graphic>
          </wp:inline>
        </w:drawing>
      </w:r>
    </w:p>
    <w:p w14:paraId="73D31E1D" w14:textId="77777777" w:rsidR="00824752" w:rsidRPr="000955D6" w:rsidRDefault="00824752" w:rsidP="001D60C7">
      <w:pPr>
        <w:spacing w:after="0" w:line="360" w:lineRule="auto"/>
        <w:ind w:firstLine="567"/>
        <w:jc w:val="both"/>
        <w:rPr>
          <w:rFonts w:ascii="Arial" w:hAnsi="Arial" w:cs="Arial"/>
          <w:sz w:val="16"/>
          <w:szCs w:val="16"/>
        </w:rPr>
      </w:pPr>
    </w:p>
    <w:p w14:paraId="76571D0E" w14:textId="5778FE78" w:rsidR="00D721A1" w:rsidRPr="00D721A1" w:rsidRDefault="00D721A1" w:rsidP="00D721A1">
      <w:pPr>
        <w:spacing w:after="0" w:line="360" w:lineRule="auto"/>
        <w:ind w:firstLine="567"/>
        <w:jc w:val="both"/>
        <w:rPr>
          <w:rFonts w:ascii="Arial" w:hAnsi="Arial" w:cs="Arial"/>
          <w:sz w:val="22"/>
          <w:szCs w:val="22"/>
        </w:rPr>
      </w:pPr>
      <w:r w:rsidRPr="00D721A1">
        <w:rPr>
          <w:rFonts w:ascii="Arial" w:hAnsi="Arial" w:cs="Arial"/>
          <w:sz w:val="22"/>
          <w:szCs w:val="22"/>
        </w:rPr>
        <w:t>However, there is more ambiguity about the actual development that these 20.8 yearly training hours elicit due to their homogeneity.  The use of the same criteria to compare performance becomes meaningless if, for instance, dealer operations training in Germany is more focused on advanced EV competency and in Morocco on fundamental operations (Meyer and Benito, 2020).  This highlights the need for the TTP SOP to move away from numerical symmetry and towards competence-specific content, since Figure 5 reveals a structural blind hole rather than operational alignment.</w:t>
      </w:r>
    </w:p>
    <w:p w14:paraId="079DAAB9" w14:textId="71274FD5" w:rsidR="00D721A1" w:rsidRPr="00D721A1" w:rsidRDefault="00D721A1" w:rsidP="00716519">
      <w:pPr>
        <w:spacing w:after="0" w:line="360" w:lineRule="auto"/>
        <w:ind w:firstLine="567"/>
        <w:jc w:val="both"/>
        <w:rPr>
          <w:rFonts w:ascii="Arial" w:hAnsi="Arial" w:cs="Arial"/>
          <w:sz w:val="22"/>
          <w:szCs w:val="22"/>
        </w:rPr>
      </w:pPr>
      <w:r w:rsidRPr="00D721A1">
        <w:rPr>
          <w:rFonts w:ascii="Arial" w:hAnsi="Arial" w:cs="Arial"/>
          <w:sz w:val="22"/>
          <w:szCs w:val="22"/>
        </w:rPr>
        <w:t xml:space="preserve"> Figure 6, which shows regional differences in electric car sales and servicing network capacity, exacerbates this issue.  The evidence of a developed technical ecosystem that can accommodate fast electrification is shown by Germany's 2,500 service facilities and 180,000 EV sales.  If this proves true, then the 15 service facilities and 2,000 electric vehicles in Morocco reveal a structural bottleneck that cannot be remedied by a centralised standard operating procedure (Venaik and Midgley, 2019).  When institutional limitations alter the practicability of global norms, doing the same things </w:t>
      </w:r>
      <w:r w:rsidR="00683B7F" w:rsidRPr="00D721A1">
        <w:rPr>
          <w:rFonts w:ascii="Arial" w:hAnsi="Arial" w:cs="Arial"/>
          <w:sz w:val="22"/>
          <w:szCs w:val="22"/>
        </w:rPr>
        <w:t>repeatedly</w:t>
      </w:r>
      <w:r w:rsidRPr="00D721A1">
        <w:rPr>
          <w:rFonts w:ascii="Arial" w:hAnsi="Arial" w:cs="Arial"/>
          <w:sz w:val="22"/>
          <w:szCs w:val="22"/>
        </w:rPr>
        <w:t xml:space="preserve"> becomes ineffective.</w:t>
      </w:r>
    </w:p>
    <w:p w14:paraId="46AB40BE" w14:textId="77777777" w:rsidR="00D721A1" w:rsidRPr="00D721A1" w:rsidRDefault="00D721A1" w:rsidP="00D721A1">
      <w:pPr>
        <w:spacing w:after="0" w:line="360" w:lineRule="auto"/>
        <w:ind w:firstLine="567"/>
        <w:jc w:val="both"/>
        <w:rPr>
          <w:rFonts w:ascii="Arial" w:hAnsi="Arial" w:cs="Arial"/>
          <w:sz w:val="22"/>
          <w:szCs w:val="22"/>
        </w:rPr>
      </w:pPr>
      <w:r w:rsidRPr="00D721A1">
        <w:rPr>
          <w:rFonts w:ascii="Arial" w:hAnsi="Arial" w:cs="Arial"/>
          <w:sz w:val="22"/>
          <w:szCs w:val="22"/>
        </w:rPr>
        <w:t xml:space="preserve"> As a result, the focus changes from following standard operating procedures to understanding why inflexible global templates are failing in markets that are geographically and economically far apart.  When decentralised investment choices, supply-risk exposure, and speed-to-market are influenced by country-specific limits, the strategic value of RPAL and DLD SOPs diminishes without focused modification (Taras, Steel and Kirkman, 2021).  Volkswagen loses some of its OLI benefits if rigidity remains, since the company's internalisation processes will no longer boost location-specific productivity.</w:t>
      </w:r>
    </w:p>
    <w:p w14:paraId="1C56BF03" w14:textId="329D29AD" w:rsidR="00EB60B9" w:rsidRPr="002C5C4C" w:rsidRDefault="000955D6" w:rsidP="002C5C4C">
      <w:pPr>
        <w:spacing w:after="0" w:line="360" w:lineRule="auto"/>
        <w:ind w:firstLine="567"/>
        <w:jc w:val="both"/>
        <w:rPr>
          <w:rFonts w:ascii="Arial" w:hAnsi="Arial" w:cs="Arial"/>
          <w:sz w:val="22"/>
          <w:szCs w:val="22"/>
        </w:rPr>
      </w:pPr>
      <w:r w:rsidRPr="000955D6">
        <w:rPr>
          <w:rFonts w:ascii="Arial" w:hAnsi="Arial" w:cs="Arial"/>
          <w:sz w:val="22"/>
          <w:szCs w:val="22"/>
        </w:rPr>
        <w:t>These statistics show that Volkswagen's operational future depends on whether its standard operating procedures (SOPs) transition from static homogeneity to dynamic responsiveness across locations.   Agility in TTP, RPAL, and DLD procedures can address PESTEL risks, cultural-distance constraints, and OLI-based location asymmetries to ensure global coordination improves Volkswagen's multinational performance.</w:t>
      </w:r>
    </w:p>
    <w:p w14:paraId="2FD46F88" w14:textId="11FA349F" w:rsidR="00EB60B9" w:rsidRPr="005E476D" w:rsidRDefault="000B21BD" w:rsidP="005E476D">
      <w:pPr>
        <w:pStyle w:val="Heading1"/>
        <w:spacing w:before="0" w:after="0" w:line="360" w:lineRule="auto"/>
        <w:rPr>
          <w:b/>
          <w:bCs/>
          <w:sz w:val="22"/>
          <w:szCs w:val="22"/>
        </w:rPr>
      </w:pPr>
      <w:bookmarkStart w:id="25" w:name="_Toc214529469"/>
      <w:r w:rsidRPr="005E476D">
        <w:rPr>
          <w:b/>
          <w:bCs/>
          <w:sz w:val="22"/>
          <w:szCs w:val="22"/>
        </w:rPr>
        <w:lastRenderedPageBreak/>
        <w:t>Conclusion</w:t>
      </w:r>
      <w:bookmarkEnd w:id="25"/>
    </w:p>
    <w:p w14:paraId="61B20B68" w14:textId="77777777" w:rsidR="00FC161A" w:rsidRPr="00FC161A" w:rsidRDefault="00FC161A" w:rsidP="00FC161A">
      <w:pPr>
        <w:spacing w:after="0" w:line="360" w:lineRule="auto"/>
        <w:ind w:firstLine="567"/>
        <w:jc w:val="both"/>
        <w:rPr>
          <w:rFonts w:ascii="Arial" w:hAnsi="Arial" w:cs="Arial"/>
          <w:sz w:val="22"/>
          <w:szCs w:val="22"/>
        </w:rPr>
      </w:pPr>
      <w:r w:rsidRPr="00FC161A">
        <w:rPr>
          <w:rFonts w:ascii="Arial" w:hAnsi="Arial" w:cs="Arial"/>
          <w:sz w:val="22"/>
          <w:szCs w:val="22"/>
        </w:rPr>
        <w:t>In contrast to the institutional shortcomings shown in Brazil, Slovakia, and Morocco, the research shows that Germany's technical depth, sophisticated regulatory framework, and institutional stability make it the most strategically viable foundation for Volkswagen.  Previous cultural, PESTEL, and OLI analyses all point to Germany as the only nation with the innovation potential and degree of predictability needed to anchor a multi-country network.  Germany, on the other hand, is in a special position to absorb risk due to the export-driven vulnerability of Slovakia, the infrastructure fragility of Morocco, and the macroeconomic instability of Brazil.</w:t>
      </w:r>
    </w:p>
    <w:p w14:paraId="066C8F98" w14:textId="6FBC1D14" w:rsidR="00FC161A" w:rsidRPr="00FC161A" w:rsidRDefault="00FC161A" w:rsidP="00FC161A">
      <w:pPr>
        <w:spacing w:after="0" w:line="360" w:lineRule="auto"/>
        <w:ind w:firstLine="567"/>
        <w:jc w:val="both"/>
        <w:rPr>
          <w:rFonts w:ascii="Arial" w:hAnsi="Arial" w:cs="Arial"/>
          <w:sz w:val="22"/>
          <w:szCs w:val="22"/>
        </w:rPr>
      </w:pPr>
      <w:r w:rsidRPr="00FC161A">
        <w:rPr>
          <w:rFonts w:ascii="Arial" w:hAnsi="Arial" w:cs="Arial"/>
          <w:sz w:val="22"/>
          <w:szCs w:val="22"/>
        </w:rPr>
        <w:t xml:space="preserve"> It is this imbalance that is reinforced by the examination of entrance modalities.  Due of Germany's strong central supervision, which protects technical advantages, exporting and licensing are the best options.  The political and cultural instability in Brazil and Morocco calls for joint ventures, whereas the need for manufacturing accuracy and EU-logistics integration in Slovakia calls for totally owned businesses.  As the report's study reveals variations in institutional distance, internalisation advantages, and cultural compatibility, </w:t>
      </w:r>
      <w:r w:rsidR="004E6C50" w:rsidRPr="00FC161A">
        <w:rPr>
          <w:rFonts w:ascii="Arial" w:hAnsi="Arial" w:cs="Arial"/>
          <w:sz w:val="22"/>
          <w:szCs w:val="22"/>
        </w:rPr>
        <w:t>these</w:t>
      </w:r>
      <w:r w:rsidRPr="00FC161A">
        <w:rPr>
          <w:rFonts w:ascii="Arial" w:hAnsi="Arial" w:cs="Arial"/>
          <w:sz w:val="22"/>
          <w:szCs w:val="22"/>
        </w:rPr>
        <w:t xml:space="preserve"> modes cannot be used interchangeably.</w:t>
      </w:r>
    </w:p>
    <w:p w14:paraId="0DCD6289" w14:textId="7AF61AD7" w:rsidR="00FC161A" w:rsidRPr="00FC161A" w:rsidRDefault="00FC161A" w:rsidP="00FC161A">
      <w:pPr>
        <w:spacing w:after="0" w:line="360" w:lineRule="auto"/>
        <w:ind w:firstLine="567"/>
        <w:jc w:val="both"/>
        <w:rPr>
          <w:rFonts w:ascii="Arial" w:hAnsi="Arial" w:cs="Arial"/>
          <w:sz w:val="22"/>
          <w:szCs w:val="22"/>
        </w:rPr>
      </w:pPr>
      <w:r w:rsidRPr="00FC161A">
        <w:rPr>
          <w:rFonts w:ascii="Arial" w:hAnsi="Arial" w:cs="Arial"/>
          <w:sz w:val="22"/>
          <w:szCs w:val="22"/>
        </w:rPr>
        <w:t xml:space="preserve"> To be strategic, the suggested growth sequence must be staggered.  Germany </w:t>
      </w:r>
      <w:r w:rsidR="00BB35DB" w:rsidRPr="00FC161A">
        <w:rPr>
          <w:rFonts w:ascii="Arial" w:hAnsi="Arial" w:cs="Arial"/>
          <w:sz w:val="22"/>
          <w:szCs w:val="22"/>
        </w:rPr>
        <w:t>needs</w:t>
      </w:r>
      <w:r w:rsidRPr="00FC161A">
        <w:rPr>
          <w:rFonts w:ascii="Arial" w:hAnsi="Arial" w:cs="Arial"/>
          <w:sz w:val="22"/>
          <w:szCs w:val="22"/>
        </w:rPr>
        <w:t xml:space="preserve"> to prioritise the consolidation of research and development and digital capabilities, Slovakia should consider reinforce their production architecture as a secondary objective, and Brazil and Morocco ought to wait to receive further investment until operational adaption mechanisms are completely implemented.</w:t>
      </w:r>
    </w:p>
    <w:p w14:paraId="1625C6C9" w14:textId="744A07CA" w:rsidR="002C5C4C" w:rsidRPr="002C5C4C" w:rsidRDefault="00FC161A" w:rsidP="00FC161A">
      <w:pPr>
        <w:spacing w:after="0" w:line="360" w:lineRule="auto"/>
        <w:ind w:firstLine="567"/>
        <w:jc w:val="both"/>
        <w:rPr>
          <w:rFonts w:ascii="Arial" w:hAnsi="Arial" w:cs="Arial"/>
          <w:sz w:val="22"/>
          <w:szCs w:val="22"/>
        </w:rPr>
      </w:pPr>
      <w:r w:rsidRPr="00FC161A">
        <w:rPr>
          <w:rFonts w:ascii="Arial" w:hAnsi="Arial" w:cs="Arial"/>
          <w:sz w:val="22"/>
          <w:szCs w:val="22"/>
        </w:rPr>
        <w:t xml:space="preserve"> According to the research, </w:t>
      </w:r>
      <w:r w:rsidR="005E476D" w:rsidRPr="00FC161A">
        <w:rPr>
          <w:rFonts w:ascii="Arial" w:hAnsi="Arial" w:cs="Arial"/>
          <w:sz w:val="22"/>
          <w:szCs w:val="22"/>
        </w:rPr>
        <w:t>for</w:t>
      </w:r>
      <w:r w:rsidRPr="00FC161A">
        <w:rPr>
          <w:rFonts w:ascii="Arial" w:hAnsi="Arial" w:cs="Arial"/>
          <w:sz w:val="22"/>
          <w:szCs w:val="22"/>
        </w:rPr>
        <w:t xml:space="preserve"> Volkswagen to succeed in the long run, the four-country system must be transformed into an ecosystem in which sustainability, resilience, and profitability complement rather than contradict one another.</w:t>
      </w:r>
    </w:p>
    <w:p w14:paraId="15AC6679" w14:textId="77777777" w:rsidR="00EB60B9" w:rsidRDefault="00EB60B9" w:rsidP="001D60C7">
      <w:pPr>
        <w:spacing w:after="0" w:line="360" w:lineRule="auto"/>
        <w:ind w:firstLine="567"/>
        <w:jc w:val="both"/>
        <w:rPr>
          <w:rFonts w:ascii="Arial" w:hAnsi="Arial" w:cs="Arial"/>
          <w:b/>
          <w:bCs/>
          <w:i/>
          <w:iCs/>
          <w:sz w:val="22"/>
          <w:szCs w:val="22"/>
        </w:rPr>
      </w:pPr>
    </w:p>
    <w:p w14:paraId="6F4E02D9" w14:textId="77777777" w:rsidR="00EB60B9" w:rsidRDefault="00EB60B9" w:rsidP="001D60C7">
      <w:pPr>
        <w:spacing w:after="0" w:line="360" w:lineRule="auto"/>
        <w:ind w:firstLine="567"/>
        <w:jc w:val="both"/>
        <w:rPr>
          <w:rFonts w:ascii="Arial" w:hAnsi="Arial" w:cs="Arial"/>
          <w:b/>
          <w:bCs/>
          <w:i/>
          <w:iCs/>
          <w:sz w:val="22"/>
          <w:szCs w:val="22"/>
        </w:rPr>
      </w:pPr>
    </w:p>
    <w:p w14:paraId="3194218B" w14:textId="77777777" w:rsidR="00EB60B9" w:rsidRDefault="00EB60B9" w:rsidP="001D60C7">
      <w:pPr>
        <w:spacing w:after="0" w:line="360" w:lineRule="auto"/>
        <w:ind w:firstLine="567"/>
        <w:jc w:val="both"/>
        <w:rPr>
          <w:rFonts w:ascii="Arial" w:hAnsi="Arial" w:cs="Arial"/>
          <w:b/>
          <w:bCs/>
          <w:i/>
          <w:iCs/>
          <w:sz w:val="22"/>
          <w:szCs w:val="22"/>
        </w:rPr>
      </w:pPr>
    </w:p>
    <w:p w14:paraId="5DF77DDF" w14:textId="77777777" w:rsidR="00EB60B9" w:rsidRDefault="00EB60B9" w:rsidP="001D60C7">
      <w:pPr>
        <w:spacing w:after="0" w:line="360" w:lineRule="auto"/>
        <w:ind w:firstLine="567"/>
        <w:jc w:val="both"/>
        <w:rPr>
          <w:rFonts w:ascii="Arial" w:hAnsi="Arial" w:cs="Arial"/>
          <w:b/>
          <w:bCs/>
          <w:i/>
          <w:iCs/>
          <w:sz w:val="22"/>
          <w:szCs w:val="22"/>
        </w:rPr>
      </w:pPr>
    </w:p>
    <w:p w14:paraId="5E866471" w14:textId="77777777" w:rsidR="00420103" w:rsidRDefault="00420103" w:rsidP="001D60C7">
      <w:pPr>
        <w:spacing w:after="0" w:line="360" w:lineRule="auto"/>
        <w:ind w:firstLine="567"/>
        <w:jc w:val="both"/>
        <w:rPr>
          <w:rFonts w:ascii="Arial" w:hAnsi="Arial" w:cs="Arial"/>
          <w:b/>
          <w:bCs/>
          <w:i/>
          <w:iCs/>
          <w:sz w:val="22"/>
          <w:szCs w:val="22"/>
        </w:rPr>
      </w:pPr>
    </w:p>
    <w:p w14:paraId="6DE37329" w14:textId="77777777" w:rsidR="00420103" w:rsidRDefault="00420103" w:rsidP="001D60C7">
      <w:pPr>
        <w:spacing w:after="0" w:line="360" w:lineRule="auto"/>
        <w:ind w:firstLine="567"/>
        <w:jc w:val="both"/>
        <w:rPr>
          <w:rFonts w:ascii="Arial" w:hAnsi="Arial" w:cs="Arial"/>
          <w:b/>
          <w:bCs/>
          <w:i/>
          <w:iCs/>
          <w:sz w:val="22"/>
          <w:szCs w:val="22"/>
        </w:rPr>
      </w:pPr>
    </w:p>
    <w:p w14:paraId="44C39DA9" w14:textId="77777777" w:rsidR="00420103" w:rsidRDefault="00420103" w:rsidP="001D60C7">
      <w:pPr>
        <w:spacing w:after="0" w:line="360" w:lineRule="auto"/>
        <w:ind w:firstLine="567"/>
        <w:jc w:val="both"/>
        <w:rPr>
          <w:rFonts w:ascii="Arial" w:hAnsi="Arial" w:cs="Arial"/>
          <w:b/>
          <w:bCs/>
          <w:i/>
          <w:iCs/>
          <w:sz w:val="22"/>
          <w:szCs w:val="22"/>
        </w:rPr>
      </w:pPr>
    </w:p>
    <w:p w14:paraId="2D44176E" w14:textId="77777777" w:rsidR="00420103" w:rsidRPr="00420103" w:rsidRDefault="00420103" w:rsidP="001D60C7">
      <w:pPr>
        <w:spacing w:after="0" w:line="360" w:lineRule="auto"/>
        <w:ind w:firstLine="567"/>
        <w:jc w:val="both"/>
        <w:rPr>
          <w:rFonts w:ascii="Arial" w:hAnsi="Arial" w:cs="Arial"/>
          <w:b/>
          <w:bCs/>
          <w:i/>
          <w:iCs/>
          <w:sz w:val="22"/>
          <w:szCs w:val="22"/>
        </w:rPr>
      </w:pPr>
    </w:p>
    <w:p w14:paraId="07327AD7" w14:textId="77777777" w:rsidR="00C956EB" w:rsidRDefault="00C956EB" w:rsidP="0093190E">
      <w:pPr>
        <w:spacing w:after="0" w:line="360" w:lineRule="auto"/>
        <w:jc w:val="both"/>
        <w:rPr>
          <w:rFonts w:ascii="Arial" w:hAnsi="Arial" w:cs="Arial"/>
          <w:sz w:val="22"/>
          <w:szCs w:val="22"/>
        </w:rPr>
      </w:pPr>
    </w:p>
    <w:p w14:paraId="48A53E72" w14:textId="77777777" w:rsidR="000D52E7" w:rsidRDefault="000D52E7" w:rsidP="0093190E">
      <w:pPr>
        <w:spacing w:after="0" w:line="360" w:lineRule="auto"/>
        <w:jc w:val="both"/>
        <w:rPr>
          <w:rFonts w:ascii="Arial" w:hAnsi="Arial" w:cs="Arial"/>
          <w:sz w:val="22"/>
          <w:szCs w:val="22"/>
        </w:rPr>
      </w:pPr>
    </w:p>
    <w:p w14:paraId="32CE71F3" w14:textId="77777777" w:rsidR="000D52E7" w:rsidRDefault="000D52E7" w:rsidP="0093190E">
      <w:pPr>
        <w:spacing w:after="0" w:line="360" w:lineRule="auto"/>
        <w:jc w:val="both"/>
        <w:rPr>
          <w:rFonts w:ascii="Arial" w:hAnsi="Arial" w:cs="Arial"/>
          <w:sz w:val="22"/>
          <w:szCs w:val="22"/>
        </w:rPr>
      </w:pPr>
    </w:p>
    <w:p w14:paraId="68BAFBC2" w14:textId="77777777" w:rsidR="000D52E7" w:rsidRDefault="000D52E7" w:rsidP="0093190E">
      <w:pPr>
        <w:spacing w:after="0" w:line="360" w:lineRule="auto"/>
        <w:jc w:val="both"/>
        <w:rPr>
          <w:rFonts w:ascii="Arial" w:hAnsi="Arial" w:cs="Arial"/>
          <w:sz w:val="22"/>
          <w:szCs w:val="22"/>
        </w:rPr>
      </w:pPr>
    </w:p>
    <w:p w14:paraId="15D69122" w14:textId="77777777" w:rsidR="00C956EB" w:rsidRDefault="00C956EB" w:rsidP="006402FC">
      <w:pPr>
        <w:spacing w:after="0" w:line="360" w:lineRule="auto"/>
        <w:jc w:val="both"/>
        <w:rPr>
          <w:rFonts w:ascii="Arial" w:hAnsi="Arial" w:cs="Arial"/>
          <w:sz w:val="22"/>
          <w:szCs w:val="22"/>
        </w:rPr>
      </w:pPr>
    </w:p>
    <w:p w14:paraId="0AE0A86B" w14:textId="77777777" w:rsidR="006402FC" w:rsidRDefault="006402FC" w:rsidP="006402FC">
      <w:pPr>
        <w:spacing w:after="0" w:line="360" w:lineRule="auto"/>
        <w:jc w:val="both"/>
        <w:rPr>
          <w:rFonts w:ascii="Arial" w:hAnsi="Arial" w:cs="Arial"/>
          <w:sz w:val="22"/>
          <w:szCs w:val="22"/>
        </w:rPr>
      </w:pPr>
    </w:p>
    <w:p w14:paraId="51D733DC" w14:textId="6BE9B75D" w:rsidR="00C956EB" w:rsidRPr="005E476D" w:rsidRDefault="007D5244" w:rsidP="005E476D">
      <w:pPr>
        <w:pStyle w:val="Heading1"/>
        <w:spacing w:before="0" w:after="0" w:line="360" w:lineRule="auto"/>
        <w:rPr>
          <w:b/>
          <w:bCs/>
          <w:color w:val="EE0000"/>
          <w:sz w:val="22"/>
          <w:szCs w:val="22"/>
        </w:rPr>
      </w:pPr>
      <w:bookmarkStart w:id="26" w:name="_Toc214529470"/>
      <w:r w:rsidRPr="005E476D">
        <w:rPr>
          <w:b/>
          <w:bCs/>
          <w:sz w:val="22"/>
          <w:szCs w:val="22"/>
        </w:rPr>
        <w:lastRenderedPageBreak/>
        <w:t>Appendix 1. Operation Countries</w:t>
      </w:r>
      <w:r w:rsidR="00CF1017" w:rsidRPr="005E476D">
        <w:rPr>
          <w:b/>
          <w:bCs/>
          <w:sz w:val="22"/>
          <w:szCs w:val="22"/>
        </w:rPr>
        <w:t xml:space="preserve"> VW</w:t>
      </w:r>
      <w:bookmarkEnd w:id="26"/>
    </w:p>
    <w:p w14:paraId="759D87BB" w14:textId="77777777" w:rsidR="00EE0E67" w:rsidRPr="00EE0E67" w:rsidRDefault="00EE0E67" w:rsidP="001D60C7">
      <w:pPr>
        <w:spacing w:after="0" w:line="360" w:lineRule="auto"/>
        <w:ind w:firstLine="567"/>
        <w:jc w:val="both"/>
        <w:rPr>
          <w:rFonts w:ascii="Arial" w:hAnsi="Arial" w:cs="Arial"/>
          <w:sz w:val="16"/>
          <w:szCs w:val="16"/>
        </w:rPr>
      </w:pPr>
    </w:p>
    <w:p w14:paraId="5FD3BD7F" w14:textId="06EE30A6" w:rsidR="007D791A" w:rsidRPr="006402FC" w:rsidRDefault="007D791A" w:rsidP="006402FC">
      <w:pPr>
        <w:spacing w:after="0" w:line="360" w:lineRule="auto"/>
        <w:ind w:firstLine="567"/>
        <w:jc w:val="center"/>
        <w:rPr>
          <w:rFonts w:ascii="Arial" w:hAnsi="Arial" w:cs="Arial"/>
          <w:sz w:val="20"/>
          <w:szCs w:val="20"/>
        </w:rPr>
      </w:pPr>
      <w:r w:rsidRPr="006402FC">
        <w:rPr>
          <w:rFonts w:ascii="Arial" w:hAnsi="Arial" w:cs="Arial"/>
          <w:sz w:val="20"/>
          <w:szCs w:val="20"/>
        </w:rPr>
        <w:t xml:space="preserve">Table 1. </w:t>
      </w:r>
      <w:r w:rsidR="006402FC" w:rsidRPr="006402FC">
        <w:rPr>
          <w:rFonts w:ascii="Arial" w:hAnsi="Arial" w:cs="Arial"/>
          <w:sz w:val="20"/>
          <w:szCs w:val="20"/>
        </w:rPr>
        <w:t>Operation</w:t>
      </w:r>
      <w:r w:rsidR="0043401C">
        <w:rPr>
          <w:rFonts w:ascii="Arial" w:hAnsi="Arial" w:cs="Arial"/>
          <w:sz w:val="20"/>
          <w:szCs w:val="20"/>
        </w:rPr>
        <w:t>al</w:t>
      </w:r>
      <w:r w:rsidR="006402FC" w:rsidRPr="006402FC">
        <w:rPr>
          <w:rFonts w:ascii="Arial" w:hAnsi="Arial" w:cs="Arial"/>
          <w:sz w:val="20"/>
          <w:szCs w:val="20"/>
        </w:rPr>
        <w:t xml:space="preserve"> Countries VW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38"/>
        <w:gridCol w:w="1677"/>
        <w:gridCol w:w="2202"/>
        <w:gridCol w:w="3199"/>
      </w:tblGrid>
      <w:tr w:rsidR="00776D41" w:rsidRPr="00392E06" w14:paraId="3DC0C7F4" w14:textId="77777777" w:rsidTr="00776D41">
        <w:trPr>
          <w:tblHeader/>
          <w:tblCellSpacing w:w="15" w:type="dxa"/>
        </w:trPr>
        <w:tc>
          <w:tcPr>
            <w:tcW w:w="0" w:type="auto"/>
            <w:vAlign w:val="center"/>
            <w:hideMark/>
          </w:tcPr>
          <w:p w14:paraId="58B5187F" w14:textId="77777777" w:rsidR="003A43A9" w:rsidRPr="003A43A9" w:rsidRDefault="003A43A9" w:rsidP="0012573B">
            <w:pPr>
              <w:spacing w:after="0" w:line="240" w:lineRule="auto"/>
              <w:rPr>
                <w:rFonts w:ascii="Arial" w:hAnsi="Arial" w:cs="Arial"/>
                <w:b/>
                <w:bCs/>
                <w:sz w:val="18"/>
                <w:szCs w:val="18"/>
              </w:rPr>
            </w:pPr>
            <w:r w:rsidRPr="003A43A9">
              <w:rPr>
                <w:rFonts w:ascii="Arial" w:hAnsi="Arial" w:cs="Arial"/>
                <w:b/>
                <w:bCs/>
                <w:sz w:val="18"/>
                <w:szCs w:val="18"/>
              </w:rPr>
              <w:t>Economy type</w:t>
            </w:r>
          </w:p>
        </w:tc>
        <w:tc>
          <w:tcPr>
            <w:tcW w:w="1647" w:type="dxa"/>
            <w:vAlign w:val="center"/>
            <w:hideMark/>
          </w:tcPr>
          <w:p w14:paraId="3679AF8E" w14:textId="25255DB8" w:rsidR="003A43A9" w:rsidRPr="003A43A9" w:rsidRDefault="003A43A9" w:rsidP="0012573B">
            <w:pPr>
              <w:spacing w:after="0" w:line="240" w:lineRule="auto"/>
              <w:rPr>
                <w:rFonts w:ascii="Arial" w:hAnsi="Arial" w:cs="Arial"/>
                <w:b/>
                <w:bCs/>
                <w:sz w:val="18"/>
                <w:szCs w:val="18"/>
              </w:rPr>
            </w:pPr>
            <w:r w:rsidRPr="003A43A9">
              <w:rPr>
                <w:rFonts w:ascii="Arial" w:hAnsi="Arial" w:cs="Arial"/>
                <w:b/>
                <w:bCs/>
                <w:sz w:val="18"/>
                <w:szCs w:val="18"/>
              </w:rPr>
              <w:t xml:space="preserve">Countries </w:t>
            </w:r>
          </w:p>
        </w:tc>
        <w:tc>
          <w:tcPr>
            <w:tcW w:w="2172" w:type="dxa"/>
            <w:vAlign w:val="center"/>
            <w:hideMark/>
          </w:tcPr>
          <w:p w14:paraId="7550B83E" w14:textId="77777777" w:rsidR="003A43A9" w:rsidRPr="003A43A9" w:rsidRDefault="003A43A9" w:rsidP="00752564">
            <w:pPr>
              <w:spacing w:after="0" w:line="240" w:lineRule="auto"/>
              <w:rPr>
                <w:rFonts w:ascii="Arial" w:hAnsi="Arial" w:cs="Arial"/>
                <w:b/>
                <w:bCs/>
                <w:sz w:val="18"/>
                <w:szCs w:val="18"/>
              </w:rPr>
            </w:pPr>
            <w:r w:rsidRPr="003A43A9">
              <w:rPr>
                <w:rFonts w:ascii="Arial" w:hAnsi="Arial" w:cs="Arial"/>
                <w:b/>
                <w:bCs/>
                <w:sz w:val="18"/>
                <w:szCs w:val="18"/>
              </w:rPr>
              <w:t>Entry mode(s)</w:t>
            </w:r>
          </w:p>
        </w:tc>
        <w:tc>
          <w:tcPr>
            <w:tcW w:w="0" w:type="auto"/>
            <w:vAlign w:val="center"/>
            <w:hideMark/>
          </w:tcPr>
          <w:p w14:paraId="34B924AD" w14:textId="0A95424C" w:rsidR="003A43A9" w:rsidRPr="003A43A9" w:rsidRDefault="003A43A9" w:rsidP="004C1D5F">
            <w:pPr>
              <w:spacing w:after="0" w:line="240" w:lineRule="auto"/>
              <w:rPr>
                <w:rFonts w:ascii="Arial" w:hAnsi="Arial" w:cs="Arial"/>
                <w:b/>
                <w:bCs/>
                <w:sz w:val="18"/>
                <w:szCs w:val="18"/>
              </w:rPr>
            </w:pPr>
            <w:r w:rsidRPr="003A43A9">
              <w:rPr>
                <w:rFonts w:ascii="Arial" w:hAnsi="Arial" w:cs="Arial"/>
                <w:b/>
                <w:bCs/>
                <w:sz w:val="18"/>
                <w:szCs w:val="18"/>
              </w:rPr>
              <w:t xml:space="preserve">Strategic purpose </w:t>
            </w:r>
          </w:p>
        </w:tc>
      </w:tr>
      <w:tr w:rsidR="00776D41" w:rsidRPr="00392E06" w14:paraId="49425368" w14:textId="77777777" w:rsidTr="00776D41">
        <w:trPr>
          <w:tblCellSpacing w:w="15" w:type="dxa"/>
        </w:trPr>
        <w:tc>
          <w:tcPr>
            <w:tcW w:w="0" w:type="auto"/>
            <w:vAlign w:val="center"/>
            <w:hideMark/>
          </w:tcPr>
          <w:p w14:paraId="27C3C3F1" w14:textId="77777777" w:rsidR="003A43A9" w:rsidRPr="003A43A9" w:rsidRDefault="003A43A9" w:rsidP="0012573B">
            <w:pPr>
              <w:spacing w:after="0" w:line="240" w:lineRule="auto"/>
              <w:rPr>
                <w:rFonts w:ascii="Arial" w:hAnsi="Arial" w:cs="Arial"/>
                <w:sz w:val="18"/>
                <w:szCs w:val="18"/>
              </w:rPr>
            </w:pPr>
            <w:r w:rsidRPr="003A43A9">
              <w:rPr>
                <w:rFonts w:ascii="Arial" w:hAnsi="Arial" w:cs="Arial"/>
                <w:b/>
                <w:bCs/>
                <w:sz w:val="18"/>
                <w:szCs w:val="18"/>
              </w:rPr>
              <w:t>Mature Economies</w:t>
            </w:r>
          </w:p>
        </w:tc>
        <w:tc>
          <w:tcPr>
            <w:tcW w:w="1647" w:type="dxa"/>
            <w:vAlign w:val="center"/>
            <w:hideMark/>
          </w:tcPr>
          <w:p w14:paraId="16CA06B4" w14:textId="77777777" w:rsidR="0012573B" w:rsidRPr="00392E06" w:rsidRDefault="003A43A9" w:rsidP="0012573B">
            <w:pPr>
              <w:spacing w:after="0" w:line="240" w:lineRule="auto"/>
              <w:rPr>
                <w:rFonts w:ascii="Arial" w:hAnsi="Arial" w:cs="Arial"/>
                <w:b/>
                <w:bCs/>
                <w:sz w:val="18"/>
                <w:szCs w:val="18"/>
              </w:rPr>
            </w:pPr>
            <w:r w:rsidRPr="003A43A9">
              <w:rPr>
                <w:rFonts w:ascii="Arial" w:hAnsi="Arial" w:cs="Arial"/>
                <w:b/>
                <w:bCs/>
                <w:sz w:val="18"/>
                <w:szCs w:val="18"/>
              </w:rPr>
              <w:t>Germany,</w:t>
            </w:r>
          </w:p>
          <w:p w14:paraId="2A935AE9" w14:textId="22661E92"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U</w:t>
            </w:r>
            <w:r w:rsidR="009464C2" w:rsidRPr="00392E06">
              <w:rPr>
                <w:rFonts w:ascii="Arial" w:hAnsi="Arial" w:cs="Arial"/>
                <w:sz w:val="18"/>
                <w:szCs w:val="18"/>
              </w:rPr>
              <w:t>nited</w:t>
            </w:r>
            <w:r w:rsidR="00776D41" w:rsidRPr="00392E06">
              <w:rPr>
                <w:rFonts w:ascii="Arial" w:hAnsi="Arial" w:cs="Arial"/>
                <w:sz w:val="18"/>
                <w:szCs w:val="18"/>
              </w:rPr>
              <w:t xml:space="preserve"> </w:t>
            </w:r>
            <w:r w:rsidR="009464C2" w:rsidRPr="00392E06">
              <w:rPr>
                <w:rFonts w:ascii="Arial" w:hAnsi="Arial" w:cs="Arial"/>
                <w:sz w:val="18"/>
                <w:szCs w:val="18"/>
              </w:rPr>
              <w:t>Kingdom</w:t>
            </w:r>
            <w:r w:rsidRPr="003A43A9">
              <w:rPr>
                <w:rFonts w:ascii="Arial" w:hAnsi="Arial" w:cs="Arial"/>
                <w:sz w:val="18"/>
                <w:szCs w:val="18"/>
              </w:rPr>
              <w:t xml:space="preserve">, </w:t>
            </w:r>
          </w:p>
          <w:p w14:paraId="6C066F23"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France,</w:t>
            </w:r>
          </w:p>
          <w:p w14:paraId="03926956" w14:textId="5BC74C7C"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Italy,</w:t>
            </w:r>
          </w:p>
          <w:p w14:paraId="7A8506C8" w14:textId="46879E0E"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Spain, </w:t>
            </w:r>
          </w:p>
          <w:p w14:paraId="3C70F7FB"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Sweden,</w:t>
            </w:r>
          </w:p>
          <w:p w14:paraId="1FE2ED4A" w14:textId="0CE19E6E"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Belgium, </w:t>
            </w:r>
          </w:p>
          <w:p w14:paraId="6518B5F5"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Netherlands, </w:t>
            </w:r>
          </w:p>
          <w:p w14:paraId="00CC3AB0"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Austria,</w:t>
            </w:r>
          </w:p>
          <w:p w14:paraId="71FE9653" w14:textId="4CDE72A9"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Switzerland, </w:t>
            </w:r>
          </w:p>
          <w:p w14:paraId="174405B5"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Portugal, </w:t>
            </w:r>
          </w:p>
          <w:p w14:paraId="1BEC3B18"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Finland, </w:t>
            </w:r>
          </w:p>
          <w:p w14:paraId="388CEE15"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Denmark,</w:t>
            </w:r>
          </w:p>
          <w:p w14:paraId="51371005"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 Ireland, </w:t>
            </w:r>
          </w:p>
          <w:p w14:paraId="4EFD8205"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Norway, </w:t>
            </w:r>
          </w:p>
          <w:p w14:paraId="23389E85"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USA, </w:t>
            </w:r>
          </w:p>
          <w:p w14:paraId="268F6B31"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Canada, </w:t>
            </w:r>
          </w:p>
          <w:p w14:paraId="6CB1C863"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Japan, </w:t>
            </w:r>
          </w:p>
          <w:p w14:paraId="658B50DE" w14:textId="77777777" w:rsidR="009464C2"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South Korea, </w:t>
            </w:r>
          </w:p>
          <w:p w14:paraId="6DA0DAB8" w14:textId="77777777" w:rsidR="00AC04A5" w:rsidRPr="00392E06" w:rsidRDefault="003A43A9" w:rsidP="0012573B">
            <w:pPr>
              <w:spacing w:after="0" w:line="240" w:lineRule="auto"/>
              <w:rPr>
                <w:rFonts w:ascii="Arial" w:hAnsi="Arial" w:cs="Arial"/>
                <w:sz w:val="18"/>
                <w:szCs w:val="18"/>
              </w:rPr>
            </w:pPr>
            <w:r w:rsidRPr="003A43A9">
              <w:rPr>
                <w:rFonts w:ascii="Arial" w:hAnsi="Arial" w:cs="Arial"/>
                <w:sz w:val="18"/>
                <w:szCs w:val="18"/>
              </w:rPr>
              <w:t>Australia,</w:t>
            </w:r>
          </w:p>
          <w:p w14:paraId="1C40C866" w14:textId="5FFFA66F" w:rsidR="003A43A9" w:rsidRPr="003A43A9" w:rsidRDefault="003A43A9" w:rsidP="0012573B">
            <w:pPr>
              <w:spacing w:after="0" w:line="240" w:lineRule="auto"/>
              <w:rPr>
                <w:rFonts w:ascii="Arial" w:hAnsi="Arial" w:cs="Arial"/>
                <w:sz w:val="18"/>
                <w:szCs w:val="18"/>
              </w:rPr>
            </w:pPr>
            <w:r w:rsidRPr="003A43A9">
              <w:rPr>
                <w:rFonts w:ascii="Arial" w:hAnsi="Arial" w:cs="Arial"/>
                <w:sz w:val="18"/>
                <w:szCs w:val="18"/>
              </w:rPr>
              <w:t xml:space="preserve"> New Zealand</w:t>
            </w:r>
          </w:p>
        </w:tc>
        <w:tc>
          <w:tcPr>
            <w:tcW w:w="2172" w:type="dxa"/>
            <w:vAlign w:val="center"/>
            <w:hideMark/>
          </w:tcPr>
          <w:p w14:paraId="1C6BBA39" w14:textId="77777777" w:rsidR="00752564" w:rsidRPr="00392E06" w:rsidRDefault="00AC04A5" w:rsidP="00752564">
            <w:pPr>
              <w:spacing w:after="0" w:line="240" w:lineRule="auto"/>
              <w:rPr>
                <w:rFonts w:ascii="Arial" w:hAnsi="Arial" w:cs="Arial"/>
                <w:b/>
                <w:bCs/>
                <w:sz w:val="18"/>
                <w:szCs w:val="18"/>
              </w:rPr>
            </w:pPr>
            <w:r w:rsidRPr="00F94EFA">
              <w:rPr>
                <w:rFonts w:ascii="Arial" w:hAnsi="Arial" w:cs="Arial"/>
                <w:b/>
                <w:bCs/>
                <w:sz w:val="18"/>
                <w:szCs w:val="18"/>
              </w:rPr>
              <w:t>Export</w:t>
            </w:r>
            <w:r w:rsidRPr="00392E06">
              <w:rPr>
                <w:rFonts w:ascii="Arial" w:hAnsi="Arial" w:cs="Arial"/>
                <w:b/>
                <w:bCs/>
                <w:sz w:val="18"/>
                <w:szCs w:val="18"/>
              </w:rPr>
              <w:t>/</w:t>
            </w:r>
            <w:r w:rsidRPr="00F94EFA">
              <w:rPr>
                <w:rFonts w:ascii="Arial" w:hAnsi="Arial" w:cs="Arial"/>
                <w:b/>
                <w:bCs/>
                <w:sz w:val="18"/>
                <w:szCs w:val="18"/>
              </w:rPr>
              <w:t>Licensing</w:t>
            </w:r>
            <w:r w:rsidR="00752564" w:rsidRPr="00392E06">
              <w:rPr>
                <w:rFonts w:ascii="Arial" w:hAnsi="Arial" w:cs="Arial"/>
                <w:b/>
                <w:bCs/>
                <w:sz w:val="18"/>
                <w:szCs w:val="18"/>
              </w:rPr>
              <w:t>,</w:t>
            </w:r>
          </w:p>
          <w:p w14:paraId="7C54AE58" w14:textId="37B5A5F3" w:rsidR="003A43A9" w:rsidRPr="003A43A9" w:rsidRDefault="003A43A9" w:rsidP="00752564">
            <w:pPr>
              <w:spacing w:after="0" w:line="240" w:lineRule="auto"/>
              <w:rPr>
                <w:rFonts w:ascii="Arial" w:hAnsi="Arial" w:cs="Arial"/>
                <w:b/>
                <w:bCs/>
                <w:sz w:val="18"/>
                <w:szCs w:val="18"/>
              </w:rPr>
            </w:pPr>
            <w:r w:rsidRPr="003A43A9">
              <w:rPr>
                <w:rFonts w:ascii="Arial" w:hAnsi="Arial" w:cs="Arial"/>
                <w:b/>
                <w:bCs/>
                <w:sz w:val="18"/>
                <w:szCs w:val="18"/>
              </w:rPr>
              <w:t xml:space="preserve">Greenfield investment &amp; </w:t>
            </w:r>
            <w:r w:rsidR="00752564" w:rsidRPr="00392E06">
              <w:rPr>
                <w:rFonts w:ascii="Arial" w:hAnsi="Arial" w:cs="Arial"/>
                <w:b/>
                <w:bCs/>
                <w:sz w:val="18"/>
                <w:szCs w:val="18"/>
              </w:rPr>
              <w:t>A</w:t>
            </w:r>
            <w:r w:rsidRPr="003A43A9">
              <w:rPr>
                <w:rFonts w:ascii="Arial" w:hAnsi="Arial" w:cs="Arial"/>
                <w:b/>
                <w:bCs/>
                <w:sz w:val="18"/>
                <w:szCs w:val="18"/>
              </w:rPr>
              <w:t>cquisition</w:t>
            </w:r>
          </w:p>
        </w:tc>
        <w:tc>
          <w:tcPr>
            <w:tcW w:w="0" w:type="auto"/>
            <w:vAlign w:val="center"/>
            <w:hideMark/>
          </w:tcPr>
          <w:p w14:paraId="47BD4CCA" w14:textId="77777777" w:rsidR="004C1D5F"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Concentrate R&amp;D</w:t>
            </w:r>
            <w:r w:rsidRPr="003A43A9">
              <w:rPr>
                <w:rFonts w:ascii="Arial" w:hAnsi="Arial" w:cs="Arial"/>
                <w:sz w:val="18"/>
                <w:szCs w:val="18"/>
              </w:rPr>
              <w:t>, software and electrification innovation</w:t>
            </w:r>
          </w:p>
          <w:p w14:paraId="2A161FDF" w14:textId="77777777" w:rsidR="004C1D5F"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 xml:space="preserve">Strengthen </w:t>
            </w:r>
            <w:r w:rsidRPr="003A43A9">
              <w:rPr>
                <w:rFonts w:ascii="Arial" w:hAnsi="Arial" w:cs="Arial"/>
                <w:sz w:val="18"/>
                <w:szCs w:val="18"/>
              </w:rPr>
              <w:t>premium brand positioning</w:t>
            </w:r>
          </w:p>
          <w:p w14:paraId="570B4DC2" w14:textId="77777777"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Secure stable</w:t>
            </w:r>
            <w:r w:rsidRPr="003A43A9">
              <w:rPr>
                <w:rFonts w:ascii="Arial" w:hAnsi="Arial" w:cs="Arial"/>
                <w:sz w:val="18"/>
                <w:szCs w:val="18"/>
              </w:rPr>
              <w:t>, high-value revenue streams</w:t>
            </w:r>
          </w:p>
          <w:p w14:paraId="57B15623" w14:textId="2DD171E6" w:rsidR="003A43A9" w:rsidRPr="003A43A9" w:rsidRDefault="003A43A9" w:rsidP="004C1D5F">
            <w:pPr>
              <w:spacing w:after="0" w:line="240" w:lineRule="auto"/>
              <w:rPr>
                <w:rFonts w:ascii="Arial" w:hAnsi="Arial" w:cs="Arial"/>
                <w:sz w:val="18"/>
                <w:szCs w:val="18"/>
              </w:rPr>
            </w:pPr>
            <w:r w:rsidRPr="003A43A9">
              <w:rPr>
                <w:rFonts w:ascii="Arial" w:hAnsi="Arial" w:cs="Arial"/>
                <w:b/>
                <w:bCs/>
                <w:sz w:val="18"/>
                <w:szCs w:val="18"/>
              </w:rPr>
              <w:t>• Maintain dense</w:t>
            </w:r>
            <w:r w:rsidRPr="003A43A9">
              <w:rPr>
                <w:rFonts w:ascii="Arial" w:hAnsi="Arial" w:cs="Arial"/>
                <w:sz w:val="18"/>
                <w:szCs w:val="18"/>
              </w:rPr>
              <w:t xml:space="preserve"> dealer networks and high aftersales standards</w:t>
            </w:r>
          </w:p>
        </w:tc>
      </w:tr>
      <w:tr w:rsidR="00776D41" w:rsidRPr="00392E06" w14:paraId="69136465" w14:textId="77777777" w:rsidTr="00776D41">
        <w:trPr>
          <w:tblCellSpacing w:w="15" w:type="dxa"/>
        </w:trPr>
        <w:tc>
          <w:tcPr>
            <w:tcW w:w="0" w:type="auto"/>
            <w:vAlign w:val="center"/>
            <w:hideMark/>
          </w:tcPr>
          <w:p w14:paraId="10869CB1" w14:textId="4ADE608C" w:rsidR="003A43A9" w:rsidRPr="003A43A9" w:rsidRDefault="003A43A9" w:rsidP="0012573B">
            <w:pPr>
              <w:spacing w:after="0" w:line="240" w:lineRule="auto"/>
              <w:rPr>
                <w:rFonts w:ascii="Arial" w:hAnsi="Arial" w:cs="Arial"/>
                <w:sz w:val="18"/>
                <w:szCs w:val="18"/>
              </w:rPr>
            </w:pPr>
            <w:r w:rsidRPr="003A43A9">
              <w:rPr>
                <w:rFonts w:ascii="Arial" w:hAnsi="Arial" w:cs="Arial"/>
                <w:b/>
                <w:bCs/>
                <w:sz w:val="18"/>
                <w:szCs w:val="18"/>
              </w:rPr>
              <w:t xml:space="preserve">Emerging </w:t>
            </w:r>
          </w:p>
        </w:tc>
        <w:tc>
          <w:tcPr>
            <w:tcW w:w="1647" w:type="dxa"/>
            <w:vAlign w:val="center"/>
            <w:hideMark/>
          </w:tcPr>
          <w:p w14:paraId="5CD147AE" w14:textId="77777777"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China,</w:t>
            </w:r>
          </w:p>
          <w:p w14:paraId="1AD4941F" w14:textId="2DAC7A59"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India,</w:t>
            </w:r>
          </w:p>
          <w:p w14:paraId="725908D4" w14:textId="62889AEE" w:rsidR="001941BF" w:rsidRPr="00392E06" w:rsidRDefault="003A43A9" w:rsidP="0012573B">
            <w:pPr>
              <w:spacing w:after="0" w:line="240" w:lineRule="auto"/>
              <w:rPr>
                <w:rFonts w:ascii="Arial" w:hAnsi="Arial" w:cs="Arial"/>
                <w:sz w:val="18"/>
                <w:szCs w:val="18"/>
              </w:rPr>
            </w:pPr>
            <w:r w:rsidRPr="003A43A9">
              <w:rPr>
                <w:rFonts w:ascii="Arial" w:hAnsi="Arial" w:cs="Arial"/>
                <w:b/>
                <w:bCs/>
                <w:sz w:val="18"/>
                <w:szCs w:val="18"/>
              </w:rPr>
              <w:t>Brazil</w:t>
            </w:r>
            <w:r w:rsidRPr="003A43A9">
              <w:rPr>
                <w:rFonts w:ascii="Arial" w:hAnsi="Arial" w:cs="Arial"/>
                <w:sz w:val="18"/>
                <w:szCs w:val="18"/>
              </w:rPr>
              <w:t xml:space="preserve">, </w:t>
            </w:r>
          </w:p>
          <w:p w14:paraId="19019F21" w14:textId="77777777"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Mexico, </w:t>
            </w:r>
          </w:p>
          <w:p w14:paraId="077FEE72" w14:textId="77777777"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South Africa,</w:t>
            </w:r>
          </w:p>
          <w:p w14:paraId="4900C0B0" w14:textId="4D0C0E2C"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Thailand,</w:t>
            </w:r>
          </w:p>
          <w:p w14:paraId="6CFFF8E4" w14:textId="36C20A25"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Malaysia,</w:t>
            </w:r>
          </w:p>
          <w:p w14:paraId="0EE446DA" w14:textId="4996BC49"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Singapore,</w:t>
            </w:r>
          </w:p>
          <w:p w14:paraId="29C690ED" w14:textId="23CB4EB2"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Vietnam,</w:t>
            </w:r>
          </w:p>
          <w:p w14:paraId="7AC57007" w14:textId="670AC8EE"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Indonesia, Philippines, Argentina, </w:t>
            </w:r>
          </w:p>
          <w:p w14:paraId="39F248E7" w14:textId="77777777" w:rsidR="001941BF"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Chile, </w:t>
            </w:r>
          </w:p>
          <w:p w14:paraId="1735F8F6" w14:textId="0367A359" w:rsidR="003A43A9" w:rsidRPr="003A43A9" w:rsidRDefault="003A43A9" w:rsidP="0012573B">
            <w:pPr>
              <w:spacing w:after="0" w:line="240" w:lineRule="auto"/>
              <w:rPr>
                <w:rFonts w:ascii="Arial" w:hAnsi="Arial" w:cs="Arial"/>
                <w:sz w:val="18"/>
                <w:szCs w:val="18"/>
              </w:rPr>
            </w:pPr>
            <w:r w:rsidRPr="003A43A9">
              <w:rPr>
                <w:rFonts w:ascii="Arial" w:hAnsi="Arial" w:cs="Arial"/>
                <w:sz w:val="18"/>
                <w:szCs w:val="18"/>
              </w:rPr>
              <w:t>Colombia</w:t>
            </w:r>
          </w:p>
        </w:tc>
        <w:tc>
          <w:tcPr>
            <w:tcW w:w="2172" w:type="dxa"/>
            <w:vAlign w:val="center"/>
            <w:hideMark/>
          </w:tcPr>
          <w:p w14:paraId="0C9CB3DC" w14:textId="50600963" w:rsidR="003A43A9" w:rsidRPr="003A43A9" w:rsidRDefault="003A43A9" w:rsidP="00752564">
            <w:pPr>
              <w:spacing w:after="0" w:line="240" w:lineRule="auto"/>
              <w:rPr>
                <w:rFonts w:ascii="Arial" w:hAnsi="Arial" w:cs="Arial"/>
                <w:b/>
                <w:bCs/>
                <w:sz w:val="18"/>
                <w:szCs w:val="18"/>
              </w:rPr>
            </w:pPr>
            <w:r w:rsidRPr="003A43A9">
              <w:rPr>
                <w:rFonts w:ascii="Arial" w:hAnsi="Arial" w:cs="Arial"/>
                <w:b/>
                <w:bCs/>
                <w:sz w:val="18"/>
                <w:szCs w:val="18"/>
              </w:rPr>
              <w:t xml:space="preserve">Joint ventures &amp; </w:t>
            </w:r>
            <w:r w:rsidR="00752564" w:rsidRPr="00392E06">
              <w:rPr>
                <w:rFonts w:ascii="Arial" w:hAnsi="Arial" w:cs="Arial"/>
                <w:b/>
                <w:bCs/>
                <w:sz w:val="18"/>
                <w:szCs w:val="18"/>
              </w:rPr>
              <w:t>S</w:t>
            </w:r>
            <w:r w:rsidRPr="003A43A9">
              <w:rPr>
                <w:rFonts w:ascii="Arial" w:hAnsi="Arial" w:cs="Arial"/>
                <w:b/>
                <w:bCs/>
                <w:sz w:val="18"/>
                <w:szCs w:val="18"/>
              </w:rPr>
              <w:t xml:space="preserve">trategic </w:t>
            </w:r>
            <w:r w:rsidR="00752564" w:rsidRPr="00392E06">
              <w:rPr>
                <w:rFonts w:ascii="Arial" w:hAnsi="Arial" w:cs="Arial"/>
                <w:b/>
                <w:bCs/>
                <w:sz w:val="18"/>
                <w:szCs w:val="18"/>
              </w:rPr>
              <w:t>A</w:t>
            </w:r>
            <w:r w:rsidRPr="003A43A9">
              <w:rPr>
                <w:rFonts w:ascii="Arial" w:hAnsi="Arial" w:cs="Arial"/>
                <w:b/>
                <w:bCs/>
                <w:sz w:val="18"/>
                <w:szCs w:val="18"/>
              </w:rPr>
              <w:t>lliances</w:t>
            </w:r>
          </w:p>
        </w:tc>
        <w:tc>
          <w:tcPr>
            <w:tcW w:w="0" w:type="auto"/>
            <w:vAlign w:val="center"/>
            <w:hideMark/>
          </w:tcPr>
          <w:p w14:paraId="57BD6772" w14:textId="77777777"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Share regulatory</w:t>
            </w:r>
            <w:r w:rsidRPr="003A43A9">
              <w:rPr>
                <w:rFonts w:ascii="Arial" w:hAnsi="Arial" w:cs="Arial"/>
                <w:sz w:val="18"/>
                <w:szCs w:val="18"/>
              </w:rPr>
              <w:t xml:space="preserve"> and political risk with local partners</w:t>
            </w:r>
          </w:p>
          <w:p w14:paraId="7B3C3E3C" w14:textId="77777777"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Access fast-growing</w:t>
            </w:r>
            <w:r w:rsidRPr="003A43A9">
              <w:rPr>
                <w:rFonts w:ascii="Arial" w:hAnsi="Arial" w:cs="Arial"/>
                <w:sz w:val="18"/>
                <w:szCs w:val="18"/>
              </w:rPr>
              <w:t xml:space="preserve"> consumer markets</w:t>
            </w:r>
          </w:p>
          <w:p w14:paraId="331BADD2" w14:textId="77777777"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Accelerate localisation</w:t>
            </w:r>
            <w:r w:rsidRPr="003A43A9">
              <w:rPr>
                <w:rFonts w:ascii="Arial" w:hAnsi="Arial" w:cs="Arial"/>
                <w:sz w:val="18"/>
                <w:szCs w:val="18"/>
              </w:rPr>
              <w:t xml:space="preserve"> of components and EV models</w:t>
            </w:r>
          </w:p>
          <w:p w14:paraId="72ACC520" w14:textId="512C7F47" w:rsidR="003A43A9" w:rsidRPr="003A43A9" w:rsidRDefault="003A43A9" w:rsidP="004C1D5F">
            <w:pPr>
              <w:spacing w:after="0" w:line="240" w:lineRule="auto"/>
              <w:rPr>
                <w:rFonts w:ascii="Arial" w:hAnsi="Arial" w:cs="Arial"/>
                <w:sz w:val="18"/>
                <w:szCs w:val="18"/>
              </w:rPr>
            </w:pPr>
            <w:r w:rsidRPr="003A43A9">
              <w:rPr>
                <w:rFonts w:ascii="Arial" w:hAnsi="Arial" w:cs="Arial"/>
                <w:b/>
                <w:bCs/>
                <w:sz w:val="18"/>
                <w:szCs w:val="18"/>
              </w:rPr>
              <w:t>• Expand high-volume</w:t>
            </w:r>
            <w:r w:rsidRPr="003A43A9">
              <w:rPr>
                <w:rFonts w:ascii="Arial" w:hAnsi="Arial" w:cs="Arial"/>
                <w:sz w:val="18"/>
                <w:szCs w:val="18"/>
              </w:rPr>
              <w:t xml:space="preserve"> production at competitive cost</w:t>
            </w:r>
          </w:p>
        </w:tc>
      </w:tr>
      <w:tr w:rsidR="00776D41" w:rsidRPr="00392E06" w14:paraId="58E4FAD2" w14:textId="77777777" w:rsidTr="00776D41">
        <w:trPr>
          <w:tblCellSpacing w:w="15" w:type="dxa"/>
        </w:trPr>
        <w:tc>
          <w:tcPr>
            <w:tcW w:w="0" w:type="auto"/>
            <w:vAlign w:val="center"/>
            <w:hideMark/>
          </w:tcPr>
          <w:p w14:paraId="27FF55A1" w14:textId="502AB7EB" w:rsidR="003A43A9" w:rsidRPr="003A43A9" w:rsidRDefault="003A43A9" w:rsidP="0012573B">
            <w:pPr>
              <w:spacing w:after="0" w:line="240" w:lineRule="auto"/>
              <w:rPr>
                <w:rFonts w:ascii="Arial" w:hAnsi="Arial" w:cs="Arial"/>
                <w:sz w:val="18"/>
                <w:szCs w:val="18"/>
              </w:rPr>
            </w:pPr>
            <w:r w:rsidRPr="003A43A9">
              <w:rPr>
                <w:rFonts w:ascii="Arial" w:hAnsi="Arial" w:cs="Arial"/>
                <w:b/>
                <w:bCs/>
                <w:sz w:val="18"/>
                <w:szCs w:val="18"/>
              </w:rPr>
              <w:t>Emerging Transition Economies</w:t>
            </w:r>
          </w:p>
        </w:tc>
        <w:tc>
          <w:tcPr>
            <w:tcW w:w="1647" w:type="dxa"/>
            <w:vAlign w:val="center"/>
            <w:hideMark/>
          </w:tcPr>
          <w:p w14:paraId="45909E88"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Czech Republic, </w:t>
            </w:r>
          </w:p>
          <w:p w14:paraId="2C084972"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Poland, </w:t>
            </w:r>
          </w:p>
          <w:p w14:paraId="0BA62C82"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Hungary,</w:t>
            </w:r>
          </w:p>
          <w:p w14:paraId="64423154" w14:textId="47C8409F" w:rsidR="00776D41" w:rsidRPr="00392E06" w:rsidRDefault="003A43A9" w:rsidP="0012573B">
            <w:pPr>
              <w:spacing w:after="0" w:line="240" w:lineRule="auto"/>
              <w:rPr>
                <w:rFonts w:ascii="Arial" w:hAnsi="Arial" w:cs="Arial"/>
                <w:sz w:val="18"/>
                <w:szCs w:val="18"/>
              </w:rPr>
            </w:pPr>
            <w:r w:rsidRPr="003A43A9">
              <w:rPr>
                <w:rFonts w:ascii="Arial" w:hAnsi="Arial" w:cs="Arial"/>
                <w:b/>
                <w:bCs/>
                <w:sz w:val="18"/>
                <w:szCs w:val="18"/>
              </w:rPr>
              <w:t>Slovakia,</w:t>
            </w:r>
            <w:r w:rsidRPr="003A43A9">
              <w:rPr>
                <w:rFonts w:ascii="Arial" w:hAnsi="Arial" w:cs="Arial"/>
                <w:sz w:val="18"/>
                <w:szCs w:val="18"/>
              </w:rPr>
              <w:t xml:space="preserve"> </w:t>
            </w:r>
          </w:p>
          <w:p w14:paraId="622E65E3"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Romania,</w:t>
            </w:r>
          </w:p>
          <w:p w14:paraId="24AC5702" w14:textId="6863FE28"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Slovenia, </w:t>
            </w:r>
          </w:p>
          <w:p w14:paraId="4DBAA72A"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Croatia,</w:t>
            </w:r>
          </w:p>
          <w:p w14:paraId="3849A183" w14:textId="5F1A4209"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Serbia, </w:t>
            </w:r>
          </w:p>
          <w:p w14:paraId="0984BA4A" w14:textId="0CABDCFE" w:rsidR="003A43A9" w:rsidRPr="003A43A9" w:rsidRDefault="003A43A9" w:rsidP="0012573B">
            <w:pPr>
              <w:spacing w:after="0" w:line="240" w:lineRule="auto"/>
              <w:rPr>
                <w:rFonts w:ascii="Arial" w:hAnsi="Arial" w:cs="Arial"/>
                <w:sz w:val="18"/>
                <w:szCs w:val="18"/>
              </w:rPr>
            </w:pPr>
            <w:r w:rsidRPr="003A43A9">
              <w:rPr>
                <w:rFonts w:ascii="Arial" w:hAnsi="Arial" w:cs="Arial"/>
                <w:sz w:val="18"/>
                <w:szCs w:val="18"/>
              </w:rPr>
              <w:t>Türkiye</w:t>
            </w:r>
          </w:p>
        </w:tc>
        <w:tc>
          <w:tcPr>
            <w:tcW w:w="2172" w:type="dxa"/>
            <w:vAlign w:val="center"/>
            <w:hideMark/>
          </w:tcPr>
          <w:p w14:paraId="43EB5038" w14:textId="77777777" w:rsidR="003A43A9" w:rsidRPr="003A43A9" w:rsidRDefault="003A43A9" w:rsidP="00752564">
            <w:pPr>
              <w:spacing w:after="0" w:line="240" w:lineRule="auto"/>
              <w:rPr>
                <w:rFonts w:ascii="Arial" w:hAnsi="Arial" w:cs="Arial"/>
                <w:b/>
                <w:bCs/>
                <w:sz w:val="18"/>
                <w:szCs w:val="18"/>
              </w:rPr>
            </w:pPr>
            <w:r w:rsidRPr="003A43A9">
              <w:rPr>
                <w:rFonts w:ascii="Arial" w:hAnsi="Arial" w:cs="Arial"/>
                <w:b/>
                <w:bCs/>
                <w:sz w:val="18"/>
                <w:szCs w:val="18"/>
              </w:rPr>
              <w:t>Wholly owned subsidiaries (selective JVs)</w:t>
            </w:r>
          </w:p>
        </w:tc>
        <w:tc>
          <w:tcPr>
            <w:tcW w:w="0" w:type="auto"/>
            <w:vAlign w:val="center"/>
            <w:hideMark/>
          </w:tcPr>
          <w:p w14:paraId="1B57B1E7" w14:textId="77777777"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Optimise cost-efficient EU</w:t>
            </w:r>
            <w:r w:rsidRPr="003A43A9">
              <w:rPr>
                <w:rFonts w:ascii="Arial" w:hAnsi="Arial" w:cs="Arial"/>
                <w:sz w:val="18"/>
                <w:szCs w:val="18"/>
              </w:rPr>
              <w:t xml:space="preserve"> and near-EU production</w:t>
            </w:r>
          </w:p>
          <w:p w14:paraId="2F6412D4" w14:textId="2D331274"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Support modular platform</w:t>
            </w:r>
            <w:r w:rsidRPr="003A43A9">
              <w:rPr>
                <w:rFonts w:ascii="Arial" w:hAnsi="Arial" w:cs="Arial"/>
                <w:sz w:val="18"/>
                <w:szCs w:val="18"/>
              </w:rPr>
              <w:t xml:space="preserve"> manufacturing (MQB/MEB)</w:t>
            </w:r>
          </w:p>
          <w:p w14:paraId="46777340" w14:textId="77777777" w:rsidR="004C1D5F" w:rsidRDefault="003A43A9" w:rsidP="004C1D5F">
            <w:pPr>
              <w:spacing w:after="0" w:line="240" w:lineRule="auto"/>
              <w:rPr>
                <w:rFonts w:ascii="Arial" w:hAnsi="Arial" w:cs="Arial"/>
                <w:sz w:val="18"/>
                <w:szCs w:val="18"/>
              </w:rPr>
            </w:pPr>
            <w:r w:rsidRPr="003A43A9">
              <w:rPr>
                <w:rFonts w:ascii="Arial" w:hAnsi="Arial" w:cs="Arial"/>
                <w:b/>
                <w:bCs/>
                <w:sz w:val="18"/>
                <w:szCs w:val="18"/>
              </w:rPr>
              <w:t>• Leverage favourable labour</w:t>
            </w:r>
            <w:r w:rsidRPr="003A43A9">
              <w:rPr>
                <w:rFonts w:ascii="Arial" w:hAnsi="Arial" w:cs="Arial"/>
                <w:sz w:val="18"/>
                <w:szCs w:val="18"/>
              </w:rPr>
              <w:t xml:space="preserve"> and logistics conditions</w:t>
            </w:r>
          </w:p>
          <w:p w14:paraId="35715C0C" w14:textId="0E50A285" w:rsidR="003A43A9" w:rsidRPr="003A43A9"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Ensure stable export</w:t>
            </w:r>
            <w:r w:rsidRPr="003A43A9">
              <w:rPr>
                <w:rFonts w:ascii="Arial" w:hAnsi="Arial" w:cs="Arial"/>
                <w:sz w:val="18"/>
                <w:szCs w:val="18"/>
              </w:rPr>
              <w:t xml:space="preserve"> capacity into Western Europe</w:t>
            </w:r>
          </w:p>
        </w:tc>
      </w:tr>
      <w:tr w:rsidR="00776D41" w:rsidRPr="00392E06" w14:paraId="77D3B768" w14:textId="77777777" w:rsidTr="00776D41">
        <w:trPr>
          <w:tblCellSpacing w:w="15" w:type="dxa"/>
        </w:trPr>
        <w:tc>
          <w:tcPr>
            <w:tcW w:w="0" w:type="auto"/>
            <w:vAlign w:val="center"/>
            <w:hideMark/>
          </w:tcPr>
          <w:p w14:paraId="6377288C" w14:textId="11DEA324" w:rsidR="003A43A9" w:rsidRPr="003A43A9" w:rsidRDefault="003A43A9" w:rsidP="0012573B">
            <w:pPr>
              <w:spacing w:after="0" w:line="240" w:lineRule="auto"/>
              <w:rPr>
                <w:rFonts w:ascii="Arial" w:hAnsi="Arial" w:cs="Arial"/>
                <w:sz w:val="18"/>
                <w:szCs w:val="18"/>
              </w:rPr>
            </w:pPr>
            <w:r w:rsidRPr="003A43A9">
              <w:rPr>
                <w:rFonts w:ascii="Arial" w:hAnsi="Arial" w:cs="Arial"/>
                <w:b/>
                <w:bCs/>
                <w:sz w:val="18"/>
                <w:szCs w:val="18"/>
              </w:rPr>
              <w:t>Developing Economies</w:t>
            </w:r>
          </w:p>
        </w:tc>
        <w:tc>
          <w:tcPr>
            <w:tcW w:w="1647" w:type="dxa"/>
            <w:vAlign w:val="center"/>
            <w:hideMark/>
          </w:tcPr>
          <w:p w14:paraId="766DB365"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b/>
                <w:bCs/>
                <w:sz w:val="18"/>
                <w:szCs w:val="18"/>
              </w:rPr>
              <w:t>Morocco</w:t>
            </w:r>
            <w:r w:rsidRPr="003A43A9">
              <w:rPr>
                <w:rFonts w:ascii="Arial" w:hAnsi="Arial" w:cs="Arial"/>
                <w:sz w:val="18"/>
                <w:szCs w:val="18"/>
              </w:rPr>
              <w:t xml:space="preserve">, </w:t>
            </w:r>
          </w:p>
          <w:p w14:paraId="70BD4EBD"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Egypt, </w:t>
            </w:r>
          </w:p>
          <w:p w14:paraId="1483B8D0"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Kenya,</w:t>
            </w:r>
          </w:p>
          <w:p w14:paraId="26D61249" w14:textId="7906A343"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Nigeria</w:t>
            </w:r>
            <w:r w:rsidR="00776D41" w:rsidRPr="00392E06">
              <w:rPr>
                <w:rFonts w:ascii="Arial" w:hAnsi="Arial" w:cs="Arial"/>
                <w:sz w:val="18"/>
                <w:szCs w:val="18"/>
              </w:rPr>
              <w:t>,</w:t>
            </w:r>
          </w:p>
          <w:p w14:paraId="1E4AB898" w14:textId="64A31B88"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Ghana, </w:t>
            </w:r>
          </w:p>
          <w:p w14:paraId="76C5DB88" w14:textId="77777777"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Tunisia,</w:t>
            </w:r>
          </w:p>
          <w:p w14:paraId="1FFAED27" w14:textId="0EB23E40" w:rsidR="00776D41" w:rsidRPr="00392E06" w:rsidRDefault="003A43A9" w:rsidP="0012573B">
            <w:pPr>
              <w:spacing w:after="0" w:line="240" w:lineRule="auto"/>
              <w:rPr>
                <w:rFonts w:ascii="Arial" w:hAnsi="Arial" w:cs="Arial"/>
                <w:sz w:val="18"/>
                <w:szCs w:val="18"/>
              </w:rPr>
            </w:pPr>
            <w:r w:rsidRPr="003A43A9">
              <w:rPr>
                <w:rFonts w:ascii="Arial" w:hAnsi="Arial" w:cs="Arial"/>
                <w:sz w:val="18"/>
                <w:szCs w:val="18"/>
              </w:rPr>
              <w:t>Algeria,</w:t>
            </w:r>
          </w:p>
          <w:p w14:paraId="5435F0D1" w14:textId="77777777" w:rsidR="00392E06"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 Angola, </w:t>
            </w:r>
          </w:p>
          <w:p w14:paraId="09D377DC" w14:textId="77777777" w:rsidR="00392E06" w:rsidRPr="00392E06" w:rsidRDefault="003A43A9" w:rsidP="0012573B">
            <w:pPr>
              <w:spacing w:after="0" w:line="240" w:lineRule="auto"/>
              <w:rPr>
                <w:rFonts w:ascii="Arial" w:hAnsi="Arial" w:cs="Arial"/>
                <w:sz w:val="18"/>
                <w:szCs w:val="18"/>
              </w:rPr>
            </w:pPr>
            <w:r w:rsidRPr="003A43A9">
              <w:rPr>
                <w:rFonts w:ascii="Arial" w:hAnsi="Arial" w:cs="Arial"/>
                <w:sz w:val="18"/>
                <w:szCs w:val="18"/>
              </w:rPr>
              <w:t xml:space="preserve">Ethiopia, Rwanda, </w:t>
            </w:r>
          </w:p>
          <w:p w14:paraId="6D5B7007" w14:textId="34646069" w:rsidR="003A43A9" w:rsidRPr="003A43A9" w:rsidRDefault="003A43A9" w:rsidP="0012573B">
            <w:pPr>
              <w:spacing w:after="0" w:line="240" w:lineRule="auto"/>
              <w:rPr>
                <w:rFonts w:ascii="Arial" w:hAnsi="Arial" w:cs="Arial"/>
                <w:sz w:val="18"/>
                <w:szCs w:val="18"/>
              </w:rPr>
            </w:pPr>
            <w:r w:rsidRPr="003A43A9">
              <w:rPr>
                <w:rFonts w:ascii="Arial" w:hAnsi="Arial" w:cs="Arial"/>
                <w:sz w:val="18"/>
                <w:szCs w:val="18"/>
              </w:rPr>
              <w:t>Uganda</w:t>
            </w:r>
          </w:p>
        </w:tc>
        <w:tc>
          <w:tcPr>
            <w:tcW w:w="2172" w:type="dxa"/>
            <w:vAlign w:val="center"/>
            <w:hideMark/>
          </w:tcPr>
          <w:p w14:paraId="3A03ABC1" w14:textId="77777777" w:rsidR="00D77529" w:rsidRDefault="00D77529" w:rsidP="00752564">
            <w:pPr>
              <w:spacing w:after="0" w:line="240" w:lineRule="auto"/>
              <w:rPr>
                <w:rFonts w:ascii="Arial" w:hAnsi="Arial" w:cs="Arial"/>
                <w:b/>
                <w:bCs/>
                <w:sz w:val="18"/>
                <w:szCs w:val="18"/>
              </w:rPr>
            </w:pPr>
            <w:r w:rsidRPr="003A43A9">
              <w:rPr>
                <w:rFonts w:ascii="Arial" w:hAnsi="Arial" w:cs="Arial"/>
                <w:b/>
                <w:bCs/>
                <w:sz w:val="18"/>
                <w:szCs w:val="18"/>
              </w:rPr>
              <w:t>Joint ventures</w:t>
            </w:r>
            <w:r>
              <w:rPr>
                <w:rFonts w:ascii="Arial" w:hAnsi="Arial" w:cs="Arial"/>
                <w:b/>
                <w:bCs/>
                <w:sz w:val="18"/>
                <w:szCs w:val="18"/>
              </w:rPr>
              <w:t>,</w:t>
            </w:r>
          </w:p>
          <w:p w14:paraId="67E5AF55" w14:textId="62002120" w:rsidR="003A43A9" w:rsidRPr="003A43A9" w:rsidRDefault="003A43A9" w:rsidP="00752564">
            <w:pPr>
              <w:spacing w:after="0" w:line="240" w:lineRule="auto"/>
              <w:rPr>
                <w:rFonts w:ascii="Arial" w:hAnsi="Arial" w:cs="Arial"/>
                <w:b/>
                <w:bCs/>
                <w:sz w:val="18"/>
                <w:szCs w:val="18"/>
              </w:rPr>
            </w:pPr>
            <w:r w:rsidRPr="003A43A9">
              <w:rPr>
                <w:rFonts w:ascii="Arial" w:hAnsi="Arial" w:cs="Arial"/>
                <w:b/>
                <w:bCs/>
                <w:sz w:val="18"/>
                <w:szCs w:val="18"/>
              </w:rPr>
              <w:t>Export &amp; licensing (importers, franchise dealers, CKD where viable)</w:t>
            </w:r>
          </w:p>
        </w:tc>
        <w:tc>
          <w:tcPr>
            <w:tcW w:w="0" w:type="auto"/>
            <w:vAlign w:val="center"/>
            <w:hideMark/>
          </w:tcPr>
          <w:p w14:paraId="182376BA" w14:textId="77777777" w:rsidR="004C1D5F"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Enter markets</w:t>
            </w:r>
            <w:r w:rsidRPr="003A43A9">
              <w:rPr>
                <w:rFonts w:ascii="Arial" w:hAnsi="Arial" w:cs="Arial"/>
                <w:sz w:val="18"/>
                <w:szCs w:val="18"/>
              </w:rPr>
              <w:t xml:space="preserve"> with minimal capital exposure</w:t>
            </w:r>
          </w:p>
          <w:p w14:paraId="2DF2043C" w14:textId="77777777" w:rsidR="004C1D5F"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Build progressive brand</w:t>
            </w:r>
            <w:r w:rsidRPr="003A43A9">
              <w:rPr>
                <w:rFonts w:ascii="Arial" w:hAnsi="Arial" w:cs="Arial"/>
                <w:sz w:val="18"/>
                <w:szCs w:val="18"/>
              </w:rPr>
              <w:t xml:space="preserve"> presence under controlled risk</w:t>
            </w:r>
          </w:p>
          <w:p w14:paraId="6A98CDAA" w14:textId="77777777" w:rsidR="004C1D5F"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Use regional hubs</w:t>
            </w:r>
            <w:r w:rsidRPr="003A43A9">
              <w:rPr>
                <w:rFonts w:ascii="Arial" w:hAnsi="Arial" w:cs="Arial"/>
                <w:sz w:val="18"/>
                <w:szCs w:val="18"/>
              </w:rPr>
              <w:t xml:space="preserve"> for CKD and re-export operations</w:t>
            </w:r>
          </w:p>
          <w:p w14:paraId="71843435" w14:textId="3899427F" w:rsidR="003A43A9" w:rsidRPr="003A43A9" w:rsidRDefault="003A43A9" w:rsidP="004C1D5F">
            <w:pPr>
              <w:spacing w:after="0" w:line="240" w:lineRule="auto"/>
              <w:rPr>
                <w:rFonts w:ascii="Arial" w:hAnsi="Arial" w:cs="Arial"/>
                <w:sz w:val="18"/>
                <w:szCs w:val="18"/>
              </w:rPr>
            </w:pPr>
            <w:r w:rsidRPr="003A43A9">
              <w:rPr>
                <w:rFonts w:ascii="Arial" w:hAnsi="Arial" w:cs="Arial"/>
                <w:sz w:val="18"/>
                <w:szCs w:val="18"/>
              </w:rPr>
              <w:t xml:space="preserve">• </w:t>
            </w:r>
            <w:r w:rsidRPr="003A43A9">
              <w:rPr>
                <w:rFonts w:ascii="Arial" w:hAnsi="Arial" w:cs="Arial"/>
                <w:b/>
                <w:bCs/>
                <w:sz w:val="18"/>
                <w:szCs w:val="18"/>
              </w:rPr>
              <w:t>Preserve future expansion</w:t>
            </w:r>
            <w:r w:rsidRPr="003A43A9">
              <w:rPr>
                <w:rFonts w:ascii="Arial" w:hAnsi="Arial" w:cs="Arial"/>
                <w:sz w:val="18"/>
                <w:szCs w:val="18"/>
              </w:rPr>
              <w:t xml:space="preserve"> options at low cost</w:t>
            </w:r>
          </w:p>
        </w:tc>
      </w:tr>
    </w:tbl>
    <w:p w14:paraId="3CE01E9F" w14:textId="23C0E3D7" w:rsidR="007D5244" w:rsidRPr="00E4464D" w:rsidRDefault="00E4464D" w:rsidP="00CD05B4">
      <w:pPr>
        <w:spacing w:after="0" w:line="360" w:lineRule="auto"/>
        <w:jc w:val="center"/>
        <w:rPr>
          <w:rFonts w:ascii="Arial" w:hAnsi="Arial" w:cs="Arial"/>
          <w:i/>
          <w:iCs/>
          <w:sz w:val="20"/>
          <w:szCs w:val="20"/>
        </w:rPr>
      </w:pPr>
      <w:r w:rsidRPr="00E4464D">
        <w:rPr>
          <w:rFonts w:ascii="Arial" w:hAnsi="Arial" w:cs="Arial"/>
          <w:i/>
          <w:iCs/>
          <w:sz w:val="20"/>
          <w:szCs w:val="20"/>
        </w:rPr>
        <w:t>(Adopted from Volkswagen Group Annual Report, 2024)</w:t>
      </w:r>
    </w:p>
    <w:p w14:paraId="4E9AD371" w14:textId="77777777" w:rsidR="002571FD" w:rsidRDefault="002571FD" w:rsidP="006402FC">
      <w:pPr>
        <w:spacing w:after="0" w:line="360" w:lineRule="auto"/>
        <w:jc w:val="both"/>
        <w:rPr>
          <w:rFonts w:ascii="Arial" w:hAnsi="Arial" w:cs="Arial"/>
          <w:sz w:val="22"/>
          <w:szCs w:val="22"/>
        </w:rPr>
      </w:pPr>
    </w:p>
    <w:p w14:paraId="12972DE6" w14:textId="5E405BC7" w:rsidR="006149FC" w:rsidRPr="005E476D" w:rsidRDefault="006149FC" w:rsidP="005E476D">
      <w:pPr>
        <w:pStyle w:val="Heading1"/>
        <w:spacing w:before="0" w:after="0" w:line="360" w:lineRule="auto"/>
        <w:rPr>
          <w:b/>
          <w:bCs/>
          <w:sz w:val="22"/>
          <w:szCs w:val="22"/>
        </w:rPr>
      </w:pPr>
      <w:bookmarkStart w:id="27" w:name="_Toc214529471"/>
      <w:r w:rsidRPr="005E476D">
        <w:rPr>
          <w:b/>
          <w:bCs/>
          <w:sz w:val="22"/>
          <w:szCs w:val="22"/>
        </w:rPr>
        <w:lastRenderedPageBreak/>
        <w:t>Appendix 2. Entry Mode(s) and Theoretical Models</w:t>
      </w:r>
      <w:bookmarkEnd w:id="27"/>
    </w:p>
    <w:p w14:paraId="38E9EA82" w14:textId="145007FD" w:rsidR="006402FC" w:rsidRDefault="00EE0E67" w:rsidP="006149FC">
      <w:pPr>
        <w:spacing w:after="0" w:line="360" w:lineRule="auto"/>
        <w:ind w:firstLine="567"/>
        <w:jc w:val="both"/>
        <w:rPr>
          <w:rFonts w:ascii="Arial" w:hAnsi="Arial" w:cs="Arial"/>
          <w:i/>
          <w:iCs/>
          <w:sz w:val="20"/>
          <w:szCs w:val="20"/>
        </w:rPr>
      </w:pPr>
      <w:r w:rsidRPr="00EE0E67">
        <w:rPr>
          <w:rFonts w:ascii="Arial" w:hAnsi="Arial" w:cs="Arial"/>
          <w:i/>
          <w:iCs/>
          <w:sz w:val="20"/>
          <w:szCs w:val="20"/>
        </w:rPr>
        <w:t>(Adopted from, Buckley, 2021)</w:t>
      </w:r>
    </w:p>
    <w:p w14:paraId="4422E93A" w14:textId="77777777" w:rsidR="00EE0E67" w:rsidRPr="00EE0E67" w:rsidRDefault="00EE0E67" w:rsidP="006149FC">
      <w:pPr>
        <w:spacing w:after="0" w:line="360" w:lineRule="auto"/>
        <w:ind w:firstLine="567"/>
        <w:jc w:val="both"/>
        <w:rPr>
          <w:rFonts w:ascii="Arial" w:hAnsi="Arial" w:cs="Arial"/>
          <w:i/>
          <w:iCs/>
          <w:sz w:val="20"/>
          <w:szCs w:val="20"/>
        </w:rPr>
      </w:pPr>
    </w:p>
    <w:p w14:paraId="4CC89470" w14:textId="4930AB04" w:rsidR="006149FC" w:rsidRPr="006149FC" w:rsidRDefault="00667B9A" w:rsidP="006149FC">
      <w:pPr>
        <w:spacing w:after="0" w:line="360" w:lineRule="auto"/>
        <w:ind w:firstLine="567"/>
        <w:jc w:val="both"/>
        <w:rPr>
          <w:rFonts w:ascii="Arial" w:hAnsi="Arial" w:cs="Arial"/>
          <w:b/>
          <w:bCs/>
          <w:i/>
          <w:iCs/>
          <w:sz w:val="22"/>
          <w:szCs w:val="22"/>
        </w:rPr>
      </w:pPr>
      <w:r>
        <w:rPr>
          <w:rFonts w:ascii="Arial" w:hAnsi="Arial" w:cs="Arial"/>
          <w:b/>
          <w:bCs/>
          <w:i/>
          <w:iCs/>
          <w:sz w:val="22"/>
          <w:szCs w:val="22"/>
        </w:rPr>
        <w:t>2</w:t>
      </w:r>
      <w:r w:rsidR="006149FC" w:rsidRPr="006149FC">
        <w:rPr>
          <w:rFonts w:ascii="Arial" w:hAnsi="Arial" w:cs="Arial"/>
          <w:b/>
          <w:bCs/>
          <w:i/>
          <w:iCs/>
          <w:sz w:val="22"/>
          <w:szCs w:val="22"/>
        </w:rPr>
        <w:t xml:space="preserve">.1. </w:t>
      </w:r>
      <w:r w:rsidR="009E47A3" w:rsidRPr="009E47A3">
        <w:rPr>
          <w:rFonts w:ascii="Arial" w:hAnsi="Arial" w:cs="Arial"/>
          <w:b/>
          <w:bCs/>
          <w:i/>
          <w:iCs/>
          <w:sz w:val="22"/>
          <w:szCs w:val="22"/>
        </w:rPr>
        <w:t>Export/Licensing</w:t>
      </w:r>
      <w:r w:rsidR="00305ED9">
        <w:rPr>
          <w:rFonts w:ascii="Arial" w:hAnsi="Arial" w:cs="Arial"/>
          <w:b/>
          <w:bCs/>
          <w:i/>
          <w:iCs/>
          <w:sz w:val="22"/>
          <w:szCs w:val="22"/>
        </w:rPr>
        <w:t>:</w:t>
      </w:r>
      <w:r w:rsidR="009E47A3" w:rsidRPr="009E47A3">
        <w:rPr>
          <w:rFonts w:ascii="Arial" w:hAnsi="Arial" w:cs="Arial"/>
          <w:b/>
          <w:bCs/>
          <w:i/>
          <w:iCs/>
          <w:sz w:val="22"/>
          <w:szCs w:val="22"/>
        </w:rPr>
        <w:t xml:space="preserve"> </w:t>
      </w:r>
      <w:r w:rsidR="009E47A3">
        <w:rPr>
          <w:rFonts w:ascii="Arial" w:hAnsi="Arial" w:cs="Arial"/>
          <w:b/>
          <w:bCs/>
          <w:i/>
          <w:iCs/>
          <w:sz w:val="22"/>
          <w:szCs w:val="22"/>
        </w:rPr>
        <w:t>Germany</w:t>
      </w:r>
      <w:r w:rsidR="009E47A3" w:rsidRPr="009E47A3">
        <w:t xml:space="preserve"> </w:t>
      </w:r>
      <w:r w:rsidR="009E47A3" w:rsidRPr="009E47A3">
        <w:rPr>
          <w:rFonts w:ascii="Arial" w:hAnsi="Arial" w:cs="Arial"/>
          <w:b/>
          <w:bCs/>
          <w:i/>
          <w:iCs/>
          <w:sz w:val="22"/>
          <w:szCs w:val="22"/>
        </w:rPr>
        <w:t>Mature Economies</w:t>
      </w:r>
    </w:p>
    <w:p w14:paraId="44331CFE" w14:textId="77777777" w:rsidR="00FC740D" w:rsidRDefault="00FC740D" w:rsidP="00FC740D">
      <w:pPr>
        <w:spacing w:after="0" w:line="360" w:lineRule="auto"/>
        <w:ind w:firstLine="567"/>
        <w:jc w:val="both"/>
        <w:rPr>
          <w:rFonts w:ascii="Arial" w:hAnsi="Arial" w:cs="Arial"/>
          <w:sz w:val="22"/>
          <w:szCs w:val="22"/>
        </w:rPr>
      </w:pPr>
      <w:r w:rsidRPr="00FC740D">
        <w:rPr>
          <w:rFonts w:ascii="Arial" w:hAnsi="Arial" w:cs="Arial"/>
          <w:sz w:val="22"/>
          <w:szCs w:val="22"/>
        </w:rPr>
        <w:t xml:space="preserve">Considering Volkswagen's dependence on Germany as a regulated entry platform, the significance of Figure 1, which represents the export licensing pathway, becomes more apparent. </w:t>
      </w:r>
    </w:p>
    <w:p w14:paraId="5A9EEFCF" w14:textId="77777777" w:rsidR="008E0CE0" w:rsidRPr="008E0CE0" w:rsidRDefault="008E0CE0" w:rsidP="00FC740D">
      <w:pPr>
        <w:spacing w:after="0" w:line="360" w:lineRule="auto"/>
        <w:ind w:firstLine="567"/>
        <w:jc w:val="both"/>
        <w:rPr>
          <w:rFonts w:ascii="Arial" w:hAnsi="Arial" w:cs="Arial"/>
          <w:sz w:val="16"/>
          <w:szCs w:val="16"/>
        </w:rPr>
      </w:pPr>
    </w:p>
    <w:p w14:paraId="1B246E0C" w14:textId="29938AF5" w:rsidR="00302952" w:rsidRPr="008E0CE0" w:rsidRDefault="008E0CE0" w:rsidP="008E0CE0">
      <w:pPr>
        <w:spacing w:after="0" w:line="360" w:lineRule="auto"/>
        <w:jc w:val="center"/>
        <w:rPr>
          <w:rFonts w:ascii="Arial" w:hAnsi="Arial" w:cs="Arial"/>
          <w:sz w:val="20"/>
          <w:szCs w:val="20"/>
        </w:rPr>
      </w:pPr>
      <w:r w:rsidRPr="008E0CE0">
        <w:rPr>
          <w:rFonts w:ascii="Arial" w:hAnsi="Arial" w:cs="Arial"/>
          <w:sz w:val="20"/>
          <w:szCs w:val="20"/>
        </w:rPr>
        <w:t>Figure 1. Export licensing process</w:t>
      </w:r>
      <w:r w:rsidRPr="008E0CE0">
        <w:t xml:space="preserve"> </w:t>
      </w:r>
      <w:r>
        <w:t>(</w:t>
      </w:r>
      <w:r w:rsidRPr="008E0CE0">
        <w:rPr>
          <w:rFonts w:ascii="Arial" w:hAnsi="Arial" w:cs="Arial"/>
          <w:sz w:val="20"/>
          <w:szCs w:val="20"/>
        </w:rPr>
        <w:t>Buckley</w:t>
      </w:r>
      <w:r>
        <w:rPr>
          <w:rFonts w:ascii="Arial" w:hAnsi="Arial" w:cs="Arial"/>
          <w:sz w:val="20"/>
          <w:szCs w:val="20"/>
        </w:rPr>
        <w:t xml:space="preserve">, </w:t>
      </w:r>
      <w:r w:rsidRPr="008E0CE0">
        <w:rPr>
          <w:rFonts w:ascii="Arial" w:hAnsi="Arial" w:cs="Arial"/>
          <w:sz w:val="20"/>
          <w:szCs w:val="20"/>
        </w:rPr>
        <w:t>2021)</w:t>
      </w:r>
    </w:p>
    <w:p w14:paraId="374CE5E1" w14:textId="1F4BAA06" w:rsidR="00FC740D" w:rsidRDefault="00302952" w:rsidP="008E0CE0">
      <w:pPr>
        <w:spacing w:after="0" w:line="360" w:lineRule="auto"/>
        <w:jc w:val="center"/>
        <w:rPr>
          <w:rFonts w:ascii="Arial" w:hAnsi="Arial" w:cs="Arial"/>
          <w:sz w:val="22"/>
          <w:szCs w:val="22"/>
        </w:rPr>
      </w:pPr>
      <w:r w:rsidRPr="00302952">
        <w:rPr>
          <w:rFonts w:ascii="Arial" w:hAnsi="Arial" w:cs="Arial"/>
          <w:noProof/>
          <w:sz w:val="22"/>
          <w:szCs w:val="22"/>
        </w:rPr>
        <w:drawing>
          <wp:inline distT="0" distB="0" distL="0" distR="0" wp14:anchorId="34C67BF3" wp14:editId="1A24895C">
            <wp:extent cx="4603354" cy="2657154"/>
            <wp:effectExtent l="0" t="0" r="6985" b="0"/>
            <wp:docPr id="1209018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18646" name=""/>
                    <pic:cNvPicPr/>
                  </pic:nvPicPr>
                  <pic:blipFill>
                    <a:blip r:embed="rId24"/>
                    <a:stretch>
                      <a:fillRect/>
                    </a:stretch>
                  </pic:blipFill>
                  <pic:spPr>
                    <a:xfrm>
                      <a:off x="0" y="0"/>
                      <a:ext cx="4607294" cy="2659428"/>
                    </a:xfrm>
                    <a:prstGeom prst="rect">
                      <a:avLst/>
                    </a:prstGeom>
                  </pic:spPr>
                </pic:pic>
              </a:graphicData>
            </a:graphic>
          </wp:inline>
        </w:drawing>
      </w:r>
    </w:p>
    <w:p w14:paraId="26E32DBD" w14:textId="77777777" w:rsidR="00FC740D" w:rsidRPr="008E0CE0" w:rsidRDefault="00FC740D" w:rsidP="008E0CE0">
      <w:pPr>
        <w:spacing w:after="0" w:line="360" w:lineRule="auto"/>
        <w:jc w:val="both"/>
        <w:rPr>
          <w:rFonts w:ascii="Arial" w:hAnsi="Arial" w:cs="Arial"/>
          <w:sz w:val="16"/>
          <w:szCs w:val="16"/>
        </w:rPr>
      </w:pPr>
    </w:p>
    <w:p w14:paraId="3906C51D" w14:textId="2675F20F" w:rsidR="00FC740D" w:rsidRPr="00FC740D" w:rsidRDefault="00FC740D" w:rsidP="00BB6307">
      <w:pPr>
        <w:spacing w:after="0" w:line="360" w:lineRule="auto"/>
        <w:ind w:firstLine="567"/>
        <w:jc w:val="both"/>
        <w:rPr>
          <w:rFonts w:ascii="Arial" w:hAnsi="Arial" w:cs="Arial"/>
          <w:sz w:val="22"/>
          <w:szCs w:val="22"/>
        </w:rPr>
      </w:pPr>
      <w:r w:rsidRPr="00FC740D">
        <w:rPr>
          <w:rFonts w:ascii="Arial" w:hAnsi="Arial" w:cs="Arial"/>
          <w:sz w:val="22"/>
          <w:szCs w:val="22"/>
        </w:rPr>
        <w:t xml:space="preserve"> While the picture compresses the process into regulated products categories, required documentation, and BIS registration, the key concern is how Volkswagen utilises this method to manage risk exposure and learning.  While shipping goods into uncertain markets, the company can take advantage of Germany's stable institutional framework through export licensing.  The question of whether incremental expansion may </w:t>
      </w:r>
      <w:r w:rsidR="008E0CE0" w:rsidRPr="00FC740D">
        <w:rPr>
          <w:rFonts w:ascii="Arial" w:hAnsi="Arial" w:cs="Arial"/>
          <w:sz w:val="22"/>
          <w:szCs w:val="22"/>
        </w:rPr>
        <w:t>overcome</w:t>
      </w:r>
      <w:r w:rsidRPr="00FC740D">
        <w:rPr>
          <w:rFonts w:ascii="Arial" w:hAnsi="Arial" w:cs="Arial"/>
          <w:sz w:val="22"/>
          <w:szCs w:val="22"/>
        </w:rPr>
        <w:t xml:space="preserve"> structural constraints arises when considering that if Volkswagen relied just on this low-commitment mode, growth in regions with inadequate logistics or irregular import regulations would remain confined.</w:t>
      </w:r>
    </w:p>
    <w:p w14:paraId="016EAECE" w14:textId="53C4B968" w:rsidR="00C5311C" w:rsidRDefault="00FC740D" w:rsidP="00FC740D">
      <w:pPr>
        <w:spacing w:after="0" w:line="360" w:lineRule="auto"/>
        <w:ind w:firstLine="567"/>
        <w:jc w:val="both"/>
        <w:rPr>
          <w:rFonts w:ascii="Arial" w:hAnsi="Arial" w:cs="Arial"/>
          <w:sz w:val="22"/>
          <w:szCs w:val="22"/>
        </w:rPr>
      </w:pPr>
      <w:r w:rsidRPr="00FC740D">
        <w:rPr>
          <w:rFonts w:ascii="Arial" w:hAnsi="Arial" w:cs="Arial"/>
          <w:sz w:val="22"/>
          <w:szCs w:val="22"/>
        </w:rPr>
        <w:t xml:space="preserve"> However, Volkswagen transforms uncertainty into a sequential entry route by rooting the procedure in Germany and applying the Uppsala logic of incremental learning.  According to Buckley (2021) and Johanson and Vahlne (2017), export and license agreements are not meant to be static documents, but rather to serve as flexible stepping stones that help with managing uncertainty before more substantial commitments are contemplated.</w:t>
      </w:r>
    </w:p>
    <w:p w14:paraId="3B18EA5D" w14:textId="77777777" w:rsidR="006402FC" w:rsidRDefault="006402FC" w:rsidP="00FC740D">
      <w:pPr>
        <w:spacing w:after="0" w:line="360" w:lineRule="auto"/>
        <w:ind w:firstLine="567"/>
        <w:jc w:val="both"/>
        <w:rPr>
          <w:rFonts w:ascii="Arial" w:hAnsi="Arial" w:cs="Arial"/>
          <w:sz w:val="22"/>
          <w:szCs w:val="22"/>
        </w:rPr>
      </w:pPr>
    </w:p>
    <w:p w14:paraId="4EC8591B" w14:textId="77777777" w:rsidR="006402FC" w:rsidRDefault="006402FC" w:rsidP="00FC740D">
      <w:pPr>
        <w:spacing w:after="0" w:line="360" w:lineRule="auto"/>
        <w:ind w:firstLine="567"/>
        <w:jc w:val="both"/>
        <w:rPr>
          <w:rFonts w:ascii="Arial" w:hAnsi="Arial" w:cs="Arial"/>
          <w:sz w:val="22"/>
          <w:szCs w:val="22"/>
        </w:rPr>
      </w:pPr>
    </w:p>
    <w:p w14:paraId="1EE2CF84" w14:textId="77777777" w:rsidR="006402FC" w:rsidRDefault="006402FC" w:rsidP="00227643">
      <w:pPr>
        <w:spacing w:after="0" w:line="360" w:lineRule="auto"/>
        <w:jc w:val="both"/>
        <w:rPr>
          <w:rFonts w:ascii="Arial" w:hAnsi="Arial" w:cs="Arial"/>
          <w:sz w:val="22"/>
          <w:szCs w:val="22"/>
        </w:rPr>
      </w:pPr>
    </w:p>
    <w:p w14:paraId="598EB652" w14:textId="6817BDB3" w:rsidR="009250A8" w:rsidRDefault="00667B9A" w:rsidP="00FC740D">
      <w:pPr>
        <w:spacing w:after="0" w:line="360" w:lineRule="auto"/>
        <w:ind w:firstLine="567"/>
        <w:jc w:val="both"/>
        <w:rPr>
          <w:rFonts w:ascii="Arial" w:hAnsi="Arial" w:cs="Arial"/>
          <w:b/>
          <w:bCs/>
          <w:i/>
          <w:iCs/>
          <w:sz w:val="22"/>
          <w:szCs w:val="22"/>
        </w:rPr>
      </w:pPr>
      <w:r>
        <w:rPr>
          <w:rFonts w:ascii="Arial" w:hAnsi="Arial" w:cs="Arial"/>
          <w:b/>
          <w:bCs/>
          <w:i/>
          <w:iCs/>
          <w:sz w:val="22"/>
          <w:szCs w:val="22"/>
        </w:rPr>
        <w:lastRenderedPageBreak/>
        <w:t>2</w:t>
      </w:r>
      <w:r w:rsidR="009250A8" w:rsidRPr="001724F6">
        <w:rPr>
          <w:rFonts w:ascii="Arial" w:hAnsi="Arial" w:cs="Arial"/>
          <w:b/>
          <w:bCs/>
          <w:i/>
          <w:iCs/>
          <w:sz w:val="22"/>
          <w:szCs w:val="22"/>
        </w:rPr>
        <w:t>.2. Join Ventures</w:t>
      </w:r>
      <w:r w:rsidR="007A0B7D" w:rsidRPr="001724F6">
        <w:rPr>
          <w:rFonts w:ascii="Arial" w:hAnsi="Arial" w:cs="Arial"/>
          <w:b/>
          <w:bCs/>
          <w:i/>
          <w:iCs/>
          <w:sz w:val="22"/>
          <w:szCs w:val="22"/>
        </w:rPr>
        <w:t xml:space="preserve">: </w:t>
      </w:r>
      <w:r w:rsidR="009250A8" w:rsidRPr="001724F6">
        <w:rPr>
          <w:b/>
          <w:bCs/>
          <w:i/>
          <w:iCs/>
        </w:rPr>
        <w:t xml:space="preserve"> </w:t>
      </w:r>
      <w:r w:rsidR="009250A8" w:rsidRPr="001724F6">
        <w:rPr>
          <w:rFonts w:ascii="Arial" w:hAnsi="Arial" w:cs="Arial"/>
          <w:b/>
          <w:bCs/>
          <w:i/>
          <w:iCs/>
          <w:sz w:val="22"/>
          <w:szCs w:val="22"/>
        </w:rPr>
        <w:t>Emerging</w:t>
      </w:r>
      <w:r w:rsidR="007A0B7D" w:rsidRPr="001724F6">
        <w:rPr>
          <w:rFonts w:ascii="Arial" w:hAnsi="Arial" w:cs="Arial"/>
          <w:b/>
          <w:bCs/>
          <w:i/>
          <w:iCs/>
          <w:sz w:val="22"/>
          <w:szCs w:val="22"/>
        </w:rPr>
        <w:t xml:space="preserve"> </w:t>
      </w:r>
      <w:r w:rsidR="001724F6" w:rsidRPr="001724F6">
        <w:rPr>
          <w:rFonts w:ascii="Arial" w:hAnsi="Arial" w:cs="Arial"/>
          <w:b/>
          <w:bCs/>
          <w:i/>
          <w:iCs/>
          <w:sz w:val="22"/>
          <w:szCs w:val="22"/>
        </w:rPr>
        <w:t xml:space="preserve">and </w:t>
      </w:r>
      <w:r w:rsidR="001724F6" w:rsidRPr="001724F6">
        <w:rPr>
          <w:b/>
          <w:bCs/>
          <w:i/>
          <w:iCs/>
        </w:rPr>
        <w:t>Developing</w:t>
      </w:r>
      <w:r w:rsidR="007A0B7D" w:rsidRPr="001724F6">
        <w:rPr>
          <w:rFonts w:ascii="Arial" w:hAnsi="Arial" w:cs="Arial"/>
          <w:b/>
          <w:bCs/>
          <w:i/>
          <w:iCs/>
          <w:sz w:val="22"/>
          <w:szCs w:val="22"/>
        </w:rPr>
        <w:t xml:space="preserve"> Economies (Brazil</w:t>
      </w:r>
      <w:r w:rsidR="001724F6" w:rsidRPr="001724F6">
        <w:rPr>
          <w:rFonts w:ascii="Arial" w:hAnsi="Arial" w:cs="Arial"/>
          <w:b/>
          <w:bCs/>
          <w:i/>
          <w:iCs/>
          <w:sz w:val="22"/>
          <w:szCs w:val="22"/>
        </w:rPr>
        <w:t xml:space="preserve"> &amp; Morocco)</w:t>
      </w:r>
    </w:p>
    <w:p w14:paraId="6421BA09" w14:textId="542982DC" w:rsidR="00BA684A" w:rsidRPr="00BA684A" w:rsidRDefault="00BA684A" w:rsidP="00BA684A">
      <w:pPr>
        <w:spacing w:after="0" w:line="360" w:lineRule="auto"/>
        <w:ind w:firstLine="567"/>
        <w:jc w:val="both"/>
        <w:rPr>
          <w:rFonts w:ascii="Arial" w:hAnsi="Arial" w:cs="Arial"/>
          <w:i/>
          <w:iCs/>
          <w:sz w:val="20"/>
          <w:szCs w:val="20"/>
        </w:rPr>
      </w:pPr>
      <w:r w:rsidRPr="00BA684A">
        <w:rPr>
          <w:rFonts w:ascii="Arial" w:hAnsi="Arial" w:cs="Arial"/>
          <w:i/>
          <w:iCs/>
          <w:sz w:val="20"/>
          <w:szCs w:val="20"/>
        </w:rPr>
        <w:t>(Adopted from Wild and Wild, 2016)</w:t>
      </w:r>
    </w:p>
    <w:p w14:paraId="26068B7B" w14:textId="77777777" w:rsidR="00BA684A" w:rsidRPr="00BA684A" w:rsidRDefault="00BA684A" w:rsidP="00FC740D">
      <w:pPr>
        <w:spacing w:after="0" w:line="360" w:lineRule="auto"/>
        <w:ind w:firstLine="567"/>
        <w:jc w:val="both"/>
        <w:rPr>
          <w:rFonts w:ascii="Arial" w:hAnsi="Arial" w:cs="Arial"/>
          <w:b/>
          <w:bCs/>
          <w:i/>
          <w:iCs/>
          <w:sz w:val="16"/>
          <w:szCs w:val="16"/>
        </w:rPr>
      </w:pPr>
    </w:p>
    <w:p w14:paraId="57CEC6A2" w14:textId="3127FC49" w:rsidR="00C5311C" w:rsidRDefault="00751B61" w:rsidP="000505D6">
      <w:pPr>
        <w:spacing w:after="0" w:line="360" w:lineRule="auto"/>
        <w:ind w:firstLine="567"/>
        <w:jc w:val="both"/>
        <w:rPr>
          <w:rFonts w:ascii="Arial" w:hAnsi="Arial" w:cs="Arial"/>
          <w:sz w:val="22"/>
          <w:szCs w:val="22"/>
        </w:rPr>
      </w:pPr>
      <w:r w:rsidRPr="00751B61">
        <w:rPr>
          <w:rFonts w:ascii="Arial" w:hAnsi="Arial" w:cs="Arial"/>
          <w:sz w:val="22"/>
          <w:szCs w:val="22"/>
        </w:rPr>
        <w:t>The figure 2 divides mergers and acquisitions into simple categories, but Volkswagen's background in emerging markets like Brazil and Morocco complexities it.</w:t>
      </w:r>
    </w:p>
    <w:p w14:paraId="779D4B6B" w14:textId="77777777" w:rsidR="000505D6" w:rsidRPr="00BA684A" w:rsidRDefault="000505D6" w:rsidP="00BA684A">
      <w:pPr>
        <w:spacing w:after="0" w:line="360" w:lineRule="auto"/>
        <w:rPr>
          <w:rFonts w:ascii="Arial" w:hAnsi="Arial" w:cs="Arial"/>
          <w:sz w:val="16"/>
          <w:szCs w:val="16"/>
        </w:rPr>
      </w:pPr>
    </w:p>
    <w:p w14:paraId="5996E5DB" w14:textId="0A5846B5" w:rsidR="006149FC" w:rsidRPr="006149FC" w:rsidRDefault="006149FC" w:rsidP="00CF6254">
      <w:pPr>
        <w:spacing w:after="0" w:line="360" w:lineRule="auto"/>
        <w:jc w:val="center"/>
        <w:rPr>
          <w:rFonts w:ascii="Arial" w:hAnsi="Arial" w:cs="Arial"/>
          <w:sz w:val="20"/>
          <w:szCs w:val="20"/>
        </w:rPr>
      </w:pPr>
      <w:r w:rsidRPr="006149FC">
        <w:rPr>
          <w:rFonts w:ascii="Arial" w:hAnsi="Arial" w:cs="Arial"/>
          <w:sz w:val="20"/>
          <w:szCs w:val="20"/>
        </w:rPr>
        <w:t>Figure</w:t>
      </w:r>
      <w:r w:rsidR="000505D6" w:rsidRPr="000505D6">
        <w:rPr>
          <w:rFonts w:ascii="Arial" w:hAnsi="Arial" w:cs="Arial"/>
          <w:sz w:val="20"/>
          <w:szCs w:val="20"/>
        </w:rPr>
        <w:t xml:space="preserve"> </w:t>
      </w:r>
      <w:r w:rsidRPr="006149FC">
        <w:rPr>
          <w:rFonts w:ascii="Arial" w:hAnsi="Arial" w:cs="Arial"/>
          <w:sz w:val="20"/>
          <w:szCs w:val="20"/>
        </w:rPr>
        <w:t>2. Acquisition types</w:t>
      </w:r>
    </w:p>
    <w:p w14:paraId="0CFCE086" w14:textId="77777777" w:rsidR="006149FC" w:rsidRPr="006149FC" w:rsidRDefault="006149FC" w:rsidP="00CF6254">
      <w:pPr>
        <w:spacing w:after="0" w:line="360" w:lineRule="auto"/>
        <w:jc w:val="center"/>
        <w:rPr>
          <w:rFonts w:ascii="Arial" w:hAnsi="Arial" w:cs="Arial"/>
          <w:sz w:val="22"/>
          <w:szCs w:val="22"/>
        </w:rPr>
      </w:pPr>
      <w:r w:rsidRPr="006149FC">
        <w:rPr>
          <w:rFonts w:ascii="Arial" w:hAnsi="Arial" w:cs="Arial"/>
          <w:noProof/>
          <w:sz w:val="22"/>
          <w:szCs w:val="22"/>
        </w:rPr>
        <w:drawing>
          <wp:inline distT="0" distB="0" distL="0" distR="0" wp14:anchorId="4517DED3" wp14:editId="6C0F9723">
            <wp:extent cx="5231081" cy="2309495"/>
            <wp:effectExtent l="0" t="0" r="8255" b="0"/>
            <wp:docPr id="175263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9583" cy="2322079"/>
                    </a:xfrm>
                    <a:prstGeom prst="rect">
                      <a:avLst/>
                    </a:prstGeom>
                    <a:noFill/>
                  </pic:spPr>
                </pic:pic>
              </a:graphicData>
            </a:graphic>
          </wp:inline>
        </w:drawing>
      </w:r>
    </w:p>
    <w:p w14:paraId="03295DAB" w14:textId="77777777" w:rsidR="00343969" w:rsidRPr="00343969" w:rsidRDefault="00343969" w:rsidP="00CF6254">
      <w:pPr>
        <w:spacing w:after="0" w:line="360" w:lineRule="auto"/>
        <w:ind w:firstLine="567"/>
        <w:jc w:val="both"/>
        <w:rPr>
          <w:rFonts w:ascii="Arial" w:hAnsi="Arial" w:cs="Arial"/>
          <w:sz w:val="16"/>
          <w:szCs w:val="16"/>
        </w:rPr>
      </w:pPr>
    </w:p>
    <w:p w14:paraId="2118AF75" w14:textId="5DDD0583" w:rsidR="00CF6254" w:rsidRPr="00CF6254" w:rsidRDefault="00CF6254" w:rsidP="00CF6254">
      <w:pPr>
        <w:spacing w:after="0" w:line="360" w:lineRule="auto"/>
        <w:ind w:firstLine="567"/>
        <w:jc w:val="both"/>
        <w:rPr>
          <w:rFonts w:ascii="Arial" w:hAnsi="Arial" w:cs="Arial"/>
          <w:sz w:val="22"/>
          <w:szCs w:val="22"/>
        </w:rPr>
      </w:pPr>
      <w:r w:rsidRPr="00CF6254">
        <w:rPr>
          <w:rFonts w:ascii="Arial" w:hAnsi="Arial" w:cs="Arial"/>
          <w:sz w:val="22"/>
          <w:szCs w:val="22"/>
        </w:rPr>
        <w:t>Vertical joint-venture logic, not horizontal consolidation, really affects operational outcomes in these areas, even though the former seems good on paper.  For example, due to the intricate institutional framework in Brazil, Volkswagen is compelled to utilise vertical partnerships that bring together suppliers, logistics intermediaries, and local distributors. This is not for the sake of convenience, but rather because going it alone would result in increased cost volatility and regulatory friction.  The situation in Morocco is rather similar.  A vertical JV model is needed to stabilise flows between ports, assemblers, and dealers due to the country's reliance on CKD assembly and unreliable logistics. It is not a strategic decision, but rather a functional necessity.</w:t>
      </w:r>
    </w:p>
    <w:p w14:paraId="564FA6F2" w14:textId="2CB2F0EB" w:rsidR="006149FC" w:rsidRDefault="00CF6254" w:rsidP="00667B9A">
      <w:pPr>
        <w:spacing w:after="0" w:line="360" w:lineRule="auto"/>
        <w:ind w:firstLine="567"/>
        <w:jc w:val="both"/>
        <w:rPr>
          <w:rFonts w:ascii="Arial" w:hAnsi="Arial" w:cs="Arial"/>
          <w:sz w:val="22"/>
          <w:szCs w:val="22"/>
        </w:rPr>
      </w:pPr>
      <w:r w:rsidRPr="00CF6254">
        <w:rPr>
          <w:rFonts w:ascii="Arial" w:hAnsi="Arial" w:cs="Arial"/>
          <w:sz w:val="22"/>
          <w:szCs w:val="22"/>
        </w:rPr>
        <w:t xml:space="preserve"> Coordination would be hindered by the fragmented market conditions in both scenarios if Volkswagen tried a conglomerate or concentric approach.  Therefore, the only realistic way to gradually expand capabilities is through vertical integration (Wild </w:t>
      </w:r>
      <w:r w:rsidR="00BA684A">
        <w:rPr>
          <w:rFonts w:ascii="Arial" w:hAnsi="Arial" w:cs="Arial"/>
          <w:sz w:val="22"/>
          <w:szCs w:val="22"/>
        </w:rPr>
        <w:t>and</w:t>
      </w:r>
      <w:r w:rsidRPr="00CF6254">
        <w:rPr>
          <w:rFonts w:ascii="Arial" w:hAnsi="Arial" w:cs="Arial"/>
          <w:sz w:val="22"/>
          <w:szCs w:val="22"/>
        </w:rPr>
        <w:t xml:space="preserve"> Wild, 2016).</w:t>
      </w:r>
    </w:p>
    <w:p w14:paraId="70D0988E" w14:textId="77777777" w:rsidR="006402FC" w:rsidRDefault="006402FC" w:rsidP="00667B9A">
      <w:pPr>
        <w:spacing w:after="0" w:line="360" w:lineRule="auto"/>
        <w:ind w:firstLine="567"/>
        <w:jc w:val="both"/>
        <w:rPr>
          <w:rFonts w:ascii="Arial" w:hAnsi="Arial" w:cs="Arial"/>
          <w:sz w:val="22"/>
          <w:szCs w:val="22"/>
        </w:rPr>
      </w:pPr>
    </w:p>
    <w:p w14:paraId="0961B78C" w14:textId="77777777" w:rsidR="006402FC" w:rsidRDefault="006402FC" w:rsidP="00667B9A">
      <w:pPr>
        <w:spacing w:after="0" w:line="360" w:lineRule="auto"/>
        <w:ind w:firstLine="567"/>
        <w:jc w:val="both"/>
        <w:rPr>
          <w:rFonts w:ascii="Arial" w:hAnsi="Arial" w:cs="Arial"/>
          <w:sz w:val="22"/>
          <w:szCs w:val="22"/>
        </w:rPr>
      </w:pPr>
    </w:p>
    <w:p w14:paraId="011D387F" w14:textId="77777777" w:rsidR="006402FC" w:rsidRDefault="006402FC" w:rsidP="00667B9A">
      <w:pPr>
        <w:spacing w:after="0" w:line="360" w:lineRule="auto"/>
        <w:ind w:firstLine="567"/>
        <w:jc w:val="both"/>
        <w:rPr>
          <w:rFonts w:ascii="Arial" w:hAnsi="Arial" w:cs="Arial"/>
          <w:sz w:val="22"/>
          <w:szCs w:val="22"/>
        </w:rPr>
      </w:pPr>
    </w:p>
    <w:p w14:paraId="38F0937F" w14:textId="77777777" w:rsidR="00227643" w:rsidRDefault="00227643" w:rsidP="00667B9A">
      <w:pPr>
        <w:spacing w:after="0" w:line="360" w:lineRule="auto"/>
        <w:ind w:firstLine="567"/>
        <w:jc w:val="both"/>
        <w:rPr>
          <w:rFonts w:ascii="Arial" w:hAnsi="Arial" w:cs="Arial"/>
          <w:sz w:val="22"/>
          <w:szCs w:val="22"/>
        </w:rPr>
      </w:pPr>
    </w:p>
    <w:p w14:paraId="6499AC82" w14:textId="77777777" w:rsidR="006402FC" w:rsidRDefault="006402FC" w:rsidP="00667B9A">
      <w:pPr>
        <w:spacing w:after="0" w:line="360" w:lineRule="auto"/>
        <w:ind w:firstLine="567"/>
        <w:jc w:val="both"/>
        <w:rPr>
          <w:rFonts w:ascii="Arial" w:hAnsi="Arial" w:cs="Arial"/>
          <w:sz w:val="22"/>
          <w:szCs w:val="22"/>
        </w:rPr>
      </w:pPr>
    </w:p>
    <w:p w14:paraId="0C5D0DCF" w14:textId="77777777" w:rsidR="006402FC" w:rsidRDefault="006402FC" w:rsidP="00667B9A">
      <w:pPr>
        <w:spacing w:after="0" w:line="360" w:lineRule="auto"/>
        <w:ind w:firstLine="567"/>
        <w:jc w:val="both"/>
        <w:rPr>
          <w:rFonts w:ascii="Arial" w:hAnsi="Arial" w:cs="Arial"/>
          <w:sz w:val="22"/>
          <w:szCs w:val="22"/>
        </w:rPr>
      </w:pPr>
    </w:p>
    <w:p w14:paraId="13AA3862" w14:textId="77777777" w:rsidR="006402FC" w:rsidRDefault="006402FC" w:rsidP="00667B9A">
      <w:pPr>
        <w:spacing w:after="0" w:line="360" w:lineRule="auto"/>
        <w:ind w:firstLine="567"/>
        <w:jc w:val="both"/>
        <w:rPr>
          <w:rFonts w:ascii="Arial" w:hAnsi="Arial" w:cs="Arial"/>
          <w:sz w:val="22"/>
          <w:szCs w:val="22"/>
        </w:rPr>
      </w:pPr>
    </w:p>
    <w:p w14:paraId="7ECFEC51" w14:textId="77777777" w:rsidR="006402FC" w:rsidRPr="006149FC" w:rsidRDefault="006402FC" w:rsidP="00BA684A">
      <w:pPr>
        <w:spacing w:after="0" w:line="360" w:lineRule="auto"/>
        <w:jc w:val="both"/>
        <w:rPr>
          <w:rFonts w:ascii="Arial" w:hAnsi="Arial" w:cs="Arial"/>
          <w:sz w:val="22"/>
          <w:szCs w:val="22"/>
        </w:rPr>
      </w:pPr>
    </w:p>
    <w:p w14:paraId="5069951C" w14:textId="1762CB43" w:rsidR="006149FC" w:rsidRDefault="00667B9A" w:rsidP="006149FC">
      <w:pPr>
        <w:spacing w:after="0" w:line="360" w:lineRule="auto"/>
        <w:ind w:firstLine="567"/>
        <w:jc w:val="both"/>
        <w:rPr>
          <w:rFonts w:ascii="Arial" w:hAnsi="Arial" w:cs="Arial"/>
          <w:b/>
          <w:bCs/>
          <w:i/>
          <w:iCs/>
          <w:sz w:val="22"/>
          <w:szCs w:val="22"/>
        </w:rPr>
      </w:pPr>
      <w:r>
        <w:rPr>
          <w:rFonts w:ascii="Arial" w:hAnsi="Arial" w:cs="Arial"/>
          <w:b/>
          <w:bCs/>
          <w:i/>
          <w:iCs/>
          <w:sz w:val="22"/>
          <w:szCs w:val="22"/>
        </w:rPr>
        <w:lastRenderedPageBreak/>
        <w:t>2</w:t>
      </w:r>
      <w:r w:rsidR="006149FC" w:rsidRPr="006149FC">
        <w:rPr>
          <w:rFonts w:ascii="Arial" w:hAnsi="Arial" w:cs="Arial"/>
          <w:b/>
          <w:bCs/>
          <w:i/>
          <w:iCs/>
          <w:sz w:val="22"/>
          <w:szCs w:val="22"/>
        </w:rPr>
        <w:t xml:space="preserve">.3. </w:t>
      </w:r>
      <w:r w:rsidR="004E3EAD" w:rsidRPr="004E3EAD">
        <w:rPr>
          <w:rFonts w:ascii="Arial" w:hAnsi="Arial" w:cs="Arial"/>
          <w:b/>
          <w:bCs/>
          <w:i/>
          <w:iCs/>
          <w:sz w:val="22"/>
          <w:szCs w:val="22"/>
        </w:rPr>
        <w:t>Wholly Owned Subsidiary (WOS) model</w:t>
      </w:r>
      <w:r w:rsidR="004E3EAD">
        <w:rPr>
          <w:rFonts w:ascii="Arial" w:hAnsi="Arial" w:cs="Arial"/>
          <w:b/>
          <w:bCs/>
          <w:i/>
          <w:iCs/>
          <w:sz w:val="22"/>
          <w:szCs w:val="22"/>
        </w:rPr>
        <w:t xml:space="preserve">: </w:t>
      </w:r>
      <w:r w:rsidR="006149FC" w:rsidRPr="006149FC">
        <w:rPr>
          <w:rFonts w:ascii="Arial" w:hAnsi="Arial" w:cs="Arial"/>
          <w:b/>
          <w:bCs/>
          <w:i/>
          <w:iCs/>
          <w:sz w:val="22"/>
          <w:szCs w:val="22"/>
        </w:rPr>
        <w:t xml:space="preserve">Emerging Transition Economies </w:t>
      </w:r>
    </w:p>
    <w:p w14:paraId="03D96325" w14:textId="0EE56AE4" w:rsidR="00BA684A" w:rsidRPr="00BA684A" w:rsidRDefault="00BA684A" w:rsidP="00BA684A">
      <w:pPr>
        <w:spacing w:after="0" w:line="360" w:lineRule="auto"/>
        <w:ind w:firstLine="567"/>
        <w:jc w:val="both"/>
        <w:rPr>
          <w:rFonts w:ascii="Arial" w:hAnsi="Arial" w:cs="Arial"/>
          <w:i/>
          <w:iCs/>
          <w:sz w:val="20"/>
          <w:szCs w:val="20"/>
        </w:rPr>
      </w:pPr>
      <w:r w:rsidRPr="00BA684A">
        <w:rPr>
          <w:rFonts w:ascii="Arial" w:hAnsi="Arial" w:cs="Arial"/>
          <w:i/>
          <w:iCs/>
          <w:sz w:val="20"/>
          <w:szCs w:val="20"/>
        </w:rPr>
        <w:t>(Adopted from Daniels et al., 2019)</w:t>
      </w:r>
    </w:p>
    <w:p w14:paraId="15E8B3DC" w14:textId="77777777" w:rsidR="00BA684A" w:rsidRPr="00BA684A" w:rsidRDefault="00BA684A" w:rsidP="00BA684A">
      <w:pPr>
        <w:spacing w:after="0" w:line="360" w:lineRule="auto"/>
        <w:ind w:firstLine="567"/>
        <w:jc w:val="both"/>
        <w:rPr>
          <w:rFonts w:ascii="Arial" w:hAnsi="Arial" w:cs="Arial"/>
          <w:sz w:val="16"/>
          <w:szCs w:val="16"/>
        </w:rPr>
      </w:pPr>
    </w:p>
    <w:p w14:paraId="3A914AE1" w14:textId="3E30D2AE" w:rsidR="006149FC" w:rsidRDefault="00625036" w:rsidP="006149FC">
      <w:pPr>
        <w:spacing w:after="0" w:line="360" w:lineRule="auto"/>
        <w:ind w:firstLine="567"/>
        <w:jc w:val="both"/>
        <w:rPr>
          <w:rFonts w:ascii="Arial" w:hAnsi="Arial" w:cs="Arial"/>
          <w:sz w:val="22"/>
          <w:szCs w:val="22"/>
        </w:rPr>
      </w:pPr>
      <w:r w:rsidRPr="00625036">
        <w:rPr>
          <w:rFonts w:ascii="Arial" w:hAnsi="Arial" w:cs="Arial"/>
          <w:sz w:val="22"/>
          <w:szCs w:val="22"/>
        </w:rPr>
        <w:t xml:space="preserve">Figure 3 </w:t>
      </w:r>
      <w:r w:rsidR="004569BB">
        <w:rPr>
          <w:rFonts w:ascii="Arial" w:hAnsi="Arial" w:cs="Arial"/>
          <w:sz w:val="22"/>
          <w:szCs w:val="22"/>
        </w:rPr>
        <w:t>explain the model</w:t>
      </w:r>
      <w:r w:rsidRPr="00625036">
        <w:rPr>
          <w:rFonts w:ascii="Arial" w:hAnsi="Arial" w:cs="Arial"/>
          <w:sz w:val="22"/>
          <w:szCs w:val="22"/>
        </w:rPr>
        <w:t xml:space="preserve"> Volkswagen's </w:t>
      </w:r>
      <w:r w:rsidRPr="004569BB">
        <w:rPr>
          <w:rFonts w:ascii="Arial" w:hAnsi="Arial" w:cs="Arial"/>
          <w:b/>
          <w:bCs/>
          <w:sz w:val="22"/>
          <w:szCs w:val="22"/>
        </w:rPr>
        <w:t>Wholly Owned Subsidiary (WOS)</w:t>
      </w:r>
      <w:r w:rsidRPr="00625036">
        <w:rPr>
          <w:rFonts w:ascii="Arial" w:hAnsi="Arial" w:cs="Arial"/>
          <w:sz w:val="22"/>
          <w:szCs w:val="22"/>
        </w:rPr>
        <w:t xml:space="preserve"> structure complicates its application to </w:t>
      </w:r>
      <w:r w:rsidRPr="004569BB">
        <w:rPr>
          <w:rFonts w:ascii="Arial" w:hAnsi="Arial" w:cs="Arial"/>
          <w:b/>
          <w:bCs/>
          <w:sz w:val="22"/>
          <w:szCs w:val="22"/>
        </w:rPr>
        <w:t>Slovakia</w:t>
      </w:r>
      <w:r w:rsidRPr="00625036">
        <w:rPr>
          <w:rFonts w:ascii="Arial" w:hAnsi="Arial" w:cs="Arial"/>
          <w:sz w:val="22"/>
          <w:szCs w:val="22"/>
        </w:rPr>
        <w:t>.</w:t>
      </w:r>
    </w:p>
    <w:p w14:paraId="4D71F760" w14:textId="77777777" w:rsidR="004569BB" w:rsidRPr="006149FC" w:rsidRDefault="004569BB" w:rsidP="006149FC">
      <w:pPr>
        <w:spacing w:after="0" w:line="360" w:lineRule="auto"/>
        <w:ind w:firstLine="567"/>
        <w:jc w:val="both"/>
        <w:rPr>
          <w:rFonts w:ascii="Arial" w:hAnsi="Arial" w:cs="Arial"/>
          <w:sz w:val="16"/>
          <w:szCs w:val="16"/>
        </w:rPr>
      </w:pPr>
    </w:p>
    <w:p w14:paraId="72F27F43" w14:textId="28E867B1" w:rsidR="006149FC" w:rsidRPr="006149FC" w:rsidRDefault="006149FC" w:rsidP="004E3EAD">
      <w:pPr>
        <w:spacing w:after="0" w:line="360" w:lineRule="auto"/>
        <w:jc w:val="center"/>
        <w:rPr>
          <w:rFonts w:ascii="Arial" w:hAnsi="Arial" w:cs="Arial"/>
          <w:sz w:val="20"/>
          <w:szCs w:val="20"/>
        </w:rPr>
      </w:pPr>
      <w:r w:rsidRPr="006149FC">
        <w:rPr>
          <w:rFonts w:ascii="Arial" w:hAnsi="Arial" w:cs="Arial"/>
          <w:sz w:val="20"/>
          <w:szCs w:val="20"/>
        </w:rPr>
        <w:t>Figure 3. Wholly Owned Subsidiary (WOS) model</w:t>
      </w:r>
    </w:p>
    <w:p w14:paraId="5C093243" w14:textId="77777777" w:rsidR="006149FC" w:rsidRPr="006149FC" w:rsidRDefault="006149FC" w:rsidP="004E3EAD">
      <w:pPr>
        <w:spacing w:after="0" w:line="360" w:lineRule="auto"/>
        <w:jc w:val="center"/>
        <w:rPr>
          <w:rFonts w:ascii="Arial" w:hAnsi="Arial" w:cs="Arial"/>
          <w:sz w:val="22"/>
          <w:szCs w:val="22"/>
        </w:rPr>
      </w:pPr>
      <w:r w:rsidRPr="006149FC">
        <w:rPr>
          <w:rFonts w:ascii="Arial" w:hAnsi="Arial" w:cs="Arial"/>
          <w:noProof/>
          <w:sz w:val="22"/>
          <w:szCs w:val="22"/>
        </w:rPr>
        <w:drawing>
          <wp:inline distT="0" distB="0" distL="0" distR="0" wp14:anchorId="743D2708" wp14:editId="690F5EEE">
            <wp:extent cx="5287381" cy="1703941"/>
            <wp:effectExtent l="0" t="0" r="8890" b="0"/>
            <wp:docPr id="6636267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01527" cy="1708500"/>
                    </a:xfrm>
                    <a:prstGeom prst="rect">
                      <a:avLst/>
                    </a:prstGeom>
                    <a:noFill/>
                  </pic:spPr>
                </pic:pic>
              </a:graphicData>
            </a:graphic>
          </wp:inline>
        </w:drawing>
      </w:r>
    </w:p>
    <w:p w14:paraId="7BD9C503" w14:textId="77777777" w:rsidR="00CF1C33" w:rsidRDefault="00CF1C33" w:rsidP="00D26365">
      <w:pPr>
        <w:spacing w:after="0" w:line="360" w:lineRule="auto"/>
        <w:ind w:firstLine="567"/>
        <w:jc w:val="both"/>
        <w:rPr>
          <w:rFonts w:ascii="Arial" w:hAnsi="Arial" w:cs="Arial"/>
          <w:b/>
          <w:bCs/>
          <w:sz w:val="22"/>
          <w:szCs w:val="22"/>
        </w:rPr>
      </w:pPr>
    </w:p>
    <w:p w14:paraId="6C09938B" w14:textId="2A1A7636" w:rsidR="00CF1C33" w:rsidRPr="00CF1C33" w:rsidRDefault="00CF1C33" w:rsidP="00D26365">
      <w:pPr>
        <w:spacing w:after="0" w:line="360" w:lineRule="auto"/>
        <w:ind w:firstLine="567"/>
        <w:jc w:val="both"/>
        <w:rPr>
          <w:rFonts w:ascii="Arial" w:hAnsi="Arial" w:cs="Arial"/>
          <w:sz w:val="22"/>
          <w:szCs w:val="22"/>
        </w:rPr>
      </w:pPr>
      <w:r w:rsidRPr="00CF1C33">
        <w:rPr>
          <w:rFonts w:ascii="Arial" w:hAnsi="Arial" w:cs="Arial"/>
          <w:sz w:val="22"/>
          <w:szCs w:val="22"/>
        </w:rPr>
        <w:t xml:space="preserve">The diagram illustrates clean ownership </w:t>
      </w:r>
      <w:r w:rsidR="00383CFF" w:rsidRPr="00CF1C33">
        <w:rPr>
          <w:rFonts w:ascii="Arial" w:hAnsi="Arial" w:cs="Arial"/>
          <w:sz w:val="22"/>
          <w:szCs w:val="22"/>
        </w:rPr>
        <w:t>tiers;</w:t>
      </w:r>
      <w:r w:rsidRPr="00CF1C33">
        <w:rPr>
          <w:rFonts w:ascii="Arial" w:hAnsi="Arial" w:cs="Arial"/>
          <w:sz w:val="22"/>
          <w:szCs w:val="22"/>
        </w:rPr>
        <w:t xml:space="preserve"> </w:t>
      </w:r>
      <w:r w:rsidR="00383CFF" w:rsidRPr="00CF1C33">
        <w:rPr>
          <w:rFonts w:ascii="Arial" w:hAnsi="Arial" w:cs="Arial"/>
          <w:sz w:val="22"/>
          <w:szCs w:val="22"/>
        </w:rPr>
        <w:t>however,</w:t>
      </w:r>
      <w:r w:rsidRPr="00CF1C33">
        <w:rPr>
          <w:rFonts w:ascii="Arial" w:hAnsi="Arial" w:cs="Arial"/>
          <w:sz w:val="22"/>
          <w:szCs w:val="22"/>
        </w:rPr>
        <w:t xml:space="preserve"> the real question is why Volkswagen goes with such a top-down strategy in a transition-risk circumstance.  It would be easy for the model to expose the firm to concentrated operational weakness if Slovakia's predictable compliance with EU regulations and export-oriented logistics were exaggerated, </w:t>
      </w:r>
      <w:r w:rsidR="00383CFF" w:rsidRPr="00CF1C33">
        <w:rPr>
          <w:rFonts w:ascii="Arial" w:hAnsi="Arial" w:cs="Arial"/>
          <w:sz w:val="22"/>
          <w:szCs w:val="22"/>
        </w:rPr>
        <w:t>but WOS</w:t>
      </w:r>
      <w:r w:rsidRPr="00CF1C33">
        <w:rPr>
          <w:rFonts w:ascii="Arial" w:hAnsi="Arial" w:cs="Arial"/>
          <w:sz w:val="22"/>
          <w:szCs w:val="22"/>
        </w:rPr>
        <w:t xml:space="preserve"> appears efficient.  Still, by using the WOS method, Volkswagen may rearrange production without involving local partners in negotiations, guaranteeing that production shifts, labour restructuring, and modular platform manufacture are all in direct response to strategic priorities in Germany.  But one may say that joint ventures normally offer buffers in new settings, such as when energy prices or labour restrictions tighten, and that without shared ownership, those buffers are gone.  Still, the reasoning of complete ownership holds water in Slovakia due to the country's low-cost labour, </w:t>
      </w:r>
      <w:r w:rsidR="00383CFF" w:rsidRPr="00CF1C33">
        <w:rPr>
          <w:rFonts w:ascii="Arial" w:hAnsi="Arial" w:cs="Arial"/>
          <w:sz w:val="22"/>
          <w:szCs w:val="22"/>
        </w:rPr>
        <w:t>highly skilled</w:t>
      </w:r>
      <w:r w:rsidRPr="00CF1C33">
        <w:rPr>
          <w:rFonts w:ascii="Arial" w:hAnsi="Arial" w:cs="Arial"/>
          <w:sz w:val="22"/>
          <w:szCs w:val="22"/>
        </w:rPr>
        <w:t xml:space="preserve"> workforce, and enormous investor trust.  Volkswagen is willing to take on more responsibility in exchange for reliable compliance at the EU level, smooth operations, and high levels of integration (Daniels et al., 2019), which is hidden by the figure's simplicity.</w:t>
      </w:r>
    </w:p>
    <w:p w14:paraId="0D8218F3" w14:textId="77777777" w:rsidR="00CF1C33" w:rsidRDefault="00CF1C33" w:rsidP="00D26365">
      <w:pPr>
        <w:spacing w:after="0" w:line="360" w:lineRule="auto"/>
        <w:ind w:firstLine="567"/>
        <w:jc w:val="both"/>
        <w:rPr>
          <w:rFonts w:ascii="Arial" w:hAnsi="Arial" w:cs="Arial"/>
          <w:b/>
          <w:bCs/>
          <w:sz w:val="22"/>
          <w:szCs w:val="22"/>
        </w:rPr>
      </w:pPr>
    </w:p>
    <w:p w14:paraId="57DB1FE0" w14:textId="77777777" w:rsidR="00CF1C33" w:rsidRDefault="00CF1C33" w:rsidP="00D26365">
      <w:pPr>
        <w:spacing w:after="0" w:line="360" w:lineRule="auto"/>
        <w:ind w:firstLine="567"/>
        <w:jc w:val="both"/>
        <w:rPr>
          <w:rFonts w:ascii="Arial" w:hAnsi="Arial" w:cs="Arial"/>
          <w:b/>
          <w:bCs/>
          <w:sz w:val="22"/>
          <w:szCs w:val="22"/>
        </w:rPr>
      </w:pPr>
    </w:p>
    <w:p w14:paraId="429110D5" w14:textId="77777777" w:rsidR="00CF1C33" w:rsidRDefault="00CF1C33" w:rsidP="00D26365">
      <w:pPr>
        <w:spacing w:after="0" w:line="360" w:lineRule="auto"/>
        <w:ind w:firstLine="567"/>
        <w:jc w:val="both"/>
        <w:rPr>
          <w:rFonts w:ascii="Arial" w:hAnsi="Arial" w:cs="Arial"/>
          <w:b/>
          <w:bCs/>
          <w:sz w:val="22"/>
          <w:szCs w:val="22"/>
        </w:rPr>
      </w:pPr>
    </w:p>
    <w:p w14:paraId="6A890B51" w14:textId="77777777" w:rsidR="00CF1C33" w:rsidRDefault="00CF1C33" w:rsidP="00D26365">
      <w:pPr>
        <w:spacing w:after="0" w:line="360" w:lineRule="auto"/>
        <w:ind w:firstLine="567"/>
        <w:jc w:val="both"/>
        <w:rPr>
          <w:rFonts w:ascii="Arial" w:hAnsi="Arial" w:cs="Arial"/>
          <w:b/>
          <w:bCs/>
          <w:sz w:val="22"/>
          <w:szCs w:val="22"/>
        </w:rPr>
      </w:pPr>
    </w:p>
    <w:p w14:paraId="024CAB11" w14:textId="77777777" w:rsidR="00D45DF3" w:rsidRDefault="00D45DF3" w:rsidP="0065267F">
      <w:pPr>
        <w:spacing w:after="0" w:line="360" w:lineRule="auto"/>
        <w:jc w:val="both"/>
        <w:rPr>
          <w:rFonts w:ascii="Arial" w:hAnsi="Arial" w:cs="Arial"/>
          <w:b/>
          <w:bCs/>
          <w:sz w:val="22"/>
          <w:szCs w:val="22"/>
        </w:rPr>
      </w:pPr>
    </w:p>
    <w:p w14:paraId="606BB6CC" w14:textId="77777777" w:rsidR="0065267F" w:rsidRDefault="0065267F" w:rsidP="0065267F">
      <w:pPr>
        <w:spacing w:after="0" w:line="360" w:lineRule="auto"/>
        <w:jc w:val="both"/>
        <w:rPr>
          <w:rFonts w:ascii="Arial" w:hAnsi="Arial" w:cs="Arial"/>
          <w:b/>
          <w:bCs/>
          <w:sz w:val="22"/>
          <w:szCs w:val="22"/>
        </w:rPr>
      </w:pPr>
    </w:p>
    <w:p w14:paraId="655F0A61" w14:textId="77777777" w:rsidR="00CF1C33" w:rsidRDefault="00CF1C33" w:rsidP="00064EB7">
      <w:pPr>
        <w:spacing w:after="0" w:line="360" w:lineRule="auto"/>
        <w:jc w:val="both"/>
        <w:rPr>
          <w:rFonts w:ascii="Arial" w:hAnsi="Arial" w:cs="Arial"/>
          <w:b/>
          <w:bCs/>
          <w:sz w:val="22"/>
          <w:szCs w:val="22"/>
        </w:rPr>
      </w:pPr>
    </w:p>
    <w:p w14:paraId="3E78EDA2" w14:textId="7D7BC10F" w:rsidR="00CF1C33" w:rsidRPr="005E476D" w:rsidRDefault="005636D9" w:rsidP="005E476D">
      <w:pPr>
        <w:pStyle w:val="Heading1"/>
        <w:spacing w:before="0" w:after="0" w:line="360" w:lineRule="auto"/>
        <w:rPr>
          <w:b/>
          <w:bCs/>
          <w:sz w:val="22"/>
          <w:szCs w:val="22"/>
        </w:rPr>
      </w:pPr>
      <w:bookmarkStart w:id="28" w:name="_Toc214529472"/>
      <w:r w:rsidRPr="005E476D">
        <w:rPr>
          <w:b/>
          <w:bCs/>
          <w:sz w:val="22"/>
          <w:szCs w:val="22"/>
        </w:rPr>
        <w:lastRenderedPageBreak/>
        <w:t xml:space="preserve">Appendix 3. </w:t>
      </w:r>
      <w:r w:rsidR="00064EB7" w:rsidRPr="005E476D">
        <w:rPr>
          <w:b/>
          <w:bCs/>
          <w:sz w:val="22"/>
          <w:szCs w:val="22"/>
        </w:rPr>
        <w:t>Major Recommended SOP Adjustments for Volkswagen Group</w:t>
      </w:r>
      <w:bookmarkEnd w:id="28"/>
    </w:p>
    <w:p w14:paraId="4FA6674A" w14:textId="77777777" w:rsidR="004F7CA1" w:rsidRPr="00DF6113" w:rsidRDefault="004F7CA1" w:rsidP="00DF6113">
      <w:pPr>
        <w:spacing w:after="0" w:line="360" w:lineRule="auto"/>
        <w:ind w:firstLine="567"/>
        <w:jc w:val="both"/>
        <w:rPr>
          <w:rFonts w:ascii="Arial" w:hAnsi="Arial" w:cs="Arial"/>
          <w:sz w:val="16"/>
          <w:szCs w:val="16"/>
        </w:rPr>
      </w:pPr>
    </w:p>
    <w:p w14:paraId="7C49BDD6" w14:textId="423CCCEB" w:rsidR="00F03601" w:rsidRPr="007D791A" w:rsidRDefault="00DF6113" w:rsidP="00DF6113">
      <w:pPr>
        <w:pStyle w:val="ListParagraph"/>
        <w:spacing w:after="0" w:line="360" w:lineRule="auto"/>
        <w:ind w:left="567"/>
        <w:jc w:val="both"/>
        <w:rPr>
          <w:rFonts w:ascii="Arial" w:hAnsi="Arial" w:cs="Arial"/>
          <w:b/>
          <w:bCs/>
          <w:i/>
          <w:iCs/>
          <w:sz w:val="22"/>
          <w:szCs w:val="22"/>
        </w:rPr>
      </w:pPr>
      <w:r>
        <w:rPr>
          <w:rFonts w:ascii="Arial" w:hAnsi="Arial" w:cs="Arial"/>
          <w:b/>
          <w:bCs/>
          <w:i/>
          <w:iCs/>
          <w:sz w:val="22"/>
          <w:szCs w:val="22"/>
        </w:rPr>
        <w:t xml:space="preserve">1. </w:t>
      </w:r>
      <w:r w:rsidR="00F03601" w:rsidRPr="007D791A">
        <w:rPr>
          <w:rFonts w:ascii="Arial" w:hAnsi="Arial" w:cs="Arial"/>
          <w:b/>
          <w:bCs/>
          <w:i/>
          <w:iCs/>
          <w:sz w:val="22"/>
          <w:szCs w:val="22"/>
        </w:rPr>
        <w:t>HR Recommendation: Transformation Training Pathways (TTP) SOP</w:t>
      </w:r>
      <w:r w:rsidR="00910355">
        <w:rPr>
          <w:rFonts w:ascii="Arial" w:hAnsi="Arial" w:cs="Arial"/>
          <w:b/>
          <w:bCs/>
          <w:i/>
          <w:iCs/>
          <w:sz w:val="22"/>
          <w:szCs w:val="22"/>
        </w:rPr>
        <w:t xml:space="preserve"> - table 2</w:t>
      </w:r>
    </w:p>
    <w:p w14:paraId="6A567490" w14:textId="79978AFD" w:rsidR="007D791A" w:rsidRDefault="00D9778B" w:rsidP="00DF6113">
      <w:pPr>
        <w:spacing w:after="0" w:line="360" w:lineRule="auto"/>
        <w:ind w:firstLine="567"/>
        <w:jc w:val="both"/>
        <w:rPr>
          <w:rFonts w:ascii="Arial" w:hAnsi="Arial" w:cs="Arial"/>
          <w:sz w:val="22"/>
          <w:szCs w:val="22"/>
        </w:rPr>
      </w:pPr>
      <w:r w:rsidRPr="00D9778B">
        <w:rPr>
          <w:rFonts w:ascii="Arial" w:hAnsi="Arial" w:cs="Arial"/>
          <w:sz w:val="22"/>
          <w:szCs w:val="22"/>
        </w:rPr>
        <w:t>In the high-cost German core, this SOP mandates a systematic retraining program to reduce job displacement and skill shortages caused by the change from combustion engines to electric cars.</w:t>
      </w:r>
    </w:p>
    <w:p w14:paraId="5A8E21D4" w14:textId="77777777" w:rsidR="00D9778B" w:rsidRPr="00D9778B" w:rsidRDefault="00D9778B" w:rsidP="007D791A">
      <w:pPr>
        <w:spacing w:after="0" w:line="360" w:lineRule="auto"/>
        <w:ind w:left="567"/>
        <w:jc w:val="both"/>
        <w:rPr>
          <w:rFonts w:ascii="Arial" w:hAnsi="Arial" w:cs="Arial"/>
          <w:sz w:val="16"/>
          <w:szCs w:val="16"/>
        </w:rPr>
      </w:pPr>
    </w:p>
    <w:p w14:paraId="220424D4" w14:textId="36618CA2" w:rsidR="00CF1C33" w:rsidRPr="007D791A" w:rsidRDefault="007D791A" w:rsidP="007D791A">
      <w:pPr>
        <w:spacing w:after="0" w:line="360" w:lineRule="auto"/>
        <w:ind w:firstLine="567"/>
        <w:jc w:val="center"/>
        <w:rPr>
          <w:rFonts w:ascii="Arial" w:hAnsi="Arial" w:cs="Arial"/>
          <w:sz w:val="20"/>
          <w:szCs w:val="20"/>
        </w:rPr>
      </w:pPr>
      <w:r w:rsidRPr="007D791A">
        <w:rPr>
          <w:rFonts w:ascii="Arial" w:hAnsi="Arial" w:cs="Arial"/>
          <w:sz w:val="20"/>
          <w:szCs w:val="20"/>
        </w:rPr>
        <w:t xml:space="preserve">Table </w:t>
      </w:r>
      <w:r w:rsidR="00910355">
        <w:rPr>
          <w:rFonts w:ascii="Arial" w:hAnsi="Arial" w:cs="Arial"/>
          <w:sz w:val="20"/>
          <w:szCs w:val="20"/>
        </w:rPr>
        <w:t>2</w:t>
      </w:r>
      <w:r w:rsidRPr="007D791A">
        <w:rPr>
          <w:rFonts w:ascii="Arial" w:hAnsi="Arial" w:cs="Arial"/>
          <w:sz w:val="20"/>
          <w:szCs w:val="20"/>
        </w:rPr>
        <w:t>. Transformation Training Pathways (TTP) SOP</w:t>
      </w:r>
    </w:p>
    <w:p w14:paraId="353060D5" w14:textId="0A443B76" w:rsidR="00CF1C33" w:rsidRDefault="007E3A69" w:rsidP="007E3A69">
      <w:pPr>
        <w:spacing w:after="0" w:line="360" w:lineRule="auto"/>
        <w:jc w:val="center"/>
        <w:rPr>
          <w:rFonts w:ascii="Arial" w:hAnsi="Arial" w:cs="Arial"/>
          <w:b/>
          <w:bCs/>
          <w:sz w:val="22"/>
          <w:szCs w:val="22"/>
        </w:rPr>
      </w:pPr>
      <w:r w:rsidRPr="007E3A69">
        <w:rPr>
          <w:rFonts w:ascii="Arial" w:hAnsi="Arial" w:cs="Arial"/>
          <w:b/>
          <w:bCs/>
          <w:noProof/>
          <w:sz w:val="22"/>
          <w:szCs w:val="22"/>
        </w:rPr>
        <w:drawing>
          <wp:inline distT="0" distB="0" distL="0" distR="0" wp14:anchorId="76A9C8DF" wp14:editId="4634FAC6">
            <wp:extent cx="5731510" cy="3551555"/>
            <wp:effectExtent l="0" t="0" r="2540" b="0"/>
            <wp:docPr id="665856719"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856719" name="Picture 1" descr="A close-up of a chart&#10;&#10;AI-generated content may be incorrect."/>
                    <pic:cNvPicPr/>
                  </pic:nvPicPr>
                  <pic:blipFill>
                    <a:blip r:embed="rId27"/>
                    <a:stretch>
                      <a:fillRect/>
                    </a:stretch>
                  </pic:blipFill>
                  <pic:spPr>
                    <a:xfrm>
                      <a:off x="0" y="0"/>
                      <a:ext cx="5731510" cy="3551555"/>
                    </a:xfrm>
                    <a:prstGeom prst="rect">
                      <a:avLst/>
                    </a:prstGeom>
                  </pic:spPr>
                </pic:pic>
              </a:graphicData>
            </a:graphic>
          </wp:inline>
        </w:drawing>
      </w:r>
    </w:p>
    <w:p w14:paraId="0EB91F98" w14:textId="79F7C3B6" w:rsidR="00B055B4" w:rsidRPr="005648FF" w:rsidRDefault="005648FF" w:rsidP="005648FF">
      <w:pPr>
        <w:spacing w:after="0" w:line="360" w:lineRule="auto"/>
        <w:ind w:firstLine="567"/>
        <w:jc w:val="center"/>
        <w:rPr>
          <w:rFonts w:ascii="Arial" w:hAnsi="Arial" w:cs="Arial"/>
          <w:i/>
          <w:iCs/>
          <w:sz w:val="20"/>
          <w:szCs w:val="20"/>
        </w:rPr>
      </w:pPr>
      <w:r w:rsidRPr="005648FF">
        <w:rPr>
          <w:rFonts w:ascii="Arial" w:hAnsi="Arial" w:cs="Arial"/>
          <w:i/>
          <w:iCs/>
          <w:sz w:val="20"/>
          <w:szCs w:val="20"/>
        </w:rPr>
        <w:t xml:space="preserve">(Source: Adapted from </w:t>
      </w:r>
      <w:proofErr w:type="spellStart"/>
      <w:r w:rsidRPr="005648FF">
        <w:rPr>
          <w:rFonts w:ascii="Arial" w:hAnsi="Arial" w:cs="Arial"/>
          <w:i/>
          <w:iCs/>
          <w:sz w:val="20"/>
          <w:szCs w:val="20"/>
        </w:rPr>
        <w:t>Aguinis</w:t>
      </w:r>
      <w:proofErr w:type="spellEnd"/>
      <w:r w:rsidRPr="005648FF">
        <w:rPr>
          <w:rFonts w:ascii="Arial" w:hAnsi="Arial" w:cs="Arial"/>
          <w:i/>
          <w:iCs/>
          <w:sz w:val="20"/>
          <w:szCs w:val="20"/>
        </w:rPr>
        <w:t xml:space="preserve"> and Burgi-Tian 2021 and Hofmann et al., 2021)</w:t>
      </w:r>
    </w:p>
    <w:p w14:paraId="2D8D6560" w14:textId="77777777" w:rsidR="00320977" w:rsidRDefault="00320977" w:rsidP="00D26365">
      <w:pPr>
        <w:spacing w:after="0" w:line="360" w:lineRule="auto"/>
        <w:ind w:firstLine="567"/>
        <w:jc w:val="both"/>
        <w:rPr>
          <w:rFonts w:ascii="Arial" w:hAnsi="Arial" w:cs="Arial"/>
          <w:b/>
          <w:bCs/>
          <w:sz w:val="22"/>
          <w:szCs w:val="22"/>
        </w:rPr>
      </w:pPr>
    </w:p>
    <w:p w14:paraId="7FAD2C9E" w14:textId="77777777" w:rsidR="00320977" w:rsidRDefault="00320977" w:rsidP="00D26365">
      <w:pPr>
        <w:spacing w:after="0" w:line="360" w:lineRule="auto"/>
        <w:ind w:firstLine="567"/>
        <w:jc w:val="both"/>
        <w:rPr>
          <w:rFonts w:ascii="Arial" w:hAnsi="Arial" w:cs="Arial"/>
          <w:b/>
          <w:bCs/>
          <w:sz w:val="22"/>
          <w:szCs w:val="22"/>
        </w:rPr>
      </w:pPr>
    </w:p>
    <w:p w14:paraId="548FD697" w14:textId="77777777" w:rsidR="00320977" w:rsidRDefault="00320977" w:rsidP="00D26365">
      <w:pPr>
        <w:spacing w:after="0" w:line="360" w:lineRule="auto"/>
        <w:ind w:firstLine="567"/>
        <w:jc w:val="both"/>
        <w:rPr>
          <w:rFonts w:ascii="Arial" w:hAnsi="Arial" w:cs="Arial"/>
          <w:b/>
          <w:bCs/>
          <w:sz w:val="22"/>
          <w:szCs w:val="22"/>
        </w:rPr>
      </w:pPr>
    </w:p>
    <w:p w14:paraId="7B6172D7" w14:textId="77777777" w:rsidR="00320977" w:rsidRDefault="00320977" w:rsidP="00D26365">
      <w:pPr>
        <w:spacing w:after="0" w:line="360" w:lineRule="auto"/>
        <w:ind w:firstLine="567"/>
        <w:jc w:val="both"/>
        <w:rPr>
          <w:rFonts w:ascii="Arial" w:hAnsi="Arial" w:cs="Arial"/>
          <w:b/>
          <w:bCs/>
          <w:sz w:val="22"/>
          <w:szCs w:val="22"/>
        </w:rPr>
      </w:pPr>
    </w:p>
    <w:p w14:paraId="1003DC8E" w14:textId="77777777" w:rsidR="00320977" w:rsidRDefault="00320977" w:rsidP="00D26365">
      <w:pPr>
        <w:spacing w:after="0" w:line="360" w:lineRule="auto"/>
        <w:ind w:firstLine="567"/>
        <w:jc w:val="both"/>
        <w:rPr>
          <w:rFonts w:ascii="Arial" w:hAnsi="Arial" w:cs="Arial"/>
          <w:b/>
          <w:bCs/>
          <w:sz w:val="22"/>
          <w:szCs w:val="22"/>
        </w:rPr>
      </w:pPr>
    </w:p>
    <w:p w14:paraId="13003845" w14:textId="77777777" w:rsidR="00320977" w:rsidRDefault="00320977" w:rsidP="00D26365">
      <w:pPr>
        <w:spacing w:after="0" w:line="360" w:lineRule="auto"/>
        <w:ind w:firstLine="567"/>
        <w:jc w:val="both"/>
        <w:rPr>
          <w:rFonts w:ascii="Arial" w:hAnsi="Arial" w:cs="Arial"/>
          <w:b/>
          <w:bCs/>
          <w:sz w:val="22"/>
          <w:szCs w:val="22"/>
        </w:rPr>
      </w:pPr>
    </w:p>
    <w:p w14:paraId="3D65DECD" w14:textId="77777777" w:rsidR="00320977" w:rsidRDefault="00320977" w:rsidP="00D26365">
      <w:pPr>
        <w:spacing w:after="0" w:line="360" w:lineRule="auto"/>
        <w:ind w:firstLine="567"/>
        <w:jc w:val="both"/>
        <w:rPr>
          <w:rFonts w:ascii="Arial" w:hAnsi="Arial" w:cs="Arial"/>
          <w:b/>
          <w:bCs/>
          <w:sz w:val="22"/>
          <w:szCs w:val="22"/>
        </w:rPr>
      </w:pPr>
    </w:p>
    <w:p w14:paraId="7F0C94A0" w14:textId="77777777" w:rsidR="00320977" w:rsidRDefault="00320977" w:rsidP="00D26365">
      <w:pPr>
        <w:spacing w:after="0" w:line="360" w:lineRule="auto"/>
        <w:ind w:firstLine="567"/>
        <w:jc w:val="both"/>
        <w:rPr>
          <w:rFonts w:ascii="Arial" w:hAnsi="Arial" w:cs="Arial"/>
          <w:b/>
          <w:bCs/>
          <w:sz w:val="22"/>
          <w:szCs w:val="22"/>
        </w:rPr>
      </w:pPr>
    </w:p>
    <w:p w14:paraId="6A7DB19F" w14:textId="77777777" w:rsidR="00320977" w:rsidRDefault="00320977" w:rsidP="00D26365">
      <w:pPr>
        <w:spacing w:after="0" w:line="360" w:lineRule="auto"/>
        <w:ind w:firstLine="567"/>
        <w:jc w:val="both"/>
        <w:rPr>
          <w:rFonts w:ascii="Arial" w:hAnsi="Arial" w:cs="Arial"/>
          <w:b/>
          <w:bCs/>
          <w:sz w:val="22"/>
          <w:szCs w:val="22"/>
        </w:rPr>
      </w:pPr>
    </w:p>
    <w:p w14:paraId="660AD7DC" w14:textId="77777777" w:rsidR="00320977" w:rsidRDefault="00320977" w:rsidP="00D26365">
      <w:pPr>
        <w:spacing w:after="0" w:line="360" w:lineRule="auto"/>
        <w:ind w:firstLine="567"/>
        <w:jc w:val="both"/>
        <w:rPr>
          <w:rFonts w:ascii="Arial" w:hAnsi="Arial" w:cs="Arial"/>
          <w:b/>
          <w:bCs/>
          <w:sz w:val="22"/>
          <w:szCs w:val="22"/>
        </w:rPr>
      </w:pPr>
    </w:p>
    <w:p w14:paraId="5040C471" w14:textId="77777777" w:rsidR="00320977" w:rsidRDefault="00320977" w:rsidP="00D26365">
      <w:pPr>
        <w:spacing w:after="0" w:line="360" w:lineRule="auto"/>
        <w:ind w:firstLine="567"/>
        <w:jc w:val="both"/>
        <w:rPr>
          <w:rFonts w:ascii="Arial" w:hAnsi="Arial" w:cs="Arial"/>
          <w:b/>
          <w:bCs/>
          <w:sz w:val="22"/>
          <w:szCs w:val="22"/>
        </w:rPr>
      </w:pPr>
    </w:p>
    <w:p w14:paraId="71CB36A6" w14:textId="77777777" w:rsidR="00320977" w:rsidRDefault="00320977" w:rsidP="00D26365">
      <w:pPr>
        <w:spacing w:after="0" w:line="360" w:lineRule="auto"/>
        <w:ind w:firstLine="567"/>
        <w:jc w:val="both"/>
        <w:rPr>
          <w:rFonts w:ascii="Arial" w:hAnsi="Arial" w:cs="Arial"/>
          <w:b/>
          <w:bCs/>
          <w:sz w:val="22"/>
          <w:szCs w:val="22"/>
        </w:rPr>
      </w:pPr>
    </w:p>
    <w:p w14:paraId="3894D0F9" w14:textId="5FBD073A" w:rsidR="00CF1C33" w:rsidRDefault="00910355" w:rsidP="00D26365">
      <w:pPr>
        <w:spacing w:after="0" w:line="360" w:lineRule="auto"/>
        <w:ind w:firstLine="567"/>
        <w:jc w:val="both"/>
        <w:rPr>
          <w:rFonts w:ascii="Arial" w:hAnsi="Arial" w:cs="Arial"/>
          <w:b/>
          <w:bCs/>
          <w:sz w:val="22"/>
          <w:szCs w:val="22"/>
        </w:rPr>
      </w:pPr>
      <w:r w:rsidRPr="00910355">
        <w:rPr>
          <w:rFonts w:ascii="Arial" w:hAnsi="Arial" w:cs="Arial"/>
          <w:b/>
          <w:bCs/>
          <w:sz w:val="22"/>
          <w:szCs w:val="22"/>
        </w:rPr>
        <w:lastRenderedPageBreak/>
        <w:t>2. Operations Recommendation: Regional Product Adaptation Lifecycle (RPAL) SOP</w:t>
      </w:r>
      <w:r>
        <w:rPr>
          <w:rFonts w:ascii="Arial" w:hAnsi="Arial" w:cs="Arial"/>
          <w:b/>
          <w:bCs/>
          <w:sz w:val="22"/>
          <w:szCs w:val="22"/>
        </w:rPr>
        <w:t xml:space="preserve"> – table 3</w:t>
      </w:r>
    </w:p>
    <w:p w14:paraId="6A731614" w14:textId="2A930C29" w:rsidR="00CF1C33" w:rsidRPr="00B055B4" w:rsidRDefault="00B055B4" w:rsidP="00D26365">
      <w:pPr>
        <w:spacing w:after="0" w:line="360" w:lineRule="auto"/>
        <w:ind w:firstLine="567"/>
        <w:jc w:val="both"/>
        <w:rPr>
          <w:rFonts w:ascii="Arial" w:hAnsi="Arial" w:cs="Arial"/>
          <w:sz w:val="22"/>
          <w:szCs w:val="22"/>
        </w:rPr>
      </w:pPr>
      <w:r w:rsidRPr="00B055B4">
        <w:rPr>
          <w:rFonts w:ascii="Arial" w:hAnsi="Arial" w:cs="Arial"/>
          <w:sz w:val="22"/>
          <w:szCs w:val="22"/>
        </w:rPr>
        <w:t>This SOP moves product development and strategic decision-making to regional offices (e.g., Brazil) to swiftly adjust goods to local market needs, speeding up and enhancing launches.</w:t>
      </w:r>
    </w:p>
    <w:p w14:paraId="77000ED6" w14:textId="77777777" w:rsidR="00F11A51" w:rsidRPr="000348D5" w:rsidRDefault="00F11A51" w:rsidP="00F13650">
      <w:pPr>
        <w:spacing w:after="0" w:line="360" w:lineRule="auto"/>
        <w:jc w:val="center"/>
        <w:rPr>
          <w:rFonts w:ascii="Arial" w:hAnsi="Arial" w:cs="Arial"/>
          <w:sz w:val="16"/>
          <w:szCs w:val="16"/>
        </w:rPr>
      </w:pPr>
    </w:p>
    <w:p w14:paraId="13C27FE8" w14:textId="35056682" w:rsidR="00F11A51" w:rsidRDefault="00534C34" w:rsidP="00F13650">
      <w:pPr>
        <w:spacing w:after="0" w:line="360" w:lineRule="auto"/>
        <w:jc w:val="center"/>
        <w:rPr>
          <w:rFonts w:ascii="Arial" w:hAnsi="Arial" w:cs="Arial"/>
          <w:sz w:val="20"/>
          <w:szCs w:val="20"/>
        </w:rPr>
      </w:pPr>
      <w:r>
        <w:rPr>
          <w:rFonts w:ascii="Arial" w:hAnsi="Arial" w:cs="Arial"/>
          <w:sz w:val="20"/>
          <w:szCs w:val="20"/>
        </w:rPr>
        <w:t xml:space="preserve">Table 3. </w:t>
      </w:r>
      <w:r w:rsidRPr="00534C34">
        <w:rPr>
          <w:rFonts w:ascii="Arial" w:hAnsi="Arial" w:cs="Arial"/>
          <w:sz w:val="20"/>
          <w:szCs w:val="20"/>
        </w:rPr>
        <w:t>Operations Recommendation: Regional Product Adaptation Lifecycle (RPAL) SOP</w:t>
      </w:r>
    </w:p>
    <w:p w14:paraId="64EC663D" w14:textId="5A683730" w:rsidR="00F11A51" w:rsidRDefault="000348D5" w:rsidP="00F13650">
      <w:pPr>
        <w:spacing w:after="0" w:line="360" w:lineRule="auto"/>
        <w:jc w:val="center"/>
        <w:rPr>
          <w:rFonts w:ascii="Arial" w:hAnsi="Arial" w:cs="Arial"/>
          <w:sz w:val="20"/>
          <w:szCs w:val="20"/>
        </w:rPr>
      </w:pPr>
      <w:r w:rsidRPr="000348D5">
        <w:rPr>
          <w:rFonts w:ascii="Arial" w:hAnsi="Arial" w:cs="Arial"/>
          <w:noProof/>
          <w:sz w:val="20"/>
          <w:szCs w:val="20"/>
        </w:rPr>
        <w:drawing>
          <wp:inline distT="0" distB="0" distL="0" distR="0" wp14:anchorId="6B1A0BD2" wp14:editId="4E44FD69">
            <wp:extent cx="5731510" cy="5149850"/>
            <wp:effectExtent l="0" t="0" r="2540" b="0"/>
            <wp:docPr id="912929553" name="Picture 1" descr="A tab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929553" name="Picture 1" descr="A table with text and images&#10;&#10;AI-generated content may be incorrect."/>
                    <pic:cNvPicPr/>
                  </pic:nvPicPr>
                  <pic:blipFill>
                    <a:blip r:embed="rId28"/>
                    <a:stretch>
                      <a:fillRect/>
                    </a:stretch>
                  </pic:blipFill>
                  <pic:spPr>
                    <a:xfrm>
                      <a:off x="0" y="0"/>
                      <a:ext cx="5731510" cy="5149850"/>
                    </a:xfrm>
                    <a:prstGeom prst="rect">
                      <a:avLst/>
                    </a:prstGeom>
                  </pic:spPr>
                </pic:pic>
              </a:graphicData>
            </a:graphic>
          </wp:inline>
        </w:drawing>
      </w:r>
    </w:p>
    <w:p w14:paraId="226309E0" w14:textId="2B615DAE" w:rsidR="00320977" w:rsidRPr="000003C6" w:rsidRDefault="000003C6" w:rsidP="000003C6">
      <w:pPr>
        <w:spacing w:after="0" w:line="360" w:lineRule="auto"/>
        <w:jc w:val="center"/>
        <w:rPr>
          <w:rFonts w:ascii="Arial" w:hAnsi="Arial" w:cs="Arial"/>
          <w:i/>
          <w:iCs/>
          <w:sz w:val="20"/>
          <w:szCs w:val="20"/>
        </w:rPr>
      </w:pPr>
      <w:r w:rsidRPr="000003C6">
        <w:rPr>
          <w:rFonts w:ascii="Arial" w:hAnsi="Arial" w:cs="Arial"/>
          <w:i/>
          <w:iCs/>
          <w:sz w:val="20"/>
          <w:szCs w:val="20"/>
        </w:rPr>
        <w:t>(Source: Adapted from Verbeke, Kano and Yuan 2021 and Liu et al., 2024)</w:t>
      </w:r>
    </w:p>
    <w:p w14:paraId="32A86640" w14:textId="77777777" w:rsidR="00320977" w:rsidRPr="000003C6" w:rsidRDefault="00320977" w:rsidP="00320977">
      <w:pPr>
        <w:spacing w:after="0" w:line="360" w:lineRule="auto"/>
        <w:jc w:val="both"/>
        <w:rPr>
          <w:rFonts w:ascii="Arial" w:hAnsi="Arial" w:cs="Arial"/>
          <w:i/>
          <w:iCs/>
          <w:sz w:val="20"/>
          <w:szCs w:val="20"/>
        </w:rPr>
      </w:pPr>
    </w:p>
    <w:p w14:paraId="7772AA55" w14:textId="77777777" w:rsidR="00320977" w:rsidRDefault="00320977" w:rsidP="00320977">
      <w:pPr>
        <w:spacing w:after="0" w:line="360" w:lineRule="auto"/>
        <w:jc w:val="both"/>
        <w:rPr>
          <w:rFonts w:ascii="Arial" w:hAnsi="Arial" w:cs="Arial"/>
          <w:sz w:val="20"/>
          <w:szCs w:val="20"/>
        </w:rPr>
      </w:pPr>
    </w:p>
    <w:p w14:paraId="0810333D" w14:textId="77777777" w:rsidR="00320977" w:rsidRDefault="00320977" w:rsidP="00320977">
      <w:pPr>
        <w:spacing w:after="0" w:line="360" w:lineRule="auto"/>
        <w:jc w:val="both"/>
        <w:rPr>
          <w:rFonts w:ascii="Arial" w:hAnsi="Arial" w:cs="Arial"/>
          <w:sz w:val="20"/>
          <w:szCs w:val="20"/>
        </w:rPr>
      </w:pPr>
    </w:p>
    <w:p w14:paraId="0571DB01" w14:textId="77777777" w:rsidR="00320977" w:rsidRDefault="00320977" w:rsidP="00320977">
      <w:pPr>
        <w:spacing w:after="0" w:line="360" w:lineRule="auto"/>
        <w:jc w:val="both"/>
        <w:rPr>
          <w:rFonts w:ascii="Arial" w:hAnsi="Arial" w:cs="Arial"/>
          <w:sz w:val="20"/>
          <w:szCs w:val="20"/>
        </w:rPr>
      </w:pPr>
    </w:p>
    <w:p w14:paraId="5B835A3D" w14:textId="77777777" w:rsidR="000348D5" w:rsidRDefault="000348D5" w:rsidP="00320977">
      <w:pPr>
        <w:spacing w:after="0" w:line="360" w:lineRule="auto"/>
        <w:jc w:val="both"/>
        <w:rPr>
          <w:rFonts w:ascii="Arial" w:hAnsi="Arial" w:cs="Arial"/>
          <w:sz w:val="20"/>
          <w:szCs w:val="20"/>
        </w:rPr>
      </w:pPr>
    </w:p>
    <w:p w14:paraId="16AAB3A1" w14:textId="77777777" w:rsidR="00320977" w:rsidRDefault="00320977" w:rsidP="00320977">
      <w:pPr>
        <w:spacing w:after="0" w:line="360" w:lineRule="auto"/>
        <w:jc w:val="both"/>
        <w:rPr>
          <w:rFonts w:ascii="Arial" w:hAnsi="Arial" w:cs="Arial"/>
          <w:sz w:val="20"/>
          <w:szCs w:val="20"/>
        </w:rPr>
      </w:pPr>
    </w:p>
    <w:p w14:paraId="7A9A1292" w14:textId="77777777" w:rsidR="004F7CA1" w:rsidRDefault="004F7CA1" w:rsidP="00320977">
      <w:pPr>
        <w:spacing w:after="0" w:line="360" w:lineRule="auto"/>
        <w:jc w:val="both"/>
        <w:rPr>
          <w:rFonts w:ascii="Arial" w:hAnsi="Arial" w:cs="Arial"/>
          <w:sz w:val="20"/>
          <w:szCs w:val="20"/>
        </w:rPr>
      </w:pPr>
    </w:p>
    <w:p w14:paraId="4EAD406B" w14:textId="77777777" w:rsidR="00320977" w:rsidRDefault="00320977" w:rsidP="00320977">
      <w:pPr>
        <w:spacing w:after="0" w:line="360" w:lineRule="auto"/>
        <w:jc w:val="both"/>
        <w:rPr>
          <w:rFonts w:ascii="Arial" w:hAnsi="Arial" w:cs="Arial"/>
          <w:sz w:val="20"/>
          <w:szCs w:val="20"/>
        </w:rPr>
      </w:pPr>
    </w:p>
    <w:p w14:paraId="191D5A55" w14:textId="2DB9DF03" w:rsidR="00F11A51" w:rsidRPr="00320977" w:rsidRDefault="00320977" w:rsidP="00320977">
      <w:pPr>
        <w:spacing w:after="0" w:line="360" w:lineRule="auto"/>
        <w:jc w:val="both"/>
        <w:rPr>
          <w:rFonts w:ascii="Arial" w:hAnsi="Arial" w:cs="Arial"/>
          <w:b/>
          <w:bCs/>
          <w:sz w:val="22"/>
          <w:szCs w:val="22"/>
        </w:rPr>
      </w:pPr>
      <w:r w:rsidRPr="00320977">
        <w:rPr>
          <w:rFonts w:ascii="Arial" w:hAnsi="Arial" w:cs="Arial"/>
          <w:b/>
          <w:bCs/>
          <w:sz w:val="22"/>
          <w:szCs w:val="22"/>
        </w:rPr>
        <w:lastRenderedPageBreak/>
        <w:t>3. Finance Recommendation: Dynamic Liquidity Deployment (DLD) SOP</w:t>
      </w:r>
    </w:p>
    <w:p w14:paraId="456CD819" w14:textId="77777777" w:rsidR="00F11A51" w:rsidRPr="00E32C9E" w:rsidRDefault="00F11A51" w:rsidP="0051442B">
      <w:pPr>
        <w:spacing w:after="0" w:line="360" w:lineRule="auto"/>
        <w:jc w:val="both"/>
        <w:rPr>
          <w:rFonts w:ascii="Arial" w:hAnsi="Arial" w:cs="Arial"/>
          <w:sz w:val="16"/>
          <w:szCs w:val="16"/>
        </w:rPr>
      </w:pPr>
    </w:p>
    <w:p w14:paraId="6DCBD2DC" w14:textId="60F1AC44" w:rsidR="00F11A51" w:rsidRDefault="0051442B" w:rsidP="0051442B">
      <w:pPr>
        <w:spacing w:after="0" w:line="360" w:lineRule="auto"/>
        <w:ind w:firstLine="567"/>
        <w:jc w:val="both"/>
        <w:rPr>
          <w:rFonts w:ascii="Arial" w:hAnsi="Arial" w:cs="Arial"/>
          <w:sz w:val="22"/>
          <w:szCs w:val="22"/>
        </w:rPr>
      </w:pPr>
      <w:r w:rsidRPr="0051442B">
        <w:rPr>
          <w:rFonts w:ascii="Arial" w:hAnsi="Arial" w:cs="Arial"/>
          <w:sz w:val="22"/>
          <w:szCs w:val="22"/>
        </w:rPr>
        <w:t>This SOP refocuses the Group's core finances from general investment to strategic de-risking of the crucial EV battery supply chain to guarantee long-term production reliability</w:t>
      </w:r>
      <w:r>
        <w:rPr>
          <w:rFonts w:ascii="Arial" w:hAnsi="Arial" w:cs="Arial"/>
          <w:sz w:val="22"/>
          <w:szCs w:val="22"/>
        </w:rPr>
        <w:t xml:space="preserve"> – table 4 below. </w:t>
      </w:r>
    </w:p>
    <w:p w14:paraId="23271558" w14:textId="77777777" w:rsidR="00F5239B" w:rsidRPr="000348D5" w:rsidRDefault="00F5239B" w:rsidP="0051442B">
      <w:pPr>
        <w:spacing w:after="0" w:line="360" w:lineRule="auto"/>
        <w:ind w:firstLine="567"/>
        <w:jc w:val="both"/>
        <w:rPr>
          <w:rFonts w:ascii="Arial" w:hAnsi="Arial" w:cs="Arial"/>
          <w:sz w:val="16"/>
          <w:szCs w:val="16"/>
        </w:rPr>
      </w:pPr>
    </w:p>
    <w:p w14:paraId="6B0E9395" w14:textId="0E04CEC5" w:rsidR="00F5239B" w:rsidRPr="000C37DA" w:rsidRDefault="00F5239B" w:rsidP="00D123E2">
      <w:pPr>
        <w:spacing w:after="0" w:line="360" w:lineRule="auto"/>
        <w:jc w:val="center"/>
        <w:rPr>
          <w:rFonts w:ascii="Arial" w:hAnsi="Arial" w:cs="Arial"/>
          <w:sz w:val="18"/>
          <w:szCs w:val="18"/>
        </w:rPr>
      </w:pPr>
      <w:r w:rsidRPr="000C37DA">
        <w:rPr>
          <w:rFonts w:ascii="Arial" w:hAnsi="Arial" w:cs="Arial"/>
          <w:sz w:val="20"/>
          <w:szCs w:val="20"/>
        </w:rPr>
        <w:t xml:space="preserve">Table </w:t>
      </w:r>
      <w:r w:rsidR="000C37DA" w:rsidRPr="000C37DA">
        <w:rPr>
          <w:rFonts w:ascii="Arial" w:hAnsi="Arial" w:cs="Arial"/>
          <w:sz w:val="20"/>
          <w:szCs w:val="20"/>
        </w:rPr>
        <w:t>4. Dynamic Liquidity Deployment (DLD) SOP</w:t>
      </w:r>
    </w:p>
    <w:p w14:paraId="1FEA6FE4" w14:textId="49D4153C" w:rsidR="0051442B" w:rsidRPr="0051442B" w:rsidRDefault="00D123E2" w:rsidP="00D123E2">
      <w:pPr>
        <w:spacing w:after="0" w:line="360" w:lineRule="auto"/>
        <w:jc w:val="center"/>
        <w:rPr>
          <w:rFonts w:ascii="Arial" w:hAnsi="Arial" w:cs="Arial"/>
          <w:sz w:val="22"/>
          <w:szCs w:val="22"/>
        </w:rPr>
      </w:pPr>
      <w:r w:rsidRPr="00D123E2">
        <w:rPr>
          <w:rFonts w:ascii="Arial" w:hAnsi="Arial" w:cs="Arial"/>
          <w:noProof/>
          <w:sz w:val="22"/>
          <w:szCs w:val="22"/>
        </w:rPr>
        <w:drawing>
          <wp:inline distT="0" distB="0" distL="0" distR="0" wp14:anchorId="683F8AEB" wp14:editId="60EA3422">
            <wp:extent cx="5731510" cy="3397250"/>
            <wp:effectExtent l="0" t="0" r="2540" b="0"/>
            <wp:docPr id="409743650" name="Picture 1" descr="A screen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43650" name="Picture 1" descr="A screenshot of a chart&#10;&#10;AI-generated content may be incorrect."/>
                    <pic:cNvPicPr/>
                  </pic:nvPicPr>
                  <pic:blipFill>
                    <a:blip r:embed="rId29"/>
                    <a:stretch>
                      <a:fillRect/>
                    </a:stretch>
                  </pic:blipFill>
                  <pic:spPr>
                    <a:xfrm>
                      <a:off x="0" y="0"/>
                      <a:ext cx="5731510" cy="3397250"/>
                    </a:xfrm>
                    <a:prstGeom prst="rect">
                      <a:avLst/>
                    </a:prstGeom>
                  </pic:spPr>
                </pic:pic>
              </a:graphicData>
            </a:graphic>
          </wp:inline>
        </w:drawing>
      </w:r>
    </w:p>
    <w:p w14:paraId="282E33D3" w14:textId="3466B9E9" w:rsidR="00F11A51" w:rsidRPr="00FF61D5" w:rsidRDefault="00FF61D5" w:rsidP="00F13650">
      <w:pPr>
        <w:spacing w:after="0" w:line="360" w:lineRule="auto"/>
        <w:jc w:val="center"/>
        <w:rPr>
          <w:rFonts w:ascii="Arial" w:hAnsi="Arial" w:cs="Arial"/>
          <w:i/>
          <w:iCs/>
          <w:sz w:val="20"/>
          <w:szCs w:val="20"/>
        </w:rPr>
      </w:pPr>
      <w:r w:rsidRPr="00FF61D5">
        <w:rPr>
          <w:rFonts w:ascii="Arial" w:hAnsi="Arial" w:cs="Arial"/>
          <w:i/>
          <w:iCs/>
          <w:sz w:val="20"/>
          <w:szCs w:val="20"/>
        </w:rPr>
        <w:t>(Source: Adapted from Lins, Servaes and Tamayo 2017 and Wong, Kim and Duerksen, 2024)</w:t>
      </w:r>
    </w:p>
    <w:p w14:paraId="47E20382" w14:textId="77777777" w:rsidR="00F11A51" w:rsidRDefault="00F11A51" w:rsidP="00F13650">
      <w:pPr>
        <w:spacing w:after="0" w:line="360" w:lineRule="auto"/>
        <w:jc w:val="center"/>
        <w:rPr>
          <w:rFonts w:ascii="Arial" w:hAnsi="Arial" w:cs="Arial"/>
          <w:sz w:val="20"/>
          <w:szCs w:val="20"/>
        </w:rPr>
      </w:pPr>
    </w:p>
    <w:p w14:paraId="4B290495" w14:textId="77777777" w:rsidR="00F11A51" w:rsidRDefault="00F11A51" w:rsidP="00F13650">
      <w:pPr>
        <w:spacing w:after="0" w:line="360" w:lineRule="auto"/>
        <w:jc w:val="center"/>
        <w:rPr>
          <w:rFonts w:ascii="Arial" w:hAnsi="Arial" w:cs="Arial"/>
          <w:sz w:val="20"/>
          <w:szCs w:val="20"/>
        </w:rPr>
      </w:pPr>
    </w:p>
    <w:p w14:paraId="76429F19" w14:textId="77777777" w:rsidR="00F11A51" w:rsidRDefault="00F11A51" w:rsidP="00F13650">
      <w:pPr>
        <w:spacing w:after="0" w:line="360" w:lineRule="auto"/>
        <w:jc w:val="center"/>
        <w:rPr>
          <w:rFonts w:ascii="Arial" w:hAnsi="Arial" w:cs="Arial"/>
          <w:sz w:val="20"/>
          <w:szCs w:val="20"/>
        </w:rPr>
      </w:pPr>
    </w:p>
    <w:p w14:paraId="18AEAB75" w14:textId="77777777" w:rsidR="00F11A51" w:rsidRDefault="00F11A51" w:rsidP="00F13650">
      <w:pPr>
        <w:spacing w:after="0" w:line="360" w:lineRule="auto"/>
        <w:jc w:val="center"/>
        <w:rPr>
          <w:rFonts w:ascii="Arial" w:hAnsi="Arial" w:cs="Arial"/>
          <w:sz w:val="20"/>
          <w:szCs w:val="20"/>
        </w:rPr>
      </w:pPr>
    </w:p>
    <w:p w14:paraId="5D83D325" w14:textId="77777777" w:rsidR="00F11A51" w:rsidRDefault="00F11A51" w:rsidP="00F13650">
      <w:pPr>
        <w:spacing w:after="0" w:line="360" w:lineRule="auto"/>
        <w:jc w:val="center"/>
        <w:rPr>
          <w:rFonts w:ascii="Arial" w:hAnsi="Arial" w:cs="Arial"/>
          <w:sz w:val="20"/>
          <w:szCs w:val="20"/>
        </w:rPr>
      </w:pPr>
    </w:p>
    <w:p w14:paraId="5B814FFF" w14:textId="77777777" w:rsidR="00F11A51" w:rsidRDefault="00F11A51" w:rsidP="00F13650">
      <w:pPr>
        <w:spacing w:after="0" w:line="360" w:lineRule="auto"/>
        <w:jc w:val="center"/>
        <w:rPr>
          <w:rFonts w:ascii="Arial" w:hAnsi="Arial" w:cs="Arial"/>
          <w:sz w:val="20"/>
          <w:szCs w:val="20"/>
        </w:rPr>
      </w:pPr>
    </w:p>
    <w:p w14:paraId="51563775" w14:textId="77777777" w:rsidR="00F11A51" w:rsidRDefault="00F11A51" w:rsidP="00F13650">
      <w:pPr>
        <w:spacing w:after="0" w:line="360" w:lineRule="auto"/>
        <w:jc w:val="center"/>
        <w:rPr>
          <w:rFonts w:ascii="Arial" w:hAnsi="Arial" w:cs="Arial"/>
          <w:sz w:val="20"/>
          <w:szCs w:val="20"/>
        </w:rPr>
      </w:pPr>
    </w:p>
    <w:p w14:paraId="5EE8FD1E" w14:textId="77777777" w:rsidR="000F65F9" w:rsidRDefault="000F65F9" w:rsidP="00F13650">
      <w:pPr>
        <w:spacing w:after="0" w:line="360" w:lineRule="auto"/>
        <w:jc w:val="center"/>
        <w:rPr>
          <w:rFonts w:ascii="Arial" w:hAnsi="Arial" w:cs="Arial"/>
          <w:sz w:val="20"/>
          <w:szCs w:val="20"/>
        </w:rPr>
      </w:pPr>
    </w:p>
    <w:p w14:paraId="4FFB4D49" w14:textId="77777777" w:rsidR="000F65F9" w:rsidRDefault="000F65F9" w:rsidP="00F13650">
      <w:pPr>
        <w:spacing w:after="0" w:line="360" w:lineRule="auto"/>
        <w:jc w:val="center"/>
        <w:rPr>
          <w:rFonts w:ascii="Arial" w:hAnsi="Arial" w:cs="Arial"/>
          <w:sz w:val="20"/>
          <w:szCs w:val="20"/>
        </w:rPr>
      </w:pPr>
    </w:p>
    <w:p w14:paraId="73115973" w14:textId="77777777" w:rsidR="009B0B32" w:rsidRDefault="009B0B32" w:rsidP="00F13650">
      <w:pPr>
        <w:spacing w:after="0" w:line="360" w:lineRule="auto"/>
        <w:jc w:val="center"/>
        <w:rPr>
          <w:rFonts w:ascii="Arial" w:hAnsi="Arial" w:cs="Arial"/>
          <w:sz w:val="20"/>
          <w:szCs w:val="20"/>
        </w:rPr>
      </w:pPr>
    </w:p>
    <w:p w14:paraId="7C446CF8" w14:textId="77777777" w:rsidR="009B0B32" w:rsidRDefault="009B0B32" w:rsidP="00F13650">
      <w:pPr>
        <w:spacing w:after="0" w:line="360" w:lineRule="auto"/>
        <w:jc w:val="center"/>
        <w:rPr>
          <w:rFonts w:ascii="Arial" w:hAnsi="Arial" w:cs="Arial"/>
          <w:sz w:val="20"/>
          <w:szCs w:val="20"/>
        </w:rPr>
      </w:pPr>
    </w:p>
    <w:p w14:paraId="14A3EA28" w14:textId="77777777" w:rsidR="009B0B32" w:rsidRDefault="009B0B32" w:rsidP="00F13650">
      <w:pPr>
        <w:spacing w:after="0" w:line="360" w:lineRule="auto"/>
        <w:jc w:val="center"/>
        <w:rPr>
          <w:rFonts w:ascii="Arial" w:hAnsi="Arial" w:cs="Arial"/>
          <w:sz w:val="20"/>
          <w:szCs w:val="20"/>
        </w:rPr>
      </w:pPr>
    </w:p>
    <w:p w14:paraId="08000826" w14:textId="77777777" w:rsidR="009B0B32" w:rsidRDefault="009B0B32" w:rsidP="00F13650">
      <w:pPr>
        <w:spacing w:after="0" w:line="360" w:lineRule="auto"/>
        <w:jc w:val="center"/>
        <w:rPr>
          <w:rFonts w:ascii="Arial" w:hAnsi="Arial" w:cs="Arial"/>
          <w:sz w:val="20"/>
          <w:szCs w:val="20"/>
        </w:rPr>
      </w:pPr>
    </w:p>
    <w:p w14:paraId="72C0C8AB" w14:textId="77777777" w:rsidR="009B0B32" w:rsidRDefault="009B0B32" w:rsidP="00F13650">
      <w:pPr>
        <w:spacing w:after="0" w:line="360" w:lineRule="auto"/>
        <w:jc w:val="center"/>
        <w:rPr>
          <w:rFonts w:ascii="Arial" w:hAnsi="Arial" w:cs="Arial"/>
          <w:sz w:val="20"/>
          <w:szCs w:val="20"/>
        </w:rPr>
      </w:pPr>
    </w:p>
    <w:p w14:paraId="58457124" w14:textId="77777777" w:rsidR="009B0B32" w:rsidRDefault="009B0B32" w:rsidP="00F13650">
      <w:pPr>
        <w:spacing w:after="0" w:line="360" w:lineRule="auto"/>
        <w:jc w:val="center"/>
        <w:rPr>
          <w:rFonts w:ascii="Arial" w:hAnsi="Arial" w:cs="Arial"/>
          <w:sz w:val="20"/>
          <w:szCs w:val="20"/>
        </w:rPr>
      </w:pPr>
    </w:p>
    <w:p w14:paraId="3B37E234" w14:textId="77777777" w:rsidR="00EC11D5" w:rsidRDefault="00EC11D5" w:rsidP="00DF6113">
      <w:pPr>
        <w:spacing w:after="0" w:line="360" w:lineRule="auto"/>
        <w:jc w:val="both"/>
        <w:rPr>
          <w:rFonts w:ascii="Arial" w:hAnsi="Arial" w:cs="Arial"/>
          <w:sz w:val="22"/>
          <w:szCs w:val="22"/>
        </w:rPr>
      </w:pPr>
    </w:p>
    <w:p w14:paraId="2F25B6A5" w14:textId="77777777" w:rsidR="00D213B5" w:rsidRPr="005E476D" w:rsidRDefault="00D213B5" w:rsidP="005E476D">
      <w:pPr>
        <w:pStyle w:val="Heading1"/>
        <w:spacing w:before="0" w:after="0" w:line="360" w:lineRule="auto"/>
        <w:rPr>
          <w:b/>
          <w:bCs/>
          <w:sz w:val="22"/>
          <w:szCs w:val="22"/>
        </w:rPr>
      </w:pPr>
      <w:bookmarkStart w:id="29" w:name="_Toc214529473"/>
      <w:r w:rsidRPr="005E476D">
        <w:rPr>
          <w:b/>
          <w:bCs/>
          <w:sz w:val="22"/>
          <w:szCs w:val="22"/>
        </w:rPr>
        <w:lastRenderedPageBreak/>
        <w:t>Reference List</w:t>
      </w:r>
      <w:bookmarkEnd w:id="29"/>
    </w:p>
    <w:p w14:paraId="54D2C788" w14:textId="77777777" w:rsidR="00D67FA0" w:rsidRPr="00D213B5" w:rsidRDefault="00D67FA0" w:rsidP="00D213B5">
      <w:pPr>
        <w:spacing w:after="0" w:line="360" w:lineRule="auto"/>
        <w:rPr>
          <w:rFonts w:ascii="Arial" w:hAnsi="Arial" w:cs="Arial"/>
          <w:b/>
          <w:bCs/>
          <w:sz w:val="22"/>
          <w:szCs w:val="22"/>
        </w:rPr>
      </w:pPr>
    </w:p>
    <w:p w14:paraId="54DCB6E0"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Aguinis, H. and Burgi-Tian, J. (2021) ‘Talent management and global workforce reskilling for the future of work’, </w:t>
      </w:r>
      <w:r w:rsidRPr="00D213B5">
        <w:rPr>
          <w:rFonts w:ascii="Arial" w:hAnsi="Arial" w:cs="Arial"/>
          <w:i/>
          <w:iCs/>
          <w:sz w:val="22"/>
          <w:szCs w:val="22"/>
        </w:rPr>
        <w:t xml:space="preserve">Annual Review of Organizational Psychology and Organizational </w:t>
      </w:r>
      <w:proofErr w:type="spellStart"/>
      <w:r w:rsidRPr="00D213B5">
        <w:rPr>
          <w:rFonts w:ascii="Arial" w:hAnsi="Arial" w:cs="Arial"/>
          <w:i/>
          <w:iCs/>
          <w:sz w:val="22"/>
          <w:szCs w:val="22"/>
        </w:rPr>
        <w:t>Behavior</w:t>
      </w:r>
      <w:proofErr w:type="spellEnd"/>
      <w:r w:rsidRPr="00D213B5">
        <w:rPr>
          <w:rFonts w:ascii="Arial" w:hAnsi="Arial" w:cs="Arial"/>
          <w:sz w:val="22"/>
          <w:szCs w:val="22"/>
        </w:rPr>
        <w:t xml:space="preserve">, 8, pp. 349–375. Available at: </w:t>
      </w:r>
      <w:hyperlink r:id="rId30" w:tgtFrame="_blank" w:history="1">
        <w:r w:rsidRPr="00D213B5">
          <w:rPr>
            <w:rStyle w:val="Hyperlink"/>
            <w:rFonts w:ascii="Arial" w:hAnsi="Arial" w:cs="Arial"/>
            <w:color w:val="auto"/>
            <w:sz w:val="22"/>
            <w:szCs w:val="22"/>
          </w:rPr>
          <w:t>https://doi.org/10.1146/annurev-orgpsych-012420-083209</w:t>
        </w:r>
      </w:hyperlink>
      <w:r w:rsidRPr="00D213B5">
        <w:rPr>
          <w:rFonts w:ascii="Arial" w:hAnsi="Arial" w:cs="Arial"/>
          <w:sz w:val="22"/>
          <w:szCs w:val="22"/>
        </w:rPr>
        <w:t xml:space="preserve"> (Accessed: 21/11/2025).</w:t>
      </w:r>
    </w:p>
    <w:p w14:paraId="14C9CB42" w14:textId="77777777" w:rsidR="00D67FA0" w:rsidRPr="00D213B5" w:rsidRDefault="00D67FA0" w:rsidP="00D213B5">
      <w:pPr>
        <w:spacing w:after="0" w:line="360" w:lineRule="auto"/>
        <w:rPr>
          <w:rFonts w:ascii="Arial" w:hAnsi="Arial" w:cs="Arial"/>
          <w:sz w:val="22"/>
          <w:szCs w:val="22"/>
        </w:rPr>
      </w:pPr>
    </w:p>
    <w:p w14:paraId="32608E89" w14:textId="77777777" w:rsidR="00D213B5" w:rsidRDefault="00D213B5" w:rsidP="00D213B5">
      <w:pPr>
        <w:spacing w:after="0" w:line="360" w:lineRule="auto"/>
        <w:rPr>
          <w:rFonts w:ascii="Arial" w:hAnsi="Arial" w:cs="Arial"/>
          <w:sz w:val="22"/>
          <w:szCs w:val="22"/>
        </w:rPr>
      </w:pPr>
      <w:proofErr w:type="spellStart"/>
      <w:r w:rsidRPr="00D213B5">
        <w:rPr>
          <w:rFonts w:ascii="Arial" w:hAnsi="Arial" w:cs="Arial"/>
          <w:sz w:val="22"/>
          <w:szCs w:val="22"/>
        </w:rPr>
        <w:t>Almutaairi</w:t>
      </w:r>
      <w:proofErr w:type="spellEnd"/>
      <w:r w:rsidRPr="00D213B5">
        <w:rPr>
          <w:rFonts w:ascii="Arial" w:hAnsi="Arial" w:cs="Arial"/>
          <w:sz w:val="22"/>
          <w:szCs w:val="22"/>
        </w:rPr>
        <w:t xml:space="preserve">, S., Heller, M. and Yen, D. (2020) ‘Reclaiming the heterogeneity of the Arab states’, </w:t>
      </w:r>
      <w:r w:rsidRPr="00D213B5">
        <w:rPr>
          <w:rFonts w:ascii="Arial" w:hAnsi="Arial" w:cs="Arial"/>
          <w:i/>
          <w:iCs/>
          <w:sz w:val="22"/>
          <w:szCs w:val="22"/>
        </w:rPr>
        <w:t>Cross Cultural &amp; Strategic Management</w:t>
      </w:r>
      <w:r w:rsidRPr="00D213B5">
        <w:rPr>
          <w:rFonts w:ascii="Arial" w:hAnsi="Arial" w:cs="Arial"/>
          <w:sz w:val="22"/>
          <w:szCs w:val="22"/>
        </w:rPr>
        <w:t xml:space="preserve">, 27(3), pp. 345–369. Available at: </w:t>
      </w:r>
      <w:hyperlink r:id="rId31" w:tgtFrame="_blank" w:history="1">
        <w:r w:rsidRPr="00D213B5">
          <w:rPr>
            <w:rStyle w:val="Hyperlink"/>
            <w:rFonts w:ascii="Arial" w:hAnsi="Arial" w:cs="Arial"/>
            <w:color w:val="auto"/>
            <w:sz w:val="22"/>
            <w:szCs w:val="22"/>
          </w:rPr>
          <w:t>https://doi.org/10.1108/CCSM-06-2019-0115</w:t>
        </w:r>
      </w:hyperlink>
      <w:r w:rsidRPr="00D213B5">
        <w:rPr>
          <w:rFonts w:ascii="Arial" w:hAnsi="Arial" w:cs="Arial"/>
          <w:sz w:val="22"/>
          <w:szCs w:val="22"/>
        </w:rPr>
        <w:t xml:space="preserve"> (Accessed: 19/11/2025).</w:t>
      </w:r>
    </w:p>
    <w:p w14:paraId="1267EB26" w14:textId="77777777" w:rsidR="00D67FA0" w:rsidRPr="00D213B5" w:rsidRDefault="00D67FA0" w:rsidP="00D213B5">
      <w:pPr>
        <w:spacing w:after="0" w:line="360" w:lineRule="auto"/>
        <w:rPr>
          <w:rFonts w:ascii="Arial" w:hAnsi="Arial" w:cs="Arial"/>
          <w:sz w:val="22"/>
          <w:szCs w:val="22"/>
        </w:rPr>
      </w:pPr>
    </w:p>
    <w:p w14:paraId="3D48EB78"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Bayo-</w:t>
      </w:r>
      <w:proofErr w:type="spellStart"/>
      <w:r w:rsidRPr="00D213B5">
        <w:rPr>
          <w:rFonts w:ascii="Arial" w:hAnsi="Arial" w:cs="Arial"/>
          <w:sz w:val="22"/>
          <w:szCs w:val="22"/>
        </w:rPr>
        <w:t>Moriones</w:t>
      </w:r>
      <w:proofErr w:type="spellEnd"/>
      <w:r w:rsidRPr="00D213B5">
        <w:rPr>
          <w:rFonts w:ascii="Arial" w:hAnsi="Arial" w:cs="Arial"/>
          <w:sz w:val="22"/>
          <w:szCs w:val="22"/>
        </w:rPr>
        <w:t xml:space="preserve">, A., Merino-Díaz de Cerio, J. and Escamilla-de-León, S. (2023) ‘Managerial control and organisational flexibility in MNCs’, </w:t>
      </w:r>
      <w:r w:rsidRPr="00D213B5">
        <w:rPr>
          <w:rFonts w:ascii="Arial" w:hAnsi="Arial" w:cs="Arial"/>
          <w:i/>
          <w:iCs/>
          <w:sz w:val="22"/>
          <w:szCs w:val="22"/>
        </w:rPr>
        <w:t>International Journal of Human Resource Management</w:t>
      </w:r>
      <w:r w:rsidRPr="00D213B5">
        <w:rPr>
          <w:rFonts w:ascii="Arial" w:hAnsi="Arial" w:cs="Arial"/>
          <w:sz w:val="22"/>
          <w:szCs w:val="22"/>
        </w:rPr>
        <w:t xml:space="preserve">, 34(3), pp. 412–432. Available at: </w:t>
      </w:r>
      <w:hyperlink r:id="rId32" w:tgtFrame="_blank" w:history="1">
        <w:r w:rsidRPr="00D213B5">
          <w:rPr>
            <w:rStyle w:val="Hyperlink"/>
            <w:rFonts w:ascii="Arial" w:hAnsi="Arial" w:cs="Arial"/>
            <w:color w:val="auto"/>
            <w:sz w:val="22"/>
            <w:szCs w:val="22"/>
          </w:rPr>
          <w:t>https://doi.org/10.1080/09585192.2021.1956564</w:t>
        </w:r>
      </w:hyperlink>
      <w:r w:rsidRPr="00D213B5">
        <w:rPr>
          <w:rFonts w:ascii="Arial" w:hAnsi="Arial" w:cs="Arial"/>
          <w:sz w:val="22"/>
          <w:szCs w:val="22"/>
        </w:rPr>
        <w:t xml:space="preserve"> (Accessed: 18/11/2025).</w:t>
      </w:r>
    </w:p>
    <w:p w14:paraId="2C1A387F" w14:textId="77777777" w:rsidR="00D67FA0" w:rsidRPr="00D213B5" w:rsidRDefault="00D67FA0" w:rsidP="00D213B5">
      <w:pPr>
        <w:spacing w:after="0" w:line="360" w:lineRule="auto"/>
        <w:rPr>
          <w:rFonts w:ascii="Arial" w:hAnsi="Arial" w:cs="Arial"/>
          <w:sz w:val="22"/>
          <w:szCs w:val="22"/>
        </w:rPr>
      </w:pPr>
    </w:p>
    <w:p w14:paraId="317E424C"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Buckley, P.J. (2021) ‘The theory of international business: The role of economic models’, </w:t>
      </w:r>
      <w:r w:rsidRPr="00D213B5">
        <w:rPr>
          <w:rFonts w:ascii="Arial" w:hAnsi="Arial" w:cs="Arial"/>
          <w:i/>
          <w:iCs/>
          <w:sz w:val="22"/>
          <w:szCs w:val="22"/>
        </w:rPr>
        <w:t>Journal of World Business</w:t>
      </w:r>
      <w:r w:rsidRPr="00D213B5">
        <w:rPr>
          <w:rFonts w:ascii="Arial" w:hAnsi="Arial" w:cs="Arial"/>
          <w:sz w:val="22"/>
          <w:szCs w:val="22"/>
        </w:rPr>
        <w:t xml:space="preserve">, 56(6), p. 101259. Available at: </w:t>
      </w:r>
      <w:hyperlink r:id="rId33" w:tgtFrame="_blank" w:history="1">
        <w:r w:rsidRPr="00D213B5">
          <w:rPr>
            <w:rStyle w:val="Hyperlink"/>
            <w:rFonts w:ascii="Arial" w:hAnsi="Arial" w:cs="Arial"/>
            <w:color w:val="auto"/>
            <w:sz w:val="22"/>
            <w:szCs w:val="22"/>
          </w:rPr>
          <w:t>https://doi.org/10.1016/j.jwb.2021.101259</w:t>
        </w:r>
      </w:hyperlink>
      <w:r w:rsidRPr="00D213B5">
        <w:rPr>
          <w:rFonts w:ascii="Arial" w:hAnsi="Arial" w:cs="Arial"/>
          <w:sz w:val="22"/>
          <w:szCs w:val="22"/>
        </w:rPr>
        <w:t xml:space="preserve"> (Accessed: 21/10/2025).</w:t>
      </w:r>
    </w:p>
    <w:p w14:paraId="706C536B" w14:textId="77777777" w:rsidR="00D67FA0" w:rsidRPr="00D213B5" w:rsidRDefault="00D67FA0" w:rsidP="00D213B5">
      <w:pPr>
        <w:spacing w:after="0" w:line="360" w:lineRule="auto"/>
        <w:rPr>
          <w:rFonts w:ascii="Arial" w:hAnsi="Arial" w:cs="Arial"/>
          <w:sz w:val="22"/>
          <w:szCs w:val="22"/>
        </w:rPr>
      </w:pPr>
    </w:p>
    <w:p w14:paraId="53C22012"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CACI (2024) </w:t>
      </w:r>
      <w:r w:rsidRPr="00D213B5">
        <w:rPr>
          <w:rFonts w:ascii="Arial" w:hAnsi="Arial" w:cs="Arial"/>
          <w:i/>
          <w:iCs/>
          <w:sz w:val="22"/>
          <w:szCs w:val="22"/>
        </w:rPr>
        <w:t>Market intelligence and business location data solutions</w:t>
      </w:r>
      <w:r w:rsidRPr="00D213B5">
        <w:rPr>
          <w:rFonts w:ascii="Arial" w:hAnsi="Arial" w:cs="Arial"/>
          <w:sz w:val="22"/>
          <w:szCs w:val="22"/>
        </w:rPr>
        <w:t xml:space="preserve">. Available at: </w:t>
      </w:r>
      <w:hyperlink r:id="rId34" w:tgtFrame="_blank" w:history="1">
        <w:r w:rsidRPr="00D213B5">
          <w:rPr>
            <w:rStyle w:val="Hyperlink"/>
            <w:rFonts w:ascii="Arial" w:hAnsi="Arial" w:cs="Arial"/>
            <w:color w:val="auto"/>
            <w:sz w:val="22"/>
            <w:szCs w:val="22"/>
          </w:rPr>
          <w:t>https://www.caci.co.uk/</w:t>
        </w:r>
      </w:hyperlink>
      <w:r w:rsidRPr="00D213B5">
        <w:rPr>
          <w:rFonts w:ascii="Arial" w:hAnsi="Arial" w:cs="Arial"/>
          <w:sz w:val="22"/>
          <w:szCs w:val="22"/>
        </w:rPr>
        <w:t xml:space="preserve"> (Accessed: 17/11/2025).</w:t>
      </w:r>
    </w:p>
    <w:p w14:paraId="6E0708ED" w14:textId="77777777" w:rsidR="00D67FA0" w:rsidRPr="00D213B5" w:rsidRDefault="00D67FA0" w:rsidP="00D213B5">
      <w:pPr>
        <w:spacing w:after="0" w:line="360" w:lineRule="auto"/>
        <w:rPr>
          <w:rFonts w:ascii="Arial" w:hAnsi="Arial" w:cs="Arial"/>
          <w:sz w:val="22"/>
          <w:szCs w:val="22"/>
        </w:rPr>
      </w:pPr>
    </w:p>
    <w:p w14:paraId="595530CC"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Cavusgil, S.T., Knight, G. and Riesenberger, J.R. (2017) </w:t>
      </w:r>
      <w:r w:rsidRPr="00D213B5">
        <w:rPr>
          <w:rFonts w:ascii="Arial" w:hAnsi="Arial" w:cs="Arial"/>
          <w:i/>
          <w:iCs/>
          <w:sz w:val="22"/>
          <w:szCs w:val="22"/>
        </w:rPr>
        <w:t>International Business: The New Realities</w:t>
      </w:r>
      <w:r w:rsidRPr="00D213B5">
        <w:rPr>
          <w:rFonts w:ascii="Arial" w:hAnsi="Arial" w:cs="Arial"/>
          <w:sz w:val="22"/>
          <w:szCs w:val="22"/>
        </w:rPr>
        <w:t xml:space="preserve">. 4th </w:t>
      </w:r>
      <w:proofErr w:type="spellStart"/>
      <w:r w:rsidRPr="00D213B5">
        <w:rPr>
          <w:rFonts w:ascii="Arial" w:hAnsi="Arial" w:cs="Arial"/>
          <w:sz w:val="22"/>
          <w:szCs w:val="22"/>
        </w:rPr>
        <w:t>edn</w:t>
      </w:r>
      <w:proofErr w:type="spellEnd"/>
      <w:r w:rsidRPr="00D213B5">
        <w:rPr>
          <w:rFonts w:ascii="Arial" w:hAnsi="Arial" w:cs="Arial"/>
          <w:sz w:val="22"/>
          <w:szCs w:val="22"/>
        </w:rPr>
        <w:t xml:space="preserve">. Boston: Pearson. Available at: </w:t>
      </w:r>
      <w:hyperlink r:id="rId35" w:tgtFrame="_blank" w:history="1">
        <w:r w:rsidRPr="00D213B5">
          <w:rPr>
            <w:rStyle w:val="Hyperlink"/>
            <w:rFonts w:ascii="Arial" w:hAnsi="Arial" w:cs="Arial"/>
            <w:color w:val="auto"/>
            <w:sz w:val="22"/>
            <w:szCs w:val="22"/>
          </w:rPr>
          <w:t>https://www.pearson.com</w:t>
        </w:r>
      </w:hyperlink>
      <w:r w:rsidRPr="00D213B5">
        <w:rPr>
          <w:rFonts w:ascii="Arial" w:hAnsi="Arial" w:cs="Arial"/>
          <w:sz w:val="22"/>
          <w:szCs w:val="22"/>
        </w:rPr>
        <w:t xml:space="preserve"> (Accessed: 20/10/2025).</w:t>
      </w:r>
    </w:p>
    <w:p w14:paraId="3B3C3D9D" w14:textId="77777777" w:rsidR="00D67FA0" w:rsidRPr="00D213B5" w:rsidRDefault="00D67FA0" w:rsidP="00D213B5">
      <w:pPr>
        <w:spacing w:after="0" w:line="360" w:lineRule="auto"/>
        <w:rPr>
          <w:rFonts w:ascii="Arial" w:hAnsi="Arial" w:cs="Arial"/>
          <w:sz w:val="22"/>
          <w:szCs w:val="22"/>
        </w:rPr>
      </w:pPr>
    </w:p>
    <w:p w14:paraId="343DEF48"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Collinson, S., Narula, R. and Rugman, A.M. (2020) </w:t>
      </w:r>
      <w:r w:rsidRPr="00D213B5">
        <w:rPr>
          <w:rFonts w:ascii="Arial" w:hAnsi="Arial" w:cs="Arial"/>
          <w:i/>
          <w:iCs/>
          <w:sz w:val="22"/>
          <w:szCs w:val="22"/>
        </w:rPr>
        <w:t>International Business</w:t>
      </w:r>
      <w:r w:rsidRPr="00D213B5">
        <w:rPr>
          <w:rFonts w:ascii="Arial" w:hAnsi="Arial" w:cs="Arial"/>
          <w:sz w:val="22"/>
          <w:szCs w:val="22"/>
        </w:rPr>
        <w:t xml:space="preserve">. 8th </w:t>
      </w:r>
      <w:proofErr w:type="spellStart"/>
      <w:r w:rsidRPr="00D213B5">
        <w:rPr>
          <w:rFonts w:ascii="Arial" w:hAnsi="Arial" w:cs="Arial"/>
          <w:sz w:val="22"/>
          <w:szCs w:val="22"/>
        </w:rPr>
        <w:t>edn</w:t>
      </w:r>
      <w:proofErr w:type="spellEnd"/>
      <w:r w:rsidRPr="00D213B5">
        <w:rPr>
          <w:rFonts w:ascii="Arial" w:hAnsi="Arial" w:cs="Arial"/>
          <w:sz w:val="22"/>
          <w:szCs w:val="22"/>
        </w:rPr>
        <w:t>. Essex: Pearson Education Limited.</w:t>
      </w:r>
    </w:p>
    <w:p w14:paraId="5D0B3BC2" w14:textId="77777777" w:rsidR="00D67FA0" w:rsidRPr="00D213B5" w:rsidRDefault="00D67FA0" w:rsidP="00D213B5">
      <w:pPr>
        <w:spacing w:after="0" w:line="360" w:lineRule="auto"/>
        <w:rPr>
          <w:rFonts w:ascii="Arial" w:hAnsi="Arial" w:cs="Arial"/>
          <w:sz w:val="22"/>
          <w:szCs w:val="22"/>
        </w:rPr>
      </w:pPr>
    </w:p>
    <w:p w14:paraId="47116995"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Daniels, J.D., Radebaugh, L.H. and Sullivan, D.P. (2019) </w:t>
      </w:r>
      <w:r w:rsidRPr="00D213B5">
        <w:rPr>
          <w:rFonts w:ascii="Arial" w:hAnsi="Arial" w:cs="Arial"/>
          <w:i/>
          <w:iCs/>
          <w:sz w:val="22"/>
          <w:szCs w:val="22"/>
        </w:rPr>
        <w:t>International Business: Environments and Operations</w:t>
      </w:r>
      <w:r w:rsidRPr="00D213B5">
        <w:rPr>
          <w:rFonts w:ascii="Arial" w:hAnsi="Arial" w:cs="Arial"/>
          <w:sz w:val="22"/>
          <w:szCs w:val="22"/>
        </w:rPr>
        <w:t xml:space="preserve">. 16th </w:t>
      </w:r>
      <w:proofErr w:type="spellStart"/>
      <w:r w:rsidRPr="00D213B5">
        <w:rPr>
          <w:rFonts w:ascii="Arial" w:hAnsi="Arial" w:cs="Arial"/>
          <w:sz w:val="22"/>
          <w:szCs w:val="22"/>
        </w:rPr>
        <w:t>edn</w:t>
      </w:r>
      <w:proofErr w:type="spellEnd"/>
      <w:r w:rsidRPr="00D213B5">
        <w:rPr>
          <w:rFonts w:ascii="Arial" w:hAnsi="Arial" w:cs="Arial"/>
          <w:sz w:val="22"/>
          <w:szCs w:val="22"/>
        </w:rPr>
        <w:t xml:space="preserve">. Harlow: Pearson. Available at: </w:t>
      </w:r>
      <w:hyperlink r:id="rId36" w:tgtFrame="_blank" w:history="1">
        <w:r w:rsidRPr="00D213B5">
          <w:rPr>
            <w:rStyle w:val="Hyperlink"/>
            <w:rFonts w:ascii="Arial" w:hAnsi="Arial" w:cs="Arial"/>
            <w:color w:val="auto"/>
            <w:sz w:val="22"/>
            <w:szCs w:val="22"/>
          </w:rPr>
          <w:t>https://www.pearson.com</w:t>
        </w:r>
      </w:hyperlink>
      <w:r w:rsidRPr="00D213B5">
        <w:rPr>
          <w:rFonts w:ascii="Arial" w:hAnsi="Arial" w:cs="Arial"/>
          <w:sz w:val="22"/>
          <w:szCs w:val="22"/>
        </w:rPr>
        <w:t xml:space="preserve"> (Accessed: 17/11/2025).</w:t>
      </w:r>
    </w:p>
    <w:p w14:paraId="6ED393F6" w14:textId="77777777" w:rsidR="000430CC" w:rsidRPr="00D213B5" w:rsidRDefault="000430CC" w:rsidP="00D213B5">
      <w:pPr>
        <w:spacing w:after="0" w:line="360" w:lineRule="auto"/>
        <w:rPr>
          <w:rFonts w:ascii="Arial" w:hAnsi="Arial" w:cs="Arial"/>
          <w:sz w:val="22"/>
          <w:szCs w:val="22"/>
        </w:rPr>
      </w:pPr>
    </w:p>
    <w:p w14:paraId="020C5D76" w14:textId="77777777" w:rsidR="00D213B5" w:rsidRP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Daniels, J.D. et al. (2022) </w:t>
      </w:r>
      <w:r w:rsidRPr="00D213B5">
        <w:rPr>
          <w:rFonts w:ascii="Arial" w:hAnsi="Arial" w:cs="Arial"/>
          <w:i/>
          <w:iCs/>
          <w:sz w:val="22"/>
          <w:szCs w:val="22"/>
        </w:rPr>
        <w:t>International Business: Environments and Operations</w:t>
      </w:r>
      <w:r w:rsidRPr="00D213B5">
        <w:rPr>
          <w:rFonts w:ascii="Arial" w:hAnsi="Arial" w:cs="Arial"/>
          <w:sz w:val="22"/>
          <w:szCs w:val="22"/>
        </w:rPr>
        <w:t xml:space="preserve">. 17th </w:t>
      </w:r>
      <w:proofErr w:type="spellStart"/>
      <w:r w:rsidRPr="00D213B5">
        <w:rPr>
          <w:rFonts w:ascii="Arial" w:hAnsi="Arial" w:cs="Arial"/>
          <w:sz w:val="22"/>
          <w:szCs w:val="22"/>
        </w:rPr>
        <w:t>edn</w:t>
      </w:r>
      <w:proofErr w:type="spellEnd"/>
      <w:r w:rsidRPr="00D213B5">
        <w:rPr>
          <w:rFonts w:ascii="Arial" w:hAnsi="Arial" w:cs="Arial"/>
          <w:sz w:val="22"/>
          <w:szCs w:val="22"/>
        </w:rPr>
        <w:t xml:space="preserve">. Harlow: Pearson. Available at: </w:t>
      </w:r>
      <w:hyperlink r:id="rId37" w:tgtFrame="_blank" w:history="1">
        <w:r w:rsidRPr="00D213B5">
          <w:rPr>
            <w:rStyle w:val="Hyperlink"/>
            <w:rFonts w:ascii="Arial" w:hAnsi="Arial" w:cs="Arial"/>
            <w:color w:val="auto"/>
            <w:sz w:val="22"/>
            <w:szCs w:val="22"/>
          </w:rPr>
          <w:t>https://www.pearson.com</w:t>
        </w:r>
      </w:hyperlink>
      <w:r w:rsidRPr="00D213B5">
        <w:rPr>
          <w:rFonts w:ascii="Arial" w:hAnsi="Arial" w:cs="Arial"/>
          <w:sz w:val="22"/>
          <w:szCs w:val="22"/>
        </w:rPr>
        <w:t xml:space="preserve"> (Accessed: 18/11/2025).</w:t>
      </w:r>
    </w:p>
    <w:p w14:paraId="2F6A33A9"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lastRenderedPageBreak/>
        <w:t xml:space="preserve">David, F.R., David, F.R. and David, M.E. (2017) </w:t>
      </w:r>
      <w:r w:rsidRPr="00D213B5">
        <w:rPr>
          <w:rFonts w:ascii="Arial" w:hAnsi="Arial" w:cs="Arial"/>
          <w:i/>
          <w:iCs/>
          <w:sz w:val="22"/>
          <w:szCs w:val="22"/>
        </w:rPr>
        <w:t>Strategic Management: Concepts and Cases – A Competitive Advantage Approach</w:t>
      </w:r>
      <w:r w:rsidRPr="00D213B5">
        <w:rPr>
          <w:rFonts w:ascii="Arial" w:hAnsi="Arial" w:cs="Arial"/>
          <w:sz w:val="22"/>
          <w:szCs w:val="22"/>
        </w:rPr>
        <w:t>. Harlow: Pearson Education.</w:t>
      </w:r>
    </w:p>
    <w:p w14:paraId="48659EC4" w14:textId="77777777" w:rsidR="000430CC" w:rsidRPr="00D213B5" w:rsidRDefault="000430CC" w:rsidP="00D213B5">
      <w:pPr>
        <w:spacing w:after="0" w:line="360" w:lineRule="auto"/>
        <w:rPr>
          <w:rFonts w:ascii="Arial" w:hAnsi="Arial" w:cs="Arial"/>
          <w:sz w:val="22"/>
          <w:szCs w:val="22"/>
        </w:rPr>
      </w:pPr>
    </w:p>
    <w:p w14:paraId="51608DD5"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Deresky, H. (2020) </w:t>
      </w:r>
      <w:r w:rsidRPr="00D213B5">
        <w:rPr>
          <w:rFonts w:ascii="Arial" w:hAnsi="Arial" w:cs="Arial"/>
          <w:i/>
          <w:iCs/>
          <w:sz w:val="22"/>
          <w:szCs w:val="22"/>
        </w:rPr>
        <w:t>International Management: Managing Across Borders and Cultures, Text and Cases</w:t>
      </w:r>
      <w:r w:rsidRPr="00D213B5">
        <w:rPr>
          <w:rFonts w:ascii="Arial" w:hAnsi="Arial" w:cs="Arial"/>
          <w:sz w:val="22"/>
          <w:szCs w:val="22"/>
        </w:rPr>
        <w:t xml:space="preserve">. 9th </w:t>
      </w:r>
      <w:proofErr w:type="spellStart"/>
      <w:r w:rsidRPr="00D213B5">
        <w:rPr>
          <w:rFonts w:ascii="Arial" w:hAnsi="Arial" w:cs="Arial"/>
          <w:sz w:val="22"/>
          <w:szCs w:val="22"/>
        </w:rPr>
        <w:t>edn</w:t>
      </w:r>
      <w:proofErr w:type="spellEnd"/>
      <w:r w:rsidRPr="00D213B5">
        <w:rPr>
          <w:rFonts w:ascii="Arial" w:hAnsi="Arial" w:cs="Arial"/>
          <w:sz w:val="22"/>
          <w:szCs w:val="22"/>
        </w:rPr>
        <w:t>. Harlow: Pearson Education.</w:t>
      </w:r>
    </w:p>
    <w:p w14:paraId="2382BEAC" w14:textId="77777777" w:rsidR="00167B3D" w:rsidRPr="00D213B5" w:rsidRDefault="00167B3D" w:rsidP="00D213B5">
      <w:pPr>
        <w:spacing w:after="0" w:line="360" w:lineRule="auto"/>
        <w:rPr>
          <w:rFonts w:ascii="Arial" w:hAnsi="Arial" w:cs="Arial"/>
          <w:sz w:val="22"/>
          <w:szCs w:val="22"/>
        </w:rPr>
      </w:pPr>
    </w:p>
    <w:p w14:paraId="002E1321"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Haleem, A., Javaid, M. and Khan, S. (2022) ‘Role of standard operating procedures in improving organisational performance’, </w:t>
      </w:r>
      <w:r w:rsidRPr="00D213B5">
        <w:rPr>
          <w:rFonts w:ascii="Arial" w:hAnsi="Arial" w:cs="Arial"/>
          <w:i/>
          <w:iCs/>
          <w:sz w:val="22"/>
          <w:szCs w:val="22"/>
        </w:rPr>
        <w:t>Journal of Global Business Advancement</w:t>
      </w:r>
      <w:r w:rsidRPr="00D213B5">
        <w:rPr>
          <w:rFonts w:ascii="Arial" w:hAnsi="Arial" w:cs="Arial"/>
          <w:sz w:val="22"/>
          <w:szCs w:val="22"/>
        </w:rPr>
        <w:t xml:space="preserve">, 15(2), pp. 145–162. Available at: </w:t>
      </w:r>
      <w:hyperlink r:id="rId38" w:tgtFrame="_blank" w:history="1">
        <w:r w:rsidRPr="00D213B5">
          <w:rPr>
            <w:rStyle w:val="Hyperlink"/>
            <w:rFonts w:ascii="Arial" w:hAnsi="Arial" w:cs="Arial"/>
            <w:color w:val="auto"/>
            <w:sz w:val="22"/>
            <w:szCs w:val="22"/>
          </w:rPr>
          <w:t>https://doi.org/10.1504/JGBA.2022.126590</w:t>
        </w:r>
      </w:hyperlink>
      <w:r w:rsidRPr="00D213B5">
        <w:rPr>
          <w:rFonts w:ascii="Arial" w:hAnsi="Arial" w:cs="Arial"/>
          <w:sz w:val="22"/>
          <w:szCs w:val="22"/>
        </w:rPr>
        <w:t xml:space="preserve"> (Accessed: 18/11/2025).</w:t>
      </w:r>
    </w:p>
    <w:p w14:paraId="58C9A9A2" w14:textId="77777777" w:rsidR="00167B3D" w:rsidRPr="00D213B5" w:rsidRDefault="00167B3D" w:rsidP="00D213B5">
      <w:pPr>
        <w:spacing w:after="0" w:line="360" w:lineRule="auto"/>
        <w:rPr>
          <w:rFonts w:ascii="Arial" w:hAnsi="Arial" w:cs="Arial"/>
          <w:sz w:val="22"/>
          <w:szCs w:val="22"/>
        </w:rPr>
      </w:pPr>
    </w:p>
    <w:p w14:paraId="02A077F0"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Hennart, J.-F. (2022) ‘International business research: The real challenges are theoretical’, </w:t>
      </w:r>
      <w:r w:rsidRPr="00D213B5">
        <w:rPr>
          <w:rFonts w:ascii="Arial" w:hAnsi="Arial" w:cs="Arial"/>
          <w:i/>
          <w:iCs/>
          <w:sz w:val="22"/>
          <w:szCs w:val="22"/>
        </w:rPr>
        <w:t>Journal of International Business Studies</w:t>
      </w:r>
      <w:r w:rsidRPr="00D213B5">
        <w:rPr>
          <w:rFonts w:ascii="Arial" w:hAnsi="Arial" w:cs="Arial"/>
          <w:sz w:val="22"/>
          <w:szCs w:val="22"/>
        </w:rPr>
        <w:t xml:space="preserve">, 53(9), pp. 1623–1636. Available at: </w:t>
      </w:r>
      <w:hyperlink r:id="rId39" w:tgtFrame="_blank" w:history="1">
        <w:r w:rsidRPr="00D213B5">
          <w:rPr>
            <w:rStyle w:val="Hyperlink"/>
            <w:rFonts w:ascii="Arial" w:hAnsi="Arial" w:cs="Arial"/>
            <w:color w:val="auto"/>
            <w:sz w:val="22"/>
            <w:szCs w:val="22"/>
          </w:rPr>
          <w:t>https://link.springer.com/article/10.1057/s41267-022-00566-y</w:t>
        </w:r>
      </w:hyperlink>
      <w:r w:rsidRPr="00D213B5">
        <w:rPr>
          <w:rFonts w:ascii="Arial" w:hAnsi="Arial" w:cs="Arial"/>
          <w:sz w:val="22"/>
          <w:szCs w:val="22"/>
        </w:rPr>
        <w:t xml:space="preserve"> (Accessed: 21/10/2025).</w:t>
      </w:r>
    </w:p>
    <w:p w14:paraId="29874896" w14:textId="77777777" w:rsidR="00167B3D" w:rsidRPr="00D213B5" w:rsidRDefault="00167B3D" w:rsidP="00D213B5">
      <w:pPr>
        <w:spacing w:after="0" w:line="360" w:lineRule="auto"/>
        <w:rPr>
          <w:rFonts w:ascii="Arial" w:hAnsi="Arial" w:cs="Arial"/>
          <w:sz w:val="22"/>
          <w:szCs w:val="22"/>
        </w:rPr>
      </w:pPr>
    </w:p>
    <w:p w14:paraId="6125E656"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Hitt, M.A., Ireland, R.D. and </w:t>
      </w:r>
      <w:proofErr w:type="spellStart"/>
      <w:r w:rsidRPr="00D213B5">
        <w:rPr>
          <w:rFonts w:ascii="Arial" w:hAnsi="Arial" w:cs="Arial"/>
          <w:sz w:val="22"/>
          <w:szCs w:val="22"/>
        </w:rPr>
        <w:t>Hoskisson</w:t>
      </w:r>
      <w:proofErr w:type="spellEnd"/>
      <w:r w:rsidRPr="00D213B5">
        <w:rPr>
          <w:rFonts w:ascii="Arial" w:hAnsi="Arial" w:cs="Arial"/>
          <w:sz w:val="22"/>
          <w:szCs w:val="22"/>
        </w:rPr>
        <w:t xml:space="preserve">, R.E. (2019) </w:t>
      </w:r>
      <w:r w:rsidRPr="00D213B5">
        <w:rPr>
          <w:rFonts w:ascii="Arial" w:hAnsi="Arial" w:cs="Arial"/>
          <w:i/>
          <w:iCs/>
          <w:sz w:val="22"/>
          <w:szCs w:val="22"/>
        </w:rPr>
        <w:t>Strategic Management: Competitiveness and Globalization – Concepts and Cases</w:t>
      </w:r>
      <w:r w:rsidRPr="00D213B5">
        <w:rPr>
          <w:rFonts w:ascii="Arial" w:hAnsi="Arial" w:cs="Arial"/>
          <w:sz w:val="22"/>
          <w:szCs w:val="22"/>
        </w:rPr>
        <w:t>. Boston: Cengage Learning.</w:t>
      </w:r>
    </w:p>
    <w:p w14:paraId="66DB10AA" w14:textId="77777777" w:rsidR="00167B3D" w:rsidRPr="00D213B5" w:rsidRDefault="00167B3D" w:rsidP="00D213B5">
      <w:pPr>
        <w:spacing w:after="0" w:line="360" w:lineRule="auto"/>
        <w:rPr>
          <w:rFonts w:ascii="Arial" w:hAnsi="Arial" w:cs="Arial"/>
          <w:sz w:val="22"/>
          <w:szCs w:val="22"/>
        </w:rPr>
      </w:pPr>
    </w:p>
    <w:p w14:paraId="060269A5"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Hofmann, C. et al. (2021) </w:t>
      </w:r>
      <w:r w:rsidRPr="00D213B5">
        <w:rPr>
          <w:rFonts w:ascii="Arial" w:hAnsi="Arial" w:cs="Arial"/>
          <w:i/>
          <w:iCs/>
          <w:sz w:val="22"/>
          <w:szCs w:val="22"/>
        </w:rPr>
        <w:t>Changing automotive work environment: Job effects in Germany until 2030</w:t>
      </w:r>
      <w:r w:rsidRPr="00D213B5">
        <w:rPr>
          <w:rFonts w:ascii="Arial" w:hAnsi="Arial" w:cs="Arial"/>
          <w:sz w:val="22"/>
          <w:szCs w:val="22"/>
        </w:rPr>
        <w:t xml:space="preserve">. Berlin: Agora </w:t>
      </w:r>
      <w:proofErr w:type="spellStart"/>
      <w:r w:rsidRPr="00D213B5">
        <w:rPr>
          <w:rFonts w:ascii="Arial" w:hAnsi="Arial" w:cs="Arial"/>
          <w:sz w:val="22"/>
          <w:szCs w:val="22"/>
        </w:rPr>
        <w:t>Verkehrswende</w:t>
      </w:r>
      <w:proofErr w:type="spellEnd"/>
      <w:r w:rsidRPr="00D213B5">
        <w:rPr>
          <w:rFonts w:ascii="Arial" w:hAnsi="Arial" w:cs="Arial"/>
          <w:sz w:val="22"/>
          <w:szCs w:val="22"/>
        </w:rPr>
        <w:t xml:space="preserve">. Available at: </w:t>
      </w:r>
      <w:hyperlink r:id="rId40" w:tgtFrame="_blank" w:history="1">
        <w:r w:rsidRPr="00D213B5">
          <w:rPr>
            <w:rStyle w:val="Hyperlink"/>
            <w:rFonts w:ascii="Arial" w:hAnsi="Arial" w:cs="Arial"/>
            <w:color w:val="auto"/>
            <w:sz w:val="22"/>
            <w:szCs w:val="22"/>
          </w:rPr>
          <w:t>https://www.agora-verkehrswende.de/fileadmin/Projekte/2021/BCG-Jobstudie/2021-07-01_E-mobility-Report_Results-Germany_EN.pdf</w:t>
        </w:r>
      </w:hyperlink>
      <w:r w:rsidRPr="00D213B5">
        <w:rPr>
          <w:rFonts w:ascii="Arial" w:hAnsi="Arial" w:cs="Arial"/>
          <w:sz w:val="22"/>
          <w:szCs w:val="22"/>
        </w:rPr>
        <w:t xml:space="preserve"> (Accessed: 18/11/2025).</w:t>
      </w:r>
    </w:p>
    <w:p w14:paraId="173F7E97" w14:textId="77777777" w:rsidR="00167B3D" w:rsidRPr="00D213B5" w:rsidRDefault="00167B3D" w:rsidP="00D213B5">
      <w:pPr>
        <w:spacing w:after="0" w:line="360" w:lineRule="auto"/>
        <w:rPr>
          <w:rFonts w:ascii="Arial" w:hAnsi="Arial" w:cs="Arial"/>
          <w:sz w:val="22"/>
          <w:szCs w:val="22"/>
        </w:rPr>
      </w:pPr>
    </w:p>
    <w:p w14:paraId="5BB76B44"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Hofstede, G. (1991) </w:t>
      </w:r>
      <w:r w:rsidRPr="00D213B5">
        <w:rPr>
          <w:rFonts w:ascii="Arial" w:hAnsi="Arial" w:cs="Arial"/>
          <w:i/>
          <w:iCs/>
          <w:sz w:val="22"/>
          <w:szCs w:val="22"/>
        </w:rPr>
        <w:t>Cultures and Organizations: Software of the Mind</w:t>
      </w:r>
      <w:r w:rsidRPr="00D213B5">
        <w:rPr>
          <w:rFonts w:ascii="Arial" w:hAnsi="Arial" w:cs="Arial"/>
          <w:sz w:val="22"/>
          <w:szCs w:val="22"/>
        </w:rPr>
        <w:t>. London: McGraw-Hill.</w:t>
      </w:r>
    </w:p>
    <w:p w14:paraId="0EE2709B" w14:textId="77777777" w:rsidR="00167B3D" w:rsidRPr="00D213B5" w:rsidRDefault="00167B3D" w:rsidP="00D213B5">
      <w:pPr>
        <w:spacing w:after="0" w:line="360" w:lineRule="auto"/>
        <w:rPr>
          <w:rFonts w:ascii="Arial" w:hAnsi="Arial" w:cs="Arial"/>
          <w:sz w:val="22"/>
          <w:szCs w:val="22"/>
        </w:rPr>
      </w:pPr>
    </w:p>
    <w:p w14:paraId="269AFF93"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Hofstede, G., Hofstede, G.J. and Minkov, M. (2010) </w:t>
      </w:r>
      <w:r w:rsidRPr="00D213B5">
        <w:rPr>
          <w:rFonts w:ascii="Arial" w:hAnsi="Arial" w:cs="Arial"/>
          <w:i/>
          <w:iCs/>
          <w:sz w:val="22"/>
          <w:szCs w:val="22"/>
        </w:rPr>
        <w:t>Cultures and Organizations: Software of the Mind</w:t>
      </w:r>
      <w:r w:rsidRPr="00D213B5">
        <w:rPr>
          <w:rFonts w:ascii="Arial" w:hAnsi="Arial" w:cs="Arial"/>
          <w:sz w:val="22"/>
          <w:szCs w:val="22"/>
        </w:rPr>
        <w:t xml:space="preserve">. 3rd </w:t>
      </w:r>
      <w:proofErr w:type="spellStart"/>
      <w:r w:rsidRPr="00D213B5">
        <w:rPr>
          <w:rFonts w:ascii="Arial" w:hAnsi="Arial" w:cs="Arial"/>
          <w:sz w:val="22"/>
          <w:szCs w:val="22"/>
        </w:rPr>
        <w:t>edn</w:t>
      </w:r>
      <w:proofErr w:type="spellEnd"/>
      <w:r w:rsidRPr="00D213B5">
        <w:rPr>
          <w:rFonts w:ascii="Arial" w:hAnsi="Arial" w:cs="Arial"/>
          <w:sz w:val="22"/>
          <w:szCs w:val="22"/>
        </w:rPr>
        <w:t>. New York: McGraw-Hill.</w:t>
      </w:r>
    </w:p>
    <w:p w14:paraId="39DFCE2F" w14:textId="77777777" w:rsidR="00167B3D" w:rsidRPr="00D213B5" w:rsidRDefault="00167B3D" w:rsidP="00D213B5">
      <w:pPr>
        <w:spacing w:after="0" w:line="360" w:lineRule="auto"/>
        <w:rPr>
          <w:rFonts w:ascii="Arial" w:hAnsi="Arial" w:cs="Arial"/>
          <w:sz w:val="22"/>
          <w:szCs w:val="22"/>
        </w:rPr>
      </w:pPr>
    </w:p>
    <w:p w14:paraId="234B6526"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House, R. et al. (2014) </w:t>
      </w:r>
      <w:r w:rsidRPr="00D213B5">
        <w:rPr>
          <w:rFonts w:ascii="Arial" w:hAnsi="Arial" w:cs="Arial"/>
          <w:i/>
          <w:iCs/>
          <w:sz w:val="22"/>
          <w:szCs w:val="22"/>
        </w:rPr>
        <w:t>Culture, Leadership, and Organizations: The GLOBE Study of 62 Societies</w:t>
      </w:r>
      <w:r w:rsidRPr="00D213B5">
        <w:rPr>
          <w:rFonts w:ascii="Arial" w:hAnsi="Arial" w:cs="Arial"/>
          <w:sz w:val="22"/>
          <w:szCs w:val="22"/>
        </w:rPr>
        <w:t xml:space="preserve">. SAGE Publications. Available at: </w:t>
      </w:r>
      <w:hyperlink r:id="rId41" w:tgtFrame="_blank" w:history="1">
        <w:r w:rsidRPr="00D213B5">
          <w:rPr>
            <w:rStyle w:val="Hyperlink"/>
            <w:rFonts w:ascii="Arial" w:hAnsi="Arial" w:cs="Arial"/>
            <w:color w:val="auto"/>
            <w:sz w:val="22"/>
            <w:szCs w:val="22"/>
          </w:rPr>
          <w:t>https://us.sagepub.com/en-us/nam/culture-leadership-and-organizations/book117616</w:t>
        </w:r>
      </w:hyperlink>
      <w:r w:rsidRPr="00D213B5">
        <w:rPr>
          <w:rFonts w:ascii="Arial" w:hAnsi="Arial" w:cs="Arial"/>
          <w:sz w:val="22"/>
          <w:szCs w:val="22"/>
        </w:rPr>
        <w:t xml:space="preserve"> (Accessed: 19/11/2025).</w:t>
      </w:r>
    </w:p>
    <w:p w14:paraId="3FC63A93" w14:textId="77777777" w:rsidR="00167B3D" w:rsidRPr="00D213B5" w:rsidRDefault="00167B3D" w:rsidP="00D213B5">
      <w:pPr>
        <w:spacing w:after="0" w:line="360" w:lineRule="auto"/>
        <w:rPr>
          <w:rFonts w:ascii="Arial" w:hAnsi="Arial" w:cs="Arial"/>
          <w:sz w:val="22"/>
          <w:szCs w:val="22"/>
        </w:rPr>
      </w:pPr>
    </w:p>
    <w:p w14:paraId="1E7425DE" w14:textId="77777777" w:rsidR="00D213B5" w:rsidRPr="00D213B5" w:rsidRDefault="00D213B5" w:rsidP="00D213B5">
      <w:pPr>
        <w:spacing w:after="0" w:line="360" w:lineRule="auto"/>
        <w:rPr>
          <w:rFonts w:ascii="Arial" w:hAnsi="Arial" w:cs="Arial"/>
          <w:sz w:val="22"/>
          <w:szCs w:val="22"/>
        </w:rPr>
      </w:pPr>
      <w:proofErr w:type="spellStart"/>
      <w:r w:rsidRPr="00D213B5">
        <w:rPr>
          <w:rFonts w:ascii="Arial" w:hAnsi="Arial" w:cs="Arial"/>
          <w:sz w:val="22"/>
          <w:szCs w:val="22"/>
        </w:rPr>
        <w:t>Hutzschenreuter</w:t>
      </w:r>
      <w:proofErr w:type="spellEnd"/>
      <w:r w:rsidRPr="00D213B5">
        <w:rPr>
          <w:rFonts w:ascii="Arial" w:hAnsi="Arial" w:cs="Arial"/>
          <w:sz w:val="22"/>
          <w:szCs w:val="22"/>
        </w:rPr>
        <w:t xml:space="preserve">, T., Kleindienst, I. and Lange, S. (2020) ‘Cultural distance and entry mode performance: The moderating role of experience’, </w:t>
      </w:r>
      <w:r w:rsidRPr="00D213B5">
        <w:rPr>
          <w:rFonts w:ascii="Arial" w:hAnsi="Arial" w:cs="Arial"/>
          <w:i/>
          <w:iCs/>
          <w:sz w:val="22"/>
          <w:szCs w:val="22"/>
        </w:rPr>
        <w:t>International Business Review</w:t>
      </w:r>
      <w:r w:rsidRPr="00D213B5">
        <w:rPr>
          <w:rFonts w:ascii="Arial" w:hAnsi="Arial" w:cs="Arial"/>
          <w:sz w:val="22"/>
          <w:szCs w:val="22"/>
        </w:rPr>
        <w:t xml:space="preserve">, 29(5), p. 101731. Available at: </w:t>
      </w:r>
      <w:hyperlink r:id="rId42" w:tgtFrame="_blank" w:history="1">
        <w:r w:rsidRPr="00D213B5">
          <w:rPr>
            <w:rStyle w:val="Hyperlink"/>
            <w:rFonts w:ascii="Arial" w:hAnsi="Arial" w:cs="Arial"/>
            <w:color w:val="auto"/>
            <w:sz w:val="22"/>
            <w:szCs w:val="22"/>
          </w:rPr>
          <w:t>https://doi.org/10.1016/j.ibusrev.2020.101731</w:t>
        </w:r>
      </w:hyperlink>
      <w:r w:rsidRPr="00D213B5">
        <w:rPr>
          <w:rFonts w:ascii="Arial" w:hAnsi="Arial" w:cs="Arial"/>
          <w:sz w:val="22"/>
          <w:szCs w:val="22"/>
        </w:rPr>
        <w:t xml:space="preserve"> (Accessed: 19/11/2025).</w:t>
      </w:r>
    </w:p>
    <w:p w14:paraId="68DD7EED"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lastRenderedPageBreak/>
        <w:t xml:space="preserve">Johanson, J. and Vahlne, J.E. (2017) ‘The internationalization process of the firm—a model revisited’, </w:t>
      </w:r>
      <w:r w:rsidRPr="00D213B5">
        <w:rPr>
          <w:rFonts w:ascii="Arial" w:hAnsi="Arial" w:cs="Arial"/>
          <w:i/>
          <w:iCs/>
          <w:sz w:val="22"/>
          <w:szCs w:val="22"/>
        </w:rPr>
        <w:t>Journal of International Business Studies</w:t>
      </w:r>
      <w:r w:rsidRPr="00D213B5">
        <w:rPr>
          <w:rFonts w:ascii="Arial" w:hAnsi="Arial" w:cs="Arial"/>
          <w:sz w:val="22"/>
          <w:szCs w:val="22"/>
        </w:rPr>
        <w:t xml:space="preserve">, 48(9), pp. 1411–1431. Available at: </w:t>
      </w:r>
      <w:hyperlink r:id="rId43" w:tgtFrame="_blank" w:history="1">
        <w:r w:rsidRPr="00D213B5">
          <w:rPr>
            <w:rStyle w:val="Hyperlink"/>
            <w:rFonts w:ascii="Arial" w:hAnsi="Arial" w:cs="Arial"/>
            <w:color w:val="auto"/>
            <w:sz w:val="22"/>
            <w:szCs w:val="22"/>
          </w:rPr>
          <w:t>https://link.springer.com/article/10.1057/s41267-017-0106-8</w:t>
        </w:r>
      </w:hyperlink>
      <w:r w:rsidRPr="00D213B5">
        <w:rPr>
          <w:rFonts w:ascii="Arial" w:hAnsi="Arial" w:cs="Arial"/>
          <w:sz w:val="22"/>
          <w:szCs w:val="22"/>
        </w:rPr>
        <w:t xml:space="preserve"> (Accessed: 21/10/2025).</w:t>
      </w:r>
    </w:p>
    <w:p w14:paraId="5286E6C2" w14:textId="77777777" w:rsidR="00167B3D" w:rsidRPr="00D213B5" w:rsidRDefault="00167B3D" w:rsidP="00D213B5">
      <w:pPr>
        <w:spacing w:after="0" w:line="360" w:lineRule="auto"/>
        <w:rPr>
          <w:rFonts w:ascii="Arial" w:hAnsi="Arial" w:cs="Arial"/>
          <w:sz w:val="22"/>
          <w:szCs w:val="22"/>
        </w:rPr>
      </w:pPr>
    </w:p>
    <w:p w14:paraId="145B3CAA" w14:textId="77777777" w:rsidR="00D213B5" w:rsidRDefault="00D213B5" w:rsidP="00D213B5">
      <w:pPr>
        <w:spacing w:after="0" w:line="360" w:lineRule="auto"/>
        <w:rPr>
          <w:rFonts w:ascii="Arial" w:hAnsi="Arial" w:cs="Arial"/>
          <w:sz w:val="22"/>
          <w:szCs w:val="22"/>
        </w:rPr>
      </w:pPr>
      <w:proofErr w:type="spellStart"/>
      <w:r w:rsidRPr="00D213B5">
        <w:rPr>
          <w:rFonts w:ascii="Arial" w:hAnsi="Arial" w:cs="Arial"/>
          <w:sz w:val="22"/>
          <w:szCs w:val="22"/>
        </w:rPr>
        <w:t>Lampón</w:t>
      </w:r>
      <w:proofErr w:type="spellEnd"/>
      <w:r w:rsidRPr="00D213B5">
        <w:rPr>
          <w:rFonts w:ascii="Arial" w:hAnsi="Arial" w:cs="Arial"/>
          <w:sz w:val="22"/>
          <w:szCs w:val="22"/>
        </w:rPr>
        <w:t xml:space="preserve">, J.F., </w:t>
      </w:r>
      <w:proofErr w:type="spellStart"/>
      <w:r w:rsidRPr="00D213B5">
        <w:rPr>
          <w:rFonts w:ascii="Arial" w:hAnsi="Arial" w:cs="Arial"/>
          <w:sz w:val="22"/>
          <w:szCs w:val="22"/>
        </w:rPr>
        <w:t>Cabanelas</w:t>
      </w:r>
      <w:proofErr w:type="spellEnd"/>
      <w:r w:rsidRPr="00D213B5">
        <w:rPr>
          <w:rFonts w:ascii="Arial" w:hAnsi="Arial" w:cs="Arial"/>
          <w:sz w:val="22"/>
          <w:szCs w:val="22"/>
        </w:rPr>
        <w:t xml:space="preserve">, P. and González Benito, J. (2017) ‘The impact of modular platforms on automobile manufacturing networks’, </w:t>
      </w:r>
      <w:r w:rsidRPr="00D213B5">
        <w:rPr>
          <w:rFonts w:ascii="Arial" w:hAnsi="Arial" w:cs="Arial"/>
          <w:i/>
          <w:iCs/>
          <w:sz w:val="22"/>
          <w:szCs w:val="22"/>
        </w:rPr>
        <w:t>Production Planning &amp; Control</w:t>
      </w:r>
      <w:r w:rsidRPr="00D213B5">
        <w:rPr>
          <w:rFonts w:ascii="Arial" w:hAnsi="Arial" w:cs="Arial"/>
          <w:sz w:val="22"/>
          <w:szCs w:val="22"/>
        </w:rPr>
        <w:t xml:space="preserve">, 28(10), pp. 827–839. Available at: </w:t>
      </w:r>
      <w:hyperlink r:id="rId44" w:tgtFrame="_blank" w:history="1">
        <w:r w:rsidRPr="00D213B5">
          <w:rPr>
            <w:rStyle w:val="Hyperlink"/>
            <w:rFonts w:ascii="Arial" w:hAnsi="Arial" w:cs="Arial"/>
            <w:color w:val="auto"/>
            <w:sz w:val="22"/>
            <w:szCs w:val="22"/>
          </w:rPr>
          <w:t>https://doi.org/10.1080/09537287.2017.1287442</w:t>
        </w:r>
      </w:hyperlink>
      <w:r w:rsidRPr="00D213B5">
        <w:rPr>
          <w:rFonts w:ascii="Arial" w:hAnsi="Arial" w:cs="Arial"/>
          <w:sz w:val="22"/>
          <w:szCs w:val="22"/>
        </w:rPr>
        <w:t xml:space="preserve"> (Accessed: 18/11/2025).</w:t>
      </w:r>
    </w:p>
    <w:p w14:paraId="331F440D" w14:textId="77777777" w:rsidR="00167B3D" w:rsidRPr="00D213B5" w:rsidRDefault="00167B3D" w:rsidP="00D213B5">
      <w:pPr>
        <w:spacing w:after="0" w:line="360" w:lineRule="auto"/>
        <w:rPr>
          <w:rFonts w:ascii="Arial" w:hAnsi="Arial" w:cs="Arial"/>
          <w:sz w:val="22"/>
          <w:szCs w:val="22"/>
        </w:rPr>
      </w:pPr>
    </w:p>
    <w:p w14:paraId="0B33152F"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Lins, K.V., Servaes, H. and Tamayo, A. (2017) ‘Social capital, trust, and firm performance: The value of corporate liquidity during financial crises’, </w:t>
      </w:r>
      <w:r w:rsidRPr="00D213B5">
        <w:rPr>
          <w:rFonts w:ascii="Arial" w:hAnsi="Arial" w:cs="Arial"/>
          <w:i/>
          <w:iCs/>
          <w:sz w:val="22"/>
          <w:szCs w:val="22"/>
        </w:rPr>
        <w:t>The Journal of Finance</w:t>
      </w:r>
      <w:r w:rsidRPr="00D213B5">
        <w:rPr>
          <w:rFonts w:ascii="Arial" w:hAnsi="Arial" w:cs="Arial"/>
          <w:sz w:val="22"/>
          <w:szCs w:val="22"/>
        </w:rPr>
        <w:t xml:space="preserve">, 72(4), pp. 1785–1824. Available at: </w:t>
      </w:r>
      <w:hyperlink r:id="rId45" w:tgtFrame="_blank" w:history="1">
        <w:r w:rsidRPr="00D213B5">
          <w:rPr>
            <w:rStyle w:val="Hyperlink"/>
            <w:rFonts w:ascii="Arial" w:hAnsi="Arial" w:cs="Arial"/>
            <w:color w:val="auto"/>
            <w:sz w:val="22"/>
            <w:szCs w:val="22"/>
          </w:rPr>
          <w:t>https://doi.org/10.1111/jofi.12505</w:t>
        </w:r>
      </w:hyperlink>
      <w:r w:rsidRPr="00D213B5">
        <w:rPr>
          <w:rFonts w:ascii="Arial" w:hAnsi="Arial" w:cs="Arial"/>
          <w:sz w:val="22"/>
          <w:szCs w:val="22"/>
        </w:rPr>
        <w:t xml:space="preserve"> (Accessed: 21/11/2025).</w:t>
      </w:r>
    </w:p>
    <w:p w14:paraId="15D5CE23" w14:textId="77777777" w:rsidR="00167B3D" w:rsidRPr="00D213B5" w:rsidRDefault="00167B3D" w:rsidP="00D213B5">
      <w:pPr>
        <w:spacing w:after="0" w:line="360" w:lineRule="auto"/>
        <w:rPr>
          <w:rFonts w:ascii="Arial" w:hAnsi="Arial" w:cs="Arial"/>
          <w:sz w:val="22"/>
          <w:szCs w:val="22"/>
        </w:rPr>
      </w:pPr>
    </w:p>
    <w:p w14:paraId="41C0743B"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Liu, C. et al. (2024) ‘Impact of global value chain on China’s automobile industry upgrading’, </w:t>
      </w:r>
      <w:r w:rsidRPr="00D213B5">
        <w:rPr>
          <w:rFonts w:ascii="Arial" w:hAnsi="Arial" w:cs="Arial"/>
          <w:i/>
          <w:iCs/>
          <w:sz w:val="22"/>
          <w:szCs w:val="22"/>
        </w:rPr>
        <w:t>Asian Journal of Business Research</w:t>
      </w:r>
      <w:r w:rsidRPr="00D213B5">
        <w:rPr>
          <w:rFonts w:ascii="Arial" w:hAnsi="Arial" w:cs="Arial"/>
          <w:sz w:val="22"/>
          <w:szCs w:val="22"/>
        </w:rPr>
        <w:t xml:space="preserve">, 14(3), pp. 222–234. Available at: </w:t>
      </w:r>
      <w:hyperlink r:id="rId46" w:tgtFrame="_blank" w:history="1">
        <w:r w:rsidRPr="00D213B5">
          <w:rPr>
            <w:rStyle w:val="Hyperlink"/>
            <w:rFonts w:ascii="Arial" w:hAnsi="Arial" w:cs="Arial"/>
            <w:color w:val="auto"/>
            <w:sz w:val="22"/>
            <w:szCs w:val="22"/>
          </w:rPr>
          <w:t>https://ajbr.co.nz/ajbr/ajbr250196.pdf</w:t>
        </w:r>
      </w:hyperlink>
      <w:r w:rsidRPr="00D213B5">
        <w:rPr>
          <w:rFonts w:ascii="Arial" w:hAnsi="Arial" w:cs="Arial"/>
          <w:sz w:val="22"/>
          <w:szCs w:val="22"/>
        </w:rPr>
        <w:t xml:space="preserve"> (Accessed: 18/11/2025).</w:t>
      </w:r>
    </w:p>
    <w:p w14:paraId="491281A3" w14:textId="77777777" w:rsidR="00167B3D" w:rsidRPr="00D213B5" w:rsidRDefault="00167B3D" w:rsidP="00D213B5">
      <w:pPr>
        <w:spacing w:after="0" w:line="360" w:lineRule="auto"/>
        <w:rPr>
          <w:rFonts w:ascii="Arial" w:hAnsi="Arial" w:cs="Arial"/>
          <w:sz w:val="22"/>
          <w:szCs w:val="22"/>
        </w:rPr>
      </w:pPr>
    </w:p>
    <w:p w14:paraId="0F37D234"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Meyer, K. and Benito, G.R.G. (2020) </w:t>
      </w:r>
      <w:r w:rsidRPr="00D213B5">
        <w:rPr>
          <w:rFonts w:ascii="Arial" w:hAnsi="Arial" w:cs="Arial"/>
          <w:i/>
          <w:iCs/>
          <w:sz w:val="22"/>
          <w:szCs w:val="22"/>
        </w:rPr>
        <w:t>International Business Strategy</w:t>
      </w:r>
      <w:r w:rsidRPr="00D213B5">
        <w:rPr>
          <w:rFonts w:ascii="Arial" w:hAnsi="Arial" w:cs="Arial"/>
          <w:sz w:val="22"/>
          <w:szCs w:val="22"/>
        </w:rPr>
        <w:t xml:space="preserve">. 4th </w:t>
      </w:r>
      <w:proofErr w:type="spellStart"/>
      <w:r w:rsidRPr="00D213B5">
        <w:rPr>
          <w:rFonts w:ascii="Arial" w:hAnsi="Arial" w:cs="Arial"/>
          <w:sz w:val="22"/>
          <w:szCs w:val="22"/>
        </w:rPr>
        <w:t>edn</w:t>
      </w:r>
      <w:proofErr w:type="spellEnd"/>
      <w:r w:rsidRPr="00D213B5">
        <w:rPr>
          <w:rFonts w:ascii="Arial" w:hAnsi="Arial" w:cs="Arial"/>
          <w:sz w:val="22"/>
          <w:szCs w:val="22"/>
        </w:rPr>
        <w:t xml:space="preserve">. Cambridge: Cambridge University Press. Available at: </w:t>
      </w:r>
      <w:hyperlink r:id="rId47" w:tgtFrame="_blank" w:history="1">
        <w:r w:rsidRPr="00D213B5">
          <w:rPr>
            <w:rStyle w:val="Hyperlink"/>
            <w:rFonts w:ascii="Arial" w:hAnsi="Arial" w:cs="Arial"/>
            <w:color w:val="auto"/>
            <w:sz w:val="22"/>
            <w:szCs w:val="22"/>
          </w:rPr>
          <w:t>https://www.cambridge.org/core/books/international-business-strategy/9781108649329</w:t>
        </w:r>
      </w:hyperlink>
      <w:r w:rsidRPr="00D213B5">
        <w:rPr>
          <w:rFonts w:ascii="Arial" w:hAnsi="Arial" w:cs="Arial"/>
          <w:sz w:val="22"/>
          <w:szCs w:val="22"/>
        </w:rPr>
        <w:t xml:space="preserve"> (Accessed: 18/11/2025).</w:t>
      </w:r>
    </w:p>
    <w:p w14:paraId="4A4C4336" w14:textId="77777777" w:rsidR="00167B3D" w:rsidRPr="00D213B5" w:rsidRDefault="00167B3D" w:rsidP="00D213B5">
      <w:pPr>
        <w:spacing w:after="0" w:line="360" w:lineRule="auto"/>
        <w:rPr>
          <w:rFonts w:ascii="Arial" w:hAnsi="Arial" w:cs="Arial"/>
          <w:sz w:val="22"/>
          <w:szCs w:val="22"/>
        </w:rPr>
      </w:pPr>
    </w:p>
    <w:p w14:paraId="6B87D567"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Minkov, M. and Kaasa, A. (2022) ‘Do dimensions of culture exist objectively?’, </w:t>
      </w:r>
      <w:r w:rsidRPr="00D213B5">
        <w:rPr>
          <w:rFonts w:ascii="Arial" w:hAnsi="Arial" w:cs="Arial"/>
          <w:i/>
          <w:iCs/>
          <w:sz w:val="22"/>
          <w:szCs w:val="22"/>
        </w:rPr>
        <w:t>Journal of International Management</w:t>
      </w:r>
      <w:r w:rsidRPr="00D213B5">
        <w:rPr>
          <w:rFonts w:ascii="Arial" w:hAnsi="Arial" w:cs="Arial"/>
          <w:sz w:val="22"/>
          <w:szCs w:val="22"/>
        </w:rPr>
        <w:t xml:space="preserve">, 28(4), p. 100971. Available at: </w:t>
      </w:r>
      <w:hyperlink r:id="rId48" w:tgtFrame="_blank" w:history="1">
        <w:r w:rsidRPr="00D213B5">
          <w:rPr>
            <w:rStyle w:val="Hyperlink"/>
            <w:rFonts w:ascii="Arial" w:hAnsi="Arial" w:cs="Arial"/>
            <w:color w:val="auto"/>
            <w:sz w:val="22"/>
            <w:szCs w:val="22"/>
          </w:rPr>
          <w:t>https://doi.org/10.1016/j.intman.2022.100971</w:t>
        </w:r>
      </w:hyperlink>
      <w:r w:rsidRPr="00D213B5">
        <w:rPr>
          <w:rFonts w:ascii="Arial" w:hAnsi="Arial" w:cs="Arial"/>
          <w:sz w:val="22"/>
          <w:szCs w:val="22"/>
        </w:rPr>
        <w:t xml:space="preserve"> (Accessed: 19/11/2025).</w:t>
      </w:r>
    </w:p>
    <w:p w14:paraId="2E759B10" w14:textId="77777777" w:rsidR="00167B3D" w:rsidRPr="00D213B5" w:rsidRDefault="00167B3D" w:rsidP="00D213B5">
      <w:pPr>
        <w:spacing w:after="0" w:line="360" w:lineRule="auto"/>
        <w:rPr>
          <w:rFonts w:ascii="Arial" w:hAnsi="Arial" w:cs="Arial"/>
          <w:sz w:val="22"/>
          <w:szCs w:val="22"/>
        </w:rPr>
      </w:pPr>
    </w:p>
    <w:p w14:paraId="5512B951" w14:textId="77777777" w:rsidR="00D213B5" w:rsidRP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Narula, R. (2022) </w:t>
      </w:r>
      <w:r w:rsidRPr="00D213B5">
        <w:rPr>
          <w:rFonts w:ascii="Arial" w:hAnsi="Arial" w:cs="Arial"/>
          <w:i/>
          <w:iCs/>
          <w:sz w:val="22"/>
          <w:szCs w:val="22"/>
        </w:rPr>
        <w:t>International Business: Globalization and Emerging Markets</w:t>
      </w:r>
      <w:r w:rsidRPr="00D213B5">
        <w:rPr>
          <w:rFonts w:ascii="Arial" w:hAnsi="Arial" w:cs="Arial"/>
          <w:sz w:val="22"/>
          <w:szCs w:val="22"/>
        </w:rPr>
        <w:t>. Oxford: Oxford University Press.</w:t>
      </w:r>
    </w:p>
    <w:p w14:paraId="4A5C3DA7"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Porter, M.E. (1990) </w:t>
      </w:r>
      <w:r w:rsidRPr="00D213B5">
        <w:rPr>
          <w:rFonts w:ascii="Arial" w:hAnsi="Arial" w:cs="Arial"/>
          <w:i/>
          <w:iCs/>
          <w:sz w:val="22"/>
          <w:szCs w:val="22"/>
        </w:rPr>
        <w:t>The Competitive Advantage of Nations</w:t>
      </w:r>
      <w:r w:rsidRPr="00D213B5">
        <w:rPr>
          <w:rFonts w:ascii="Arial" w:hAnsi="Arial" w:cs="Arial"/>
          <w:sz w:val="22"/>
          <w:szCs w:val="22"/>
        </w:rPr>
        <w:t xml:space="preserve">. New York: Free Press. Available at: </w:t>
      </w:r>
      <w:hyperlink r:id="rId49" w:tgtFrame="_blank" w:history="1">
        <w:r w:rsidRPr="00D213B5">
          <w:rPr>
            <w:rStyle w:val="Hyperlink"/>
            <w:rFonts w:ascii="Arial" w:hAnsi="Arial" w:cs="Arial"/>
            <w:color w:val="auto"/>
            <w:sz w:val="22"/>
            <w:szCs w:val="22"/>
          </w:rPr>
          <w:t>https://hbr.org/1990/03/the-competitive-advantage-of-nations</w:t>
        </w:r>
      </w:hyperlink>
      <w:r w:rsidRPr="00D213B5">
        <w:rPr>
          <w:rFonts w:ascii="Arial" w:hAnsi="Arial" w:cs="Arial"/>
          <w:sz w:val="22"/>
          <w:szCs w:val="22"/>
        </w:rPr>
        <w:t xml:space="preserve"> (Accessed: 21/10/2025).</w:t>
      </w:r>
    </w:p>
    <w:p w14:paraId="2645490A" w14:textId="77777777" w:rsidR="00167B3D" w:rsidRPr="00D213B5" w:rsidRDefault="00167B3D" w:rsidP="00D213B5">
      <w:pPr>
        <w:spacing w:after="0" w:line="360" w:lineRule="auto"/>
        <w:rPr>
          <w:rFonts w:ascii="Arial" w:hAnsi="Arial" w:cs="Arial"/>
          <w:sz w:val="22"/>
          <w:szCs w:val="22"/>
        </w:rPr>
      </w:pPr>
    </w:p>
    <w:p w14:paraId="4FB618B8"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Reuters (2024) ‘Volkswagen cuts 2024 outlook as car demand falters’, </w:t>
      </w:r>
      <w:r w:rsidRPr="00D213B5">
        <w:rPr>
          <w:rFonts w:ascii="Arial" w:hAnsi="Arial" w:cs="Arial"/>
          <w:i/>
          <w:iCs/>
          <w:sz w:val="22"/>
          <w:szCs w:val="22"/>
        </w:rPr>
        <w:t>Reuters</w:t>
      </w:r>
      <w:r w:rsidRPr="00D213B5">
        <w:rPr>
          <w:rFonts w:ascii="Arial" w:hAnsi="Arial" w:cs="Arial"/>
          <w:sz w:val="22"/>
          <w:szCs w:val="22"/>
        </w:rPr>
        <w:t xml:space="preserve">, 27 September. Available at: </w:t>
      </w:r>
      <w:hyperlink r:id="rId50" w:tgtFrame="_blank" w:history="1">
        <w:r w:rsidRPr="00D213B5">
          <w:rPr>
            <w:rStyle w:val="Hyperlink"/>
            <w:rFonts w:ascii="Arial" w:hAnsi="Arial" w:cs="Arial"/>
            <w:color w:val="auto"/>
            <w:sz w:val="22"/>
            <w:szCs w:val="22"/>
          </w:rPr>
          <w:t>https://www.reuters.com/business/autos-transportation/volkswagen-cuts-2024-outlook-macroeconomic-headwinds-2024-09-27/</w:t>
        </w:r>
      </w:hyperlink>
      <w:r w:rsidRPr="00D213B5">
        <w:rPr>
          <w:rFonts w:ascii="Arial" w:hAnsi="Arial" w:cs="Arial"/>
          <w:sz w:val="22"/>
          <w:szCs w:val="22"/>
        </w:rPr>
        <w:t xml:space="preserve"> (Accessed: 18/11/2025).</w:t>
      </w:r>
    </w:p>
    <w:p w14:paraId="3875350C" w14:textId="77777777" w:rsidR="00167B3D" w:rsidRPr="00D213B5" w:rsidRDefault="00167B3D" w:rsidP="00D213B5">
      <w:pPr>
        <w:spacing w:after="0" w:line="360" w:lineRule="auto"/>
        <w:rPr>
          <w:rFonts w:ascii="Arial" w:hAnsi="Arial" w:cs="Arial"/>
          <w:sz w:val="22"/>
          <w:szCs w:val="22"/>
        </w:rPr>
      </w:pPr>
    </w:p>
    <w:p w14:paraId="17DF17A6" w14:textId="77777777" w:rsidR="00D213B5" w:rsidRPr="00D213B5" w:rsidRDefault="00D213B5" w:rsidP="00D213B5">
      <w:pPr>
        <w:spacing w:after="0" w:line="360" w:lineRule="auto"/>
        <w:rPr>
          <w:rFonts w:ascii="Arial" w:hAnsi="Arial" w:cs="Arial"/>
          <w:sz w:val="22"/>
          <w:szCs w:val="22"/>
        </w:rPr>
      </w:pPr>
      <w:proofErr w:type="spellStart"/>
      <w:r w:rsidRPr="00D213B5">
        <w:rPr>
          <w:rFonts w:ascii="Arial" w:hAnsi="Arial" w:cs="Arial"/>
          <w:sz w:val="22"/>
          <w:szCs w:val="22"/>
        </w:rPr>
        <w:t>Rugraff</w:t>
      </w:r>
      <w:proofErr w:type="spellEnd"/>
      <w:r w:rsidRPr="00D213B5">
        <w:rPr>
          <w:rFonts w:ascii="Arial" w:hAnsi="Arial" w:cs="Arial"/>
          <w:sz w:val="22"/>
          <w:szCs w:val="22"/>
        </w:rPr>
        <w:t xml:space="preserve">, E. and Hansen, M.W. (2021) </w:t>
      </w:r>
      <w:r w:rsidRPr="00D213B5">
        <w:rPr>
          <w:rFonts w:ascii="Arial" w:hAnsi="Arial" w:cs="Arial"/>
          <w:i/>
          <w:iCs/>
          <w:sz w:val="22"/>
          <w:szCs w:val="22"/>
        </w:rPr>
        <w:t>Multinational Enterprises and Economic Development in Host Countries</w:t>
      </w:r>
      <w:r w:rsidRPr="00D213B5">
        <w:rPr>
          <w:rFonts w:ascii="Arial" w:hAnsi="Arial" w:cs="Arial"/>
          <w:sz w:val="22"/>
          <w:szCs w:val="22"/>
        </w:rPr>
        <w:t>. London: Routledge.</w:t>
      </w:r>
    </w:p>
    <w:p w14:paraId="649AF5BF"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lastRenderedPageBreak/>
        <w:t xml:space="preserve">Shahbaz, M. et al. (2018) ‘Globalisation, economic growth and energy consumption in the BRICS region: the importance of asymmetries’, </w:t>
      </w:r>
      <w:r w:rsidRPr="00D213B5">
        <w:rPr>
          <w:rFonts w:ascii="Arial" w:hAnsi="Arial" w:cs="Arial"/>
          <w:i/>
          <w:iCs/>
          <w:sz w:val="22"/>
          <w:szCs w:val="22"/>
        </w:rPr>
        <w:t>Energy Policy</w:t>
      </w:r>
      <w:r w:rsidRPr="00D213B5">
        <w:rPr>
          <w:rFonts w:ascii="Arial" w:hAnsi="Arial" w:cs="Arial"/>
          <w:sz w:val="22"/>
          <w:szCs w:val="22"/>
        </w:rPr>
        <w:t xml:space="preserve">, 120, pp. 485–499. Available at: </w:t>
      </w:r>
      <w:hyperlink r:id="rId51" w:tgtFrame="_blank" w:history="1">
        <w:r w:rsidRPr="00D213B5">
          <w:rPr>
            <w:rStyle w:val="Hyperlink"/>
            <w:rFonts w:ascii="Arial" w:hAnsi="Arial" w:cs="Arial"/>
            <w:color w:val="auto"/>
            <w:sz w:val="22"/>
            <w:szCs w:val="22"/>
          </w:rPr>
          <w:t>https://doi.org/10.1016/j.enpol.2018.05.056</w:t>
        </w:r>
      </w:hyperlink>
      <w:r w:rsidRPr="00D213B5">
        <w:rPr>
          <w:rFonts w:ascii="Arial" w:hAnsi="Arial" w:cs="Arial"/>
          <w:sz w:val="22"/>
          <w:szCs w:val="22"/>
        </w:rPr>
        <w:t xml:space="preserve"> (Accessed: 17/11/2025).</w:t>
      </w:r>
    </w:p>
    <w:p w14:paraId="01D3B0FB" w14:textId="77777777" w:rsidR="00167B3D" w:rsidRPr="00D213B5" w:rsidRDefault="00167B3D" w:rsidP="00D213B5">
      <w:pPr>
        <w:spacing w:after="0" w:line="360" w:lineRule="auto"/>
        <w:rPr>
          <w:rFonts w:ascii="Arial" w:hAnsi="Arial" w:cs="Arial"/>
          <w:sz w:val="22"/>
          <w:szCs w:val="22"/>
        </w:rPr>
      </w:pPr>
    </w:p>
    <w:p w14:paraId="549027BC" w14:textId="5BC8EF18" w:rsidR="00D213B5" w:rsidRDefault="00D213B5" w:rsidP="00D213B5">
      <w:pPr>
        <w:spacing w:after="0" w:line="360" w:lineRule="auto"/>
        <w:rPr>
          <w:rFonts w:ascii="Arial" w:hAnsi="Arial" w:cs="Arial"/>
          <w:sz w:val="22"/>
          <w:szCs w:val="22"/>
        </w:rPr>
      </w:pPr>
      <w:r w:rsidRPr="00D213B5">
        <w:rPr>
          <w:rFonts w:ascii="Arial" w:hAnsi="Arial" w:cs="Arial"/>
          <w:sz w:val="22"/>
          <w:szCs w:val="22"/>
        </w:rPr>
        <w:t>Sloman, J., Guest, J. and Garratt, D. (</w:t>
      </w:r>
      <w:r w:rsidR="00167B3D" w:rsidRPr="00167B3D">
        <w:rPr>
          <w:rFonts w:ascii="Arial" w:hAnsi="Arial" w:cs="Arial"/>
          <w:sz w:val="22"/>
          <w:szCs w:val="22"/>
        </w:rPr>
        <w:t>2019</w:t>
      </w:r>
      <w:r w:rsidRPr="00D213B5">
        <w:rPr>
          <w:rFonts w:ascii="Arial" w:hAnsi="Arial" w:cs="Arial"/>
          <w:sz w:val="22"/>
          <w:szCs w:val="22"/>
        </w:rPr>
        <w:t xml:space="preserve">) </w:t>
      </w:r>
      <w:r w:rsidRPr="00D213B5">
        <w:rPr>
          <w:rFonts w:ascii="Arial" w:hAnsi="Arial" w:cs="Arial"/>
          <w:i/>
          <w:iCs/>
          <w:sz w:val="22"/>
          <w:szCs w:val="22"/>
        </w:rPr>
        <w:t>Economics</w:t>
      </w:r>
      <w:r w:rsidRPr="00D213B5">
        <w:rPr>
          <w:rFonts w:ascii="Arial" w:hAnsi="Arial" w:cs="Arial"/>
          <w:sz w:val="22"/>
          <w:szCs w:val="22"/>
        </w:rPr>
        <w:t xml:space="preserve">. 10th </w:t>
      </w:r>
      <w:proofErr w:type="spellStart"/>
      <w:r w:rsidRPr="00D213B5">
        <w:rPr>
          <w:rFonts w:ascii="Arial" w:hAnsi="Arial" w:cs="Arial"/>
          <w:sz w:val="22"/>
          <w:szCs w:val="22"/>
        </w:rPr>
        <w:t>edn</w:t>
      </w:r>
      <w:proofErr w:type="spellEnd"/>
      <w:r w:rsidRPr="00D213B5">
        <w:rPr>
          <w:rFonts w:ascii="Arial" w:hAnsi="Arial" w:cs="Arial"/>
          <w:sz w:val="22"/>
          <w:szCs w:val="22"/>
        </w:rPr>
        <w:t>. Harlow: Pearson Education.</w:t>
      </w:r>
    </w:p>
    <w:p w14:paraId="45FEFBF2" w14:textId="77777777" w:rsidR="00167B3D" w:rsidRPr="00D213B5" w:rsidRDefault="00167B3D" w:rsidP="00D213B5">
      <w:pPr>
        <w:spacing w:after="0" w:line="360" w:lineRule="auto"/>
        <w:rPr>
          <w:rFonts w:ascii="Arial" w:hAnsi="Arial" w:cs="Arial"/>
          <w:sz w:val="22"/>
          <w:szCs w:val="22"/>
        </w:rPr>
      </w:pPr>
    </w:p>
    <w:p w14:paraId="3951485D"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Taras, V., Steel, P. and Kirkman, B. (2021) ‘Improving cultural intelligence for global success’, </w:t>
      </w:r>
      <w:r w:rsidRPr="00D213B5">
        <w:rPr>
          <w:rFonts w:ascii="Arial" w:hAnsi="Arial" w:cs="Arial"/>
          <w:i/>
          <w:iCs/>
          <w:sz w:val="22"/>
          <w:szCs w:val="22"/>
        </w:rPr>
        <w:t>Journal of World Business</w:t>
      </w:r>
      <w:r w:rsidRPr="00D213B5">
        <w:rPr>
          <w:rFonts w:ascii="Arial" w:hAnsi="Arial" w:cs="Arial"/>
          <w:sz w:val="22"/>
          <w:szCs w:val="22"/>
        </w:rPr>
        <w:t xml:space="preserve">, 56(4), p. 101251. Available at: </w:t>
      </w:r>
      <w:hyperlink r:id="rId52" w:tgtFrame="_blank" w:history="1">
        <w:r w:rsidRPr="00D213B5">
          <w:rPr>
            <w:rStyle w:val="Hyperlink"/>
            <w:rFonts w:ascii="Arial" w:hAnsi="Arial" w:cs="Arial"/>
            <w:color w:val="auto"/>
            <w:sz w:val="22"/>
            <w:szCs w:val="22"/>
          </w:rPr>
          <w:t>https://doi.org/10.1016/j.jwb.2020.101251</w:t>
        </w:r>
      </w:hyperlink>
      <w:r w:rsidRPr="00D213B5">
        <w:rPr>
          <w:rFonts w:ascii="Arial" w:hAnsi="Arial" w:cs="Arial"/>
          <w:sz w:val="22"/>
          <w:szCs w:val="22"/>
        </w:rPr>
        <w:t xml:space="preserve"> (Accessed: 19/11/2025).</w:t>
      </w:r>
    </w:p>
    <w:p w14:paraId="40F0CCDA" w14:textId="77777777" w:rsidR="00167B3D" w:rsidRPr="00D213B5" w:rsidRDefault="00167B3D" w:rsidP="00D213B5">
      <w:pPr>
        <w:spacing w:after="0" w:line="360" w:lineRule="auto"/>
        <w:rPr>
          <w:rFonts w:ascii="Arial" w:hAnsi="Arial" w:cs="Arial"/>
          <w:sz w:val="22"/>
          <w:szCs w:val="22"/>
        </w:rPr>
      </w:pPr>
    </w:p>
    <w:p w14:paraId="7E51F54B"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The Culture Factor Group (2025) </w:t>
      </w:r>
      <w:r w:rsidRPr="00D213B5">
        <w:rPr>
          <w:rFonts w:ascii="Arial" w:hAnsi="Arial" w:cs="Arial"/>
          <w:i/>
          <w:iCs/>
          <w:sz w:val="22"/>
          <w:szCs w:val="22"/>
        </w:rPr>
        <w:t>Country comparison tool</w:t>
      </w:r>
      <w:r w:rsidRPr="00D213B5">
        <w:rPr>
          <w:rFonts w:ascii="Arial" w:hAnsi="Arial" w:cs="Arial"/>
          <w:sz w:val="22"/>
          <w:szCs w:val="22"/>
        </w:rPr>
        <w:t xml:space="preserve">. Available at: </w:t>
      </w:r>
      <w:hyperlink r:id="rId53" w:tgtFrame="_blank" w:history="1">
        <w:r w:rsidRPr="00D213B5">
          <w:rPr>
            <w:rStyle w:val="Hyperlink"/>
            <w:rFonts w:ascii="Arial" w:hAnsi="Arial" w:cs="Arial"/>
            <w:color w:val="auto"/>
            <w:sz w:val="22"/>
            <w:szCs w:val="22"/>
          </w:rPr>
          <w:t>https://www.theculturefactor.com/country-comparison-tool</w:t>
        </w:r>
      </w:hyperlink>
      <w:r w:rsidRPr="00D213B5">
        <w:rPr>
          <w:rFonts w:ascii="Arial" w:hAnsi="Arial" w:cs="Arial"/>
          <w:sz w:val="22"/>
          <w:szCs w:val="22"/>
        </w:rPr>
        <w:t xml:space="preserve"> (Accessed: 19/11/2025).</w:t>
      </w:r>
    </w:p>
    <w:p w14:paraId="356BD7A6" w14:textId="77777777" w:rsidR="00167B3D" w:rsidRPr="00D213B5" w:rsidRDefault="00167B3D" w:rsidP="00D213B5">
      <w:pPr>
        <w:spacing w:after="0" w:line="360" w:lineRule="auto"/>
        <w:rPr>
          <w:rFonts w:ascii="Arial" w:hAnsi="Arial" w:cs="Arial"/>
          <w:sz w:val="22"/>
          <w:szCs w:val="22"/>
        </w:rPr>
      </w:pPr>
    </w:p>
    <w:p w14:paraId="293C3276"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Tung, R. and Verbeke, A. (2017) ‘Beyond Hofstede and GLOBE: Improving the quality of cross-cultural research’, </w:t>
      </w:r>
      <w:r w:rsidRPr="00D213B5">
        <w:rPr>
          <w:rFonts w:ascii="Arial" w:hAnsi="Arial" w:cs="Arial"/>
          <w:i/>
          <w:iCs/>
          <w:sz w:val="22"/>
          <w:szCs w:val="22"/>
        </w:rPr>
        <w:t>Journal of International Business Studies</w:t>
      </w:r>
      <w:r w:rsidRPr="00D213B5">
        <w:rPr>
          <w:rFonts w:ascii="Arial" w:hAnsi="Arial" w:cs="Arial"/>
          <w:sz w:val="22"/>
          <w:szCs w:val="22"/>
        </w:rPr>
        <w:t xml:space="preserve">, 48(9), pp. 1011–1028. Available at: </w:t>
      </w:r>
      <w:hyperlink r:id="rId54" w:tgtFrame="_blank" w:history="1">
        <w:r w:rsidRPr="00D213B5">
          <w:rPr>
            <w:rStyle w:val="Hyperlink"/>
            <w:rFonts w:ascii="Arial" w:hAnsi="Arial" w:cs="Arial"/>
            <w:color w:val="auto"/>
            <w:sz w:val="22"/>
            <w:szCs w:val="22"/>
          </w:rPr>
          <w:t>https://doi.org/10.1057/s41267-017-0105-1</w:t>
        </w:r>
      </w:hyperlink>
      <w:r w:rsidRPr="00D213B5">
        <w:rPr>
          <w:rFonts w:ascii="Arial" w:hAnsi="Arial" w:cs="Arial"/>
          <w:sz w:val="22"/>
          <w:szCs w:val="22"/>
        </w:rPr>
        <w:t xml:space="preserve"> (Accessed: 19/11/2025).</w:t>
      </w:r>
    </w:p>
    <w:p w14:paraId="06A4E254" w14:textId="77777777" w:rsidR="00167B3D" w:rsidRPr="00D213B5" w:rsidRDefault="00167B3D" w:rsidP="00D213B5">
      <w:pPr>
        <w:spacing w:after="0" w:line="360" w:lineRule="auto"/>
        <w:rPr>
          <w:rFonts w:ascii="Arial" w:hAnsi="Arial" w:cs="Arial"/>
          <w:sz w:val="22"/>
          <w:szCs w:val="22"/>
        </w:rPr>
      </w:pPr>
    </w:p>
    <w:p w14:paraId="0568A838"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UNCTAD (2024) </w:t>
      </w:r>
      <w:r w:rsidRPr="00D213B5">
        <w:rPr>
          <w:rFonts w:ascii="Arial" w:hAnsi="Arial" w:cs="Arial"/>
          <w:i/>
          <w:iCs/>
          <w:sz w:val="22"/>
          <w:szCs w:val="22"/>
        </w:rPr>
        <w:t>World Investment Report</w:t>
      </w:r>
      <w:r w:rsidRPr="00D213B5">
        <w:rPr>
          <w:rFonts w:ascii="Arial" w:hAnsi="Arial" w:cs="Arial"/>
          <w:sz w:val="22"/>
          <w:szCs w:val="22"/>
        </w:rPr>
        <w:t xml:space="preserve">. Available at: </w:t>
      </w:r>
      <w:hyperlink r:id="rId55" w:tgtFrame="_blank" w:history="1">
        <w:r w:rsidRPr="00D213B5">
          <w:rPr>
            <w:rStyle w:val="Hyperlink"/>
            <w:rFonts w:ascii="Arial" w:hAnsi="Arial" w:cs="Arial"/>
            <w:color w:val="auto"/>
            <w:sz w:val="22"/>
            <w:szCs w:val="22"/>
          </w:rPr>
          <w:t>https://unctad.org</w:t>
        </w:r>
      </w:hyperlink>
      <w:r w:rsidRPr="00D213B5">
        <w:rPr>
          <w:rFonts w:ascii="Arial" w:hAnsi="Arial" w:cs="Arial"/>
          <w:sz w:val="22"/>
          <w:szCs w:val="22"/>
        </w:rPr>
        <w:t xml:space="preserve"> (Accessed: 18/11/2025).</w:t>
      </w:r>
    </w:p>
    <w:p w14:paraId="44E9948C" w14:textId="77777777" w:rsidR="00167B3D" w:rsidRDefault="00167B3D" w:rsidP="00D213B5">
      <w:pPr>
        <w:spacing w:after="0" w:line="360" w:lineRule="auto"/>
        <w:rPr>
          <w:rFonts w:ascii="Arial" w:hAnsi="Arial" w:cs="Arial"/>
          <w:sz w:val="22"/>
          <w:szCs w:val="22"/>
        </w:rPr>
      </w:pPr>
    </w:p>
    <w:p w14:paraId="77814674" w14:textId="77777777" w:rsidR="00167B3D" w:rsidRPr="00D213B5" w:rsidRDefault="00167B3D" w:rsidP="00D213B5">
      <w:pPr>
        <w:spacing w:after="0" w:line="360" w:lineRule="auto"/>
        <w:rPr>
          <w:rFonts w:ascii="Arial" w:hAnsi="Arial" w:cs="Arial"/>
          <w:sz w:val="22"/>
          <w:szCs w:val="22"/>
        </w:rPr>
      </w:pPr>
    </w:p>
    <w:p w14:paraId="1B0A2D89"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Venaik, S. and Midgley, D. (2019) ‘Cultural differences and global management adaptation’, </w:t>
      </w:r>
      <w:r w:rsidRPr="00D213B5">
        <w:rPr>
          <w:rFonts w:ascii="Arial" w:hAnsi="Arial" w:cs="Arial"/>
          <w:i/>
          <w:iCs/>
          <w:sz w:val="22"/>
          <w:szCs w:val="22"/>
        </w:rPr>
        <w:t>Management International Review</w:t>
      </w:r>
      <w:r w:rsidRPr="00D213B5">
        <w:rPr>
          <w:rFonts w:ascii="Arial" w:hAnsi="Arial" w:cs="Arial"/>
          <w:sz w:val="22"/>
          <w:szCs w:val="22"/>
        </w:rPr>
        <w:t xml:space="preserve">, 59(3), pp. 375–402. Available at: </w:t>
      </w:r>
      <w:hyperlink r:id="rId56" w:tgtFrame="_blank" w:history="1">
        <w:r w:rsidRPr="00D213B5">
          <w:rPr>
            <w:rStyle w:val="Hyperlink"/>
            <w:rFonts w:ascii="Arial" w:hAnsi="Arial" w:cs="Arial"/>
            <w:color w:val="auto"/>
            <w:sz w:val="22"/>
            <w:szCs w:val="22"/>
          </w:rPr>
          <w:t>https://doi.org/10.1007/s11575-019-00389-z</w:t>
        </w:r>
      </w:hyperlink>
      <w:r w:rsidRPr="00D213B5">
        <w:rPr>
          <w:rFonts w:ascii="Arial" w:hAnsi="Arial" w:cs="Arial"/>
          <w:sz w:val="22"/>
          <w:szCs w:val="22"/>
        </w:rPr>
        <w:t xml:space="preserve"> (Accessed: 19/11/2025).</w:t>
      </w:r>
    </w:p>
    <w:p w14:paraId="740EF20B" w14:textId="77777777" w:rsidR="00167B3D" w:rsidRPr="00D213B5" w:rsidRDefault="00167B3D" w:rsidP="00D213B5">
      <w:pPr>
        <w:spacing w:after="0" w:line="360" w:lineRule="auto"/>
        <w:rPr>
          <w:rFonts w:ascii="Arial" w:hAnsi="Arial" w:cs="Arial"/>
          <w:sz w:val="22"/>
          <w:szCs w:val="22"/>
        </w:rPr>
      </w:pPr>
    </w:p>
    <w:p w14:paraId="7081954B"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Verbeke, A., Kano, L. and Yuan, W. (2021) ‘Theorizing firm regionalization and internationalization: Emerging directions and future research’, </w:t>
      </w:r>
      <w:r w:rsidRPr="00D213B5">
        <w:rPr>
          <w:rFonts w:ascii="Arial" w:hAnsi="Arial" w:cs="Arial"/>
          <w:i/>
          <w:iCs/>
          <w:sz w:val="22"/>
          <w:szCs w:val="22"/>
        </w:rPr>
        <w:t>Journal of World Business</w:t>
      </w:r>
      <w:r w:rsidRPr="00D213B5">
        <w:rPr>
          <w:rFonts w:ascii="Arial" w:hAnsi="Arial" w:cs="Arial"/>
          <w:sz w:val="22"/>
          <w:szCs w:val="22"/>
        </w:rPr>
        <w:t xml:space="preserve">, 56(6), p. 101236. Available at: </w:t>
      </w:r>
      <w:hyperlink r:id="rId57" w:tgtFrame="_blank" w:history="1">
        <w:r w:rsidRPr="00D213B5">
          <w:rPr>
            <w:rStyle w:val="Hyperlink"/>
            <w:rFonts w:ascii="Arial" w:hAnsi="Arial" w:cs="Arial"/>
            <w:color w:val="auto"/>
            <w:sz w:val="22"/>
            <w:szCs w:val="22"/>
          </w:rPr>
          <w:t>https://doi.org/10.1016/j.jwb.2021.101236</w:t>
        </w:r>
      </w:hyperlink>
      <w:r w:rsidRPr="00D213B5">
        <w:rPr>
          <w:rFonts w:ascii="Arial" w:hAnsi="Arial" w:cs="Arial"/>
          <w:sz w:val="22"/>
          <w:szCs w:val="22"/>
        </w:rPr>
        <w:t xml:space="preserve"> (Accessed: 21/11/2025).</w:t>
      </w:r>
    </w:p>
    <w:p w14:paraId="52962484" w14:textId="77777777" w:rsidR="00167B3D" w:rsidRPr="00D213B5" w:rsidRDefault="00167B3D" w:rsidP="00D213B5">
      <w:pPr>
        <w:spacing w:after="0" w:line="360" w:lineRule="auto"/>
        <w:rPr>
          <w:rFonts w:ascii="Arial" w:hAnsi="Arial" w:cs="Arial"/>
          <w:sz w:val="22"/>
          <w:szCs w:val="22"/>
        </w:rPr>
      </w:pPr>
    </w:p>
    <w:p w14:paraId="364944C0"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AG (2021) </w:t>
      </w:r>
      <w:r w:rsidRPr="00D213B5">
        <w:rPr>
          <w:rFonts w:ascii="Arial" w:hAnsi="Arial" w:cs="Arial"/>
          <w:i/>
          <w:iCs/>
          <w:sz w:val="22"/>
          <w:szCs w:val="22"/>
        </w:rPr>
        <w:t>Annual Financial Statements of Volkswagen AG as of December 31, 2020</w:t>
      </w:r>
      <w:r w:rsidRPr="00D213B5">
        <w:rPr>
          <w:rFonts w:ascii="Arial" w:hAnsi="Arial" w:cs="Arial"/>
          <w:sz w:val="22"/>
          <w:szCs w:val="22"/>
        </w:rPr>
        <w:t xml:space="preserve">. Available at: </w:t>
      </w:r>
      <w:hyperlink r:id="rId58" w:tgtFrame="_blank" w:history="1">
        <w:r w:rsidRPr="00D213B5">
          <w:rPr>
            <w:rStyle w:val="Hyperlink"/>
            <w:rFonts w:ascii="Arial" w:hAnsi="Arial" w:cs="Arial"/>
            <w:color w:val="auto"/>
            <w:sz w:val="22"/>
            <w:szCs w:val="22"/>
          </w:rPr>
          <w:t>https://www.volkswagen-group.com/en/publications/more/annual-report-2020</w:t>
        </w:r>
      </w:hyperlink>
      <w:r w:rsidRPr="00D213B5">
        <w:rPr>
          <w:rFonts w:ascii="Arial" w:hAnsi="Arial" w:cs="Arial"/>
          <w:sz w:val="22"/>
          <w:szCs w:val="22"/>
        </w:rPr>
        <w:t xml:space="preserve"> (Accessed: 20/10/2025).</w:t>
      </w:r>
    </w:p>
    <w:p w14:paraId="5DCBD71A" w14:textId="77777777" w:rsidR="00167B3D" w:rsidRPr="00D213B5" w:rsidRDefault="00167B3D" w:rsidP="00D213B5">
      <w:pPr>
        <w:spacing w:after="0" w:line="360" w:lineRule="auto"/>
        <w:rPr>
          <w:rFonts w:ascii="Arial" w:hAnsi="Arial" w:cs="Arial"/>
          <w:sz w:val="22"/>
          <w:szCs w:val="22"/>
        </w:rPr>
      </w:pPr>
    </w:p>
    <w:p w14:paraId="33DF3FCF"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lastRenderedPageBreak/>
        <w:t xml:space="preserve">Volkswagen AG (2022) </w:t>
      </w:r>
      <w:r w:rsidRPr="00D213B5">
        <w:rPr>
          <w:rFonts w:ascii="Arial" w:hAnsi="Arial" w:cs="Arial"/>
          <w:i/>
          <w:iCs/>
          <w:sz w:val="22"/>
          <w:szCs w:val="22"/>
        </w:rPr>
        <w:t>Annual Financial Statements of Volkswagen AG as of December 31, 2021</w:t>
      </w:r>
      <w:r w:rsidRPr="00D213B5">
        <w:rPr>
          <w:rFonts w:ascii="Arial" w:hAnsi="Arial" w:cs="Arial"/>
          <w:sz w:val="22"/>
          <w:szCs w:val="22"/>
        </w:rPr>
        <w:t xml:space="preserve">. Available at: </w:t>
      </w:r>
      <w:hyperlink r:id="rId59" w:tgtFrame="_blank" w:history="1">
        <w:r w:rsidRPr="00D213B5">
          <w:rPr>
            <w:rStyle w:val="Hyperlink"/>
            <w:rFonts w:ascii="Arial" w:hAnsi="Arial" w:cs="Arial"/>
            <w:color w:val="auto"/>
            <w:sz w:val="22"/>
            <w:szCs w:val="22"/>
          </w:rPr>
          <w:t>https://www.volkswagen-group.com/en/publications/more/annual-report-2021</w:t>
        </w:r>
      </w:hyperlink>
      <w:r w:rsidRPr="00D213B5">
        <w:rPr>
          <w:rFonts w:ascii="Arial" w:hAnsi="Arial" w:cs="Arial"/>
          <w:sz w:val="22"/>
          <w:szCs w:val="22"/>
        </w:rPr>
        <w:t xml:space="preserve"> (Accessed: 20/10/2025).</w:t>
      </w:r>
    </w:p>
    <w:p w14:paraId="7A369E34" w14:textId="77777777" w:rsidR="00167B3D" w:rsidRPr="00D213B5" w:rsidRDefault="00167B3D" w:rsidP="00D213B5">
      <w:pPr>
        <w:spacing w:after="0" w:line="360" w:lineRule="auto"/>
        <w:rPr>
          <w:rFonts w:ascii="Arial" w:hAnsi="Arial" w:cs="Arial"/>
          <w:sz w:val="22"/>
          <w:szCs w:val="22"/>
        </w:rPr>
      </w:pPr>
    </w:p>
    <w:p w14:paraId="169FBBAC"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AG (2023) </w:t>
      </w:r>
      <w:r w:rsidRPr="00D213B5">
        <w:rPr>
          <w:rFonts w:ascii="Arial" w:hAnsi="Arial" w:cs="Arial"/>
          <w:i/>
          <w:iCs/>
          <w:sz w:val="22"/>
          <w:szCs w:val="22"/>
        </w:rPr>
        <w:t>Consolidated Financial Statements of Volkswagen AG as of December 31, 2022</w:t>
      </w:r>
      <w:r w:rsidRPr="00D213B5">
        <w:rPr>
          <w:rFonts w:ascii="Arial" w:hAnsi="Arial" w:cs="Arial"/>
          <w:sz w:val="22"/>
          <w:szCs w:val="22"/>
        </w:rPr>
        <w:t xml:space="preserve">. Available at: </w:t>
      </w:r>
      <w:hyperlink r:id="rId60" w:tgtFrame="_blank" w:history="1">
        <w:r w:rsidRPr="00D213B5">
          <w:rPr>
            <w:rStyle w:val="Hyperlink"/>
            <w:rFonts w:ascii="Arial" w:hAnsi="Arial" w:cs="Arial"/>
            <w:color w:val="auto"/>
            <w:sz w:val="22"/>
            <w:szCs w:val="22"/>
          </w:rPr>
          <w:t>https://www.volkswagen-group.com/en/publications/more/annual-report-2022</w:t>
        </w:r>
      </w:hyperlink>
      <w:r w:rsidRPr="00D213B5">
        <w:rPr>
          <w:rFonts w:ascii="Arial" w:hAnsi="Arial" w:cs="Arial"/>
          <w:sz w:val="22"/>
          <w:szCs w:val="22"/>
        </w:rPr>
        <w:t xml:space="preserve"> (Accessed: 20/10/2025).</w:t>
      </w:r>
    </w:p>
    <w:p w14:paraId="2FB5C993" w14:textId="77777777" w:rsidR="00167B3D" w:rsidRPr="00D213B5" w:rsidRDefault="00167B3D" w:rsidP="00D213B5">
      <w:pPr>
        <w:spacing w:after="0" w:line="360" w:lineRule="auto"/>
        <w:rPr>
          <w:rFonts w:ascii="Arial" w:hAnsi="Arial" w:cs="Arial"/>
          <w:sz w:val="22"/>
          <w:szCs w:val="22"/>
        </w:rPr>
      </w:pPr>
    </w:p>
    <w:p w14:paraId="08EF764D"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AG (2024) </w:t>
      </w:r>
      <w:r w:rsidRPr="00D213B5">
        <w:rPr>
          <w:rFonts w:ascii="Arial" w:hAnsi="Arial" w:cs="Arial"/>
          <w:i/>
          <w:iCs/>
          <w:sz w:val="22"/>
          <w:szCs w:val="22"/>
        </w:rPr>
        <w:t>Consolidated Financial Statements of Volkswagen AG as of December 31, 2023</w:t>
      </w:r>
      <w:r w:rsidRPr="00D213B5">
        <w:rPr>
          <w:rFonts w:ascii="Arial" w:hAnsi="Arial" w:cs="Arial"/>
          <w:sz w:val="22"/>
          <w:szCs w:val="22"/>
        </w:rPr>
        <w:t xml:space="preserve">. Available at: </w:t>
      </w:r>
      <w:hyperlink r:id="rId61" w:tgtFrame="_blank" w:history="1">
        <w:r w:rsidRPr="00D213B5">
          <w:rPr>
            <w:rStyle w:val="Hyperlink"/>
            <w:rFonts w:ascii="Arial" w:hAnsi="Arial" w:cs="Arial"/>
            <w:color w:val="auto"/>
            <w:sz w:val="22"/>
            <w:szCs w:val="22"/>
          </w:rPr>
          <w:t>https://www.volkswagen-group.com/en/publications/more/annual-report-2023</w:t>
        </w:r>
      </w:hyperlink>
      <w:r w:rsidRPr="00D213B5">
        <w:rPr>
          <w:rFonts w:ascii="Arial" w:hAnsi="Arial" w:cs="Arial"/>
          <w:sz w:val="22"/>
          <w:szCs w:val="22"/>
        </w:rPr>
        <w:t xml:space="preserve"> (Accessed: 20/10/2025).</w:t>
      </w:r>
    </w:p>
    <w:p w14:paraId="41BB7E93" w14:textId="77777777" w:rsidR="00167B3D" w:rsidRPr="00D213B5" w:rsidRDefault="00167B3D" w:rsidP="00D213B5">
      <w:pPr>
        <w:spacing w:after="0" w:line="360" w:lineRule="auto"/>
        <w:rPr>
          <w:rFonts w:ascii="Arial" w:hAnsi="Arial" w:cs="Arial"/>
          <w:sz w:val="22"/>
          <w:szCs w:val="22"/>
        </w:rPr>
      </w:pPr>
    </w:p>
    <w:p w14:paraId="659A2004"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AG (2025) </w:t>
      </w:r>
      <w:r w:rsidRPr="00D213B5">
        <w:rPr>
          <w:rFonts w:ascii="Arial" w:hAnsi="Arial" w:cs="Arial"/>
          <w:i/>
          <w:iCs/>
          <w:sz w:val="22"/>
          <w:szCs w:val="22"/>
        </w:rPr>
        <w:t>Consolidated Financial Statements of Volkswagen AG as of December 31, 2024</w:t>
      </w:r>
      <w:r w:rsidRPr="00D213B5">
        <w:rPr>
          <w:rFonts w:ascii="Arial" w:hAnsi="Arial" w:cs="Arial"/>
          <w:sz w:val="22"/>
          <w:szCs w:val="22"/>
        </w:rPr>
        <w:t xml:space="preserve">. Available at: </w:t>
      </w:r>
      <w:hyperlink r:id="rId62" w:tgtFrame="_blank" w:history="1">
        <w:r w:rsidRPr="00D213B5">
          <w:rPr>
            <w:rStyle w:val="Hyperlink"/>
            <w:rFonts w:ascii="Arial" w:hAnsi="Arial" w:cs="Arial"/>
            <w:color w:val="auto"/>
            <w:sz w:val="22"/>
            <w:szCs w:val="22"/>
          </w:rPr>
          <w:t>https://www.volkswagen-group.com</w:t>
        </w:r>
      </w:hyperlink>
      <w:r w:rsidRPr="00D213B5">
        <w:rPr>
          <w:rFonts w:ascii="Arial" w:hAnsi="Arial" w:cs="Arial"/>
          <w:sz w:val="22"/>
          <w:szCs w:val="22"/>
        </w:rPr>
        <w:t xml:space="preserve"> (Accessed: 20/10/2025).</w:t>
      </w:r>
    </w:p>
    <w:p w14:paraId="2B7E2890" w14:textId="77777777" w:rsidR="00167B3D" w:rsidRPr="00D213B5" w:rsidRDefault="00167B3D" w:rsidP="00D213B5">
      <w:pPr>
        <w:spacing w:after="0" w:line="360" w:lineRule="auto"/>
        <w:rPr>
          <w:rFonts w:ascii="Arial" w:hAnsi="Arial" w:cs="Arial"/>
          <w:sz w:val="22"/>
          <w:szCs w:val="22"/>
        </w:rPr>
      </w:pPr>
    </w:p>
    <w:p w14:paraId="64CB348F"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do </w:t>
      </w:r>
      <w:proofErr w:type="spellStart"/>
      <w:r w:rsidRPr="00D213B5">
        <w:rPr>
          <w:rFonts w:ascii="Arial" w:hAnsi="Arial" w:cs="Arial"/>
          <w:sz w:val="22"/>
          <w:szCs w:val="22"/>
        </w:rPr>
        <w:t>Brasil</w:t>
      </w:r>
      <w:proofErr w:type="spellEnd"/>
      <w:r w:rsidRPr="00D213B5">
        <w:rPr>
          <w:rFonts w:ascii="Arial" w:hAnsi="Arial" w:cs="Arial"/>
          <w:sz w:val="22"/>
          <w:szCs w:val="22"/>
        </w:rPr>
        <w:t xml:space="preserve"> (2025) </w:t>
      </w:r>
      <w:r w:rsidRPr="00D213B5">
        <w:rPr>
          <w:rFonts w:ascii="Arial" w:hAnsi="Arial" w:cs="Arial"/>
          <w:i/>
          <w:iCs/>
          <w:sz w:val="22"/>
          <w:szCs w:val="22"/>
        </w:rPr>
        <w:t>Corporate Overview</w:t>
      </w:r>
      <w:r w:rsidRPr="00D213B5">
        <w:rPr>
          <w:rFonts w:ascii="Arial" w:hAnsi="Arial" w:cs="Arial"/>
          <w:sz w:val="22"/>
          <w:szCs w:val="22"/>
        </w:rPr>
        <w:t xml:space="preserve">. Available at: </w:t>
      </w:r>
      <w:hyperlink r:id="rId63" w:tgtFrame="_blank" w:history="1">
        <w:r w:rsidRPr="00D213B5">
          <w:rPr>
            <w:rStyle w:val="Hyperlink"/>
            <w:rFonts w:ascii="Arial" w:hAnsi="Arial" w:cs="Arial"/>
            <w:color w:val="auto"/>
            <w:sz w:val="22"/>
            <w:szCs w:val="22"/>
          </w:rPr>
          <w:t>https://www.volkswagen-newsroom.com/en/volkswagen-do-brasil-4072</w:t>
        </w:r>
      </w:hyperlink>
      <w:r w:rsidRPr="00D213B5">
        <w:rPr>
          <w:rFonts w:ascii="Arial" w:hAnsi="Arial" w:cs="Arial"/>
          <w:sz w:val="22"/>
          <w:szCs w:val="22"/>
        </w:rPr>
        <w:t xml:space="preserve"> (Accessed: 18/11/2025).</w:t>
      </w:r>
    </w:p>
    <w:p w14:paraId="32C91B80" w14:textId="77777777" w:rsidR="00167B3D" w:rsidRPr="00D213B5" w:rsidRDefault="00167B3D" w:rsidP="00D213B5">
      <w:pPr>
        <w:spacing w:after="0" w:line="360" w:lineRule="auto"/>
        <w:rPr>
          <w:rFonts w:ascii="Arial" w:hAnsi="Arial" w:cs="Arial"/>
          <w:sz w:val="22"/>
          <w:szCs w:val="22"/>
        </w:rPr>
      </w:pPr>
    </w:p>
    <w:p w14:paraId="62AC3C7F"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(2021) </w:t>
      </w:r>
      <w:r w:rsidRPr="00D213B5">
        <w:rPr>
          <w:rFonts w:ascii="Arial" w:hAnsi="Arial" w:cs="Arial"/>
          <w:i/>
          <w:iCs/>
          <w:sz w:val="22"/>
          <w:szCs w:val="22"/>
        </w:rPr>
        <w:t>Annual Report 2020</w:t>
      </w:r>
      <w:r w:rsidRPr="00D213B5">
        <w:rPr>
          <w:rFonts w:ascii="Arial" w:hAnsi="Arial" w:cs="Arial"/>
          <w:sz w:val="22"/>
          <w:szCs w:val="22"/>
        </w:rPr>
        <w:t xml:space="preserve">. Available at: </w:t>
      </w:r>
      <w:hyperlink r:id="rId64" w:tgtFrame="_blank" w:history="1">
        <w:r w:rsidRPr="00D213B5">
          <w:rPr>
            <w:rStyle w:val="Hyperlink"/>
            <w:rFonts w:ascii="Arial" w:hAnsi="Arial" w:cs="Arial"/>
            <w:color w:val="auto"/>
            <w:sz w:val="22"/>
            <w:szCs w:val="22"/>
          </w:rPr>
          <w:t>https://annualreport2020.volkswagenag.com/</w:t>
        </w:r>
      </w:hyperlink>
      <w:r w:rsidRPr="00D213B5">
        <w:rPr>
          <w:rFonts w:ascii="Arial" w:hAnsi="Arial" w:cs="Arial"/>
          <w:sz w:val="22"/>
          <w:szCs w:val="22"/>
        </w:rPr>
        <w:t xml:space="preserve"> (Accessed: 20/10/2025).</w:t>
      </w:r>
    </w:p>
    <w:p w14:paraId="30D3E38B" w14:textId="77777777" w:rsidR="00167B3D" w:rsidRPr="00D213B5" w:rsidRDefault="00167B3D" w:rsidP="00D213B5">
      <w:pPr>
        <w:spacing w:after="0" w:line="360" w:lineRule="auto"/>
        <w:rPr>
          <w:rFonts w:ascii="Arial" w:hAnsi="Arial" w:cs="Arial"/>
          <w:sz w:val="22"/>
          <w:szCs w:val="22"/>
        </w:rPr>
      </w:pPr>
    </w:p>
    <w:p w14:paraId="0499B938"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(2022) </w:t>
      </w:r>
      <w:r w:rsidRPr="00D213B5">
        <w:rPr>
          <w:rFonts w:ascii="Arial" w:hAnsi="Arial" w:cs="Arial"/>
          <w:i/>
          <w:iCs/>
          <w:sz w:val="22"/>
          <w:szCs w:val="22"/>
        </w:rPr>
        <w:t>Annual Report 2021</w:t>
      </w:r>
      <w:r w:rsidRPr="00D213B5">
        <w:rPr>
          <w:rFonts w:ascii="Arial" w:hAnsi="Arial" w:cs="Arial"/>
          <w:sz w:val="22"/>
          <w:szCs w:val="22"/>
        </w:rPr>
        <w:t xml:space="preserve">. Available at: </w:t>
      </w:r>
      <w:hyperlink r:id="rId65" w:tgtFrame="_blank" w:history="1">
        <w:r w:rsidRPr="00D213B5">
          <w:rPr>
            <w:rStyle w:val="Hyperlink"/>
            <w:rFonts w:ascii="Arial" w:hAnsi="Arial" w:cs="Arial"/>
            <w:color w:val="auto"/>
            <w:sz w:val="22"/>
            <w:szCs w:val="22"/>
          </w:rPr>
          <w:t>https://annualreport2021.volkswagenag.com/</w:t>
        </w:r>
      </w:hyperlink>
      <w:r w:rsidRPr="00D213B5">
        <w:rPr>
          <w:rFonts w:ascii="Arial" w:hAnsi="Arial" w:cs="Arial"/>
          <w:sz w:val="22"/>
          <w:szCs w:val="22"/>
        </w:rPr>
        <w:t xml:space="preserve"> (Accessed: 20/10/2025).</w:t>
      </w:r>
    </w:p>
    <w:p w14:paraId="15BCC156" w14:textId="77777777" w:rsidR="00167B3D" w:rsidRPr="00D213B5" w:rsidRDefault="00167B3D" w:rsidP="00D213B5">
      <w:pPr>
        <w:spacing w:after="0" w:line="360" w:lineRule="auto"/>
        <w:rPr>
          <w:rFonts w:ascii="Arial" w:hAnsi="Arial" w:cs="Arial"/>
          <w:sz w:val="22"/>
          <w:szCs w:val="22"/>
        </w:rPr>
      </w:pPr>
    </w:p>
    <w:p w14:paraId="18634E19"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(2023) </w:t>
      </w:r>
      <w:r w:rsidRPr="00D213B5">
        <w:rPr>
          <w:rFonts w:ascii="Arial" w:hAnsi="Arial" w:cs="Arial"/>
          <w:i/>
          <w:iCs/>
          <w:sz w:val="22"/>
          <w:szCs w:val="22"/>
        </w:rPr>
        <w:t>Annual Report 2022</w:t>
      </w:r>
      <w:r w:rsidRPr="00D213B5">
        <w:rPr>
          <w:rFonts w:ascii="Arial" w:hAnsi="Arial" w:cs="Arial"/>
          <w:sz w:val="22"/>
          <w:szCs w:val="22"/>
        </w:rPr>
        <w:t xml:space="preserve">. Available at: </w:t>
      </w:r>
      <w:hyperlink r:id="rId66" w:tgtFrame="_blank" w:history="1">
        <w:r w:rsidRPr="00D213B5">
          <w:rPr>
            <w:rStyle w:val="Hyperlink"/>
            <w:rFonts w:ascii="Arial" w:hAnsi="Arial" w:cs="Arial"/>
            <w:color w:val="auto"/>
            <w:sz w:val="22"/>
            <w:szCs w:val="22"/>
          </w:rPr>
          <w:t>https://www.volkswagen-group.com/en/publications/more/annual-report-2022-1732</w:t>
        </w:r>
      </w:hyperlink>
      <w:r w:rsidRPr="00D213B5">
        <w:rPr>
          <w:rFonts w:ascii="Arial" w:hAnsi="Arial" w:cs="Arial"/>
          <w:sz w:val="22"/>
          <w:szCs w:val="22"/>
        </w:rPr>
        <w:t xml:space="preserve"> (Accessed: 20/10/2025).</w:t>
      </w:r>
    </w:p>
    <w:p w14:paraId="2909BB4C" w14:textId="77777777" w:rsidR="00167B3D" w:rsidRPr="00D213B5" w:rsidRDefault="00167B3D" w:rsidP="00D213B5">
      <w:pPr>
        <w:spacing w:after="0" w:line="360" w:lineRule="auto"/>
        <w:rPr>
          <w:rFonts w:ascii="Arial" w:hAnsi="Arial" w:cs="Arial"/>
          <w:sz w:val="22"/>
          <w:szCs w:val="22"/>
        </w:rPr>
      </w:pPr>
    </w:p>
    <w:p w14:paraId="34B7C3C3"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(2024) </w:t>
      </w:r>
      <w:r w:rsidRPr="00D213B5">
        <w:rPr>
          <w:rFonts w:ascii="Arial" w:hAnsi="Arial" w:cs="Arial"/>
          <w:i/>
          <w:iCs/>
          <w:sz w:val="22"/>
          <w:szCs w:val="22"/>
        </w:rPr>
        <w:t>Annual Report 2023</w:t>
      </w:r>
      <w:r w:rsidRPr="00D213B5">
        <w:rPr>
          <w:rFonts w:ascii="Arial" w:hAnsi="Arial" w:cs="Arial"/>
          <w:sz w:val="22"/>
          <w:szCs w:val="22"/>
        </w:rPr>
        <w:t xml:space="preserve">. Available at: </w:t>
      </w:r>
      <w:hyperlink r:id="rId67" w:tgtFrame="_blank" w:history="1">
        <w:r w:rsidRPr="00D213B5">
          <w:rPr>
            <w:rStyle w:val="Hyperlink"/>
            <w:rFonts w:ascii="Arial" w:hAnsi="Arial" w:cs="Arial"/>
            <w:color w:val="auto"/>
            <w:sz w:val="22"/>
            <w:szCs w:val="22"/>
          </w:rPr>
          <w:t>https://www.volkswagen-group.com/en/publications/more/annual-report-2023-2671</w:t>
        </w:r>
      </w:hyperlink>
      <w:r w:rsidRPr="00D213B5">
        <w:rPr>
          <w:rFonts w:ascii="Arial" w:hAnsi="Arial" w:cs="Arial"/>
          <w:sz w:val="22"/>
          <w:szCs w:val="22"/>
        </w:rPr>
        <w:t xml:space="preserve"> (Accessed: 20/10/2025).</w:t>
      </w:r>
    </w:p>
    <w:p w14:paraId="73774574" w14:textId="77777777" w:rsidR="00167B3D" w:rsidRPr="00D213B5" w:rsidRDefault="00167B3D" w:rsidP="00D213B5">
      <w:pPr>
        <w:spacing w:after="0" w:line="360" w:lineRule="auto"/>
        <w:rPr>
          <w:rFonts w:ascii="Arial" w:hAnsi="Arial" w:cs="Arial"/>
          <w:sz w:val="22"/>
          <w:szCs w:val="22"/>
        </w:rPr>
      </w:pPr>
    </w:p>
    <w:p w14:paraId="08DDEFE7"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(2024a) </w:t>
      </w:r>
      <w:r w:rsidRPr="00D213B5">
        <w:rPr>
          <w:rFonts w:ascii="Arial" w:hAnsi="Arial" w:cs="Arial"/>
          <w:i/>
          <w:iCs/>
          <w:sz w:val="22"/>
          <w:szCs w:val="22"/>
        </w:rPr>
        <w:t>Sustainability Strategy – Regenerate+ Framework</w:t>
      </w:r>
      <w:r w:rsidRPr="00D213B5">
        <w:rPr>
          <w:rFonts w:ascii="Arial" w:hAnsi="Arial" w:cs="Arial"/>
          <w:sz w:val="22"/>
          <w:szCs w:val="22"/>
        </w:rPr>
        <w:t xml:space="preserve">. Available at: </w:t>
      </w:r>
      <w:hyperlink r:id="rId68" w:tgtFrame="_blank" w:history="1">
        <w:r w:rsidRPr="00D213B5">
          <w:rPr>
            <w:rStyle w:val="Hyperlink"/>
            <w:rFonts w:ascii="Arial" w:hAnsi="Arial" w:cs="Arial"/>
            <w:color w:val="auto"/>
            <w:sz w:val="22"/>
            <w:szCs w:val="22"/>
          </w:rPr>
          <w:t>https://www.volkswagen-group.com/en/sustainability-strategy-18157</w:t>
        </w:r>
      </w:hyperlink>
      <w:r w:rsidRPr="00D213B5">
        <w:rPr>
          <w:rFonts w:ascii="Arial" w:hAnsi="Arial" w:cs="Arial"/>
          <w:sz w:val="22"/>
          <w:szCs w:val="22"/>
        </w:rPr>
        <w:t xml:space="preserve"> (Accessed: 20/10/2025).</w:t>
      </w:r>
    </w:p>
    <w:p w14:paraId="28545395" w14:textId="77777777" w:rsidR="00167B3D" w:rsidRPr="00D213B5" w:rsidRDefault="00167B3D" w:rsidP="00D213B5">
      <w:pPr>
        <w:spacing w:after="0" w:line="360" w:lineRule="auto"/>
        <w:rPr>
          <w:rFonts w:ascii="Arial" w:hAnsi="Arial" w:cs="Arial"/>
          <w:sz w:val="22"/>
          <w:szCs w:val="22"/>
        </w:rPr>
      </w:pPr>
    </w:p>
    <w:p w14:paraId="45491F26" w14:textId="77777777" w:rsidR="00D213B5" w:rsidRP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(2025a) </w:t>
      </w:r>
      <w:r w:rsidRPr="00D213B5">
        <w:rPr>
          <w:rFonts w:ascii="Arial" w:hAnsi="Arial" w:cs="Arial"/>
          <w:i/>
          <w:iCs/>
          <w:sz w:val="22"/>
          <w:szCs w:val="22"/>
        </w:rPr>
        <w:t>About Us</w:t>
      </w:r>
      <w:r w:rsidRPr="00D213B5">
        <w:rPr>
          <w:rFonts w:ascii="Arial" w:hAnsi="Arial" w:cs="Arial"/>
          <w:sz w:val="22"/>
          <w:szCs w:val="22"/>
        </w:rPr>
        <w:t xml:space="preserve">. Available at: </w:t>
      </w:r>
      <w:hyperlink r:id="rId69" w:tgtFrame="_blank" w:history="1">
        <w:r w:rsidRPr="00D213B5">
          <w:rPr>
            <w:rStyle w:val="Hyperlink"/>
            <w:rFonts w:ascii="Arial" w:hAnsi="Arial" w:cs="Arial"/>
            <w:color w:val="auto"/>
            <w:sz w:val="22"/>
            <w:szCs w:val="22"/>
          </w:rPr>
          <w:t>https://www.volkswagen-group.com/en/about-us-16013</w:t>
        </w:r>
      </w:hyperlink>
      <w:r w:rsidRPr="00D213B5">
        <w:rPr>
          <w:rFonts w:ascii="Arial" w:hAnsi="Arial" w:cs="Arial"/>
          <w:sz w:val="22"/>
          <w:szCs w:val="22"/>
        </w:rPr>
        <w:t xml:space="preserve"> (Accessed: 20/10/2025).</w:t>
      </w:r>
    </w:p>
    <w:p w14:paraId="213CD16B"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lastRenderedPageBreak/>
        <w:t xml:space="preserve">Volkswagen Group (2025b) </w:t>
      </w:r>
      <w:r w:rsidRPr="00D213B5">
        <w:rPr>
          <w:rFonts w:ascii="Arial" w:hAnsi="Arial" w:cs="Arial"/>
          <w:i/>
          <w:iCs/>
          <w:sz w:val="22"/>
          <w:szCs w:val="22"/>
        </w:rPr>
        <w:t>Annual Report 2024 – Procurement and Supplier Network</w:t>
      </w:r>
      <w:r w:rsidRPr="00D213B5">
        <w:rPr>
          <w:rFonts w:ascii="Arial" w:hAnsi="Arial" w:cs="Arial"/>
          <w:sz w:val="22"/>
          <w:szCs w:val="22"/>
        </w:rPr>
        <w:t xml:space="preserve">. Available at: </w:t>
      </w:r>
      <w:hyperlink r:id="rId70" w:tgtFrame="_blank" w:history="1">
        <w:r w:rsidRPr="00D213B5">
          <w:rPr>
            <w:rStyle w:val="Hyperlink"/>
            <w:rFonts w:ascii="Arial" w:hAnsi="Arial" w:cs="Arial"/>
            <w:color w:val="auto"/>
            <w:sz w:val="22"/>
            <w:szCs w:val="22"/>
          </w:rPr>
          <w:t>https://annualreport2024.volkswagen-group.com</w:t>
        </w:r>
      </w:hyperlink>
      <w:r w:rsidRPr="00D213B5">
        <w:rPr>
          <w:rFonts w:ascii="Arial" w:hAnsi="Arial" w:cs="Arial"/>
          <w:sz w:val="22"/>
          <w:szCs w:val="22"/>
        </w:rPr>
        <w:t xml:space="preserve"> (Accessed: 20/10/2025).</w:t>
      </w:r>
    </w:p>
    <w:p w14:paraId="0380552E" w14:textId="77777777" w:rsidR="00167B3D" w:rsidRPr="00D213B5" w:rsidRDefault="00167B3D" w:rsidP="00D213B5">
      <w:pPr>
        <w:spacing w:after="0" w:line="360" w:lineRule="auto"/>
        <w:rPr>
          <w:rFonts w:ascii="Arial" w:hAnsi="Arial" w:cs="Arial"/>
          <w:sz w:val="22"/>
          <w:szCs w:val="22"/>
        </w:rPr>
      </w:pPr>
    </w:p>
    <w:p w14:paraId="353ABCD4"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(2025c) </w:t>
      </w:r>
      <w:r w:rsidRPr="00D213B5">
        <w:rPr>
          <w:rFonts w:ascii="Arial" w:hAnsi="Arial" w:cs="Arial"/>
          <w:i/>
          <w:iCs/>
          <w:sz w:val="22"/>
          <w:szCs w:val="22"/>
        </w:rPr>
        <w:t>Annual Report 2024 – Research and Development</w:t>
      </w:r>
      <w:r w:rsidRPr="00D213B5">
        <w:rPr>
          <w:rFonts w:ascii="Arial" w:hAnsi="Arial" w:cs="Arial"/>
          <w:sz w:val="22"/>
          <w:szCs w:val="22"/>
        </w:rPr>
        <w:t xml:space="preserve">. Available at: </w:t>
      </w:r>
      <w:hyperlink r:id="rId71" w:tgtFrame="_blank" w:history="1">
        <w:r w:rsidRPr="00D213B5">
          <w:rPr>
            <w:rStyle w:val="Hyperlink"/>
            <w:rFonts w:ascii="Arial" w:hAnsi="Arial" w:cs="Arial"/>
            <w:color w:val="auto"/>
            <w:sz w:val="22"/>
            <w:szCs w:val="22"/>
          </w:rPr>
          <w:t>https://annualreport2024.volkswagen-group.com</w:t>
        </w:r>
      </w:hyperlink>
      <w:r w:rsidRPr="00D213B5">
        <w:rPr>
          <w:rFonts w:ascii="Arial" w:hAnsi="Arial" w:cs="Arial"/>
          <w:sz w:val="22"/>
          <w:szCs w:val="22"/>
        </w:rPr>
        <w:t xml:space="preserve"> (Accessed: 20/10/2025).</w:t>
      </w:r>
    </w:p>
    <w:p w14:paraId="454E40B4" w14:textId="77777777" w:rsidR="00167B3D" w:rsidRPr="00D213B5" w:rsidRDefault="00167B3D" w:rsidP="00D213B5">
      <w:pPr>
        <w:spacing w:after="0" w:line="360" w:lineRule="auto"/>
        <w:rPr>
          <w:rFonts w:ascii="Arial" w:hAnsi="Arial" w:cs="Arial"/>
          <w:sz w:val="22"/>
          <w:szCs w:val="22"/>
        </w:rPr>
      </w:pPr>
    </w:p>
    <w:p w14:paraId="296AEB61"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Volkswagen Group (2025d) </w:t>
      </w:r>
      <w:r w:rsidRPr="00D213B5">
        <w:rPr>
          <w:rFonts w:ascii="Arial" w:hAnsi="Arial" w:cs="Arial"/>
          <w:i/>
          <w:iCs/>
          <w:sz w:val="22"/>
          <w:szCs w:val="22"/>
        </w:rPr>
        <w:t>Global Manufacturing Sites</w:t>
      </w:r>
      <w:r w:rsidRPr="00D213B5">
        <w:rPr>
          <w:rFonts w:ascii="Arial" w:hAnsi="Arial" w:cs="Arial"/>
          <w:sz w:val="22"/>
          <w:szCs w:val="22"/>
        </w:rPr>
        <w:t xml:space="preserve">. Available at: </w:t>
      </w:r>
      <w:hyperlink r:id="rId72" w:tgtFrame="_blank" w:history="1">
        <w:r w:rsidRPr="00D213B5">
          <w:rPr>
            <w:rStyle w:val="Hyperlink"/>
            <w:rFonts w:ascii="Arial" w:hAnsi="Arial" w:cs="Arial"/>
            <w:color w:val="auto"/>
            <w:sz w:val="22"/>
            <w:szCs w:val="22"/>
          </w:rPr>
          <w:t>https://www.volkswagen-group.com/en/volkswagen-group-sites-17481</w:t>
        </w:r>
      </w:hyperlink>
      <w:r w:rsidRPr="00D213B5">
        <w:rPr>
          <w:rFonts w:ascii="Arial" w:hAnsi="Arial" w:cs="Arial"/>
          <w:sz w:val="22"/>
          <w:szCs w:val="22"/>
        </w:rPr>
        <w:t xml:space="preserve"> (Accessed: 17/11/2025).</w:t>
      </w:r>
    </w:p>
    <w:p w14:paraId="4EF4AE1C" w14:textId="77777777" w:rsidR="00167B3D" w:rsidRPr="00D213B5" w:rsidRDefault="00167B3D" w:rsidP="00D213B5">
      <w:pPr>
        <w:spacing w:after="0" w:line="360" w:lineRule="auto"/>
        <w:rPr>
          <w:rFonts w:ascii="Arial" w:hAnsi="Arial" w:cs="Arial"/>
          <w:sz w:val="22"/>
          <w:szCs w:val="22"/>
        </w:rPr>
      </w:pPr>
    </w:p>
    <w:p w14:paraId="4E7C870F"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Wild, J.J. and Wild, K.L. (2016) </w:t>
      </w:r>
      <w:r w:rsidRPr="00D213B5">
        <w:rPr>
          <w:rFonts w:ascii="Arial" w:hAnsi="Arial" w:cs="Arial"/>
          <w:i/>
          <w:iCs/>
          <w:sz w:val="22"/>
          <w:szCs w:val="22"/>
        </w:rPr>
        <w:t>International Business: The Challenges of Globalization</w:t>
      </w:r>
      <w:r w:rsidRPr="00D213B5">
        <w:rPr>
          <w:rFonts w:ascii="Arial" w:hAnsi="Arial" w:cs="Arial"/>
          <w:sz w:val="22"/>
          <w:szCs w:val="22"/>
        </w:rPr>
        <w:t xml:space="preserve">. 8th </w:t>
      </w:r>
      <w:proofErr w:type="spellStart"/>
      <w:r w:rsidRPr="00D213B5">
        <w:rPr>
          <w:rFonts w:ascii="Arial" w:hAnsi="Arial" w:cs="Arial"/>
          <w:sz w:val="22"/>
          <w:szCs w:val="22"/>
        </w:rPr>
        <w:t>edn</w:t>
      </w:r>
      <w:proofErr w:type="spellEnd"/>
      <w:r w:rsidRPr="00D213B5">
        <w:rPr>
          <w:rFonts w:ascii="Arial" w:hAnsi="Arial" w:cs="Arial"/>
          <w:sz w:val="22"/>
          <w:szCs w:val="22"/>
        </w:rPr>
        <w:t>. Boston: Pearson.</w:t>
      </w:r>
    </w:p>
    <w:p w14:paraId="496B7468" w14:textId="77777777" w:rsidR="00167B3D" w:rsidRPr="00D213B5" w:rsidRDefault="00167B3D" w:rsidP="00D213B5">
      <w:pPr>
        <w:spacing w:after="0" w:line="360" w:lineRule="auto"/>
        <w:rPr>
          <w:rFonts w:ascii="Arial" w:hAnsi="Arial" w:cs="Arial"/>
          <w:sz w:val="22"/>
          <w:szCs w:val="22"/>
        </w:rPr>
      </w:pPr>
    </w:p>
    <w:p w14:paraId="1A561B4D"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Williamson, O.E. (1979) ‘Transaction-Cost Economics: The Governance of Contractual Relations’, </w:t>
      </w:r>
      <w:r w:rsidRPr="00D213B5">
        <w:rPr>
          <w:rFonts w:ascii="Arial" w:hAnsi="Arial" w:cs="Arial"/>
          <w:i/>
          <w:iCs/>
          <w:sz w:val="22"/>
          <w:szCs w:val="22"/>
        </w:rPr>
        <w:t>Journal of Law &amp; Economics</w:t>
      </w:r>
      <w:r w:rsidRPr="00D213B5">
        <w:rPr>
          <w:rFonts w:ascii="Arial" w:hAnsi="Arial" w:cs="Arial"/>
          <w:sz w:val="22"/>
          <w:szCs w:val="22"/>
        </w:rPr>
        <w:t xml:space="preserve">, 22(2), pp. 233–261. Available at: </w:t>
      </w:r>
      <w:hyperlink r:id="rId73" w:tgtFrame="_blank" w:history="1">
        <w:r w:rsidRPr="00D213B5">
          <w:rPr>
            <w:rStyle w:val="Hyperlink"/>
            <w:rFonts w:ascii="Arial" w:hAnsi="Arial" w:cs="Arial"/>
            <w:color w:val="auto"/>
            <w:sz w:val="22"/>
            <w:szCs w:val="22"/>
          </w:rPr>
          <w:t>https://doi.org/10.1086/466942</w:t>
        </w:r>
      </w:hyperlink>
      <w:r w:rsidRPr="00D213B5">
        <w:rPr>
          <w:rFonts w:ascii="Arial" w:hAnsi="Arial" w:cs="Arial"/>
          <w:sz w:val="22"/>
          <w:szCs w:val="22"/>
        </w:rPr>
        <w:t xml:space="preserve"> (Accessed: 21/10/2025).</w:t>
      </w:r>
    </w:p>
    <w:p w14:paraId="332E89D9" w14:textId="77777777" w:rsidR="00167B3D" w:rsidRPr="00D213B5" w:rsidRDefault="00167B3D" w:rsidP="00D213B5">
      <w:pPr>
        <w:spacing w:after="0" w:line="360" w:lineRule="auto"/>
        <w:rPr>
          <w:rFonts w:ascii="Arial" w:hAnsi="Arial" w:cs="Arial"/>
          <w:sz w:val="22"/>
          <w:szCs w:val="22"/>
        </w:rPr>
      </w:pPr>
    </w:p>
    <w:p w14:paraId="74620C12" w14:textId="77777777" w:rsid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Wong, M., Kim, S. and Duerksen, B. (2024) ‘Electric vehicle battery chemistry affects supply chain disruption vulnerabilities’, </w:t>
      </w:r>
      <w:r w:rsidRPr="00D213B5">
        <w:rPr>
          <w:rFonts w:ascii="Arial" w:hAnsi="Arial" w:cs="Arial"/>
          <w:i/>
          <w:iCs/>
          <w:sz w:val="22"/>
          <w:szCs w:val="22"/>
        </w:rPr>
        <w:t>Science Advances</w:t>
      </w:r>
      <w:r w:rsidRPr="00D213B5">
        <w:rPr>
          <w:rFonts w:ascii="Arial" w:hAnsi="Arial" w:cs="Arial"/>
          <w:sz w:val="22"/>
          <w:szCs w:val="22"/>
        </w:rPr>
        <w:t xml:space="preserve">, 10(9), pp. 1–11. Available at: </w:t>
      </w:r>
      <w:hyperlink r:id="rId74" w:tgtFrame="_blank" w:history="1">
        <w:r w:rsidRPr="00D213B5">
          <w:rPr>
            <w:rStyle w:val="Hyperlink"/>
            <w:rFonts w:ascii="Arial" w:hAnsi="Arial" w:cs="Arial"/>
            <w:color w:val="auto"/>
            <w:sz w:val="22"/>
            <w:szCs w:val="22"/>
          </w:rPr>
          <w:t>https://doi.org/10.1126/sciadv.adl2253</w:t>
        </w:r>
      </w:hyperlink>
      <w:r w:rsidRPr="00D213B5">
        <w:rPr>
          <w:rFonts w:ascii="Arial" w:hAnsi="Arial" w:cs="Arial"/>
          <w:sz w:val="22"/>
          <w:szCs w:val="22"/>
        </w:rPr>
        <w:t xml:space="preserve"> (Accessed: 18/11/2025).</w:t>
      </w:r>
    </w:p>
    <w:p w14:paraId="775899C2" w14:textId="77777777" w:rsidR="00167B3D" w:rsidRPr="00D213B5" w:rsidRDefault="00167B3D" w:rsidP="00D213B5">
      <w:pPr>
        <w:spacing w:after="0" w:line="360" w:lineRule="auto"/>
        <w:rPr>
          <w:rFonts w:ascii="Arial" w:hAnsi="Arial" w:cs="Arial"/>
          <w:sz w:val="22"/>
          <w:szCs w:val="22"/>
        </w:rPr>
      </w:pPr>
    </w:p>
    <w:p w14:paraId="70760A18" w14:textId="77777777" w:rsidR="00D213B5" w:rsidRPr="00D213B5" w:rsidRDefault="00D213B5" w:rsidP="00D213B5">
      <w:pPr>
        <w:spacing w:after="0" w:line="360" w:lineRule="auto"/>
        <w:rPr>
          <w:rFonts w:ascii="Arial" w:hAnsi="Arial" w:cs="Arial"/>
          <w:sz w:val="22"/>
          <w:szCs w:val="22"/>
        </w:rPr>
      </w:pPr>
      <w:r w:rsidRPr="00D213B5">
        <w:rPr>
          <w:rFonts w:ascii="Arial" w:hAnsi="Arial" w:cs="Arial"/>
          <w:sz w:val="22"/>
          <w:szCs w:val="22"/>
        </w:rPr>
        <w:t xml:space="preserve">World Bank (2024) </w:t>
      </w:r>
      <w:r w:rsidRPr="00D213B5">
        <w:rPr>
          <w:rFonts w:ascii="Arial" w:hAnsi="Arial" w:cs="Arial"/>
          <w:i/>
          <w:iCs/>
          <w:sz w:val="22"/>
          <w:szCs w:val="22"/>
        </w:rPr>
        <w:t>Brazil Economic Update</w:t>
      </w:r>
      <w:r w:rsidRPr="00D213B5">
        <w:rPr>
          <w:rFonts w:ascii="Arial" w:hAnsi="Arial" w:cs="Arial"/>
          <w:sz w:val="22"/>
          <w:szCs w:val="22"/>
        </w:rPr>
        <w:t xml:space="preserve">. Available at: </w:t>
      </w:r>
      <w:hyperlink r:id="rId75" w:tgtFrame="_blank" w:history="1">
        <w:r w:rsidRPr="00D213B5">
          <w:rPr>
            <w:rStyle w:val="Hyperlink"/>
            <w:rFonts w:ascii="Arial" w:hAnsi="Arial" w:cs="Arial"/>
            <w:color w:val="auto"/>
            <w:sz w:val="22"/>
            <w:szCs w:val="22"/>
          </w:rPr>
          <w:t>https://www.worldbank.org</w:t>
        </w:r>
      </w:hyperlink>
      <w:r w:rsidRPr="00D213B5">
        <w:rPr>
          <w:rFonts w:ascii="Arial" w:hAnsi="Arial" w:cs="Arial"/>
          <w:sz w:val="22"/>
          <w:szCs w:val="22"/>
        </w:rPr>
        <w:t xml:space="preserve"> (Accessed: 18/11/2025).</w:t>
      </w:r>
    </w:p>
    <w:p w14:paraId="606E0324" w14:textId="77777777" w:rsidR="00A01F13" w:rsidRPr="00D67FA0" w:rsidRDefault="00A01F13" w:rsidP="00D213B5">
      <w:pPr>
        <w:spacing w:after="0" w:line="360" w:lineRule="auto"/>
        <w:rPr>
          <w:rFonts w:ascii="Arial" w:hAnsi="Arial" w:cs="Arial"/>
          <w:sz w:val="22"/>
          <w:szCs w:val="22"/>
        </w:rPr>
      </w:pPr>
    </w:p>
    <w:sectPr w:rsidR="00A01F13" w:rsidRPr="00D67FA0" w:rsidSect="002850B2">
      <w:footerReference w:type="defaul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62B3F" w14:textId="77777777" w:rsidR="00EB3A3F" w:rsidRDefault="00EB3A3F" w:rsidP="00AC21C7">
      <w:pPr>
        <w:spacing w:after="0" w:line="240" w:lineRule="auto"/>
      </w:pPr>
      <w:r>
        <w:separator/>
      </w:r>
    </w:p>
  </w:endnote>
  <w:endnote w:type="continuationSeparator" w:id="0">
    <w:p w14:paraId="673F5331" w14:textId="77777777" w:rsidR="00EB3A3F" w:rsidRDefault="00EB3A3F" w:rsidP="00AC2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6729160"/>
      <w:docPartObj>
        <w:docPartGallery w:val="Page Numbers (Bottom of Page)"/>
        <w:docPartUnique/>
      </w:docPartObj>
    </w:sdtPr>
    <w:sdtEndPr>
      <w:rPr>
        <w:noProof/>
      </w:rPr>
    </w:sdtEndPr>
    <w:sdtContent>
      <w:p w14:paraId="3AB1B989" w14:textId="72948889" w:rsidR="00AC21C7" w:rsidRDefault="00AC21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A8694D" w14:textId="77777777" w:rsidR="00AC21C7" w:rsidRDefault="00AC21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E771C" w14:textId="77777777" w:rsidR="00EB3A3F" w:rsidRDefault="00EB3A3F" w:rsidP="00AC21C7">
      <w:pPr>
        <w:spacing w:after="0" w:line="240" w:lineRule="auto"/>
      </w:pPr>
      <w:r>
        <w:separator/>
      </w:r>
    </w:p>
  </w:footnote>
  <w:footnote w:type="continuationSeparator" w:id="0">
    <w:p w14:paraId="3122D5A8" w14:textId="77777777" w:rsidR="00EB3A3F" w:rsidRDefault="00EB3A3F" w:rsidP="00AC21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577FF"/>
    <w:multiLevelType w:val="hybridMultilevel"/>
    <w:tmpl w:val="307A340C"/>
    <w:lvl w:ilvl="0" w:tplc="EABCC4B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306F587B"/>
    <w:multiLevelType w:val="multilevel"/>
    <w:tmpl w:val="816C6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3" w15:restartNumberingAfterBreak="0">
    <w:nsid w:val="51A1542C"/>
    <w:multiLevelType w:val="multilevel"/>
    <w:tmpl w:val="CEC84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657DEC"/>
    <w:multiLevelType w:val="multilevel"/>
    <w:tmpl w:val="1CFE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4E347B"/>
    <w:multiLevelType w:val="hybridMultilevel"/>
    <w:tmpl w:val="21E0E5A4"/>
    <w:lvl w:ilvl="0" w:tplc="9A1EF76A">
      <w:start w:val="2"/>
      <w:numFmt w:val="bullet"/>
      <w:lvlText w:val="-"/>
      <w:lvlJc w:val="left"/>
      <w:pPr>
        <w:ind w:left="927" w:hanging="360"/>
      </w:pPr>
      <w:rPr>
        <w:rFonts w:ascii="Arial" w:eastAsiaTheme="minorHAnsi"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1836458556">
    <w:abstractNumId w:val="2"/>
  </w:num>
  <w:num w:numId="2" w16cid:durableId="1753157442">
    <w:abstractNumId w:val="4"/>
  </w:num>
  <w:num w:numId="3" w16cid:durableId="2085179466">
    <w:abstractNumId w:val="3"/>
  </w:num>
  <w:num w:numId="4" w16cid:durableId="890075746">
    <w:abstractNumId w:val="5"/>
  </w:num>
  <w:num w:numId="5" w16cid:durableId="1211383205">
    <w:abstractNumId w:val="1"/>
  </w:num>
  <w:num w:numId="6" w16cid:durableId="862741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AB3"/>
    <w:rsid w:val="000003C6"/>
    <w:rsid w:val="00002EF1"/>
    <w:rsid w:val="00003A94"/>
    <w:rsid w:val="00004BC5"/>
    <w:rsid w:val="000052BA"/>
    <w:rsid w:val="000065C9"/>
    <w:rsid w:val="00006664"/>
    <w:rsid w:val="00007B96"/>
    <w:rsid w:val="00010008"/>
    <w:rsid w:val="000118D2"/>
    <w:rsid w:val="000123B4"/>
    <w:rsid w:val="00013A83"/>
    <w:rsid w:val="0001441F"/>
    <w:rsid w:val="00017C6C"/>
    <w:rsid w:val="00021009"/>
    <w:rsid w:val="0002116F"/>
    <w:rsid w:val="00023BDF"/>
    <w:rsid w:val="00025086"/>
    <w:rsid w:val="000258AF"/>
    <w:rsid w:val="0002769E"/>
    <w:rsid w:val="00027D1E"/>
    <w:rsid w:val="000302DD"/>
    <w:rsid w:val="00032AB9"/>
    <w:rsid w:val="00032DE9"/>
    <w:rsid w:val="00033608"/>
    <w:rsid w:val="00033EC0"/>
    <w:rsid w:val="000348D5"/>
    <w:rsid w:val="00034DDC"/>
    <w:rsid w:val="00035696"/>
    <w:rsid w:val="0004065B"/>
    <w:rsid w:val="00040AA2"/>
    <w:rsid w:val="00041715"/>
    <w:rsid w:val="000430CC"/>
    <w:rsid w:val="00043316"/>
    <w:rsid w:val="0004695E"/>
    <w:rsid w:val="00046F0D"/>
    <w:rsid w:val="00047E31"/>
    <w:rsid w:val="000501A8"/>
    <w:rsid w:val="000505D6"/>
    <w:rsid w:val="00052710"/>
    <w:rsid w:val="00057786"/>
    <w:rsid w:val="00057D0F"/>
    <w:rsid w:val="000601CF"/>
    <w:rsid w:val="00060EDE"/>
    <w:rsid w:val="0006249A"/>
    <w:rsid w:val="00062F01"/>
    <w:rsid w:val="00064A1F"/>
    <w:rsid w:val="00064EB7"/>
    <w:rsid w:val="00065C11"/>
    <w:rsid w:val="00066673"/>
    <w:rsid w:val="00067410"/>
    <w:rsid w:val="00071044"/>
    <w:rsid w:val="000718F2"/>
    <w:rsid w:val="000727FF"/>
    <w:rsid w:val="00073279"/>
    <w:rsid w:val="00074B29"/>
    <w:rsid w:val="000761D5"/>
    <w:rsid w:val="000811B1"/>
    <w:rsid w:val="00082CD8"/>
    <w:rsid w:val="000832F1"/>
    <w:rsid w:val="000834CF"/>
    <w:rsid w:val="00085DF5"/>
    <w:rsid w:val="00090993"/>
    <w:rsid w:val="00090D93"/>
    <w:rsid w:val="000920A9"/>
    <w:rsid w:val="00092414"/>
    <w:rsid w:val="000955D6"/>
    <w:rsid w:val="00097F04"/>
    <w:rsid w:val="000A0D90"/>
    <w:rsid w:val="000A196C"/>
    <w:rsid w:val="000A32EF"/>
    <w:rsid w:val="000A5DEC"/>
    <w:rsid w:val="000B065C"/>
    <w:rsid w:val="000B21BD"/>
    <w:rsid w:val="000B3A93"/>
    <w:rsid w:val="000B3C3E"/>
    <w:rsid w:val="000B3F17"/>
    <w:rsid w:val="000B4A78"/>
    <w:rsid w:val="000B5D8D"/>
    <w:rsid w:val="000B7722"/>
    <w:rsid w:val="000C194C"/>
    <w:rsid w:val="000C37DA"/>
    <w:rsid w:val="000C48DF"/>
    <w:rsid w:val="000C67E5"/>
    <w:rsid w:val="000C7E5E"/>
    <w:rsid w:val="000D0200"/>
    <w:rsid w:val="000D22DE"/>
    <w:rsid w:val="000D2AD6"/>
    <w:rsid w:val="000D2BF7"/>
    <w:rsid w:val="000D438F"/>
    <w:rsid w:val="000D4E18"/>
    <w:rsid w:val="000D52E7"/>
    <w:rsid w:val="000D5D7F"/>
    <w:rsid w:val="000D6903"/>
    <w:rsid w:val="000E0AA5"/>
    <w:rsid w:val="000E38F7"/>
    <w:rsid w:val="000E45E1"/>
    <w:rsid w:val="000E609F"/>
    <w:rsid w:val="000F254C"/>
    <w:rsid w:val="000F3A55"/>
    <w:rsid w:val="000F4230"/>
    <w:rsid w:val="000F440B"/>
    <w:rsid w:val="000F4B97"/>
    <w:rsid w:val="000F4E84"/>
    <w:rsid w:val="000F65F9"/>
    <w:rsid w:val="00102550"/>
    <w:rsid w:val="00103ADD"/>
    <w:rsid w:val="00104714"/>
    <w:rsid w:val="00106B51"/>
    <w:rsid w:val="001127A0"/>
    <w:rsid w:val="00112861"/>
    <w:rsid w:val="001138C9"/>
    <w:rsid w:val="00115925"/>
    <w:rsid w:val="00116E77"/>
    <w:rsid w:val="0011797D"/>
    <w:rsid w:val="00120FE0"/>
    <w:rsid w:val="00122A65"/>
    <w:rsid w:val="00122ACF"/>
    <w:rsid w:val="00123A09"/>
    <w:rsid w:val="0012480C"/>
    <w:rsid w:val="00124DA9"/>
    <w:rsid w:val="0012573B"/>
    <w:rsid w:val="00125768"/>
    <w:rsid w:val="00125B22"/>
    <w:rsid w:val="00125BAD"/>
    <w:rsid w:val="00130F3B"/>
    <w:rsid w:val="00132D08"/>
    <w:rsid w:val="0013309D"/>
    <w:rsid w:val="001330A3"/>
    <w:rsid w:val="00133F8D"/>
    <w:rsid w:val="0013532E"/>
    <w:rsid w:val="00135B16"/>
    <w:rsid w:val="001400BA"/>
    <w:rsid w:val="0014096C"/>
    <w:rsid w:val="00141190"/>
    <w:rsid w:val="0014273A"/>
    <w:rsid w:val="00145737"/>
    <w:rsid w:val="00150FFE"/>
    <w:rsid w:val="00156DDE"/>
    <w:rsid w:val="00161044"/>
    <w:rsid w:val="00161F01"/>
    <w:rsid w:val="0016300D"/>
    <w:rsid w:val="00165F1F"/>
    <w:rsid w:val="00167980"/>
    <w:rsid w:val="00167B3D"/>
    <w:rsid w:val="00167D58"/>
    <w:rsid w:val="001700CC"/>
    <w:rsid w:val="001713BA"/>
    <w:rsid w:val="0017248B"/>
    <w:rsid w:val="001724F6"/>
    <w:rsid w:val="001744AC"/>
    <w:rsid w:val="00175D6F"/>
    <w:rsid w:val="00180B05"/>
    <w:rsid w:val="00182D56"/>
    <w:rsid w:val="0018429F"/>
    <w:rsid w:val="0018685A"/>
    <w:rsid w:val="00187D1C"/>
    <w:rsid w:val="001919DC"/>
    <w:rsid w:val="00191EF8"/>
    <w:rsid w:val="001941BF"/>
    <w:rsid w:val="00194426"/>
    <w:rsid w:val="001974D3"/>
    <w:rsid w:val="001A05EA"/>
    <w:rsid w:val="001A2F98"/>
    <w:rsid w:val="001A3031"/>
    <w:rsid w:val="001A3122"/>
    <w:rsid w:val="001A31A9"/>
    <w:rsid w:val="001A3E83"/>
    <w:rsid w:val="001A4104"/>
    <w:rsid w:val="001A419B"/>
    <w:rsid w:val="001A504E"/>
    <w:rsid w:val="001A5DB8"/>
    <w:rsid w:val="001A61BF"/>
    <w:rsid w:val="001A746C"/>
    <w:rsid w:val="001B0706"/>
    <w:rsid w:val="001B238F"/>
    <w:rsid w:val="001B336E"/>
    <w:rsid w:val="001B463A"/>
    <w:rsid w:val="001B5FB3"/>
    <w:rsid w:val="001B73DB"/>
    <w:rsid w:val="001B764D"/>
    <w:rsid w:val="001C0156"/>
    <w:rsid w:val="001C1592"/>
    <w:rsid w:val="001C2A80"/>
    <w:rsid w:val="001C2CC4"/>
    <w:rsid w:val="001C2D2C"/>
    <w:rsid w:val="001C3144"/>
    <w:rsid w:val="001C315E"/>
    <w:rsid w:val="001C348B"/>
    <w:rsid w:val="001C56ED"/>
    <w:rsid w:val="001C5A13"/>
    <w:rsid w:val="001C5C2E"/>
    <w:rsid w:val="001D01E3"/>
    <w:rsid w:val="001D190A"/>
    <w:rsid w:val="001D2A78"/>
    <w:rsid w:val="001D3327"/>
    <w:rsid w:val="001D4CBE"/>
    <w:rsid w:val="001D5190"/>
    <w:rsid w:val="001D60C7"/>
    <w:rsid w:val="001D69DB"/>
    <w:rsid w:val="001D7727"/>
    <w:rsid w:val="001E0B3F"/>
    <w:rsid w:val="001E103D"/>
    <w:rsid w:val="001E3396"/>
    <w:rsid w:val="001E3C46"/>
    <w:rsid w:val="001E4C0C"/>
    <w:rsid w:val="001E696B"/>
    <w:rsid w:val="001E7226"/>
    <w:rsid w:val="001E76AC"/>
    <w:rsid w:val="001F1A4D"/>
    <w:rsid w:val="001F1E20"/>
    <w:rsid w:val="001F54BD"/>
    <w:rsid w:val="001F602F"/>
    <w:rsid w:val="001F65CD"/>
    <w:rsid w:val="00200245"/>
    <w:rsid w:val="00200EC2"/>
    <w:rsid w:val="0020185D"/>
    <w:rsid w:val="00201C21"/>
    <w:rsid w:val="00204D9B"/>
    <w:rsid w:val="00206D12"/>
    <w:rsid w:val="002073FD"/>
    <w:rsid w:val="00210798"/>
    <w:rsid w:val="00210A4C"/>
    <w:rsid w:val="002117A9"/>
    <w:rsid w:val="00213883"/>
    <w:rsid w:val="002148CA"/>
    <w:rsid w:val="00214D89"/>
    <w:rsid w:val="00215527"/>
    <w:rsid w:val="00217029"/>
    <w:rsid w:val="00220185"/>
    <w:rsid w:val="002215CC"/>
    <w:rsid w:val="002257AF"/>
    <w:rsid w:val="00225948"/>
    <w:rsid w:val="002264FC"/>
    <w:rsid w:val="00226539"/>
    <w:rsid w:val="00227643"/>
    <w:rsid w:val="002278E7"/>
    <w:rsid w:val="00234240"/>
    <w:rsid w:val="00235AA2"/>
    <w:rsid w:val="002371BC"/>
    <w:rsid w:val="00241C3B"/>
    <w:rsid w:val="00243D71"/>
    <w:rsid w:val="00243DAC"/>
    <w:rsid w:val="00244D66"/>
    <w:rsid w:val="00246203"/>
    <w:rsid w:val="00256396"/>
    <w:rsid w:val="00256CE2"/>
    <w:rsid w:val="002571FD"/>
    <w:rsid w:val="002606E4"/>
    <w:rsid w:val="00260E1E"/>
    <w:rsid w:val="0026357A"/>
    <w:rsid w:val="002644D9"/>
    <w:rsid w:val="00264839"/>
    <w:rsid w:val="00265604"/>
    <w:rsid w:val="00265C7E"/>
    <w:rsid w:val="00272329"/>
    <w:rsid w:val="00274BC1"/>
    <w:rsid w:val="00274F85"/>
    <w:rsid w:val="002758A7"/>
    <w:rsid w:val="002771B3"/>
    <w:rsid w:val="00280122"/>
    <w:rsid w:val="00281480"/>
    <w:rsid w:val="00281C09"/>
    <w:rsid w:val="0028269B"/>
    <w:rsid w:val="0028371D"/>
    <w:rsid w:val="002850B2"/>
    <w:rsid w:val="00285315"/>
    <w:rsid w:val="00286A5A"/>
    <w:rsid w:val="0029289A"/>
    <w:rsid w:val="00296DC4"/>
    <w:rsid w:val="002A13CA"/>
    <w:rsid w:val="002A2DD7"/>
    <w:rsid w:val="002A57DC"/>
    <w:rsid w:val="002B15D6"/>
    <w:rsid w:val="002B1B6A"/>
    <w:rsid w:val="002B5598"/>
    <w:rsid w:val="002B5FE5"/>
    <w:rsid w:val="002B74A4"/>
    <w:rsid w:val="002B7ECF"/>
    <w:rsid w:val="002C004B"/>
    <w:rsid w:val="002C2B6F"/>
    <w:rsid w:val="002C3BF6"/>
    <w:rsid w:val="002C5950"/>
    <w:rsid w:val="002C5A07"/>
    <w:rsid w:val="002C5C4C"/>
    <w:rsid w:val="002C7147"/>
    <w:rsid w:val="002C77D7"/>
    <w:rsid w:val="002C7972"/>
    <w:rsid w:val="002D0988"/>
    <w:rsid w:val="002D20C1"/>
    <w:rsid w:val="002D2598"/>
    <w:rsid w:val="002D25EC"/>
    <w:rsid w:val="002D3591"/>
    <w:rsid w:val="002D41F2"/>
    <w:rsid w:val="002D694A"/>
    <w:rsid w:val="002E083E"/>
    <w:rsid w:val="002E2DF8"/>
    <w:rsid w:val="002E311F"/>
    <w:rsid w:val="002E4E93"/>
    <w:rsid w:val="002F05A6"/>
    <w:rsid w:val="002F0BB5"/>
    <w:rsid w:val="002F122A"/>
    <w:rsid w:val="002F2AF8"/>
    <w:rsid w:val="002F2F31"/>
    <w:rsid w:val="002F5FEF"/>
    <w:rsid w:val="002F6F91"/>
    <w:rsid w:val="00302952"/>
    <w:rsid w:val="00304D59"/>
    <w:rsid w:val="00305E22"/>
    <w:rsid w:val="00305ED9"/>
    <w:rsid w:val="00310480"/>
    <w:rsid w:val="00313614"/>
    <w:rsid w:val="0031421B"/>
    <w:rsid w:val="00317EC9"/>
    <w:rsid w:val="00320977"/>
    <w:rsid w:val="00326098"/>
    <w:rsid w:val="003260FD"/>
    <w:rsid w:val="0032763F"/>
    <w:rsid w:val="00330735"/>
    <w:rsid w:val="003321DC"/>
    <w:rsid w:val="00332BB3"/>
    <w:rsid w:val="00333717"/>
    <w:rsid w:val="0033474A"/>
    <w:rsid w:val="003352C6"/>
    <w:rsid w:val="0033670E"/>
    <w:rsid w:val="00337CEA"/>
    <w:rsid w:val="00342AD1"/>
    <w:rsid w:val="00343969"/>
    <w:rsid w:val="00344769"/>
    <w:rsid w:val="00345132"/>
    <w:rsid w:val="0034696A"/>
    <w:rsid w:val="00347661"/>
    <w:rsid w:val="00352E56"/>
    <w:rsid w:val="00353EFA"/>
    <w:rsid w:val="003560DF"/>
    <w:rsid w:val="00356EA7"/>
    <w:rsid w:val="00360D7B"/>
    <w:rsid w:val="00360F52"/>
    <w:rsid w:val="003627EF"/>
    <w:rsid w:val="003634CD"/>
    <w:rsid w:val="003665EA"/>
    <w:rsid w:val="00366A43"/>
    <w:rsid w:val="0036793A"/>
    <w:rsid w:val="003723D4"/>
    <w:rsid w:val="0037505C"/>
    <w:rsid w:val="00383CFF"/>
    <w:rsid w:val="003845C6"/>
    <w:rsid w:val="00385A95"/>
    <w:rsid w:val="003865A5"/>
    <w:rsid w:val="003909D9"/>
    <w:rsid w:val="00391FAA"/>
    <w:rsid w:val="00392E06"/>
    <w:rsid w:val="003962A6"/>
    <w:rsid w:val="003A0277"/>
    <w:rsid w:val="003A15E1"/>
    <w:rsid w:val="003A43A9"/>
    <w:rsid w:val="003A5481"/>
    <w:rsid w:val="003A7E3D"/>
    <w:rsid w:val="003B2629"/>
    <w:rsid w:val="003B3FAC"/>
    <w:rsid w:val="003B649A"/>
    <w:rsid w:val="003B6FC1"/>
    <w:rsid w:val="003B7BBC"/>
    <w:rsid w:val="003B7C41"/>
    <w:rsid w:val="003C0F17"/>
    <w:rsid w:val="003C0F81"/>
    <w:rsid w:val="003C198B"/>
    <w:rsid w:val="003C39C0"/>
    <w:rsid w:val="003C52B1"/>
    <w:rsid w:val="003C702E"/>
    <w:rsid w:val="003C7173"/>
    <w:rsid w:val="003C7DF0"/>
    <w:rsid w:val="003D08B0"/>
    <w:rsid w:val="003D1F16"/>
    <w:rsid w:val="003D317B"/>
    <w:rsid w:val="003D5BF9"/>
    <w:rsid w:val="003D5E1E"/>
    <w:rsid w:val="003D6A24"/>
    <w:rsid w:val="003D7EB4"/>
    <w:rsid w:val="003E1B14"/>
    <w:rsid w:val="003E2ECF"/>
    <w:rsid w:val="003E38DE"/>
    <w:rsid w:val="003F21CE"/>
    <w:rsid w:val="003F2341"/>
    <w:rsid w:val="003F24B9"/>
    <w:rsid w:val="003F269D"/>
    <w:rsid w:val="003F2D6D"/>
    <w:rsid w:val="003F3473"/>
    <w:rsid w:val="003F35B1"/>
    <w:rsid w:val="003F4676"/>
    <w:rsid w:val="003F5511"/>
    <w:rsid w:val="003F757D"/>
    <w:rsid w:val="00407D6B"/>
    <w:rsid w:val="00410BB5"/>
    <w:rsid w:val="00412753"/>
    <w:rsid w:val="004130F1"/>
    <w:rsid w:val="00413BF5"/>
    <w:rsid w:val="00413DD2"/>
    <w:rsid w:val="00413E7D"/>
    <w:rsid w:val="00414288"/>
    <w:rsid w:val="00416B61"/>
    <w:rsid w:val="00416E48"/>
    <w:rsid w:val="0041779A"/>
    <w:rsid w:val="00420103"/>
    <w:rsid w:val="0042019E"/>
    <w:rsid w:val="0042279A"/>
    <w:rsid w:val="00423278"/>
    <w:rsid w:val="004237B6"/>
    <w:rsid w:val="00424CE9"/>
    <w:rsid w:val="004253CE"/>
    <w:rsid w:val="00430095"/>
    <w:rsid w:val="0043207B"/>
    <w:rsid w:val="00433588"/>
    <w:rsid w:val="0043401C"/>
    <w:rsid w:val="00434D32"/>
    <w:rsid w:val="00435547"/>
    <w:rsid w:val="0043587A"/>
    <w:rsid w:val="004365C9"/>
    <w:rsid w:val="00440536"/>
    <w:rsid w:val="00440568"/>
    <w:rsid w:val="00442D86"/>
    <w:rsid w:val="00443E34"/>
    <w:rsid w:val="004505CA"/>
    <w:rsid w:val="004514BF"/>
    <w:rsid w:val="00451C1D"/>
    <w:rsid w:val="00453531"/>
    <w:rsid w:val="00453872"/>
    <w:rsid w:val="00455080"/>
    <w:rsid w:val="004569BB"/>
    <w:rsid w:val="00461A99"/>
    <w:rsid w:val="00462498"/>
    <w:rsid w:val="00464D71"/>
    <w:rsid w:val="00465169"/>
    <w:rsid w:val="00466101"/>
    <w:rsid w:val="00472472"/>
    <w:rsid w:val="0047348A"/>
    <w:rsid w:val="004758A9"/>
    <w:rsid w:val="00476393"/>
    <w:rsid w:val="00476E3E"/>
    <w:rsid w:val="00480B0C"/>
    <w:rsid w:val="004821B2"/>
    <w:rsid w:val="00482C6A"/>
    <w:rsid w:val="00484644"/>
    <w:rsid w:val="00485763"/>
    <w:rsid w:val="00487984"/>
    <w:rsid w:val="00487DDC"/>
    <w:rsid w:val="00493783"/>
    <w:rsid w:val="004952CE"/>
    <w:rsid w:val="0049663B"/>
    <w:rsid w:val="004A0F5C"/>
    <w:rsid w:val="004A2D83"/>
    <w:rsid w:val="004A337F"/>
    <w:rsid w:val="004A3DF9"/>
    <w:rsid w:val="004A66CE"/>
    <w:rsid w:val="004B3907"/>
    <w:rsid w:val="004B44B9"/>
    <w:rsid w:val="004B50D1"/>
    <w:rsid w:val="004B614C"/>
    <w:rsid w:val="004B7FC1"/>
    <w:rsid w:val="004C012D"/>
    <w:rsid w:val="004C01D0"/>
    <w:rsid w:val="004C0F19"/>
    <w:rsid w:val="004C11EA"/>
    <w:rsid w:val="004C1D5F"/>
    <w:rsid w:val="004C22FB"/>
    <w:rsid w:val="004C2D92"/>
    <w:rsid w:val="004D13C3"/>
    <w:rsid w:val="004D3F1B"/>
    <w:rsid w:val="004D431B"/>
    <w:rsid w:val="004D44D2"/>
    <w:rsid w:val="004D494C"/>
    <w:rsid w:val="004D617E"/>
    <w:rsid w:val="004D6677"/>
    <w:rsid w:val="004D7C5F"/>
    <w:rsid w:val="004E015C"/>
    <w:rsid w:val="004E04D2"/>
    <w:rsid w:val="004E2626"/>
    <w:rsid w:val="004E3DC8"/>
    <w:rsid w:val="004E3EAD"/>
    <w:rsid w:val="004E6C50"/>
    <w:rsid w:val="004F00E8"/>
    <w:rsid w:val="004F0DB6"/>
    <w:rsid w:val="004F1BC9"/>
    <w:rsid w:val="004F3957"/>
    <w:rsid w:val="004F63B7"/>
    <w:rsid w:val="004F73A9"/>
    <w:rsid w:val="004F7700"/>
    <w:rsid w:val="004F7CA1"/>
    <w:rsid w:val="00500FEB"/>
    <w:rsid w:val="0050308F"/>
    <w:rsid w:val="00505E08"/>
    <w:rsid w:val="005068E3"/>
    <w:rsid w:val="005072A8"/>
    <w:rsid w:val="00507F1B"/>
    <w:rsid w:val="00510411"/>
    <w:rsid w:val="00510844"/>
    <w:rsid w:val="0051380D"/>
    <w:rsid w:val="0051442B"/>
    <w:rsid w:val="00514E00"/>
    <w:rsid w:val="00515828"/>
    <w:rsid w:val="00515AE1"/>
    <w:rsid w:val="0051640D"/>
    <w:rsid w:val="00521770"/>
    <w:rsid w:val="00521FBD"/>
    <w:rsid w:val="005231F6"/>
    <w:rsid w:val="00523E17"/>
    <w:rsid w:val="00523EAC"/>
    <w:rsid w:val="00525800"/>
    <w:rsid w:val="0052597E"/>
    <w:rsid w:val="00525F16"/>
    <w:rsid w:val="005266CF"/>
    <w:rsid w:val="0053152C"/>
    <w:rsid w:val="005344A9"/>
    <w:rsid w:val="0053458E"/>
    <w:rsid w:val="005345BC"/>
    <w:rsid w:val="00534C34"/>
    <w:rsid w:val="00535D5C"/>
    <w:rsid w:val="00536776"/>
    <w:rsid w:val="005367B5"/>
    <w:rsid w:val="005408D0"/>
    <w:rsid w:val="00542F83"/>
    <w:rsid w:val="00544FA4"/>
    <w:rsid w:val="0054568B"/>
    <w:rsid w:val="00550C7E"/>
    <w:rsid w:val="00551DA6"/>
    <w:rsid w:val="00555746"/>
    <w:rsid w:val="0055667A"/>
    <w:rsid w:val="00557A0B"/>
    <w:rsid w:val="00560828"/>
    <w:rsid w:val="005616BF"/>
    <w:rsid w:val="005636D9"/>
    <w:rsid w:val="00563D16"/>
    <w:rsid w:val="005648FF"/>
    <w:rsid w:val="0057120D"/>
    <w:rsid w:val="00572C0E"/>
    <w:rsid w:val="00576E1A"/>
    <w:rsid w:val="0057772C"/>
    <w:rsid w:val="00580411"/>
    <w:rsid w:val="0058110B"/>
    <w:rsid w:val="00582A9E"/>
    <w:rsid w:val="0058300F"/>
    <w:rsid w:val="00585C04"/>
    <w:rsid w:val="00590AD5"/>
    <w:rsid w:val="00592075"/>
    <w:rsid w:val="00592CA6"/>
    <w:rsid w:val="00593699"/>
    <w:rsid w:val="005946FF"/>
    <w:rsid w:val="005951B1"/>
    <w:rsid w:val="005A038C"/>
    <w:rsid w:val="005A6A8A"/>
    <w:rsid w:val="005B385B"/>
    <w:rsid w:val="005B4637"/>
    <w:rsid w:val="005B4C5A"/>
    <w:rsid w:val="005B5185"/>
    <w:rsid w:val="005B5EB2"/>
    <w:rsid w:val="005B65C3"/>
    <w:rsid w:val="005C0277"/>
    <w:rsid w:val="005C06E9"/>
    <w:rsid w:val="005C0B46"/>
    <w:rsid w:val="005C1DFE"/>
    <w:rsid w:val="005C2ACA"/>
    <w:rsid w:val="005C34C3"/>
    <w:rsid w:val="005C3830"/>
    <w:rsid w:val="005C45BA"/>
    <w:rsid w:val="005C4935"/>
    <w:rsid w:val="005C5031"/>
    <w:rsid w:val="005C5756"/>
    <w:rsid w:val="005C5AC7"/>
    <w:rsid w:val="005C5BE1"/>
    <w:rsid w:val="005C66B2"/>
    <w:rsid w:val="005D0D6C"/>
    <w:rsid w:val="005D60D6"/>
    <w:rsid w:val="005E01FD"/>
    <w:rsid w:val="005E293A"/>
    <w:rsid w:val="005E29AF"/>
    <w:rsid w:val="005E2B0A"/>
    <w:rsid w:val="005E476D"/>
    <w:rsid w:val="005E585E"/>
    <w:rsid w:val="005F3E5A"/>
    <w:rsid w:val="005F4733"/>
    <w:rsid w:val="0060137C"/>
    <w:rsid w:val="00602269"/>
    <w:rsid w:val="0060766D"/>
    <w:rsid w:val="00612001"/>
    <w:rsid w:val="00612A79"/>
    <w:rsid w:val="006133FF"/>
    <w:rsid w:val="00613750"/>
    <w:rsid w:val="00613CDD"/>
    <w:rsid w:val="0061439F"/>
    <w:rsid w:val="006149FC"/>
    <w:rsid w:val="006159AE"/>
    <w:rsid w:val="006172C3"/>
    <w:rsid w:val="0061771D"/>
    <w:rsid w:val="00617F2F"/>
    <w:rsid w:val="00622BC3"/>
    <w:rsid w:val="00623BFD"/>
    <w:rsid w:val="006242B1"/>
    <w:rsid w:val="00625036"/>
    <w:rsid w:val="00625587"/>
    <w:rsid w:val="006256D9"/>
    <w:rsid w:val="00626074"/>
    <w:rsid w:val="00627EC3"/>
    <w:rsid w:val="00631C74"/>
    <w:rsid w:val="00633014"/>
    <w:rsid w:val="00633D10"/>
    <w:rsid w:val="0063400C"/>
    <w:rsid w:val="006340B5"/>
    <w:rsid w:val="0063666F"/>
    <w:rsid w:val="00636910"/>
    <w:rsid w:val="006402FC"/>
    <w:rsid w:val="00641084"/>
    <w:rsid w:val="00641EBF"/>
    <w:rsid w:val="00643906"/>
    <w:rsid w:val="00644481"/>
    <w:rsid w:val="00646947"/>
    <w:rsid w:val="00647C54"/>
    <w:rsid w:val="0065267F"/>
    <w:rsid w:val="00653D9E"/>
    <w:rsid w:val="00654107"/>
    <w:rsid w:val="00654D0F"/>
    <w:rsid w:val="006554C7"/>
    <w:rsid w:val="00661AD1"/>
    <w:rsid w:val="00664261"/>
    <w:rsid w:val="00667720"/>
    <w:rsid w:val="00667AAA"/>
    <w:rsid w:val="00667B9A"/>
    <w:rsid w:val="006720F3"/>
    <w:rsid w:val="006735F3"/>
    <w:rsid w:val="006763E5"/>
    <w:rsid w:val="006809F2"/>
    <w:rsid w:val="006825A7"/>
    <w:rsid w:val="00683B7F"/>
    <w:rsid w:val="0068421D"/>
    <w:rsid w:val="00684A9A"/>
    <w:rsid w:val="00685472"/>
    <w:rsid w:val="006876F7"/>
    <w:rsid w:val="006901B0"/>
    <w:rsid w:val="006905F4"/>
    <w:rsid w:val="00690EA8"/>
    <w:rsid w:val="0069609A"/>
    <w:rsid w:val="00696639"/>
    <w:rsid w:val="006968CD"/>
    <w:rsid w:val="00696B09"/>
    <w:rsid w:val="00697C5A"/>
    <w:rsid w:val="006A0469"/>
    <w:rsid w:val="006A2456"/>
    <w:rsid w:val="006A4BD4"/>
    <w:rsid w:val="006A513D"/>
    <w:rsid w:val="006A5215"/>
    <w:rsid w:val="006A6A5B"/>
    <w:rsid w:val="006A6E72"/>
    <w:rsid w:val="006B2145"/>
    <w:rsid w:val="006B3EB5"/>
    <w:rsid w:val="006C060B"/>
    <w:rsid w:val="006C0787"/>
    <w:rsid w:val="006C0B98"/>
    <w:rsid w:val="006C1038"/>
    <w:rsid w:val="006C15D6"/>
    <w:rsid w:val="006C182B"/>
    <w:rsid w:val="006C306E"/>
    <w:rsid w:val="006C42B0"/>
    <w:rsid w:val="006C489B"/>
    <w:rsid w:val="006C62BB"/>
    <w:rsid w:val="006D06B3"/>
    <w:rsid w:val="006D378B"/>
    <w:rsid w:val="006D3B90"/>
    <w:rsid w:val="006D52EE"/>
    <w:rsid w:val="006D5FEB"/>
    <w:rsid w:val="006E13FC"/>
    <w:rsid w:val="006E5354"/>
    <w:rsid w:val="006E5A27"/>
    <w:rsid w:val="006E7145"/>
    <w:rsid w:val="006F13BB"/>
    <w:rsid w:val="006F3A76"/>
    <w:rsid w:val="006F547F"/>
    <w:rsid w:val="00700F66"/>
    <w:rsid w:val="007024E0"/>
    <w:rsid w:val="00703783"/>
    <w:rsid w:val="007145B2"/>
    <w:rsid w:val="00716290"/>
    <w:rsid w:val="00716519"/>
    <w:rsid w:val="00717C16"/>
    <w:rsid w:val="00717D6B"/>
    <w:rsid w:val="00720926"/>
    <w:rsid w:val="00722FE2"/>
    <w:rsid w:val="00723203"/>
    <w:rsid w:val="00724709"/>
    <w:rsid w:val="00726CBF"/>
    <w:rsid w:val="00732BF3"/>
    <w:rsid w:val="00735281"/>
    <w:rsid w:val="00737B4A"/>
    <w:rsid w:val="00740549"/>
    <w:rsid w:val="007406CD"/>
    <w:rsid w:val="0074192D"/>
    <w:rsid w:val="00741FFF"/>
    <w:rsid w:val="007430B0"/>
    <w:rsid w:val="0074429A"/>
    <w:rsid w:val="0074562C"/>
    <w:rsid w:val="00745DDD"/>
    <w:rsid w:val="007466F5"/>
    <w:rsid w:val="00746F9F"/>
    <w:rsid w:val="00747618"/>
    <w:rsid w:val="00751B61"/>
    <w:rsid w:val="00752564"/>
    <w:rsid w:val="0075797E"/>
    <w:rsid w:val="00761BAB"/>
    <w:rsid w:val="00761BB3"/>
    <w:rsid w:val="007624C5"/>
    <w:rsid w:val="007633F8"/>
    <w:rsid w:val="0076357C"/>
    <w:rsid w:val="00764886"/>
    <w:rsid w:val="00765616"/>
    <w:rsid w:val="00772A0C"/>
    <w:rsid w:val="007763EF"/>
    <w:rsid w:val="00776417"/>
    <w:rsid w:val="00776D41"/>
    <w:rsid w:val="00780392"/>
    <w:rsid w:val="00780CCB"/>
    <w:rsid w:val="00781EEF"/>
    <w:rsid w:val="00782A84"/>
    <w:rsid w:val="007840D6"/>
    <w:rsid w:val="00786604"/>
    <w:rsid w:val="00790915"/>
    <w:rsid w:val="0079102E"/>
    <w:rsid w:val="00794F45"/>
    <w:rsid w:val="007956A0"/>
    <w:rsid w:val="007974E5"/>
    <w:rsid w:val="00797847"/>
    <w:rsid w:val="007A0B7D"/>
    <w:rsid w:val="007A0D1D"/>
    <w:rsid w:val="007A27CC"/>
    <w:rsid w:val="007A2DBF"/>
    <w:rsid w:val="007A38B5"/>
    <w:rsid w:val="007A3946"/>
    <w:rsid w:val="007A52B6"/>
    <w:rsid w:val="007A65DE"/>
    <w:rsid w:val="007A7127"/>
    <w:rsid w:val="007A75CA"/>
    <w:rsid w:val="007B0AB7"/>
    <w:rsid w:val="007B1EBF"/>
    <w:rsid w:val="007B2786"/>
    <w:rsid w:val="007B513F"/>
    <w:rsid w:val="007B5392"/>
    <w:rsid w:val="007B66EB"/>
    <w:rsid w:val="007B7235"/>
    <w:rsid w:val="007B79FC"/>
    <w:rsid w:val="007C0FC2"/>
    <w:rsid w:val="007C261D"/>
    <w:rsid w:val="007C2BAE"/>
    <w:rsid w:val="007C4735"/>
    <w:rsid w:val="007C765F"/>
    <w:rsid w:val="007D497E"/>
    <w:rsid w:val="007D5244"/>
    <w:rsid w:val="007D7457"/>
    <w:rsid w:val="007D791A"/>
    <w:rsid w:val="007E12FC"/>
    <w:rsid w:val="007E388D"/>
    <w:rsid w:val="007E3A69"/>
    <w:rsid w:val="007E4F15"/>
    <w:rsid w:val="007E4FA9"/>
    <w:rsid w:val="007E5CBC"/>
    <w:rsid w:val="007F0C6A"/>
    <w:rsid w:val="007F11FC"/>
    <w:rsid w:val="007F1401"/>
    <w:rsid w:val="007F5603"/>
    <w:rsid w:val="007F5B50"/>
    <w:rsid w:val="007F6425"/>
    <w:rsid w:val="007F7A4E"/>
    <w:rsid w:val="0080168D"/>
    <w:rsid w:val="00804264"/>
    <w:rsid w:val="00806AB1"/>
    <w:rsid w:val="0080700A"/>
    <w:rsid w:val="0081005C"/>
    <w:rsid w:val="00810A0E"/>
    <w:rsid w:val="00812790"/>
    <w:rsid w:val="008128D9"/>
    <w:rsid w:val="00812CAE"/>
    <w:rsid w:val="008156D2"/>
    <w:rsid w:val="00815E7B"/>
    <w:rsid w:val="00816622"/>
    <w:rsid w:val="0082101A"/>
    <w:rsid w:val="00821BDB"/>
    <w:rsid w:val="00823DCE"/>
    <w:rsid w:val="00824752"/>
    <w:rsid w:val="00825259"/>
    <w:rsid w:val="008252B9"/>
    <w:rsid w:val="0082634B"/>
    <w:rsid w:val="00827245"/>
    <w:rsid w:val="008275F3"/>
    <w:rsid w:val="00833118"/>
    <w:rsid w:val="00840127"/>
    <w:rsid w:val="00840F0B"/>
    <w:rsid w:val="00841560"/>
    <w:rsid w:val="008451D8"/>
    <w:rsid w:val="008509D4"/>
    <w:rsid w:val="0085354B"/>
    <w:rsid w:val="00856DFD"/>
    <w:rsid w:val="0085729B"/>
    <w:rsid w:val="0086195E"/>
    <w:rsid w:val="00865141"/>
    <w:rsid w:val="00865A42"/>
    <w:rsid w:val="00865A9C"/>
    <w:rsid w:val="00866258"/>
    <w:rsid w:val="0086666C"/>
    <w:rsid w:val="00866863"/>
    <w:rsid w:val="00866B8F"/>
    <w:rsid w:val="0087369A"/>
    <w:rsid w:val="00873AB3"/>
    <w:rsid w:val="00874785"/>
    <w:rsid w:val="008750F6"/>
    <w:rsid w:val="00887292"/>
    <w:rsid w:val="00892F85"/>
    <w:rsid w:val="00896851"/>
    <w:rsid w:val="008A1EDC"/>
    <w:rsid w:val="008A38F3"/>
    <w:rsid w:val="008A3EED"/>
    <w:rsid w:val="008A40DC"/>
    <w:rsid w:val="008A6E9D"/>
    <w:rsid w:val="008A7321"/>
    <w:rsid w:val="008A7E13"/>
    <w:rsid w:val="008B04AB"/>
    <w:rsid w:val="008B1A36"/>
    <w:rsid w:val="008B1D37"/>
    <w:rsid w:val="008B20B2"/>
    <w:rsid w:val="008B348C"/>
    <w:rsid w:val="008B38C7"/>
    <w:rsid w:val="008B5A43"/>
    <w:rsid w:val="008B5E53"/>
    <w:rsid w:val="008B6039"/>
    <w:rsid w:val="008B7AC7"/>
    <w:rsid w:val="008C0964"/>
    <w:rsid w:val="008C0BE0"/>
    <w:rsid w:val="008C1EB4"/>
    <w:rsid w:val="008C3DFE"/>
    <w:rsid w:val="008C5F93"/>
    <w:rsid w:val="008C6B13"/>
    <w:rsid w:val="008D0580"/>
    <w:rsid w:val="008D5AB2"/>
    <w:rsid w:val="008D74D1"/>
    <w:rsid w:val="008D7EA1"/>
    <w:rsid w:val="008D7F24"/>
    <w:rsid w:val="008E0CE0"/>
    <w:rsid w:val="008E2616"/>
    <w:rsid w:val="008E5887"/>
    <w:rsid w:val="008E72E7"/>
    <w:rsid w:val="008E7440"/>
    <w:rsid w:val="008F083F"/>
    <w:rsid w:val="008F0C32"/>
    <w:rsid w:val="008F0FC3"/>
    <w:rsid w:val="008F16FE"/>
    <w:rsid w:val="008F2C82"/>
    <w:rsid w:val="008F5303"/>
    <w:rsid w:val="008F60BE"/>
    <w:rsid w:val="00903ACB"/>
    <w:rsid w:val="0090485B"/>
    <w:rsid w:val="00910355"/>
    <w:rsid w:val="00910E53"/>
    <w:rsid w:val="0091123D"/>
    <w:rsid w:val="00912E1D"/>
    <w:rsid w:val="00913075"/>
    <w:rsid w:val="0091466A"/>
    <w:rsid w:val="0091648F"/>
    <w:rsid w:val="00917814"/>
    <w:rsid w:val="009250A8"/>
    <w:rsid w:val="00925266"/>
    <w:rsid w:val="009255C4"/>
    <w:rsid w:val="009259FD"/>
    <w:rsid w:val="0092613A"/>
    <w:rsid w:val="009267E1"/>
    <w:rsid w:val="0093190E"/>
    <w:rsid w:val="0093614D"/>
    <w:rsid w:val="00941695"/>
    <w:rsid w:val="00942D2D"/>
    <w:rsid w:val="00944260"/>
    <w:rsid w:val="009464C2"/>
    <w:rsid w:val="00946FC6"/>
    <w:rsid w:val="00947096"/>
    <w:rsid w:val="009543EF"/>
    <w:rsid w:val="00954C6F"/>
    <w:rsid w:val="009577C2"/>
    <w:rsid w:val="009622F7"/>
    <w:rsid w:val="0096328D"/>
    <w:rsid w:val="00963D7A"/>
    <w:rsid w:val="0096548D"/>
    <w:rsid w:val="00970A10"/>
    <w:rsid w:val="00974273"/>
    <w:rsid w:val="00975F8F"/>
    <w:rsid w:val="0097601F"/>
    <w:rsid w:val="00980BAF"/>
    <w:rsid w:val="009812EA"/>
    <w:rsid w:val="009816A0"/>
    <w:rsid w:val="00981A3A"/>
    <w:rsid w:val="00986190"/>
    <w:rsid w:val="0098797A"/>
    <w:rsid w:val="00990A4B"/>
    <w:rsid w:val="00992467"/>
    <w:rsid w:val="0099460C"/>
    <w:rsid w:val="00994665"/>
    <w:rsid w:val="00995650"/>
    <w:rsid w:val="00995700"/>
    <w:rsid w:val="00995971"/>
    <w:rsid w:val="009963D3"/>
    <w:rsid w:val="009A0BAB"/>
    <w:rsid w:val="009A1A64"/>
    <w:rsid w:val="009B0B32"/>
    <w:rsid w:val="009B2161"/>
    <w:rsid w:val="009B2AFB"/>
    <w:rsid w:val="009B3C6F"/>
    <w:rsid w:val="009B6CC7"/>
    <w:rsid w:val="009B7E9A"/>
    <w:rsid w:val="009C1F6F"/>
    <w:rsid w:val="009C459B"/>
    <w:rsid w:val="009C46FD"/>
    <w:rsid w:val="009C4AEA"/>
    <w:rsid w:val="009C55CC"/>
    <w:rsid w:val="009C6AE2"/>
    <w:rsid w:val="009D03B9"/>
    <w:rsid w:val="009D0449"/>
    <w:rsid w:val="009D05EB"/>
    <w:rsid w:val="009D0880"/>
    <w:rsid w:val="009D3EAA"/>
    <w:rsid w:val="009D4CB2"/>
    <w:rsid w:val="009E1950"/>
    <w:rsid w:val="009E235D"/>
    <w:rsid w:val="009E3965"/>
    <w:rsid w:val="009E47A3"/>
    <w:rsid w:val="009E4AEF"/>
    <w:rsid w:val="009E528A"/>
    <w:rsid w:val="009E5335"/>
    <w:rsid w:val="009E5E28"/>
    <w:rsid w:val="009F29BF"/>
    <w:rsid w:val="009F3681"/>
    <w:rsid w:val="009F5931"/>
    <w:rsid w:val="009F6DFC"/>
    <w:rsid w:val="009F7551"/>
    <w:rsid w:val="00A00047"/>
    <w:rsid w:val="00A01F13"/>
    <w:rsid w:val="00A02800"/>
    <w:rsid w:val="00A0331F"/>
    <w:rsid w:val="00A073CF"/>
    <w:rsid w:val="00A0786E"/>
    <w:rsid w:val="00A111A1"/>
    <w:rsid w:val="00A111E2"/>
    <w:rsid w:val="00A1342F"/>
    <w:rsid w:val="00A13ED5"/>
    <w:rsid w:val="00A16802"/>
    <w:rsid w:val="00A16D18"/>
    <w:rsid w:val="00A17956"/>
    <w:rsid w:val="00A20D04"/>
    <w:rsid w:val="00A234AF"/>
    <w:rsid w:val="00A23988"/>
    <w:rsid w:val="00A241A7"/>
    <w:rsid w:val="00A24944"/>
    <w:rsid w:val="00A31AC5"/>
    <w:rsid w:val="00A32700"/>
    <w:rsid w:val="00A3316F"/>
    <w:rsid w:val="00A34273"/>
    <w:rsid w:val="00A34739"/>
    <w:rsid w:val="00A35981"/>
    <w:rsid w:val="00A4223F"/>
    <w:rsid w:val="00A42887"/>
    <w:rsid w:val="00A437DD"/>
    <w:rsid w:val="00A44267"/>
    <w:rsid w:val="00A47312"/>
    <w:rsid w:val="00A50BBD"/>
    <w:rsid w:val="00A540E1"/>
    <w:rsid w:val="00A548B7"/>
    <w:rsid w:val="00A57BC4"/>
    <w:rsid w:val="00A61D6B"/>
    <w:rsid w:val="00A61E29"/>
    <w:rsid w:val="00A628A7"/>
    <w:rsid w:val="00A62991"/>
    <w:rsid w:val="00A65A88"/>
    <w:rsid w:val="00A66311"/>
    <w:rsid w:val="00A673EA"/>
    <w:rsid w:val="00A70F22"/>
    <w:rsid w:val="00A73F47"/>
    <w:rsid w:val="00A73F67"/>
    <w:rsid w:val="00A742B8"/>
    <w:rsid w:val="00A767AE"/>
    <w:rsid w:val="00A8057D"/>
    <w:rsid w:val="00A805E9"/>
    <w:rsid w:val="00A80D01"/>
    <w:rsid w:val="00A81AC8"/>
    <w:rsid w:val="00A8309A"/>
    <w:rsid w:val="00A83266"/>
    <w:rsid w:val="00A837A6"/>
    <w:rsid w:val="00A8385A"/>
    <w:rsid w:val="00A84C5D"/>
    <w:rsid w:val="00A85F3B"/>
    <w:rsid w:val="00A8676E"/>
    <w:rsid w:val="00A877E5"/>
    <w:rsid w:val="00A87E7F"/>
    <w:rsid w:val="00A90135"/>
    <w:rsid w:val="00A9107B"/>
    <w:rsid w:val="00A9139C"/>
    <w:rsid w:val="00A92D95"/>
    <w:rsid w:val="00A959FF"/>
    <w:rsid w:val="00A96E49"/>
    <w:rsid w:val="00AA0318"/>
    <w:rsid w:val="00AA1722"/>
    <w:rsid w:val="00AA31F2"/>
    <w:rsid w:val="00AA5C52"/>
    <w:rsid w:val="00AA6DEC"/>
    <w:rsid w:val="00AB1563"/>
    <w:rsid w:val="00AB55E5"/>
    <w:rsid w:val="00AB66E1"/>
    <w:rsid w:val="00AC00B9"/>
    <w:rsid w:val="00AC04A5"/>
    <w:rsid w:val="00AC0621"/>
    <w:rsid w:val="00AC1247"/>
    <w:rsid w:val="00AC2108"/>
    <w:rsid w:val="00AC21C7"/>
    <w:rsid w:val="00AC292B"/>
    <w:rsid w:val="00AC59FC"/>
    <w:rsid w:val="00AC787E"/>
    <w:rsid w:val="00AC7E91"/>
    <w:rsid w:val="00AD189F"/>
    <w:rsid w:val="00AD1CF0"/>
    <w:rsid w:val="00AD46D0"/>
    <w:rsid w:val="00AD47ED"/>
    <w:rsid w:val="00AD76DD"/>
    <w:rsid w:val="00AD7A5B"/>
    <w:rsid w:val="00AE051C"/>
    <w:rsid w:val="00AE1335"/>
    <w:rsid w:val="00AE4AD5"/>
    <w:rsid w:val="00AE5484"/>
    <w:rsid w:val="00AE5B19"/>
    <w:rsid w:val="00AE5BE6"/>
    <w:rsid w:val="00AF01C1"/>
    <w:rsid w:val="00AF0406"/>
    <w:rsid w:val="00AF0CDE"/>
    <w:rsid w:val="00AF281A"/>
    <w:rsid w:val="00AF36CA"/>
    <w:rsid w:val="00AF6C34"/>
    <w:rsid w:val="00B00A01"/>
    <w:rsid w:val="00B02F21"/>
    <w:rsid w:val="00B04173"/>
    <w:rsid w:val="00B04B29"/>
    <w:rsid w:val="00B0513E"/>
    <w:rsid w:val="00B055B4"/>
    <w:rsid w:val="00B05606"/>
    <w:rsid w:val="00B06A1B"/>
    <w:rsid w:val="00B1096D"/>
    <w:rsid w:val="00B15D67"/>
    <w:rsid w:val="00B173B7"/>
    <w:rsid w:val="00B22DAB"/>
    <w:rsid w:val="00B26B46"/>
    <w:rsid w:val="00B279D2"/>
    <w:rsid w:val="00B30FB2"/>
    <w:rsid w:val="00B32996"/>
    <w:rsid w:val="00B332E7"/>
    <w:rsid w:val="00B33968"/>
    <w:rsid w:val="00B36EC3"/>
    <w:rsid w:val="00B41156"/>
    <w:rsid w:val="00B442F9"/>
    <w:rsid w:val="00B50DE9"/>
    <w:rsid w:val="00B567C7"/>
    <w:rsid w:val="00B57906"/>
    <w:rsid w:val="00B57BE8"/>
    <w:rsid w:val="00B6157F"/>
    <w:rsid w:val="00B61B43"/>
    <w:rsid w:val="00B64C4C"/>
    <w:rsid w:val="00B7654D"/>
    <w:rsid w:val="00B77460"/>
    <w:rsid w:val="00B77BF4"/>
    <w:rsid w:val="00B86544"/>
    <w:rsid w:val="00B927B5"/>
    <w:rsid w:val="00B93A98"/>
    <w:rsid w:val="00B940CD"/>
    <w:rsid w:val="00B95064"/>
    <w:rsid w:val="00B96DFC"/>
    <w:rsid w:val="00B97440"/>
    <w:rsid w:val="00BA1851"/>
    <w:rsid w:val="00BA2860"/>
    <w:rsid w:val="00BA42FA"/>
    <w:rsid w:val="00BA6514"/>
    <w:rsid w:val="00BA684A"/>
    <w:rsid w:val="00BB35DB"/>
    <w:rsid w:val="00BB6307"/>
    <w:rsid w:val="00BB7C00"/>
    <w:rsid w:val="00BC0968"/>
    <w:rsid w:val="00BC0FAC"/>
    <w:rsid w:val="00BC125F"/>
    <w:rsid w:val="00BC1444"/>
    <w:rsid w:val="00BC2A31"/>
    <w:rsid w:val="00BC2CBA"/>
    <w:rsid w:val="00BC4178"/>
    <w:rsid w:val="00BC6E33"/>
    <w:rsid w:val="00BD2295"/>
    <w:rsid w:val="00BD2559"/>
    <w:rsid w:val="00BD36CA"/>
    <w:rsid w:val="00BD60FB"/>
    <w:rsid w:val="00BD6532"/>
    <w:rsid w:val="00BD6715"/>
    <w:rsid w:val="00BD6E9B"/>
    <w:rsid w:val="00BD7E06"/>
    <w:rsid w:val="00BE016B"/>
    <w:rsid w:val="00BE3702"/>
    <w:rsid w:val="00BE4C3B"/>
    <w:rsid w:val="00BE574D"/>
    <w:rsid w:val="00BF100C"/>
    <w:rsid w:val="00BF16E9"/>
    <w:rsid w:val="00BF2BB3"/>
    <w:rsid w:val="00BF5CA9"/>
    <w:rsid w:val="00BF5F0E"/>
    <w:rsid w:val="00BF72A4"/>
    <w:rsid w:val="00C0041F"/>
    <w:rsid w:val="00C0122A"/>
    <w:rsid w:val="00C01446"/>
    <w:rsid w:val="00C017DA"/>
    <w:rsid w:val="00C01C14"/>
    <w:rsid w:val="00C042B8"/>
    <w:rsid w:val="00C04D73"/>
    <w:rsid w:val="00C057B0"/>
    <w:rsid w:val="00C05824"/>
    <w:rsid w:val="00C07633"/>
    <w:rsid w:val="00C078DB"/>
    <w:rsid w:val="00C121F3"/>
    <w:rsid w:val="00C12714"/>
    <w:rsid w:val="00C13C19"/>
    <w:rsid w:val="00C16A97"/>
    <w:rsid w:val="00C16C11"/>
    <w:rsid w:val="00C2363B"/>
    <w:rsid w:val="00C23FF8"/>
    <w:rsid w:val="00C240B1"/>
    <w:rsid w:val="00C272F7"/>
    <w:rsid w:val="00C327A1"/>
    <w:rsid w:val="00C36104"/>
    <w:rsid w:val="00C36273"/>
    <w:rsid w:val="00C44562"/>
    <w:rsid w:val="00C46515"/>
    <w:rsid w:val="00C47DFA"/>
    <w:rsid w:val="00C50DBE"/>
    <w:rsid w:val="00C5311C"/>
    <w:rsid w:val="00C5738A"/>
    <w:rsid w:val="00C621ED"/>
    <w:rsid w:val="00C653F3"/>
    <w:rsid w:val="00C65EA0"/>
    <w:rsid w:val="00C66416"/>
    <w:rsid w:val="00C70AF7"/>
    <w:rsid w:val="00C71227"/>
    <w:rsid w:val="00C71BFA"/>
    <w:rsid w:val="00C741FC"/>
    <w:rsid w:val="00C74E53"/>
    <w:rsid w:val="00C74FCC"/>
    <w:rsid w:val="00C755CA"/>
    <w:rsid w:val="00C76689"/>
    <w:rsid w:val="00C81027"/>
    <w:rsid w:val="00C8134D"/>
    <w:rsid w:val="00C82682"/>
    <w:rsid w:val="00C862C8"/>
    <w:rsid w:val="00C935B7"/>
    <w:rsid w:val="00C95062"/>
    <w:rsid w:val="00C956EB"/>
    <w:rsid w:val="00C96D46"/>
    <w:rsid w:val="00C973E0"/>
    <w:rsid w:val="00CA0758"/>
    <w:rsid w:val="00CA0CDD"/>
    <w:rsid w:val="00CA2327"/>
    <w:rsid w:val="00CA7F24"/>
    <w:rsid w:val="00CB0528"/>
    <w:rsid w:val="00CB10CC"/>
    <w:rsid w:val="00CB18DB"/>
    <w:rsid w:val="00CB19AA"/>
    <w:rsid w:val="00CB39FC"/>
    <w:rsid w:val="00CB5C72"/>
    <w:rsid w:val="00CB65F6"/>
    <w:rsid w:val="00CC4E9F"/>
    <w:rsid w:val="00CC7C76"/>
    <w:rsid w:val="00CD033C"/>
    <w:rsid w:val="00CD05B4"/>
    <w:rsid w:val="00CD215B"/>
    <w:rsid w:val="00CD34DB"/>
    <w:rsid w:val="00CD3E74"/>
    <w:rsid w:val="00CD546A"/>
    <w:rsid w:val="00CD5BF6"/>
    <w:rsid w:val="00CE2A21"/>
    <w:rsid w:val="00CE4218"/>
    <w:rsid w:val="00CE45E6"/>
    <w:rsid w:val="00CE5783"/>
    <w:rsid w:val="00CF0688"/>
    <w:rsid w:val="00CF1017"/>
    <w:rsid w:val="00CF1366"/>
    <w:rsid w:val="00CF1700"/>
    <w:rsid w:val="00CF1C33"/>
    <w:rsid w:val="00CF3317"/>
    <w:rsid w:val="00CF4AA0"/>
    <w:rsid w:val="00CF6254"/>
    <w:rsid w:val="00CF6A35"/>
    <w:rsid w:val="00D00AA2"/>
    <w:rsid w:val="00D01A3E"/>
    <w:rsid w:val="00D0318F"/>
    <w:rsid w:val="00D0381F"/>
    <w:rsid w:val="00D03AFA"/>
    <w:rsid w:val="00D04FD3"/>
    <w:rsid w:val="00D103C2"/>
    <w:rsid w:val="00D11C72"/>
    <w:rsid w:val="00D123E2"/>
    <w:rsid w:val="00D13970"/>
    <w:rsid w:val="00D14E44"/>
    <w:rsid w:val="00D155B1"/>
    <w:rsid w:val="00D15944"/>
    <w:rsid w:val="00D15E1E"/>
    <w:rsid w:val="00D213B5"/>
    <w:rsid w:val="00D26365"/>
    <w:rsid w:val="00D26BB9"/>
    <w:rsid w:val="00D340F8"/>
    <w:rsid w:val="00D34BB0"/>
    <w:rsid w:val="00D35CF2"/>
    <w:rsid w:val="00D42EA5"/>
    <w:rsid w:val="00D438DB"/>
    <w:rsid w:val="00D44C01"/>
    <w:rsid w:val="00D45DF3"/>
    <w:rsid w:val="00D46F07"/>
    <w:rsid w:val="00D47C19"/>
    <w:rsid w:val="00D47E56"/>
    <w:rsid w:val="00D54987"/>
    <w:rsid w:val="00D552D0"/>
    <w:rsid w:val="00D56FCF"/>
    <w:rsid w:val="00D5704E"/>
    <w:rsid w:val="00D62654"/>
    <w:rsid w:val="00D62874"/>
    <w:rsid w:val="00D67EDF"/>
    <w:rsid w:val="00D67FA0"/>
    <w:rsid w:val="00D71517"/>
    <w:rsid w:val="00D72153"/>
    <w:rsid w:val="00D721A1"/>
    <w:rsid w:val="00D746A7"/>
    <w:rsid w:val="00D765D7"/>
    <w:rsid w:val="00D76D69"/>
    <w:rsid w:val="00D772C0"/>
    <w:rsid w:val="00D77529"/>
    <w:rsid w:val="00D802F8"/>
    <w:rsid w:val="00D80366"/>
    <w:rsid w:val="00D80CBF"/>
    <w:rsid w:val="00D82DAF"/>
    <w:rsid w:val="00D82F2A"/>
    <w:rsid w:val="00D83F23"/>
    <w:rsid w:val="00D86DD8"/>
    <w:rsid w:val="00D91B94"/>
    <w:rsid w:val="00D938BE"/>
    <w:rsid w:val="00D9431A"/>
    <w:rsid w:val="00D945D2"/>
    <w:rsid w:val="00D9539E"/>
    <w:rsid w:val="00D95AAA"/>
    <w:rsid w:val="00D97677"/>
    <w:rsid w:val="00D9778B"/>
    <w:rsid w:val="00DA0DCD"/>
    <w:rsid w:val="00DA24A5"/>
    <w:rsid w:val="00DA27EC"/>
    <w:rsid w:val="00DA2CBC"/>
    <w:rsid w:val="00DA4336"/>
    <w:rsid w:val="00DA4EDD"/>
    <w:rsid w:val="00DA549D"/>
    <w:rsid w:val="00DA75DC"/>
    <w:rsid w:val="00DB0170"/>
    <w:rsid w:val="00DB04D5"/>
    <w:rsid w:val="00DB0772"/>
    <w:rsid w:val="00DB137C"/>
    <w:rsid w:val="00DB1D4F"/>
    <w:rsid w:val="00DB1D97"/>
    <w:rsid w:val="00DB43C3"/>
    <w:rsid w:val="00DB5B99"/>
    <w:rsid w:val="00DC194D"/>
    <w:rsid w:val="00DC1A46"/>
    <w:rsid w:val="00DC3109"/>
    <w:rsid w:val="00DC4706"/>
    <w:rsid w:val="00DC4C8E"/>
    <w:rsid w:val="00DC4E3A"/>
    <w:rsid w:val="00DC73C3"/>
    <w:rsid w:val="00DD0608"/>
    <w:rsid w:val="00DD0AB7"/>
    <w:rsid w:val="00DD0E13"/>
    <w:rsid w:val="00DD35C6"/>
    <w:rsid w:val="00DD504A"/>
    <w:rsid w:val="00DD769A"/>
    <w:rsid w:val="00DE1386"/>
    <w:rsid w:val="00DE152C"/>
    <w:rsid w:val="00DE1A8C"/>
    <w:rsid w:val="00DE27D6"/>
    <w:rsid w:val="00DE3C91"/>
    <w:rsid w:val="00DE5107"/>
    <w:rsid w:val="00DE66A0"/>
    <w:rsid w:val="00DE7A7A"/>
    <w:rsid w:val="00DF6113"/>
    <w:rsid w:val="00DF791A"/>
    <w:rsid w:val="00E05D1F"/>
    <w:rsid w:val="00E07AC5"/>
    <w:rsid w:val="00E1059A"/>
    <w:rsid w:val="00E1279A"/>
    <w:rsid w:val="00E15B96"/>
    <w:rsid w:val="00E16191"/>
    <w:rsid w:val="00E16A00"/>
    <w:rsid w:val="00E21734"/>
    <w:rsid w:val="00E21C72"/>
    <w:rsid w:val="00E2248D"/>
    <w:rsid w:val="00E23943"/>
    <w:rsid w:val="00E23EA0"/>
    <w:rsid w:val="00E24CF7"/>
    <w:rsid w:val="00E25BAD"/>
    <w:rsid w:val="00E27AFC"/>
    <w:rsid w:val="00E32C9E"/>
    <w:rsid w:val="00E35E17"/>
    <w:rsid w:val="00E3659F"/>
    <w:rsid w:val="00E367D2"/>
    <w:rsid w:val="00E36E2A"/>
    <w:rsid w:val="00E377F2"/>
    <w:rsid w:val="00E40363"/>
    <w:rsid w:val="00E406CC"/>
    <w:rsid w:val="00E41233"/>
    <w:rsid w:val="00E42192"/>
    <w:rsid w:val="00E4464D"/>
    <w:rsid w:val="00E46999"/>
    <w:rsid w:val="00E502EA"/>
    <w:rsid w:val="00E5060F"/>
    <w:rsid w:val="00E530E1"/>
    <w:rsid w:val="00E606DC"/>
    <w:rsid w:val="00E62F2F"/>
    <w:rsid w:val="00E70ABF"/>
    <w:rsid w:val="00E75A14"/>
    <w:rsid w:val="00E75B1A"/>
    <w:rsid w:val="00E75DFD"/>
    <w:rsid w:val="00E76A48"/>
    <w:rsid w:val="00E77E09"/>
    <w:rsid w:val="00E82429"/>
    <w:rsid w:val="00E83126"/>
    <w:rsid w:val="00E833FE"/>
    <w:rsid w:val="00E84871"/>
    <w:rsid w:val="00E8488F"/>
    <w:rsid w:val="00E86A90"/>
    <w:rsid w:val="00E86DF8"/>
    <w:rsid w:val="00E86F5B"/>
    <w:rsid w:val="00E874D6"/>
    <w:rsid w:val="00E87EF1"/>
    <w:rsid w:val="00E90637"/>
    <w:rsid w:val="00E93808"/>
    <w:rsid w:val="00EA03F4"/>
    <w:rsid w:val="00EA06E6"/>
    <w:rsid w:val="00EA0EB3"/>
    <w:rsid w:val="00EA27B8"/>
    <w:rsid w:val="00EA549D"/>
    <w:rsid w:val="00EA6588"/>
    <w:rsid w:val="00EA78ED"/>
    <w:rsid w:val="00EB0A59"/>
    <w:rsid w:val="00EB3A3F"/>
    <w:rsid w:val="00EB59E0"/>
    <w:rsid w:val="00EB60B9"/>
    <w:rsid w:val="00EB6876"/>
    <w:rsid w:val="00EB7468"/>
    <w:rsid w:val="00EC0117"/>
    <w:rsid w:val="00EC05EE"/>
    <w:rsid w:val="00EC1092"/>
    <w:rsid w:val="00EC11D5"/>
    <w:rsid w:val="00EC2B23"/>
    <w:rsid w:val="00EC2D2F"/>
    <w:rsid w:val="00EC35C9"/>
    <w:rsid w:val="00EC6C5E"/>
    <w:rsid w:val="00EC6DF3"/>
    <w:rsid w:val="00EC7538"/>
    <w:rsid w:val="00EC77D8"/>
    <w:rsid w:val="00EC7E84"/>
    <w:rsid w:val="00EC7EBA"/>
    <w:rsid w:val="00ED41E8"/>
    <w:rsid w:val="00ED63CE"/>
    <w:rsid w:val="00ED6B38"/>
    <w:rsid w:val="00ED6CAC"/>
    <w:rsid w:val="00EE000B"/>
    <w:rsid w:val="00EE0E67"/>
    <w:rsid w:val="00EE1958"/>
    <w:rsid w:val="00EE2DA7"/>
    <w:rsid w:val="00EE5FAB"/>
    <w:rsid w:val="00EF0D78"/>
    <w:rsid w:val="00EF14BA"/>
    <w:rsid w:val="00EF664B"/>
    <w:rsid w:val="00EF6AA2"/>
    <w:rsid w:val="00F00668"/>
    <w:rsid w:val="00F01FF3"/>
    <w:rsid w:val="00F03601"/>
    <w:rsid w:val="00F04690"/>
    <w:rsid w:val="00F04DC0"/>
    <w:rsid w:val="00F04E77"/>
    <w:rsid w:val="00F051AA"/>
    <w:rsid w:val="00F06E9D"/>
    <w:rsid w:val="00F11A51"/>
    <w:rsid w:val="00F125EA"/>
    <w:rsid w:val="00F13650"/>
    <w:rsid w:val="00F1634C"/>
    <w:rsid w:val="00F16CA9"/>
    <w:rsid w:val="00F172DA"/>
    <w:rsid w:val="00F17B0A"/>
    <w:rsid w:val="00F20383"/>
    <w:rsid w:val="00F22656"/>
    <w:rsid w:val="00F26026"/>
    <w:rsid w:val="00F30622"/>
    <w:rsid w:val="00F31871"/>
    <w:rsid w:val="00F319FE"/>
    <w:rsid w:val="00F33568"/>
    <w:rsid w:val="00F349A7"/>
    <w:rsid w:val="00F34D0C"/>
    <w:rsid w:val="00F35163"/>
    <w:rsid w:val="00F36D5F"/>
    <w:rsid w:val="00F36E1E"/>
    <w:rsid w:val="00F37D27"/>
    <w:rsid w:val="00F4353C"/>
    <w:rsid w:val="00F44609"/>
    <w:rsid w:val="00F50EDC"/>
    <w:rsid w:val="00F5239B"/>
    <w:rsid w:val="00F538DA"/>
    <w:rsid w:val="00F5495E"/>
    <w:rsid w:val="00F54B11"/>
    <w:rsid w:val="00F54C4C"/>
    <w:rsid w:val="00F54E55"/>
    <w:rsid w:val="00F55BAC"/>
    <w:rsid w:val="00F57714"/>
    <w:rsid w:val="00F70EC3"/>
    <w:rsid w:val="00F71377"/>
    <w:rsid w:val="00F7188D"/>
    <w:rsid w:val="00F72B59"/>
    <w:rsid w:val="00F736D0"/>
    <w:rsid w:val="00F758CB"/>
    <w:rsid w:val="00F84C1E"/>
    <w:rsid w:val="00F85210"/>
    <w:rsid w:val="00F85D40"/>
    <w:rsid w:val="00F91710"/>
    <w:rsid w:val="00F94EFA"/>
    <w:rsid w:val="00F95C5C"/>
    <w:rsid w:val="00F966C0"/>
    <w:rsid w:val="00FA172F"/>
    <w:rsid w:val="00FA41D4"/>
    <w:rsid w:val="00FA634F"/>
    <w:rsid w:val="00FA6F2C"/>
    <w:rsid w:val="00FB00E3"/>
    <w:rsid w:val="00FB013E"/>
    <w:rsid w:val="00FB3692"/>
    <w:rsid w:val="00FC0598"/>
    <w:rsid w:val="00FC161A"/>
    <w:rsid w:val="00FC1DBB"/>
    <w:rsid w:val="00FC28E5"/>
    <w:rsid w:val="00FC2AE3"/>
    <w:rsid w:val="00FC2E26"/>
    <w:rsid w:val="00FC35AB"/>
    <w:rsid w:val="00FC5A71"/>
    <w:rsid w:val="00FC740D"/>
    <w:rsid w:val="00FC7DAC"/>
    <w:rsid w:val="00FD0C66"/>
    <w:rsid w:val="00FD11D8"/>
    <w:rsid w:val="00FD1DEA"/>
    <w:rsid w:val="00FD2392"/>
    <w:rsid w:val="00FD3E0D"/>
    <w:rsid w:val="00FD6FBE"/>
    <w:rsid w:val="00FE01DE"/>
    <w:rsid w:val="00FE0815"/>
    <w:rsid w:val="00FE083E"/>
    <w:rsid w:val="00FE4476"/>
    <w:rsid w:val="00FE4EA8"/>
    <w:rsid w:val="00FF1149"/>
    <w:rsid w:val="00FF2182"/>
    <w:rsid w:val="00FF26D8"/>
    <w:rsid w:val="00FF443C"/>
    <w:rsid w:val="00FF5383"/>
    <w:rsid w:val="00FF5B0E"/>
    <w:rsid w:val="00FF61D5"/>
    <w:rsid w:val="00FF691E"/>
    <w:rsid w:val="00FF6AB4"/>
    <w:rsid w:val="00FF7DD0"/>
    <w:rsid w:val="00FF7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39D99"/>
  <w15:chartTrackingRefBased/>
  <w15:docId w15:val="{AADD204E-C5B7-4118-87FC-2641E2122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B0A"/>
  </w:style>
  <w:style w:type="paragraph" w:styleId="Heading1">
    <w:name w:val="heading 1"/>
    <w:basedOn w:val="Normal"/>
    <w:next w:val="Normal"/>
    <w:link w:val="Heading1Char"/>
    <w:uiPriority w:val="9"/>
    <w:qFormat/>
    <w:rsid w:val="00873A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3A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3A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3A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3A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3A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A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A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A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A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3A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3A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3A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3A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3A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3A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3A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3AB3"/>
    <w:rPr>
      <w:rFonts w:eastAsiaTheme="majorEastAsia" w:cstheme="majorBidi"/>
      <w:color w:val="272727" w:themeColor="text1" w:themeTint="D8"/>
    </w:rPr>
  </w:style>
  <w:style w:type="paragraph" w:styleId="Title">
    <w:name w:val="Title"/>
    <w:basedOn w:val="Normal"/>
    <w:next w:val="Normal"/>
    <w:link w:val="TitleChar"/>
    <w:uiPriority w:val="10"/>
    <w:qFormat/>
    <w:rsid w:val="00873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3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3A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3A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3AB3"/>
    <w:pPr>
      <w:spacing w:before="160"/>
      <w:jc w:val="center"/>
    </w:pPr>
    <w:rPr>
      <w:i/>
      <w:iCs/>
      <w:color w:val="404040" w:themeColor="text1" w:themeTint="BF"/>
    </w:rPr>
  </w:style>
  <w:style w:type="character" w:customStyle="1" w:styleId="QuoteChar">
    <w:name w:val="Quote Char"/>
    <w:basedOn w:val="DefaultParagraphFont"/>
    <w:link w:val="Quote"/>
    <w:uiPriority w:val="29"/>
    <w:rsid w:val="00873AB3"/>
    <w:rPr>
      <w:i/>
      <w:iCs/>
      <w:color w:val="404040" w:themeColor="text1" w:themeTint="BF"/>
    </w:rPr>
  </w:style>
  <w:style w:type="paragraph" w:styleId="ListParagraph">
    <w:name w:val="List Paragraph"/>
    <w:basedOn w:val="Normal"/>
    <w:uiPriority w:val="34"/>
    <w:qFormat/>
    <w:rsid w:val="00873AB3"/>
    <w:pPr>
      <w:ind w:left="720"/>
      <w:contextualSpacing/>
    </w:pPr>
  </w:style>
  <w:style w:type="character" w:styleId="IntenseEmphasis">
    <w:name w:val="Intense Emphasis"/>
    <w:basedOn w:val="DefaultParagraphFont"/>
    <w:uiPriority w:val="21"/>
    <w:qFormat/>
    <w:rsid w:val="00873AB3"/>
    <w:rPr>
      <w:i/>
      <w:iCs/>
      <w:color w:val="0F4761" w:themeColor="accent1" w:themeShade="BF"/>
    </w:rPr>
  </w:style>
  <w:style w:type="paragraph" w:styleId="IntenseQuote">
    <w:name w:val="Intense Quote"/>
    <w:basedOn w:val="Normal"/>
    <w:next w:val="Normal"/>
    <w:link w:val="IntenseQuoteChar"/>
    <w:uiPriority w:val="30"/>
    <w:qFormat/>
    <w:rsid w:val="00873A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3AB3"/>
    <w:rPr>
      <w:i/>
      <w:iCs/>
      <w:color w:val="0F4761" w:themeColor="accent1" w:themeShade="BF"/>
    </w:rPr>
  </w:style>
  <w:style w:type="character" w:styleId="IntenseReference">
    <w:name w:val="Intense Reference"/>
    <w:basedOn w:val="DefaultParagraphFont"/>
    <w:uiPriority w:val="32"/>
    <w:qFormat/>
    <w:rsid w:val="00873AB3"/>
    <w:rPr>
      <w:b/>
      <w:bCs/>
      <w:smallCaps/>
      <w:color w:val="0F4761" w:themeColor="accent1" w:themeShade="BF"/>
      <w:spacing w:val="5"/>
    </w:rPr>
  </w:style>
  <w:style w:type="table" w:styleId="TableGrid">
    <w:name w:val="Table Grid"/>
    <w:basedOn w:val="TableNormal"/>
    <w:uiPriority w:val="39"/>
    <w:rsid w:val="00503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21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1C7"/>
  </w:style>
  <w:style w:type="paragraph" w:styleId="Footer">
    <w:name w:val="footer"/>
    <w:basedOn w:val="Normal"/>
    <w:link w:val="FooterChar"/>
    <w:uiPriority w:val="99"/>
    <w:unhideWhenUsed/>
    <w:rsid w:val="00AC21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1C7"/>
  </w:style>
  <w:style w:type="character" w:styleId="Hyperlink">
    <w:name w:val="Hyperlink"/>
    <w:basedOn w:val="DefaultParagraphFont"/>
    <w:uiPriority w:val="99"/>
    <w:unhideWhenUsed/>
    <w:rsid w:val="00D0318F"/>
    <w:rPr>
      <w:color w:val="467886" w:themeColor="hyperlink"/>
      <w:u w:val="single"/>
    </w:rPr>
  </w:style>
  <w:style w:type="character" w:styleId="UnresolvedMention">
    <w:name w:val="Unresolved Mention"/>
    <w:basedOn w:val="DefaultParagraphFont"/>
    <w:uiPriority w:val="99"/>
    <w:semiHidden/>
    <w:unhideWhenUsed/>
    <w:rsid w:val="00D0318F"/>
    <w:rPr>
      <w:color w:val="605E5C"/>
      <w:shd w:val="clear" w:color="auto" w:fill="E1DFDD"/>
    </w:rPr>
  </w:style>
  <w:style w:type="character" w:customStyle="1" w:styleId="mord">
    <w:name w:val="mord"/>
    <w:basedOn w:val="DefaultParagraphFont"/>
    <w:rsid w:val="00F55BAC"/>
  </w:style>
  <w:style w:type="character" w:customStyle="1" w:styleId="mrel">
    <w:name w:val="mrel"/>
    <w:basedOn w:val="DefaultParagraphFont"/>
    <w:rsid w:val="00F55BAC"/>
  </w:style>
  <w:style w:type="character" w:customStyle="1" w:styleId="delimsizing">
    <w:name w:val="delimsizing"/>
    <w:basedOn w:val="DefaultParagraphFont"/>
    <w:rsid w:val="00F55BAC"/>
  </w:style>
  <w:style w:type="character" w:customStyle="1" w:styleId="vlist-s">
    <w:name w:val="vlist-s"/>
    <w:basedOn w:val="DefaultParagraphFont"/>
    <w:rsid w:val="00F55BAC"/>
  </w:style>
  <w:style w:type="character" w:customStyle="1" w:styleId="mbin">
    <w:name w:val="mbin"/>
    <w:basedOn w:val="DefaultParagraphFont"/>
    <w:rsid w:val="00F55BAC"/>
  </w:style>
  <w:style w:type="paragraph" w:styleId="TOCHeading">
    <w:name w:val="TOC Heading"/>
    <w:basedOn w:val="Heading1"/>
    <w:next w:val="Normal"/>
    <w:uiPriority w:val="39"/>
    <w:unhideWhenUsed/>
    <w:qFormat/>
    <w:rsid w:val="00F95C5C"/>
    <w:pPr>
      <w:spacing w:before="240" w:after="0" w:line="259" w:lineRule="auto"/>
      <w:outlineLvl w:val="9"/>
    </w:pPr>
    <w:rPr>
      <w:kern w:val="0"/>
      <w:sz w:val="32"/>
      <w:szCs w:val="32"/>
      <w:lang w:val="en-US"/>
      <w14:ligatures w14:val="none"/>
    </w:rPr>
  </w:style>
  <w:style w:type="paragraph" w:styleId="NormalWeb">
    <w:name w:val="Normal (Web)"/>
    <w:basedOn w:val="Normal"/>
    <w:uiPriority w:val="99"/>
    <w:semiHidden/>
    <w:unhideWhenUsed/>
    <w:rsid w:val="00AF36CA"/>
    <w:rPr>
      <w:rFonts w:ascii="Times New Roman" w:hAnsi="Times New Roman" w:cs="Times New Roman"/>
    </w:rPr>
  </w:style>
  <w:style w:type="paragraph" w:styleId="TOC1">
    <w:name w:val="toc 1"/>
    <w:basedOn w:val="Normal"/>
    <w:next w:val="Normal"/>
    <w:autoRedefine/>
    <w:uiPriority w:val="39"/>
    <w:unhideWhenUsed/>
    <w:rsid w:val="0043401C"/>
    <w:pPr>
      <w:tabs>
        <w:tab w:val="right" w:leader="dot" w:pos="9016"/>
      </w:tabs>
      <w:spacing w:after="100"/>
    </w:pPr>
    <w:rPr>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0867">
      <w:bodyDiv w:val="1"/>
      <w:marLeft w:val="0"/>
      <w:marRight w:val="0"/>
      <w:marTop w:val="0"/>
      <w:marBottom w:val="0"/>
      <w:divBdr>
        <w:top w:val="none" w:sz="0" w:space="0" w:color="auto"/>
        <w:left w:val="none" w:sz="0" w:space="0" w:color="auto"/>
        <w:bottom w:val="none" w:sz="0" w:space="0" w:color="auto"/>
        <w:right w:val="none" w:sz="0" w:space="0" w:color="auto"/>
      </w:divBdr>
    </w:div>
    <w:div w:id="14699490">
      <w:bodyDiv w:val="1"/>
      <w:marLeft w:val="0"/>
      <w:marRight w:val="0"/>
      <w:marTop w:val="0"/>
      <w:marBottom w:val="0"/>
      <w:divBdr>
        <w:top w:val="none" w:sz="0" w:space="0" w:color="auto"/>
        <w:left w:val="none" w:sz="0" w:space="0" w:color="auto"/>
        <w:bottom w:val="none" w:sz="0" w:space="0" w:color="auto"/>
        <w:right w:val="none" w:sz="0" w:space="0" w:color="auto"/>
      </w:divBdr>
    </w:div>
    <w:div w:id="43525152">
      <w:bodyDiv w:val="1"/>
      <w:marLeft w:val="0"/>
      <w:marRight w:val="0"/>
      <w:marTop w:val="0"/>
      <w:marBottom w:val="0"/>
      <w:divBdr>
        <w:top w:val="none" w:sz="0" w:space="0" w:color="auto"/>
        <w:left w:val="none" w:sz="0" w:space="0" w:color="auto"/>
        <w:bottom w:val="none" w:sz="0" w:space="0" w:color="auto"/>
        <w:right w:val="none" w:sz="0" w:space="0" w:color="auto"/>
      </w:divBdr>
    </w:div>
    <w:div w:id="46225667">
      <w:bodyDiv w:val="1"/>
      <w:marLeft w:val="0"/>
      <w:marRight w:val="0"/>
      <w:marTop w:val="0"/>
      <w:marBottom w:val="0"/>
      <w:divBdr>
        <w:top w:val="none" w:sz="0" w:space="0" w:color="auto"/>
        <w:left w:val="none" w:sz="0" w:space="0" w:color="auto"/>
        <w:bottom w:val="none" w:sz="0" w:space="0" w:color="auto"/>
        <w:right w:val="none" w:sz="0" w:space="0" w:color="auto"/>
      </w:divBdr>
    </w:div>
    <w:div w:id="61801911">
      <w:bodyDiv w:val="1"/>
      <w:marLeft w:val="0"/>
      <w:marRight w:val="0"/>
      <w:marTop w:val="0"/>
      <w:marBottom w:val="0"/>
      <w:divBdr>
        <w:top w:val="none" w:sz="0" w:space="0" w:color="auto"/>
        <w:left w:val="none" w:sz="0" w:space="0" w:color="auto"/>
        <w:bottom w:val="none" w:sz="0" w:space="0" w:color="auto"/>
        <w:right w:val="none" w:sz="0" w:space="0" w:color="auto"/>
      </w:divBdr>
    </w:div>
    <w:div w:id="62022766">
      <w:bodyDiv w:val="1"/>
      <w:marLeft w:val="0"/>
      <w:marRight w:val="0"/>
      <w:marTop w:val="0"/>
      <w:marBottom w:val="0"/>
      <w:divBdr>
        <w:top w:val="none" w:sz="0" w:space="0" w:color="auto"/>
        <w:left w:val="none" w:sz="0" w:space="0" w:color="auto"/>
        <w:bottom w:val="none" w:sz="0" w:space="0" w:color="auto"/>
        <w:right w:val="none" w:sz="0" w:space="0" w:color="auto"/>
      </w:divBdr>
    </w:div>
    <w:div w:id="62260997">
      <w:bodyDiv w:val="1"/>
      <w:marLeft w:val="0"/>
      <w:marRight w:val="0"/>
      <w:marTop w:val="0"/>
      <w:marBottom w:val="0"/>
      <w:divBdr>
        <w:top w:val="none" w:sz="0" w:space="0" w:color="auto"/>
        <w:left w:val="none" w:sz="0" w:space="0" w:color="auto"/>
        <w:bottom w:val="none" w:sz="0" w:space="0" w:color="auto"/>
        <w:right w:val="none" w:sz="0" w:space="0" w:color="auto"/>
      </w:divBdr>
    </w:div>
    <w:div w:id="69667508">
      <w:bodyDiv w:val="1"/>
      <w:marLeft w:val="0"/>
      <w:marRight w:val="0"/>
      <w:marTop w:val="0"/>
      <w:marBottom w:val="0"/>
      <w:divBdr>
        <w:top w:val="none" w:sz="0" w:space="0" w:color="auto"/>
        <w:left w:val="none" w:sz="0" w:space="0" w:color="auto"/>
        <w:bottom w:val="none" w:sz="0" w:space="0" w:color="auto"/>
        <w:right w:val="none" w:sz="0" w:space="0" w:color="auto"/>
      </w:divBdr>
    </w:div>
    <w:div w:id="136148232">
      <w:bodyDiv w:val="1"/>
      <w:marLeft w:val="0"/>
      <w:marRight w:val="0"/>
      <w:marTop w:val="0"/>
      <w:marBottom w:val="0"/>
      <w:divBdr>
        <w:top w:val="none" w:sz="0" w:space="0" w:color="auto"/>
        <w:left w:val="none" w:sz="0" w:space="0" w:color="auto"/>
        <w:bottom w:val="none" w:sz="0" w:space="0" w:color="auto"/>
        <w:right w:val="none" w:sz="0" w:space="0" w:color="auto"/>
      </w:divBdr>
    </w:div>
    <w:div w:id="174809158">
      <w:bodyDiv w:val="1"/>
      <w:marLeft w:val="0"/>
      <w:marRight w:val="0"/>
      <w:marTop w:val="0"/>
      <w:marBottom w:val="0"/>
      <w:divBdr>
        <w:top w:val="none" w:sz="0" w:space="0" w:color="auto"/>
        <w:left w:val="none" w:sz="0" w:space="0" w:color="auto"/>
        <w:bottom w:val="none" w:sz="0" w:space="0" w:color="auto"/>
        <w:right w:val="none" w:sz="0" w:space="0" w:color="auto"/>
      </w:divBdr>
    </w:div>
    <w:div w:id="179853762">
      <w:bodyDiv w:val="1"/>
      <w:marLeft w:val="0"/>
      <w:marRight w:val="0"/>
      <w:marTop w:val="0"/>
      <w:marBottom w:val="0"/>
      <w:divBdr>
        <w:top w:val="none" w:sz="0" w:space="0" w:color="auto"/>
        <w:left w:val="none" w:sz="0" w:space="0" w:color="auto"/>
        <w:bottom w:val="none" w:sz="0" w:space="0" w:color="auto"/>
        <w:right w:val="none" w:sz="0" w:space="0" w:color="auto"/>
      </w:divBdr>
    </w:div>
    <w:div w:id="203368913">
      <w:bodyDiv w:val="1"/>
      <w:marLeft w:val="0"/>
      <w:marRight w:val="0"/>
      <w:marTop w:val="0"/>
      <w:marBottom w:val="0"/>
      <w:divBdr>
        <w:top w:val="none" w:sz="0" w:space="0" w:color="auto"/>
        <w:left w:val="none" w:sz="0" w:space="0" w:color="auto"/>
        <w:bottom w:val="none" w:sz="0" w:space="0" w:color="auto"/>
        <w:right w:val="none" w:sz="0" w:space="0" w:color="auto"/>
      </w:divBdr>
    </w:div>
    <w:div w:id="245068119">
      <w:bodyDiv w:val="1"/>
      <w:marLeft w:val="0"/>
      <w:marRight w:val="0"/>
      <w:marTop w:val="0"/>
      <w:marBottom w:val="0"/>
      <w:divBdr>
        <w:top w:val="none" w:sz="0" w:space="0" w:color="auto"/>
        <w:left w:val="none" w:sz="0" w:space="0" w:color="auto"/>
        <w:bottom w:val="none" w:sz="0" w:space="0" w:color="auto"/>
        <w:right w:val="none" w:sz="0" w:space="0" w:color="auto"/>
      </w:divBdr>
    </w:div>
    <w:div w:id="247737306">
      <w:bodyDiv w:val="1"/>
      <w:marLeft w:val="0"/>
      <w:marRight w:val="0"/>
      <w:marTop w:val="0"/>
      <w:marBottom w:val="0"/>
      <w:divBdr>
        <w:top w:val="none" w:sz="0" w:space="0" w:color="auto"/>
        <w:left w:val="none" w:sz="0" w:space="0" w:color="auto"/>
        <w:bottom w:val="none" w:sz="0" w:space="0" w:color="auto"/>
        <w:right w:val="none" w:sz="0" w:space="0" w:color="auto"/>
      </w:divBdr>
    </w:div>
    <w:div w:id="261106834">
      <w:bodyDiv w:val="1"/>
      <w:marLeft w:val="0"/>
      <w:marRight w:val="0"/>
      <w:marTop w:val="0"/>
      <w:marBottom w:val="0"/>
      <w:divBdr>
        <w:top w:val="none" w:sz="0" w:space="0" w:color="auto"/>
        <w:left w:val="none" w:sz="0" w:space="0" w:color="auto"/>
        <w:bottom w:val="none" w:sz="0" w:space="0" w:color="auto"/>
        <w:right w:val="none" w:sz="0" w:space="0" w:color="auto"/>
      </w:divBdr>
    </w:div>
    <w:div w:id="265695046">
      <w:bodyDiv w:val="1"/>
      <w:marLeft w:val="0"/>
      <w:marRight w:val="0"/>
      <w:marTop w:val="0"/>
      <w:marBottom w:val="0"/>
      <w:divBdr>
        <w:top w:val="none" w:sz="0" w:space="0" w:color="auto"/>
        <w:left w:val="none" w:sz="0" w:space="0" w:color="auto"/>
        <w:bottom w:val="none" w:sz="0" w:space="0" w:color="auto"/>
        <w:right w:val="none" w:sz="0" w:space="0" w:color="auto"/>
      </w:divBdr>
    </w:div>
    <w:div w:id="282730477">
      <w:bodyDiv w:val="1"/>
      <w:marLeft w:val="0"/>
      <w:marRight w:val="0"/>
      <w:marTop w:val="0"/>
      <w:marBottom w:val="0"/>
      <w:divBdr>
        <w:top w:val="none" w:sz="0" w:space="0" w:color="auto"/>
        <w:left w:val="none" w:sz="0" w:space="0" w:color="auto"/>
        <w:bottom w:val="none" w:sz="0" w:space="0" w:color="auto"/>
        <w:right w:val="none" w:sz="0" w:space="0" w:color="auto"/>
      </w:divBdr>
    </w:div>
    <w:div w:id="306937580">
      <w:bodyDiv w:val="1"/>
      <w:marLeft w:val="0"/>
      <w:marRight w:val="0"/>
      <w:marTop w:val="0"/>
      <w:marBottom w:val="0"/>
      <w:divBdr>
        <w:top w:val="none" w:sz="0" w:space="0" w:color="auto"/>
        <w:left w:val="none" w:sz="0" w:space="0" w:color="auto"/>
        <w:bottom w:val="none" w:sz="0" w:space="0" w:color="auto"/>
        <w:right w:val="none" w:sz="0" w:space="0" w:color="auto"/>
      </w:divBdr>
    </w:div>
    <w:div w:id="313872327">
      <w:bodyDiv w:val="1"/>
      <w:marLeft w:val="0"/>
      <w:marRight w:val="0"/>
      <w:marTop w:val="0"/>
      <w:marBottom w:val="0"/>
      <w:divBdr>
        <w:top w:val="none" w:sz="0" w:space="0" w:color="auto"/>
        <w:left w:val="none" w:sz="0" w:space="0" w:color="auto"/>
        <w:bottom w:val="none" w:sz="0" w:space="0" w:color="auto"/>
        <w:right w:val="none" w:sz="0" w:space="0" w:color="auto"/>
      </w:divBdr>
    </w:div>
    <w:div w:id="315888948">
      <w:bodyDiv w:val="1"/>
      <w:marLeft w:val="0"/>
      <w:marRight w:val="0"/>
      <w:marTop w:val="0"/>
      <w:marBottom w:val="0"/>
      <w:divBdr>
        <w:top w:val="none" w:sz="0" w:space="0" w:color="auto"/>
        <w:left w:val="none" w:sz="0" w:space="0" w:color="auto"/>
        <w:bottom w:val="none" w:sz="0" w:space="0" w:color="auto"/>
        <w:right w:val="none" w:sz="0" w:space="0" w:color="auto"/>
      </w:divBdr>
    </w:div>
    <w:div w:id="321472380">
      <w:bodyDiv w:val="1"/>
      <w:marLeft w:val="0"/>
      <w:marRight w:val="0"/>
      <w:marTop w:val="0"/>
      <w:marBottom w:val="0"/>
      <w:divBdr>
        <w:top w:val="none" w:sz="0" w:space="0" w:color="auto"/>
        <w:left w:val="none" w:sz="0" w:space="0" w:color="auto"/>
        <w:bottom w:val="none" w:sz="0" w:space="0" w:color="auto"/>
        <w:right w:val="none" w:sz="0" w:space="0" w:color="auto"/>
      </w:divBdr>
    </w:div>
    <w:div w:id="321861110">
      <w:bodyDiv w:val="1"/>
      <w:marLeft w:val="0"/>
      <w:marRight w:val="0"/>
      <w:marTop w:val="0"/>
      <w:marBottom w:val="0"/>
      <w:divBdr>
        <w:top w:val="none" w:sz="0" w:space="0" w:color="auto"/>
        <w:left w:val="none" w:sz="0" w:space="0" w:color="auto"/>
        <w:bottom w:val="none" w:sz="0" w:space="0" w:color="auto"/>
        <w:right w:val="none" w:sz="0" w:space="0" w:color="auto"/>
      </w:divBdr>
    </w:div>
    <w:div w:id="325862542">
      <w:bodyDiv w:val="1"/>
      <w:marLeft w:val="0"/>
      <w:marRight w:val="0"/>
      <w:marTop w:val="0"/>
      <w:marBottom w:val="0"/>
      <w:divBdr>
        <w:top w:val="none" w:sz="0" w:space="0" w:color="auto"/>
        <w:left w:val="none" w:sz="0" w:space="0" w:color="auto"/>
        <w:bottom w:val="none" w:sz="0" w:space="0" w:color="auto"/>
        <w:right w:val="none" w:sz="0" w:space="0" w:color="auto"/>
      </w:divBdr>
    </w:div>
    <w:div w:id="344016407">
      <w:bodyDiv w:val="1"/>
      <w:marLeft w:val="0"/>
      <w:marRight w:val="0"/>
      <w:marTop w:val="0"/>
      <w:marBottom w:val="0"/>
      <w:divBdr>
        <w:top w:val="none" w:sz="0" w:space="0" w:color="auto"/>
        <w:left w:val="none" w:sz="0" w:space="0" w:color="auto"/>
        <w:bottom w:val="none" w:sz="0" w:space="0" w:color="auto"/>
        <w:right w:val="none" w:sz="0" w:space="0" w:color="auto"/>
      </w:divBdr>
    </w:div>
    <w:div w:id="352921381">
      <w:bodyDiv w:val="1"/>
      <w:marLeft w:val="0"/>
      <w:marRight w:val="0"/>
      <w:marTop w:val="0"/>
      <w:marBottom w:val="0"/>
      <w:divBdr>
        <w:top w:val="none" w:sz="0" w:space="0" w:color="auto"/>
        <w:left w:val="none" w:sz="0" w:space="0" w:color="auto"/>
        <w:bottom w:val="none" w:sz="0" w:space="0" w:color="auto"/>
        <w:right w:val="none" w:sz="0" w:space="0" w:color="auto"/>
      </w:divBdr>
    </w:div>
    <w:div w:id="400979454">
      <w:bodyDiv w:val="1"/>
      <w:marLeft w:val="0"/>
      <w:marRight w:val="0"/>
      <w:marTop w:val="0"/>
      <w:marBottom w:val="0"/>
      <w:divBdr>
        <w:top w:val="none" w:sz="0" w:space="0" w:color="auto"/>
        <w:left w:val="none" w:sz="0" w:space="0" w:color="auto"/>
        <w:bottom w:val="none" w:sz="0" w:space="0" w:color="auto"/>
        <w:right w:val="none" w:sz="0" w:space="0" w:color="auto"/>
      </w:divBdr>
    </w:div>
    <w:div w:id="439574194">
      <w:bodyDiv w:val="1"/>
      <w:marLeft w:val="0"/>
      <w:marRight w:val="0"/>
      <w:marTop w:val="0"/>
      <w:marBottom w:val="0"/>
      <w:divBdr>
        <w:top w:val="none" w:sz="0" w:space="0" w:color="auto"/>
        <w:left w:val="none" w:sz="0" w:space="0" w:color="auto"/>
        <w:bottom w:val="none" w:sz="0" w:space="0" w:color="auto"/>
        <w:right w:val="none" w:sz="0" w:space="0" w:color="auto"/>
      </w:divBdr>
    </w:div>
    <w:div w:id="443697596">
      <w:bodyDiv w:val="1"/>
      <w:marLeft w:val="0"/>
      <w:marRight w:val="0"/>
      <w:marTop w:val="0"/>
      <w:marBottom w:val="0"/>
      <w:divBdr>
        <w:top w:val="none" w:sz="0" w:space="0" w:color="auto"/>
        <w:left w:val="none" w:sz="0" w:space="0" w:color="auto"/>
        <w:bottom w:val="none" w:sz="0" w:space="0" w:color="auto"/>
        <w:right w:val="none" w:sz="0" w:space="0" w:color="auto"/>
      </w:divBdr>
    </w:div>
    <w:div w:id="462314893">
      <w:bodyDiv w:val="1"/>
      <w:marLeft w:val="0"/>
      <w:marRight w:val="0"/>
      <w:marTop w:val="0"/>
      <w:marBottom w:val="0"/>
      <w:divBdr>
        <w:top w:val="none" w:sz="0" w:space="0" w:color="auto"/>
        <w:left w:val="none" w:sz="0" w:space="0" w:color="auto"/>
        <w:bottom w:val="none" w:sz="0" w:space="0" w:color="auto"/>
        <w:right w:val="none" w:sz="0" w:space="0" w:color="auto"/>
      </w:divBdr>
    </w:div>
    <w:div w:id="499153574">
      <w:bodyDiv w:val="1"/>
      <w:marLeft w:val="0"/>
      <w:marRight w:val="0"/>
      <w:marTop w:val="0"/>
      <w:marBottom w:val="0"/>
      <w:divBdr>
        <w:top w:val="none" w:sz="0" w:space="0" w:color="auto"/>
        <w:left w:val="none" w:sz="0" w:space="0" w:color="auto"/>
        <w:bottom w:val="none" w:sz="0" w:space="0" w:color="auto"/>
        <w:right w:val="none" w:sz="0" w:space="0" w:color="auto"/>
      </w:divBdr>
    </w:div>
    <w:div w:id="501167777">
      <w:bodyDiv w:val="1"/>
      <w:marLeft w:val="0"/>
      <w:marRight w:val="0"/>
      <w:marTop w:val="0"/>
      <w:marBottom w:val="0"/>
      <w:divBdr>
        <w:top w:val="none" w:sz="0" w:space="0" w:color="auto"/>
        <w:left w:val="none" w:sz="0" w:space="0" w:color="auto"/>
        <w:bottom w:val="none" w:sz="0" w:space="0" w:color="auto"/>
        <w:right w:val="none" w:sz="0" w:space="0" w:color="auto"/>
      </w:divBdr>
    </w:div>
    <w:div w:id="501748125">
      <w:bodyDiv w:val="1"/>
      <w:marLeft w:val="0"/>
      <w:marRight w:val="0"/>
      <w:marTop w:val="0"/>
      <w:marBottom w:val="0"/>
      <w:divBdr>
        <w:top w:val="none" w:sz="0" w:space="0" w:color="auto"/>
        <w:left w:val="none" w:sz="0" w:space="0" w:color="auto"/>
        <w:bottom w:val="none" w:sz="0" w:space="0" w:color="auto"/>
        <w:right w:val="none" w:sz="0" w:space="0" w:color="auto"/>
      </w:divBdr>
    </w:div>
    <w:div w:id="509221803">
      <w:bodyDiv w:val="1"/>
      <w:marLeft w:val="0"/>
      <w:marRight w:val="0"/>
      <w:marTop w:val="0"/>
      <w:marBottom w:val="0"/>
      <w:divBdr>
        <w:top w:val="none" w:sz="0" w:space="0" w:color="auto"/>
        <w:left w:val="none" w:sz="0" w:space="0" w:color="auto"/>
        <w:bottom w:val="none" w:sz="0" w:space="0" w:color="auto"/>
        <w:right w:val="none" w:sz="0" w:space="0" w:color="auto"/>
      </w:divBdr>
    </w:div>
    <w:div w:id="547959385">
      <w:bodyDiv w:val="1"/>
      <w:marLeft w:val="0"/>
      <w:marRight w:val="0"/>
      <w:marTop w:val="0"/>
      <w:marBottom w:val="0"/>
      <w:divBdr>
        <w:top w:val="none" w:sz="0" w:space="0" w:color="auto"/>
        <w:left w:val="none" w:sz="0" w:space="0" w:color="auto"/>
        <w:bottom w:val="none" w:sz="0" w:space="0" w:color="auto"/>
        <w:right w:val="none" w:sz="0" w:space="0" w:color="auto"/>
      </w:divBdr>
    </w:div>
    <w:div w:id="548347248">
      <w:bodyDiv w:val="1"/>
      <w:marLeft w:val="0"/>
      <w:marRight w:val="0"/>
      <w:marTop w:val="0"/>
      <w:marBottom w:val="0"/>
      <w:divBdr>
        <w:top w:val="none" w:sz="0" w:space="0" w:color="auto"/>
        <w:left w:val="none" w:sz="0" w:space="0" w:color="auto"/>
        <w:bottom w:val="none" w:sz="0" w:space="0" w:color="auto"/>
        <w:right w:val="none" w:sz="0" w:space="0" w:color="auto"/>
      </w:divBdr>
    </w:div>
    <w:div w:id="559560284">
      <w:bodyDiv w:val="1"/>
      <w:marLeft w:val="0"/>
      <w:marRight w:val="0"/>
      <w:marTop w:val="0"/>
      <w:marBottom w:val="0"/>
      <w:divBdr>
        <w:top w:val="none" w:sz="0" w:space="0" w:color="auto"/>
        <w:left w:val="none" w:sz="0" w:space="0" w:color="auto"/>
        <w:bottom w:val="none" w:sz="0" w:space="0" w:color="auto"/>
        <w:right w:val="none" w:sz="0" w:space="0" w:color="auto"/>
      </w:divBdr>
    </w:div>
    <w:div w:id="565070796">
      <w:bodyDiv w:val="1"/>
      <w:marLeft w:val="0"/>
      <w:marRight w:val="0"/>
      <w:marTop w:val="0"/>
      <w:marBottom w:val="0"/>
      <w:divBdr>
        <w:top w:val="none" w:sz="0" w:space="0" w:color="auto"/>
        <w:left w:val="none" w:sz="0" w:space="0" w:color="auto"/>
        <w:bottom w:val="none" w:sz="0" w:space="0" w:color="auto"/>
        <w:right w:val="none" w:sz="0" w:space="0" w:color="auto"/>
      </w:divBdr>
    </w:div>
    <w:div w:id="567420900">
      <w:bodyDiv w:val="1"/>
      <w:marLeft w:val="0"/>
      <w:marRight w:val="0"/>
      <w:marTop w:val="0"/>
      <w:marBottom w:val="0"/>
      <w:divBdr>
        <w:top w:val="none" w:sz="0" w:space="0" w:color="auto"/>
        <w:left w:val="none" w:sz="0" w:space="0" w:color="auto"/>
        <w:bottom w:val="none" w:sz="0" w:space="0" w:color="auto"/>
        <w:right w:val="none" w:sz="0" w:space="0" w:color="auto"/>
      </w:divBdr>
    </w:div>
    <w:div w:id="568804846">
      <w:bodyDiv w:val="1"/>
      <w:marLeft w:val="0"/>
      <w:marRight w:val="0"/>
      <w:marTop w:val="0"/>
      <w:marBottom w:val="0"/>
      <w:divBdr>
        <w:top w:val="none" w:sz="0" w:space="0" w:color="auto"/>
        <w:left w:val="none" w:sz="0" w:space="0" w:color="auto"/>
        <w:bottom w:val="none" w:sz="0" w:space="0" w:color="auto"/>
        <w:right w:val="none" w:sz="0" w:space="0" w:color="auto"/>
      </w:divBdr>
    </w:div>
    <w:div w:id="577986195">
      <w:bodyDiv w:val="1"/>
      <w:marLeft w:val="0"/>
      <w:marRight w:val="0"/>
      <w:marTop w:val="0"/>
      <w:marBottom w:val="0"/>
      <w:divBdr>
        <w:top w:val="none" w:sz="0" w:space="0" w:color="auto"/>
        <w:left w:val="none" w:sz="0" w:space="0" w:color="auto"/>
        <w:bottom w:val="none" w:sz="0" w:space="0" w:color="auto"/>
        <w:right w:val="none" w:sz="0" w:space="0" w:color="auto"/>
      </w:divBdr>
    </w:div>
    <w:div w:id="596719880">
      <w:bodyDiv w:val="1"/>
      <w:marLeft w:val="0"/>
      <w:marRight w:val="0"/>
      <w:marTop w:val="0"/>
      <w:marBottom w:val="0"/>
      <w:divBdr>
        <w:top w:val="none" w:sz="0" w:space="0" w:color="auto"/>
        <w:left w:val="none" w:sz="0" w:space="0" w:color="auto"/>
        <w:bottom w:val="none" w:sz="0" w:space="0" w:color="auto"/>
        <w:right w:val="none" w:sz="0" w:space="0" w:color="auto"/>
      </w:divBdr>
    </w:div>
    <w:div w:id="656885094">
      <w:bodyDiv w:val="1"/>
      <w:marLeft w:val="0"/>
      <w:marRight w:val="0"/>
      <w:marTop w:val="0"/>
      <w:marBottom w:val="0"/>
      <w:divBdr>
        <w:top w:val="none" w:sz="0" w:space="0" w:color="auto"/>
        <w:left w:val="none" w:sz="0" w:space="0" w:color="auto"/>
        <w:bottom w:val="none" w:sz="0" w:space="0" w:color="auto"/>
        <w:right w:val="none" w:sz="0" w:space="0" w:color="auto"/>
      </w:divBdr>
    </w:div>
    <w:div w:id="664090618">
      <w:bodyDiv w:val="1"/>
      <w:marLeft w:val="0"/>
      <w:marRight w:val="0"/>
      <w:marTop w:val="0"/>
      <w:marBottom w:val="0"/>
      <w:divBdr>
        <w:top w:val="none" w:sz="0" w:space="0" w:color="auto"/>
        <w:left w:val="none" w:sz="0" w:space="0" w:color="auto"/>
        <w:bottom w:val="none" w:sz="0" w:space="0" w:color="auto"/>
        <w:right w:val="none" w:sz="0" w:space="0" w:color="auto"/>
      </w:divBdr>
    </w:div>
    <w:div w:id="674764377">
      <w:bodyDiv w:val="1"/>
      <w:marLeft w:val="0"/>
      <w:marRight w:val="0"/>
      <w:marTop w:val="0"/>
      <w:marBottom w:val="0"/>
      <w:divBdr>
        <w:top w:val="none" w:sz="0" w:space="0" w:color="auto"/>
        <w:left w:val="none" w:sz="0" w:space="0" w:color="auto"/>
        <w:bottom w:val="none" w:sz="0" w:space="0" w:color="auto"/>
        <w:right w:val="none" w:sz="0" w:space="0" w:color="auto"/>
      </w:divBdr>
    </w:div>
    <w:div w:id="676541098">
      <w:bodyDiv w:val="1"/>
      <w:marLeft w:val="0"/>
      <w:marRight w:val="0"/>
      <w:marTop w:val="0"/>
      <w:marBottom w:val="0"/>
      <w:divBdr>
        <w:top w:val="none" w:sz="0" w:space="0" w:color="auto"/>
        <w:left w:val="none" w:sz="0" w:space="0" w:color="auto"/>
        <w:bottom w:val="none" w:sz="0" w:space="0" w:color="auto"/>
        <w:right w:val="none" w:sz="0" w:space="0" w:color="auto"/>
      </w:divBdr>
    </w:div>
    <w:div w:id="680665932">
      <w:bodyDiv w:val="1"/>
      <w:marLeft w:val="0"/>
      <w:marRight w:val="0"/>
      <w:marTop w:val="0"/>
      <w:marBottom w:val="0"/>
      <w:divBdr>
        <w:top w:val="none" w:sz="0" w:space="0" w:color="auto"/>
        <w:left w:val="none" w:sz="0" w:space="0" w:color="auto"/>
        <w:bottom w:val="none" w:sz="0" w:space="0" w:color="auto"/>
        <w:right w:val="none" w:sz="0" w:space="0" w:color="auto"/>
      </w:divBdr>
    </w:div>
    <w:div w:id="686298660">
      <w:bodyDiv w:val="1"/>
      <w:marLeft w:val="0"/>
      <w:marRight w:val="0"/>
      <w:marTop w:val="0"/>
      <w:marBottom w:val="0"/>
      <w:divBdr>
        <w:top w:val="none" w:sz="0" w:space="0" w:color="auto"/>
        <w:left w:val="none" w:sz="0" w:space="0" w:color="auto"/>
        <w:bottom w:val="none" w:sz="0" w:space="0" w:color="auto"/>
        <w:right w:val="none" w:sz="0" w:space="0" w:color="auto"/>
      </w:divBdr>
    </w:div>
    <w:div w:id="687416548">
      <w:bodyDiv w:val="1"/>
      <w:marLeft w:val="0"/>
      <w:marRight w:val="0"/>
      <w:marTop w:val="0"/>
      <w:marBottom w:val="0"/>
      <w:divBdr>
        <w:top w:val="none" w:sz="0" w:space="0" w:color="auto"/>
        <w:left w:val="none" w:sz="0" w:space="0" w:color="auto"/>
        <w:bottom w:val="none" w:sz="0" w:space="0" w:color="auto"/>
        <w:right w:val="none" w:sz="0" w:space="0" w:color="auto"/>
      </w:divBdr>
    </w:div>
    <w:div w:id="691029805">
      <w:bodyDiv w:val="1"/>
      <w:marLeft w:val="0"/>
      <w:marRight w:val="0"/>
      <w:marTop w:val="0"/>
      <w:marBottom w:val="0"/>
      <w:divBdr>
        <w:top w:val="none" w:sz="0" w:space="0" w:color="auto"/>
        <w:left w:val="none" w:sz="0" w:space="0" w:color="auto"/>
        <w:bottom w:val="none" w:sz="0" w:space="0" w:color="auto"/>
        <w:right w:val="none" w:sz="0" w:space="0" w:color="auto"/>
      </w:divBdr>
    </w:div>
    <w:div w:id="699821612">
      <w:bodyDiv w:val="1"/>
      <w:marLeft w:val="0"/>
      <w:marRight w:val="0"/>
      <w:marTop w:val="0"/>
      <w:marBottom w:val="0"/>
      <w:divBdr>
        <w:top w:val="none" w:sz="0" w:space="0" w:color="auto"/>
        <w:left w:val="none" w:sz="0" w:space="0" w:color="auto"/>
        <w:bottom w:val="none" w:sz="0" w:space="0" w:color="auto"/>
        <w:right w:val="none" w:sz="0" w:space="0" w:color="auto"/>
      </w:divBdr>
    </w:div>
    <w:div w:id="730276354">
      <w:bodyDiv w:val="1"/>
      <w:marLeft w:val="0"/>
      <w:marRight w:val="0"/>
      <w:marTop w:val="0"/>
      <w:marBottom w:val="0"/>
      <w:divBdr>
        <w:top w:val="none" w:sz="0" w:space="0" w:color="auto"/>
        <w:left w:val="none" w:sz="0" w:space="0" w:color="auto"/>
        <w:bottom w:val="none" w:sz="0" w:space="0" w:color="auto"/>
        <w:right w:val="none" w:sz="0" w:space="0" w:color="auto"/>
      </w:divBdr>
    </w:div>
    <w:div w:id="746540544">
      <w:bodyDiv w:val="1"/>
      <w:marLeft w:val="0"/>
      <w:marRight w:val="0"/>
      <w:marTop w:val="0"/>
      <w:marBottom w:val="0"/>
      <w:divBdr>
        <w:top w:val="none" w:sz="0" w:space="0" w:color="auto"/>
        <w:left w:val="none" w:sz="0" w:space="0" w:color="auto"/>
        <w:bottom w:val="none" w:sz="0" w:space="0" w:color="auto"/>
        <w:right w:val="none" w:sz="0" w:space="0" w:color="auto"/>
      </w:divBdr>
    </w:div>
    <w:div w:id="780566077">
      <w:bodyDiv w:val="1"/>
      <w:marLeft w:val="0"/>
      <w:marRight w:val="0"/>
      <w:marTop w:val="0"/>
      <w:marBottom w:val="0"/>
      <w:divBdr>
        <w:top w:val="none" w:sz="0" w:space="0" w:color="auto"/>
        <w:left w:val="none" w:sz="0" w:space="0" w:color="auto"/>
        <w:bottom w:val="none" w:sz="0" w:space="0" w:color="auto"/>
        <w:right w:val="none" w:sz="0" w:space="0" w:color="auto"/>
      </w:divBdr>
    </w:div>
    <w:div w:id="852961094">
      <w:bodyDiv w:val="1"/>
      <w:marLeft w:val="0"/>
      <w:marRight w:val="0"/>
      <w:marTop w:val="0"/>
      <w:marBottom w:val="0"/>
      <w:divBdr>
        <w:top w:val="none" w:sz="0" w:space="0" w:color="auto"/>
        <w:left w:val="none" w:sz="0" w:space="0" w:color="auto"/>
        <w:bottom w:val="none" w:sz="0" w:space="0" w:color="auto"/>
        <w:right w:val="none" w:sz="0" w:space="0" w:color="auto"/>
      </w:divBdr>
    </w:div>
    <w:div w:id="879704876">
      <w:bodyDiv w:val="1"/>
      <w:marLeft w:val="0"/>
      <w:marRight w:val="0"/>
      <w:marTop w:val="0"/>
      <w:marBottom w:val="0"/>
      <w:divBdr>
        <w:top w:val="none" w:sz="0" w:space="0" w:color="auto"/>
        <w:left w:val="none" w:sz="0" w:space="0" w:color="auto"/>
        <w:bottom w:val="none" w:sz="0" w:space="0" w:color="auto"/>
        <w:right w:val="none" w:sz="0" w:space="0" w:color="auto"/>
      </w:divBdr>
    </w:div>
    <w:div w:id="909925223">
      <w:bodyDiv w:val="1"/>
      <w:marLeft w:val="0"/>
      <w:marRight w:val="0"/>
      <w:marTop w:val="0"/>
      <w:marBottom w:val="0"/>
      <w:divBdr>
        <w:top w:val="none" w:sz="0" w:space="0" w:color="auto"/>
        <w:left w:val="none" w:sz="0" w:space="0" w:color="auto"/>
        <w:bottom w:val="none" w:sz="0" w:space="0" w:color="auto"/>
        <w:right w:val="none" w:sz="0" w:space="0" w:color="auto"/>
      </w:divBdr>
    </w:div>
    <w:div w:id="918371734">
      <w:bodyDiv w:val="1"/>
      <w:marLeft w:val="0"/>
      <w:marRight w:val="0"/>
      <w:marTop w:val="0"/>
      <w:marBottom w:val="0"/>
      <w:divBdr>
        <w:top w:val="none" w:sz="0" w:space="0" w:color="auto"/>
        <w:left w:val="none" w:sz="0" w:space="0" w:color="auto"/>
        <w:bottom w:val="none" w:sz="0" w:space="0" w:color="auto"/>
        <w:right w:val="none" w:sz="0" w:space="0" w:color="auto"/>
      </w:divBdr>
    </w:div>
    <w:div w:id="932278014">
      <w:bodyDiv w:val="1"/>
      <w:marLeft w:val="0"/>
      <w:marRight w:val="0"/>
      <w:marTop w:val="0"/>
      <w:marBottom w:val="0"/>
      <w:divBdr>
        <w:top w:val="none" w:sz="0" w:space="0" w:color="auto"/>
        <w:left w:val="none" w:sz="0" w:space="0" w:color="auto"/>
        <w:bottom w:val="none" w:sz="0" w:space="0" w:color="auto"/>
        <w:right w:val="none" w:sz="0" w:space="0" w:color="auto"/>
      </w:divBdr>
    </w:div>
    <w:div w:id="939412456">
      <w:bodyDiv w:val="1"/>
      <w:marLeft w:val="0"/>
      <w:marRight w:val="0"/>
      <w:marTop w:val="0"/>
      <w:marBottom w:val="0"/>
      <w:divBdr>
        <w:top w:val="none" w:sz="0" w:space="0" w:color="auto"/>
        <w:left w:val="none" w:sz="0" w:space="0" w:color="auto"/>
        <w:bottom w:val="none" w:sz="0" w:space="0" w:color="auto"/>
        <w:right w:val="none" w:sz="0" w:space="0" w:color="auto"/>
      </w:divBdr>
    </w:div>
    <w:div w:id="962151872">
      <w:bodyDiv w:val="1"/>
      <w:marLeft w:val="0"/>
      <w:marRight w:val="0"/>
      <w:marTop w:val="0"/>
      <w:marBottom w:val="0"/>
      <w:divBdr>
        <w:top w:val="none" w:sz="0" w:space="0" w:color="auto"/>
        <w:left w:val="none" w:sz="0" w:space="0" w:color="auto"/>
        <w:bottom w:val="none" w:sz="0" w:space="0" w:color="auto"/>
        <w:right w:val="none" w:sz="0" w:space="0" w:color="auto"/>
      </w:divBdr>
    </w:div>
    <w:div w:id="969478325">
      <w:bodyDiv w:val="1"/>
      <w:marLeft w:val="0"/>
      <w:marRight w:val="0"/>
      <w:marTop w:val="0"/>
      <w:marBottom w:val="0"/>
      <w:divBdr>
        <w:top w:val="none" w:sz="0" w:space="0" w:color="auto"/>
        <w:left w:val="none" w:sz="0" w:space="0" w:color="auto"/>
        <w:bottom w:val="none" w:sz="0" w:space="0" w:color="auto"/>
        <w:right w:val="none" w:sz="0" w:space="0" w:color="auto"/>
      </w:divBdr>
    </w:div>
    <w:div w:id="998314385">
      <w:bodyDiv w:val="1"/>
      <w:marLeft w:val="0"/>
      <w:marRight w:val="0"/>
      <w:marTop w:val="0"/>
      <w:marBottom w:val="0"/>
      <w:divBdr>
        <w:top w:val="none" w:sz="0" w:space="0" w:color="auto"/>
        <w:left w:val="none" w:sz="0" w:space="0" w:color="auto"/>
        <w:bottom w:val="none" w:sz="0" w:space="0" w:color="auto"/>
        <w:right w:val="none" w:sz="0" w:space="0" w:color="auto"/>
      </w:divBdr>
    </w:div>
    <w:div w:id="1008562588">
      <w:bodyDiv w:val="1"/>
      <w:marLeft w:val="0"/>
      <w:marRight w:val="0"/>
      <w:marTop w:val="0"/>
      <w:marBottom w:val="0"/>
      <w:divBdr>
        <w:top w:val="none" w:sz="0" w:space="0" w:color="auto"/>
        <w:left w:val="none" w:sz="0" w:space="0" w:color="auto"/>
        <w:bottom w:val="none" w:sz="0" w:space="0" w:color="auto"/>
        <w:right w:val="none" w:sz="0" w:space="0" w:color="auto"/>
      </w:divBdr>
    </w:div>
    <w:div w:id="1053308283">
      <w:bodyDiv w:val="1"/>
      <w:marLeft w:val="0"/>
      <w:marRight w:val="0"/>
      <w:marTop w:val="0"/>
      <w:marBottom w:val="0"/>
      <w:divBdr>
        <w:top w:val="none" w:sz="0" w:space="0" w:color="auto"/>
        <w:left w:val="none" w:sz="0" w:space="0" w:color="auto"/>
        <w:bottom w:val="none" w:sz="0" w:space="0" w:color="auto"/>
        <w:right w:val="none" w:sz="0" w:space="0" w:color="auto"/>
      </w:divBdr>
    </w:div>
    <w:div w:id="1078673812">
      <w:bodyDiv w:val="1"/>
      <w:marLeft w:val="0"/>
      <w:marRight w:val="0"/>
      <w:marTop w:val="0"/>
      <w:marBottom w:val="0"/>
      <w:divBdr>
        <w:top w:val="none" w:sz="0" w:space="0" w:color="auto"/>
        <w:left w:val="none" w:sz="0" w:space="0" w:color="auto"/>
        <w:bottom w:val="none" w:sz="0" w:space="0" w:color="auto"/>
        <w:right w:val="none" w:sz="0" w:space="0" w:color="auto"/>
      </w:divBdr>
    </w:div>
    <w:div w:id="1082680670">
      <w:bodyDiv w:val="1"/>
      <w:marLeft w:val="0"/>
      <w:marRight w:val="0"/>
      <w:marTop w:val="0"/>
      <w:marBottom w:val="0"/>
      <w:divBdr>
        <w:top w:val="none" w:sz="0" w:space="0" w:color="auto"/>
        <w:left w:val="none" w:sz="0" w:space="0" w:color="auto"/>
        <w:bottom w:val="none" w:sz="0" w:space="0" w:color="auto"/>
        <w:right w:val="none" w:sz="0" w:space="0" w:color="auto"/>
      </w:divBdr>
    </w:div>
    <w:div w:id="1110661320">
      <w:bodyDiv w:val="1"/>
      <w:marLeft w:val="0"/>
      <w:marRight w:val="0"/>
      <w:marTop w:val="0"/>
      <w:marBottom w:val="0"/>
      <w:divBdr>
        <w:top w:val="none" w:sz="0" w:space="0" w:color="auto"/>
        <w:left w:val="none" w:sz="0" w:space="0" w:color="auto"/>
        <w:bottom w:val="none" w:sz="0" w:space="0" w:color="auto"/>
        <w:right w:val="none" w:sz="0" w:space="0" w:color="auto"/>
      </w:divBdr>
    </w:div>
    <w:div w:id="1122264600">
      <w:bodyDiv w:val="1"/>
      <w:marLeft w:val="0"/>
      <w:marRight w:val="0"/>
      <w:marTop w:val="0"/>
      <w:marBottom w:val="0"/>
      <w:divBdr>
        <w:top w:val="none" w:sz="0" w:space="0" w:color="auto"/>
        <w:left w:val="none" w:sz="0" w:space="0" w:color="auto"/>
        <w:bottom w:val="none" w:sz="0" w:space="0" w:color="auto"/>
        <w:right w:val="none" w:sz="0" w:space="0" w:color="auto"/>
      </w:divBdr>
    </w:div>
    <w:div w:id="1133789542">
      <w:bodyDiv w:val="1"/>
      <w:marLeft w:val="0"/>
      <w:marRight w:val="0"/>
      <w:marTop w:val="0"/>
      <w:marBottom w:val="0"/>
      <w:divBdr>
        <w:top w:val="none" w:sz="0" w:space="0" w:color="auto"/>
        <w:left w:val="none" w:sz="0" w:space="0" w:color="auto"/>
        <w:bottom w:val="none" w:sz="0" w:space="0" w:color="auto"/>
        <w:right w:val="none" w:sz="0" w:space="0" w:color="auto"/>
      </w:divBdr>
    </w:div>
    <w:div w:id="1143618521">
      <w:bodyDiv w:val="1"/>
      <w:marLeft w:val="0"/>
      <w:marRight w:val="0"/>
      <w:marTop w:val="0"/>
      <w:marBottom w:val="0"/>
      <w:divBdr>
        <w:top w:val="none" w:sz="0" w:space="0" w:color="auto"/>
        <w:left w:val="none" w:sz="0" w:space="0" w:color="auto"/>
        <w:bottom w:val="none" w:sz="0" w:space="0" w:color="auto"/>
        <w:right w:val="none" w:sz="0" w:space="0" w:color="auto"/>
      </w:divBdr>
    </w:div>
    <w:div w:id="1178693440">
      <w:bodyDiv w:val="1"/>
      <w:marLeft w:val="0"/>
      <w:marRight w:val="0"/>
      <w:marTop w:val="0"/>
      <w:marBottom w:val="0"/>
      <w:divBdr>
        <w:top w:val="none" w:sz="0" w:space="0" w:color="auto"/>
        <w:left w:val="none" w:sz="0" w:space="0" w:color="auto"/>
        <w:bottom w:val="none" w:sz="0" w:space="0" w:color="auto"/>
        <w:right w:val="none" w:sz="0" w:space="0" w:color="auto"/>
      </w:divBdr>
    </w:div>
    <w:div w:id="1189679486">
      <w:bodyDiv w:val="1"/>
      <w:marLeft w:val="0"/>
      <w:marRight w:val="0"/>
      <w:marTop w:val="0"/>
      <w:marBottom w:val="0"/>
      <w:divBdr>
        <w:top w:val="none" w:sz="0" w:space="0" w:color="auto"/>
        <w:left w:val="none" w:sz="0" w:space="0" w:color="auto"/>
        <w:bottom w:val="none" w:sz="0" w:space="0" w:color="auto"/>
        <w:right w:val="none" w:sz="0" w:space="0" w:color="auto"/>
      </w:divBdr>
    </w:div>
    <w:div w:id="1191607376">
      <w:bodyDiv w:val="1"/>
      <w:marLeft w:val="0"/>
      <w:marRight w:val="0"/>
      <w:marTop w:val="0"/>
      <w:marBottom w:val="0"/>
      <w:divBdr>
        <w:top w:val="none" w:sz="0" w:space="0" w:color="auto"/>
        <w:left w:val="none" w:sz="0" w:space="0" w:color="auto"/>
        <w:bottom w:val="none" w:sz="0" w:space="0" w:color="auto"/>
        <w:right w:val="none" w:sz="0" w:space="0" w:color="auto"/>
      </w:divBdr>
    </w:div>
    <w:div w:id="1226262380">
      <w:bodyDiv w:val="1"/>
      <w:marLeft w:val="0"/>
      <w:marRight w:val="0"/>
      <w:marTop w:val="0"/>
      <w:marBottom w:val="0"/>
      <w:divBdr>
        <w:top w:val="none" w:sz="0" w:space="0" w:color="auto"/>
        <w:left w:val="none" w:sz="0" w:space="0" w:color="auto"/>
        <w:bottom w:val="none" w:sz="0" w:space="0" w:color="auto"/>
        <w:right w:val="none" w:sz="0" w:space="0" w:color="auto"/>
      </w:divBdr>
    </w:div>
    <w:div w:id="1230455151">
      <w:bodyDiv w:val="1"/>
      <w:marLeft w:val="0"/>
      <w:marRight w:val="0"/>
      <w:marTop w:val="0"/>
      <w:marBottom w:val="0"/>
      <w:divBdr>
        <w:top w:val="none" w:sz="0" w:space="0" w:color="auto"/>
        <w:left w:val="none" w:sz="0" w:space="0" w:color="auto"/>
        <w:bottom w:val="none" w:sz="0" w:space="0" w:color="auto"/>
        <w:right w:val="none" w:sz="0" w:space="0" w:color="auto"/>
      </w:divBdr>
    </w:div>
    <w:div w:id="1271819714">
      <w:bodyDiv w:val="1"/>
      <w:marLeft w:val="0"/>
      <w:marRight w:val="0"/>
      <w:marTop w:val="0"/>
      <w:marBottom w:val="0"/>
      <w:divBdr>
        <w:top w:val="none" w:sz="0" w:space="0" w:color="auto"/>
        <w:left w:val="none" w:sz="0" w:space="0" w:color="auto"/>
        <w:bottom w:val="none" w:sz="0" w:space="0" w:color="auto"/>
        <w:right w:val="none" w:sz="0" w:space="0" w:color="auto"/>
      </w:divBdr>
    </w:div>
    <w:div w:id="1291589727">
      <w:bodyDiv w:val="1"/>
      <w:marLeft w:val="0"/>
      <w:marRight w:val="0"/>
      <w:marTop w:val="0"/>
      <w:marBottom w:val="0"/>
      <w:divBdr>
        <w:top w:val="none" w:sz="0" w:space="0" w:color="auto"/>
        <w:left w:val="none" w:sz="0" w:space="0" w:color="auto"/>
        <w:bottom w:val="none" w:sz="0" w:space="0" w:color="auto"/>
        <w:right w:val="none" w:sz="0" w:space="0" w:color="auto"/>
      </w:divBdr>
    </w:div>
    <w:div w:id="1307199111">
      <w:bodyDiv w:val="1"/>
      <w:marLeft w:val="0"/>
      <w:marRight w:val="0"/>
      <w:marTop w:val="0"/>
      <w:marBottom w:val="0"/>
      <w:divBdr>
        <w:top w:val="none" w:sz="0" w:space="0" w:color="auto"/>
        <w:left w:val="none" w:sz="0" w:space="0" w:color="auto"/>
        <w:bottom w:val="none" w:sz="0" w:space="0" w:color="auto"/>
        <w:right w:val="none" w:sz="0" w:space="0" w:color="auto"/>
      </w:divBdr>
    </w:div>
    <w:div w:id="1318070714">
      <w:bodyDiv w:val="1"/>
      <w:marLeft w:val="0"/>
      <w:marRight w:val="0"/>
      <w:marTop w:val="0"/>
      <w:marBottom w:val="0"/>
      <w:divBdr>
        <w:top w:val="none" w:sz="0" w:space="0" w:color="auto"/>
        <w:left w:val="none" w:sz="0" w:space="0" w:color="auto"/>
        <w:bottom w:val="none" w:sz="0" w:space="0" w:color="auto"/>
        <w:right w:val="none" w:sz="0" w:space="0" w:color="auto"/>
      </w:divBdr>
    </w:div>
    <w:div w:id="1327395818">
      <w:bodyDiv w:val="1"/>
      <w:marLeft w:val="0"/>
      <w:marRight w:val="0"/>
      <w:marTop w:val="0"/>
      <w:marBottom w:val="0"/>
      <w:divBdr>
        <w:top w:val="none" w:sz="0" w:space="0" w:color="auto"/>
        <w:left w:val="none" w:sz="0" w:space="0" w:color="auto"/>
        <w:bottom w:val="none" w:sz="0" w:space="0" w:color="auto"/>
        <w:right w:val="none" w:sz="0" w:space="0" w:color="auto"/>
      </w:divBdr>
    </w:div>
    <w:div w:id="1337339022">
      <w:bodyDiv w:val="1"/>
      <w:marLeft w:val="0"/>
      <w:marRight w:val="0"/>
      <w:marTop w:val="0"/>
      <w:marBottom w:val="0"/>
      <w:divBdr>
        <w:top w:val="none" w:sz="0" w:space="0" w:color="auto"/>
        <w:left w:val="none" w:sz="0" w:space="0" w:color="auto"/>
        <w:bottom w:val="none" w:sz="0" w:space="0" w:color="auto"/>
        <w:right w:val="none" w:sz="0" w:space="0" w:color="auto"/>
      </w:divBdr>
    </w:div>
    <w:div w:id="1339306227">
      <w:bodyDiv w:val="1"/>
      <w:marLeft w:val="0"/>
      <w:marRight w:val="0"/>
      <w:marTop w:val="0"/>
      <w:marBottom w:val="0"/>
      <w:divBdr>
        <w:top w:val="none" w:sz="0" w:space="0" w:color="auto"/>
        <w:left w:val="none" w:sz="0" w:space="0" w:color="auto"/>
        <w:bottom w:val="none" w:sz="0" w:space="0" w:color="auto"/>
        <w:right w:val="none" w:sz="0" w:space="0" w:color="auto"/>
      </w:divBdr>
    </w:div>
    <w:div w:id="1352537620">
      <w:bodyDiv w:val="1"/>
      <w:marLeft w:val="0"/>
      <w:marRight w:val="0"/>
      <w:marTop w:val="0"/>
      <w:marBottom w:val="0"/>
      <w:divBdr>
        <w:top w:val="none" w:sz="0" w:space="0" w:color="auto"/>
        <w:left w:val="none" w:sz="0" w:space="0" w:color="auto"/>
        <w:bottom w:val="none" w:sz="0" w:space="0" w:color="auto"/>
        <w:right w:val="none" w:sz="0" w:space="0" w:color="auto"/>
      </w:divBdr>
    </w:div>
    <w:div w:id="1364016838">
      <w:bodyDiv w:val="1"/>
      <w:marLeft w:val="0"/>
      <w:marRight w:val="0"/>
      <w:marTop w:val="0"/>
      <w:marBottom w:val="0"/>
      <w:divBdr>
        <w:top w:val="none" w:sz="0" w:space="0" w:color="auto"/>
        <w:left w:val="none" w:sz="0" w:space="0" w:color="auto"/>
        <w:bottom w:val="none" w:sz="0" w:space="0" w:color="auto"/>
        <w:right w:val="none" w:sz="0" w:space="0" w:color="auto"/>
      </w:divBdr>
    </w:div>
    <w:div w:id="1377706468">
      <w:bodyDiv w:val="1"/>
      <w:marLeft w:val="0"/>
      <w:marRight w:val="0"/>
      <w:marTop w:val="0"/>
      <w:marBottom w:val="0"/>
      <w:divBdr>
        <w:top w:val="none" w:sz="0" w:space="0" w:color="auto"/>
        <w:left w:val="none" w:sz="0" w:space="0" w:color="auto"/>
        <w:bottom w:val="none" w:sz="0" w:space="0" w:color="auto"/>
        <w:right w:val="none" w:sz="0" w:space="0" w:color="auto"/>
      </w:divBdr>
    </w:div>
    <w:div w:id="1392343783">
      <w:bodyDiv w:val="1"/>
      <w:marLeft w:val="0"/>
      <w:marRight w:val="0"/>
      <w:marTop w:val="0"/>
      <w:marBottom w:val="0"/>
      <w:divBdr>
        <w:top w:val="none" w:sz="0" w:space="0" w:color="auto"/>
        <w:left w:val="none" w:sz="0" w:space="0" w:color="auto"/>
        <w:bottom w:val="none" w:sz="0" w:space="0" w:color="auto"/>
        <w:right w:val="none" w:sz="0" w:space="0" w:color="auto"/>
      </w:divBdr>
    </w:div>
    <w:div w:id="1392534943">
      <w:bodyDiv w:val="1"/>
      <w:marLeft w:val="0"/>
      <w:marRight w:val="0"/>
      <w:marTop w:val="0"/>
      <w:marBottom w:val="0"/>
      <w:divBdr>
        <w:top w:val="none" w:sz="0" w:space="0" w:color="auto"/>
        <w:left w:val="none" w:sz="0" w:space="0" w:color="auto"/>
        <w:bottom w:val="none" w:sz="0" w:space="0" w:color="auto"/>
        <w:right w:val="none" w:sz="0" w:space="0" w:color="auto"/>
      </w:divBdr>
    </w:div>
    <w:div w:id="1418673791">
      <w:bodyDiv w:val="1"/>
      <w:marLeft w:val="0"/>
      <w:marRight w:val="0"/>
      <w:marTop w:val="0"/>
      <w:marBottom w:val="0"/>
      <w:divBdr>
        <w:top w:val="none" w:sz="0" w:space="0" w:color="auto"/>
        <w:left w:val="none" w:sz="0" w:space="0" w:color="auto"/>
        <w:bottom w:val="none" w:sz="0" w:space="0" w:color="auto"/>
        <w:right w:val="none" w:sz="0" w:space="0" w:color="auto"/>
      </w:divBdr>
    </w:div>
    <w:div w:id="1422918559">
      <w:bodyDiv w:val="1"/>
      <w:marLeft w:val="0"/>
      <w:marRight w:val="0"/>
      <w:marTop w:val="0"/>
      <w:marBottom w:val="0"/>
      <w:divBdr>
        <w:top w:val="none" w:sz="0" w:space="0" w:color="auto"/>
        <w:left w:val="none" w:sz="0" w:space="0" w:color="auto"/>
        <w:bottom w:val="none" w:sz="0" w:space="0" w:color="auto"/>
        <w:right w:val="none" w:sz="0" w:space="0" w:color="auto"/>
      </w:divBdr>
    </w:div>
    <w:div w:id="1452047889">
      <w:bodyDiv w:val="1"/>
      <w:marLeft w:val="0"/>
      <w:marRight w:val="0"/>
      <w:marTop w:val="0"/>
      <w:marBottom w:val="0"/>
      <w:divBdr>
        <w:top w:val="none" w:sz="0" w:space="0" w:color="auto"/>
        <w:left w:val="none" w:sz="0" w:space="0" w:color="auto"/>
        <w:bottom w:val="none" w:sz="0" w:space="0" w:color="auto"/>
        <w:right w:val="none" w:sz="0" w:space="0" w:color="auto"/>
      </w:divBdr>
    </w:div>
    <w:div w:id="1453864830">
      <w:bodyDiv w:val="1"/>
      <w:marLeft w:val="0"/>
      <w:marRight w:val="0"/>
      <w:marTop w:val="0"/>
      <w:marBottom w:val="0"/>
      <w:divBdr>
        <w:top w:val="none" w:sz="0" w:space="0" w:color="auto"/>
        <w:left w:val="none" w:sz="0" w:space="0" w:color="auto"/>
        <w:bottom w:val="none" w:sz="0" w:space="0" w:color="auto"/>
        <w:right w:val="none" w:sz="0" w:space="0" w:color="auto"/>
      </w:divBdr>
    </w:div>
    <w:div w:id="1463384705">
      <w:bodyDiv w:val="1"/>
      <w:marLeft w:val="0"/>
      <w:marRight w:val="0"/>
      <w:marTop w:val="0"/>
      <w:marBottom w:val="0"/>
      <w:divBdr>
        <w:top w:val="none" w:sz="0" w:space="0" w:color="auto"/>
        <w:left w:val="none" w:sz="0" w:space="0" w:color="auto"/>
        <w:bottom w:val="none" w:sz="0" w:space="0" w:color="auto"/>
        <w:right w:val="none" w:sz="0" w:space="0" w:color="auto"/>
      </w:divBdr>
    </w:div>
    <w:div w:id="1529370528">
      <w:bodyDiv w:val="1"/>
      <w:marLeft w:val="0"/>
      <w:marRight w:val="0"/>
      <w:marTop w:val="0"/>
      <w:marBottom w:val="0"/>
      <w:divBdr>
        <w:top w:val="none" w:sz="0" w:space="0" w:color="auto"/>
        <w:left w:val="none" w:sz="0" w:space="0" w:color="auto"/>
        <w:bottom w:val="none" w:sz="0" w:space="0" w:color="auto"/>
        <w:right w:val="none" w:sz="0" w:space="0" w:color="auto"/>
      </w:divBdr>
    </w:div>
    <w:div w:id="1578785468">
      <w:bodyDiv w:val="1"/>
      <w:marLeft w:val="0"/>
      <w:marRight w:val="0"/>
      <w:marTop w:val="0"/>
      <w:marBottom w:val="0"/>
      <w:divBdr>
        <w:top w:val="none" w:sz="0" w:space="0" w:color="auto"/>
        <w:left w:val="none" w:sz="0" w:space="0" w:color="auto"/>
        <w:bottom w:val="none" w:sz="0" w:space="0" w:color="auto"/>
        <w:right w:val="none" w:sz="0" w:space="0" w:color="auto"/>
      </w:divBdr>
    </w:div>
    <w:div w:id="1597901294">
      <w:bodyDiv w:val="1"/>
      <w:marLeft w:val="0"/>
      <w:marRight w:val="0"/>
      <w:marTop w:val="0"/>
      <w:marBottom w:val="0"/>
      <w:divBdr>
        <w:top w:val="none" w:sz="0" w:space="0" w:color="auto"/>
        <w:left w:val="none" w:sz="0" w:space="0" w:color="auto"/>
        <w:bottom w:val="none" w:sz="0" w:space="0" w:color="auto"/>
        <w:right w:val="none" w:sz="0" w:space="0" w:color="auto"/>
      </w:divBdr>
    </w:div>
    <w:div w:id="1608538042">
      <w:bodyDiv w:val="1"/>
      <w:marLeft w:val="0"/>
      <w:marRight w:val="0"/>
      <w:marTop w:val="0"/>
      <w:marBottom w:val="0"/>
      <w:divBdr>
        <w:top w:val="none" w:sz="0" w:space="0" w:color="auto"/>
        <w:left w:val="none" w:sz="0" w:space="0" w:color="auto"/>
        <w:bottom w:val="none" w:sz="0" w:space="0" w:color="auto"/>
        <w:right w:val="none" w:sz="0" w:space="0" w:color="auto"/>
      </w:divBdr>
    </w:div>
    <w:div w:id="1629697616">
      <w:bodyDiv w:val="1"/>
      <w:marLeft w:val="0"/>
      <w:marRight w:val="0"/>
      <w:marTop w:val="0"/>
      <w:marBottom w:val="0"/>
      <w:divBdr>
        <w:top w:val="none" w:sz="0" w:space="0" w:color="auto"/>
        <w:left w:val="none" w:sz="0" w:space="0" w:color="auto"/>
        <w:bottom w:val="none" w:sz="0" w:space="0" w:color="auto"/>
        <w:right w:val="none" w:sz="0" w:space="0" w:color="auto"/>
      </w:divBdr>
    </w:div>
    <w:div w:id="1665934422">
      <w:bodyDiv w:val="1"/>
      <w:marLeft w:val="0"/>
      <w:marRight w:val="0"/>
      <w:marTop w:val="0"/>
      <w:marBottom w:val="0"/>
      <w:divBdr>
        <w:top w:val="none" w:sz="0" w:space="0" w:color="auto"/>
        <w:left w:val="none" w:sz="0" w:space="0" w:color="auto"/>
        <w:bottom w:val="none" w:sz="0" w:space="0" w:color="auto"/>
        <w:right w:val="none" w:sz="0" w:space="0" w:color="auto"/>
      </w:divBdr>
    </w:div>
    <w:div w:id="1691829963">
      <w:bodyDiv w:val="1"/>
      <w:marLeft w:val="0"/>
      <w:marRight w:val="0"/>
      <w:marTop w:val="0"/>
      <w:marBottom w:val="0"/>
      <w:divBdr>
        <w:top w:val="none" w:sz="0" w:space="0" w:color="auto"/>
        <w:left w:val="none" w:sz="0" w:space="0" w:color="auto"/>
        <w:bottom w:val="none" w:sz="0" w:space="0" w:color="auto"/>
        <w:right w:val="none" w:sz="0" w:space="0" w:color="auto"/>
      </w:divBdr>
    </w:div>
    <w:div w:id="1702973290">
      <w:bodyDiv w:val="1"/>
      <w:marLeft w:val="0"/>
      <w:marRight w:val="0"/>
      <w:marTop w:val="0"/>
      <w:marBottom w:val="0"/>
      <w:divBdr>
        <w:top w:val="none" w:sz="0" w:space="0" w:color="auto"/>
        <w:left w:val="none" w:sz="0" w:space="0" w:color="auto"/>
        <w:bottom w:val="none" w:sz="0" w:space="0" w:color="auto"/>
        <w:right w:val="none" w:sz="0" w:space="0" w:color="auto"/>
      </w:divBdr>
    </w:div>
    <w:div w:id="1703020308">
      <w:bodyDiv w:val="1"/>
      <w:marLeft w:val="0"/>
      <w:marRight w:val="0"/>
      <w:marTop w:val="0"/>
      <w:marBottom w:val="0"/>
      <w:divBdr>
        <w:top w:val="none" w:sz="0" w:space="0" w:color="auto"/>
        <w:left w:val="none" w:sz="0" w:space="0" w:color="auto"/>
        <w:bottom w:val="none" w:sz="0" w:space="0" w:color="auto"/>
        <w:right w:val="none" w:sz="0" w:space="0" w:color="auto"/>
      </w:divBdr>
    </w:div>
    <w:div w:id="1778023189">
      <w:bodyDiv w:val="1"/>
      <w:marLeft w:val="0"/>
      <w:marRight w:val="0"/>
      <w:marTop w:val="0"/>
      <w:marBottom w:val="0"/>
      <w:divBdr>
        <w:top w:val="none" w:sz="0" w:space="0" w:color="auto"/>
        <w:left w:val="none" w:sz="0" w:space="0" w:color="auto"/>
        <w:bottom w:val="none" w:sz="0" w:space="0" w:color="auto"/>
        <w:right w:val="none" w:sz="0" w:space="0" w:color="auto"/>
      </w:divBdr>
    </w:div>
    <w:div w:id="1784373798">
      <w:bodyDiv w:val="1"/>
      <w:marLeft w:val="0"/>
      <w:marRight w:val="0"/>
      <w:marTop w:val="0"/>
      <w:marBottom w:val="0"/>
      <w:divBdr>
        <w:top w:val="none" w:sz="0" w:space="0" w:color="auto"/>
        <w:left w:val="none" w:sz="0" w:space="0" w:color="auto"/>
        <w:bottom w:val="none" w:sz="0" w:space="0" w:color="auto"/>
        <w:right w:val="none" w:sz="0" w:space="0" w:color="auto"/>
      </w:divBdr>
    </w:div>
    <w:div w:id="1819493914">
      <w:bodyDiv w:val="1"/>
      <w:marLeft w:val="0"/>
      <w:marRight w:val="0"/>
      <w:marTop w:val="0"/>
      <w:marBottom w:val="0"/>
      <w:divBdr>
        <w:top w:val="none" w:sz="0" w:space="0" w:color="auto"/>
        <w:left w:val="none" w:sz="0" w:space="0" w:color="auto"/>
        <w:bottom w:val="none" w:sz="0" w:space="0" w:color="auto"/>
        <w:right w:val="none" w:sz="0" w:space="0" w:color="auto"/>
      </w:divBdr>
    </w:div>
    <w:div w:id="1853491846">
      <w:bodyDiv w:val="1"/>
      <w:marLeft w:val="0"/>
      <w:marRight w:val="0"/>
      <w:marTop w:val="0"/>
      <w:marBottom w:val="0"/>
      <w:divBdr>
        <w:top w:val="none" w:sz="0" w:space="0" w:color="auto"/>
        <w:left w:val="none" w:sz="0" w:space="0" w:color="auto"/>
        <w:bottom w:val="none" w:sz="0" w:space="0" w:color="auto"/>
        <w:right w:val="none" w:sz="0" w:space="0" w:color="auto"/>
      </w:divBdr>
    </w:div>
    <w:div w:id="1855878780">
      <w:bodyDiv w:val="1"/>
      <w:marLeft w:val="0"/>
      <w:marRight w:val="0"/>
      <w:marTop w:val="0"/>
      <w:marBottom w:val="0"/>
      <w:divBdr>
        <w:top w:val="none" w:sz="0" w:space="0" w:color="auto"/>
        <w:left w:val="none" w:sz="0" w:space="0" w:color="auto"/>
        <w:bottom w:val="none" w:sz="0" w:space="0" w:color="auto"/>
        <w:right w:val="none" w:sz="0" w:space="0" w:color="auto"/>
      </w:divBdr>
    </w:div>
    <w:div w:id="1857815210">
      <w:bodyDiv w:val="1"/>
      <w:marLeft w:val="0"/>
      <w:marRight w:val="0"/>
      <w:marTop w:val="0"/>
      <w:marBottom w:val="0"/>
      <w:divBdr>
        <w:top w:val="none" w:sz="0" w:space="0" w:color="auto"/>
        <w:left w:val="none" w:sz="0" w:space="0" w:color="auto"/>
        <w:bottom w:val="none" w:sz="0" w:space="0" w:color="auto"/>
        <w:right w:val="none" w:sz="0" w:space="0" w:color="auto"/>
      </w:divBdr>
    </w:div>
    <w:div w:id="1859125464">
      <w:bodyDiv w:val="1"/>
      <w:marLeft w:val="0"/>
      <w:marRight w:val="0"/>
      <w:marTop w:val="0"/>
      <w:marBottom w:val="0"/>
      <w:divBdr>
        <w:top w:val="none" w:sz="0" w:space="0" w:color="auto"/>
        <w:left w:val="none" w:sz="0" w:space="0" w:color="auto"/>
        <w:bottom w:val="none" w:sz="0" w:space="0" w:color="auto"/>
        <w:right w:val="none" w:sz="0" w:space="0" w:color="auto"/>
      </w:divBdr>
    </w:div>
    <w:div w:id="1873306075">
      <w:bodyDiv w:val="1"/>
      <w:marLeft w:val="0"/>
      <w:marRight w:val="0"/>
      <w:marTop w:val="0"/>
      <w:marBottom w:val="0"/>
      <w:divBdr>
        <w:top w:val="none" w:sz="0" w:space="0" w:color="auto"/>
        <w:left w:val="none" w:sz="0" w:space="0" w:color="auto"/>
        <w:bottom w:val="none" w:sz="0" w:space="0" w:color="auto"/>
        <w:right w:val="none" w:sz="0" w:space="0" w:color="auto"/>
      </w:divBdr>
    </w:div>
    <w:div w:id="1881475683">
      <w:bodyDiv w:val="1"/>
      <w:marLeft w:val="0"/>
      <w:marRight w:val="0"/>
      <w:marTop w:val="0"/>
      <w:marBottom w:val="0"/>
      <w:divBdr>
        <w:top w:val="none" w:sz="0" w:space="0" w:color="auto"/>
        <w:left w:val="none" w:sz="0" w:space="0" w:color="auto"/>
        <w:bottom w:val="none" w:sz="0" w:space="0" w:color="auto"/>
        <w:right w:val="none" w:sz="0" w:space="0" w:color="auto"/>
      </w:divBdr>
    </w:div>
    <w:div w:id="1915552057">
      <w:bodyDiv w:val="1"/>
      <w:marLeft w:val="0"/>
      <w:marRight w:val="0"/>
      <w:marTop w:val="0"/>
      <w:marBottom w:val="0"/>
      <w:divBdr>
        <w:top w:val="none" w:sz="0" w:space="0" w:color="auto"/>
        <w:left w:val="none" w:sz="0" w:space="0" w:color="auto"/>
        <w:bottom w:val="none" w:sz="0" w:space="0" w:color="auto"/>
        <w:right w:val="none" w:sz="0" w:space="0" w:color="auto"/>
      </w:divBdr>
    </w:div>
    <w:div w:id="1916473370">
      <w:bodyDiv w:val="1"/>
      <w:marLeft w:val="0"/>
      <w:marRight w:val="0"/>
      <w:marTop w:val="0"/>
      <w:marBottom w:val="0"/>
      <w:divBdr>
        <w:top w:val="none" w:sz="0" w:space="0" w:color="auto"/>
        <w:left w:val="none" w:sz="0" w:space="0" w:color="auto"/>
        <w:bottom w:val="none" w:sz="0" w:space="0" w:color="auto"/>
        <w:right w:val="none" w:sz="0" w:space="0" w:color="auto"/>
      </w:divBdr>
    </w:div>
    <w:div w:id="1947731504">
      <w:bodyDiv w:val="1"/>
      <w:marLeft w:val="0"/>
      <w:marRight w:val="0"/>
      <w:marTop w:val="0"/>
      <w:marBottom w:val="0"/>
      <w:divBdr>
        <w:top w:val="none" w:sz="0" w:space="0" w:color="auto"/>
        <w:left w:val="none" w:sz="0" w:space="0" w:color="auto"/>
        <w:bottom w:val="none" w:sz="0" w:space="0" w:color="auto"/>
        <w:right w:val="none" w:sz="0" w:space="0" w:color="auto"/>
      </w:divBdr>
    </w:div>
    <w:div w:id="1956515859">
      <w:bodyDiv w:val="1"/>
      <w:marLeft w:val="0"/>
      <w:marRight w:val="0"/>
      <w:marTop w:val="0"/>
      <w:marBottom w:val="0"/>
      <w:divBdr>
        <w:top w:val="none" w:sz="0" w:space="0" w:color="auto"/>
        <w:left w:val="none" w:sz="0" w:space="0" w:color="auto"/>
        <w:bottom w:val="none" w:sz="0" w:space="0" w:color="auto"/>
        <w:right w:val="none" w:sz="0" w:space="0" w:color="auto"/>
      </w:divBdr>
    </w:div>
    <w:div w:id="1974631055">
      <w:bodyDiv w:val="1"/>
      <w:marLeft w:val="0"/>
      <w:marRight w:val="0"/>
      <w:marTop w:val="0"/>
      <w:marBottom w:val="0"/>
      <w:divBdr>
        <w:top w:val="none" w:sz="0" w:space="0" w:color="auto"/>
        <w:left w:val="none" w:sz="0" w:space="0" w:color="auto"/>
        <w:bottom w:val="none" w:sz="0" w:space="0" w:color="auto"/>
        <w:right w:val="none" w:sz="0" w:space="0" w:color="auto"/>
      </w:divBdr>
    </w:div>
    <w:div w:id="2010139015">
      <w:bodyDiv w:val="1"/>
      <w:marLeft w:val="0"/>
      <w:marRight w:val="0"/>
      <w:marTop w:val="0"/>
      <w:marBottom w:val="0"/>
      <w:divBdr>
        <w:top w:val="none" w:sz="0" w:space="0" w:color="auto"/>
        <w:left w:val="none" w:sz="0" w:space="0" w:color="auto"/>
        <w:bottom w:val="none" w:sz="0" w:space="0" w:color="auto"/>
        <w:right w:val="none" w:sz="0" w:space="0" w:color="auto"/>
      </w:divBdr>
    </w:div>
    <w:div w:id="2036224722">
      <w:bodyDiv w:val="1"/>
      <w:marLeft w:val="0"/>
      <w:marRight w:val="0"/>
      <w:marTop w:val="0"/>
      <w:marBottom w:val="0"/>
      <w:divBdr>
        <w:top w:val="none" w:sz="0" w:space="0" w:color="auto"/>
        <w:left w:val="none" w:sz="0" w:space="0" w:color="auto"/>
        <w:bottom w:val="none" w:sz="0" w:space="0" w:color="auto"/>
        <w:right w:val="none" w:sz="0" w:space="0" w:color="auto"/>
      </w:divBdr>
    </w:div>
    <w:div w:id="2036618720">
      <w:bodyDiv w:val="1"/>
      <w:marLeft w:val="0"/>
      <w:marRight w:val="0"/>
      <w:marTop w:val="0"/>
      <w:marBottom w:val="0"/>
      <w:divBdr>
        <w:top w:val="none" w:sz="0" w:space="0" w:color="auto"/>
        <w:left w:val="none" w:sz="0" w:space="0" w:color="auto"/>
        <w:bottom w:val="none" w:sz="0" w:space="0" w:color="auto"/>
        <w:right w:val="none" w:sz="0" w:space="0" w:color="auto"/>
      </w:divBdr>
    </w:div>
    <w:div w:id="2042439579">
      <w:bodyDiv w:val="1"/>
      <w:marLeft w:val="0"/>
      <w:marRight w:val="0"/>
      <w:marTop w:val="0"/>
      <w:marBottom w:val="0"/>
      <w:divBdr>
        <w:top w:val="none" w:sz="0" w:space="0" w:color="auto"/>
        <w:left w:val="none" w:sz="0" w:space="0" w:color="auto"/>
        <w:bottom w:val="none" w:sz="0" w:space="0" w:color="auto"/>
        <w:right w:val="none" w:sz="0" w:space="0" w:color="auto"/>
      </w:divBdr>
    </w:div>
    <w:div w:id="2044137828">
      <w:bodyDiv w:val="1"/>
      <w:marLeft w:val="0"/>
      <w:marRight w:val="0"/>
      <w:marTop w:val="0"/>
      <w:marBottom w:val="0"/>
      <w:divBdr>
        <w:top w:val="none" w:sz="0" w:space="0" w:color="auto"/>
        <w:left w:val="none" w:sz="0" w:space="0" w:color="auto"/>
        <w:bottom w:val="none" w:sz="0" w:space="0" w:color="auto"/>
        <w:right w:val="none" w:sz="0" w:space="0" w:color="auto"/>
      </w:divBdr>
    </w:div>
    <w:div w:id="2055542605">
      <w:bodyDiv w:val="1"/>
      <w:marLeft w:val="0"/>
      <w:marRight w:val="0"/>
      <w:marTop w:val="0"/>
      <w:marBottom w:val="0"/>
      <w:divBdr>
        <w:top w:val="none" w:sz="0" w:space="0" w:color="auto"/>
        <w:left w:val="none" w:sz="0" w:space="0" w:color="auto"/>
        <w:bottom w:val="none" w:sz="0" w:space="0" w:color="auto"/>
        <w:right w:val="none" w:sz="0" w:space="0" w:color="auto"/>
      </w:divBdr>
    </w:div>
    <w:div w:id="2080665992">
      <w:bodyDiv w:val="1"/>
      <w:marLeft w:val="0"/>
      <w:marRight w:val="0"/>
      <w:marTop w:val="0"/>
      <w:marBottom w:val="0"/>
      <w:divBdr>
        <w:top w:val="none" w:sz="0" w:space="0" w:color="auto"/>
        <w:left w:val="none" w:sz="0" w:space="0" w:color="auto"/>
        <w:bottom w:val="none" w:sz="0" w:space="0" w:color="auto"/>
        <w:right w:val="none" w:sz="0" w:space="0" w:color="auto"/>
      </w:divBdr>
    </w:div>
    <w:div w:id="2103065284">
      <w:bodyDiv w:val="1"/>
      <w:marLeft w:val="0"/>
      <w:marRight w:val="0"/>
      <w:marTop w:val="0"/>
      <w:marBottom w:val="0"/>
      <w:divBdr>
        <w:top w:val="none" w:sz="0" w:space="0" w:color="auto"/>
        <w:left w:val="none" w:sz="0" w:space="0" w:color="auto"/>
        <w:bottom w:val="none" w:sz="0" w:space="0" w:color="auto"/>
        <w:right w:val="none" w:sz="0" w:space="0" w:color="auto"/>
      </w:divBdr>
    </w:div>
    <w:div w:id="211851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doi.org/10.1016/j.ibusrev.2020.101731" TargetMode="External"/><Relationship Id="rId47" Type="http://schemas.openxmlformats.org/officeDocument/2006/relationships/hyperlink" Target="https://www.cambridge.org/core/books/international-business-strategy/9781108649329" TargetMode="External"/><Relationship Id="rId63" Type="http://schemas.openxmlformats.org/officeDocument/2006/relationships/hyperlink" Target="https://www.volkswagen-newsroom.com/en/volkswagen-do-brasil-4072" TargetMode="External"/><Relationship Id="rId68" Type="http://schemas.openxmlformats.org/officeDocument/2006/relationships/hyperlink" Target="https://www.volkswagen-group.com/en/sustainability-strategy-18157" TargetMode="External"/><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i.org/10.1080/09585192.2021.1956564" TargetMode="External"/><Relationship Id="rId37" Type="http://schemas.openxmlformats.org/officeDocument/2006/relationships/hyperlink" Target="https://www.pearson.com/" TargetMode="External"/><Relationship Id="rId40" Type="http://schemas.openxmlformats.org/officeDocument/2006/relationships/hyperlink" Target="https://www.agora-verkehrswende.de/fileadmin/Projekte/2021/BCG-Jobstudie/2021-07-01_E-mobility-Report_Results-Germany_EN.pdf" TargetMode="External"/><Relationship Id="rId45" Type="http://schemas.openxmlformats.org/officeDocument/2006/relationships/hyperlink" Target="https://doi.org/10.1111/jofi.12505" TargetMode="External"/><Relationship Id="rId53" Type="http://schemas.openxmlformats.org/officeDocument/2006/relationships/hyperlink" Target="https://www.theculturefactor.com/country-comparison-tool" TargetMode="External"/><Relationship Id="rId58" Type="http://schemas.openxmlformats.org/officeDocument/2006/relationships/hyperlink" Target="https://www.google.com/search?q=https://www.volkswagen-group.com/en/publications/more/annual-report-2020" TargetMode="External"/><Relationship Id="rId66" Type="http://schemas.openxmlformats.org/officeDocument/2006/relationships/hyperlink" Target="https://www.volkswagen-group.com/en/publications/more/annual-report-2022-1732" TargetMode="External"/><Relationship Id="rId74" Type="http://schemas.openxmlformats.org/officeDocument/2006/relationships/hyperlink" Target="https://www.google.com/search?q=https://doi.org/10.1126/sciadv.adl2253" TargetMode="External"/><Relationship Id="rId5" Type="http://schemas.openxmlformats.org/officeDocument/2006/relationships/webSettings" Target="webSettings.xml"/><Relationship Id="rId61" Type="http://schemas.openxmlformats.org/officeDocument/2006/relationships/hyperlink" Target="https://www.google.com/search?q=https://www.volkswagen-group.com/en/publications/more/annual-report-2023"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doi.org/10.1146/annurev-orgpsych-012420-083209" TargetMode="External"/><Relationship Id="rId35" Type="http://schemas.openxmlformats.org/officeDocument/2006/relationships/hyperlink" Target="https://www.pearson.com/" TargetMode="External"/><Relationship Id="rId43" Type="http://schemas.openxmlformats.org/officeDocument/2006/relationships/hyperlink" Target="https://link.springer.com/article/10.1057/s41267-017-0106-8" TargetMode="External"/><Relationship Id="rId48" Type="http://schemas.openxmlformats.org/officeDocument/2006/relationships/hyperlink" Target="https://doi.org/10.1016/j.intman.2022.100971" TargetMode="External"/><Relationship Id="rId56" Type="http://schemas.openxmlformats.org/officeDocument/2006/relationships/hyperlink" Target="https://doi.org/10.1007/s11575-019-00389-z" TargetMode="External"/><Relationship Id="rId64" Type="http://schemas.openxmlformats.org/officeDocument/2006/relationships/hyperlink" Target="https://annualreport2020.volkswagenag.com/" TargetMode="External"/><Relationship Id="rId69" Type="http://schemas.openxmlformats.org/officeDocument/2006/relationships/hyperlink" Target="https://www.volkswagen-group.com/en/about-us-16013"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j.enpol.2018.05.056" TargetMode="External"/><Relationship Id="rId72" Type="http://schemas.openxmlformats.org/officeDocument/2006/relationships/hyperlink" Target="https://www.volkswagen-group.com/en/volkswagen-group-sites-1748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1016/j.jwb.2021.101259" TargetMode="External"/><Relationship Id="rId38" Type="http://schemas.openxmlformats.org/officeDocument/2006/relationships/hyperlink" Target="https://doi.org/10.1504/JGBA.2022.126590" TargetMode="External"/><Relationship Id="rId46" Type="http://schemas.openxmlformats.org/officeDocument/2006/relationships/hyperlink" Target="https://ajbr.co.nz/ajbr/ajbr250196.pdf" TargetMode="External"/><Relationship Id="rId59" Type="http://schemas.openxmlformats.org/officeDocument/2006/relationships/hyperlink" Target="https://www.google.com/search?q=https://www.volkswagen-group.com/en/publications/more/annual-report-2021" TargetMode="External"/><Relationship Id="rId67" Type="http://schemas.openxmlformats.org/officeDocument/2006/relationships/hyperlink" Target="https://www.volkswagen-group.com/en/publications/more/annual-report-2023-2671" TargetMode="External"/><Relationship Id="rId20" Type="http://schemas.openxmlformats.org/officeDocument/2006/relationships/image" Target="media/image13.png"/><Relationship Id="rId41" Type="http://schemas.openxmlformats.org/officeDocument/2006/relationships/hyperlink" Target="https://us.sagepub.com/en-us/nam/culture-leadership-and-organizations/book117616" TargetMode="External"/><Relationship Id="rId54" Type="http://schemas.openxmlformats.org/officeDocument/2006/relationships/hyperlink" Target="https://doi.org/10.1057/s41267-017-0105-1" TargetMode="External"/><Relationship Id="rId62" Type="http://schemas.openxmlformats.org/officeDocument/2006/relationships/hyperlink" Target="https://www.volkswagen-group.com/" TargetMode="External"/><Relationship Id="rId70" Type="http://schemas.openxmlformats.org/officeDocument/2006/relationships/hyperlink" Target="https://annualreport2024.volkswagen-group.com/" TargetMode="External"/><Relationship Id="rId75" Type="http://schemas.openxmlformats.org/officeDocument/2006/relationships/hyperlink" Target="https://www.worldbank.o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pearson.com/" TargetMode="External"/><Relationship Id="rId49" Type="http://schemas.openxmlformats.org/officeDocument/2006/relationships/hyperlink" Target="https://hbr.org/1990/03/the-competitive-advantage-of-nations" TargetMode="External"/><Relationship Id="rId57" Type="http://schemas.openxmlformats.org/officeDocument/2006/relationships/hyperlink" Target="https://doi.org/10.1016/j.jwb.2021.101236" TargetMode="External"/><Relationship Id="rId10" Type="http://schemas.openxmlformats.org/officeDocument/2006/relationships/image" Target="media/image3.png"/><Relationship Id="rId31" Type="http://schemas.openxmlformats.org/officeDocument/2006/relationships/hyperlink" Target="https://www.google.com/search?q=https://doi.org/10.1108/CCSM-06-2019-0115" TargetMode="External"/><Relationship Id="rId44" Type="http://schemas.openxmlformats.org/officeDocument/2006/relationships/hyperlink" Target="https://doi.org/10.1080/09537287.2017.1287442" TargetMode="External"/><Relationship Id="rId52" Type="http://schemas.openxmlformats.org/officeDocument/2006/relationships/hyperlink" Target="https://doi.org/10.1016/j.jwb.2020.101251" TargetMode="External"/><Relationship Id="rId60" Type="http://schemas.openxmlformats.org/officeDocument/2006/relationships/hyperlink" Target="https://www.google.com/search?q=https://www.volkswagen-group.com/en/publications/more/annual-report-2022" TargetMode="External"/><Relationship Id="rId65" Type="http://schemas.openxmlformats.org/officeDocument/2006/relationships/hyperlink" Target="https://annualreport2021.volkswagenag.com/" TargetMode="External"/><Relationship Id="rId73" Type="http://schemas.openxmlformats.org/officeDocument/2006/relationships/hyperlink" Target="https://doi.org/10.1086/466942"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link.springer.com/article/10.1057/s41267-022-00566-y" TargetMode="External"/><Relationship Id="rId34" Type="http://schemas.openxmlformats.org/officeDocument/2006/relationships/hyperlink" Target="https://www.caci.co.uk/" TargetMode="External"/><Relationship Id="rId50" Type="http://schemas.openxmlformats.org/officeDocument/2006/relationships/hyperlink" Target="https://www.reuters.com/business/autos-transportation/volkswagen-cuts-2024-outlook-macroeconomic-headwinds-2024-09-27/" TargetMode="External"/><Relationship Id="rId55" Type="http://schemas.openxmlformats.org/officeDocument/2006/relationships/hyperlink" Target="https://unctad.org/"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annualreport2024.volkswagen-group.com/" TargetMode="External"/><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0A009-76F2-42BD-9DBC-A40743722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TotalTime>
  <Pages>37</Pages>
  <Words>9165</Words>
  <Characters>54168</Characters>
  <Application>Microsoft Office Word</Application>
  <DocSecurity>0</DocSecurity>
  <Lines>3009</Lines>
  <Paragraphs>597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Ivilina.Atanasova@elta.co.uk</dc:creator>
  <cp:keywords/>
  <dc:description/>
  <cp:lastModifiedBy>Ivilina Atanasova</cp:lastModifiedBy>
  <cp:revision>390</cp:revision>
  <dcterms:created xsi:type="dcterms:W3CDTF">2025-11-16T19:35:00Z</dcterms:created>
  <dcterms:modified xsi:type="dcterms:W3CDTF">2025-11-20T12:38:00Z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a2e18045-936c-4ab7-bfd2-7f6d7f76615a</vt:lpwstr>
  </property>
</Properties>
</file>