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3D9113" w14:textId="77777777" w:rsidR="00900C63" w:rsidRDefault="00900C63" w:rsidP="00265D70">
      <w:r w:rsidRPr="00F30DBA">
        <w:rPr>
          <w:noProof/>
          <w:sz w:val="22"/>
          <w:szCs w:val="22"/>
        </w:rPr>
        <w:drawing>
          <wp:inline distT="0" distB="0" distL="0" distR="0" wp14:anchorId="4BCB72F1" wp14:editId="570563A3">
            <wp:extent cx="2632110" cy="1088851"/>
            <wp:effectExtent l="50800" t="127000" r="47625" b="3810"/>
            <wp:docPr id="1" name="Picture 12"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633117" cy="1089267"/>
                    </a:xfrm>
                    <a:prstGeom prst="rect">
                      <a:avLst/>
                    </a:prstGeom>
                    <a:noFill/>
                    <a:ln>
                      <a:noFill/>
                    </a:ln>
                    <a:effectLst>
                      <a:outerShdw blurRad="50800" dist="76200" dir="16200000" rotWithShape="0">
                        <a:prstClr val="black">
                          <a:alpha val="40000"/>
                        </a:prstClr>
                      </a:outerShdw>
                    </a:effectLst>
                  </pic:spPr>
                </pic:pic>
              </a:graphicData>
            </a:graphic>
          </wp:inline>
        </w:drawing>
      </w:r>
    </w:p>
    <w:p w14:paraId="17F35AA6" w14:textId="77777777" w:rsidR="00900C63" w:rsidRDefault="00900C63" w:rsidP="00265D70">
      <w:pPr>
        <w:tabs>
          <w:tab w:val="left" w:pos="6540"/>
        </w:tabs>
        <w:spacing w:line="360" w:lineRule="auto"/>
        <w:rPr>
          <w:rFonts w:ascii="Arial" w:eastAsiaTheme="minorHAnsi" w:hAnsi="Arial" w:cs="Arial"/>
          <w:b/>
          <w:bCs/>
          <w:kern w:val="0"/>
          <w:sz w:val="28"/>
          <w:szCs w:val="28"/>
          <w:lang w:val="nl-NL" w:eastAsia="en-US"/>
          <w14:ligatures w14:val="none"/>
        </w:rPr>
      </w:pPr>
    </w:p>
    <w:p w14:paraId="6DE9567D" w14:textId="77777777" w:rsidR="00900C63" w:rsidRDefault="00900C63" w:rsidP="00265D70">
      <w:pPr>
        <w:tabs>
          <w:tab w:val="left" w:pos="6540"/>
        </w:tabs>
        <w:spacing w:line="360" w:lineRule="auto"/>
        <w:rPr>
          <w:rFonts w:ascii="Arial" w:eastAsiaTheme="minorHAnsi" w:hAnsi="Arial" w:cs="Arial"/>
          <w:b/>
          <w:bCs/>
          <w:kern w:val="0"/>
          <w:sz w:val="28"/>
          <w:szCs w:val="28"/>
          <w:lang w:val="nl-NL" w:eastAsia="en-US"/>
          <w14:ligatures w14:val="none"/>
        </w:rPr>
      </w:pPr>
    </w:p>
    <w:p w14:paraId="2BA7DE7D" w14:textId="77777777" w:rsidR="00900C63" w:rsidRDefault="00900C63" w:rsidP="00265D70">
      <w:pPr>
        <w:tabs>
          <w:tab w:val="left" w:pos="6540"/>
        </w:tabs>
        <w:spacing w:line="360" w:lineRule="auto"/>
        <w:rPr>
          <w:rFonts w:ascii="Arial" w:eastAsiaTheme="minorHAnsi" w:hAnsi="Arial" w:cs="Arial"/>
          <w:b/>
          <w:bCs/>
          <w:kern w:val="0"/>
          <w:sz w:val="28"/>
          <w:szCs w:val="28"/>
          <w:lang w:val="nl-NL" w:eastAsia="en-US"/>
          <w14:ligatures w14:val="none"/>
        </w:rPr>
      </w:pPr>
    </w:p>
    <w:p w14:paraId="620F3C99" w14:textId="77777777" w:rsidR="00900C63" w:rsidRDefault="00900C63" w:rsidP="00265D70">
      <w:pPr>
        <w:tabs>
          <w:tab w:val="left" w:pos="6540"/>
        </w:tabs>
        <w:spacing w:line="360" w:lineRule="auto"/>
        <w:rPr>
          <w:rFonts w:ascii="Arial" w:eastAsiaTheme="minorHAnsi" w:hAnsi="Arial" w:cs="Arial"/>
          <w:b/>
          <w:bCs/>
          <w:kern w:val="0"/>
          <w:sz w:val="28"/>
          <w:szCs w:val="28"/>
          <w:lang w:val="nl-NL" w:eastAsia="en-US"/>
          <w14:ligatures w14:val="none"/>
        </w:rPr>
      </w:pPr>
    </w:p>
    <w:p w14:paraId="7D949597" w14:textId="74923A3B" w:rsidR="00900C63" w:rsidRPr="0019368D" w:rsidRDefault="00900C63" w:rsidP="00265D70">
      <w:pPr>
        <w:tabs>
          <w:tab w:val="left" w:pos="6540"/>
        </w:tabs>
        <w:spacing w:line="360" w:lineRule="auto"/>
        <w:rPr>
          <w:rFonts w:ascii="Arial" w:eastAsiaTheme="minorHAnsi" w:hAnsi="Arial" w:cs="Arial"/>
          <w:i/>
          <w:iCs/>
          <w:kern w:val="0"/>
          <w:sz w:val="28"/>
          <w:szCs w:val="28"/>
          <w:lang w:val="nl-NL" w:eastAsia="en-US"/>
          <w14:ligatures w14:val="none"/>
        </w:rPr>
      </w:pPr>
      <w:r w:rsidRPr="0019368D">
        <w:rPr>
          <w:rFonts w:ascii="Arial" w:eastAsiaTheme="minorHAnsi" w:hAnsi="Arial" w:cs="Arial"/>
          <w:b/>
          <w:bCs/>
          <w:kern w:val="0"/>
          <w:sz w:val="28"/>
          <w:szCs w:val="28"/>
          <w:lang w:val="nl-NL" w:eastAsia="en-US"/>
          <w14:ligatures w14:val="none"/>
        </w:rPr>
        <w:t>Module name</w:t>
      </w:r>
      <w:r w:rsidRPr="0019368D">
        <w:rPr>
          <w:rFonts w:ascii="Arial" w:eastAsiaTheme="minorHAnsi" w:hAnsi="Arial" w:cs="Arial"/>
          <w:kern w:val="0"/>
          <w:sz w:val="28"/>
          <w:szCs w:val="28"/>
          <w:lang w:val="nl-NL" w:eastAsia="en-US"/>
          <w14:ligatures w14:val="none"/>
        </w:rPr>
        <w:t xml:space="preserve">: </w:t>
      </w:r>
      <w:r w:rsidR="00EA151C">
        <w:rPr>
          <w:rFonts w:ascii="Arial" w:eastAsiaTheme="minorHAnsi" w:hAnsi="Arial" w:cs="Arial"/>
          <w:kern w:val="0"/>
          <w:sz w:val="28"/>
          <w:szCs w:val="28"/>
          <w:lang w:val="nl-NL" w:eastAsia="en-US"/>
          <w14:ligatures w14:val="none"/>
        </w:rPr>
        <w:t xml:space="preserve">Digital </w:t>
      </w:r>
      <w:r w:rsidR="005913D0">
        <w:rPr>
          <w:rFonts w:ascii="Arial" w:eastAsiaTheme="minorHAnsi" w:hAnsi="Arial" w:cs="Arial"/>
          <w:kern w:val="0"/>
          <w:sz w:val="28"/>
          <w:szCs w:val="28"/>
          <w:lang w:val="nl-NL" w:eastAsia="en-US"/>
          <w14:ligatures w14:val="none"/>
        </w:rPr>
        <w:t xml:space="preserve">Transformation in the Health and Care Professions </w:t>
      </w:r>
    </w:p>
    <w:p w14:paraId="134BB8BE" w14:textId="3EDE1719" w:rsidR="00785D92" w:rsidRPr="0019368D" w:rsidRDefault="00900C63" w:rsidP="00265D70">
      <w:pPr>
        <w:tabs>
          <w:tab w:val="left" w:pos="6540"/>
        </w:tabs>
        <w:spacing w:line="360" w:lineRule="auto"/>
        <w:rPr>
          <w:rFonts w:ascii="Arial" w:eastAsiaTheme="minorHAnsi" w:hAnsi="Arial" w:cs="Arial"/>
          <w:kern w:val="0"/>
          <w:sz w:val="28"/>
          <w:szCs w:val="28"/>
          <w:lang w:eastAsia="en-US"/>
          <w14:ligatures w14:val="none"/>
        </w:rPr>
      </w:pPr>
      <w:r w:rsidRPr="0019368D">
        <w:rPr>
          <w:rFonts w:ascii="Arial" w:eastAsiaTheme="minorHAnsi" w:hAnsi="Arial" w:cs="Arial"/>
          <w:b/>
          <w:bCs/>
          <w:kern w:val="0"/>
          <w:sz w:val="28"/>
          <w:szCs w:val="28"/>
          <w:lang w:eastAsia="en-US"/>
          <w14:ligatures w14:val="none"/>
        </w:rPr>
        <w:t>Module code</w:t>
      </w:r>
      <w:r w:rsidRPr="0019368D">
        <w:rPr>
          <w:rFonts w:ascii="Arial" w:eastAsiaTheme="minorHAnsi" w:hAnsi="Arial" w:cs="Arial"/>
          <w:kern w:val="0"/>
          <w:sz w:val="28"/>
          <w:szCs w:val="28"/>
          <w:lang w:eastAsia="en-US"/>
          <w14:ligatures w14:val="none"/>
        </w:rPr>
        <w:t xml:space="preserve">: </w:t>
      </w:r>
      <w:r w:rsidR="00785D92" w:rsidRPr="00785D92">
        <w:rPr>
          <w:rFonts w:ascii="Arial" w:eastAsia="Times New Roman" w:hAnsi="Arial" w:cs="Arial"/>
          <w:color w:val="1D2125"/>
          <w:kern w:val="0"/>
          <w:sz w:val="27"/>
          <w:szCs w:val="27"/>
          <w14:ligatures w14:val="none"/>
        </w:rPr>
        <w:t>BMHP6026</w:t>
      </w:r>
    </w:p>
    <w:p w14:paraId="37E10793" w14:textId="77777777" w:rsidR="00900C63" w:rsidRPr="0019368D" w:rsidRDefault="00900C63" w:rsidP="00265D70">
      <w:pPr>
        <w:tabs>
          <w:tab w:val="left" w:pos="6540"/>
        </w:tabs>
        <w:spacing w:line="360" w:lineRule="auto"/>
        <w:rPr>
          <w:rFonts w:ascii="Arial" w:eastAsiaTheme="minorHAnsi" w:hAnsi="Arial" w:cs="Arial"/>
          <w:kern w:val="0"/>
          <w:sz w:val="28"/>
          <w:szCs w:val="28"/>
          <w:lang w:val="nl-NL" w:eastAsia="en-US"/>
          <w14:ligatures w14:val="none"/>
        </w:rPr>
      </w:pPr>
      <w:r w:rsidRPr="0019368D">
        <w:rPr>
          <w:rFonts w:ascii="Arial" w:eastAsiaTheme="minorHAnsi" w:hAnsi="Arial" w:cs="Arial"/>
          <w:b/>
          <w:bCs/>
          <w:kern w:val="0"/>
          <w:sz w:val="28"/>
          <w:szCs w:val="28"/>
          <w:lang w:val="nl-NL" w:eastAsia="en-US"/>
          <w14:ligatures w14:val="none"/>
        </w:rPr>
        <w:t>Student name</w:t>
      </w:r>
      <w:r w:rsidRPr="0019368D">
        <w:rPr>
          <w:rFonts w:ascii="Arial" w:eastAsiaTheme="minorHAnsi" w:hAnsi="Arial" w:cs="Arial"/>
          <w:kern w:val="0"/>
          <w:sz w:val="28"/>
          <w:szCs w:val="28"/>
          <w:lang w:val="nl-NL" w:eastAsia="en-US"/>
          <w14:ligatures w14:val="none"/>
        </w:rPr>
        <w:t>: Margaret Landim</w:t>
      </w:r>
    </w:p>
    <w:p w14:paraId="4EEC7276" w14:textId="77777777" w:rsidR="00900C63" w:rsidRPr="0019368D" w:rsidRDefault="00900C63" w:rsidP="00265D70">
      <w:pPr>
        <w:tabs>
          <w:tab w:val="left" w:pos="6540"/>
        </w:tabs>
        <w:spacing w:line="360" w:lineRule="auto"/>
        <w:rPr>
          <w:rFonts w:ascii="Arial" w:eastAsiaTheme="minorHAnsi" w:hAnsi="Arial" w:cs="Arial"/>
          <w:kern w:val="0"/>
          <w:sz w:val="28"/>
          <w:szCs w:val="28"/>
          <w:lang w:val="nl-NL" w:eastAsia="en-US"/>
          <w14:ligatures w14:val="none"/>
        </w:rPr>
      </w:pPr>
      <w:r w:rsidRPr="0019368D">
        <w:rPr>
          <w:rFonts w:ascii="Arial" w:eastAsiaTheme="minorHAnsi" w:hAnsi="Arial" w:cs="Arial"/>
          <w:b/>
          <w:bCs/>
          <w:kern w:val="0"/>
          <w:sz w:val="28"/>
          <w:szCs w:val="28"/>
          <w:lang w:val="nl-NL" w:eastAsia="en-US"/>
          <w14:ligatures w14:val="none"/>
        </w:rPr>
        <w:t>Student ID</w:t>
      </w:r>
      <w:r w:rsidRPr="0019368D">
        <w:rPr>
          <w:rFonts w:ascii="Arial" w:eastAsiaTheme="minorHAnsi" w:hAnsi="Arial" w:cs="Arial"/>
          <w:kern w:val="0"/>
          <w:sz w:val="28"/>
          <w:szCs w:val="28"/>
          <w:lang w:val="nl-NL" w:eastAsia="en-US"/>
          <w14:ligatures w14:val="none"/>
        </w:rPr>
        <w:t>: 2335559</w:t>
      </w:r>
    </w:p>
    <w:p w14:paraId="5FEFED76" w14:textId="0DB7C041" w:rsidR="00900C63" w:rsidRPr="0019368D" w:rsidRDefault="00900C63" w:rsidP="00265D70">
      <w:pPr>
        <w:tabs>
          <w:tab w:val="left" w:pos="6540"/>
        </w:tabs>
        <w:spacing w:line="360" w:lineRule="auto"/>
        <w:rPr>
          <w:rFonts w:ascii="Arial" w:eastAsiaTheme="minorHAnsi" w:hAnsi="Arial" w:cs="Arial"/>
          <w:kern w:val="0"/>
          <w:sz w:val="28"/>
          <w:szCs w:val="28"/>
          <w:lang w:val="nl-NL" w:eastAsia="en-US"/>
          <w14:ligatures w14:val="none"/>
        </w:rPr>
      </w:pPr>
      <w:r w:rsidRPr="0019368D">
        <w:rPr>
          <w:rFonts w:ascii="Arial" w:eastAsiaTheme="minorHAnsi" w:hAnsi="Arial" w:cs="Arial"/>
          <w:b/>
          <w:bCs/>
          <w:kern w:val="0"/>
          <w:sz w:val="28"/>
          <w:szCs w:val="28"/>
          <w:lang w:val="nl-NL" w:eastAsia="en-US"/>
          <w14:ligatures w14:val="none"/>
        </w:rPr>
        <w:t>Lectuure’s name</w:t>
      </w:r>
      <w:r w:rsidRPr="0019368D">
        <w:rPr>
          <w:rFonts w:ascii="Arial" w:eastAsiaTheme="minorHAnsi" w:hAnsi="Arial" w:cs="Arial"/>
          <w:kern w:val="0"/>
          <w:sz w:val="28"/>
          <w:szCs w:val="28"/>
          <w:lang w:val="nl-NL" w:eastAsia="en-US"/>
          <w14:ligatures w14:val="none"/>
        </w:rPr>
        <w:t xml:space="preserve">: </w:t>
      </w:r>
      <w:r>
        <w:rPr>
          <w:rFonts w:ascii="Arial" w:eastAsiaTheme="minorHAnsi" w:hAnsi="Arial" w:cs="Arial"/>
          <w:kern w:val="0"/>
          <w:sz w:val="28"/>
          <w:szCs w:val="28"/>
          <w:lang w:val="nl-NL" w:eastAsia="en-US"/>
          <w14:ligatures w14:val="none"/>
        </w:rPr>
        <w:t>Ping Wu</w:t>
      </w:r>
    </w:p>
    <w:p w14:paraId="1275A47B" w14:textId="77777777" w:rsidR="00900C63" w:rsidRPr="0019368D" w:rsidRDefault="00900C63" w:rsidP="00265D70">
      <w:pPr>
        <w:tabs>
          <w:tab w:val="left" w:pos="6540"/>
        </w:tabs>
        <w:spacing w:line="360" w:lineRule="auto"/>
        <w:rPr>
          <w:rFonts w:ascii="Arial" w:eastAsiaTheme="minorHAnsi" w:hAnsi="Arial" w:cs="Arial"/>
          <w:kern w:val="0"/>
          <w:sz w:val="28"/>
          <w:szCs w:val="28"/>
          <w:lang w:eastAsia="en-US"/>
          <w14:ligatures w14:val="none"/>
        </w:rPr>
      </w:pPr>
      <w:r w:rsidRPr="0019368D">
        <w:rPr>
          <w:rFonts w:ascii="Arial" w:eastAsiaTheme="minorHAnsi" w:hAnsi="Arial" w:cs="Arial"/>
          <w:b/>
          <w:bCs/>
          <w:kern w:val="0"/>
          <w:sz w:val="28"/>
          <w:szCs w:val="28"/>
          <w:lang w:eastAsia="en-US"/>
          <w14:ligatures w14:val="none"/>
        </w:rPr>
        <w:t>Word count</w:t>
      </w:r>
      <w:r w:rsidRPr="0019368D">
        <w:rPr>
          <w:rFonts w:ascii="Arial" w:eastAsiaTheme="minorHAnsi" w:hAnsi="Arial" w:cs="Arial"/>
          <w:kern w:val="0"/>
          <w:sz w:val="28"/>
          <w:szCs w:val="28"/>
          <w:lang w:eastAsia="en-US"/>
          <w14:ligatures w14:val="none"/>
        </w:rPr>
        <w:t xml:space="preserve">: 2000 words </w:t>
      </w:r>
    </w:p>
    <w:p w14:paraId="4633C9A4" w14:textId="473308BD" w:rsidR="00900C63" w:rsidRPr="0019368D" w:rsidRDefault="00900C63" w:rsidP="00265D70">
      <w:pPr>
        <w:rPr>
          <w:rFonts w:ascii="Arial" w:hAnsi="Arial" w:cs="Arial"/>
          <w:b/>
          <w:bCs/>
          <w:sz w:val="32"/>
          <w:szCs w:val="32"/>
        </w:rPr>
      </w:pPr>
      <w:r w:rsidRPr="0019368D">
        <w:rPr>
          <w:rFonts w:ascii="Arial" w:hAnsi="Arial" w:cs="Arial"/>
          <w:b/>
          <w:bCs/>
          <w:sz w:val="32"/>
          <w:szCs w:val="32"/>
        </w:rPr>
        <w:t xml:space="preserve">Assignment title: </w:t>
      </w:r>
      <w:bookmarkStart w:id="0" w:name="_Int_5mZEcGFA"/>
      <w:r w:rsidRPr="0019368D">
        <w:rPr>
          <w:rFonts w:ascii="Arial" w:hAnsi="Arial" w:cs="Arial"/>
          <w:b/>
          <w:bCs/>
          <w:sz w:val="32"/>
          <w:szCs w:val="32"/>
        </w:rPr>
        <w:t>Component</w:t>
      </w:r>
      <w:bookmarkEnd w:id="0"/>
      <w:r w:rsidRPr="0019368D">
        <w:rPr>
          <w:rFonts w:ascii="Arial" w:hAnsi="Arial" w:cs="Arial"/>
          <w:b/>
          <w:bCs/>
          <w:sz w:val="32"/>
          <w:szCs w:val="32"/>
        </w:rPr>
        <w:t xml:space="preserve"> </w:t>
      </w:r>
      <w:r>
        <w:rPr>
          <w:rFonts w:ascii="Arial" w:hAnsi="Arial" w:cs="Arial"/>
          <w:b/>
          <w:bCs/>
          <w:sz w:val="32"/>
          <w:szCs w:val="32"/>
        </w:rPr>
        <w:t>1</w:t>
      </w:r>
      <w:r w:rsidRPr="0019368D">
        <w:rPr>
          <w:rFonts w:ascii="Arial" w:hAnsi="Arial" w:cs="Arial"/>
          <w:b/>
          <w:bCs/>
          <w:sz w:val="32"/>
          <w:szCs w:val="32"/>
        </w:rPr>
        <w:t>: Report</w:t>
      </w:r>
    </w:p>
    <w:p w14:paraId="51DF8C60" w14:textId="77777777" w:rsidR="00900C63" w:rsidRDefault="00900C63"/>
    <w:p w14:paraId="63563414" w14:textId="77777777" w:rsidR="004906DF" w:rsidRDefault="004906DF"/>
    <w:p w14:paraId="0ED1F87F" w14:textId="77777777" w:rsidR="002E07B6" w:rsidRDefault="002E07B6"/>
    <w:p w14:paraId="5C15EC0C" w14:textId="77777777" w:rsidR="002E07B6" w:rsidRDefault="002E07B6"/>
    <w:p w14:paraId="56EE102B" w14:textId="77777777" w:rsidR="004906DF" w:rsidRDefault="004906DF"/>
    <w:p w14:paraId="17CB4CB1" w14:textId="77777777" w:rsidR="00B14B4D" w:rsidRPr="00903725" w:rsidRDefault="00B14B4D" w:rsidP="00903725">
      <w:pPr>
        <w:spacing w:line="360" w:lineRule="auto"/>
        <w:jc w:val="both"/>
        <w:rPr>
          <w:rFonts w:ascii="Arial" w:hAnsi="Arial" w:cs="Arial"/>
          <w:b/>
          <w:bCs/>
          <w:color w:val="000000" w:themeColor="text1"/>
        </w:rPr>
      </w:pPr>
      <w:r w:rsidRPr="00903725">
        <w:rPr>
          <w:rFonts w:ascii="Arial" w:hAnsi="Arial" w:cs="Arial"/>
          <w:b/>
          <w:bCs/>
          <w:color w:val="000000" w:themeColor="text1"/>
        </w:rPr>
        <w:t xml:space="preserve">Acknowledgement of the use of the AI Tools </w:t>
      </w:r>
    </w:p>
    <w:p w14:paraId="6D49E55C" w14:textId="77777777" w:rsidR="00B14B4D" w:rsidRPr="00903725" w:rsidRDefault="00B14B4D" w:rsidP="00903725">
      <w:pPr>
        <w:spacing w:line="360" w:lineRule="auto"/>
        <w:jc w:val="both"/>
        <w:rPr>
          <w:rFonts w:ascii="Arial" w:hAnsi="Arial" w:cs="Arial"/>
          <w:color w:val="000000" w:themeColor="text1"/>
        </w:rPr>
      </w:pPr>
      <w:r w:rsidRPr="00903725">
        <w:rPr>
          <w:rFonts w:ascii="Arial" w:hAnsi="Arial" w:cs="Arial"/>
          <w:color w:val="000000" w:themeColor="text1"/>
        </w:rPr>
        <w:t xml:space="preserve">I confirm that I have not used any AI tools in the research and creation of this assignment. I confirm that I have not presented any AI generated materials as my own work. </w:t>
      </w:r>
    </w:p>
    <w:p w14:paraId="2358552B" w14:textId="76E626B3" w:rsidR="00C87D41" w:rsidRPr="00BF153E" w:rsidRDefault="00C87D41" w:rsidP="00903725">
      <w:pPr>
        <w:pStyle w:val="Heading2"/>
        <w:spacing w:line="360" w:lineRule="auto"/>
        <w:jc w:val="both"/>
        <w:divId w:val="248000368"/>
        <w:rPr>
          <w:rFonts w:ascii="Arial" w:eastAsiaTheme="minorEastAsia" w:hAnsi="Arial" w:cs="Arial"/>
          <w:b/>
          <w:bCs/>
          <w:kern w:val="0"/>
          <w:sz w:val="28"/>
          <w:szCs w:val="28"/>
          <w14:ligatures w14:val="none"/>
        </w:rPr>
      </w:pPr>
      <w:r w:rsidRPr="00BF153E">
        <w:rPr>
          <w:rFonts w:ascii="Arial" w:hAnsi="Arial" w:cs="Arial"/>
          <w:b/>
          <w:bCs/>
          <w:sz w:val="28"/>
          <w:szCs w:val="28"/>
        </w:rPr>
        <w:lastRenderedPageBreak/>
        <w:t>Electronic Patient Records (EPRs): Critically Evaluating Their Impact on Health and Social Care Delivery in England</w:t>
      </w:r>
      <w:r w:rsidR="0093338C" w:rsidRPr="00BF153E">
        <w:rPr>
          <w:rFonts w:ascii="Arial" w:hAnsi="Arial" w:cs="Arial"/>
          <w:b/>
          <w:bCs/>
          <w:sz w:val="28"/>
          <w:szCs w:val="28"/>
        </w:rPr>
        <w:t>.</w:t>
      </w:r>
    </w:p>
    <w:p w14:paraId="65AC64D9" w14:textId="4CCB03A9" w:rsidR="00D844D7" w:rsidRPr="00903725" w:rsidRDefault="00B32290" w:rsidP="00903725">
      <w:pPr>
        <w:spacing w:before="100" w:beforeAutospacing="1" w:after="100" w:afterAutospacing="1" w:line="360" w:lineRule="auto"/>
        <w:jc w:val="both"/>
        <w:outlineLvl w:val="1"/>
        <w:divId w:val="948659127"/>
        <w:rPr>
          <w:rFonts w:ascii="Arial" w:eastAsia="Times New Roman" w:hAnsi="Arial" w:cs="Arial"/>
          <w:kern w:val="0"/>
          <w:sz w:val="36"/>
          <w:szCs w:val="36"/>
          <w14:ligatures w14:val="none"/>
        </w:rPr>
      </w:pPr>
      <w:r w:rsidRPr="00B32290">
        <w:rPr>
          <w:rFonts w:ascii="Arial" w:eastAsia="Times New Roman" w:hAnsi="Arial" w:cs="Arial"/>
          <w:kern w:val="0"/>
          <w:sz w:val="36"/>
          <w:szCs w:val="36"/>
          <w14:ligatures w14:val="none"/>
        </w:rPr>
        <w:t>Introduction</w:t>
      </w:r>
    </w:p>
    <w:p w14:paraId="3DD75875" w14:textId="304C7E82" w:rsidR="002E07B6" w:rsidRPr="002E07B6" w:rsidRDefault="002E07B6" w:rsidP="002E07B6">
      <w:pPr>
        <w:pStyle w:val="p1"/>
        <w:spacing w:line="360" w:lineRule="auto"/>
        <w:jc w:val="both"/>
        <w:divId w:val="2142455054"/>
        <w:rPr>
          <w:rStyle w:val="s1"/>
          <w:rFonts w:ascii="Arial" w:hAnsi="Arial" w:cs="Arial"/>
        </w:rPr>
      </w:pPr>
      <w:r w:rsidRPr="002E07B6">
        <w:rPr>
          <w:rFonts w:ascii="Arial" w:hAnsi="Arial" w:cs="Arial"/>
        </w:rPr>
        <w:t xml:space="preserve">Digital transformation has become a key priority within healthcare systems worldwide, with technological innovations </w:t>
      </w:r>
      <w:bookmarkStart w:id="1" w:name="_Int_GPW965NS"/>
      <w:r w:rsidRPr="002E07B6">
        <w:rPr>
          <w:rFonts w:ascii="Arial" w:hAnsi="Arial" w:cs="Arial"/>
        </w:rPr>
        <w:t>being introduced</w:t>
      </w:r>
      <w:bookmarkEnd w:id="1"/>
      <w:r w:rsidRPr="002E07B6">
        <w:rPr>
          <w:rFonts w:ascii="Arial" w:hAnsi="Arial" w:cs="Arial"/>
        </w:rPr>
        <w:t xml:space="preserve"> to improve the quality, </w:t>
      </w:r>
      <w:r w:rsidR="00BF153E" w:rsidRPr="002E07B6">
        <w:rPr>
          <w:rFonts w:ascii="Arial" w:hAnsi="Arial" w:cs="Arial"/>
        </w:rPr>
        <w:t>safety,</w:t>
      </w:r>
      <w:r w:rsidRPr="002E07B6">
        <w:rPr>
          <w:rFonts w:ascii="Arial" w:hAnsi="Arial" w:cs="Arial"/>
        </w:rPr>
        <w:t xml:space="preserve"> and efficiency of patient care. In England, the NHS has invested heavily in digital healthcare through initiatives such as the </w:t>
      </w:r>
      <w:r w:rsidRPr="002E07B6">
        <w:rPr>
          <w:rStyle w:val="s2"/>
          <w:rFonts w:ascii="Arial" w:hAnsi="Arial" w:cs="Arial"/>
        </w:rPr>
        <w:t>NHS Long Term Plan</w:t>
      </w:r>
      <w:r w:rsidRPr="002E07B6">
        <w:rPr>
          <w:rStyle w:val="s1"/>
          <w:rFonts w:ascii="Arial" w:hAnsi="Arial" w:cs="Arial"/>
        </w:rPr>
        <w:t xml:space="preserve"> and the </w:t>
      </w:r>
      <w:r w:rsidRPr="002E07B6">
        <w:rPr>
          <w:rStyle w:val="s2"/>
          <w:rFonts w:ascii="Arial" w:hAnsi="Arial" w:cs="Arial"/>
        </w:rPr>
        <w:t>Frontline Digitisation Programme</w:t>
      </w:r>
      <w:r w:rsidRPr="002E07B6">
        <w:rPr>
          <w:rStyle w:val="s1"/>
          <w:rFonts w:ascii="Arial" w:hAnsi="Arial" w:cs="Arial"/>
        </w:rPr>
        <w:t>, recognising that modern healthcare depends on secure and accessible digital information systems (NHS England, 2019; NHS England, 2024).</w:t>
      </w:r>
    </w:p>
    <w:p w14:paraId="6F7E4A5B" w14:textId="77777777" w:rsidR="004E3468" w:rsidRPr="000D4190" w:rsidRDefault="004E3468" w:rsidP="004E3468">
      <w:pPr>
        <w:pStyle w:val="p1"/>
        <w:spacing w:line="360" w:lineRule="auto"/>
        <w:jc w:val="both"/>
        <w:divId w:val="1423601731"/>
        <w:rPr>
          <w:rFonts w:ascii="Arial" w:hAnsi="Arial" w:cs="Arial"/>
        </w:rPr>
      </w:pPr>
      <w:r w:rsidRPr="000D4190">
        <w:rPr>
          <w:rFonts w:ascii="Arial" w:hAnsi="Arial" w:cs="Arial"/>
        </w:rPr>
        <w:t>One of the most influential digital developments within the NHS has been the introduction of Electronic Patient Records (EPRs). According to NHS England (2024), an EPR is a secure electronic system designed to hold a patient’s healthcare information in one centralised record. This includes details such as previous medical conditions, current diagnoses, prescribed medications, allergies, diagnostic test results and ongoing treatment plans. In contrast to paper-based documentation, EPRs allow authorised healthcare professionals to access and update patient information instantly, regardless of where care is being delivered. This improves the continuity of care, supports more effective communication between multidisciplinary teams and contributes to safer, more efficient clinical decision-making.</w:t>
      </w:r>
    </w:p>
    <w:p w14:paraId="36EB46A2" w14:textId="08498658" w:rsidR="002E07B6" w:rsidRPr="002E07B6" w:rsidRDefault="002E07B6" w:rsidP="00D73E8C">
      <w:pPr>
        <w:pStyle w:val="p1"/>
        <w:spacing w:line="360" w:lineRule="auto"/>
        <w:jc w:val="both"/>
        <w:divId w:val="1853763545"/>
        <w:rPr>
          <w:rFonts w:ascii="Arial" w:hAnsi="Arial" w:cs="Arial"/>
        </w:rPr>
      </w:pPr>
      <w:r w:rsidRPr="002E07B6">
        <w:rPr>
          <w:rFonts w:ascii="Arial" w:hAnsi="Arial" w:cs="Arial"/>
        </w:rPr>
        <w:t>Research suggests that EPRs can improve patient safety, reduce medication errors, strengthen multidisciplinary communication, and increase the efficiency of healthcare services by providing clinicians with timely access to accurate patient information (Campanella et al., 2016; Kruse et al., 2018). In addition, integrated clinical decision support systems can help healthcare professionals by providing alerts about allergies, drug interactions and abnormal test results, supporting safer clinical decision-making (Sutton et al., 2020).</w:t>
      </w:r>
      <w:r>
        <w:rPr>
          <w:rFonts w:ascii="Arial" w:hAnsi="Arial" w:cs="Arial"/>
        </w:rPr>
        <w:t xml:space="preserve"> </w:t>
      </w:r>
      <w:r w:rsidRPr="002E07B6">
        <w:rPr>
          <w:rFonts w:ascii="Arial" w:hAnsi="Arial" w:cs="Arial"/>
        </w:rPr>
        <w:t xml:space="preserve">Despite these benefits, implementing EPR systems presents several challenges. </w:t>
      </w:r>
      <w:r w:rsidR="00114419" w:rsidRPr="00D73E8C">
        <w:rPr>
          <w:rFonts w:ascii="Arial" w:hAnsi="Arial" w:cs="Arial"/>
        </w:rPr>
        <w:t xml:space="preserve">Research suggests that the successful adoption of Electronic Patient Records relies on more than the availability of digital technology alone. Effective leadership, active staff involvement, ongoing training, and the redesign of existing clinical processes are all essential factors in ensuring that EPR systems </w:t>
      </w:r>
      <w:bookmarkStart w:id="2" w:name="_Int_HU0zOcUi"/>
      <w:r w:rsidR="00114419" w:rsidRPr="00D73E8C">
        <w:rPr>
          <w:rFonts w:ascii="Arial" w:hAnsi="Arial" w:cs="Arial"/>
        </w:rPr>
        <w:t xml:space="preserve">are </w:t>
      </w:r>
      <w:r w:rsidR="00114419" w:rsidRPr="00D73E8C">
        <w:rPr>
          <w:rFonts w:ascii="Arial" w:hAnsi="Arial" w:cs="Arial"/>
        </w:rPr>
        <w:lastRenderedPageBreak/>
        <w:t>implemented</w:t>
      </w:r>
      <w:bookmarkEnd w:id="2"/>
      <w:r w:rsidR="00114419" w:rsidRPr="00D73E8C">
        <w:rPr>
          <w:rFonts w:ascii="Arial" w:hAnsi="Arial" w:cs="Arial"/>
        </w:rPr>
        <w:t xml:space="preserve"> successfully (</w:t>
      </w:r>
      <w:proofErr w:type="spellStart"/>
      <w:r w:rsidR="00114419" w:rsidRPr="00D73E8C">
        <w:rPr>
          <w:rFonts w:ascii="Arial" w:hAnsi="Arial" w:cs="Arial"/>
        </w:rPr>
        <w:t>Fennelly</w:t>
      </w:r>
      <w:proofErr w:type="spellEnd"/>
      <w:r w:rsidR="00114419" w:rsidRPr="00D73E8C">
        <w:rPr>
          <w:rFonts w:ascii="Arial" w:hAnsi="Arial" w:cs="Arial"/>
        </w:rPr>
        <w:t xml:space="preserve"> et al., 2020). In addition, organisations continue to face challenges related to system interoperability, cybersecurity risks, and the financial costs associated with implementing and </w:t>
      </w:r>
      <w:r w:rsidR="004C0783" w:rsidRPr="00D73E8C">
        <w:rPr>
          <w:rFonts w:ascii="Arial" w:hAnsi="Arial" w:cs="Arial"/>
        </w:rPr>
        <w:t>keeping</w:t>
      </w:r>
      <w:r w:rsidR="00114419" w:rsidRPr="00D73E8C">
        <w:rPr>
          <w:rFonts w:ascii="Arial" w:hAnsi="Arial" w:cs="Arial"/>
        </w:rPr>
        <w:t xml:space="preserve"> these digital systems</w:t>
      </w:r>
      <w:r w:rsidR="00D73E8C">
        <w:rPr>
          <w:rFonts w:ascii="Arial" w:hAnsi="Arial" w:cs="Arial"/>
        </w:rPr>
        <w:t xml:space="preserve"> </w:t>
      </w:r>
      <w:r w:rsidRPr="002E07B6">
        <w:rPr>
          <w:rFonts w:ascii="Arial" w:hAnsi="Arial" w:cs="Arial"/>
        </w:rPr>
        <w:t>and digital exclusion continue to influence the effectiveness of EPR systems across healthcare organisations (Li et al., 2022; National Audit Office, 2020).</w:t>
      </w:r>
    </w:p>
    <w:p w14:paraId="39DEBBE7" w14:textId="77777777" w:rsidR="006B27AF" w:rsidRPr="006B27AF" w:rsidRDefault="006B27AF" w:rsidP="006B27AF">
      <w:pPr>
        <w:pStyle w:val="p1"/>
        <w:spacing w:line="360" w:lineRule="auto"/>
        <w:jc w:val="both"/>
        <w:divId w:val="409886074"/>
        <w:rPr>
          <w:rFonts w:ascii="Arial" w:hAnsi="Arial" w:cs="Arial"/>
        </w:rPr>
      </w:pPr>
      <w:r w:rsidRPr="006B27AF">
        <w:rPr>
          <w:rFonts w:ascii="Arial" w:hAnsi="Arial" w:cs="Arial"/>
        </w:rPr>
        <w:t>This report provides a critical evaluation of the impact that Electronic Patient Records have on the healthcare workforce, the delivery of healthcare services, patients, service users, and the wider community. It explores both the advantages and the limitations of implementing EPR systems while assessing how they influence the quality, safety, and efficiency of healthcare provision across the NHS.</w:t>
      </w:r>
    </w:p>
    <w:p w14:paraId="3DAA4A1A" w14:textId="77777777" w:rsidR="00E83A92" w:rsidRPr="00E83A92" w:rsidRDefault="00E83A92" w:rsidP="00903725">
      <w:pPr>
        <w:spacing w:before="100" w:beforeAutospacing="1" w:after="100" w:afterAutospacing="1" w:line="360" w:lineRule="auto"/>
        <w:jc w:val="both"/>
        <w:outlineLvl w:val="0"/>
        <w:divId w:val="1558013075"/>
        <w:rPr>
          <w:rFonts w:ascii="Arial" w:eastAsia="Times New Roman" w:hAnsi="Arial" w:cs="Arial"/>
          <w:kern w:val="36"/>
          <w:sz w:val="48"/>
          <w:szCs w:val="48"/>
          <w14:ligatures w14:val="none"/>
        </w:rPr>
      </w:pPr>
      <w:r w:rsidRPr="00E83A92">
        <w:rPr>
          <w:rFonts w:ascii="Arial" w:eastAsia="Times New Roman" w:hAnsi="Arial" w:cs="Arial"/>
          <w:kern w:val="36"/>
          <w:sz w:val="48"/>
          <w:szCs w:val="48"/>
          <w14:ligatures w14:val="none"/>
        </w:rPr>
        <w:t>Workforce</w:t>
      </w:r>
    </w:p>
    <w:p w14:paraId="5804D94C" w14:textId="1A0DC259" w:rsidR="00522E68" w:rsidRPr="00522E68" w:rsidRDefault="00522E68" w:rsidP="00522E68">
      <w:pPr>
        <w:pStyle w:val="p1"/>
        <w:spacing w:line="360" w:lineRule="auto"/>
        <w:jc w:val="both"/>
        <w:divId w:val="160170220"/>
        <w:rPr>
          <w:rFonts w:ascii="Arial" w:hAnsi="Arial" w:cs="Arial"/>
        </w:rPr>
      </w:pPr>
      <w:r w:rsidRPr="00522E68">
        <w:rPr>
          <w:rFonts w:ascii="Arial" w:hAnsi="Arial" w:cs="Arial"/>
        </w:rPr>
        <w:t xml:space="preserve">The implementation of Electronic Patient Records (EPRs) has significantly changed the roles and responsibilities of healthcare professionals across the NHS. In addition to replacing paper records, EPRs have transformed how clinicians record, access and share patient information, requiring staff to develop digital competencies alongside their clinical skills. NHS England (2024) highlights that effective use of EPR systems depends on healthcare professionals receiving </w:t>
      </w:r>
      <w:r w:rsidR="004C27B2" w:rsidRPr="00522E68">
        <w:rPr>
          <w:rFonts w:ascii="Arial" w:hAnsi="Arial" w:cs="Arial"/>
        </w:rPr>
        <w:t>proper training</w:t>
      </w:r>
      <w:r w:rsidRPr="00522E68">
        <w:rPr>
          <w:rFonts w:ascii="Arial" w:hAnsi="Arial" w:cs="Arial"/>
        </w:rPr>
        <w:t xml:space="preserve"> and ongoing support to integrate digital technologies into everyday clinical practice.</w:t>
      </w:r>
      <w:r w:rsidR="004C27B2">
        <w:rPr>
          <w:rFonts w:ascii="Arial" w:hAnsi="Arial" w:cs="Arial"/>
        </w:rPr>
        <w:t xml:space="preserve"> </w:t>
      </w:r>
      <w:r w:rsidRPr="00522E68">
        <w:rPr>
          <w:rFonts w:ascii="Arial" w:hAnsi="Arial" w:cs="Arial"/>
        </w:rPr>
        <w:t xml:space="preserve">One of the main benefits of EPRs is improved communication between multidisciplinary teams. Healthcare professionals can access up-to-date patient information in real time, allowing doctors, nurses, </w:t>
      </w:r>
      <w:r w:rsidR="004C27B2" w:rsidRPr="00522E68">
        <w:rPr>
          <w:rFonts w:ascii="Arial" w:hAnsi="Arial" w:cs="Arial"/>
        </w:rPr>
        <w:t>pharmacists,</w:t>
      </w:r>
      <w:r w:rsidRPr="00522E68">
        <w:rPr>
          <w:rFonts w:ascii="Arial" w:hAnsi="Arial" w:cs="Arial"/>
        </w:rPr>
        <w:t xml:space="preserve"> and allied health professionals to work more collaboratively and make informed clinical decisions. This has improved continuity of care and reduced the risk of duplicate tests and medication errors, particularly for patients receiving care across multiple healthcare settings (Campanella et al., 2016; Kruse et al., 2018). Furthermore, clinical decision support tools embedded within many EPR systems provide alerts for allergies, drug </w:t>
      </w:r>
      <w:r w:rsidR="004C27B2" w:rsidRPr="00522E68">
        <w:rPr>
          <w:rFonts w:ascii="Arial" w:hAnsi="Arial" w:cs="Arial"/>
        </w:rPr>
        <w:t>interactions,</w:t>
      </w:r>
      <w:r w:rsidRPr="00522E68">
        <w:rPr>
          <w:rFonts w:ascii="Arial" w:hAnsi="Arial" w:cs="Arial"/>
        </w:rPr>
        <w:t xml:space="preserve"> and abnormal test results, contributing to safer clinical practice (Sutton et al., 2020).</w:t>
      </w:r>
    </w:p>
    <w:p w14:paraId="4D111585" w14:textId="0B467A87" w:rsidR="00522E68" w:rsidRPr="00522E68" w:rsidRDefault="00522E68" w:rsidP="00522E68">
      <w:pPr>
        <w:pStyle w:val="p1"/>
        <w:spacing w:line="360" w:lineRule="auto"/>
        <w:jc w:val="both"/>
        <w:divId w:val="160170220"/>
        <w:rPr>
          <w:rFonts w:ascii="Arial" w:hAnsi="Arial" w:cs="Arial"/>
        </w:rPr>
      </w:pPr>
      <w:r w:rsidRPr="00522E68">
        <w:rPr>
          <w:rFonts w:ascii="Arial" w:hAnsi="Arial" w:cs="Arial"/>
        </w:rPr>
        <w:t xml:space="preserve">Despite these advantages, implementing EPR systems has also created challenges for the healthcare workforce. Introducing new digital systems often requires significant changes to </w:t>
      </w:r>
      <w:r w:rsidR="004C27B2" w:rsidRPr="00522E68">
        <w:rPr>
          <w:rFonts w:ascii="Arial" w:hAnsi="Arial" w:cs="Arial"/>
        </w:rPr>
        <w:t>set up</w:t>
      </w:r>
      <w:r w:rsidRPr="00522E68">
        <w:rPr>
          <w:rFonts w:ascii="Arial" w:hAnsi="Arial" w:cs="Arial"/>
        </w:rPr>
        <w:t xml:space="preserve"> clinical workflows, and inadequate training or limited digital </w:t>
      </w:r>
      <w:r w:rsidRPr="00522E68">
        <w:rPr>
          <w:rFonts w:ascii="Arial" w:hAnsi="Arial" w:cs="Arial"/>
        </w:rPr>
        <w:lastRenderedPageBreak/>
        <w:t>confidence can reduce staff productivity during implementation (</w:t>
      </w:r>
      <w:proofErr w:type="spellStart"/>
      <w:r w:rsidRPr="00522E68">
        <w:rPr>
          <w:rFonts w:ascii="Arial" w:hAnsi="Arial" w:cs="Arial"/>
        </w:rPr>
        <w:t>Fennelly</w:t>
      </w:r>
      <w:proofErr w:type="spellEnd"/>
      <w:r w:rsidRPr="00522E68">
        <w:rPr>
          <w:rFonts w:ascii="Arial" w:hAnsi="Arial" w:cs="Arial"/>
        </w:rPr>
        <w:t xml:space="preserve"> et al., 2020). Research also suggests that poorly designed electronic systems may increase administrative workload and contribute to clinician frustration and burnout, particularly when documentation requirements reduce the time available for direct patient care (</w:t>
      </w:r>
      <w:proofErr w:type="spellStart"/>
      <w:r w:rsidRPr="00522E68">
        <w:rPr>
          <w:rFonts w:ascii="Arial" w:hAnsi="Arial" w:cs="Arial"/>
        </w:rPr>
        <w:t>Alobayli</w:t>
      </w:r>
      <w:proofErr w:type="spellEnd"/>
      <w:r w:rsidRPr="00522E68">
        <w:rPr>
          <w:rFonts w:ascii="Arial" w:hAnsi="Arial" w:cs="Arial"/>
        </w:rPr>
        <w:t xml:space="preserve"> et al., 2023). These findings </w:t>
      </w:r>
      <w:r w:rsidR="004C27B2" w:rsidRPr="00522E68">
        <w:rPr>
          <w:rFonts w:ascii="Arial" w:hAnsi="Arial" w:cs="Arial"/>
        </w:rPr>
        <w:t>prove</w:t>
      </w:r>
      <w:r w:rsidRPr="00522E68">
        <w:rPr>
          <w:rFonts w:ascii="Arial" w:hAnsi="Arial" w:cs="Arial"/>
        </w:rPr>
        <w:t xml:space="preserve"> that technological innovation alone does not improve healthcare quality unless it </w:t>
      </w:r>
      <w:bookmarkStart w:id="3" w:name="_Int_HDIYlyTt"/>
      <w:r w:rsidRPr="00522E68">
        <w:rPr>
          <w:rFonts w:ascii="Arial" w:hAnsi="Arial" w:cs="Arial"/>
        </w:rPr>
        <w:t>is supported</w:t>
      </w:r>
      <w:bookmarkEnd w:id="3"/>
      <w:r w:rsidRPr="00522E68">
        <w:rPr>
          <w:rFonts w:ascii="Arial" w:hAnsi="Arial" w:cs="Arial"/>
        </w:rPr>
        <w:t xml:space="preserve"> by effective leadership, staff </w:t>
      </w:r>
      <w:r w:rsidR="004C27B2" w:rsidRPr="00522E68">
        <w:rPr>
          <w:rFonts w:ascii="Arial" w:hAnsi="Arial" w:cs="Arial"/>
        </w:rPr>
        <w:t>engagement,</w:t>
      </w:r>
      <w:r w:rsidRPr="00522E68">
        <w:rPr>
          <w:rFonts w:ascii="Arial" w:hAnsi="Arial" w:cs="Arial"/>
        </w:rPr>
        <w:t xml:space="preserve"> and continuous professional development.</w:t>
      </w:r>
    </w:p>
    <w:p w14:paraId="2116CCDB" w14:textId="403C52E9" w:rsidR="00522E68" w:rsidRPr="00522E68" w:rsidRDefault="00522E68" w:rsidP="00307C67">
      <w:pPr>
        <w:pStyle w:val="p1"/>
        <w:spacing w:line="360" w:lineRule="auto"/>
        <w:jc w:val="both"/>
        <w:divId w:val="160170220"/>
        <w:rPr>
          <w:rStyle w:val="s1"/>
          <w:rFonts w:ascii="Arial" w:hAnsi="Arial" w:cs="Arial"/>
        </w:rPr>
      </w:pPr>
      <w:r w:rsidRPr="00522E68">
        <w:rPr>
          <w:rFonts w:ascii="Arial" w:hAnsi="Arial" w:cs="Arial"/>
        </w:rPr>
        <w:t xml:space="preserve">In addition, EPRs have increased professional accountability by creating </w:t>
      </w:r>
      <w:r w:rsidR="00E00E22" w:rsidRPr="00522E68">
        <w:rPr>
          <w:rFonts w:ascii="Arial" w:hAnsi="Arial" w:cs="Arial"/>
        </w:rPr>
        <w:t>exact</w:t>
      </w:r>
      <w:r w:rsidRPr="00522E68">
        <w:rPr>
          <w:rFonts w:ascii="Arial" w:hAnsi="Arial" w:cs="Arial"/>
        </w:rPr>
        <w:t xml:space="preserve"> and traceable electronic records of patient care. Comprehensive documentation supports clinical governance, improves audit </w:t>
      </w:r>
      <w:r w:rsidR="004C27B2" w:rsidRPr="00522E68">
        <w:rPr>
          <w:rFonts w:ascii="Arial" w:hAnsi="Arial" w:cs="Arial"/>
        </w:rPr>
        <w:t>processes,</w:t>
      </w:r>
      <w:r w:rsidRPr="00522E68">
        <w:rPr>
          <w:rFonts w:ascii="Arial" w:hAnsi="Arial" w:cs="Arial"/>
        </w:rPr>
        <w:t xml:space="preserve"> and strengthens patient safety by enabling healthcare organisations to </w:t>
      </w:r>
      <w:r w:rsidR="004C27B2" w:rsidRPr="00522E68">
        <w:rPr>
          <w:rFonts w:ascii="Arial" w:hAnsi="Arial" w:cs="Arial"/>
        </w:rPr>
        <w:t>check</w:t>
      </w:r>
      <w:r w:rsidRPr="00522E68">
        <w:rPr>
          <w:rFonts w:ascii="Arial" w:hAnsi="Arial" w:cs="Arial"/>
        </w:rPr>
        <w:t xml:space="preserve"> the quality of care provided (NHS England, 2024). However, healthcare professionals must also </w:t>
      </w:r>
      <w:r w:rsidR="004C27B2" w:rsidRPr="00522E68">
        <w:rPr>
          <w:rFonts w:ascii="Arial" w:hAnsi="Arial" w:cs="Arial"/>
        </w:rPr>
        <w:t>follow</w:t>
      </w:r>
      <w:r w:rsidRPr="00522E68">
        <w:rPr>
          <w:rFonts w:ascii="Arial" w:hAnsi="Arial" w:cs="Arial"/>
        </w:rPr>
        <w:t xml:space="preserve"> the </w:t>
      </w:r>
      <w:r w:rsidRPr="00522E68">
        <w:rPr>
          <w:rStyle w:val="s2"/>
          <w:rFonts w:ascii="Arial" w:hAnsi="Arial" w:cs="Arial"/>
        </w:rPr>
        <w:t>Data Protection Act 2018</w:t>
      </w:r>
      <w:r w:rsidRPr="00522E68">
        <w:rPr>
          <w:rStyle w:val="s1"/>
          <w:rFonts w:ascii="Arial" w:hAnsi="Arial" w:cs="Arial"/>
        </w:rPr>
        <w:t xml:space="preserve"> and the </w:t>
      </w:r>
      <w:r w:rsidRPr="00522E68">
        <w:rPr>
          <w:rStyle w:val="s2"/>
          <w:rFonts w:ascii="Arial" w:hAnsi="Arial" w:cs="Arial"/>
        </w:rPr>
        <w:t>UK General Data Protection Regulation (UK GDPR)</w:t>
      </w:r>
      <w:r w:rsidRPr="00522E68">
        <w:rPr>
          <w:rStyle w:val="s1"/>
          <w:rFonts w:ascii="Arial" w:hAnsi="Arial" w:cs="Arial"/>
        </w:rPr>
        <w:t xml:space="preserve"> to ensure that patient information </w:t>
      </w:r>
      <w:r w:rsidR="004C27B2" w:rsidRPr="00522E68">
        <w:rPr>
          <w:rStyle w:val="s1"/>
          <w:rFonts w:ascii="Arial" w:hAnsi="Arial" w:cs="Arial"/>
        </w:rPr>
        <w:t>stays</w:t>
      </w:r>
      <w:r w:rsidRPr="00522E68">
        <w:rPr>
          <w:rStyle w:val="s1"/>
          <w:rFonts w:ascii="Arial" w:hAnsi="Arial" w:cs="Arial"/>
        </w:rPr>
        <w:t xml:space="preserve"> confidential and secure.</w:t>
      </w:r>
      <w:r w:rsidR="00307C67">
        <w:rPr>
          <w:rStyle w:val="s1"/>
          <w:rFonts w:ascii="Arial" w:hAnsi="Arial" w:cs="Arial"/>
        </w:rPr>
        <w:t xml:space="preserve"> </w:t>
      </w:r>
      <w:r w:rsidRPr="00522E68">
        <w:rPr>
          <w:rFonts w:ascii="Arial" w:hAnsi="Arial" w:cs="Arial"/>
        </w:rPr>
        <w:t>Taken together, the evidence suggests</w:t>
      </w:r>
      <w:r w:rsidRPr="00522E68">
        <w:rPr>
          <w:rStyle w:val="s1"/>
          <w:rFonts w:ascii="Arial" w:hAnsi="Arial" w:cs="Arial"/>
        </w:rPr>
        <w:t xml:space="preserve"> that EPRs have improved communication, </w:t>
      </w:r>
      <w:r w:rsidR="004C27B2" w:rsidRPr="00522E68">
        <w:rPr>
          <w:rStyle w:val="s1"/>
          <w:rFonts w:ascii="Arial" w:hAnsi="Arial" w:cs="Arial"/>
        </w:rPr>
        <w:t>collaboration,</w:t>
      </w:r>
      <w:r w:rsidRPr="00522E68">
        <w:rPr>
          <w:rStyle w:val="s1"/>
          <w:rFonts w:ascii="Arial" w:hAnsi="Arial" w:cs="Arial"/>
        </w:rPr>
        <w:t xml:space="preserve"> and patient safety within the NHS workforce. However, their successful implementation depends on ongoing investment in staff training, user-friendly system </w:t>
      </w:r>
      <w:r w:rsidR="00307C67" w:rsidRPr="00522E68">
        <w:rPr>
          <w:rStyle w:val="s1"/>
          <w:rFonts w:ascii="Arial" w:hAnsi="Arial" w:cs="Arial"/>
        </w:rPr>
        <w:t>design,</w:t>
      </w:r>
      <w:r w:rsidRPr="00522E68">
        <w:rPr>
          <w:rStyle w:val="s1"/>
          <w:rFonts w:ascii="Arial" w:hAnsi="Arial" w:cs="Arial"/>
        </w:rPr>
        <w:t xml:space="preserve"> and organisational support to ensure that digital technologies enhance, rather than hinder, the delivery of high-quality patient care.</w:t>
      </w:r>
    </w:p>
    <w:p w14:paraId="58833C06" w14:textId="77777777" w:rsidR="0035244E" w:rsidRPr="0035244E" w:rsidRDefault="0035244E" w:rsidP="00903725">
      <w:pPr>
        <w:spacing w:before="100" w:beforeAutospacing="1" w:after="100" w:afterAutospacing="1" w:line="360" w:lineRule="auto"/>
        <w:jc w:val="both"/>
        <w:outlineLvl w:val="0"/>
        <w:divId w:val="753670364"/>
        <w:rPr>
          <w:rFonts w:ascii="Arial" w:eastAsia="Times New Roman" w:hAnsi="Arial" w:cs="Arial"/>
          <w:kern w:val="36"/>
          <w:sz w:val="48"/>
          <w:szCs w:val="48"/>
          <w14:ligatures w14:val="none"/>
        </w:rPr>
      </w:pPr>
      <w:r w:rsidRPr="0035244E">
        <w:rPr>
          <w:rFonts w:ascii="Arial" w:eastAsia="Times New Roman" w:hAnsi="Arial" w:cs="Arial"/>
          <w:kern w:val="36"/>
          <w:sz w:val="48"/>
          <w:szCs w:val="48"/>
          <w14:ligatures w14:val="none"/>
        </w:rPr>
        <w:t>Service Delivery</w:t>
      </w:r>
    </w:p>
    <w:p w14:paraId="4B4361FA" w14:textId="76A63B05" w:rsidR="00BF018E" w:rsidRPr="00BF018E" w:rsidRDefault="00BF018E" w:rsidP="00BF018E">
      <w:pPr>
        <w:pStyle w:val="p1"/>
        <w:spacing w:line="360" w:lineRule="auto"/>
        <w:jc w:val="both"/>
        <w:divId w:val="1344286132"/>
        <w:rPr>
          <w:rFonts w:ascii="Arial" w:hAnsi="Arial" w:cs="Arial"/>
        </w:rPr>
      </w:pPr>
      <w:r w:rsidRPr="00BF018E">
        <w:rPr>
          <w:rFonts w:ascii="Arial" w:hAnsi="Arial" w:cs="Arial"/>
        </w:rPr>
        <w:t xml:space="preserve">Electronic Patient Records (EPRs) have significantly improved service delivery within the NHS by enhancing the accessibility, accuracy and sharing of patient information. By replacing paper records with digital systems, EPRs enable healthcare professionals to access real-time patient information across different healthcare settings, supporting faster clinical decision-making and more coordinated care (Campanella et al., 2016). However, the effectiveness of EPRs depends on reliable digital infrastructure, </w:t>
      </w:r>
      <w:r w:rsidR="004C27B2" w:rsidRPr="00BF018E">
        <w:rPr>
          <w:rFonts w:ascii="Arial" w:hAnsi="Arial" w:cs="Arial"/>
        </w:rPr>
        <w:t>interoperability,</w:t>
      </w:r>
      <w:r w:rsidRPr="00BF018E">
        <w:rPr>
          <w:rFonts w:ascii="Arial" w:hAnsi="Arial" w:cs="Arial"/>
        </w:rPr>
        <w:t xml:space="preserve"> and </w:t>
      </w:r>
      <w:r w:rsidR="004C27B2" w:rsidRPr="00BF018E">
        <w:rPr>
          <w:rFonts w:ascii="Arial" w:hAnsi="Arial" w:cs="Arial"/>
        </w:rPr>
        <w:t>right staff</w:t>
      </w:r>
      <w:r w:rsidRPr="00BF018E">
        <w:rPr>
          <w:rFonts w:ascii="Arial" w:hAnsi="Arial" w:cs="Arial"/>
        </w:rPr>
        <w:t xml:space="preserve"> training (NHS England, 2024).</w:t>
      </w:r>
    </w:p>
    <w:p w14:paraId="2A4A18A3" w14:textId="3D50CE1D" w:rsidR="00BF018E" w:rsidRPr="00BF018E" w:rsidRDefault="00BF018E" w:rsidP="00BF018E">
      <w:pPr>
        <w:pStyle w:val="p1"/>
        <w:spacing w:line="360" w:lineRule="auto"/>
        <w:jc w:val="both"/>
        <w:divId w:val="1344286132"/>
        <w:rPr>
          <w:rFonts w:ascii="Arial" w:hAnsi="Arial" w:cs="Arial"/>
        </w:rPr>
      </w:pPr>
      <w:r w:rsidRPr="00BF018E">
        <w:rPr>
          <w:rFonts w:ascii="Arial" w:hAnsi="Arial" w:cs="Arial"/>
        </w:rPr>
        <w:t xml:space="preserve">A major benefit of EPRs is improved patient safety. Accurate electronic records reduce medication errors, duplicated </w:t>
      </w:r>
      <w:r w:rsidR="004C27B2" w:rsidRPr="00BF018E">
        <w:rPr>
          <w:rFonts w:ascii="Arial" w:hAnsi="Arial" w:cs="Arial"/>
        </w:rPr>
        <w:t>investigations,</w:t>
      </w:r>
      <w:r w:rsidRPr="00BF018E">
        <w:rPr>
          <w:rFonts w:ascii="Arial" w:hAnsi="Arial" w:cs="Arial"/>
        </w:rPr>
        <w:t xml:space="preserve"> and incomplete documentation by providing healthcare professionals with immediate access to comprehensive patient </w:t>
      </w:r>
      <w:r w:rsidRPr="00BF018E">
        <w:rPr>
          <w:rFonts w:ascii="Arial" w:hAnsi="Arial" w:cs="Arial"/>
        </w:rPr>
        <w:lastRenderedPageBreak/>
        <w:t xml:space="preserve">information (Kruse et al., 2018). In addition, many EPR systems include clinical decision support tools that provide alerts for allergies, drug </w:t>
      </w:r>
      <w:r w:rsidR="004C27B2" w:rsidRPr="00BF018E">
        <w:rPr>
          <w:rFonts w:ascii="Arial" w:hAnsi="Arial" w:cs="Arial"/>
        </w:rPr>
        <w:t>interactions,</w:t>
      </w:r>
      <w:r w:rsidRPr="00BF018E">
        <w:rPr>
          <w:rFonts w:ascii="Arial" w:hAnsi="Arial" w:cs="Arial"/>
        </w:rPr>
        <w:t xml:space="preserve"> and abnormal test results, helping clinicians make safer and more informed decisions (Sutton et al., 2020). Consequently, EPRs contribute to improving the quality and consistency of patient care across the NHS.</w:t>
      </w:r>
      <w:r w:rsidR="00FC6604">
        <w:rPr>
          <w:rFonts w:ascii="Arial" w:hAnsi="Arial" w:cs="Arial"/>
        </w:rPr>
        <w:t xml:space="preserve"> </w:t>
      </w:r>
      <w:r w:rsidRPr="00BF018E">
        <w:rPr>
          <w:rFonts w:ascii="Arial" w:hAnsi="Arial" w:cs="Arial"/>
        </w:rPr>
        <w:t xml:space="preserve">EPRs have also increased the efficiency of healthcare services by reducing reliance on paper records and improving communication between hospitals, general practices and community services. This supports integrated, person-centred care by allowing healthcare professionals to access the same patient information, reducing delays in diagnosis, </w:t>
      </w:r>
      <w:r w:rsidR="004C27B2" w:rsidRPr="00BF018E">
        <w:rPr>
          <w:rFonts w:ascii="Arial" w:hAnsi="Arial" w:cs="Arial"/>
        </w:rPr>
        <w:t>treatment,</w:t>
      </w:r>
      <w:r w:rsidRPr="00BF018E">
        <w:rPr>
          <w:rFonts w:ascii="Arial" w:hAnsi="Arial" w:cs="Arial"/>
        </w:rPr>
        <w:t xml:space="preserve"> and referrals (The King’s Fund, 2022). Patients with long-term conditions particularly </w:t>
      </w:r>
      <w:r w:rsidR="004C27B2" w:rsidRPr="00BF018E">
        <w:rPr>
          <w:rFonts w:ascii="Arial" w:hAnsi="Arial" w:cs="Arial"/>
        </w:rPr>
        <w:t>receive help</w:t>
      </w:r>
      <w:r w:rsidRPr="00BF018E">
        <w:rPr>
          <w:rFonts w:ascii="Arial" w:hAnsi="Arial" w:cs="Arial"/>
        </w:rPr>
        <w:t xml:space="preserve"> from improved continuity of care, as clinicians can view complete medical histories and avoid unnecessary duplication of tests or treatments.</w:t>
      </w:r>
    </w:p>
    <w:p w14:paraId="779FEAF8" w14:textId="62B16C88" w:rsidR="00BF018E" w:rsidRPr="00BF018E" w:rsidRDefault="00BF018E" w:rsidP="00BF018E">
      <w:pPr>
        <w:pStyle w:val="p1"/>
        <w:spacing w:line="360" w:lineRule="auto"/>
        <w:jc w:val="both"/>
        <w:divId w:val="1344286132"/>
        <w:rPr>
          <w:rStyle w:val="s1"/>
          <w:rFonts w:ascii="Arial" w:hAnsi="Arial" w:cs="Arial"/>
        </w:rPr>
      </w:pPr>
      <w:r w:rsidRPr="00BF018E">
        <w:rPr>
          <w:rFonts w:ascii="Arial" w:hAnsi="Arial" w:cs="Arial"/>
        </w:rPr>
        <w:t xml:space="preserve">Despite these advantages, several challenges continue to affect service delivery. Poor interoperability between different electronic systems can limit information sharing between healthcare providers, reducing the effectiveness of integrated care (Li et al., 2022). In addition, cyberattacks and technical failures may interrupt access to patient records and disrupt healthcare services. The </w:t>
      </w:r>
      <w:r w:rsidRPr="00BF018E">
        <w:rPr>
          <w:rStyle w:val="s2"/>
          <w:rFonts w:ascii="Arial" w:hAnsi="Arial" w:cs="Arial"/>
        </w:rPr>
        <w:t>WannaCry</w:t>
      </w:r>
      <w:r w:rsidRPr="00BF018E">
        <w:rPr>
          <w:rStyle w:val="s1"/>
          <w:rFonts w:ascii="Arial" w:hAnsi="Arial" w:cs="Arial"/>
        </w:rPr>
        <w:t xml:space="preserve"> cyberattack </w:t>
      </w:r>
      <w:r w:rsidR="004C27B2" w:rsidRPr="00BF018E">
        <w:rPr>
          <w:rStyle w:val="s1"/>
          <w:rFonts w:ascii="Arial" w:hAnsi="Arial" w:cs="Arial"/>
        </w:rPr>
        <w:t>showed</w:t>
      </w:r>
      <w:r w:rsidRPr="00BF018E">
        <w:rPr>
          <w:rStyle w:val="s1"/>
          <w:rFonts w:ascii="Arial" w:hAnsi="Arial" w:cs="Arial"/>
        </w:rPr>
        <w:t xml:space="preserve"> the vulnerability of NHS digital infrastructure, resulting in cancelled appointments and delays to patient care (National Audit Office, 2018). These challenges highlight the importance of secure digital systems, effective contingency </w:t>
      </w:r>
      <w:r w:rsidR="004C27B2" w:rsidRPr="00BF018E">
        <w:rPr>
          <w:rStyle w:val="s1"/>
          <w:rFonts w:ascii="Arial" w:hAnsi="Arial" w:cs="Arial"/>
        </w:rPr>
        <w:t>planning,</w:t>
      </w:r>
      <w:r w:rsidRPr="00BF018E">
        <w:rPr>
          <w:rStyle w:val="s1"/>
          <w:rFonts w:ascii="Arial" w:hAnsi="Arial" w:cs="Arial"/>
        </w:rPr>
        <w:t xml:space="preserve"> and continued investment in digital infrastructure.</w:t>
      </w:r>
    </w:p>
    <w:p w14:paraId="4D06306B" w14:textId="30FD732F" w:rsidR="00BF018E" w:rsidRPr="00BF018E" w:rsidRDefault="00BF018E" w:rsidP="00BF018E">
      <w:pPr>
        <w:pStyle w:val="p2"/>
        <w:spacing w:line="360" w:lineRule="auto"/>
        <w:jc w:val="both"/>
        <w:divId w:val="1344286132"/>
        <w:rPr>
          <w:rStyle w:val="s1"/>
          <w:rFonts w:ascii="Arial" w:hAnsi="Arial" w:cs="Arial"/>
        </w:rPr>
      </w:pPr>
      <w:r w:rsidRPr="00BF018E">
        <w:rPr>
          <w:rFonts w:ascii="Arial" w:hAnsi="Arial" w:cs="Arial"/>
        </w:rPr>
        <w:t>Taken together, the evidence suggests</w:t>
      </w:r>
      <w:r w:rsidRPr="00BF018E">
        <w:rPr>
          <w:rStyle w:val="s1"/>
          <w:rFonts w:ascii="Arial" w:hAnsi="Arial" w:cs="Arial"/>
        </w:rPr>
        <w:t xml:space="preserve"> that EPRs have improved service delivery by enhancing patient safety, </w:t>
      </w:r>
      <w:r w:rsidR="004C27B2" w:rsidRPr="00BF018E">
        <w:rPr>
          <w:rStyle w:val="s1"/>
          <w:rFonts w:ascii="Arial" w:hAnsi="Arial" w:cs="Arial"/>
        </w:rPr>
        <w:t>communication,</w:t>
      </w:r>
      <w:r w:rsidRPr="00BF018E">
        <w:rPr>
          <w:rStyle w:val="s1"/>
          <w:rFonts w:ascii="Arial" w:hAnsi="Arial" w:cs="Arial"/>
        </w:rPr>
        <w:t xml:space="preserve"> and continuity of care. However, continued investment in interoperable systems, cybersecurity and workforce training is essential to ensure that the full benefits of EPRs </w:t>
      </w:r>
      <w:bookmarkStart w:id="4" w:name="_Int_lkU1p12M"/>
      <w:r w:rsidRPr="00BF018E">
        <w:rPr>
          <w:rStyle w:val="s1"/>
          <w:rFonts w:ascii="Arial" w:hAnsi="Arial" w:cs="Arial"/>
        </w:rPr>
        <w:t>are realised</w:t>
      </w:r>
      <w:bookmarkEnd w:id="4"/>
      <w:r w:rsidRPr="00BF018E">
        <w:rPr>
          <w:rStyle w:val="s1"/>
          <w:rFonts w:ascii="Arial" w:hAnsi="Arial" w:cs="Arial"/>
        </w:rPr>
        <w:t xml:space="preserve"> across the NHS.</w:t>
      </w:r>
    </w:p>
    <w:p w14:paraId="34469C7A" w14:textId="77777777" w:rsidR="005C2787" w:rsidRPr="005C2787" w:rsidRDefault="005C2787" w:rsidP="00903725">
      <w:pPr>
        <w:spacing w:before="100" w:beforeAutospacing="1" w:after="100" w:afterAutospacing="1" w:line="360" w:lineRule="auto"/>
        <w:jc w:val="both"/>
        <w:outlineLvl w:val="1"/>
        <w:divId w:val="353507658"/>
        <w:rPr>
          <w:rFonts w:ascii="Arial" w:eastAsia="Times New Roman" w:hAnsi="Arial" w:cs="Arial"/>
          <w:kern w:val="0"/>
          <w:sz w:val="36"/>
          <w:szCs w:val="36"/>
          <w14:ligatures w14:val="none"/>
        </w:rPr>
      </w:pPr>
      <w:r w:rsidRPr="005C2787">
        <w:rPr>
          <w:rFonts w:ascii="Arial" w:eastAsia="Times New Roman" w:hAnsi="Arial" w:cs="Arial"/>
          <w:kern w:val="0"/>
          <w:sz w:val="36"/>
          <w:szCs w:val="36"/>
          <w14:ligatures w14:val="none"/>
        </w:rPr>
        <w:t>Patient and Service User</w:t>
      </w:r>
    </w:p>
    <w:p w14:paraId="2A580729" w14:textId="479E75A4" w:rsidR="00AE6DAE" w:rsidRPr="00AE6DAE" w:rsidRDefault="00AE6DAE" w:rsidP="00AE6DAE">
      <w:pPr>
        <w:pStyle w:val="p1"/>
        <w:spacing w:line="360" w:lineRule="auto"/>
        <w:jc w:val="both"/>
        <w:divId w:val="222715756"/>
        <w:rPr>
          <w:rFonts w:ascii="Arial" w:hAnsi="Arial" w:cs="Arial"/>
        </w:rPr>
      </w:pPr>
      <w:r w:rsidRPr="00AE6DAE">
        <w:rPr>
          <w:rFonts w:ascii="Arial" w:hAnsi="Arial" w:cs="Arial"/>
        </w:rPr>
        <w:t xml:space="preserve">Electronic Patient Records (EPRs) have changed the way patients engage with healthcare by improving access to personal health information and supporting person-centred care. Through digital platforms such as the NHS App, patients can access parts of their medical records, order repeat prescriptions and manage appointments, </w:t>
      </w:r>
      <w:r w:rsidRPr="00AE6DAE">
        <w:rPr>
          <w:rFonts w:ascii="Arial" w:hAnsi="Arial" w:cs="Arial"/>
        </w:rPr>
        <w:lastRenderedPageBreak/>
        <w:t>encouraging greater involvement in healthcare decisions (NHS England, 2024). Increased access to health information can improve patients’ understanding of their conditions and promote shared decision-making between patients and healthcare professionals (Zhao et al., 2019).</w:t>
      </w:r>
      <w:r w:rsidR="0002582D">
        <w:rPr>
          <w:rFonts w:ascii="Arial" w:hAnsi="Arial" w:cs="Arial"/>
        </w:rPr>
        <w:t xml:space="preserve"> </w:t>
      </w:r>
      <w:r w:rsidRPr="00AE6DAE">
        <w:rPr>
          <w:rFonts w:ascii="Arial" w:hAnsi="Arial" w:cs="Arial"/>
        </w:rPr>
        <w:t xml:space="preserve">EPRs also contribute to safer and more coordinated care by providing healthcare professionals with immediate access to </w:t>
      </w:r>
      <w:r w:rsidR="0002582D" w:rsidRPr="00AE6DAE">
        <w:rPr>
          <w:rFonts w:ascii="Arial" w:hAnsi="Arial" w:cs="Arial"/>
        </w:rPr>
        <w:t>correct</w:t>
      </w:r>
      <w:r w:rsidRPr="00AE6DAE">
        <w:rPr>
          <w:rFonts w:ascii="Arial" w:hAnsi="Arial" w:cs="Arial"/>
        </w:rPr>
        <w:t xml:space="preserve"> and up-to-date patient information. This reduces medication errors, prevents unnecessary duplication of </w:t>
      </w:r>
      <w:r w:rsidR="0002582D" w:rsidRPr="00AE6DAE">
        <w:rPr>
          <w:rFonts w:ascii="Arial" w:hAnsi="Arial" w:cs="Arial"/>
        </w:rPr>
        <w:t>investigations,</w:t>
      </w:r>
      <w:r w:rsidRPr="00AE6DAE">
        <w:rPr>
          <w:rFonts w:ascii="Arial" w:hAnsi="Arial" w:cs="Arial"/>
        </w:rPr>
        <w:t xml:space="preserve"> and improves continuity of care, particularly for patients with long-term conditions who receive treatment from multiple healthcare providers (Campanella et al., 2016; Kruse et al., 2018). Consequently, patients are more likely to experience efficient, </w:t>
      </w:r>
      <w:r w:rsidR="0002582D" w:rsidRPr="00AE6DAE">
        <w:rPr>
          <w:rFonts w:ascii="Arial" w:hAnsi="Arial" w:cs="Arial"/>
        </w:rPr>
        <w:t>consistent,</w:t>
      </w:r>
      <w:r w:rsidRPr="00AE6DAE">
        <w:rPr>
          <w:rFonts w:ascii="Arial" w:hAnsi="Arial" w:cs="Arial"/>
        </w:rPr>
        <w:t xml:space="preserve"> and person-centred healthcare.</w:t>
      </w:r>
    </w:p>
    <w:p w14:paraId="382E416B" w14:textId="6C07A021" w:rsidR="00AE6DAE" w:rsidRPr="00AE6DAE" w:rsidRDefault="00AE6DAE" w:rsidP="00AE6DAE">
      <w:pPr>
        <w:pStyle w:val="p1"/>
        <w:spacing w:line="360" w:lineRule="auto"/>
        <w:jc w:val="both"/>
        <w:divId w:val="222715756"/>
        <w:rPr>
          <w:rStyle w:val="s1"/>
          <w:rFonts w:ascii="Arial" w:hAnsi="Arial" w:cs="Arial"/>
        </w:rPr>
      </w:pPr>
      <w:r w:rsidRPr="00AE6DAE">
        <w:rPr>
          <w:rFonts w:ascii="Arial" w:hAnsi="Arial" w:cs="Arial"/>
        </w:rPr>
        <w:t xml:space="preserve">Despite these benefits, digital exclusion </w:t>
      </w:r>
      <w:r w:rsidR="004C27B2" w:rsidRPr="00AE6DAE">
        <w:rPr>
          <w:rFonts w:ascii="Arial" w:hAnsi="Arial" w:cs="Arial"/>
        </w:rPr>
        <w:t>stays</w:t>
      </w:r>
      <w:r w:rsidRPr="00AE6DAE">
        <w:rPr>
          <w:rFonts w:ascii="Arial" w:hAnsi="Arial" w:cs="Arial"/>
        </w:rPr>
        <w:t xml:space="preserve"> a significant challenge. Not all patients have the digital skills, internet access or confidence </w:t>
      </w:r>
      <w:r w:rsidR="004C27B2" w:rsidRPr="00AE6DAE">
        <w:rPr>
          <w:rFonts w:ascii="Arial" w:hAnsi="Arial" w:cs="Arial"/>
        </w:rPr>
        <w:t>needed</w:t>
      </w:r>
      <w:r w:rsidRPr="00AE6DAE">
        <w:rPr>
          <w:rFonts w:ascii="Arial" w:hAnsi="Arial" w:cs="Arial"/>
        </w:rPr>
        <w:t xml:space="preserve"> to use online healthcare services effectively. Older adults, people with disabilities and individuals from disadvantaged communities may experience greater barriers to accessing digital healthcare, increasing the risk of health inequalities (NHS England, 2023; Nuffield Trust, 2023). For this reason, healthcare organisations should continue to </w:t>
      </w:r>
      <w:r w:rsidR="004C27B2" w:rsidRPr="00AE6DAE">
        <w:rPr>
          <w:rFonts w:ascii="Arial" w:hAnsi="Arial" w:cs="Arial"/>
        </w:rPr>
        <w:t>give alternative ways for patients</w:t>
      </w:r>
      <w:r w:rsidRPr="00AE6DAE">
        <w:rPr>
          <w:rFonts w:ascii="Arial" w:hAnsi="Arial" w:cs="Arial"/>
        </w:rPr>
        <w:t xml:space="preserve"> to access services to ensure </w:t>
      </w:r>
      <w:r w:rsidR="004C27B2" w:rsidRPr="00AE6DAE">
        <w:rPr>
          <w:rFonts w:ascii="Arial" w:hAnsi="Arial" w:cs="Arial"/>
        </w:rPr>
        <w:t>fair</w:t>
      </w:r>
      <w:r w:rsidRPr="00AE6DAE">
        <w:rPr>
          <w:rFonts w:ascii="Arial" w:hAnsi="Arial" w:cs="Arial"/>
        </w:rPr>
        <w:t xml:space="preserve"> care.</w:t>
      </w:r>
      <w:r w:rsidR="0002582D">
        <w:rPr>
          <w:rFonts w:ascii="Arial" w:hAnsi="Arial" w:cs="Arial"/>
        </w:rPr>
        <w:t xml:space="preserve"> </w:t>
      </w:r>
      <w:r w:rsidRPr="00AE6DAE">
        <w:rPr>
          <w:rFonts w:ascii="Arial" w:hAnsi="Arial" w:cs="Arial"/>
        </w:rPr>
        <w:t xml:space="preserve">Patient confidentiality and information security are also important considerations. As EPRs </w:t>
      </w:r>
      <w:r w:rsidR="004C27B2" w:rsidRPr="00AE6DAE">
        <w:rPr>
          <w:rFonts w:ascii="Arial" w:hAnsi="Arial" w:cs="Arial"/>
        </w:rPr>
        <w:t>hold</w:t>
      </w:r>
      <w:r w:rsidRPr="00AE6DAE">
        <w:rPr>
          <w:rFonts w:ascii="Arial" w:hAnsi="Arial" w:cs="Arial"/>
        </w:rPr>
        <w:t xml:space="preserve"> sensitive personal information, healthcare organisations have a legal and ethical responsibility to protect patient data from unauthorised access or cyber threats. Compliance with the </w:t>
      </w:r>
      <w:r w:rsidRPr="00AE6DAE">
        <w:rPr>
          <w:rStyle w:val="s2"/>
          <w:rFonts w:ascii="Arial" w:hAnsi="Arial" w:cs="Arial"/>
        </w:rPr>
        <w:t>Data Protection Act 2018</w:t>
      </w:r>
      <w:r w:rsidRPr="00AE6DAE">
        <w:rPr>
          <w:rStyle w:val="s1"/>
          <w:rFonts w:ascii="Arial" w:hAnsi="Arial" w:cs="Arial"/>
        </w:rPr>
        <w:t xml:space="preserve"> and the </w:t>
      </w:r>
      <w:r w:rsidRPr="00AE6DAE">
        <w:rPr>
          <w:rStyle w:val="s2"/>
          <w:rFonts w:ascii="Arial" w:hAnsi="Arial" w:cs="Arial"/>
        </w:rPr>
        <w:t>UK General Data Protection Regulation (UK GDPR)</w:t>
      </w:r>
      <w:r w:rsidRPr="00AE6DAE">
        <w:rPr>
          <w:rStyle w:val="s1"/>
          <w:rFonts w:ascii="Arial" w:hAnsi="Arial" w:cs="Arial"/>
        </w:rPr>
        <w:t xml:space="preserve"> is essential to </w:t>
      </w:r>
      <w:r w:rsidR="004C27B2" w:rsidRPr="00AE6DAE">
        <w:rPr>
          <w:rStyle w:val="s1"/>
          <w:rFonts w:ascii="Arial" w:hAnsi="Arial" w:cs="Arial"/>
        </w:rPr>
        <w:t>keep</w:t>
      </w:r>
      <w:r w:rsidRPr="00AE6DAE">
        <w:rPr>
          <w:rStyle w:val="s1"/>
          <w:rFonts w:ascii="Arial" w:hAnsi="Arial" w:cs="Arial"/>
        </w:rPr>
        <w:t xml:space="preserve"> patient trust and ensure that personal information </w:t>
      </w:r>
      <w:bookmarkStart w:id="5" w:name="_Int_YsHApE2W"/>
      <w:r w:rsidRPr="00AE6DAE">
        <w:rPr>
          <w:rStyle w:val="s1"/>
          <w:rFonts w:ascii="Arial" w:hAnsi="Arial" w:cs="Arial"/>
        </w:rPr>
        <w:t>is managed</w:t>
      </w:r>
      <w:bookmarkEnd w:id="5"/>
      <w:r w:rsidRPr="00AE6DAE">
        <w:rPr>
          <w:rStyle w:val="s1"/>
          <w:rFonts w:ascii="Arial" w:hAnsi="Arial" w:cs="Arial"/>
        </w:rPr>
        <w:t xml:space="preserve"> securely.</w:t>
      </w:r>
    </w:p>
    <w:p w14:paraId="13D05B3A" w14:textId="77777777" w:rsidR="00F57744" w:rsidRPr="00F57744" w:rsidRDefault="00F57744" w:rsidP="00903725">
      <w:pPr>
        <w:spacing w:before="100" w:beforeAutospacing="1" w:after="100" w:afterAutospacing="1" w:line="360" w:lineRule="auto"/>
        <w:jc w:val="both"/>
        <w:outlineLvl w:val="1"/>
        <w:divId w:val="1044410112"/>
        <w:rPr>
          <w:rFonts w:ascii="Arial" w:eastAsia="Times New Roman" w:hAnsi="Arial" w:cs="Arial"/>
          <w:kern w:val="0"/>
          <w:sz w:val="36"/>
          <w:szCs w:val="36"/>
          <w14:ligatures w14:val="none"/>
        </w:rPr>
      </w:pPr>
      <w:r w:rsidRPr="00F57744">
        <w:rPr>
          <w:rFonts w:ascii="Arial" w:eastAsia="Times New Roman" w:hAnsi="Arial" w:cs="Arial"/>
          <w:kern w:val="0"/>
          <w:sz w:val="36"/>
          <w:szCs w:val="36"/>
          <w14:ligatures w14:val="none"/>
        </w:rPr>
        <w:t>Community</w:t>
      </w:r>
    </w:p>
    <w:p w14:paraId="54D166CA" w14:textId="223CCBAB" w:rsidR="00344DFB" w:rsidRPr="00344DFB" w:rsidRDefault="00344DFB" w:rsidP="00307C67">
      <w:pPr>
        <w:pStyle w:val="p1"/>
        <w:spacing w:line="360" w:lineRule="auto"/>
        <w:jc w:val="both"/>
        <w:divId w:val="580985947"/>
        <w:rPr>
          <w:rFonts w:ascii="Arial" w:hAnsi="Arial" w:cs="Arial"/>
        </w:rPr>
      </w:pPr>
      <w:r w:rsidRPr="00344DFB">
        <w:rPr>
          <w:rFonts w:ascii="Arial" w:hAnsi="Arial" w:cs="Arial"/>
        </w:rPr>
        <w:t>Electronic Patient Records (EPRs) have had a positive impact on communities by improving collaboration between healthcare organisations and supporting integrated care.</w:t>
      </w:r>
      <w:r w:rsidRPr="00307C67">
        <w:rPr>
          <w:rFonts w:ascii="Arial" w:hAnsi="Arial" w:cs="Arial"/>
        </w:rPr>
        <w:t xml:space="preserve"> </w:t>
      </w:r>
      <w:r w:rsidR="00400F03" w:rsidRPr="00307C67">
        <w:rPr>
          <w:rFonts w:ascii="Arial" w:hAnsi="Arial" w:cs="Arial"/>
        </w:rPr>
        <w:t xml:space="preserve">By providing authorised healthcare professionals with secure access to shared patient information, Electronic Patient Records strengthen communication across hospitals, GP practices, and community healthcare services. This enables healthcare teams to work together more effectively, supporting better continuity and coordination of care throughout a patient’s treatment journey (The King’s Fund, 2022). Such an </w:t>
      </w:r>
      <w:r w:rsidR="00400F03" w:rsidRPr="00307C67">
        <w:rPr>
          <w:rFonts w:ascii="Arial" w:hAnsi="Arial" w:cs="Arial"/>
        </w:rPr>
        <w:lastRenderedPageBreak/>
        <w:t>approach is particularly valuable for people living with long-term health conditions who often receive care from several different healthcare professionals and services.</w:t>
      </w:r>
      <w:r w:rsidR="00307C67">
        <w:rPr>
          <w:rFonts w:ascii="Arial" w:hAnsi="Arial" w:cs="Arial"/>
        </w:rPr>
        <w:t xml:space="preserve"> </w:t>
      </w:r>
      <w:r w:rsidRPr="00344DFB">
        <w:rPr>
          <w:rFonts w:ascii="Arial" w:hAnsi="Arial" w:cs="Arial"/>
        </w:rPr>
        <w:t xml:space="preserve">EPRs also contribute to population health management by enabling healthcare organisations to analyse anonymised patient data to </w:t>
      </w:r>
      <w:r w:rsidR="004C27B2" w:rsidRPr="00344DFB">
        <w:rPr>
          <w:rFonts w:ascii="Arial" w:hAnsi="Arial" w:cs="Arial"/>
        </w:rPr>
        <w:t>show</w:t>
      </w:r>
      <w:r w:rsidRPr="00344DFB">
        <w:rPr>
          <w:rFonts w:ascii="Arial" w:hAnsi="Arial" w:cs="Arial"/>
        </w:rPr>
        <w:t xml:space="preserve"> disease trends, </w:t>
      </w:r>
      <w:r w:rsidR="004C27B2" w:rsidRPr="00344DFB">
        <w:rPr>
          <w:rFonts w:ascii="Arial" w:hAnsi="Arial" w:cs="Arial"/>
        </w:rPr>
        <w:t>watch</w:t>
      </w:r>
      <w:r w:rsidRPr="00344DFB">
        <w:rPr>
          <w:rFonts w:ascii="Arial" w:hAnsi="Arial" w:cs="Arial"/>
        </w:rPr>
        <w:t xml:space="preserve"> service demand and support public health planning (Kruse et al., 2018). These data can help healthcare providers </w:t>
      </w:r>
      <w:r w:rsidR="004C27B2" w:rsidRPr="00344DFB">
        <w:rPr>
          <w:rFonts w:ascii="Arial" w:hAnsi="Arial" w:cs="Arial"/>
        </w:rPr>
        <w:t>give</w:t>
      </w:r>
      <w:r w:rsidRPr="00344DFB">
        <w:rPr>
          <w:rFonts w:ascii="Arial" w:hAnsi="Arial" w:cs="Arial"/>
        </w:rPr>
        <w:t xml:space="preserve"> resources more effectively, </w:t>
      </w:r>
      <w:r w:rsidR="004C27B2" w:rsidRPr="00344DFB">
        <w:rPr>
          <w:rFonts w:ascii="Arial" w:hAnsi="Arial" w:cs="Arial"/>
        </w:rPr>
        <w:t>find</w:t>
      </w:r>
      <w:r w:rsidRPr="00344DFB">
        <w:rPr>
          <w:rFonts w:ascii="Arial" w:hAnsi="Arial" w:cs="Arial"/>
        </w:rPr>
        <w:t xml:space="preserve"> at-risk populations and develop targeted health interventions to improve community health outcomes.</w:t>
      </w:r>
    </w:p>
    <w:p w14:paraId="00613EAF" w14:textId="073B8744" w:rsidR="00344DFB" w:rsidRPr="00344DFB" w:rsidRDefault="00344DFB" w:rsidP="00344DFB">
      <w:pPr>
        <w:pStyle w:val="p1"/>
        <w:spacing w:line="360" w:lineRule="auto"/>
        <w:jc w:val="both"/>
        <w:divId w:val="1300646158"/>
        <w:rPr>
          <w:rFonts w:ascii="Arial" w:hAnsi="Arial" w:cs="Arial"/>
        </w:rPr>
      </w:pPr>
      <w:r w:rsidRPr="00344DFB">
        <w:rPr>
          <w:rFonts w:ascii="Arial" w:hAnsi="Arial" w:cs="Arial"/>
        </w:rPr>
        <w:t xml:space="preserve">However, the benefits of EPRs </w:t>
      </w:r>
      <w:bookmarkStart w:id="6" w:name="_Int_L3IzyiCB"/>
      <w:r w:rsidRPr="00344DFB">
        <w:rPr>
          <w:rFonts w:ascii="Arial" w:hAnsi="Arial" w:cs="Arial"/>
        </w:rPr>
        <w:t>are not experienced</w:t>
      </w:r>
      <w:bookmarkEnd w:id="6"/>
      <w:r w:rsidRPr="00344DFB">
        <w:rPr>
          <w:rFonts w:ascii="Arial" w:hAnsi="Arial" w:cs="Arial"/>
        </w:rPr>
        <w:t xml:space="preserve"> equally across all communities. Limited interoperability between digital systems can restrict the sharing of patient information, reducing the effectiveness of integrated care (Li et al., 2022). In addition, digital exclusion </w:t>
      </w:r>
      <w:bookmarkStart w:id="7" w:name="_Int_gtHvNgZT"/>
      <w:r w:rsidRPr="00344DFB">
        <w:rPr>
          <w:rFonts w:ascii="Arial" w:hAnsi="Arial" w:cs="Arial"/>
        </w:rPr>
        <w:t>remains</w:t>
      </w:r>
      <w:bookmarkEnd w:id="7"/>
      <w:r w:rsidRPr="00344DFB">
        <w:rPr>
          <w:rFonts w:ascii="Arial" w:hAnsi="Arial" w:cs="Arial"/>
        </w:rPr>
        <w:t xml:space="preserve"> a challenge for people who have limited internet access, low digital </w:t>
      </w:r>
      <w:r w:rsidR="004C27B2" w:rsidRPr="00344DFB">
        <w:rPr>
          <w:rFonts w:ascii="Arial" w:hAnsi="Arial" w:cs="Arial"/>
        </w:rPr>
        <w:t>literacy,</w:t>
      </w:r>
      <w:r w:rsidRPr="00344DFB">
        <w:rPr>
          <w:rFonts w:ascii="Arial" w:hAnsi="Arial" w:cs="Arial"/>
        </w:rPr>
        <w:t xml:space="preserve"> or disabilities, potentially widening existing health inequalities (NHS England, 2023). To address these challenges, healthcare organisations should ensure that digital services are accessible while continuing to provide alternative methods of accessing healthcare.</w:t>
      </w:r>
    </w:p>
    <w:p w14:paraId="42A3FD02" w14:textId="77777777" w:rsidR="00083245" w:rsidRPr="00083245" w:rsidRDefault="00083245" w:rsidP="00903725">
      <w:pPr>
        <w:spacing w:before="100" w:beforeAutospacing="1" w:after="100" w:afterAutospacing="1" w:line="360" w:lineRule="auto"/>
        <w:jc w:val="both"/>
        <w:outlineLvl w:val="1"/>
        <w:divId w:val="624434999"/>
        <w:rPr>
          <w:rFonts w:ascii="Arial" w:eastAsia="Times New Roman" w:hAnsi="Arial" w:cs="Arial"/>
          <w:kern w:val="0"/>
          <w:sz w:val="36"/>
          <w:szCs w:val="36"/>
          <w14:ligatures w14:val="none"/>
        </w:rPr>
      </w:pPr>
      <w:r w:rsidRPr="00083245">
        <w:rPr>
          <w:rFonts w:ascii="Arial" w:eastAsia="Times New Roman" w:hAnsi="Arial" w:cs="Arial"/>
          <w:kern w:val="0"/>
          <w:sz w:val="36"/>
          <w:szCs w:val="36"/>
          <w14:ligatures w14:val="none"/>
        </w:rPr>
        <w:t>Conclusion</w:t>
      </w:r>
    </w:p>
    <w:p w14:paraId="284E8D8F" w14:textId="664BF227" w:rsidR="00877331" w:rsidRPr="00877331" w:rsidRDefault="00877331" w:rsidP="00877331">
      <w:pPr>
        <w:spacing w:before="100" w:beforeAutospacing="1" w:after="100" w:afterAutospacing="1" w:line="360" w:lineRule="auto"/>
        <w:jc w:val="both"/>
        <w:divId w:val="1616862787"/>
        <w:rPr>
          <w:rFonts w:ascii="Arial" w:hAnsi="Arial" w:cs="Arial"/>
          <w:kern w:val="0"/>
          <w14:ligatures w14:val="none"/>
        </w:rPr>
      </w:pPr>
      <w:r w:rsidRPr="00877331">
        <w:rPr>
          <w:rFonts w:ascii="Arial" w:hAnsi="Arial" w:cs="Arial"/>
          <w:kern w:val="0"/>
          <w14:ligatures w14:val="none"/>
        </w:rPr>
        <w:t>Electronic Patient Records (EPRs) have become a key part of the NHS’s digital transformation, improving communication, patient safety, and access to correct clinical information. This report has shown that EPRs support more efficient service delivery, strengthen multidisciplinary working and encourage greater patient involvement in healthcare. However, challenges such as digital exclusion, interoperability issues, cybersecurity risks, and the need for ongoing workforce training continue to affect their successful implementation. In conclusion, although EPRs have significantly improved the quality and coordination of healthcare, continued investment in secure digital infrastructure, staff development and fair access is essential to maximise their long-term benefits across the NHS.</w:t>
      </w:r>
    </w:p>
    <w:p w14:paraId="68997EB0" w14:textId="0FEFC9DF" w:rsidR="00877331" w:rsidRPr="00877331" w:rsidRDefault="00877331" w:rsidP="00877331">
      <w:pPr>
        <w:spacing w:after="0" w:line="240" w:lineRule="auto"/>
        <w:divId w:val="1616862787"/>
        <w:rPr>
          <w:rFonts w:ascii="Times New Roman" w:eastAsia="Times New Roman" w:hAnsi="Times New Roman" w:cs="Times New Roman"/>
          <w:kern w:val="0"/>
          <w14:ligatures w14:val="none"/>
        </w:rPr>
      </w:pPr>
    </w:p>
    <w:p w14:paraId="67924833" w14:textId="62E4716C" w:rsidR="00591E48" w:rsidRPr="00AF54CE" w:rsidRDefault="007C2A68" w:rsidP="00AF54CE">
      <w:pPr>
        <w:rPr>
          <w:rFonts w:ascii="Arial" w:hAnsi="Arial" w:cs="Arial"/>
          <w:b/>
          <w:bCs/>
        </w:rPr>
      </w:pPr>
      <w:r w:rsidRPr="007C7F81">
        <w:rPr>
          <w:rFonts w:ascii="Arial" w:hAnsi="Arial" w:cs="Arial"/>
          <w:b/>
          <w:bCs/>
        </w:rPr>
        <w:t xml:space="preserve">Reference </w:t>
      </w:r>
    </w:p>
    <w:p w14:paraId="4BBE6487" w14:textId="77777777" w:rsidR="004C27B2" w:rsidRDefault="004C27B2">
      <w:pPr>
        <w:pStyle w:val="p1"/>
        <w:divId w:val="1486314318"/>
        <w:rPr>
          <w:rStyle w:val="s1"/>
        </w:rPr>
      </w:pPr>
      <w:proofErr w:type="spellStart"/>
      <w:r>
        <w:t>Alobayli</w:t>
      </w:r>
      <w:proofErr w:type="spellEnd"/>
      <w:r>
        <w:t xml:space="preserve">, H., </w:t>
      </w:r>
      <w:proofErr w:type="spellStart"/>
      <w:r>
        <w:t>Alyami</w:t>
      </w:r>
      <w:proofErr w:type="spellEnd"/>
      <w:r>
        <w:t xml:space="preserve">, H., </w:t>
      </w:r>
      <w:proofErr w:type="spellStart"/>
      <w:r>
        <w:t>Alghamdi</w:t>
      </w:r>
      <w:proofErr w:type="spellEnd"/>
      <w:r>
        <w:t xml:space="preserve">, S. and </w:t>
      </w:r>
      <w:proofErr w:type="spellStart"/>
      <w:r>
        <w:t>Alqahtani</w:t>
      </w:r>
      <w:proofErr w:type="spellEnd"/>
      <w:r>
        <w:t xml:space="preserve">, N. (2023) ‘Electronic health record usability and clinician burnout: A systematic review’, </w:t>
      </w:r>
      <w:r>
        <w:rPr>
          <w:rStyle w:val="s2"/>
          <w:i/>
          <w:iCs/>
        </w:rPr>
        <w:t>Healthcare</w:t>
      </w:r>
      <w:r>
        <w:rPr>
          <w:rStyle w:val="s1"/>
        </w:rPr>
        <w:t>, 11(24), pp. 1–18.</w:t>
      </w:r>
    </w:p>
    <w:p w14:paraId="62236762" w14:textId="77777777" w:rsidR="004C27B2" w:rsidRDefault="004C27B2">
      <w:pPr>
        <w:pStyle w:val="p1"/>
        <w:divId w:val="1486314318"/>
        <w:rPr>
          <w:rStyle w:val="s1"/>
        </w:rPr>
      </w:pPr>
      <w:r>
        <w:lastRenderedPageBreak/>
        <w:t xml:space="preserve">Campanella, P., Lovato, E., </w:t>
      </w:r>
      <w:proofErr w:type="spellStart"/>
      <w:r>
        <w:t>Marone</w:t>
      </w:r>
      <w:proofErr w:type="spellEnd"/>
      <w:r>
        <w:t xml:space="preserve">, C., </w:t>
      </w:r>
      <w:proofErr w:type="spellStart"/>
      <w:r>
        <w:t>Fallacara</w:t>
      </w:r>
      <w:proofErr w:type="spellEnd"/>
      <w:r>
        <w:t xml:space="preserve">, L., Mancuso, A., </w:t>
      </w:r>
      <w:proofErr w:type="spellStart"/>
      <w:r>
        <w:t>Ricciardi</w:t>
      </w:r>
      <w:proofErr w:type="spellEnd"/>
      <w:r>
        <w:t xml:space="preserve">, W. and </w:t>
      </w:r>
      <w:proofErr w:type="spellStart"/>
      <w:r>
        <w:t>Specchia</w:t>
      </w:r>
      <w:proofErr w:type="spellEnd"/>
      <w:r>
        <w:t xml:space="preserve">, M.L. (2016) ‘The impact of electronic health records on healthcare quality: A systematic review and meta-analysis’, </w:t>
      </w:r>
      <w:r>
        <w:rPr>
          <w:rStyle w:val="s2"/>
          <w:i/>
          <w:iCs/>
        </w:rPr>
        <w:t>European Journal of Public Health</w:t>
      </w:r>
      <w:r>
        <w:rPr>
          <w:rStyle w:val="s1"/>
        </w:rPr>
        <w:t>, 26(1), pp. 60–64.</w:t>
      </w:r>
    </w:p>
    <w:p w14:paraId="0341FA5D" w14:textId="562F87A6" w:rsidR="004C27B2" w:rsidRDefault="004C27B2">
      <w:pPr>
        <w:pStyle w:val="p1"/>
        <w:divId w:val="1486314318"/>
        <w:rPr>
          <w:rStyle w:val="s1"/>
        </w:rPr>
      </w:pPr>
      <w:r>
        <w:t xml:space="preserve">Data Protection Act 2018 (2018) </w:t>
      </w:r>
      <w:r>
        <w:rPr>
          <w:rStyle w:val="s2"/>
          <w:i/>
          <w:iCs/>
        </w:rPr>
        <w:t>Data Protection Act 2018</w:t>
      </w:r>
      <w:r>
        <w:rPr>
          <w:rStyle w:val="s1"/>
        </w:rPr>
        <w:t>. Available at:</w:t>
      </w:r>
      <w:r>
        <w:rPr>
          <w:rStyle w:val="apple-converted-space"/>
        </w:rPr>
        <w:t xml:space="preserve">  </w:t>
      </w:r>
      <w:r>
        <w:rPr>
          <w:rStyle w:val="s2"/>
        </w:rPr>
        <w:t>⁠</w:t>
      </w:r>
      <w:hyperlink r:id="rId7" w:history="1">
        <w:r w:rsidRPr="004C27B2">
          <w:rPr>
            <w:rStyle w:val="Hyperlink"/>
          </w:rPr>
          <w:t>https://www.legislation.gov.uk/ukpga/2018/12/contents</w:t>
        </w:r>
      </w:hyperlink>
      <w:r>
        <w:rPr>
          <w:rStyle w:val="s1"/>
        </w:rPr>
        <w:t xml:space="preserve"> (Accessed: 06 July 2026).</w:t>
      </w:r>
    </w:p>
    <w:p w14:paraId="152E7A82" w14:textId="77777777" w:rsidR="004C27B2" w:rsidRDefault="004C27B2">
      <w:pPr>
        <w:pStyle w:val="p1"/>
        <w:divId w:val="1486314318"/>
        <w:rPr>
          <w:rStyle w:val="s1"/>
        </w:rPr>
      </w:pPr>
      <w:proofErr w:type="spellStart"/>
      <w:r>
        <w:t>Fennelly</w:t>
      </w:r>
      <w:proofErr w:type="spellEnd"/>
      <w:r>
        <w:t xml:space="preserve">, O., Cunningham, C., </w:t>
      </w:r>
      <w:proofErr w:type="spellStart"/>
      <w:r>
        <w:t>Grogan</w:t>
      </w:r>
      <w:proofErr w:type="spellEnd"/>
      <w:r>
        <w:t xml:space="preserve">, L., Cronin, H., O’Shea, C., Roche, M., </w:t>
      </w:r>
      <w:proofErr w:type="spellStart"/>
      <w:r>
        <w:t>Lawlor</w:t>
      </w:r>
      <w:proofErr w:type="spellEnd"/>
      <w:r>
        <w:t xml:space="preserve">, F. and O’Hare, N. (2020) ‘Successfully implementing a national electronic health record: A rapid umbrella review’, </w:t>
      </w:r>
      <w:r>
        <w:rPr>
          <w:rStyle w:val="s2"/>
          <w:i/>
          <w:iCs/>
        </w:rPr>
        <w:t>International Journal of Medical Informatics</w:t>
      </w:r>
      <w:r>
        <w:rPr>
          <w:rStyle w:val="s1"/>
        </w:rPr>
        <w:t xml:space="preserve">, 144, 104281. </w:t>
      </w:r>
      <w:r>
        <w:rPr>
          <w:rStyle w:val="apple-converted-space"/>
        </w:rPr>
        <w:t> </w:t>
      </w:r>
    </w:p>
    <w:p w14:paraId="331E93F6" w14:textId="77777777" w:rsidR="004C27B2" w:rsidRDefault="004C27B2">
      <w:pPr>
        <w:pStyle w:val="p1"/>
        <w:divId w:val="1486314318"/>
        <w:rPr>
          <w:rStyle w:val="s1"/>
        </w:rPr>
      </w:pPr>
      <w:r>
        <w:t xml:space="preserve">Kruse, C.S., Stein, A., Thomas, H. and Kaur, H. (2018) ‘The use of electronic health records to support population health: A systematic review of the literature’, </w:t>
      </w:r>
      <w:r>
        <w:rPr>
          <w:rStyle w:val="s2"/>
          <w:i/>
          <w:iCs/>
        </w:rPr>
        <w:t>Journal of Medical Systems</w:t>
      </w:r>
      <w:r>
        <w:rPr>
          <w:rStyle w:val="s1"/>
        </w:rPr>
        <w:t>, 42(11), Article 214.</w:t>
      </w:r>
    </w:p>
    <w:p w14:paraId="371F20D4" w14:textId="77777777" w:rsidR="004C27B2" w:rsidRDefault="004C27B2">
      <w:pPr>
        <w:pStyle w:val="p1"/>
        <w:divId w:val="1486314318"/>
        <w:rPr>
          <w:rStyle w:val="s1"/>
        </w:rPr>
      </w:pPr>
      <w:r>
        <w:t xml:space="preserve">Li, E., Clarke, J., </w:t>
      </w:r>
      <w:proofErr w:type="spellStart"/>
      <w:r>
        <w:t>Ashrafian</w:t>
      </w:r>
      <w:proofErr w:type="spellEnd"/>
      <w:r>
        <w:t xml:space="preserve">, H., </w:t>
      </w:r>
      <w:proofErr w:type="spellStart"/>
      <w:r>
        <w:t>Darzi</w:t>
      </w:r>
      <w:proofErr w:type="spellEnd"/>
      <w:r>
        <w:t xml:space="preserve">, A. and Neves, A.L. (2022) ‘The impact of electronic health record interoperability on safety and quality of care in high-income countries: A systematic review’, </w:t>
      </w:r>
      <w:r>
        <w:rPr>
          <w:rStyle w:val="s2"/>
          <w:i/>
          <w:iCs/>
        </w:rPr>
        <w:t>Journal of Medical Internet Research</w:t>
      </w:r>
      <w:r>
        <w:rPr>
          <w:rStyle w:val="s1"/>
        </w:rPr>
        <w:t xml:space="preserve">, 24(9), e38144. </w:t>
      </w:r>
      <w:r>
        <w:rPr>
          <w:rStyle w:val="apple-converted-space"/>
        </w:rPr>
        <w:t> </w:t>
      </w:r>
    </w:p>
    <w:p w14:paraId="403B4466" w14:textId="6FF3EB3A" w:rsidR="004C27B2" w:rsidRDefault="004C27B2">
      <w:pPr>
        <w:pStyle w:val="p1"/>
        <w:divId w:val="1486314318"/>
        <w:rPr>
          <w:rStyle w:val="s1"/>
        </w:rPr>
      </w:pPr>
      <w:r>
        <w:t xml:space="preserve">National Audit Office (2018) </w:t>
      </w:r>
      <w:r>
        <w:rPr>
          <w:rStyle w:val="s2"/>
          <w:i/>
          <w:iCs/>
        </w:rPr>
        <w:t>Investigation: WannaCry cyber attack and the NHS</w:t>
      </w:r>
      <w:r>
        <w:rPr>
          <w:rStyle w:val="s1"/>
        </w:rPr>
        <w:t>. Available at:</w:t>
      </w:r>
      <w:r>
        <w:rPr>
          <w:rStyle w:val="apple-converted-space"/>
        </w:rPr>
        <w:t xml:space="preserve">  </w:t>
      </w:r>
      <w:r>
        <w:rPr>
          <w:rStyle w:val="s2"/>
        </w:rPr>
        <w:t>⁠</w:t>
      </w:r>
      <w:hyperlink r:id="rId8" w:history="1">
        <w:r w:rsidRPr="004C27B2">
          <w:rPr>
            <w:rStyle w:val="Hyperlink"/>
          </w:rPr>
          <w:t>https://www.nao.org.uk/reports/investigation-wannacry-cyber-attack-and-the-nhs/</w:t>
        </w:r>
      </w:hyperlink>
      <w:r>
        <w:rPr>
          <w:rStyle w:val="s1"/>
        </w:rPr>
        <w:t xml:space="preserve"> (Accessed: 11 July 2026).</w:t>
      </w:r>
    </w:p>
    <w:p w14:paraId="3CBBDFA9" w14:textId="511FBE73" w:rsidR="004C27B2" w:rsidRDefault="004C27B2">
      <w:pPr>
        <w:pStyle w:val="p1"/>
        <w:divId w:val="1486314318"/>
        <w:rPr>
          <w:rStyle w:val="s1"/>
        </w:rPr>
      </w:pPr>
      <w:r>
        <w:t xml:space="preserve">National Audit Office (2020) </w:t>
      </w:r>
      <w:r>
        <w:rPr>
          <w:rStyle w:val="s2"/>
          <w:i/>
          <w:iCs/>
        </w:rPr>
        <w:t>Digital transformation in the NHS</w:t>
      </w:r>
      <w:r>
        <w:rPr>
          <w:rStyle w:val="s1"/>
        </w:rPr>
        <w:t>. Available at:</w:t>
      </w:r>
      <w:r>
        <w:rPr>
          <w:rStyle w:val="apple-converted-space"/>
        </w:rPr>
        <w:t xml:space="preserve">  </w:t>
      </w:r>
      <w:r>
        <w:rPr>
          <w:rStyle w:val="s2"/>
        </w:rPr>
        <w:t>⁠</w:t>
      </w:r>
      <w:hyperlink r:id="rId9" w:history="1">
        <w:r w:rsidRPr="004C27B2">
          <w:rPr>
            <w:rStyle w:val="Hyperlink"/>
          </w:rPr>
          <w:t>https://www.nao.org.uk/reports/digital-transformation-in-the-nhs/</w:t>
        </w:r>
      </w:hyperlink>
      <w:r>
        <w:rPr>
          <w:rStyle w:val="s1"/>
        </w:rPr>
        <w:t xml:space="preserve"> (Accessed: 08  July 2026).</w:t>
      </w:r>
    </w:p>
    <w:p w14:paraId="0E8031BC" w14:textId="63075E45" w:rsidR="004C27B2" w:rsidRDefault="004C27B2">
      <w:pPr>
        <w:pStyle w:val="p1"/>
        <w:divId w:val="1486314318"/>
        <w:rPr>
          <w:rStyle w:val="s1"/>
        </w:rPr>
      </w:pPr>
      <w:r>
        <w:t xml:space="preserve">NHS England (2019) </w:t>
      </w:r>
      <w:r>
        <w:rPr>
          <w:rStyle w:val="s2"/>
          <w:i/>
          <w:iCs/>
        </w:rPr>
        <w:t>The NHS Long Term Plan</w:t>
      </w:r>
      <w:r>
        <w:rPr>
          <w:rStyle w:val="s1"/>
        </w:rPr>
        <w:t>. Available at:</w:t>
      </w:r>
      <w:r>
        <w:rPr>
          <w:rStyle w:val="apple-converted-space"/>
        </w:rPr>
        <w:t xml:space="preserve">  </w:t>
      </w:r>
      <w:r>
        <w:rPr>
          <w:rStyle w:val="s2"/>
        </w:rPr>
        <w:t>⁠</w:t>
      </w:r>
      <w:hyperlink r:id="rId10" w:history="1">
        <w:r w:rsidRPr="004C27B2">
          <w:rPr>
            <w:rStyle w:val="Hyperlink"/>
          </w:rPr>
          <w:t>https://www.longtermplan.nhs.uk/</w:t>
        </w:r>
      </w:hyperlink>
      <w:r>
        <w:rPr>
          <w:rStyle w:val="s1"/>
        </w:rPr>
        <w:t xml:space="preserve"> (Accessed: 11 July 2026).</w:t>
      </w:r>
    </w:p>
    <w:p w14:paraId="6700BCE1" w14:textId="578DA049" w:rsidR="004C27B2" w:rsidRDefault="004C27B2">
      <w:pPr>
        <w:pStyle w:val="p1"/>
        <w:divId w:val="1486314318"/>
        <w:rPr>
          <w:rStyle w:val="s1"/>
        </w:rPr>
      </w:pPr>
      <w:r>
        <w:t xml:space="preserve">NHS England (2023) </w:t>
      </w:r>
      <w:r>
        <w:rPr>
          <w:rStyle w:val="s2"/>
          <w:i/>
          <w:iCs/>
        </w:rPr>
        <w:t>Inclusive digital healthcare: A framework for NHS action on digital inclusion</w:t>
      </w:r>
      <w:r>
        <w:rPr>
          <w:rStyle w:val="s1"/>
        </w:rPr>
        <w:t>. Available at:</w:t>
      </w:r>
      <w:r>
        <w:rPr>
          <w:rStyle w:val="apple-converted-space"/>
        </w:rPr>
        <w:t xml:space="preserve">  </w:t>
      </w:r>
      <w:r>
        <w:rPr>
          <w:rStyle w:val="s2"/>
        </w:rPr>
        <w:t>⁠</w:t>
      </w:r>
      <w:hyperlink r:id="rId11" w:history="1">
        <w:r w:rsidRPr="004C27B2">
          <w:rPr>
            <w:rStyle w:val="Hyperlink"/>
          </w:rPr>
          <w:t>https://www.england.nhs.uk/long-read/inclusive-digital-healthcare-a-framework-for-nhs-action-on-digital-inclusion/</w:t>
        </w:r>
      </w:hyperlink>
      <w:r>
        <w:rPr>
          <w:rStyle w:val="s1"/>
        </w:rPr>
        <w:t xml:space="preserve"> (Accessed: 10 July 2026).</w:t>
      </w:r>
    </w:p>
    <w:p w14:paraId="225AFDCC" w14:textId="35CB52AC" w:rsidR="004C27B2" w:rsidRDefault="004C27B2">
      <w:pPr>
        <w:pStyle w:val="p1"/>
        <w:divId w:val="1486314318"/>
        <w:rPr>
          <w:rStyle w:val="s1"/>
        </w:rPr>
      </w:pPr>
      <w:r>
        <w:t xml:space="preserve">NHS England (2024) </w:t>
      </w:r>
      <w:r>
        <w:rPr>
          <w:rStyle w:val="s2"/>
          <w:i/>
          <w:iCs/>
        </w:rPr>
        <w:t>Digitising the frontline</w:t>
      </w:r>
      <w:r>
        <w:rPr>
          <w:rStyle w:val="s1"/>
        </w:rPr>
        <w:t>. Available at:</w:t>
      </w:r>
      <w:r>
        <w:rPr>
          <w:rStyle w:val="apple-converted-space"/>
        </w:rPr>
        <w:t xml:space="preserve">  </w:t>
      </w:r>
      <w:r>
        <w:rPr>
          <w:rStyle w:val="s2"/>
        </w:rPr>
        <w:t>⁠</w:t>
      </w:r>
      <w:hyperlink r:id="rId12" w:history="1">
        <w:r w:rsidRPr="004C27B2">
          <w:rPr>
            <w:rStyle w:val="Hyperlink"/>
          </w:rPr>
          <w:t>https://www.england.nhs.uk/digitaltechnology/digitising-the-frontline/</w:t>
        </w:r>
      </w:hyperlink>
      <w:r>
        <w:rPr>
          <w:rStyle w:val="s1"/>
        </w:rPr>
        <w:t xml:space="preserve"> (Accessed: 11 July 2026).</w:t>
      </w:r>
    </w:p>
    <w:p w14:paraId="17C750D5" w14:textId="387AA9ED" w:rsidR="004C27B2" w:rsidRDefault="004C27B2">
      <w:pPr>
        <w:pStyle w:val="p1"/>
        <w:divId w:val="1486314318"/>
        <w:rPr>
          <w:rStyle w:val="s1"/>
        </w:rPr>
      </w:pPr>
      <w:r>
        <w:t xml:space="preserve">Nuffield Trust (2023) </w:t>
      </w:r>
      <w:r>
        <w:rPr>
          <w:rStyle w:val="s2"/>
          <w:i/>
          <w:iCs/>
        </w:rPr>
        <w:t>Digital health and care</w:t>
      </w:r>
      <w:r>
        <w:rPr>
          <w:rStyle w:val="s1"/>
        </w:rPr>
        <w:t>. Available at:</w:t>
      </w:r>
      <w:r>
        <w:rPr>
          <w:rStyle w:val="apple-converted-space"/>
        </w:rPr>
        <w:t xml:space="preserve">  </w:t>
      </w:r>
      <w:r>
        <w:rPr>
          <w:rStyle w:val="s2"/>
        </w:rPr>
        <w:t>⁠</w:t>
      </w:r>
      <w:hyperlink r:id="rId13" w:history="1">
        <w:r w:rsidRPr="004C27B2">
          <w:rPr>
            <w:rStyle w:val="Hyperlink"/>
          </w:rPr>
          <w:t>https://www.nuffieldtrust.org.uk/topic/digital-health-and-care</w:t>
        </w:r>
      </w:hyperlink>
      <w:r>
        <w:rPr>
          <w:rStyle w:val="s1"/>
        </w:rPr>
        <w:t xml:space="preserve"> (Accessed: 11 July 2026).</w:t>
      </w:r>
    </w:p>
    <w:p w14:paraId="5474A710" w14:textId="77777777" w:rsidR="004C27B2" w:rsidRDefault="004C27B2">
      <w:pPr>
        <w:pStyle w:val="p1"/>
        <w:divId w:val="1486314318"/>
        <w:rPr>
          <w:rStyle w:val="s1"/>
        </w:rPr>
      </w:pPr>
      <w:r>
        <w:t xml:space="preserve">Sutton, R.T., </w:t>
      </w:r>
      <w:proofErr w:type="spellStart"/>
      <w:r>
        <w:t>Pincock</w:t>
      </w:r>
      <w:proofErr w:type="spellEnd"/>
      <w:r>
        <w:t xml:space="preserve">, D., </w:t>
      </w:r>
      <w:proofErr w:type="spellStart"/>
      <w:r>
        <w:t>Baumgart</w:t>
      </w:r>
      <w:proofErr w:type="spellEnd"/>
      <w:r>
        <w:t xml:space="preserve">, D.C., </w:t>
      </w:r>
      <w:proofErr w:type="spellStart"/>
      <w:r>
        <w:t>Sadowski</w:t>
      </w:r>
      <w:proofErr w:type="spellEnd"/>
      <w:r>
        <w:t xml:space="preserve">, D.C., </w:t>
      </w:r>
      <w:proofErr w:type="spellStart"/>
      <w:r>
        <w:t>Fedorak</w:t>
      </w:r>
      <w:proofErr w:type="spellEnd"/>
      <w:r>
        <w:t xml:space="preserve">, R.N. and </w:t>
      </w:r>
      <w:proofErr w:type="spellStart"/>
      <w:r>
        <w:t>Kroeker</w:t>
      </w:r>
      <w:proofErr w:type="spellEnd"/>
      <w:r>
        <w:t xml:space="preserve">, K.I. (2020) ‘An overview of clinical decision support systems: Benefits, risks and strategies for success’, </w:t>
      </w:r>
      <w:proofErr w:type="spellStart"/>
      <w:r>
        <w:rPr>
          <w:rStyle w:val="s2"/>
          <w:i/>
          <w:iCs/>
        </w:rPr>
        <w:t>npj</w:t>
      </w:r>
      <w:proofErr w:type="spellEnd"/>
      <w:r>
        <w:rPr>
          <w:rStyle w:val="s2"/>
          <w:i/>
          <w:iCs/>
        </w:rPr>
        <w:t xml:space="preserve"> Digital Medicine</w:t>
      </w:r>
      <w:r>
        <w:rPr>
          <w:rStyle w:val="s1"/>
        </w:rPr>
        <w:t>, 3(17), pp. 1–10.</w:t>
      </w:r>
    </w:p>
    <w:p w14:paraId="1A39E6AF" w14:textId="6EAA6FBF" w:rsidR="004C27B2" w:rsidRDefault="004C27B2">
      <w:pPr>
        <w:pStyle w:val="p1"/>
        <w:divId w:val="1486314318"/>
        <w:rPr>
          <w:rStyle w:val="s1"/>
        </w:rPr>
      </w:pPr>
      <w:r>
        <w:t xml:space="preserve">The King’s Fund (2022) </w:t>
      </w:r>
      <w:r>
        <w:rPr>
          <w:rStyle w:val="s2"/>
          <w:i/>
          <w:iCs/>
        </w:rPr>
        <w:t>The digital future of health and care</w:t>
      </w:r>
      <w:r>
        <w:rPr>
          <w:rStyle w:val="s1"/>
        </w:rPr>
        <w:t>. Available at:</w:t>
      </w:r>
      <w:r>
        <w:rPr>
          <w:rStyle w:val="apple-converted-space"/>
        </w:rPr>
        <w:t xml:space="preserve">  </w:t>
      </w:r>
      <w:r>
        <w:rPr>
          <w:rStyle w:val="s2"/>
        </w:rPr>
        <w:t>⁠</w:t>
      </w:r>
      <w:hyperlink r:id="rId14" w:history="1">
        <w:r w:rsidRPr="004C27B2">
          <w:rPr>
            <w:rStyle w:val="Hyperlink"/>
          </w:rPr>
          <w:t>https://www.kingsfund.org.uk/</w:t>
        </w:r>
      </w:hyperlink>
      <w:r>
        <w:rPr>
          <w:rStyle w:val="s1"/>
        </w:rPr>
        <w:t xml:space="preserve"> (Accessed: 11 July 2026).</w:t>
      </w:r>
    </w:p>
    <w:p w14:paraId="3A538132" w14:textId="2DA54F3C" w:rsidR="004C27B2" w:rsidRDefault="004C27B2">
      <w:pPr>
        <w:pStyle w:val="p1"/>
        <w:divId w:val="1486314318"/>
        <w:rPr>
          <w:rStyle w:val="s1"/>
        </w:rPr>
      </w:pPr>
      <w:r>
        <w:t>UK General Data Protection Regulation (UK GDPR) (2021) Available at:</w:t>
      </w:r>
      <w:r>
        <w:rPr>
          <w:rStyle w:val="apple-converted-space"/>
        </w:rPr>
        <w:t xml:space="preserve">  </w:t>
      </w:r>
      <w:r>
        <w:rPr>
          <w:rStyle w:val="s2"/>
        </w:rPr>
        <w:t>⁠</w:t>
      </w:r>
      <w:hyperlink r:id="rId15" w:history="1">
        <w:r w:rsidRPr="004C27B2">
          <w:rPr>
            <w:rStyle w:val="Hyperlink"/>
          </w:rPr>
          <w:t>https://www.legislation.gov.uk/eur/2016/679</w:t>
        </w:r>
      </w:hyperlink>
      <w:r>
        <w:rPr>
          <w:rStyle w:val="s1"/>
        </w:rPr>
        <w:t xml:space="preserve"> (Accessed: 11 July 2026).</w:t>
      </w:r>
    </w:p>
    <w:p w14:paraId="14309353" w14:textId="455545A9" w:rsidR="007C2A68" w:rsidRDefault="004C27B2" w:rsidP="00A66AE4">
      <w:pPr>
        <w:pStyle w:val="p2"/>
        <w:divId w:val="1486314318"/>
      </w:pPr>
      <w:r>
        <w:lastRenderedPageBreak/>
        <w:t xml:space="preserve">Zhao, J.Y., Song, B., Anand, E., Schwartz, D., Panesar, M., Jackson, G.P. and </w:t>
      </w:r>
      <w:proofErr w:type="spellStart"/>
      <w:r>
        <w:t>Elkin</w:t>
      </w:r>
      <w:proofErr w:type="spellEnd"/>
      <w:r>
        <w:t xml:space="preserve">, P.L. (2019) ‘Barriers, facilitators and solutions to optimal patient portal and personal health record use: A systematic review’, </w:t>
      </w:r>
      <w:r>
        <w:rPr>
          <w:rStyle w:val="s2"/>
          <w:i/>
          <w:iCs/>
        </w:rPr>
        <w:t>AMIA Annual Symposium Proceedings</w:t>
      </w:r>
      <w:r>
        <w:rPr>
          <w:rStyle w:val="s1"/>
        </w:rPr>
        <w:t>, 2017, pp. 1913–1922.</w:t>
      </w:r>
    </w:p>
    <w:sectPr w:rsidR="007C2A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163499" w14:textId="77777777" w:rsidR="00586666" w:rsidRDefault="00586666" w:rsidP="00BF153E">
      <w:pPr>
        <w:spacing w:after="0" w:line="240" w:lineRule="auto"/>
      </w:pPr>
      <w:r>
        <w:separator/>
      </w:r>
    </w:p>
  </w:endnote>
  <w:endnote w:type="continuationSeparator" w:id="0">
    <w:p w14:paraId="25598155" w14:textId="77777777" w:rsidR="00586666" w:rsidRDefault="00586666" w:rsidP="00BF15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E4E79E" w14:textId="77777777" w:rsidR="00586666" w:rsidRDefault="00586666" w:rsidP="00BF153E">
      <w:pPr>
        <w:spacing w:after="0" w:line="240" w:lineRule="auto"/>
      </w:pPr>
      <w:r>
        <w:separator/>
      </w:r>
    </w:p>
  </w:footnote>
  <w:footnote w:type="continuationSeparator" w:id="0">
    <w:p w14:paraId="1C7064F3" w14:textId="77777777" w:rsidR="00586666" w:rsidRDefault="00586666" w:rsidP="00BF153E">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HDIYlyTt" int2:invalidationBookmarkName="" int2:hashCode="/5aGncXwjRgebT" int2:id="cN3uilTQ">
      <int2:state int2:value="Rejected" int2:type="style"/>
    </int2:bookmark>
    <int2:bookmark int2:bookmarkName="_Int_lkU1p12M" int2:invalidationBookmarkName="" int2:hashCode="lqL8ph+c7HQJyU" int2:id="nqGXaH2K">
      <int2:state int2:value="Rejected" int2:type="style"/>
    </int2:bookmark>
    <int2:bookmark int2:bookmarkName="_Int_YsHApE2W" int2:invalidationBookmarkName="" int2:hashCode="uq7qI1ckIoODTB" int2:id="8pv8pK6Q">
      <int2:state int2:value="Rejected" int2:type="style"/>
    </int2:bookmark>
    <int2:bookmark int2:bookmarkName="_Int_L3IzyiCB" int2:invalidationBookmarkName="" int2:hashCode="jAoRM67zGTZCAC" int2:id="W9uWEnbS">
      <int2:state int2:value="Rejected" int2:type="style"/>
    </int2:bookmark>
    <int2:bookmark int2:bookmarkName="_Int_gtHvNgZT" int2:invalidationBookmarkName="" int2:hashCode="dalNooyseA++F1" int2:id="Ub9nI5di">
      <int2:state int2:value="Rejected" int2:type="style"/>
    </int2:bookmark>
    <int2:bookmark int2:bookmarkName="_Int_GPW965NS" int2:invalidationBookmarkName="" int2:hashCode="hxCQi8CUWG/Giq" int2:id="vPiJMjO6">
      <int2:state int2:value="Rejected" int2:type="style"/>
    </int2:bookmark>
    <int2:bookmark int2:bookmarkName="_Int_HU0zOcUi" int2:invalidationBookmarkName="" int2:hashCode="wUJ6GJ2nnylTO2" int2:id="i4SAhuuQ">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0C63"/>
    <w:rsid w:val="0002582D"/>
    <w:rsid w:val="00065FF0"/>
    <w:rsid w:val="00083245"/>
    <w:rsid w:val="000B0D0C"/>
    <w:rsid w:val="000D4190"/>
    <w:rsid w:val="00114419"/>
    <w:rsid w:val="001A2C90"/>
    <w:rsid w:val="00241D3C"/>
    <w:rsid w:val="002E07B6"/>
    <w:rsid w:val="00307C67"/>
    <w:rsid w:val="003268E5"/>
    <w:rsid w:val="00344DFB"/>
    <w:rsid w:val="0035244E"/>
    <w:rsid w:val="0035254A"/>
    <w:rsid w:val="00400F03"/>
    <w:rsid w:val="004906DF"/>
    <w:rsid w:val="00493B55"/>
    <w:rsid w:val="004C0783"/>
    <w:rsid w:val="004C27B2"/>
    <w:rsid w:val="004E3468"/>
    <w:rsid w:val="00522E68"/>
    <w:rsid w:val="00586666"/>
    <w:rsid w:val="005913D0"/>
    <w:rsid w:val="00591E48"/>
    <w:rsid w:val="005C2787"/>
    <w:rsid w:val="006B27AF"/>
    <w:rsid w:val="00763379"/>
    <w:rsid w:val="00770338"/>
    <w:rsid w:val="007703F5"/>
    <w:rsid w:val="00785D92"/>
    <w:rsid w:val="007C2A68"/>
    <w:rsid w:val="007C7F81"/>
    <w:rsid w:val="00877331"/>
    <w:rsid w:val="00900C63"/>
    <w:rsid w:val="00903725"/>
    <w:rsid w:val="0093338C"/>
    <w:rsid w:val="0093617F"/>
    <w:rsid w:val="00A66AE4"/>
    <w:rsid w:val="00AE6DAE"/>
    <w:rsid w:val="00AF54CE"/>
    <w:rsid w:val="00B14B4D"/>
    <w:rsid w:val="00B32290"/>
    <w:rsid w:val="00BF018E"/>
    <w:rsid w:val="00BF153E"/>
    <w:rsid w:val="00C87D41"/>
    <w:rsid w:val="00CD21F8"/>
    <w:rsid w:val="00D73E8C"/>
    <w:rsid w:val="00D844D7"/>
    <w:rsid w:val="00E00E22"/>
    <w:rsid w:val="00E83A92"/>
    <w:rsid w:val="00EA151C"/>
    <w:rsid w:val="00F30CE9"/>
    <w:rsid w:val="00F57744"/>
    <w:rsid w:val="00FC66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31C5E1"/>
  <w15:chartTrackingRefBased/>
  <w15:docId w15:val="{B1D1428B-4E7E-8B40-85D5-D039EA5F68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0C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00C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00C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0C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0C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0C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0C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0C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0C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0C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0C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0C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0C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0C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0C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0C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0C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0C63"/>
    <w:rPr>
      <w:rFonts w:eastAsiaTheme="majorEastAsia" w:cstheme="majorBidi"/>
      <w:color w:val="272727" w:themeColor="text1" w:themeTint="D8"/>
    </w:rPr>
  </w:style>
  <w:style w:type="paragraph" w:styleId="Title">
    <w:name w:val="Title"/>
    <w:basedOn w:val="Normal"/>
    <w:next w:val="Normal"/>
    <w:link w:val="TitleChar"/>
    <w:uiPriority w:val="10"/>
    <w:qFormat/>
    <w:rsid w:val="00900C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0C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0C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0C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0C63"/>
    <w:pPr>
      <w:spacing w:before="160"/>
      <w:jc w:val="center"/>
    </w:pPr>
    <w:rPr>
      <w:i/>
      <w:iCs/>
      <w:color w:val="404040" w:themeColor="text1" w:themeTint="BF"/>
    </w:rPr>
  </w:style>
  <w:style w:type="character" w:customStyle="1" w:styleId="QuoteChar">
    <w:name w:val="Quote Char"/>
    <w:basedOn w:val="DefaultParagraphFont"/>
    <w:link w:val="Quote"/>
    <w:uiPriority w:val="29"/>
    <w:rsid w:val="00900C63"/>
    <w:rPr>
      <w:i/>
      <w:iCs/>
      <w:color w:val="404040" w:themeColor="text1" w:themeTint="BF"/>
    </w:rPr>
  </w:style>
  <w:style w:type="paragraph" w:styleId="ListParagraph">
    <w:name w:val="List Paragraph"/>
    <w:basedOn w:val="Normal"/>
    <w:uiPriority w:val="34"/>
    <w:qFormat/>
    <w:rsid w:val="00900C63"/>
    <w:pPr>
      <w:ind w:left="720"/>
      <w:contextualSpacing/>
    </w:pPr>
  </w:style>
  <w:style w:type="character" w:styleId="IntenseEmphasis">
    <w:name w:val="Intense Emphasis"/>
    <w:basedOn w:val="DefaultParagraphFont"/>
    <w:uiPriority w:val="21"/>
    <w:qFormat/>
    <w:rsid w:val="00900C63"/>
    <w:rPr>
      <w:i/>
      <w:iCs/>
      <w:color w:val="0F4761" w:themeColor="accent1" w:themeShade="BF"/>
    </w:rPr>
  </w:style>
  <w:style w:type="paragraph" w:styleId="IntenseQuote">
    <w:name w:val="Intense Quote"/>
    <w:basedOn w:val="Normal"/>
    <w:next w:val="Normal"/>
    <w:link w:val="IntenseQuoteChar"/>
    <w:uiPriority w:val="30"/>
    <w:qFormat/>
    <w:rsid w:val="00900C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0C63"/>
    <w:rPr>
      <w:i/>
      <w:iCs/>
      <w:color w:val="0F4761" w:themeColor="accent1" w:themeShade="BF"/>
    </w:rPr>
  </w:style>
  <w:style w:type="character" w:styleId="IntenseReference">
    <w:name w:val="Intense Reference"/>
    <w:basedOn w:val="DefaultParagraphFont"/>
    <w:uiPriority w:val="32"/>
    <w:qFormat/>
    <w:rsid w:val="00900C63"/>
    <w:rPr>
      <w:b/>
      <w:bCs/>
      <w:smallCaps/>
      <w:color w:val="0F4761" w:themeColor="accent1" w:themeShade="BF"/>
      <w:spacing w:val="5"/>
    </w:rPr>
  </w:style>
  <w:style w:type="character" w:customStyle="1" w:styleId="s1">
    <w:name w:val="s1"/>
    <w:basedOn w:val="DefaultParagraphFont"/>
    <w:rsid w:val="00B32290"/>
  </w:style>
  <w:style w:type="paragraph" w:customStyle="1" w:styleId="p3">
    <w:name w:val="p3"/>
    <w:basedOn w:val="Normal"/>
    <w:rsid w:val="00B32290"/>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B32290"/>
    <w:rPr>
      <w:color w:val="0000FF"/>
      <w:u w:val="single"/>
    </w:rPr>
  </w:style>
  <w:style w:type="paragraph" w:customStyle="1" w:styleId="p4">
    <w:name w:val="p4"/>
    <w:basedOn w:val="Normal"/>
    <w:rsid w:val="00B32290"/>
    <w:pPr>
      <w:spacing w:before="100" w:beforeAutospacing="1" w:after="100" w:afterAutospacing="1" w:line="240" w:lineRule="auto"/>
    </w:pPr>
    <w:rPr>
      <w:rFonts w:ascii="Times New Roman" w:hAnsi="Times New Roman" w:cs="Times New Roman"/>
      <w:kern w:val="0"/>
      <w14:ligatures w14:val="none"/>
    </w:rPr>
  </w:style>
  <w:style w:type="character" w:styleId="UnresolvedMention">
    <w:name w:val="Unresolved Mention"/>
    <w:basedOn w:val="DefaultParagraphFont"/>
    <w:uiPriority w:val="99"/>
    <w:semiHidden/>
    <w:unhideWhenUsed/>
    <w:rsid w:val="007C2A68"/>
    <w:rPr>
      <w:color w:val="605E5C"/>
      <w:shd w:val="clear" w:color="auto" w:fill="E1DFDD"/>
    </w:rPr>
  </w:style>
  <w:style w:type="paragraph" w:customStyle="1" w:styleId="p1">
    <w:name w:val="p1"/>
    <w:basedOn w:val="Normal"/>
    <w:rsid w:val="00D844D7"/>
    <w:pPr>
      <w:spacing w:before="100" w:beforeAutospacing="1" w:after="100" w:afterAutospacing="1" w:line="240" w:lineRule="auto"/>
    </w:pPr>
    <w:rPr>
      <w:rFonts w:ascii="Times New Roman" w:hAnsi="Times New Roman" w:cs="Times New Roman"/>
      <w:kern w:val="0"/>
      <w14:ligatures w14:val="none"/>
    </w:rPr>
  </w:style>
  <w:style w:type="paragraph" w:customStyle="1" w:styleId="p2">
    <w:name w:val="p2"/>
    <w:basedOn w:val="Normal"/>
    <w:rsid w:val="00D844D7"/>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D844D7"/>
  </w:style>
  <w:style w:type="character" w:customStyle="1" w:styleId="apple-converted-space">
    <w:name w:val="apple-converted-space"/>
    <w:basedOn w:val="DefaultParagraphFont"/>
    <w:rsid w:val="007C7F81"/>
  </w:style>
  <w:style w:type="character" w:styleId="Emphasis">
    <w:name w:val="Emphasis"/>
    <w:basedOn w:val="DefaultParagraphFont"/>
    <w:uiPriority w:val="20"/>
    <w:qFormat/>
    <w:rsid w:val="007C7F81"/>
    <w:rPr>
      <w:i/>
      <w:iCs/>
    </w:rPr>
  </w:style>
  <w:style w:type="paragraph" w:styleId="NormalWeb">
    <w:name w:val="Normal (Web)"/>
    <w:basedOn w:val="Normal"/>
    <w:uiPriority w:val="99"/>
    <w:semiHidden/>
    <w:unhideWhenUsed/>
    <w:rsid w:val="00591E48"/>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591E48"/>
    <w:rPr>
      <w:b/>
      <w:bCs/>
    </w:rPr>
  </w:style>
  <w:style w:type="paragraph" w:styleId="Header">
    <w:name w:val="header"/>
    <w:basedOn w:val="Normal"/>
    <w:link w:val="HeaderChar"/>
    <w:uiPriority w:val="99"/>
    <w:unhideWhenUsed/>
    <w:rsid w:val="00BF15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153E"/>
  </w:style>
  <w:style w:type="paragraph" w:styleId="Footer">
    <w:name w:val="footer"/>
    <w:basedOn w:val="Normal"/>
    <w:link w:val="FooterChar"/>
    <w:uiPriority w:val="99"/>
    <w:unhideWhenUsed/>
    <w:rsid w:val="00BF15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15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3042851">
      <w:bodyDiv w:val="1"/>
      <w:marLeft w:val="0"/>
      <w:marRight w:val="0"/>
      <w:marTop w:val="0"/>
      <w:marBottom w:val="0"/>
      <w:divBdr>
        <w:top w:val="none" w:sz="0" w:space="0" w:color="auto"/>
        <w:left w:val="none" w:sz="0" w:space="0" w:color="auto"/>
        <w:bottom w:val="none" w:sz="0" w:space="0" w:color="auto"/>
        <w:right w:val="none" w:sz="0" w:space="0" w:color="auto"/>
      </w:divBdr>
      <w:divsChild>
        <w:div w:id="1558013075">
          <w:marLeft w:val="0"/>
          <w:marRight w:val="0"/>
          <w:marTop w:val="0"/>
          <w:marBottom w:val="0"/>
          <w:divBdr>
            <w:top w:val="none" w:sz="0" w:space="0" w:color="auto"/>
            <w:left w:val="none" w:sz="0" w:space="0" w:color="auto"/>
            <w:bottom w:val="none" w:sz="0" w:space="0" w:color="auto"/>
            <w:right w:val="none" w:sz="0" w:space="0" w:color="auto"/>
          </w:divBdr>
          <w:divsChild>
            <w:div w:id="753670364">
              <w:marLeft w:val="0"/>
              <w:marRight w:val="0"/>
              <w:marTop w:val="0"/>
              <w:marBottom w:val="0"/>
              <w:divBdr>
                <w:top w:val="none" w:sz="0" w:space="0" w:color="auto"/>
                <w:left w:val="none" w:sz="0" w:space="0" w:color="auto"/>
                <w:bottom w:val="none" w:sz="0" w:space="0" w:color="auto"/>
                <w:right w:val="none" w:sz="0" w:space="0" w:color="auto"/>
              </w:divBdr>
              <w:divsChild>
                <w:div w:id="160170220">
                  <w:marLeft w:val="0"/>
                  <w:marRight w:val="0"/>
                  <w:marTop w:val="0"/>
                  <w:marBottom w:val="0"/>
                  <w:divBdr>
                    <w:top w:val="none" w:sz="0" w:space="0" w:color="auto"/>
                    <w:left w:val="none" w:sz="0" w:space="0" w:color="auto"/>
                    <w:bottom w:val="none" w:sz="0" w:space="0" w:color="auto"/>
                    <w:right w:val="none" w:sz="0" w:space="0" w:color="auto"/>
                  </w:divBdr>
                </w:div>
              </w:divsChild>
            </w:div>
            <w:div w:id="353507658">
              <w:marLeft w:val="0"/>
              <w:marRight w:val="0"/>
              <w:marTop w:val="0"/>
              <w:marBottom w:val="0"/>
              <w:divBdr>
                <w:top w:val="none" w:sz="0" w:space="0" w:color="auto"/>
                <w:left w:val="none" w:sz="0" w:space="0" w:color="auto"/>
                <w:bottom w:val="none" w:sz="0" w:space="0" w:color="auto"/>
                <w:right w:val="none" w:sz="0" w:space="0" w:color="auto"/>
              </w:divBdr>
              <w:divsChild>
                <w:div w:id="1342470904">
                  <w:marLeft w:val="0"/>
                  <w:marRight w:val="0"/>
                  <w:marTop w:val="0"/>
                  <w:marBottom w:val="0"/>
                  <w:divBdr>
                    <w:top w:val="none" w:sz="0" w:space="0" w:color="auto"/>
                    <w:left w:val="none" w:sz="0" w:space="0" w:color="auto"/>
                    <w:bottom w:val="none" w:sz="0" w:space="0" w:color="auto"/>
                    <w:right w:val="none" w:sz="0" w:space="0" w:color="auto"/>
                  </w:divBdr>
                </w:div>
                <w:div w:id="1344286132">
                  <w:marLeft w:val="0"/>
                  <w:marRight w:val="0"/>
                  <w:marTop w:val="0"/>
                  <w:marBottom w:val="0"/>
                  <w:divBdr>
                    <w:top w:val="none" w:sz="0" w:space="0" w:color="auto"/>
                    <w:left w:val="none" w:sz="0" w:space="0" w:color="auto"/>
                    <w:bottom w:val="none" w:sz="0" w:space="0" w:color="auto"/>
                    <w:right w:val="none" w:sz="0" w:space="0" w:color="auto"/>
                  </w:divBdr>
                </w:div>
              </w:divsChild>
            </w:div>
            <w:div w:id="1044410112">
              <w:marLeft w:val="0"/>
              <w:marRight w:val="0"/>
              <w:marTop w:val="0"/>
              <w:marBottom w:val="0"/>
              <w:divBdr>
                <w:top w:val="none" w:sz="0" w:space="0" w:color="auto"/>
                <w:left w:val="none" w:sz="0" w:space="0" w:color="auto"/>
                <w:bottom w:val="none" w:sz="0" w:space="0" w:color="auto"/>
                <w:right w:val="none" w:sz="0" w:space="0" w:color="auto"/>
              </w:divBdr>
              <w:divsChild>
                <w:div w:id="222715756">
                  <w:marLeft w:val="0"/>
                  <w:marRight w:val="0"/>
                  <w:marTop w:val="0"/>
                  <w:marBottom w:val="0"/>
                  <w:divBdr>
                    <w:top w:val="none" w:sz="0" w:space="0" w:color="auto"/>
                    <w:left w:val="none" w:sz="0" w:space="0" w:color="auto"/>
                    <w:bottom w:val="none" w:sz="0" w:space="0" w:color="auto"/>
                    <w:right w:val="none" w:sz="0" w:space="0" w:color="auto"/>
                  </w:divBdr>
                </w:div>
              </w:divsChild>
            </w:div>
            <w:div w:id="624434999">
              <w:marLeft w:val="0"/>
              <w:marRight w:val="0"/>
              <w:marTop w:val="0"/>
              <w:marBottom w:val="0"/>
              <w:divBdr>
                <w:top w:val="none" w:sz="0" w:space="0" w:color="auto"/>
                <w:left w:val="none" w:sz="0" w:space="0" w:color="auto"/>
                <w:bottom w:val="none" w:sz="0" w:space="0" w:color="auto"/>
                <w:right w:val="none" w:sz="0" w:space="0" w:color="auto"/>
              </w:divBdr>
              <w:divsChild>
                <w:div w:id="1300646158">
                  <w:marLeft w:val="0"/>
                  <w:marRight w:val="0"/>
                  <w:marTop w:val="0"/>
                  <w:marBottom w:val="0"/>
                  <w:divBdr>
                    <w:top w:val="none" w:sz="0" w:space="0" w:color="auto"/>
                    <w:left w:val="none" w:sz="0" w:space="0" w:color="auto"/>
                    <w:bottom w:val="none" w:sz="0" w:space="0" w:color="auto"/>
                    <w:right w:val="none" w:sz="0" w:space="0" w:color="auto"/>
                  </w:divBdr>
                  <w:divsChild>
                    <w:div w:id="580985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9886074">
              <w:marLeft w:val="0"/>
              <w:marRight w:val="0"/>
              <w:marTop w:val="0"/>
              <w:marBottom w:val="0"/>
              <w:divBdr>
                <w:top w:val="none" w:sz="0" w:space="0" w:color="auto"/>
                <w:left w:val="none" w:sz="0" w:space="0" w:color="auto"/>
                <w:bottom w:val="none" w:sz="0" w:space="0" w:color="auto"/>
                <w:right w:val="none" w:sz="0" w:space="0" w:color="auto"/>
              </w:divBdr>
            </w:div>
          </w:divsChild>
        </w:div>
        <w:div w:id="2142455054">
          <w:marLeft w:val="0"/>
          <w:marRight w:val="0"/>
          <w:marTop w:val="0"/>
          <w:marBottom w:val="0"/>
          <w:divBdr>
            <w:top w:val="none" w:sz="0" w:space="0" w:color="auto"/>
            <w:left w:val="none" w:sz="0" w:space="0" w:color="auto"/>
            <w:bottom w:val="none" w:sz="0" w:space="0" w:color="auto"/>
            <w:right w:val="none" w:sz="0" w:space="0" w:color="auto"/>
          </w:divBdr>
          <w:divsChild>
            <w:div w:id="1423601731">
              <w:marLeft w:val="0"/>
              <w:marRight w:val="0"/>
              <w:marTop w:val="0"/>
              <w:marBottom w:val="0"/>
              <w:divBdr>
                <w:top w:val="none" w:sz="0" w:space="0" w:color="auto"/>
                <w:left w:val="none" w:sz="0" w:space="0" w:color="auto"/>
                <w:bottom w:val="none" w:sz="0" w:space="0" w:color="auto"/>
                <w:right w:val="none" w:sz="0" w:space="0" w:color="auto"/>
              </w:divBdr>
            </w:div>
            <w:div w:id="1853763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8659127">
      <w:bodyDiv w:val="1"/>
      <w:marLeft w:val="0"/>
      <w:marRight w:val="0"/>
      <w:marTop w:val="0"/>
      <w:marBottom w:val="0"/>
      <w:divBdr>
        <w:top w:val="none" w:sz="0" w:space="0" w:color="auto"/>
        <w:left w:val="none" w:sz="0" w:space="0" w:color="auto"/>
        <w:bottom w:val="none" w:sz="0" w:space="0" w:color="auto"/>
        <w:right w:val="none" w:sz="0" w:space="0" w:color="auto"/>
      </w:divBdr>
      <w:divsChild>
        <w:div w:id="248000368">
          <w:marLeft w:val="0"/>
          <w:marRight w:val="0"/>
          <w:marTop w:val="0"/>
          <w:marBottom w:val="0"/>
          <w:divBdr>
            <w:top w:val="none" w:sz="0" w:space="0" w:color="auto"/>
            <w:left w:val="none" w:sz="0" w:space="0" w:color="auto"/>
            <w:bottom w:val="none" w:sz="0" w:space="0" w:color="auto"/>
            <w:right w:val="none" w:sz="0" w:space="0" w:color="auto"/>
          </w:divBdr>
        </w:div>
      </w:divsChild>
    </w:div>
    <w:div w:id="1104494202">
      <w:bodyDiv w:val="1"/>
      <w:marLeft w:val="0"/>
      <w:marRight w:val="0"/>
      <w:marTop w:val="0"/>
      <w:marBottom w:val="0"/>
      <w:divBdr>
        <w:top w:val="none" w:sz="0" w:space="0" w:color="auto"/>
        <w:left w:val="none" w:sz="0" w:space="0" w:color="auto"/>
        <w:bottom w:val="none" w:sz="0" w:space="0" w:color="auto"/>
        <w:right w:val="none" w:sz="0" w:space="0" w:color="auto"/>
      </w:divBdr>
      <w:divsChild>
        <w:div w:id="908734549">
          <w:marLeft w:val="0"/>
          <w:marRight w:val="0"/>
          <w:marTop w:val="0"/>
          <w:marBottom w:val="0"/>
          <w:divBdr>
            <w:top w:val="none" w:sz="0" w:space="0" w:color="auto"/>
            <w:left w:val="none" w:sz="0" w:space="0" w:color="auto"/>
            <w:bottom w:val="none" w:sz="0" w:space="0" w:color="auto"/>
            <w:right w:val="none" w:sz="0" w:space="0" w:color="auto"/>
          </w:divBdr>
          <w:divsChild>
            <w:div w:id="368771817">
              <w:marLeft w:val="0"/>
              <w:marRight w:val="0"/>
              <w:marTop w:val="0"/>
              <w:marBottom w:val="0"/>
              <w:divBdr>
                <w:top w:val="none" w:sz="0" w:space="0" w:color="auto"/>
                <w:left w:val="none" w:sz="0" w:space="0" w:color="auto"/>
                <w:bottom w:val="none" w:sz="0" w:space="0" w:color="auto"/>
                <w:right w:val="none" w:sz="0" w:space="0" w:color="auto"/>
              </w:divBdr>
              <w:divsChild>
                <w:div w:id="77556130">
                  <w:marLeft w:val="0"/>
                  <w:marRight w:val="0"/>
                  <w:marTop w:val="0"/>
                  <w:marBottom w:val="0"/>
                  <w:divBdr>
                    <w:top w:val="none" w:sz="0" w:space="0" w:color="auto"/>
                    <w:left w:val="none" w:sz="0" w:space="0" w:color="auto"/>
                    <w:bottom w:val="none" w:sz="0" w:space="0" w:color="auto"/>
                    <w:right w:val="none" w:sz="0" w:space="0" w:color="auto"/>
                  </w:divBdr>
                </w:div>
                <w:div w:id="216089140">
                  <w:marLeft w:val="0"/>
                  <w:marRight w:val="0"/>
                  <w:marTop w:val="0"/>
                  <w:marBottom w:val="0"/>
                  <w:divBdr>
                    <w:top w:val="none" w:sz="0" w:space="0" w:color="auto"/>
                    <w:left w:val="none" w:sz="0" w:space="0" w:color="auto"/>
                    <w:bottom w:val="none" w:sz="0" w:space="0" w:color="auto"/>
                    <w:right w:val="none" w:sz="0" w:space="0" w:color="auto"/>
                  </w:divBdr>
                </w:div>
                <w:div w:id="1829398164">
                  <w:marLeft w:val="0"/>
                  <w:marRight w:val="0"/>
                  <w:marTop w:val="0"/>
                  <w:marBottom w:val="0"/>
                  <w:divBdr>
                    <w:top w:val="none" w:sz="0" w:space="0" w:color="auto"/>
                    <w:left w:val="none" w:sz="0" w:space="0" w:color="auto"/>
                    <w:bottom w:val="none" w:sz="0" w:space="0" w:color="auto"/>
                    <w:right w:val="none" w:sz="0" w:space="0" w:color="auto"/>
                  </w:divBdr>
                </w:div>
                <w:div w:id="1576015536">
                  <w:marLeft w:val="0"/>
                  <w:marRight w:val="0"/>
                  <w:marTop w:val="0"/>
                  <w:marBottom w:val="0"/>
                  <w:divBdr>
                    <w:top w:val="none" w:sz="0" w:space="0" w:color="auto"/>
                    <w:left w:val="none" w:sz="0" w:space="0" w:color="auto"/>
                    <w:bottom w:val="none" w:sz="0" w:space="0" w:color="auto"/>
                    <w:right w:val="none" w:sz="0" w:space="0" w:color="auto"/>
                  </w:divBdr>
                </w:div>
                <w:div w:id="1514150873">
                  <w:marLeft w:val="0"/>
                  <w:marRight w:val="0"/>
                  <w:marTop w:val="0"/>
                  <w:marBottom w:val="0"/>
                  <w:divBdr>
                    <w:top w:val="none" w:sz="0" w:space="0" w:color="auto"/>
                    <w:left w:val="none" w:sz="0" w:space="0" w:color="auto"/>
                    <w:bottom w:val="none" w:sz="0" w:space="0" w:color="auto"/>
                    <w:right w:val="none" w:sz="0" w:space="0" w:color="auto"/>
                  </w:divBdr>
                </w:div>
                <w:div w:id="1519807951">
                  <w:marLeft w:val="0"/>
                  <w:marRight w:val="0"/>
                  <w:marTop w:val="0"/>
                  <w:marBottom w:val="0"/>
                  <w:divBdr>
                    <w:top w:val="none" w:sz="0" w:space="0" w:color="auto"/>
                    <w:left w:val="none" w:sz="0" w:space="0" w:color="auto"/>
                    <w:bottom w:val="none" w:sz="0" w:space="0" w:color="auto"/>
                    <w:right w:val="none" w:sz="0" w:space="0" w:color="auto"/>
                  </w:divBdr>
                </w:div>
                <w:div w:id="1226182537">
                  <w:marLeft w:val="0"/>
                  <w:marRight w:val="0"/>
                  <w:marTop w:val="0"/>
                  <w:marBottom w:val="0"/>
                  <w:divBdr>
                    <w:top w:val="none" w:sz="0" w:space="0" w:color="auto"/>
                    <w:left w:val="none" w:sz="0" w:space="0" w:color="auto"/>
                    <w:bottom w:val="none" w:sz="0" w:space="0" w:color="auto"/>
                    <w:right w:val="none" w:sz="0" w:space="0" w:color="auto"/>
                  </w:divBdr>
                </w:div>
                <w:div w:id="257493798">
                  <w:marLeft w:val="0"/>
                  <w:marRight w:val="0"/>
                  <w:marTop w:val="0"/>
                  <w:marBottom w:val="0"/>
                  <w:divBdr>
                    <w:top w:val="none" w:sz="0" w:space="0" w:color="auto"/>
                    <w:left w:val="none" w:sz="0" w:space="0" w:color="auto"/>
                    <w:bottom w:val="none" w:sz="0" w:space="0" w:color="auto"/>
                    <w:right w:val="none" w:sz="0" w:space="0" w:color="auto"/>
                  </w:divBdr>
                </w:div>
                <w:div w:id="1252008686">
                  <w:marLeft w:val="0"/>
                  <w:marRight w:val="0"/>
                  <w:marTop w:val="0"/>
                  <w:marBottom w:val="0"/>
                  <w:divBdr>
                    <w:top w:val="none" w:sz="0" w:space="0" w:color="auto"/>
                    <w:left w:val="none" w:sz="0" w:space="0" w:color="auto"/>
                    <w:bottom w:val="none" w:sz="0" w:space="0" w:color="auto"/>
                    <w:right w:val="none" w:sz="0" w:space="0" w:color="auto"/>
                  </w:divBdr>
                </w:div>
                <w:div w:id="662464946">
                  <w:marLeft w:val="0"/>
                  <w:marRight w:val="0"/>
                  <w:marTop w:val="0"/>
                  <w:marBottom w:val="0"/>
                  <w:divBdr>
                    <w:top w:val="none" w:sz="0" w:space="0" w:color="auto"/>
                    <w:left w:val="none" w:sz="0" w:space="0" w:color="auto"/>
                    <w:bottom w:val="none" w:sz="0" w:space="0" w:color="auto"/>
                    <w:right w:val="none" w:sz="0" w:space="0" w:color="auto"/>
                  </w:divBdr>
                </w:div>
                <w:div w:id="207112541">
                  <w:marLeft w:val="0"/>
                  <w:marRight w:val="0"/>
                  <w:marTop w:val="0"/>
                  <w:marBottom w:val="0"/>
                  <w:divBdr>
                    <w:top w:val="none" w:sz="0" w:space="0" w:color="auto"/>
                    <w:left w:val="none" w:sz="0" w:space="0" w:color="auto"/>
                    <w:bottom w:val="none" w:sz="0" w:space="0" w:color="auto"/>
                    <w:right w:val="none" w:sz="0" w:space="0" w:color="auto"/>
                  </w:divBdr>
                </w:div>
                <w:div w:id="303395680">
                  <w:marLeft w:val="0"/>
                  <w:marRight w:val="0"/>
                  <w:marTop w:val="0"/>
                  <w:marBottom w:val="0"/>
                  <w:divBdr>
                    <w:top w:val="none" w:sz="0" w:space="0" w:color="auto"/>
                    <w:left w:val="none" w:sz="0" w:space="0" w:color="auto"/>
                    <w:bottom w:val="none" w:sz="0" w:space="0" w:color="auto"/>
                    <w:right w:val="none" w:sz="0" w:space="0" w:color="auto"/>
                  </w:divBdr>
                </w:div>
                <w:div w:id="1452095895">
                  <w:marLeft w:val="0"/>
                  <w:marRight w:val="0"/>
                  <w:marTop w:val="0"/>
                  <w:marBottom w:val="0"/>
                  <w:divBdr>
                    <w:top w:val="none" w:sz="0" w:space="0" w:color="auto"/>
                    <w:left w:val="none" w:sz="0" w:space="0" w:color="auto"/>
                    <w:bottom w:val="none" w:sz="0" w:space="0" w:color="auto"/>
                    <w:right w:val="none" w:sz="0" w:space="0" w:color="auto"/>
                  </w:divBdr>
                </w:div>
                <w:div w:id="1860966102">
                  <w:marLeft w:val="0"/>
                  <w:marRight w:val="0"/>
                  <w:marTop w:val="0"/>
                  <w:marBottom w:val="0"/>
                  <w:divBdr>
                    <w:top w:val="none" w:sz="0" w:space="0" w:color="auto"/>
                    <w:left w:val="none" w:sz="0" w:space="0" w:color="auto"/>
                    <w:bottom w:val="none" w:sz="0" w:space="0" w:color="auto"/>
                    <w:right w:val="none" w:sz="0" w:space="0" w:color="auto"/>
                  </w:divBdr>
                </w:div>
                <w:div w:id="229854989">
                  <w:marLeft w:val="0"/>
                  <w:marRight w:val="0"/>
                  <w:marTop w:val="0"/>
                  <w:marBottom w:val="0"/>
                  <w:divBdr>
                    <w:top w:val="none" w:sz="0" w:space="0" w:color="auto"/>
                    <w:left w:val="none" w:sz="0" w:space="0" w:color="auto"/>
                    <w:bottom w:val="none" w:sz="0" w:space="0" w:color="auto"/>
                    <w:right w:val="none" w:sz="0" w:space="0" w:color="auto"/>
                  </w:divBdr>
                </w:div>
                <w:div w:id="1265304935">
                  <w:marLeft w:val="0"/>
                  <w:marRight w:val="0"/>
                  <w:marTop w:val="0"/>
                  <w:marBottom w:val="0"/>
                  <w:divBdr>
                    <w:top w:val="none" w:sz="0" w:space="0" w:color="auto"/>
                    <w:left w:val="none" w:sz="0" w:space="0" w:color="auto"/>
                    <w:bottom w:val="none" w:sz="0" w:space="0" w:color="auto"/>
                    <w:right w:val="none" w:sz="0" w:space="0" w:color="auto"/>
                  </w:divBdr>
                </w:div>
                <w:div w:id="1357121992">
                  <w:marLeft w:val="0"/>
                  <w:marRight w:val="0"/>
                  <w:marTop w:val="0"/>
                  <w:marBottom w:val="0"/>
                  <w:divBdr>
                    <w:top w:val="none" w:sz="0" w:space="0" w:color="auto"/>
                    <w:left w:val="none" w:sz="0" w:space="0" w:color="auto"/>
                    <w:bottom w:val="none" w:sz="0" w:space="0" w:color="auto"/>
                    <w:right w:val="none" w:sz="0" w:space="0" w:color="auto"/>
                  </w:divBdr>
                </w:div>
                <w:div w:id="1503013319">
                  <w:marLeft w:val="0"/>
                  <w:marRight w:val="0"/>
                  <w:marTop w:val="0"/>
                  <w:marBottom w:val="0"/>
                  <w:divBdr>
                    <w:top w:val="none" w:sz="0" w:space="0" w:color="auto"/>
                    <w:left w:val="none" w:sz="0" w:space="0" w:color="auto"/>
                    <w:bottom w:val="none" w:sz="0" w:space="0" w:color="auto"/>
                    <w:right w:val="none" w:sz="0" w:space="0" w:color="auto"/>
                  </w:divBdr>
                </w:div>
                <w:div w:id="1329290677">
                  <w:marLeft w:val="0"/>
                  <w:marRight w:val="0"/>
                  <w:marTop w:val="0"/>
                  <w:marBottom w:val="0"/>
                  <w:divBdr>
                    <w:top w:val="none" w:sz="0" w:space="0" w:color="auto"/>
                    <w:left w:val="none" w:sz="0" w:space="0" w:color="auto"/>
                    <w:bottom w:val="none" w:sz="0" w:space="0" w:color="auto"/>
                    <w:right w:val="none" w:sz="0" w:space="0" w:color="auto"/>
                  </w:divBdr>
                </w:div>
                <w:div w:id="32730786">
                  <w:marLeft w:val="0"/>
                  <w:marRight w:val="0"/>
                  <w:marTop w:val="0"/>
                  <w:marBottom w:val="0"/>
                  <w:divBdr>
                    <w:top w:val="none" w:sz="0" w:space="0" w:color="auto"/>
                    <w:left w:val="none" w:sz="0" w:space="0" w:color="auto"/>
                    <w:bottom w:val="none" w:sz="0" w:space="0" w:color="auto"/>
                    <w:right w:val="none" w:sz="0" w:space="0" w:color="auto"/>
                  </w:divBdr>
                </w:div>
                <w:div w:id="1414862330">
                  <w:marLeft w:val="0"/>
                  <w:marRight w:val="0"/>
                  <w:marTop w:val="0"/>
                  <w:marBottom w:val="0"/>
                  <w:divBdr>
                    <w:top w:val="none" w:sz="0" w:space="0" w:color="auto"/>
                    <w:left w:val="none" w:sz="0" w:space="0" w:color="auto"/>
                    <w:bottom w:val="none" w:sz="0" w:space="0" w:color="auto"/>
                    <w:right w:val="none" w:sz="0" w:space="0" w:color="auto"/>
                  </w:divBdr>
                </w:div>
                <w:div w:id="467935885">
                  <w:marLeft w:val="0"/>
                  <w:marRight w:val="0"/>
                  <w:marTop w:val="0"/>
                  <w:marBottom w:val="0"/>
                  <w:divBdr>
                    <w:top w:val="none" w:sz="0" w:space="0" w:color="auto"/>
                    <w:left w:val="none" w:sz="0" w:space="0" w:color="auto"/>
                    <w:bottom w:val="none" w:sz="0" w:space="0" w:color="auto"/>
                    <w:right w:val="none" w:sz="0" w:space="0" w:color="auto"/>
                  </w:divBdr>
                </w:div>
                <w:div w:id="150491815">
                  <w:marLeft w:val="0"/>
                  <w:marRight w:val="0"/>
                  <w:marTop w:val="0"/>
                  <w:marBottom w:val="0"/>
                  <w:divBdr>
                    <w:top w:val="none" w:sz="0" w:space="0" w:color="auto"/>
                    <w:left w:val="none" w:sz="0" w:space="0" w:color="auto"/>
                    <w:bottom w:val="none" w:sz="0" w:space="0" w:color="auto"/>
                    <w:right w:val="none" w:sz="0" w:space="0" w:color="auto"/>
                  </w:divBdr>
                </w:div>
                <w:div w:id="1833176193">
                  <w:marLeft w:val="0"/>
                  <w:marRight w:val="0"/>
                  <w:marTop w:val="0"/>
                  <w:marBottom w:val="0"/>
                  <w:divBdr>
                    <w:top w:val="none" w:sz="0" w:space="0" w:color="auto"/>
                    <w:left w:val="none" w:sz="0" w:space="0" w:color="auto"/>
                    <w:bottom w:val="none" w:sz="0" w:space="0" w:color="auto"/>
                    <w:right w:val="none" w:sz="0" w:space="0" w:color="auto"/>
                  </w:divBdr>
                </w:div>
                <w:div w:id="923107096">
                  <w:marLeft w:val="0"/>
                  <w:marRight w:val="0"/>
                  <w:marTop w:val="0"/>
                  <w:marBottom w:val="0"/>
                  <w:divBdr>
                    <w:top w:val="none" w:sz="0" w:space="0" w:color="auto"/>
                    <w:left w:val="none" w:sz="0" w:space="0" w:color="auto"/>
                    <w:bottom w:val="none" w:sz="0" w:space="0" w:color="auto"/>
                    <w:right w:val="none" w:sz="0" w:space="0" w:color="auto"/>
                  </w:divBdr>
                </w:div>
                <w:div w:id="2007201593">
                  <w:marLeft w:val="0"/>
                  <w:marRight w:val="0"/>
                  <w:marTop w:val="0"/>
                  <w:marBottom w:val="0"/>
                  <w:divBdr>
                    <w:top w:val="none" w:sz="0" w:space="0" w:color="auto"/>
                    <w:left w:val="none" w:sz="0" w:space="0" w:color="auto"/>
                    <w:bottom w:val="none" w:sz="0" w:space="0" w:color="auto"/>
                    <w:right w:val="none" w:sz="0" w:space="0" w:color="auto"/>
                  </w:divBdr>
                </w:div>
                <w:div w:id="1784768546">
                  <w:marLeft w:val="0"/>
                  <w:marRight w:val="0"/>
                  <w:marTop w:val="0"/>
                  <w:marBottom w:val="0"/>
                  <w:divBdr>
                    <w:top w:val="none" w:sz="0" w:space="0" w:color="auto"/>
                    <w:left w:val="none" w:sz="0" w:space="0" w:color="auto"/>
                    <w:bottom w:val="none" w:sz="0" w:space="0" w:color="auto"/>
                    <w:right w:val="none" w:sz="0" w:space="0" w:color="auto"/>
                  </w:divBdr>
                </w:div>
                <w:div w:id="2085949883">
                  <w:marLeft w:val="0"/>
                  <w:marRight w:val="0"/>
                  <w:marTop w:val="0"/>
                  <w:marBottom w:val="0"/>
                  <w:divBdr>
                    <w:top w:val="none" w:sz="0" w:space="0" w:color="auto"/>
                    <w:left w:val="none" w:sz="0" w:space="0" w:color="auto"/>
                    <w:bottom w:val="none" w:sz="0" w:space="0" w:color="auto"/>
                    <w:right w:val="none" w:sz="0" w:space="0" w:color="auto"/>
                  </w:divBdr>
                </w:div>
                <w:div w:id="916017562">
                  <w:marLeft w:val="0"/>
                  <w:marRight w:val="0"/>
                  <w:marTop w:val="0"/>
                  <w:marBottom w:val="0"/>
                  <w:divBdr>
                    <w:top w:val="none" w:sz="0" w:space="0" w:color="auto"/>
                    <w:left w:val="none" w:sz="0" w:space="0" w:color="auto"/>
                    <w:bottom w:val="none" w:sz="0" w:space="0" w:color="auto"/>
                    <w:right w:val="none" w:sz="0" w:space="0" w:color="auto"/>
                  </w:divBdr>
                </w:div>
                <w:div w:id="768041652">
                  <w:marLeft w:val="0"/>
                  <w:marRight w:val="0"/>
                  <w:marTop w:val="0"/>
                  <w:marBottom w:val="0"/>
                  <w:divBdr>
                    <w:top w:val="none" w:sz="0" w:space="0" w:color="auto"/>
                    <w:left w:val="none" w:sz="0" w:space="0" w:color="auto"/>
                    <w:bottom w:val="none" w:sz="0" w:space="0" w:color="auto"/>
                    <w:right w:val="none" w:sz="0" w:space="0" w:color="auto"/>
                  </w:divBdr>
                </w:div>
                <w:div w:id="1169255059">
                  <w:marLeft w:val="0"/>
                  <w:marRight w:val="0"/>
                  <w:marTop w:val="0"/>
                  <w:marBottom w:val="0"/>
                  <w:divBdr>
                    <w:top w:val="none" w:sz="0" w:space="0" w:color="auto"/>
                    <w:left w:val="none" w:sz="0" w:space="0" w:color="auto"/>
                    <w:bottom w:val="none" w:sz="0" w:space="0" w:color="auto"/>
                    <w:right w:val="none" w:sz="0" w:space="0" w:color="auto"/>
                  </w:divBdr>
                </w:div>
                <w:div w:id="1067990726">
                  <w:marLeft w:val="0"/>
                  <w:marRight w:val="0"/>
                  <w:marTop w:val="0"/>
                  <w:marBottom w:val="0"/>
                  <w:divBdr>
                    <w:top w:val="none" w:sz="0" w:space="0" w:color="auto"/>
                    <w:left w:val="none" w:sz="0" w:space="0" w:color="auto"/>
                    <w:bottom w:val="none" w:sz="0" w:space="0" w:color="auto"/>
                    <w:right w:val="none" w:sz="0" w:space="0" w:color="auto"/>
                  </w:divBdr>
                </w:div>
                <w:div w:id="1546021688">
                  <w:marLeft w:val="0"/>
                  <w:marRight w:val="0"/>
                  <w:marTop w:val="0"/>
                  <w:marBottom w:val="0"/>
                  <w:divBdr>
                    <w:top w:val="none" w:sz="0" w:space="0" w:color="auto"/>
                    <w:left w:val="none" w:sz="0" w:space="0" w:color="auto"/>
                    <w:bottom w:val="none" w:sz="0" w:space="0" w:color="auto"/>
                    <w:right w:val="none" w:sz="0" w:space="0" w:color="auto"/>
                  </w:divBdr>
                </w:div>
                <w:div w:id="1942178704">
                  <w:marLeft w:val="0"/>
                  <w:marRight w:val="0"/>
                  <w:marTop w:val="0"/>
                  <w:marBottom w:val="0"/>
                  <w:divBdr>
                    <w:top w:val="none" w:sz="0" w:space="0" w:color="auto"/>
                    <w:left w:val="none" w:sz="0" w:space="0" w:color="auto"/>
                    <w:bottom w:val="none" w:sz="0" w:space="0" w:color="auto"/>
                    <w:right w:val="none" w:sz="0" w:space="0" w:color="auto"/>
                  </w:divBdr>
                </w:div>
                <w:div w:id="1998848208">
                  <w:marLeft w:val="0"/>
                  <w:marRight w:val="0"/>
                  <w:marTop w:val="0"/>
                  <w:marBottom w:val="0"/>
                  <w:divBdr>
                    <w:top w:val="none" w:sz="0" w:space="0" w:color="auto"/>
                    <w:left w:val="none" w:sz="0" w:space="0" w:color="auto"/>
                    <w:bottom w:val="none" w:sz="0" w:space="0" w:color="auto"/>
                    <w:right w:val="none" w:sz="0" w:space="0" w:color="auto"/>
                  </w:divBdr>
                </w:div>
                <w:div w:id="648169649">
                  <w:marLeft w:val="0"/>
                  <w:marRight w:val="0"/>
                  <w:marTop w:val="0"/>
                  <w:marBottom w:val="0"/>
                  <w:divBdr>
                    <w:top w:val="none" w:sz="0" w:space="0" w:color="auto"/>
                    <w:left w:val="none" w:sz="0" w:space="0" w:color="auto"/>
                    <w:bottom w:val="none" w:sz="0" w:space="0" w:color="auto"/>
                    <w:right w:val="none" w:sz="0" w:space="0" w:color="auto"/>
                  </w:divBdr>
                </w:div>
                <w:div w:id="1212110613">
                  <w:marLeft w:val="0"/>
                  <w:marRight w:val="0"/>
                  <w:marTop w:val="0"/>
                  <w:marBottom w:val="0"/>
                  <w:divBdr>
                    <w:top w:val="none" w:sz="0" w:space="0" w:color="auto"/>
                    <w:left w:val="none" w:sz="0" w:space="0" w:color="auto"/>
                    <w:bottom w:val="none" w:sz="0" w:space="0" w:color="auto"/>
                    <w:right w:val="none" w:sz="0" w:space="0" w:color="auto"/>
                  </w:divBdr>
                </w:div>
                <w:div w:id="1731802308">
                  <w:marLeft w:val="0"/>
                  <w:marRight w:val="0"/>
                  <w:marTop w:val="0"/>
                  <w:marBottom w:val="0"/>
                  <w:divBdr>
                    <w:top w:val="none" w:sz="0" w:space="0" w:color="auto"/>
                    <w:left w:val="none" w:sz="0" w:space="0" w:color="auto"/>
                    <w:bottom w:val="none" w:sz="0" w:space="0" w:color="auto"/>
                    <w:right w:val="none" w:sz="0" w:space="0" w:color="auto"/>
                  </w:divBdr>
                </w:div>
                <w:div w:id="1212377665">
                  <w:marLeft w:val="0"/>
                  <w:marRight w:val="0"/>
                  <w:marTop w:val="0"/>
                  <w:marBottom w:val="0"/>
                  <w:divBdr>
                    <w:top w:val="none" w:sz="0" w:space="0" w:color="auto"/>
                    <w:left w:val="none" w:sz="0" w:space="0" w:color="auto"/>
                    <w:bottom w:val="none" w:sz="0" w:space="0" w:color="auto"/>
                    <w:right w:val="none" w:sz="0" w:space="0" w:color="auto"/>
                  </w:divBdr>
                </w:div>
                <w:div w:id="1629120126">
                  <w:marLeft w:val="0"/>
                  <w:marRight w:val="0"/>
                  <w:marTop w:val="0"/>
                  <w:marBottom w:val="0"/>
                  <w:divBdr>
                    <w:top w:val="none" w:sz="0" w:space="0" w:color="auto"/>
                    <w:left w:val="none" w:sz="0" w:space="0" w:color="auto"/>
                    <w:bottom w:val="none" w:sz="0" w:space="0" w:color="auto"/>
                    <w:right w:val="none" w:sz="0" w:space="0" w:color="auto"/>
                  </w:divBdr>
                </w:div>
                <w:div w:id="553590412">
                  <w:marLeft w:val="0"/>
                  <w:marRight w:val="0"/>
                  <w:marTop w:val="0"/>
                  <w:marBottom w:val="0"/>
                  <w:divBdr>
                    <w:top w:val="none" w:sz="0" w:space="0" w:color="auto"/>
                    <w:left w:val="none" w:sz="0" w:space="0" w:color="auto"/>
                    <w:bottom w:val="none" w:sz="0" w:space="0" w:color="auto"/>
                    <w:right w:val="none" w:sz="0" w:space="0" w:color="auto"/>
                  </w:divBdr>
                </w:div>
                <w:div w:id="1979216694">
                  <w:marLeft w:val="0"/>
                  <w:marRight w:val="0"/>
                  <w:marTop w:val="0"/>
                  <w:marBottom w:val="0"/>
                  <w:divBdr>
                    <w:top w:val="none" w:sz="0" w:space="0" w:color="auto"/>
                    <w:left w:val="none" w:sz="0" w:space="0" w:color="auto"/>
                    <w:bottom w:val="none" w:sz="0" w:space="0" w:color="auto"/>
                    <w:right w:val="none" w:sz="0" w:space="0" w:color="auto"/>
                  </w:divBdr>
                </w:div>
                <w:div w:id="263265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5505483">
      <w:bodyDiv w:val="1"/>
      <w:marLeft w:val="0"/>
      <w:marRight w:val="0"/>
      <w:marTop w:val="0"/>
      <w:marBottom w:val="0"/>
      <w:divBdr>
        <w:top w:val="none" w:sz="0" w:space="0" w:color="auto"/>
        <w:left w:val="none" w:sz="0" w:space="0" w:color="auto"/>
        <w:bottom w:val="none" w:sz="0" w:space="0" w:color="auto"/>
        <w:right w:val="none" w:sz="0" w:space="0" w:color="auto"/>
      </w:divBdr>
      <w:divsChild>
        <w:div w:id="254366654">
          <w:marLeft w:val="0"/>
          <w:marRight w:val="0"/>
          <w:marTop w:val="180"/>
          <w:marBottom w:val="240"/>
          <w:divBdr>
            <w:top w:val="none" w:sz="0" w:space="0" w:color="auto"/>
            <w:left w:val="none" w:sz="0" w:space="0" w:color="auto"/>
            <w:bottom w:val="none" w:sz="0" w:space="0" w:color="auto"/>
            <w:right w:val="none" w:sz="0" w:space="0" w:color="auto"/>
          </w:divBdr>
        </w:div>
        <w:div w:id="1048532077">
          <w:marLeft w:val="0"/>
          <w:marRight w:val="0"/>
          <w:marTop w:val="180"/>
          <w:marBottom w:val="240"/>
          <w:divBdr>
            <w:top w:val="none" w:sz="0" w:space="0" w:color="auto"/>
            <w:left w:val="none" w:sz="0" w:space="0" w:color="auto"/>
            <w:bottom w:val="none" w:sz="0" w:space="0" w:color="auto"/>
            <w:right w:val="none" w:sz="0" w:space="0" w:color="auto"/>
          </w:divBdr>
        </w:div>
        <w:div w:id="1921986064">
          <w:marLeft w:val="0"/>
          <w:marRight w:val="0"/>
          <w:marTop w:val="180"/>
          <w:marBottom w:val="240"/>
          <w:divBdr>
            <w:top w:val="none" w:sz="0" w:space="0" w:color="auto"/>
            <w:left w:val="none" w:sz="0" w:space="0" w:color="auto"/>
            <w:bottom w:val="none" w:sz="0" w:space="0" w:color="auto"/>
            <w:right w:val="none" w:sz="0" w:space="0" w:color="auto"/>
          </w:divBdr>
        </w:div>
        <w:div w:id="510602858">
          <w:marLeft w:val="0"/>
          <w:marRight w:val="0"/>
          <w:marTop w:val="180"/>
          <w:marBottom w:val="240"/>
          <w:divBdr>
            <w:top w:val="none" w:sz="0" w:space="0" w:color="auto"/>
            <w:left w:val="none" w:sz="0" w:space="0" w:color="auto"/>
            <w:bottom w:val="none" w:sz="0" w:space="0" w:color="auto"/>
            <w:right w:val="none" w:sz="0" w:space="0" w:color="auto"/>
          </w:divBdr>
        </w:div>
        <w:div w:id="1020009484">
          <w:marLeft w:val="0"/>
          <w:marRight w:val="0"/>
          <w:marTop w:val="180"/>
          <w:marBottom w:val="240"/>
          <w:divBdr>
            <w:top w:val="none" w:sz="0" w:space="0" w:color="auto"/>
            <w:left w:val="none" w:sz="0" w:space="0" w:color="auto"/>
            <w:bottom w:val="none" w:sz="0" w:space="0" w:color="auto"/>
            <w:right w:val="none" w:sz="0" w:space="0" w:color="auto"/>
          </w:divBdr>
        </w:div>
        <w:div w:id="45301779">
          <w:marLeft w:val="0"/>
          <w:marRight w:val="0"/>
          <w:marTop w:val="180"/>
          <w:marBottom w:val="240"/>
          <w:divBdr>
            <w:top w:val="none" w:sz="0" w:space="0" w:color="auto"/>
            <w:left w:val="none" w:sz="0" w:space="0" w:color="auto"/>
            <w:bottom w:val="none" w:sz="0" w:space="0" w:color="auto"/>
            <w:right w:val="none" w:sz="0" w:space="0" w:color="auto"/>
          </w:divBdr>
        </w:div>
        <w:div w:id="608582651">
          <w:marLeft w:val="0"/>
          <w:marRight w:val="0"/>
          <w:marTop w:val="180"/>
          <w:marBottom w:val="240"/>
          <w:divBdr>
            <w:top w:val="none" w:sz="0" w:space="0" w:color="auto"/>
            <w:left w:val="none" w:sz="0" w:space="0" w:color="auto"/>
            <w:bottom w:val="none" w:sz="0" w:space="0" w:color="auto"/>
            <w:right w:val="none" w:sz="0" w:space="0" w:color="auto"/>
          </w:divBdr>
        </w:div>
        <w:div w:id="755130758">
          <w:marLeft w:val="0"/>
          <w:marRight w:val="0"/>
          <w:marTop w:val="180"/>
          <w:marBottom w:val="240"/>
          <w:divBdr>
            <w:top w:val="none" w:sz="0" w:space="0" w:color="auto"/>
            <w:left w:val="none" w:sz="0" w:space="0" w:color="auto"/>
            <w:bottom w:val="none" w:sz="0" w:space="0" w:color="auto"/>
            <w:right w:val="none" w:sz="0" w:space="0" w:color="auto"/>
          </w:divBdr>
        </w:div>
        <w:div w:id="1819958516">
          <w:marLeft w:val="0"/>
          <w:marRight w:val="0"/>
          <w:marTop w:val="180"/>
          <w:marBottom w:val="240"/>
          <w:divBdr>
            <w:top w:val="none" w:sz="0" w:space="0" w:color="auto"/>
            <w:left w:val="none" w:sz="0" w:space="0" w:color="auto"/>
            <w:bottom w:val="none" w:sz="0" w:space="0" w:color="auto"/>
            <w:right w:val="none" w:sz="0" w:space="0" w:color="auto"/>
          </w:divBdr>
        </w:div>
        <w:div w:id="820195982">
          <w:marLeft w:val="0"/>
          <w:marRight w:val="0"/>
          <w:marTop w:val="180"/>
          <w:marBottom w:val="240"/>
          <w:divBdr>
            <w:top w:val="none" w:sz="0" w:space="0" w:color="auto"/>
            <w:left w:val="none" w:sz="0" w:space="0" w:color="auto"/>
            <w:bottom w:val="none" w:sz="0" w:space="0" w:color="auto"/>
            <w:right w:val="none" w:sz="0" w:space="0" w:color="auto"/>
          </w:divBdr>
        </w:div>
        <w:div w:id="2112705479">
          <w:marLeft w:val="0"/>
          <w:marRight w:val="0"/>
          <w:marTop w:val="180"/>
          <w:marBottom w:val="240"/>
          <w:divBdr>
            <w:top w:val="none" w:sz="0" w:space="0" w:color="auto"/>
            <w:left w:val="none" w:sz="0" w:space="0" w:color="auto"/>
            <w:bottom w:val="none" w:sz="0" w:space="0" w:color="auto"/>
            <w:right w:val="none" w:sz="0" w:space="0" w:color="auto"/>
          </w:divBdr>
        </w:div>
        <w:div w:id="539900671">
          <w:marLeft w:val="0"/>
          <w:marRight w:val="0"/>
          <w:marTop w:val="180"/>
          <w:marBottom w:val="240"/>
          <w:divBdr>
            <w:top w:val="none" w:sz="0" w:space="0" w:color="auto"/>
            <w:left w:val="none" w:sz="0" w:space="0" w:color="auto"/>
            <w:bottom w:val="none" w:sz="0" w:space="0" w:color="auto"/>
            <w:right w:val="none" w:sz="0" w:space="0" w:color="auto"/>
          </w:divBdr>
        </w:div>
        <w:div w:id="1911621398">
          <w:marLeft w:val="0"/>
          <w:marRight w:val="0"/>
          <w:marTop w:val="180"/>
          <w:marBottom w:val="240"/>
          <w:divBdr>
            <w:top w:val="none" w:sz="0" w:space="0" w:color="auto"/>
            <w:left w:val="none" w:sz="0" w:space="0" w:color="auto"/>
            <w:bottom w:val="none" w:sz="0" w:space="0" w:color="auto"/>
            <w:right w:val="none" w:sz="0" w:space="0" w:color="auto"/>
          </w:divBdr>
        </w:div>
        <w:div w:id="1919554335">
          <w:marLeft w:val="0"/>
          <w:marRight w:val="0"/>
          <w:marTop w:val="180"/>
          <w:marBottom w:val="240"/>
          <w:divBdr>
            <w:top w:val="none" w:sz="0" w:space="0" w:color="auto"/>
            <w:left w:val="none" w:sz="0" w:space="0" w:color="auto"/>
            <w:bottom w:val="none" w:sz="0" w:space="0" w:color="auto"/>
            <w:right w:val="none" w:sz="0" w:space="0" w:color="auto"/>
          </w:divBdr>
        </w:div>
        <w:div w:id="616713511">
          <w:marLeft w:val="0"/>
          <w:marRight w:val="0"/>
          <w:marTop w:val="180"/>
          <w:marBottom w:val="240"/>
          <w:divBdr>
            <w:top w:val="none" w:sz="0" w:space="0" w:color="auto"/>
            <w:left w:val="none" w:sz="0" w:space="0" w:color="auto"/>
            <w:bottom w:val="none" w:sz="0" w:space="0" w:color="auto"/>
            <w:right w:val="none" w:sz="0" w:space="0" w:color="auto"/>
          </w:divBdr>
        </w:div>
        <w:div w:id="1745293504">
          <w:marLeft w:val="0"/>
          <w:marRight w:val="0"/>
          <w:marTop w:val="180"/>
          <w:marBottom w:val="240"/>
          <w:divBdr>
            <w:top w:val="none" w:sz="0" w:space="0" w:color="auto"/>
            <w:left w:val="none" w:sz="0" w:space="0" w:color="auto"/>
            <w:bottom w:val="none" w:sz="0" w:space="0" w:color="auto"/>
            <w:right w:val="none" w:sz="0" w:space="0" w:color="auto"/>
          </w:divBdr>
        </w:div>
        <w:div w:id="731273705">
          <w:marLeft w:val="0"/>
          <w:marRight w:val="0"/>
          <w:marTop w:val="180"/>
          <w:marBottom w:val="240"/>
          <w:divBdr>
            <w:top w:val="none" w:sz="0" w:space="0" w:color="auto"/>
            <w:left w:val="none" w:sz="0" w:space="0" w:color="auto"/>
            <w:bottom w:val="none" w:sz="0" w:space="0" w:color="auto"/>
            <w:right w:val="none" w:sz="0" w:space="0" w:color="auto"/>
          </w:divBdr>
        </w:div>
        <w:div w:id="1930431429">
          <w:marLeft w:val="0"/>
          <w:marRight w:val="0"/>
          <w:marTop w:val="180"/>
          <w:marBottom w:val="240"/>
          <w:divBdr>
            <w:top w:val="none" w:sz="0" w:space="0" w:color="auto"/>
            <w:left w:val="none" w:sz="0" w:space="0" w:color="auto"/>
            <w:bottom w:val="none" w:sz="0" w:space="0" w:color="auto"/>
            <w:right w:val="none" w:sz="0" w:space="0" w:color="auto"/>
          </w:divBdr>
        </w:div>
        <w:div w:id="561910966">
          <w:marLeft w:val="0"/>
          <w:marRight w:val="0"/>
          <w:marTop w:val="180"/>
          <w:marBottom w:val="240"/>
          <w:divBdr>
            <w:top w:val="none" w:sz="0" w:space="0" w:color="auto"/>
            <w:left w:val="none" w:sz="0" w:space="0" w:color="auto"/>
            <w:bottom w:val="none" w:sz="0" w:space="0" w:color="auto"/>
            <w:right w:val="none" w:sz="0" w:space="0" w:color="auto"/>
          </w:divBdr>
        </w:div>
        <w:div w:id="575625426">
          <w:marLeft w:val="0"/>
          <w:marRight w:val="0"/>
          <w:marTop w:val="180"/>
          <w:marBottom w:val="240"/>
          <w:divBdr>
            <w:top w:val="none" w:sz="0" w:space="0" w:color="auto"/>
            <w:left w:val="none" w:sz="0" w:space="0" w:color="auto"/>
            <w:bottom w:val="none" w:sz="0" w:space="0" w:color="auto"/>
            <w:right w:val="none" w:sz="0" w:space="0" w:color="auto"/>
          </w:divBdr>
        </w:div>
        <w:div w:id="321157284">
          <w:marLeft w:val="0"/>
          <w:marRight w:val="0"/>
          <w:marTop w:val="180"/>
          <w:marBottom w:val="240"/>
          <w:divBdr>
            <w:top w:val="none" w:sz="0" w:space="0" w:color="auto"/>
            <w:left w:val="none" w:sz="0" w:space="0" w:color="auto"/>
            <w:bottom w:val="none" w:sz="0" w:space="0" w:color="auto"/>
            <w:right w:val="none" w:sz="0" w:space="0" w:color="auto"/>
          </w:divBdr>
        </w:div>
        <w:div w:id="1514610565">
          <w:marLeft w:val="0"/>
          <w:marRight w:val="0"/>
          <w:marTop w:val="180"/>
          <w:marBottom w:val="240"/>
          <w:divBdr>
            <w:top w:val="none" w:sz="0" w:space="0" w:color="auto"/>
            <w:left w:val="none" w:sz="0" w:space="0" w:color="auto"/>
            <w:bottom w:val="none" w:sz="0" w:space="0" w:color="auto"/>
            <w:right w:val="none" w:sz="0" w:space="0" w:color="auto"/>
          </w:divBdr>
        </w:div>
      </w:divsChild>
    </w:div>
    <w:div w:id="1463189037">
      <w:bodyDiv w:val="1"/>
      <w:marLeft w:val="0"/>
      <w:marRight w:val="0"/>
      <w:marTop w:val="0"/>
      <w:marBottom w:val="0"/>
      <w:divBdr>
        <w:top w:val="none" w:sz="0" w:space="0" w:color="auto"/>
        <w:left w:val="none" w:sz="0" w:space="0" w:color="auto"/>
        <w:bottom w:val="none" w:sz="0" w:space="0" w:color="auto"/>
        <w:right w:val="none" w:sz="0" w:space="0" w:color="auto"/>
      </w:divBdr>
    </w:div>
    <w:div w:id="1486314318">
      <w:bodyDiv w:val="1"/>
      <w:marLeft w:val="0"/>
      <w:marRight w:val="0"/>
      <w:marTop w:val="0"/>
      <w:marBottom w:val="0"/>
      <w:divBdr>
        <w:top w:val="none" w:sz="0" w:space="0" w:color="auto"/>
        <w:left w:val="none" w:sz="0" w:space="0" w:color="auto"/>
        <w:bottom w:val="none" w:sz="0" w:space="0" w:color="auto"/>
        <w:right w:val="none" w:sz="0" w:space="0" w:color="auto"/>
      </w:divBdr>
    </w:div>
    <w:div w:id="1526361297">
      <w:bodyDiv w:val="1"/>
      <w:marLeft w:val="0"/>
      <w:marRight w:val="0"/>
      <w:marTop w:val="0"/>
      <w:marBottom w:val="0"/>
      <w:divBdr>
        <w:top w:val="none" w:sz="0" w:space="0" w:color="auto"/>
        <w:left w:val="none" w:sz="0" w:space="0" w:color="auto"/>
        <w:bottom w:val="none" w:sz="0" w:space="0" w:color="auto"/>
        <w:right w:val="none" w:sz="0" w:space="0" w:color="auto"/>
      </w:divBdr>
    </w:div>
    <w:div w:id="1616862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o.org.uk/reports/investigation-wannacry-cyber-attack-and-the-nhs/" TargetMode="External"/><Relationship Id="rId13" Type="http://schemas.openxmlformats.org/officeDocument/2006/relationships/hyperlink" Target="https://www.nuffieldtrust.org.uk/topic/digital-health-and-care" TargetMode="External"/><Relationship Id="rId18" Type="http://schemas.microsoft.com/office/2020/10/relationships/intelligence" Target="intelligence2.xml"/><Relationship Id="rId3" Type="http://schemas.openxmlformats.org/officeDocument/2006/relationships/webSettings" Target="webSettings.xml"/><Relationship Id="rId7" Type="http://schemas.openxmlformats.org/officeDocument/2006/relationships/hyperlink" Target="https://www.legislation.gov.uk/ukpga/2018/12/contents" TargetMode="External"/><Relationship Id="rId12" Type="http://schemas.openxmlformats.org/officeDocument/2006/relationships/hyperlink" Target="https://www.england.nhs.uk/digitaltechnology/digitising-the-frontline/"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england.nhs.uk/long-read/inclusive-digital-healthcare-a-framework-for-nhs-action-on-digital-inclusion/" TargetMode="External"/><Relationship Id="rId5" Type="http://schemas.openxmlformats.org/officeDocument/2006/relationships/endnotes" Target="endnotes.xml"/><Relationship Id="rId15" Type="http://schemas.openxmlformats.org/officeDocument/2006/relationships/hyperlink" Target="https://www.legislation.gov.uk/eur/2016/679" TargetMode="External"/><Relationship Id="rId10" Type="http://schemas.openxmlformats.org/officeDocument/2006/relationships/hyperlink" Target="https://www.longtermplan.nhs.uk/" TargetMode="External"/><Relationship Id="rId4" Type="http://schemas.openxmlformats.org/officeDocument/2006/relationships/footnotes" Target="footnotes.xml"/><Relationship Id="rId9" Type="http://schemas.openxmlformats.org/officeDocument/2006/relationships/hyperlink" Target="https://www.nao.org.uk/reports/digital-transformation-in-the-nhs/" TargetMode="External"/><Relationship Id="rId14" Type="http://schemas.openxmlformats.org/officeDocument/2006/relationships/hyperlink" Target="https://www.kingsfund.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142</TotalTime>
  <Pages>9</Pages>
  <Words>2715</Words>
  <Characters>15482</Characters>
  <Application>Microsoft Office Word</Application>
  <DocSecurity>0</DocSecurity>
  <Lines>129</Lines>
  <Paragraphs>36</Paragraphs>
  <ScaleCrop>false</ScaleCrop>
  <Company/>
  <LinksUpToDate>false</LinksUpToDate>
  <CharactersWithSpaces>18161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Margaret Fernandes Varela Landim (2335559)</dc:creator>
  <cp:keywords/>
  <dc:description/>
  <cp:lastModifiedBy>Margaret Fernandes Varela Landim (2335559)</cp:lastModifiedBy>
  <cp:revision>51</cp:revision>
  <dcterms:created xsi:type="dcterms:W3CDTF">2026-07-11T14:53:00Z</dcterms:created>
  <dcterms:modified xsi:type="dcterms:W3CDTF">2026-07-19T23:14:00Z</dcterms:modified>
</cp:coreProperties>
</file>