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332713327"/>
        <w:docPartObj>
          <w:docPartGallery w:val="Cover Pages"/>
          <w:docPartUnique/>
        </w:docPartObj>
      </w:sdtPr>
      <w:sdtEndPr>
        <w:rPr>
          <w:color w:val="auto"/>
        </w:rPr>
      </w:sdtEndPr>
      <w:sdtContent>
        <w:p w14:paraId="0FDAF4E2" w14:textId="1981E840" w:rsidR="002072EC" w:rsidRDefault="002072EC">
          <w:pPr>
            <w:pStyle w:val="NoSpacing"/>
            <w:spacing w:before="1540" w:after="240"/>
            <w:jc w:val="center"/>
            <w:rPr>
              <w:color w:val="156082" w:themeColor="accent1"/>
            </w:rPr>
          </w:pPr>
          <w:r>
            <w:rPr>
              <w:noProof/>
              <w:color w:val="156082" w:themeColor="accent1"/>
            </w:rPr>
            <w:drawing>
              <wp:inline distT="0" distB="0" distL="0" distR="0" wp14:anchorId="4E461827" wp14:editId="72198115">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156082" w:themeColor="accent1"/>
              <w:sz w:val="48"/>
              <w:szCs w:val="48"/>
            </w:rPr>
            <w:alias w:val="Title"/>
            <w:tag w:val=""/>
            <w:id w:val="1735040861"/>
            <w:placeholder>
              <w:docPart w:val="10096F0087F24AB08B5A828B1C766397"/>
            </w:placeholder>
            <w:dataBinding w:prefixMappings="xmlns:ns0='http://purl.org/dc/elements/1.1/' xmlns:ns1='http://schemas.openxmlformats.org/package/2006/metadata/core-properties' " w:xpath="/ns1:coreProperties[1]/ns0:title[1]" w:storeItemID="{6C3C8BC8-F283-45AE-878A-BAB7291924A1}"/>
            <w:text/>
          </w:sdtPr>
          <w:sdtEndPr/>
          <w:sdtContent>
            <w:p w14:paraId="5DF1478F" w14:textId="30CB3F29" w:rsidR="002072EC" w:rsidRPr="007E70A5" w:rsidRDefault="001447E9">
              <w:pPr>
                <w:pStyle w:val="NoSpacing"/>
                <w:pBdr>
                  <w:top w:val="single" w:sz="6" w:space="6" w:color="156082" w:themeColor="accent1"/>
                  <w:bottom w:val="single" w:sz="6" w:space="6" w:color="156082" w:themeColor="accent1"/>
                </w:pBdr>
                <w:spacing w:after="240"/>
                <w:jc w:val="center"/>
                <w:rPr>
                  <w:rFonts w:ascii="Arial" w:eastAsiaTheme="majorEastAsia" w:hAnsi="Arial" w:cs="Arial"/>
                  <w:b/>
                  <w:bCs/>
                  <w:caps/>
                  <w:color w:val="156082" w:themeColor="accent1"/>
                  <w:sz w:val="48"/>
                  <w:szCs w:val="48"/>
                </w:rPr>
              </w:pPr>
              <w:r>
                <w:rPr>
                  <w:rFonts w:ascii="Arial" w:eastAsiaTheme="majorEastAsia" w:hAnsi="Arial" w:cs="Arial"/>
                  <w:b/>
                  <w:bCs/>
                  <w:caps/>
                  <w:color w:val="156082" w:themeColor="accent1"/>
                  <w:sz w:val="48"/>
                  <w:szCs w:val="48"/>
                </w:rPr>
                <w:t>o</w:t>
              </w:r>
              <w:r w:rsidR="00BE47BF">
                <w:rPr>
                  <w:rFonts w:ascii="Arial" w:eastAsiaTheme="majorEastAsia" w:hAnsi="Arial" w:cs="Arial"/>
                  <w:b/>
                  <w:bCs/>
                  <w:caps/>
                  <w:color w:val="156082" w:themeColor="accent1"/>
                  <w:sz w:val="48"/>
                  <w:szCs w:val="48"/>
                </w:rPr>
                <w:t>rganisation culture</w:t>
              </w:r>
              <w:r w:rsidR="00B72CAF" w:rsidRPr="00BF5B24">
                <w:rPr>
                  <w:rFonts w:ascii="Arial" w:eastAsiaTheme="majorEastAsia" w:hAnsi="Arial" w:cs="Arial"/>
                  <w:b/>
                  <w:bCs/>
                  <w:caps/>
                  <w:color w:val="156082" w:themeColor="accent1"/>
                  <w:sz w:val="48"/>
                  <w:szCs w:val="48"/>
                </w:rPr>
                <w:t xml:space="preserve"> OF TESCO</w:t>
              </w:r>
            </w:p>
          </w:sdtContent>
        </w:sdt>
        <w:p w14:paraId="6C3527D5" w14:textId="3236C155" w:rsidR="002072EC" w:rsidRPr="00BF5B24" w:rsidRDefault="00900191">
          <w:pPr>
            <w:pStyle w:val="NoSpacing"/>
            <w:spacing w:before="480"/>
            <w:jc w:val="center"/>
            <w:rPr>
              <w:rFonts w:ascii="Arial" w:hAnsi="Arial" w:cs="Arial"/>
              <w:color w:val="156082" w:themeColor="accent1"/>
            </w:rPr>
          </w:pPr>
          <w:r w:rsidRPr="00BF5B24">
            <w:rPr>
              <w:rFonts w:ascii="Arial" w:hAnsi="Arial" w:cs="Arial"/>
              <w:b/>
              <w:bCs/>
              <w:color w:val="156082" w:themeColor="accent1"/>
              <w:sz w:val="36"/>
              <w:szCs w:val="36"/>
            </w:rPr>
            <w:t>MODULE CODE (LCLM5005</w:t>
          </w:r>
          <w:r w:rsidRPr="00BF5B24">
            <w:rPr>
              <w:rFonts w:ascii="Arial" w:hAnsi="Arial" w:cs="Arial"/>
              <w:color w:val="156082" w:themeColor="accent1"/>
              <w:sz w:val="28"/>
              <w:szCs w:val="28"/>
            </w:rPr>
            <w:t>)</w:t>
          </w:r>
          <w:r w:rsidR="002072EC" w:rsidRPr="00BF5B24">
            <w:rPr>
              <w:rFonts w:ascii="Arial" w:hAnsi="Arial" w:cs="Arial"/>
              <w:noProof/>
              <w:color w:val="156082" w:themeColor="accent1"/>
            </w:rPr>
            <w:drawing>
              <wp:inline distT="0" distB="0" distL="0" distR="0" wp14:anchorId="5AFA1BD5" wp14:editId="255C2A01">
                <wp:extent cx="758727" cy="250190"/>
                <wp:effectExtent l="0" t="0" r="3810"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75246" cy="255637"/>
                        </a:xfrm>
                        <a:prstGeom prst="rect">
                          <a:avLst/>
                        </a:prstGeom>
                      </pic:spPr>
                    </pic:pic>
                  </a:graphicData>
                </a:graphic>
              </wp:inline>
            </w:drawing>
          </w:r>
        </w:p>
        <w:p w14:paraId="35CE60DA" w14:textId="09A9BF47" w:rsidR="002072EC" w:rsidRDefault="00900191">
          <w:r>
            <w:rPr>
              <w:noProof/>
              <w:color w:val="156082" w:themeColor="accent1"/>
            </w:rPr>
            <mc:AlternateContent>
              <mc:Choice Requires="wps">
                <w:drawing>
                  <wp:anchor distT="0" distB="0" distL="114300" distR="114300" simplePos="0" relativeHeight="251659264" behindDoc="0" locked="0" layoutInCell="1" allowOverlap="1" wp14:anchorId="5779F891" wp14:editId="5E18AEDE">
                    <wp:simplePos x="0" y="0"/>
                    <wp:positionH relativeFrom="margin">
                      <wp:align>left</wp:align>
                    </wp:positionH>
                    <wp:positionV relativeFrom="page">
                      <wp:posOffset>6940550</wp:posOffset>
                    </wp:positionV>
                    <wp:extent cx="5772150" cy="2463800"/>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5772150" cy="2463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6-04-19T00:00:00Z">
                                    <w:dateFormat w:val="dd MMMM yyyy"/>
                                    <w:lid w:val="en-GB"/>
                                    <w:storeMappedDataAs w:val="dateTime"/>
                                    <w:calendar w:val="gregorian"/>
                                  </w:date>
                                </w:sdtPr>
                                <w:sdtEndPr/>
                                <w:sdtContent>
                                  <w:p w14:paraId="353B9DB3" w14:textId="2FA43AC0" w:rsidR="002072EC" w:rsidRDefault="00635D70">
                                    <w:pPr>
                                      <w:pStyle w:val="NoSpacing"/>
                                      <w:spacing w:after="40"/>
                                      <w:jc w:val="center"/>
                                      <w:rPr>
                                        <w:caps/>
                                        <w:color w:val="156082" w:themeColor="accent1"/>
                                        <w:sz w:val="28"/>
                                        <w:szCs w:val="28"/>
                                      </w:rPr>
                                    </w:pPr>
                                    <w:r w:rsidRPr="00BF5B24">
                                      <w:rPr>
                                        <w:rFonts w:ascii="Arial" w:hAnsi="Arial" w:cs="Arial"/>
                                        <w:b/>
                                        <w:bCs/>
                                        <w:caps/>
                                        <w:color w:val="156082" w:themeColor="accent1"/>
                                        <w:sz w:val="36"/>
                                        <w:szCs w:val="36"/>
                                      </w:rPr>
                                      <w:t>19 April 2026</w:t>
                                    </w:r>
                                  </w:p>
                                </w:sdtContent>
                              </w:sdt>
                              <w:p w14:paraId="4B1DB45E" w14:textId="19500794" w:rsidR="002072EC" w:rsidRPr="00BF5B24" w:rsidRDefault="00B50E62">
                                <w:pPr>
                                  <w:pStyle w:val="NoSpacing"/>
                                  <w:jc w:val="center"/>
                                  <w:rPr>
                                    <w:rFonts w:ascii="Arial" w:hAnsi="Arial" w:cs="Arial"/>
                                    <w:b/>
                                    <w:bCs/>
                                    <w:color w:val="156082" w:themeColor="accent1"/>
                                    <w:sz w:val="36"/>
                                    <w:szCs w:val="36"/>
                                  </w:rPr>
                                </w:pPr>
                                <w:sdt>
                                  <w:sdtPr>
                                    <w:rPr>
                                      <w:rFonts w:ascii="Arial" w:hAnsi="Arial" w:cs="Arial"/>
                                      <w:b/>
                                      <w:bCs/>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00191" w:rsidRPr="00BF5B24">
                                      <w:rPr>
                                        <w:rFonts w:ascii="Arial" w:hAnsi="Arial" w:cs="Arial"/>
                                        <w:b/>
                                        <w:bCs/>
                                        <w:caps/>
                                        <w:color w:val="156082" w:themeColor="accent1"/>
                                        <w:sz w:val="36"/>
                                        <w:szCs w:val="36"/>
                                      </w:rPr>
                                      <w:t>melat genene mekbeb</w:t>
                                    </w:r>
                                  </w:sdtContent>
                                </w:sdt>
                              </w:p>
                              <w:p w14:paraId="4D9D59E8" w14:textId="4CC57B89" w:rsidR="002072EC" w:rsidRPr="00BF5B24" w:rsidRDefault="00B50E62">
                                <w:pPr>
                                  <w:pStyle w:val="NoSpacing"/>
                                  <w:jc w:val="center"/>
                                  <w:rPr>
                                    <w:rFonts w:ascii="Arial" w:hAnsi="Arial" w:cs="Arial"/>
                                    <w:color w:val="156082" w:themeColor="accent1"/>
                                    <w:sz w:val="28"/>
                                    <w:szCs w:val="28"/>
                                  </w:rPr>
                                </w:pPr>
                                <w:sdt>
                                  <w:sdtPr>
                                    <w:rPr>
                                      <w:rFonts w:ascii="Arial" w:hAnsi="Arial" w:cs="Arial"/>
                                      <w:b/>
                                      <w:bCs/>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900191" w:rsidRPr="00BF5B24">
                                      <w:rPr>
                                        <w:rFonts w:ascii="Arial" w:hAnsi="Arial" w:cs="Arial"/>
                                        <w:b/>
                                        <w:bCs/>
                                        <w:color w:val="156082" w:themeColor="accent1"/>
                                        <w:sz w:val="36"/>
                                        <w:szCs w:val="36"/>
                                      </w:rPr>
                                      <w:t xml:space="preserve">Student Id 2123174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79F891" id="_x0000_t202" coordsize="21600,21600" o:spt="202" path="m,l,21600r21600,l21600,xe">
                    <v:stroke joinstyle="miter"/>
                    <v:path gradientshapeok="t" o:connecttype="rect"/>
                  </v:shapetype>
                  <v:shape id="Text Box 146" o:spid="_x0000_s1026" type="#_x0000_t202" style="position:absolute;margin-left:0;margin-top:546.5pt;width:454.5pt;height:194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" filled="f" stroked="f" strokeweight=".5pt">
                    <v:textbox inset="0,0,0,0">
                      <w:txbxContent>
                        <w:sdt>
                          <w:sdtPr>
                            <w:rPr>
                              <w:rFonts w:ascii="Arial" w:hAnsi="Arial" w:cs="Arial"/>
                              <w:b/>
                              <w:bCs/>
                              <w:caps/>
                              <w:color w:val="156082" w:themeColor="accent1"/>
                              <w:sz w:val="36"/>
                              <w:szCs w:val="36"/>
                            </w:rPr>
                            <w:alias w:val="Date"/>
                            <w:tag w:val=""/>
                            <w:id w:val="197127006"/>
                            <w:dataBinding w:prefixMappings="xmlns:ns0='http://schemas.microsoft.com/office/2006/coverPageProps' " w:xpath="/ns0:CoverPageProperties[1]/ns0:PublishDate[1]" w:storeItemID="{55AF091B-3C7A-41E3-B477-F2FDAA23CFDA}"/>
                            <w:date w:fullDate="2026-04-19T00:00:00Z">
                              <w:dateFormat w:val="dd MMMM yyyy"/>
                              <w:lid w:val="en-GB"/>
                              <w:storeMappedDataAs w:val="dateTime"/>
                              <w:calendar w:val="gregorian"/>
                            </w:date>
                          </w:sdtPr>
                          <w:sdtEndPr/>
                          <w:sdtContent>
                            <w:p w14:paraId="353B9DB3" w14:textId="2FA43AC0" w:rsidR="002072EC" w:rsidRDefault="00635D70">
                              <w:pPr>
                                <w:pStyle w:val="NoSpacing"/>
                                <w:spacing w:after="40"/>
                                <w:jc w:val="center"/>
                                <w:rPr>
                                  <w:caps/>
                                  <w:color w:val="156082" w:themeColor="accent1"/>
                                  <w:sz w:val="28"/>
                                  <w:szCs w:val="28"/>
                                </w:rPr>
                              </w:pPr>
                              <w:r w:rsidRPr="00BF5B24">
                                <w:rPr>
                                  <w:rFonts w:ascii="Arial" w:hAnsi="Arial" w:cs="Arial"/>
                                  <w:b/>
                                  <w:bCs/>
                                  <w:caps/>
                                  <w:color w:val="156082" w:themeColor="accent1"/>
                                  <w:sz w:val="36"/>
                                  <w:szCs w:val="36"/>
                                </w:rPr>
                                <w:t>19 April 2026</w:t>
                              </w:r>
                            </w:p>
                          </w:sdtContent>
                        </w:sdt>
                        <w:p w14:paraId="4B1DB45E" w14:textId="19500794" w:rsidR="002072EC" w:rsidRPr="00BF5B24" w:rsidRDefault="00B50E62">
                          <w:pPr>
                            <w:pStyle w:val="NoSpacing"/>
                            <w:jc w:val="center"/>
                            <w:rPr>
                              <w:rFonts w:ascii="Arial" w:hAnsi="Arial" w:cs="Arial"/>
                              <w:b/>
                              <w:bCs/>
                              <w:color w:val="156082" w:themeColor="accent1"/>
                              <w:sz w:val="36"/>
                              <w:szCs w:val="36"/>
                            </w:rPr>
                          </w:pPr>
                          <w:sdt>
                            <w:sdtPr>
                              <w:rPr>
                                <w:rFonts w:ascii="Arial" w:hAnsi="Arial" w:cs="Arial"/>
                                <w:b/>
                                <w:bCs/>
                                <w:caps/>
                                <w:color w:val="156082" w:themeColor="accent1"/>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00191" w:rsidRPr="00BF5B24">
                                <w:rPr>
                                  <w:rFonts w:ascii="Arial" w:hAnsi="Arial" w:cs="Arial"/>
                                  <w:b/>
                                  <w:bCs/>
                                  <w:caps/>
                                  <w:color w:val="156082" w:themeColor="accent1"/>
                                  <w:sz w:val="36"/>
                                  <w:szCs w:val="36"/>
                                </w:rPr>
                                <w:t>melat genene mekbeb</w:t>
                              </w:r>
                            </w:sdtContent>
                          </w:sdt>
                        </w:p>
                        <w:p w14:paraId="4D9D59E8" w14:textId="4CC57B89" w:rsidR="002072EC" w:rsidRPr="00BF5B24" w:rsidRDefault="00B50E62">
                          <w:pPr>
                            <w:pStyle w:val="NoSpacing"/>
                            <w:jc w:val="center"/>
                            <w:rPr>
                              <w:rFonts w:ascii="Arial" w:hAnsi="Arial" w:cs="Arial"/>
                              <w:color w:val="156082" w:themeColor="accent1"/>
                              <w:sz w:val="28"/>
                              <w:szCs w:val="28"/>
                            </w:rPr>
                          </w:pPr>
                          <w:sdt>
                            <w:sdtPr>
                              <w:rPr>
                                <w:rFonts w:ascii="Arial" w:hAnsi="Arial" w:cs="Arial"/>
                                <w:b/>
                                <w:bCs/>
                                <w:color w:val="156082" w:themeColor="accent1"/>
                                <w:sz w:val="36"/>
                                <w:szCs w:val="36"/>
                              </w:rPr>
                              <w:alias w:val="Address"/>
                              <w:tag w:val=""/>
                              <w:id w:val="-726379553"/>
                              <w:dataBinding w:prefixMappings="xmlns:ns0='http://schemas.microsoft.com/office/2006/coverPageProps' " w:xpath="/ns0:CoverPageProperties[1]/ns0:CompanyAddress[1]" w:storeItemID="{55AF091B-3C7A-41E3-B477-F2FDAA23CFDA}"/>
                              <w:text/>
                            </w:sdtPr>
                            <w:sdtEndPr/>
                            <w:sdtContent>
                              <w:r w:rsidR="00900191" w:rsidRPr="00BF5B24">
                                <w:rPr>
                                  <w:rFonts w:ascii="Arial" w:hAnsi="Arial" w:cs="Arial"/>
                                  <w:b/>
                                  <w:bCs/>
                                  <w:color w:val="156082" w:themeColor="accent1"/>
                                  <w:sz w:val="36"/>
                                  <w:szCs w:val="36"/>
                                </w:rPr>
                                <w:t xml:space="preserve">Student Id 2123174  </w:t>
                              </w:r>
                            </w:sdtContent>
                          </w:sdt>
                        </w:p>
                      </w:txbxContent>
                    </v:textbox>
                    <w10:wrap anchorx="margin" anchory="page"/>
                  </v:shape>
                </w:pict>
              </mc:Fallback>
            </mc:AlternateContent>
          </w:r>
          <w:r w:rsidR="002072EC">
            <w:br w:type="page"/>
          </w:r>
        </w:p>
      </w:sdtContent>
    </w:sdt>
    <w:p w14:paraId="32271115" w14:textId="77777777" w:rsidR="002072EC" w:rsidRDefault="002072EC"/>
    <w:bookmarkStart w:id="0" w:name="_Toc227447427" w:displacedByCustomXml="next"/>
    <w:sdt>
      <w:sdtPr>
        <w:rPr>
          <w:rFonts w:asciiTheme="minorHAnsi" w:eastAsiaTheme="minorHAnsi" w:hAnsiTheme="minorHAnsi" w:cstheme="minorBidi"/>
          <w:color w:val="auto"/>
          <w:kern w:val="2"/>
          <w:sz w:val="24"/>
          <w:szCs w:val="24"/>
          <w:lang w:eastAsia="en-US"/>
          <w14:ligatures w14:val="standardContextual"/>
        </w:rPr>
        <w:id w:val="-930655574"/>
        <w:docPartObj>
          <w:docPartGallery w:val="Table of Contents"/>
          <w:docPartUnique/>
        </w:docPartObj>
      </w:sdtPr>
      <w:sdtEndPr>
        <w:rPr>
          <w:b/>
          <w:bCs/>
        </w:rPr>
      </w:sdtEndPr>
      <w:sdtContent>
        <w:p w14:paraId="179A44F1" w14:textId="5CC3F2BE" w:rsidR="000A6F90" w:rsidRDefault="000A6F90">
          <w:pPr>
            <w:pStyle w:val="TOCHeading"/>
          </w:pPr>
          <w:r>
            <w:t>Contents</w:t>
          </w:r>
        </w:p>
        <w:p w14:paraId="799641F6" w14:textId="458BD218" w:rsidR="000A6F90" w:rsidRDefault="000A6F90">
          <w:pPr>
            <w:pStyle w:val="TOC1"/>
            <w:tabs>
              <w:tab w:val="right" w:leader="dot" w:pos="9016"/>
            </w:tabs>
            <w:rPr>
              <w:noProof/>
            </w:rPr>
          </w:pPr>
          <w:r>
            <w:fldChar w:fldCharType="begin"/>
          </w:r>
          <w:r>
            <w:instrText xml:space="preserve"> TOC \o "1-3" \h \z \u </w:instrText>
          </w:r>
          <w:r>
            <w:fldChar w:fldCharType="separate"/>
          </w:r>
          <w:hyperlink w:anchor="_Toc227448355" w:history="1">
            <w:r w:rsidRPr="0037141B">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_Toc227448355 \h </w:instrText>
            </w:r>
            <w:r>
              <w:rPr>
                <w:noProof/>
                <w:webHidden/>
              </w:rPr>
            </w:r>
            <w:r>
              <w:rPr>
                <w:noProof/>
                <w:webHidden/>
              </w:rPr>
              <w:fldChar w:fldCharType="separate"/>
            </w:r>
            <w:r>
              <w:rPr>
                <w:noProof/>
                <w:webHidden/>
              </w:rPr>
              <w:t>2</w:t>
            </w:r>
            <w:r>
              <w:rPr>
                <w:noProof/>
                <w:webHidden/>
              </w:rPr>
              <w:fldChar w:fldCharType="end"/>
            </w:r>
          </w:hyperlink>
        </w:p>
        <w:p w14:paraId="146D6585" w14:textId="642CF355" w:rsidR="000A6F90" w:rsidRDefault="000A6F90">
          <w:pPr>
            <w:pStyle w:val="TOC1"/>
            <w:tabs>
              <w:tab w:val="right" w:leader="dot" w:pos="9016"/>
            </w:tabs>
            <w:rPr>
              <w:noProof/>
            </w:rPr>
          </w:pPr>
          <w:hyperlink w:anchor="_Toc227448356" w:history="1">
            <w:r w:rsidRPr="0037141B">
              <w:rPr>
                <w:rStyle w:val="Hyperlink"/>
                <w:rFonts w:eastAsia="Times New Roman"/>
                <w:noProof/>
                <w:lang w:eastAsia="en-GB"/>
              </w:rPr>
              <w:t>The Interrelationship Between Culture and Structure</w:t>
            </w:r>
            <w:r>
              <w:rPr>
                <w:noProof/>
                <w:webHidden/>
              </w:rPr>
              <w:tab/>
            </w:r>
            <w:r>
              <w:rPr>
                <w:noProof/>
                <w:webHidden/>
              </w:rPr>
              <w:fldChar w:fldCharType="begin"/>
            </w:r>
            <w:r>
              <w:rPr>
                <w:noProof/>
                <w:webHidden/>
              </w:rPr>
              <w:instrText xml:space="preserve"> PAGEREF _Toc227448356 \h </w:instrText>
            </w:r>
            <w:r>
              <w:rPr>
                <w:noProof/>
                <w:webHidden/>
              </w:rPr>
            </w:r>
            <w:r>
              <w:rPr>
                <w:noProof/>
                <w:webHidden/>
              </w:rPr>
              <w:fldChar w:fldCharType="separate"/>
            </w:r>
            <w:r>
              <w:rPr>
                <w:noProof/>
                <w:webHidden/>
              </w:rPr>
              <w:t>3</w:t>
            </w:r>
            <w:r>
              <w:rPr>
                <w:noProof/>
                <w:webHidden/>
              </w:rPr>
              <w:fldChar w:fldCharType="end"/>
            </w:r>
          </w:hyperlink>
        </w:p>
        <w:p w14:paraId="43DC4934" w14:textId="673B018B" w:rsidR="000A6F90" w:rsidRDefault="000A6F90">
          <w:pPr>
            <w:pStyle w:val="TOC1"/>
            <w:tabs>
              <w:tab w:val="right" w:leader="dot" w:pos="9016"/>
            </w:tabs>
            <w:rPr>
              <w:noProof/>
            </w:rPr>
          </w:pPr>
          <w:hyperlink w:anchor="_Toc227448357" w:history="1">
            <w:r w:rsidRPr="0037141B">
              <w:rPr>
                <w:rStyle w:val="Hyperlink"/>
                <w:rFonts w:eastAsia="Times New Roman"/>
                <w:noProof/>
                <w:lang w:eastAsia="en-GB"/>
              </w:rPr>
              <w:t>Cultural Influence on Decision-Making</w:t>
            </w:r>
            <w:r>
              <w:rPr>
                <w:noProof/>
                <w:webHidden/>
              </w:rPr>
              <w:tab/>
            </w:r>
            <w:r>
              <w:rPr>
                <w:noProof/>
                <w:webHidden/>
              </w:rPr>
              <w:fldChar w:fldCharType="begin"/>
            </w:r>
            <w:r>
              <w:rPr>
                <w:noProof/>
                <w:webHidden/>
              </w:rPr>
              <w:instrText xml:space="preserve"> PAGEREF _Toc227448357 \h </w:instrText>
            </w:r>
            <w:r>
              <w:rPr>
                <w:noProof/>
                <w:webHidden/>
              </w:rPr>
            </w:r>
            <w:r>
              <w:rPr>
                <w:noProof/>
                <w:webHidden/>
              </w:rPr>
              <w:fldChar w:fldCharType="separate"/>
            </w:r>
            <w:r>
              <w:rPr>
                <w:noProof/>
                <w:webHidden/>
              </w:rPr>
              <w:t>4</w:t>
            </w:r>
            <w:r>
              <w:rPr>
                <w:noProof/>
                <w:webHidden/>
              </w:rPr>
              <w:fldChar w:fldCharType="end"/>
            </w:r>
          </w:hyperlink>
        </w:p>
        <w:p w14:paraId="74F117F8" w14:textId="54E6D522" w:rsidR="000A6F90" w:rsidRDefault="000A6F90">
          <w:pPr>
            <w:pStyle w:val="TOC1"/>
            <w:tabs>
              <w:tab w:val="right" w:leader="dot" w:pos="9016"/>
            </w:tabs>
            <w:rPr>
              <w:noProof/>
            </w:rPr>
          </w:pPr>
          <w:hyperlink w:anchor="_Toc227448358" w:history="1">
            <w:r w:rsidRPr="0037141B">
              <w:rPr>
                <w:rStyle w:val="Hyperlink"/>
                <w:rFonts w:eastAsia="Times New Roman"/>
                <w:noProof/>
                <w:lang w:eastAsia="en-GB"/>
              </w:rPr>
              <w:t>Schein’s Model of Organisational Culture</w:t>
            </w:r>
            <w:r>
              <w:rPr>
                <w:noProof/>
                <w:webHidden/>
              </w:rPr>
              <w:tab/>
            </w:r>
            <w:r>
              <w:rPr>
                <w:noProof/>
                <w:webHidden/>
              </w:rPr>
              <w:fldChar w:fldCharType="begin"/>
            </w:r>
            <w:r>
              <w:rPr>
                <w:noProof/>
                <w:webHidden/>
              </w:rPr>
              <w:instrText xml:space="preserve"> PAGEREF _Toc227448358 \h </w:instrText>
            </w:r>
            <w:r>
              <w:rPr>
                <w:noProof/>
                <w:webHidden/>
              </w:rPr>
            </w:r>
            <w:r>
              <w:rPr>
                <w:noProof/>
                <w:webHidden/>
              </w:rPr>
              <w:fldChar w:fldCharType="separate"/>
            </w:r>
            <w:r>
              <w:rPr>
                <w:noProof/>
                <w:webHidden/>
              </w:rPr>
              <w:t>5</w:t>
            </w:r>
            <w:r>
              <w:rPr>
                <w:noProof/>
                <w:webHidden/>
              </w:rPr>
              <w:fldChar w:fldCharType="end"/>
            </w:r>
          </w:hyperlink>
        </w:p>
        <w:p w14:paraId="60317B41" w14:textId="1C70348A" w:rsidR="000A6F90" w:rsidRDefault="000A6F90">
          <w:pPr>
            <w:pStyle w:val="TOC1"/>
            <w:tabs>
              <w:tab w:val="right" w:leader="dot" w:pos="9016"/>
            </w:tabs>
            <w:rPr>
              <w:noProof/>
            </w:rPr>
          </w:pPr>
          <w:hyperlink w:anchor="_Toc227448359" w:history="1">
            <w:r w:rsidRPr="0037141B">
              <w:rPr>
                <w:rStyle w:val="Hyperlink"/>
                <w:rFonts w:eastAsia="Times New Roman"/>
                <w:noProof/>
                <w:lang w:eastAsia="en-GB"/>
              </w:rPr>
              <w:t>Hofstede’s Cultural Dimensions</w:t>
            </w:r>
            <w:r>
              <w:rPr>
                <w:noProof/>
                <w:webHidden/>
              </w:rPr>
              <w:tab/>
            </w:r>
            <w:r>
              <w:rPr>
                <w:noProof/>
                <w:webHidden/>
              </w:rPr>
              <w:fldChar w:fldCharType="begin"/>
            </w:r>
            <w:r>
              <w:rPr>
                <w:noProof/>
                <w:webHidden/>
              </w:rPr>
              <w:instrText xml:space="preserve"> PAGEREF _Toc227448359 \h </w:instrText>
            </w:r>
            <w:r>
              <w:rPr>
                <w:noProof/>
                <w:webHidden/>
              </w:rPr>
            </w:r>
            <w:r>
              <w:rPr>
                <w:noProof/>
                <w:webHidden/>
              </w:rPr>
              <w:fldChar w:fldCharType="separate"/>
            </w:r>
            <w:r>
              <w:rPr>
                <w:noProof/>
                <w:webHidden/>
              </w:rPr>
              <w:t>6</w:t>
            </w:r>
            <w:r>
              <w:rPr>
                <w:noProof/>
                <w:webHidden/>
              </w:rPr>
              <w:fldChar w:fldCharType="end"/>
            </w:r>
          </w:hyperlink>
        </w:p>
        <w:p w14:paraId="655257AF" w14:textId="65AACF5A" w:rsidR="000A6F90" w:rsidRPr="0096636F" w:rsidRDefault="000A6F90" w:rsidP="0096636F">
          <w:pPr>
            <w:pStyle w:val="TOC2"/>
            <w:rPr>
              <w:rFonts w:eastAsiaTheme="minorEastAsia"/>
            </w:rPr>
          </w:pPr>
          <w:hyperlink w:anchor="_Toc227448360" w:history="1">
            <w:r w:rsidRPr="0096636F">
              <w:rPr>
                <w:rStyle w:val="Hyperlink"/>
                <w:b w:val="0"/>
                <w:bCs w:val="0"/>
              </w:rPr>
              <w:t>Adapting to External Environmental Pressures</w:t>
            </w:r>
            <w:r w:rsidRPr="0096636F">
              <w:rPr>
                <w:webHidden/>
              </w:rPr>
              <w:tab/>
            </w:r>
            <w:r w:rsidRPr="0096636F">
              <w:rPr>
                <w:webHidden/>
              </w:rPr>
              <w:fldChar w:fldCharType="begin"/>
            </w:r>
            <w:r w:rsidRPr="0096636F">
              <w:rPr>
                <w:webHidden/>
              </w:rPr>
              <w:instrText xml:space="preserve"> PAGEREF _Toc227448360 \h </w:instrText>
            </w:r>
            <w:r w:rsidRPr="0096636F">
              <w:rPr>
                <w:webHidden/>
              </w:rPr>
            </w:r>
            <w:r w:rsidRPr="0096636F">
              <w:rPr>
                <w:webHidden/>
              </w:rPr>
              <w:fldChar w:fldCharType="separate"/>
            </w:r>
            <w:r w:rsidRPr="0096636F">
              <w:rPr>
                <w:webHidden/>
              </w:rPr>
              <w:t>7</w:t>
            </w:r>
            <w:r w:rsidRPr="0096636F">
              <w:rPr>
                <w:webHidden/>
              </w:rPr>
              <w:fldChar w:fldCharType="end"/>
            </w:r>
          </w:hyperlink>
        </w:p>
        <w:p w14:paraId="22FAC412" w14:textId="40066929" w:rsidR="000A6F90" w:rsidRDefault="000A6F90">
          <w:pPr>
            <w:pStyle w:val="TOC1"/>
            <w:tabs>
              <w:tab w:val="right" w:leader="dot" w:pos="9016"/>
            </w:tabs>
            <w:rPr>
              <w:noProof/>
            </w:rPr>
          </w:pPr>
          <w:hyperlink w:anchor="_Toc227448361" w:history="1">
            <w:r w:rsidRPr="0037141B">
              <w:rPr>
                <w:rStyle w:val="Hyperlink"/>
                <w:rFonts w:eastAsia="Times New Roman"/>
                <w:noProof/>
                <w:lang w:eastAsia="en-GB"/>
              </w:rPr>
              <w:t>Organisational Culture as Enabler and Constraint</w:t>
            </w:r>
            <w:r>
              <w:rPr>
                <w:noProof/>
                <w:webHidden/>
              </w:rPr>
              <w:tab/>
            </w:r>
            <w:r>
              <w:rPr>
                <w:noProof/>
                <w:webHidden/>
              </w:rPr>
              <w:fldChar w:fldCharType="begin"/>
            </w:r>
            <w:r>
              <w:rPr>
                <w:noProof/>
                <w:webHidden/>
              </w:rPr>
              <w:instrText xml:space="preserve"> PAGEREF _Toc227448361 \h </w:instrText>
            </w:r>
            <w:r>
              <w:rPr>
                <w:noProof/>
                <w:webHidden/>
              </w:rPr>
            </w:r>
            <w:r>
              <w:rPr>
                <w:noProof/>
                <w:webHidden/>
              </w:rPr>
              <w:fldChar w:fldCharType="separate"/>
            </w:r>
            <w:r>
              <w:rPr>
                <w:noProof/>
                <w:webHidden/>
              </w:rPr>
              <w:t>7</w:t>
            </w:r>
            <w:r>
              <w:rPr>
                <w:noProof/>
                <w:webHidden/>
              </w:rPr>
              <w:fldChar w:fldCharType="end"/>
            </w:r>
          </w:hyperlink>
        </w:p>
        <w:p w14:paraId="0940A4CF" w14:textId="18C406D2" w:rsidR="000A6F90" w:rsidRPr="0096636F" w:rsidRDefault="000A6F90" w:rsidP="0096636F">
          <w:pPr>
            <w:pStyle w:val="TOC2"/>
            <w:rPr>
              <w:rFonts w:eastAsiaTheme="minorEastAsia"/>
              <w:b w:val="0"/>
              <w:bCs w:val="0"/>
            </w:rPr>
          </w:pPr>
          <w:hyperlink w:anchor="_Toc227448362" w:history="1">
            <w:r w:rsidRPr="0096636F">
              <w:rPr>
                <w:rStyle w:val="Hyperlink"/>
                <w:b w:val="0"/>
                <w:bCs w:val="0"/>
              </w:rPr>
              <w:t>Impact on Organisational Performance</w:t>
            </w:r>
            <w:r w:rsidRPr="0096636F">
              <w:rPr>
                <w:b w:val="0"/>
                <w:bCs w:val="0"/>
                <w:webHidden/>
              </w:rPr>
              <w:tab/>
            </w:r>
            <w:r w:rsidRPr="0096636F">
              <w:rPr>
                <w:b w:val="0"/>
                <w:bCs w:val="0"/>
                <w:webHidden/>
              </w:rPr>
              <w:fldChar w:fldCharType="begin"/>
            </w:r>
            <w:r w:rsidRPr="0096636F">
              <w:rPr>
                <w:b w:val="0"/>
                <w:bCs w:val="0"/>
                <w:webHidden/>
              </w:rPr>
              <w:instrText xml:space="preserve"> PAGEREF _Toc227448362 \h </w:instrText>
            </w:r>
            <w:r w:rsidRPr="0096636F">
              <w:rPr>
                <w:b w:val="0"/>
                <w:bCs w:val="0"/>
                <w:webHidden/>
              </w:rPr>
            </w:r>
            <w:r w:rsidRPr="0096636F">
              <w:rPr>
                <w:b w:val="0"/>
                <w:bCs w:val="0"/>
                <w:webHidden/>
              </w:rPr>
              <w:fldChar w:fldCharType="separate"/>
            </w:r>
            <w:r w:rsidRPr="0096636F">
              <w:rPr>
                <w:b w:val="0"/>
                <w:bCs w:val="0"/>
                <w:webHidden/>
              </w:rPr>
              <w:t>7</w:t>
            </w:r>
            <w:r w:rsidRPr="0096636F">
              <w:rPr>
                <w:b w:val="0"/>
                <w:bCs w:val="0"/>
                <w:webHidden/>
              </w:rPr>
              <w:fldChar w:fldCharType="end"/>
            </w:r>
          </w:hyperlink>
        </w:p>
        <w:p w14:paraId="0FFF4A81" w14:textId="2BDA924B" w:rsidR="000A6F90" w:rsidRPr="0096636F" w:rsidRDefault="000A6F90" w:rsidP="0096636F">
          <w:pPr>
            <w:pStyle w:val="TOC2"/>
            <w:rPr>
              <w:rFonts w:eastAsiaTheme="minorEastAsia"/>
              <w:b w:val="0"/>
              <w:bCs w:val="0"/>
            </w:rPr>
          </w:pPr>
          <w:hyperlink w:anchor="_Toc227448363" w:history="1">
            <w:r w:rsidRPr="0096636F">
              <w:rPr>
                <w:rStyle w:val="Hyperlink"/>
                <w:b w:val="0"/>
                <w:bCs w:val="0"/>
              </w:rPr>
              <w:t>Recommendations for Improvement</w:t>
            </w:r>
            <w:r w:rsidRPr="0096636F">
              <w:rPr>
                <w:b w:val="0"/>
                <w:bCs w:val="0"/>
                <w:webHidden/>
              </w:rPr>
              <w:tab/>
            </w:r>
            <w:r w:rsidRPr="0096636F">
              <w:rPr>
                <w:b w:val="0"/>
                <w:bCs w:val="0"/>
                <w:webHidden/>
              </w:rPr>
              <w:fldChar w:fldCharType="begin"/>
            </w:r>
            <w:r w:rsidRPr="0096636F">
              <w:rPr>
                <w:b w:val="0"/>
                <w:bCs w:val="0"/>
                <w:webHidden/>
              </w:rPr>
              <w:instrText xml:space="preserve"> PAGEREF _Toc227448363 \h </w:instrText>
            </w:r>
            <w:r w:rsidRPr="0096636F">
              <w:rPr>
                <w:b w:val="0"/>
                <w:bCs w:val="0"/>
                <w:webHidden/>
              </w:rPr>
            </w:r>
            <w:r w:rsidRPr="0096636F">
              <w:rPr>
                <w:b w:val="0"/>
                <w:bCs w:val="0"/>
                <w:webHidden/>
              </w:rPr>
              <w:fldChar w:fldCharType="separate"/>
            </w:r>
            <w:r w:rsidRPr="0096636F">
              <w:rPr>
                <w:b w:val="0"/>
                <w:bCs w:val="0"/>
                <w:webHidden/>
              </w:rPr>
              <w:t>8</w:t>
            </w:r>
            <w:r w:rsidRPr="0096636F">
              <w:rPr>
                <w:b w:val="0"/>
                <w:bCs w:val="0"/>
                <w:webHidden/>
              </w:rPr>
              <w:fldChar w:fldCharType="end"/>
            </w:r>
          </w:hyperlink>
        </w:p>
        <w:p w14:paraId="4FD9FE45" w14:textId="3C9C08F7" w:rsidR="000A6F90" w:rsidRDefault="000A6F90">
          <w:pPr>
            <w:pStyle w:val="TOC1"/>
            <w:tabs>
              <w:tab w:val="right" w:leader="dot" w:pos="9016"/>
            </w:tabs>
            <w:rPr>
              <w:noProof/>
            </w:rPr>
          </w:pPr>
          <w:hyperlink w:anchor="_Toc227448364" w:history="1">
            <w:r w:rsidRPr="0037141B">
              <w:rPr>
                <w:rStyle w:val="Hyperlink"/>
                <w:rFonts w:eastAsia="Times New Roman"/>
                <w:noProof/>
                <w:lang w:eastAsia="en-GB"/>
              </w:rPr>
              <w:t>Rebalance Data-Driven Decision-Making with Managerial Judgement</w:t>
            </w:r>
            <w:r>
              <w:rPr>
                <w:noProof/>
                <w:webHidden/>
              </w:rPr>
              <w:tab/>
            </w:r>
            <w:r>
              <w:rPr>
                <w:noProof/>
                <w:webHidden/>
              </w:rPr>
              <w:fldChar w:fldCharType="begin"/>
            </w:r>
            <w:r>
              <w:rPr>
                <w:noProof/>
                <w:webHidden/>
              </w:rPr>
              <w:instrText xml:space="preserve"> PAGEREF _Toc227448364 \h </w:instrText>
            </w:r>
            <w:r>
              <w:rPr>
                <w:noProof/>
                <w:webHidden/>
              </w:rPr>
            </w:r>
            <w:r>
              <w:rPr>
                <w:noProof/>
                <w:webHidden/>
              </w:rPr>
              <w:fldChar w:fldCharType="separate"/>
            </w:r>
            <w:r>
              <w:rPr>
                <w:noProof/>
                <w:webHidden/>
              </w:rPr>
              <w:t>9</w:t>
            </w:r>
            <w:r>
              <w:rPr>
                <w:noProof/>
                <w:webHidden/>
              </w:rPr>
              <w:fldChar w:fldCharType="end"/>
            </w:r>
          </w:hyperlink>
        </w:p>
        <w:p w14:paraId="78FC7AE0" w14:textId="2047E871" w:rsidR="000A6F90" w:rsidRDefault="000A6F90">
          <w:pPr>
            <w:pStyle w:val="TOC1"/>
            <w:tabs>
              <w:tab w:val="right" w:leader="dot" w:pos="9016"/>
            </w:tabs>
            <w:rPr>
              <w:noProof/>
            </w:rPr>
          </w:pPr>
          <w:hyperlink w:anchor="_Toc227448365" w:history="1">
            <w:r w:rsidRPr="0037141B">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_Toc227448365 \h </w:instrText>
            </w:r>
            <w:r>
              <w:rPr>
                <w:noProof/>
                <w:webHidden/>
              </w:rPr>
            </w:r>
            <w:r>
              <w:rPr>
                <w:noProof/>
                <w:webHidden/>
              </w:rPr>
              <w:fldChar w:fldCharType="separate"/>
            </w:r>
            <w:r>
              <w:rPr>
                <w:noProof/>
                <w:webHidden/>
              </w:rPr>
              <w:t>9</w:t>
            </w:r>
            <w:r>
              <w:rPr>
                <w:noProof/>
                <w:webHidden/>
              </w:rPr>
              <w:fldChar w:fldCharType="end"/>
            </w:r>
          </w:hyperlink>
        </w:p>
        <w:p w14:paraId="0902CD1A" w14:textId="64882DDD" w:rsidR="000A6F90" w:rsidRDefault="000A6F90">
          <w:pPr>
            <w:pStyle w:val="TOC1"/>
            <w:tabs>
              <w:tab w:val="right" w:leader="dot" w:pos="9016"/>
            </w:tabs>
            <w:rPr>
              <w:noProof/>
            </w:rPr>
          </w:pPr>
          <w:hyperlink w:anchor="_Toc227448366" w:history="1">
            <w:r w:rsidRPr="0037141B">
              <w:rPr>
                <w:rStyle w:val="Hyperlink"/>
                <w:rFonts w:eastAsia="Times New Roman"/>
                <w:noProof/>
                <w:lang w:eastAsia="en-GB"/>
              </w:rPr>
              <w:t>Reference List (Harvard Style)</w:t>
            </w:r>
            <w:r>
              <w:rPr>
                <w:noProof/>
                <w:webHidden/>
              </w:rPr>
              <w:tab/>
            </w:r>
            <w:r>
              <w:rPr>
                <w:noProof/>
                <w:webHidden/>
              </w:rPr>
              <w:fldChar w:fldCharType="begin"/>
            </w:r>
            <w:r>
              <w:rPr>
                <w:noProof/>
                <w:webHidden/>
              </w:rPr>
              <w:instrText xml:space="preserve"> PAGEREF _Toc227448366 \h </w:instrText>
            </w:r>
            <w:r>
              <w:rPr>
                <w:noProof/>
                <w:webHidden/>
              </w:rPr>
            </w:r>
            <w:r>
              <w:rPr>
                <w:noProof/>
                <w:webHidden/>
              </w:rPr>
              <w:fldChar w:fldCharType="separate"/>
            </w:r>
            <w:r>
              <w:rPr>
                <w:noProof/>
                <w:webHidden/>
              </w:rPr>
              <w:t>11</w:t>
            </w:r>
            <w:r>
              <w:rPr>
                <w:noProof/>
                <w:webHidden/>
              </w:rPr>
              <w:fldChar w:fldCharType="end"/>
            </w:r>
          </w:hyperlink>
        </w:p>
        <w:p w14:paraId="14539A62" w14:textId="57546C19" w:rsidR="000A6F90" w:rsidRDefault="000A6F90">
          <w:r>
            <w:rPr>
              <w:b/>
              <w:bCs/>
            </w:rPr>
            <w:fldChar w:fldCharType="end"/>
          </w:r>
        </w:p>
      </w:sdtContent>
    </w:sdt>
    <w:p w14:paraId="2BFDF45E" w14:textId="77777777" w:rsidR="001B6449" w:rsidRDefault="001B6449" w:rsidP="00CD7BC0">
      <w:pPr>
        <w:spacing w:before="100" w:beforeAutospacing="1" w:after="100" w:afterAutospacing="1" w:line="276" w:lineRule="auto"/>
        <w:outlineLvl w:val="1"/>
      </w:pPr>
    </w:p>
    <w:p w14:paraId="046EC012" w14:textId="77777777" w:rsidR="001B6449" w:rsidRDefault="001B6449" w:rsidP="00CD7BC0">
      <w:pPr>
        <w:spacing w:before="100" w:beforeAutospacing="1" w:after="100" w:afterAutospacing="1" w:line="276" w:lineRule="auto"/>
        <w:outlineLvl w:val="1"/>
      </w:pPr>
    </w:p>
    <w:p w14:paraId="3A415950" w14:textId="77777777" w:rsidR="001B6449" w:rsidRDefault="001B6449" w:rsidP="00CD7BC0">
      <w:pPr>
        <w:spacing w:before="100" w:beforeAutospacing="1" w:after="100" w:afterAutospacing="1" w:line="276" w:lineRule="auto"/>
        <w:outlineLvl w:val="1"/>
      </w:pPr>
    </w:p>
    <w:p w14:paraId="03792B90" w14:textId="77777777" w:rsidR="001B6449" w:rsidRDefault="001B6449" w:rsidP="00CD7BC0">
      <w:pPr>
        <w:spacing w:before="100" w:beforeAutospacing="1" w:after="100" w:afterAutospacing="1" w:line="276" w:lineRule="auto"/>
        <w:outlineLvl w:val="1"/>
      </w:pPr>
    </w:p>
    <w:p w14:paraId="515B216F" w14:textId="77777777" w:rsidR="001B6449" w:rsidRDefault="001B6449" w:rsidP="00CD7BC0">
      <w:pPr>
        <w:spacing w:before="100" w:beforeAutospacing="1" w:after="100" w:afterAutospacing="1" w:line="276" w:lineRule="auto"/>
        <w:outlineLvl w:val="1"/>
      </w:pPr>
    </w:p>
    <w:p w14:paraId="1BFE533A" w14:textId="77777777" w:rsidR="001B6449" w:rsidRDefault="001B6449" w:rsidP="00CD7BC0">
      <w:pPr>
        <w:spacing w:before="100" w:beforeAutospacing="1" w:after="100" w:afterAutospacing="1" w:line="276" w:lineRule="auto"/>
        <w:outlineLvl w:val="1"/>
      </w:pPr>
    </w:p>
    <w:p w14:paraId="4A114764" w14:textId="77777777" w:rsidR="001B6449" w:rsidRDefault="001B6449" w:rsidP="00CD7BC0">
      <w:pPr>
        <w:spacing w:before="100" w:beforeAutospacing="1" w:after="100" w:afterAutospacing="1" w:line="276" w:lineRule="auto"/>
        <w:outlineLvl w:val="1"/>
      </w:pPr>
    </w:p>
    <w:p w14:paraId="7B1A5BD2" w14:textId="77777777" w:rsidR="001B6449" w:rsidRDefault="001B6449" w:rsidP="00CD7BC0">
      <w:pPr>
        <w:spacing w:before="100" w:beforeAutospacing="1" w:after="100" w:afterAutospacing="1" w:line="276" w:lineRule="auto"/>
        <w:outlineLvl w:val="1"/>
      </w:pPr>
    </w:p>
    <w:p w14:paraId="5785FD62" w14:textId="77777777" w:rsidR="00367865" w:rsidRDefault="00367865" w:rsidP="000A6F90">
      <w:pPr>
        <w:pStyle w:val="Heading1"/>
        <w:rPr>
          <w:rFonts w:eastAsia="Times New Roman"/>
          <w:lang w:eastAsia="en-GB"/>
        </w:rPr>
      </w:pPr>
      <w:bookmarkStart w:id="1" w:name="_Toc227448104"/>
      <w:bookmarkStart w:id="2" w:name="_Toc227448155"/>
      <w:bookmarkStart w:id="3" w:name="_Toc227448355"/>
    </w:p>
    <w:p w14:paraId="74B2C537" w14:textId="77777777" w:rsidR="00367865" w:rsidRPr="00367865" w:rsidRDefault="00367865" w:rsidP="00367865">
      <w:pPr>
        <w:rPr>
          <w:lang w:eastAsia="en-GB"/>
        </w:rPr>
      </w:pPr>
    </w:p>
    <w:p w14:paraId="5C8AD3A3" w14:textId="10278780" w:rsidR="00614261" w:rsidRPr="00E968D4" w:rsidRDefault="00614261" w:rsidP="000A6F90">
      <w:pPr>
        <w:pStyle w:val="Heading1"/>
        <w:rPr>
          <w:rFonts w:ascii="Arial" w:eastAsia="Times New Roman" w:hAnsi="Arial" w:cs="Arial"/>
          <w:b/>
          <w:bCs/>
          <w:color w:val="auto"/>
          <w:sz w:val="28"/>
          <w:szCs w:val="28"/>
          <w:lang w:eastAsia="en-GB"/>
        </w:rPr>
      </w:pPr>
      <w:r w:rsidRPr="00E968D4">
        <w:rPr>
          <w:rFonts w:ascii="Arial" w:eastAsia="Times New Roman" w:hAnsi="Arial" w:cs="Arial"/>
          <w:b/>
          <w:bCs/>
          <w:color w:val="auto"/>
          <w:sz w:val="28"/>
          <w:szCs w:val="28"/>
          <w:lang w:eastAsia="en-GB"/>
        </w:rPr>
        <w:lastRenderedPageBreak/>
        <w:t>Introduction</w:t>
      </w:r>
      <w:bookmarkEnd w:id="0"/>
      <w:bookmarkEnd w:id="1"/>
      <w:bookmarkEnd w:id="2"/>
      <w:bookmarkEnd w:id="3"/>
    </w:p>
    <w:p w14:paraId="54E6073B"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Organisational culture is widely recognised as a fundamental determinant of organisational effectiveness, shaping behaviour, influencing decision-making, and guiding strategic direction. It consists of shared values, beliefs, and assumptions that inform how employees interact and respond to internal and external challenges (Schein, 2010). In parallel, organisational structure defines the formal configuration of roles, responsibilities, authority, and communication channels. The relationship between culture and structure is inherently reciprocal; culture influences structural design, while structure reinforces cultural norms and practices (Johnson et al., 2020).</w:t>
      </w:r>
    </w:p>
    <w:p w14:paraId="17B0354F" w14:textId="75A32886"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In contemporary business environments characterised by rapid technological change, globalisation, and increasing competition, the alignment between organisational culture and structure has become more critical than ever. Recent research emphasises that organisations capable of integrating adaptive cultures with flexible structures are more likely to succeed in dynamic environments (</w:t>
      </w:r>
      <w:r w:rsidR="00562E61" w:rsidRPr="00E968D4">
        <w:rPr>
          <w:rFonts w:ascii="Arial" w:eastAsia="Times New Roman" w:hAnsi="Arial" w:cs="Arial"/>
          <w:kern w:val="0"/>
          <w:lang w:eastAsia="en-GB"/>
          <w14:ligatures w14:val="none"/>
        </w:rPr>
        <w:t>Rensberger</w:t>
      </w:r>
      <w:r w:rsidRPr="00614261">
        <w:rPr>
          <w:rFonts w:ascii="Arial" w:eastAsia="Times New Roman" w:hAnsi="Arial" w:cs="Arial"/>
          <w:kern w:val="0"/>
          <w:lang w:eastAsia="en-GB"/>
          <w14:ligatures w14:val="none"/>
        </w:rPr>
        <w:t xml:space="preserve"> et al., 2024). This is particularly relevant in the retail sector, where consumer expectations and technological innovations continue to reshape industry practices.</w:t>
      </w:r>
    </w:p>
    <w:p w14:paraId="5DF9C721"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 one of the largest multinational retailers, provides a compelling case study for examining the interaction between culture, structure, and decision-making. Its culture, centred on customer focus, operational efficiency, and data-driven decision-making, has played a significant role in shaping its organisational design and strategic processes. However, while this culture has contributed to Tesco’s success, it also presents challenges, particularly in terms of innovation and strategic agility.</w:t>
      </w:r>
    </w:p>
    <w:p w14:paraId="59514DE7" w14:textId="560C0D59" w:rsidR="00562E61" w:rsidRPr="00E968D4" w:rsidRDefault="00614261" w:rsidP="00367865">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This essay critically evaluates the influence of Tesco’s organisational culture on its structure and decision-making processes. It applies key theoretical frameworks, including Schein’s Model of Organisational Culture, Handy’s Cultural Types, and Hofstede’s Cultural Dimensions. Furthermore, it incorporates recent academic research (2020–2025) to assess Tesco’s adaptability in a rapidly evolving retail environment. The essay also examines organisational culture as both an enabler and constraint, ultimately providing recommendations for improvement.</w:t>
      </w:r>
    </w:p>
    <w:p w14:paraId="32C77088" w14:textId="0ADC482C" w:rsidR="00614261" w:rsidRPr="00E968D4" w:rsidRDefault="00614261" w:rsidP="00337069">
      <w:pPr>
        <w:pStyle w:val="Heading1"/>
        <w:spacing w:line="360" w:lineRule="auto"/>
        <w:rPr>
          <w:rFonts w:ascii="Arial" w:eastAsia="Times New Roman" w:hAnsi="Arial" w:cs="Arial"/>
          <w:b/>
          <w:bCs/>
          <w:color w:val="auto"/>
          <w:sz w:val="28"/>
          <w:szCs w:val="28"/>
          <w:lang w:eastAsia="en-GB"/>
        </w:rPr>
      </w:pPr>
      <w:bookmarkStart w:id="4" w:name="_Toc227447428"/>
      <w:bookmarkStart w:id="5" w:name="_Toc227448105"/>
      <w:bookmarkStart w:id="6" w:name="_Toc227448156"/>
      <w:bookmarkStart w:id="7" w:name="_Toc227448356"/>
      <w:r w:rsidRPr="00E968D4">
        <w:rPr>
          <w:rFonts w:ascii="Arial" w:eastAsia="Times New Roman" w:hAnsi="Arial" w:cs="Arial"/>
          <w:b/>
          <w:bCs/>
          <w:color w:val="auto"/>
          <w:sz w:val="28"/>
          <w:szCs w:val="28"/>
          <w:lang w:eastAsia="en-GB"/>
        </w:rPr>
        <w:lastRenderedPageBreak/>
        <w:t>The Interrelationship Between Culture and Structure</w:t>
      </w:r>
      <w:bookmarkEnd w:id="4"/>
      <w:bookmarkEnd w:id="5"/>
      <w:bookmarkEnd w:id="6"/>
      <w:bookmarkEnd w:id="7"/>
    </w:p>
    <w:p w14:paraId="2834DB8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Tesco’s organisational structure has historically been hierarchical, characterised by clear lines of authority, formalised procedures, and centralised control. Such structures are typical of large-scale retail organisations, where consistency and operational efficiency are essential (Johnson et al., 2020). This hierarchical model enables Tesco to maintain standardisation across its extensive network of stores, ensuring uniform service delivery and operational reliability.</w:t>
      </w:r>
    </w:p>
    <w:p w14:paraId="0ED5FCB8"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organisational structure cannot be understood independently of culture. Tesco’s strong emphasis on customer responsiveness has necessitated a shift towards decentralisation. Store managers and regional leaders are increasingly empowered to make decisions based on local market conditions. This reflects a move towards a more flexible and adaptive structure, aligning with contemporary management theories that advocate decentralisation in dynamic environments (Mullins and Christy, 2016).</w:t>
      </w:r>
    </w:p>
    <w:p w14:paraId="424CE74D" w14:textId="12E4D2B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Recent research supports this transition, suggesting that organisations undergoing digital transformation must adopt </w:t>
      </w:r>
      <w:r w:rsidR="00D562FE" w:rsidRPr="00E968D4">
        <w:rPr>
          <w:rFonts w:ascii="Arial" w:eastAsia="Times New Roman" w:hAnsi="Arial" w:cs="Arial"/>
          <w:kern w:val="0"/>
          <w:lang w:eastAsia="en-GB"/>
          <w14:ligatures w14:val="none"/>
        </w:rPr>
        <w:t>fewer</w:t>
      </w:r>
      <w:r w:rsidRPr="00614261">
        <w:rPr>
          <w:rFonts w:ascii="Arial" w:eastAsia="Times New Roman" w:hAnsi="Arial" w:cs="Arial"/>
          <w:kern w:val="0"/>
          <w:lang w:eastAsia="en-GB"/>
          <w14:ligatures w14:val="none"/>
        </w:rPr>
        <w:t xml:space="preserve"> rigid structures to remain competitive (</w:t>
      </w:r>
      <w:r w:rsidR="00D562FE" w:rsidRPr="00E968D4">
        <w:rPr>
          <w:rFonts w:ascii="Arial" w:eastAsia="Times New Roman" w:hAnsi="Arial" w:cs="Arial"/>
          <w:kern w:val="0"/>
          <w:lang w:eastAsia="en-GB"/>
          <w14:ligatures w14:val="none"/>
        </w:rPr>
        <w:t>Reitberger</w:t>
      </w:r>
      <w:r w:rsidRPr="00614261">
        <w:rPr>
          <w:rFonts w:ascii="Arial" w:eastAsia="Times New Roman" w:hAnsi="Arial" w:cs="Arial"/>
          <w:kern w:val="0"/>
          <w:lang w:eastAsia="en-GB"/>
          <w14:ligatures w14:val="none"/>
        </w:rPr>
        <w:t xml:space="preserve"> et al., 2024). In Tesco’s case, the integration of decentralised decision-making enables faster responses to consumer demands, particularly in an era of omnichannel retailing and personalised customer experiences.</w:t>
      </w:r>
    </w:p>
    <w:p w14:paraId="1B524141"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Nevertheless, this hybrid structure creates inherent tensions. While centralisation ensures strategic alignment and efficiency, decentralisation introduces variability and potential inconsistencies. Furthermore, overlapping authority between central and local levels can lead to ambiguity and conflict. These tensions highlight the complexity of balancing control with flexibility in large organisations.</w:t>
      </w:r>
    </w:p>
    <w:p w14:paraId="3D9E0AA5" w14:textId="2DF539B8" w:rsidR="00614261" w:rsidRPr="00614261" w:rsidRDefault="00614261" w:rsidP="00337069">
      <w:pPr>
        <w:spacing w:after="0" w:line="360" w:lineRule="auto"/>
        <w:rPr>
          <w:rFonts w:ascii="Arial" w:eastAsia="Times New Roman" w:hAnsi="Arial" w:cs="Arial"/>
          <w:kern w:val="0"/>
          <w:lang w:eastAsia="en-GB"/>
          <w14:ligatures w14:val="none"/>
        </w:rPr>
      </w:pPr>
    </w:p>
    <w:p w14:paraId="1BD6FDCA" w14:textId="77777777" w:rsidR="000005F1" w:rsidRPr="00E968D4" w:rsidRDefault="000005F1"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71E4CF7" w14:textId="77777777" w:rsidR="009B231F" w:rsidRPr="00E968D4" w:rsidRDefault="009B231F"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730B1FF9" w14:textId="0B09EEE4" w:rsidR="00614261" w:rsidRPr="00E968D4" w:rsidRDefault="00614261" w:rsidP="00337069">
      <w:pPr>
        <w:pStyle w:val="Heading1"/>
        <w:spacing w:line="360" w:lineRule="auto"/>
        <w:rPr>
          <w:rFonts w:ascii="Arial" w:eastAsia="Times New Roman" w:hAnsi="Arial" w:cs="Arial"/>
          <w:b/>
          <w:bCs/>
          <w:color w:val="auto"/>
          <w:sz w:val="28"/>
          <w:szCs w:val="28"/>
          <w:lang w:eastAsia="en-GB"/>
        </w:rPr>
      </w:pPr>
      <w:bookmarkStart w:id="8" w:name="_Toc227447429"/>
      <w:bookmarkStart w:id="9" w:name="_Toc227448106"/>
      <w:bookmarkStart w:id="10" w:name="_Toc227448157"/>
      <w:bookmarkStart w:id="11" w:name="_Toc227448357"/>
      <w:r w:rsidRPr="00E968D4">
        <w:rPr>
          <w:rFonts w:ascii="Arial" w:eastAsia="Times New Roman" w:hAnsi="Arial" w:cs="Arial"/>
          <w:b/>
          <w:bCs/>
          <w:color w:val="auto"/>
          <w:sz w:val="28"/>
          <w:szCs w:val="28"/>
          <w:lang w:eastAsia="en-GB"/>
        </w:rPr>
        <w:lastRenderedPageBreak/>
        <w:t>Cultural Influence on Decision-Making</w:t>
      </w:r>
      <w:bookmarkEnd w:id="8"/>
      <w:bookmarkEnd w:id="9"/>
      <w:bookmarkEnd w:id="10"/>
      <w:bookmarkEnd w:id="11"/>
    </w:p>
    <w:p w14:paraId="72C1702F" w14:textId="4D61AA97" w:rsidR="003B2E38" w:rsidRPr="00E968D4" w:rsidRDefault="003B2E38" w:rsidP="00337069">
      <w:pPr>
        <w:pStyle w:val="NormalWeb"/>
        <w:spacing w:line="360" w:lineRule="auto"/>
        <w:rPr>
          <w:rFonts w:ascii="Arial" w:hAnsi="Arial" w:cs="Arial"/>
        </w:rPr>
      </w:pPr>
      <w:r w:rsidRPr="00E968D4">
        <w:rPr>
          <w:rFonts w:ascii="Arial" w:hAnsi="Arial" w:cs="Arial"/>
        </w:rPr>
        <w:t>Organisational culture plays a decisive role in shaping how decisions are made within Tesco, influencing not only the processes used but also the speed, quality, and strategic direction of those decisions. Tesco’s culture</w:t>
      </w:r>
      <w:r w:rsidR="00670FF0" w:rsidRPr="00E968D4">
        <w:rPr>
          <w:rFonts w:ascii="Arial" w:hAnsi="Arial" w:cs="Arial"/>
        </w:rPr>
        <w:t xml:space="preserve"> </w:t>
      </w:r>
      <w:r w:rsidRPr="00E968D4">
        <w:rPr>
          <w:rFonts w:ascii="Arial" w:hAnsi="Arial" w:cs="Arial"/>
        </w:rPr>
        <w:t>characterised by customer focus, efficiency, and data-driven thinking</w:t>
      </w:r>
      <w:r w:rsidR="00670FF0" w:rsidRPr="00E968D4">
        <w:rPr>
          <w:rFonts w:ascii="Arial" w:hAnsi="Arial" w:cs="Arial"/>
        </w:rPr>
        <w:t xml:space="preserve"> </w:t>
      </w:r>
      <w:r w:rsidRPr="00E968D4">
        <w:rPr>
          <w:rFonts w:ascii="Arial" w:hAnsi="Arial" w:cs="Arial"/>
        </w:rPr>
        <w:t>creates a structured yet evolving decision-making environment.</w:t>
      </w:r>
    </w:p>
    <w:p w14:paraId="01F99DD5"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A defining feature of Tesco’s decision-making culture is its </w:t>
      </w:r>
      <w:r w:rsidRPr="00E968D4">
        <w:rPr>
          <w:rStyle w:val="Strong"/>
          <w:rFonts w:ascii="Arial" w:eastAsiaTheme="majorEastAsia" w:hAnsi="Arial" w:cs="Arial"/>
          <w:b w:val="0"/>
          <w:bCs w:val="0"/>
        </w:rPr>
        <w:t>strong reliance on data</w:t>
      </w:r>
      <w:r w:rsidRPr="00E968D4">
        <w:rPr>
          <w:rStyle w:val="Strong"/>
          <w:rFonts w:ascii="Arial" w:eastAsiaTheme="majorEastAsia" w:hAnsi="Arial" w:cs="Arial"/>
        </w:rPr>
        <w:t xml:space="preserve"> </w:t>
      </w:r>
      <w:r w:rsidRPr="00E968D4">
        <w:rPr>
          <w:rStyle w:val="Strong"/>
          <w:rFonts w:ascii="Arial" w:eastAsiaTheme="majorEastAsia" w:hAnsi="Arial" w:cs="Arial"/>
          <w:b w:val="0"/>
          <w:bCs w:val="0"/>
        </w:rPr>
        <w:t>analytics</w:t>
      </w:r>
      <w:r w:rsidRPr="00E968D4">
        <w:rPr>
          <w:rFonts w:ascii="Arial" w:hAnsi="Arial" w:cs="Arial"/>
          <w:b/>
          <w:bCs/>
        </w:rPr>
        <w:t>.</w:t>
      </w:r>
      <w:r w:rsidRPr="00E968D4">
        <w:rPr>
          <w:rFonts w:ascii="Arial" w:hAnsi="Arial" w:cs="Arial"/>
        </w:rPr>
        <w:t xml:space="preserve"> Through systems such as its Clubcard loyalty programme, Tesco gathers extensive customer data, enabling highly informed decisions regarding pricing, promotions, product assortment, and store operations. This reflects a </w:t>
      </w:r>
      <w:r w:rsidRPr="00E968D4">
        <w:rPr>
          <w:rStyle w:val="Strong"/>
          <w:rFonts w:ascii="Arial" w:eastAsiaTheme="majorEastAsia" w:hAnsi="Arial" w:cs="Arial"/>
          <w:b w:val="0"/>
          <w:bCs w:val="0"/>
        </w:rPr>
        <w:t>rational and</w:t>
      </w:r>
      <w:r w:rsidRPr="00E968D4">
        <w:rPr>
          <w:rStyle w:val="Strong"/>
          <w:rFonts w:ascii="Arial" w:eastAsiaTheme="majorEastAsia" w:hAnsi="Arial" w:cs="Arial"/>
        </w:rPr>
        <w:t xml:space="preserve"> </w:t>
      </w:r>
      <w:r w:rsidRPr="00E968D4">
        <w:rPr>
          <w:rStyle w:val="Strong"/>
          <w:rFonts w:ascii="Arial" w:eastAsiaTheme="majorEastAsia" w:hAnsi="Arial" w:cs="Arial"/>
          <w:b w:val="0"/>
          <w:bCs w:val="0"/>
        </w:rPr>
        <w:t>evidence-based decision-making model</w:t>
      </w:r>
      <w:r w:rsidRPr="00E968D4">
        <w:rPr>
          <w:rFonts w:ascii="Arial" w:hAnsi="Arial" w:cs="Arial"/>
          <w:b/>
          <w:bCs/>
        </w:rPr>
        <w:t xml:space="preserve">, </w:t>
      </w:r>
      <w:r w:rsidRPr="00E968D4">
        <w:rPr>
          <w:rFonts w:ascii="Arial" w:hAnsi="Arial" w:cs="Arial"/>
        </w:rPr>
        <w:t>where quantitative insights are prioritised over intuition. As a result, decisions tend to be consistent, measurable, and aligned with organisational objectives, reinforcing efficiency and competitiveness.</w:t>
      </w:r>
    </w:p>
    <w:p w14:paraId="6028B770" w14:textId="77777777" w:rsidR="003B2E38" w:rsidRPr="00E968D4" w:rsidRDefault="003B2E38" w:rsidP="00337069">
      <w:pPr>
        <w:pStyle w:val="NormalWeb"/>
        <w:spacing w:line="360" w:lineRule="auto"/>
        <w:rPr>
          <w:rFonts w:ascii="Arial" w:hAnsi="Arial" w:cs="Arial"/>
        </w:rPr>
      </w:pPr>
      <w:r w:rsidRPr="00E968D4">
        <w:rPr>
          <w:rFonts w:ascii="Arial" w:hAnsi="Arial" w:cs="Arial"/>
        </w:rPr>
        <w:t>However, this data-centric approach also introduces limitations. Over-reliance on analytics can reduce managerial discretion and constrain creativity, particularly in situations requiring innovative or unconventional solutions. Decision-makers may become dependent on historical data, which can be problematic in rapidly changing markets where past trends are not always reliable indicators of future behaviour. This highlights a tension between</w:t>
      </w:r>
      <w:r w:rsidRPr="00E968D4">
        <w:rPr>
          <w:rFonts w:ascii="Arial" w:hAnsi="Arial" w:cs="Arial"/>
          <w:b/>
          <w:bCs/>
        </w:rPr>
        <w:t xml:space="preserve"> </w:t>
      </w:r>
      <w:r w:rsidRPr="00E968D4">
        <w:rPr>
          <w:rStyle w:val="Strong"/>
          <w:rFonts w:ascii="Arial" w:eastAsiaTheme="majorEastAsia" w:hAnsi="Arial" w:cs="Arial"/>
          <w:b w:val="0"/>
          <w:bCs w:val="0"/>
        </w:rPr>
        <w:t>predictability and innovation</w:t>
      </w:r>
      <w:r w:rsidRPr="00E968D4">
        <w:rPr>
          <w:rFonts w:ascii="Arial" w:hAnsi="Arial" w:cs="Arial"/>
        </w:rPr>
        <w:t xml:space="preserve"> within Tesco’s culture.</w:t>
      </w:r>
    </w:p>
    <w:p w14:paraId="15123356" w14:textId="77777777" w:rsidR="003B2E38" w:rsidRPr="00E968D4" w:rsidRDefault="003B2E38" w:rsidP="00337069">
      <w:pPr>
        <w:pStyle w:val="NormalWeb"/>
        <w:spacing w:line="360" w:lineRule="auto"/>
        <w:rPr>
          <w:rFonts w:ascii="Arial" w:hAnsi="Arial" w:cs="Arial"/>
        </w:rPr>
      </w:pPr>
      <w:r w:rsidRPr="00E968D4">
        <w:rPr>
          <w:rFonts w:ascii="Arial" w:hAnsi="Arial" w:cs="Arial"/>
        </w:rPr>
        <w:t>Tesco’s organisational culture also reflects a</w:t>
      </w:r>
      <w:r w:rsidRPr="00E968D4">
        <w:rPr>
          <w:rFonts w:ascii="Arial" w:hAnsi="Arial" w:cs="Arial"/>
          <w:b/>
          <w:bCs/>
        </w:rPr>
        <w:t xml:space="preserve"> </w:t>
      </w:r>
      <w:r w:rsidRPr="00E968D4">
        <w:rPr>
          <w:rStyle w:val="Strong"/>
          <w:rFonts w:ascii="Arial" w:eastAsiaTheme="majorEastAsia" w:hAnsi="Arial" w:cs="Arial"/>
          <w:b w:val="0"/>
          <w:bCs w:val="0"/>
        </w:rPr>
        <w:t>balance between centralisation and decentralisation</w:t>
      </w:r>
      <w:r w:rsidRPr="00E968D4">
        <w:rPr>
          <w:rFonts w:ascii="Arial" w:hAnsi="Arial" w:cs="Arial"/>
          <w:b/>
          <w:bCs/>
        </w:rPr>
        <w:t>,</w:t>
      </w:r>
      <w:r w:rsidRPr="00E968D4">
        <w:rPr>
          <w:rFonts w:ascii="Arial" w:hAnsi="Arial" w:cs="Arial"/>
        </w:rPr>
        <w:t xml:space="preserve"> which directly influences decision-making authority. At the strategic level, decision-making remains relatively centralised, with senior management responsible for major corporate initiatives, financial planning, and long-term strategy. This ensures alignment with overall business objectives and maintains control across the organisation.</w:t>
      </w:r>
    </w:p>
    <w:p w14:paraId="76482715"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In contrast, operational decision-making is increasingly decentralised. Store managers and regional leaders are empowered to make decisions based on local customer needs, such as adjusting product ranges or responding to regional demand patterns. This decentralisation enhances responsiveness and allows Tesco to adapt to diverse market conditions. However, it can also create inconsistencies and </w:t>
      </w:r>
      <w:r w:rsidRPr="00E968D4">
        <w:rPr>
          <w:rFonts w:ascii="Arial" w:hAnsi="Arial" w:cs="Arial"/>
        </w:rPr>
        <w:lastRenderedPageBreak/>
        <w:t>potential conflicts between local and corporate priorities, particularly when local decisions diverge from central strategies.</w:t>
      </w:r>
    </w:p>
    <w:p w14:paraId="49103D5A" w14:textId="76F47C3C" w:rsidR="003B2E38" w:rsidRPr="00E968D4" w:rsidRDefault="003B2E38" w:rsidP="00337069">
      <w:pPr>
        <w:pStyle w:val="NormalWeb"/>
        <w:spacing w:line="360" w:lineRule="auto"/>
        <w:rPr>
          <w:rFonts w:ascii="Arial" w:hAnsi="Arial" w:cs="Arial"/>
        </w:rPr>
      </w:pPr>
      <w:r w:rsidRPr="00E968D4">
        <w:rPr>
          <w:rFonts w:ascii="Arial" w:hAnsi="Arial" w:cs="Arial"/>
        </w:rPr>
        <w:t xml:space="preserve">Another important cultural influence is Tesco’s </w:t>
      </w:r>
      <w:r w:rsidRPr="00E968D4">
        <w:rPr>
          <w:rStyle w:val="Strong"/>
          <w:rFonts w:ascii="Arial" w:eastAsiaTheme="majorEastAsia" w:hAnsi="Arial" w:cs="Arial"/>
          <w:b w:val="0"/>
          <w:bCs w:val="0"/>
        </w:rPr>
        <w:t>performance-oriented mindset</w:t>
      </w:r>
      <w:r w:rsidRPr="00E968D4">
        <w:rPr>
          <w:rFonts w:ascii="Arial" w:hAnsi="Arial" w:cs="Arial"/>
        </w:rPr>
        <w:t>, which emphasises efficiency, cost control, and target achievement. Decision-making is often guided by key performance indicators reinforcing accountability and measurable outcomes. While this supports operational discipline, it may also encourage short-term decision-making, where immediate performance targets take precedence over long-term strategic innovation.</w:t>
      </w:r>
    </w:p>
    <w:p w14:paraId="0F0E6EC1"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Furthermore, Tesco’s culture promotes </w:t>
      </w:r>
      <w:r w:rsidRPr="00F208F1">
        <w:rPr>
          <w:rStyle w:val="Strong"/>
          <w:rFonts w:ascii="Arial" w:eastAsiaTheme="majorEastAsia" w:hAnsi="Arial" w:cs="Arial"/>
          <w:b w:val="0"/>
          <w:bCs w:val="0"/>
        </w:rPr>
        <w:t>risk aversion</w:t>
      </w:r>
      <w:r w:rsidRPr="00E968D4">
        <w:rPr>
          <w:rFonts w:ascii="Arial" w:hAnsi="Arial" w:cs="Arial"/>
        </w:rPr>
        <w:t>, largely due to its focus on efficiency and uncertainty avoidance. Decisions are typically cautious and based on validated data, reducing the likelihood of failure. While this approach protects the organisation from unnecessary risks, it can also limit experimentation and slow the adoption of disruptive innovations. In highly competitive and technologically evolving markets, this cautious approach may place Tesco at a disadvantage compared to more agile competitors.</w:t>
      </w:r>
    </w:p>
    <w:p w14:paraId="37BB9969" w14:textId="77777777" w:rsidR="003B2E38" w:rsidRPr="00E968D4" w:rsidRDefault="003B2E38" w:rsidP="00337069">
      <w:pPr>
        <w:pStyle w:val="NormalWeb"/>
        <w:spacing w:line="360" w:lineRule="auto"/>
        <w:rPr>
          <w:rFonts w:ascii="Arial" w:hAnsi="Arial" w:cs="Arial"/>
        </w:rPr>
      </w:pPr>
      <w:r w:rsidRPr="00E968D4">
        <w:rPr>
          <w:rFonts w:ascii="Arial" w:hAnsi="Arial" w:cs="Arial"/>
        </w:rPr>
        <w:t>In recent years, Tesco has shown signs of evolving its decision-making culture, particularly in response to digital transformation and changing consumer expectations. The integration of digital technologies, e-commerce platforms, and real-time data analytics has improved decision speed and flexibility. Additionally, there is increasing recognition of the need to balance data with human judgment, particularly in strategic contexts where qualitative insights are crucial.</w:t>
      </w:r>
    </w:p>
    <w:p w14:paraId="32F92CEF" w14:textId="77777777" w:rsidR="003B2E38" w:rsidRPr="00E968D4" w:rsidRDefault="003B2E38" w:rsidP="00337069">
      <w:pPr>
        <w:pStyle w:val="NormalWeb"/>
        <w:spacing w:line="360" w:lineRule="auto"/>
        <w:rPr>
          <w:rFonts w:ascii="Arial" w:hAnsi="Arial" w:cs="Arial"/>
        </w:rPr>
      </w:pPr>
      <w:r w:rsidRPr="00E968D4">
        <w:rPr>
          <w:rFonts w:ascii="Arial" w:hAnsi="Arial" w:cs="Arial"/>
        </w:rPr>
        <w:t xml:space="preserve">Critically, Tesco’s decision-making culture reflects a broader organisational challenge: balancing </w:t>
      </w:r>
      <w:r w:rsidRPr="00E968D4">
        <w:rPr>
          <w:rStyle w:val="Strong"/>
          <w:rFonts w:ascii="Arial" w:eastAsiaTheme="majorEastAsia" w:hAnsi="Arial" w:cs="Arial"/>
          <w:b w:val="0"/>
          <w:bCs w:val="0"/>
        </w:rPr>
        <w:t>control with empowerment, efficiency with innovation, and data with intuition</w:t>
      </w:r>
      <w:r w:rsidRPr="00E968D4">
        <w:rPr>
          <w:rFonts w:ascii="Arial" w:hAnsi="Arial" w:cs="Arial"/>
          <w:b/>
          <w:bCs/>
        </w:rPr>
        <w:t>.</w:t>
      </w:r>
      <w:r w:rsidRPr="00E968D4">
        <w:rPr>
          <w:rFonts w:ascii="Arial" w:hAnsi="Arial" w:cs="Arial"/>
        </w:rPr>
        <w:t xml:space="preserve"> While the current approach supports operational excellence and consistency, future success will depend on Tesco’s ability to foster a more flexible and innovative decision-making environment.</w:t>
      </w:r>
    </w:p>
    <w:p w14:paraId="21090119" w14:textId="04D4DF48" w:rsidR="00614261" w:rsidRPr="00E968D4" w:rsidRDefault="00614261" w:rsidP="00337069">
      <w:pPr>
        <w:pStyle w:val="Heading1"/>
        <w:spacing w:line="360" w:lineRule="auto"/>
        <w:rPr>
          <w:rFonts w:ascii="Arial" w:eastAsia="Times New Roman" w:hAnsi="Arial" w:cs="Arial"/>
          <w:b/>
          <w:bCs/>
          <w:sz w:val="28"/>
          <w:szCs w:val="28"/>
          <w:lang w:eastAsia="en-GB"/>
        </w:rPr>
      </w:pPr>
      <w:bookmarkStart w:id="12" w:name="_Toc227447430"/>
      <w:bookmarkStart w:id="13" w:name="_Toc227448107"/>
      <w:bookmarkStart w:id="14" w:name="_Toc227448158"/>
      <w:bookmarkStart w:id="15" w:name="_Toc227448358"/>
      <w:r w:rsidRPr="00E968D4">
        <w:rPr>
          <w:rFonts w:ascii="Arial" w:eastAsia="Times New Roman" w:hAnsi="Arial" w:cs="Arial"/>
          <w:b/>
          <w:bCs/>
          <w:color w:val="000000" w:themeColor="text1"/>
          <w:sz w:val="28"/>
          <w:szCs w:val="28"/>
          <w:lang w:eastAsia="en-GB"/>
        </w:rPr>
        <w:t>Schein’s Model of Organisational Culture</w:t>
      </w:r>
      <w:bookmarkEnd w:id="12"/>
      <w:bookmarkEnd w:id="13"/>
      <w:bookmarkEnd w:id="14"/>
      <w:bookmarkEnd w:id="15"/>
    </w:p>
    <w:p w14:paraId="717BE057"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Schein’s (2010) three-level model provides a useful framework for analysing Tesco’s organisational culture.</w:t>
      </w:r>
    </w:p>
    <w:p w14:paraId="385A55A7"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lastRenderedPageBreak/>
        <w:t>At the artefact level, Tesco’s culture is reflected in visible elements such as store layouts, branding, and customer service practices. These artefacts emphasise convenience, accessibility, and value, reinforcing the organisation’s customer-centric approach.</w:t>
      </w:r>
    </w:p>
    <w:p w14:paraId="7C94BECE"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At the level of espoused values, Tesco promotes principles such as teamwork, respect, and customer focus. These values are communicated through training programmes and corporate messaging. However, there may be discrepancies between espoused values and actual practices. For example, the pressure to achieve efficiency targets may conflict with the value of employee well-being.</w:t>
      </w:r>
    </w:p>
    <w:p w14:paraId="3708F80B" w14:textId="77777777" w:rsidR="002225F0" w:rsidRPr="00E968D4"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At the deepest level, underlying assumptions include a strong belief in efficiency, cost leadership, and data-driven decision-making. </w:t>
      </w:r>
    </w:p>
    <w:p w14:paraId="3ED30233" w14:textId="60FC0AA3"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b/>
          <w:bCs/>
          <w:kern w:val="0"/>
          <w:sz w:val="28"/>
          <w:szCs w:val="28"/>
          <w:lang w:eastAsia="en-GB"/>
          <w14:ligatures w14:val="none"/>
        </w:rPr>
        <w:t>Handy’s Cultural Types</w:t>
      </w:r>
    </w:p>
    <w:p w14:paraId="40083405"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Handy’s (1993) framework identifies four types of organisational culture: power, role, task, and person culture. Tesco predominantly exhibits characteristics of role culture and task culture.</w:t>
      </w:r>
    </w:p>
    <w:p w14:paraId="15C0875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Role culture is evident in Tesco’s hierarchical structure, where roles and responsibilities are clearly defined. This ensures consistency and efficiency but can lead to bureaucracy and reduced flexibility.</w:t>
      </w:r>
    </w:p>
    <w:p w14:paraId="16143706"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Task culture is visible at the operational level, where teams collaborate to solve problems and improve service delivery. This supports adaptability and responsiveness to customer needs.</w:t>
      </w:r>
    </w:p>
    <w:p w14:paraId="20FEE6B4" w14:textId="77777777" w:rsidR="00367865" w:rsidRPr="00E968D4" w:rsidRDefault="00614261" w:rsidP="00367865">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the coexistence of these cultural types can create tension. Role culture may constrain task culture by imposing rigid structures and limiting autonomy. This tension reflects a broader challenge in balancing stability with innovation.</w:t>
      </w:r>
      <w:bookmarkStart w:id="16" w:name="_Toc227447431"/>
      <w:bookmarkStart w:id="17" w:name="_Toc227448108"/>
      <w:bookmarkStart w:id="18" w:name="_Toc227448159"/>
      <w:bookmarkStart w:id="19" w:name="_Toc227448359"/>
    </w:p>
    <w:p w14:paraId="75160374" w14:textId="1C87CE37" w:rsidR="00614261" w:rsidRPr="00E968D4" w:rsidRDefault="00614261" w:rsidP="00367865">
      <w:pPr>
        <w:spacing w:before="100" w:beforeAutospacing="1" w:after="100" w:afterAutospacing="1" w:line="360" w:lineRule="auto"/>
        <w:rPr>
          <w:rFonts w:ascii="Arial" w:eastAsia="Times New Roman" w:hAnsi="Arial" w:cs="Arial"/>
          <w:b/>
          <w:bCs/>
          <w:kern w:val="0"/>
          <w:lang w:eastAsia="en-GB"/>
          <w14:ligatures w14:val="none"/>
        </w:rPr>
      </w:pPr>
      <w:r w:rsidRPr="00E968D4">
        <w:rPr>
          <w:rFonts w:ascii="Arial" w:hAnsi="Arial" w:cs="Arial"/>
          <w:b/>
          <w:bCs/>
          <w:lang w:eastAsia="en-GB"/>
        </w:rPr>
        <w:t>Hofstede’s Cultural Dimensions</w:t>
      </w:r>
      <w:bookmarkEnd w:id="16"/>
      <w:bookmarkEnd w:id="17"/>
      <w:bookmarkEnd w:id="18"/>
      <w:bookmarkEnd w:id="19"/>
    </w:p>
    <w:p w14:paraId="5F74A1A6" w14:textId="180C5A52"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Hofstede’s (2001) framework provides further insight into Tesco’s organisational culture.</w:t>
      </w:r>
      <w:r w:rsidR="00C61F80"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Tesco</w:t>
      </w:r>
      <w:r w:rsidR="00C61F80"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 xml:space="preserve">demonstrates relatively low power distance at the operational level, </w:t>
      </w:r>
      <w:r w:rsidRPr="00614261">
        <w:rPr>
          <w:rFonts w:ascii="Arial" w:eastAsia="Times New Roman" w:hAnsi="Arial" w:cs="Arial"/>
          <w:kern w:val="0"/>
          <w:lang w:eastAsia="en-GB"/>
          <w14:ligatures w14:val="none"/>
        </w:rPr>
        <w:lastRenderedPageBreak/>
        <w:t>encouraging employee participation. However, hierarchical decision-making at higher levels suggests a degree of inconsistency.</w:t>
      </w:r>
    </w:p>
    <w:p w14:paraId="429DC0E4" w14:textId="56F369FE"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The organisation exhibits moderate individualism, balancing individual accountability with teamwork. This supports both performance and </w:t>
      </w:r>
      <w:r w:rsidR="00C61F80" w:rsidRPr="00E968D4">
        <w:rPr>
          <w:rFonts w:ascii="Arial" w:eastAsia="Times New Roman" w:hAnsi="Arial" w:cs="Arial"/>
          <w:kern w:val="0"/>
          <w:lang w:eastAsia="en-GB"/>
          <w14:ligatures w14:val="none"/>
        </w:rPr>
        <w:t>collaboration. In</w:t>
      </w:r>
      <w:r w:rsidRPr="00614261">
        <w:rPr>
          <w:rFonts w:ascii="Arial" w:eastAsia="Times New Roman" w:hAnsi="Arial" w:cs="Arial"/>
          <w:kern w:val="0"/>
          <w:lang w:eastAsia="en-GB"/>
          <w14:ligatures w14:val="none"/>
        </w:rPr>
        <w:t xml:space="preserve"> terms of uncertainty avoidance, Tesco displays a high level, relying on data and standardised processes to minimise risk. While this enhances efficiency, it may also discourage experimentation and innovation.</w:t>
      </w:r>
    </w:p>
    <w:p w14:paraId="38FDC93D" w14:textId="5F8A93C1"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Recent studies emphasise that reducing uncertainty avoidance is essential for successful digital transformation, as it enables organisations to embrace change and innovation (Zhang et al., 2023 cited in ScienceDirect, 2023</w:t>
      </w:r>
      <w:r w:rsidR="00D562FE" w:rsidRPr="00E968D4">
        <w:rPr>
          <w:rFonts w:ascii="Arial" w:eastAsia="Times New Roman" w:hAnsi="Arial" w:cs="Arial"/>
          <w:kern w:val="0"/>
          <w:lang w:eastAsia="en-GB"/>
          <w14:ligatures w14:val="none"/>
        </w:rPr>
        <w:t>).</w:t>
      </w:r>
    </w:p>
    <w:p w14:paraId="48A27177" w14:textId="77777777" w:rsidR="00614261" w:rsidRPr="00614261" w:rsidRDefault="00614261" w:rsidP="00337069">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20" w:name="_Toc227447432"/>
      <w:bookmarkStart w:id="21" w:name="_Toc227448109"/>
      <w:bookmarkStart w:id="22" w:name="_Toc227448160"/>
      <w:bookmarkStart w:id="23" w:name="_Toc227448360"/>
      <w:r w:rsidRPr="00614261">
        <w:rPr>
          <w:rFonts w:ascii="Arial" w:eastAsia="Times New Roman" w:hAnsi="Arial" w:cs="Arial"/>
          <w:b/>
          <w:bCs/>
          <w:kern w:val="0"/>
          <w:sz w:val="28"/>
          <w:szCs w:val="28"/>
          <w:lang w:eastAsia="en-GB"/>
          <w14:ligatures w14:val="none"/>
        </w:rPr>
        <w:t>Adapting to External Environmental Pressures</w:t>
      </w:r>
      <w:bookmarkEnd w:id="20"/>
      <w:bookmarkEnd w:id="21"/>
      <w:bookmarkEnd w:id="22"/>
      <w:bookmarkEnd w:id="23"/>
    </w:p>
    <w:p w14:paraId="48DBBC8E" w14:textId="24070B7B"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 operates in a highly dynamic environment characterised by technological advancements and changing consumer behaviour. Its organisational culture has played a crucial role in enabling adaptation.</w:t>
      </w:r>
      <w:r w:rsidR="00B950F3"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Digital transformation has been a key area of focus. Tesco has invested in online retail platforms, automation, and data analytics to enhance customer experience and operational efficiency. Research indicates that digital transformation requires cultural change, particularly in terms of innovation and collaboration (</w:t>
      </w:r>
      <w:r w:rsidR="00FF2026" w:rsidRPr="00E968D4">
        <w:rPr>
          <w:rFonts w:ascii="Arial" w:eastAsia="Times New Roman" w:hAnsi="Arial" w:cs="Arial"/>
          <w:kern w:val="0"/>
          <w:lang w:eastAsia="en-GB"/>
          <w14:ligatures w14:val="none"/>
        </w:rPr>
        <w:t>Reitberger</w:t>
      </w:r>
      <w:r w:rsidRPr="00614261">
        <w:rPr>
          <w:rFonts w:ascii="Arial" w:eastAsia="Times New Roman" w:hAnsi="Arial" w:cs="Arial"/>
          <w:kern w:val="0"/>
          <w:lang w:eastAsia="en-GB"/>
          <w14:ligatures w14:val="none"/>
        </w:rPr>
        <w:t xml:space="preserve"> et al., 2024</w:t>
      </w:r>
      <w:r w:rsidR="00FF2026" w:rsidRPr="00E968D4">
        <w:rPr>
          <w:rFonts w:ascii="Arial" w:eastAsia="Times New Roman" w:hAnsi="Arial" w:cs="Arial"/>
          <w:kern w:val="0"/>
          <w:lang w:eastAsia="en-GB"/>
          <w14:ligatures w14:val="none"/>
        </w:rPr>
        <w:t>).</w:t>
      </w:r>
    </w:p>
    <w:p w14:paraId="30DD6064" w14:textId="2047D4F3"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The broader retail sector is undergoing significant transformation, driven by technologies such as artificial intelligence and omnichannel retailing. These developments are reshaping customer expectations and operational practices (Journal of Retailing and Consumer Services, 2025</w:t>
      </w:r>
      <w:r w:rsidR="00A57A5D" w:rsidRPr="00E968D4">
        <w:rPr>
          <w:rFonts w:ascii="Arial" w:eastAsia="Times New Roman" w:hAnsi="Arial" w:cs="Arial"/>
          <w:kern w:val="0"/>
          <w:lang w:eastAsia="en-GB"/>
          <w14:ligatures w14:val="none"/>
        </w:rPr>
        <w:t>).</w:t>
      </w:r>
    </w:p>
    <w:p w14:paraId="37C796C6"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 has also responded to sustainability challenges by implementing initiatives to reduce food waste and improve energy efficiency. These efforts reflect a growing emphasis on corporate responsibility and alignment with societal expectations.</w:t>
      </w:r>
    </w:p>
    <w:p w14:paraId="7EEFF77A"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adaptation is not without challenges. Cultural inertia and resistance to change can hinder transformation efforts. This highlights the importance of developing a culture that supports continuous learning and innovation.</w:t>
      </w:r>
    </w:p>
    <w:p w14:paraId="36EF1DA2" w14:textId="113A3CD7" w:rsidR="00614261" w:rsidRPr="00E968D4" w:rsidRDefault="00614261" w:rsidP="00337069">
      <w:pPr>
        <w:pStyle w:val="Heading1"/>
        <w:spacing w:line="360" w:lineRule="auto"/>
        <w:rPr>
          <w:rFonts w:ascii="Arial" w:eastAsia="Times New Roman" w:hAnsi="Arial" w:cs="Arial"/>
          <w:b/>
          <w:bCs/>
          <w:color w:val="000000" w:themeColor="text1"/>
          <w:sz w:val="28"/>
          <w:szCs w:val="28"/>
          <w:lang w:eastAsia="en-GB"/>
        </w:rPr>
      </w:pPr>
      <w:bookmarkStart w:id="24" w:name="_Toc227447433"/>
      <w:bookmarkStart w:id="25" w:name="_Toc227448110"/>
      <w:bookmarkStart w:id="26" w:name="_Toc227448161"/>
      <w:bookmarkStart w:id="27" w:name="_Toc227448361"/>
      <w:r w:rsidRPr="00E968D4">
        <w:rPr>
          <w:rFonts w:ascii="Arial" w:eastAsia="Times New Roman" w:hAnsi="Arial" w:cs="Arial"/>
          <w:b/>
          <w:bCs/>
          <w:color w:val="000000" w:themeColor="text1"/>
          <w:sz w:val="28"/>
          <w:szCs w:val="28"/>
          <w:lang w:eastAsia="en-GB"/>
        </w:rPr>
        <w:lastRenderedPageBreak/>
        <w:t>Organisational Culture as Enabler and Constraint</w:t>
      </w:r>
      <w:bookmarkEnd w:id="24"/>
      <w:bookmarkEnd w:id="25"/>
      <w:bookmarkEnd w:id="26"/>
      <w:bookmarkEnd w:id="27"/>
    </w:p>
    <w:p w14:paraId="446E80CC" w14:textId="3CFBE9B6"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Tesco’s organisational culture acts as both an enabler and a constraint.</w:t>
      </w:r>
      <w:r w:rsidR="00C042A8"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As an enabler, it promotes efficiency, customer focus, and data-driven decision-making. These factors contribute to strong performance and competitive advantage.</w:t>
      </w:r>
    </w:p>
    <w:p w14:paraId="3F0C05FE" w14:textId="776F1FF5"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As a constraint, the emphasis on efficiency and risk minimisation may discourage innovation. Hierarchical structures can also slow decision-making and reduce flexibility.</w:t>
      </w:r>
      <w:r w:rsidR="00C042A8" w:rsidRPr="00E968D4">
        <w:rPr>
          <w:rFonts w:ascii="Arial" w:eastAsia="Times New Roman" w:hAnsi="Arial" w:cs="Arial"/>
          <w:kern w:val="0"/>
          <w:lang w:eastAsia="en-GB"/>
          <w14:ligatures w14:val="none"/>
        </w:rPr>
        <w:t xml:space="preserve"> </w:t>
      </w:r>
      <w:r w:rsidRPr="00614261">
        <w:rPr>
          <w:rFonts w:ascii="Arial" w:eastAsia="Times New Roman" w:hAnsi="Arial" w:cs="Arial"/>
          <w:kern w:val="0"/>
          <w:lang w:eastAsia="en-GB"/>
          <w14:ligatures w14:val="none"/>
        </w:rPr>
        <w:t>This duality reflects a broader challenge in organisational management: balancing stability with adaptability. While strong cultures provide consistency and direction, they can also become rigid and resistant to change.</w:t>
      </w:r>
    </w:p>
    <w:p w14:paraId="4B4EA4C9" w14:textId="77777777" w:rsidR="00614261" w:rsidRPr="00614261" w:rsidRDefault="00614261" w:rsidP="00337069">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28" w:name="_Toc227447434"/>
      <w:bookmarkStart w:id="29" w:name="_Toc227448111"/>
      <w:bookmarkStart w:id="30" w:name="_Toc227448162"/>
      <w:bookmarkStart w:id="31" w:name="_Toc227448362"/>
      <w:r w:rsidRPr="00614261">
        <w:rPr>
          <w:rFonts w:ascii="Arial" w:eastAsia="Times New Roman" w:hAnsi="Arial" w:cs="Arial"/>
          <w:b/>
          <w:bCs/>
          <w:kern w:val="0"/>
          <w:sz w:val="28"/>
          <w:szCs w:val="28"/>
          <w:lang w:eastAsia="en-GB"/>
          <w14:ligatures w14:val="none"/>
        </w:rPr>
        <w:t>Impact on Organisational Performance</w:t>
      </w:r>
      <w:bookmarkEnd w:id="28"/>
      <w:bookmarkEnd w:id="29"/>
      <w:bookmarkEnd w:id="30"/>
      <w:bookmarkEnd w:id="31"/>
    </w:p>
    <w:p w14:paraId="23147FC0"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Tesco’s organisational culture has significantly contributed to its success. Its focus on efficiency supports competitive pricing, while customer-centric values enhance satisfaction and loyalty.</w:t>
      </w:r>
    </w:p>
    <w:p w14:paraId="64759C39"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However, long-term performance depends on the organisation’s ability to adapt. Research suggests that organisations with flexible and innovative cultures are more likely to achieve sustained success (Denison, 1990).</w:t>
      </w:r>
    </w:p>
    <w:p w14:paraId="0EF72EBF"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In the context of digital transformation, culture plays a critical role in enabling innovation and organisational learning. Organisations that fail to adapt their culture risk falling behind in increasingly competitive markets.</w:t>
      </w:r>
    </w:p>
    <w:p w14:paraId="2A5498BC" w14:textId="05E15C4A" w:rsidR="00614261" w:rsidRPr="00614261" w:rsidRDefault="00614261" w:rsidP="00337069">
      <w:pPr>
        <w:spacing w:before="100" w:beforeAutospacing="1" w:after="100" w:afterAutospacing="1" w:line="360" w:lineRule="auto"/>
        <w:outlineLvl w:val="1"/>
        <w:rPr>
          <w:rFonts w:ascii="Arial" w:eastAsia="Times New Roman" w:hAnsi="Arial" w:cs="Arial"/>
          <w:b/>
          <w:bCs/>
          <w:kern w:val="0"/>
          <w:sz w:val="28"/>
          <w:szCs w:val="28"/>
          <w:lang w:eastAsia="en-GB"/>
          <w14:ligatures w14:val="none"/>
        </w:rPr>
      </w:pPr>
      <w:bookmarkStart w:id="32" w:name="_Toc227447435"/>
      <w:bookmarkStart w:id="33" w:name="_Toc227448112"/>
      <w:bookmarkStart w:id="34" w:name="_Toc227448163"/>
      <w:bookmarkStart w:id="35" w:name="_Toc227448363"/>
      <w:r w:rsidRPr="00614261">
        <w:rPr>
          <w:rFonts w:ascii="Arial" w:eastAsia="Times New Roman" w:hAnsi="Arial" w:cs="Arial"/>
          <w:b/>
          <w:bCs/>
          <w:kern w:val="0"/>
          <w:sz w:val="28"/>
          <w:szCs w:val="28"/>
          <w:lang w:eastAsia="en-GB"/>
          <w14:ligatures w14:val="none"/>
        </w:rPr>
        <w:t>Recommendations for Improvement</w:t>
      </w:r>
      <w:bookmarkEnd w:id="32"/>
      <w:bookmarkEnd w:id="33"/>
      <w:bookmarkEnd w:id="34"/>
      <w:bookmarkEnd w:id="35"/>
    </w:p>
    <w:p w14:paraId="0A74300E"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To enhance its organisational effectiveness, Tesco should consider the following:</w:t>
      </w:r>
    </w:p>
    <w:p w14:paraId="26642EB4"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First, it should promote innovation by encouraging experimentation and reducing the fear of failure. This would enable employees to explore new ideas and improve organisational adaptability.</w:t>
      </w:r>
    </w:p>
    <w:p w14:paraId="6C6069E8"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lastRenderedPageBreak/>
        <w:t>Second, Tesco should enhance structural flexibility by streamlining decision-making processes. Reducing bureaucratic barriers would improve responsiveness and agility.</w:t>
      </w:r>
    </w:p>
    <w:p w14:paraId="49CBE42A"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Third, the organisation should strengthen alignment between espoused values and actual practices. Ensuring consistency would enhance employee trust and engagement.</w:t>
      </w:r>
    </w:p>
    <w:p w14:paraId="12026197" w14:textId="13C3C9C3" w:rsidR="00721CDB" w:rsidRPr="00E968D4"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Fourth, Tesco should invest in employee development and engagement. Empowering employees would improve performance and innovation.</w:t>
      </w:r>
    </w:p>
    <w:p w14:paraId="0066A2DE" w14:textId="77777777" w:rsidR="00721CDB" w:rsidRPr="00721CDB" w:rsidRDefault="00721CDB" w:rsidP="00337069">
      <w:pPr>
        <w:spacing w:before="100" w:beforeAutospacing="1" w:after="100" w:afterAutospacing="1" w:line="360" w:lineRule="auto"/>
        <w:rPr>
          <w:rFonts w:ascii="Arial" w:eastAsia="Times New Roman" w:hAnsi="Arial" w:cs="Arial"/>
          <w:kern w:val="0"/>
          <w:lang w:eastAsia="en-GB"/>
          <w14:ligatures w14:val="none"/>
        </w:rPr>
      </w:pPr>
      <w:r w:rsidRPr="00721CDB">
        <w:rPr>
          <w:rFonts w:ascii="Arial" w:eastAsia="Times New Roman" w:hAnsi="Arial" w:cs="Arial"/>
          <w:kern w:val="0"/>
          <w:lang w:eastAsia="en-GB"/>
          <w14:ligatures w14:val="none"/>
        </w:rPr>
        <w:t>Tesco should move beyond incremental improvements and actively foster a culture that supports innovation and experimentation. Currently, its strong emphasis on efficiency and risk minimisation can discourage creative thinking. To address this, Tesco could introduce structured innovation programmes, such as internal incubators, pilot projects, and cross-functional innovation teams.</w:t>
      </w:r>
    </w:p>
    <w:p w14:paraId="43703407" w14:textId="57EEB6BF" w:rsidR="00721CDB" w:rsidRPr="00721CDB" w:rsidRDefault="00721CDB" w:rsidP="00337069">
      <w:pPr>
        <w:spacing w:before="100" w:beforeAutospacing="1" w:after="100" w:afterAutospacing="1" w:line="360" w:lineRule="auto"/>
        <w:rPr>
          <w:rFonts w:ascii="Arial" w:eastAsia="Times New Roman" w:hAnsi="Arial" w:cs="Arial"/>
          <w:kern w:val="0"/>
          <w:lang w:eastAsia="en-GB"/>
          <w14:ligatures w14:val="none"/>
        </w:rPr>
      </w:pPr>
      <w:r w:rsidRPr="00721CDB">
        <w:rPr>
          <w:rFonts w:ascii="Arial" w:eastAsia="Times New Roman" w:hAnsi="Arial" w:cs="Arial"/>
          <w:kern w:val="0"/>
          <w:lang w:eastAsia="en-GB"/>
          <w14:ligatures w14:val="none"/>
        </w:rPr>
        <w:t>Importantly, leadership must normalise calculated risk-taking by reframing failure as a learning opportunity rather than a performance shortfall. Without this cultural shift, innovation initiatives may exist superficially but fail to produce meaningful change. Embedding innovation into performance metrics</w:t>
      </w:r>
      <w:r w:rsidR="002A47CE" w:rsidRPr="00E968D4">
        <w:rPr>
          <w:rFonts w:ascii="Arial" w:eastAsia="Times New Roman" w:hAnsi="Arial" w:cs="Arial"/>
          <w:kern w:val="0"/>
          <w:lang w:eastAsia="en-GB"/>
          <w14:ligatures w14:val="none"/>
        </w:rPr>
        <w:t xml:space="preserve"> </w:t>
      </w:r>
      <w:r w:rsidRPr="00721CDB">
        <w:rPr>
          <w:rFonts w:ascii="Arial" w:eastAsia="Times New Roman" w:hAnsi="Arial" w:cs="Arial"/>
          <w:kern w:val="0"/>
          <w:lang w:eastAsia="en-GB"/>
          <w14:ligatures w14:val="none"/>
        </w:rPr>
        <w:t>not just efficiency—would signal a genuine strategic priority.</w:t>
      </w:r>
    </w:p>
    <w:p w14:paraId="4288D82B" w14:textId="2F9DAA00" w:rsidR="00721CDB" w:rsidRPr="00E968D4" w:rsidRDefault="00721CDB" w:rsidP="00337069">
      <w:pPr>
        <w:pStyle w:val="Heading1"/>
        <w:spacing w:line="360" w:lineRule="auto"/>
        <w:rPr>
          <w:rFonts w:ascii="Arial" w:eastAsia="Times New Roman" w:hAnsi="Arial" w:cs="Arial"/>
          <w:lang w:eastAsia="en-GB"/>
        </w:rPr>
      </w:pPr>
      <w:r w:rsidRPr="00E968D4">
        <w:rPr>
          <w:rFonts w:ascii="Arial" w:eastAsia="Times New Roman" w:hAnsi="Arial" w:cs="Arial"/>
          <w:lang w:eastAsia="en-GB"/>
        </w:rPr>
        <w:t xml:space="preserve"> </w:t>
      </w:r>
      <w:bookmarkStart w:id="36" w:name="_Toc227447436"/>
      <w:bookmarkStart w:id="37" w:name="_Toc227448113"/>
      <w:bookmarkStart w:id="38" w:name="_Toc227448164"/>
      <w:bookmarkStart w:id="39" w:name="_Toc227448364"/>
      <w:r w:rsidRPr="00E968D4">
        <w:rPr>
          <w:rFonts w:ascii="Arial" w:eastAsia="Times New Roman" w:hAnsi="Arial" w:cs="Arial"/>
          <w:b/>
          <w:bCs/>
          <w:color w:val="000000" w:themeColor="text1"/>
          <w:sz w:val="28"/>
          <w:szCs w:val="28"/>
          <w:lang w:eastAsia="en-GB"/>
        </w:rPr>
        <w:t>Rebalance Data-Driven Decision-Making with</w:t>
      </w:r>
      <w:r w:rsidRPr="00E968D4">
        <w:rPr>
          <w:rFonts w:ascii="Arial" w:eastAsia="Times New Roman" w:hAnsi="Arial" w:cs="Arial"/>
          <w:lang w:eastAsia="en-GB"/>
        </w:rPr>
        <w:t xml:space="preserve"> </w:t>
      </w:r>
      <w:r w:rsidRPr="00E968D4">
        <w:rPr>
          <w:rFonts w:ascii="Arial" w:eastAsia="Times New Roman" w:hAnsi="Arial" w:cs="Arial"/>
          <w:b/>
          <w:bCs/>
          <w:color w:val="000000" w:themeColor="text1"/>
          <w:sz w:val="28"/>
          <w:szCs w:val="28"/>
          <w:lang w:eastAsia="en-GB"/>
        </w:rPr>
        <w:t>Managerial</w:t>
      </w:r>
      <w:r w:rsidRPr="00E968D4">
        <w:rPr>
          <w:rFonts w:ascii="Arial" w:eastAsia="Times New Roman" w:hAnsi="Arial" w:cs="Arial"/>
          <w:lang w:eastAsia="en-GB"/>
        </w:rPr>
        <w:t xml:space="preserve"> </w:t>
      </w:r>
      <w:r w:rsidRPr="00E968D4">
        <w:rPr>
          <w:rFonts w:ascii="Arial" w:eastAsia="Times New Roman" w:hAnsi="Arial" w:cs="Arial"/>
          <w:b/>
          <w:bCs/>
          <w:color w:val="000000" w:themeColor="text1"/>
          <w:sz w:val="28"/>
          <w:szCs w:val="28"/>
          <w:lang w:eastAsia="en-GB"/>
        </w:rPr>
        <w:t>Judgement</w:t>
      </w:r>
      <w:bookmarkEnd w:id="36"/>
      <w:bookmarkEnd w:id="37"/>
      <w:bookmarkEnd w:id="38"/>
      <w:bookmarkEnd w:id="39"/>
    </w:p>
    <w:p w14:paraId="15488594" w14:textId="6EE25D5F" w:rsidR="00367865" w:rsidRPr="00E968D4" w:rsidRDefault="00721CDB" w:rsidP="00E968D4">
      <w:pPr>
        <w:spacing w:before="100" w:beforeAutospacing="1" w:after="100" w:afterAutospacing="1" w:line="360" w:lineRule="auto"/>
        <w:rPr>
          <w:rFonts w:ascii="Arial" w:eastAsia="Times New Roman" w:hAnsi="Arial" w:cs="Arial"/>
          <w:kern w:val="0"/>
          <w:lang w:eastAsia="en-GB"/>
          <w14:ligatures w14:val="none"/>
        </w:rPr>
      </w:pPr>
      <w:r w:rsidRPr="00721CDB">
        <w:rPr>
          <w:rFonts w:ascii="Arial" w:eastAsia="Times New Roman" w:hAnsi="Arial" w:cs="Arial"/>
          <w:kern w:val="0"/>
          <w:lang w:eastAsia="en-GB"/>
          <w14:ligatures w14:val="none"/>
        </w:rPr>
        <w:t>Tesco’s reliance on analytics is a clear strength, but it should be complemented with greater emphasis on human insight and strategic intuition. Decision-making frameworks should encourage managers to combine quantitative data with qualitative inputs, such as frontline employee feedback and emerging market trends.</w:t>
      </w:r>
      <w:r w:rsidR="0009038B" w:rsidRPr="00E968D4">
        <w:rPr>
          <w:rFonts w:ascii="Arial" w:eastAsia="Times New Roman" w:hAnsi="Arial" w:cs="Arial"/>
          <w:kern w:val="0"/>
          <w:lang w:eastAsia="en-GB"/>
          <w14:ligatures w14:val="none"/>
        </w:rPr>
        <w:t xml:space="preserve"> </w:t>
      </w:r>
      <w:r w:rsidRPr="00721CDB">
        <w:rPr>
          <w:rFonts w:ascii="Arial" w:eastAsia="Times New Roman" w:hAnsi="Arial" w:cs="Arial"/>
          <w:kern w:val="0"/>
          <w:lang w:eastAsia="en-GB"/>
          <w14:ligatures w14:val="none"/>
        </w:rPr>
        <w:t>This is particularly important in uncertain or rapidly evolving contexts where historical data may be insufficient. Training programmes focused on critical thinking and strategic decision-making could help managers interpret data more effectively rather than relying on it uncritically.</w:t>
      </w:r>
      <w:bookmarkStart w:id="40" w:name="_Toc227448365"/>
    </w:p>
    <w:p w14:paraId="12F76A14" w14:textId="77777777" w:rsidR="00367865" w:rsidRPr="00E968D4" w:rsidRDefault="00367865" w:rsidP="00367865">
      <w:pPr>
        <w:rPr>
          <w:rFonts w:ascii="Arial" w:hAnsi="Arial" w:cs="Arial"/>
          <w:lang w:eastAsia="en-GB"/>
        </w:rPr>
      </w:pPr>
    </w:p>
    <w:p w14:paraId="674BD483" w14:textId="77777777" w:rsidR="00367865" w:rsidRPr="00E968D4" w:rsidRDefault="00367865" w:rsidP="00367865">
      <w:pPr>
        <w:rPr>
          <w:rFonts w:ascii="Arial" w:hAnsi="Arial" w:cs="Arial"/>
          <w:lang w:eastAsia="en-GB"/>
        </w:rPr>
      </w:pPr>
    </w:p>
    <w:p w14:paraId="0EF39A31" w14:textId="77777777" w:rsidR="00367865" w:rsidRPr="00E968D4" w:rsidRDefault="00367865" w:rsidP="00367865">
      <w:pPr>
        <w:rPr>
          <w:rFonts w:ascii="Arial" w:hAnsi="Arial" w:cs="Arial"/>
          <w:lang w:eastAsia="en-GB"/>
        </w:rPr>
      </w:pPr>
    </w:p>
    <w:p w14:paraId="21A315BC" w14:textId="6804A55B" w:rsidR="00614261" w:rsidRPr="00E968D4" w:rsidRDefault="00614261" w:rsidP="00337069">
      <w:pPr>
        <w:pStyle w:val="Heading1"/>
        <w:spacing w:line="360" w:lineRule="auto"/>
        <w:rPr>
          <w:rFonts w:ascii="Arial" w:eastAsia="Times New Roman" w:hAnsi="Arial" w:cs="Arial"/>
          <w:b/>
          <w:bCs/>
          <w:color w:val="000000" w:themeColor="text1"/>
          <w:sz w:val="28"/>
          <w:szCs w:val="28"/>
          <w:lang w:eastAsia="en-GB"/>
        </w:rPr>
      </w:pPr>
      <w:r w:rsidRPr="00E968D4">
        <w:rPr>
          <w:rFonts w:ascii="Arial" w:eastAsia="Times New Roman" w:hAnsi="Arial" w:cs="Arial"/>
          <w:b/>
          <w:bCs/>
          <w:color w:val="000000" w:themeColor="text1"/>
          <w:sz w:val="28"/>
          <w:szCs w:val="28"/>
          <w:lang w:eastAsia="en-GB"/>
        </w:rPr>
        <w:t>Conclusion</w:t>
      </w:r>
      <w:bookmarkEnd w:id="40"/>
    </w:p>
    <w:p w14:paraId="1E5D8243" w14:textId="237AF8B3" w:rsidR="005B3EE7" w:rsidRPr="00E968D4" w:rsidRDefault="005B3EE7" w:rsidP="00337069">
      <w:pPr>
        <w:pStyle w:val="NormalWeb"/>
        <w:spacing w:line="360" w:lineRule="auto"/>
        <w:rPr>
          <w:rFonts w:ascii="Arial" w:hAnsi="Arial" w:cs="Arial"/>
        </w:rPr>
      </w:pPr>
      <w:r w:rsidRPr="00E968D4">
        <w:rPr>
          <w:rFonts w:ascii="Arial" w:hAnsi="Arial" w:cs="Arial"/>
        </w:rPr>
        <w:t>In conclusion, the analysis demonstrates that organisational culture is not merely a supportive element within Tesco but a central force shaping its structure, decision</w:t>
      </w:r>
      <w:r w:rsidR="0009038B" w:rsidRPr="00E968D4">
        <w:rPr>
          <w:rFonts w:ascii="Arial" w:hAnsi="Arial" w:cs="Arial"/>
        </w:rPr>
        <w:t xml:space="preserve"> </w:t>
      </w:r>
      <w:r w:rsidRPr="00E968D4">
        <w:rPr>
          <w:rFonts w:ascii="Arial" w:hAnsi="Arial" w:cs="Arial"/>
        </w:rPr>
        <w:t>making processes, and long-term performance. The interplay between Tesco’s customer-centric, efficiency-driven, and data-oriented culture and its hybrid organisational structure highlights the complexity of managing large-scale retail operations in a dynamic environment.</w:t>
      </w:r>
    </w:p>
    <w:p w14:paraId="045B0070" w14:textId="73A7F174" w:rsidR="005B3EE7" w:rsidRPr="00E968D4" w:rsidRDefault="005B3EE7" w:rsidP="00337069">
      <w:pPr>
        <w:pStyle w:val="NormalWeb"/>
        <w:spacing w:line="360" w:lineRule="auto"/>
        <w:rPr>
          <w:rFonts w:ascii="Arial" w:hAnsi="Arial" w:cs="Arial"/>
        </w:rPr>
      </w:pPr>
      <w:r w:rsidRPr="00E968D4">
        <w:rPr>
          <w:rFonts w:ascii="Arial" w:hAnsi="Arial" w:cs="Arial"/>
        </w:rPr>
        <w:t>The application of Schein’s model reveals a high degree of alignment between artefacts, espoused values, and underlying assumptions, indicating a strong and deeply embedded culture. However, this strength also presents a potential weakness, as deeply rooted assumptions</w:t>
      </w:r>
      <w:r w:rsidR="00CD7BC0" w:rsidRPr="00E968D4">
        <w:rPr>
          <w:rFonts w:ascii="Arial" w:hAnsi="Arial" w:cs="Arial"/>
        </w:rPr>
        <w:t xml:space="preserve"> </w:t>
      </w:r>
      <w:r w:rsidRPr="00E968D4">
        <w:rPr>
          <w:rFonts w:ascii="Arial" w:hAnsi="Arial" w:cs="Arial"/>
        </w:rPr>
        <w:t>particularly those centred on efficiency and risk minimisation</w:t>
      </w:r>
      <w:r w:rsidR="00CD7BC0" w:rsidRPr="00E968D4">
        <w:rPr>
          <w:rFonts w:ascii="Arial" w:hAnsi="Arial" w:cs="Arial"/>
        </w:rPr>
        <w:t xml:space="preserve"> </w:t>
      </w:r>
      <w:r w:rsidRPr="00E968D4">
        <w:rPr>
          <w:rFonts w:ascii="Arial" w:hAnsi="Arial" w:cs="Arial"/>
        </w:rPr>
        <w:t>may limit Tesco’s capacity for innovation and transformational change. Similarly, Handy’s framework illustrates the coexistence of role and task cultures, enabling both operational consistency and local responsiveness, yet also exposing tensions between control and flexibility. Hofstede’s dimensions further reinforce this duality, particularly in Tesco’s relatively high uncertainty avoidance, which supports stability but may constrain experimentation.</w:t>
      </w:r>
    </w:p>
    <w:p w14:paraId="322C6FBA" w14:textId="77777777" w:rsidR="005B3EE7" w:rsidRPr="00E968D4" w:rsidRDefault="005B3EE7" w:rsidP="00337069">
      <w:pPr>
        <w:pStyle w:val="NormalWeb"/>
        <w:spacing w:line="360" w:lineRule="auto"/>
        <w:rPr>
          <w:rFonts w:ascii="Arial" w:hAnsi="Arial" w:cs="Arial"/>
        </w:rPr>
      </w:pPr>
      <w:r w:rsidRPr="00E968D4">
        <w:rPr>
          <w:rFonts w:ascii="Arial" w:hAnsi="Arial" w:cs="Arial"/>
        </w:rPr>
        <w:t>Critically, Tesco’s reliance on data-driven decision-making represents both a strategic advantage and a potential limitation. While it enhances precision and operational effectiveness, it may also reduce managerial discretion and inhibit creative problem-solving. In an increasingly unpredictable retail landscape, over-dependence on historical data may hinder the organisation’s ability to anticipate and respond to disruptive change. This suggests that Tesco must move beyond purely analytical approaches and embrace a more balanced decision-making model that incorporates intuition and innovation.</w:t>
      </w:r>
    </w:p>
    <w:p w14:paraId="6DC6FE65" w14:textId="77777777" w:rsidR="005B3EE7" w:rsidRPr="00E968D4" w:rsidRDefault="005B3EE7" w:rsidP="00337069">
      <w:pPr>
        <w:pStyle w:val="NormalWeb"/>
        <w:spacing w:line="360" w:lineRule="auto"/>
        <w:rPr>
          <w:rFonts w:ascii="Arial" w:hAnsi="Arial" w:cs="Arial"/>
        </w:rPr>
      </w:pPr>
      <w:r w:rsidRPr="00E968D4">
        <w:rPr>
          <w:rFonts w:ascii="Arial" w:hAnsi="Arial" w:cs="Arial"/>
        </w:rPr>
        <w:t xml:space="preserve">Furthermore, Tesco’s experience highlights the broader challenge faced by established organisations: maintaining efficiency while fostering adaptability. Its </w:t>
      </w:r>
      <w:r w:rsidRPr="00E968D4">
        <w:rPr>
          <w:rFonts w:ascii="Arial" w:hAnsi="Arial" w:cs="Arial"/>
        </w:rPr>
        <w:lastRenderedPageBreak/>
        <w:t>response to external pressures, including digital transformation and sustainability demands, demonstrates a capacity for cultural evolution. However, such changes often appear reactive rather than proactive, indicating that cultural transformation is not yet fully embedded as a continuous process.</w:t>
      </w:r>
    </w:p>
    <w:p w14:paraId="061A6201" w14:textId="1775C0FD" w:rsidR="005B3EE7" w:rsidRPr="00E968D4" w:rsidRDefault="005B3EE7" w:rsidP="00337069">
      <w:pPr>
        <w:pStyle w:val="NormalWeb"/>
        <w:spacing w:line="360" w:lineRule="auto"/>
        <w:rPr>
          <w:rFonts w:ascii="Arial" w:hAnsi="Arial" w:cs="Arial"/>
        </w:rPr>
      </w:pPr>
      <w:r w:rsidRPr="00E968D4">
        <w:rPr>
          <w:rFonts w:ascii="Arial" w:hAnsi="Arial" w:cs="Arial"/>
        </w:rPr>
        <w:t>Ultimately, Tesco’s organisational culture can be characterised as a source of both competitive advantage and strategic constraint. Its strengths lie in its consistency, customer focus, and operational discipline, which have enabled sustained market leadership. However, its limitations</w:t>
      </w:r>
      <w:r w:rsidR="00CD7BC0" w:rsidRPr="00E968D4">
        <w:rPr>
          <w:rFonts w:ascii="Arial" w:hAnsi="Arial" w:cs="Arial"/>
        </w:rPr>
        <w:t xml:space="preserve"> </w:t>
      </w:r>
      <w:r w:rsidRPr="00E968D4">
        <w:rPr>
          <w:rFonts w:ascii="Arial" w:hAnsi="Arial" w:cs="Arial"/>
        </w:rPr>
        <w:t>particularly in relation to innovation, agility, and risk-taking</w:t>
      </w:r>
      <w:r w:rsidR="00CD7BC0" w:rsidRPr="00E968D4">
        <w:rPr>
          <w:rFonts w:ascii="Arial" w:hAnsi="Arial" w:cs="Arial"/>
        </w:rPr>
        <w:t xml:space="preserve"> </w:t>
      </w:r>
      <w:r w:rsidRPr="00E968D4">
        <w:rPr>
          <w:rFonts w:ascii="Arial" w:hAnsi="Arial" w:cs="Arial"/>
        </w:rPr>
        <w:t>must be addressed to ensure future competitiveness.</w:t>
      </w:r>
    </w:p>
    <w:p w14:paraId="3D2E76D6" w14:textId="77777777" w:rsidR="005B3EE7" w:rsidRPr="00E968D4" w:rsidRDefault="005B3EE7" w:rsidP="00337069">
      <w:pPr>
        <w:pStyle w:val="NormalWeb"/>
        <w:spacing w:line="360" w:lineRule="auto"/>
        <w:rPr>
          <w:rFonts w:ascii="Arial" w:hAnsi="Arial" w:cs="Arial"/>
        </w:rPr>
      </w:pPr>
      <w:r w:rsidRPr="00E968D4">
        <w:rPr>
          <w:rFonts w:ascii="Arial" w:hAnsi="Arial" w:cs="Arial"/>
        </w:rPr>
        <w:t>Looking forward, Tesco’s success will depend on its ability to cultivate a more adaptive and innovation-oriented culture without undermining its existing strengths. This requires not only structural adjustments but also a shift in underlying assumptions, encouraging experimentation, learning, and strategic flexibility. In this context, organisational culture should not be viewed as static, but as an evolving capability that must continuously align with environmental demands.</w:t>
      </w:r>
    </w:p>
    <w:p w14:paraId="3A91CB9B" w14:textId="7EC8C7F2" w:rsidR="005B3EE7" w:rsidRPr="00E968D4" w:rsidRDefault="005B3EE7" w:rsidP="00337069">
      <w:pPr>
        <w:pStyle w:val="NormalWeb"/>
        <w:spacing w:line="360" w:lineRule="auto"/>
        <w:rPr>
          <w:rFonts w:ascii="Arial" w:hAnsi="Arial" w:cs="Arial"/>
        </w:rPr>
      </w:pPr>
      <w:r w:rsidRPr="00E968D4">
        <w:rPr>
          <w:rFonts w:ascii="Arial" w:hAnsi="Arial" w:cs="Arial"/>
        </w:rPr>
        <w:t>Tesco’s case illustrates that while a strong organisational culture can drive performance, it must remain dynamic and open to change. can balance efficiency with innovation, control with empowerment, and data with human insight.</w:t>
      </w:r>
    </w:p>
    <w:p w14:paraId="1B22C394"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A360B04"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9EE8336"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38659CC3"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7C4427E3"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72D29169" w14:textId="77777777" w:rsidR="00CD7BC0" w:rsidRPr="00E968D4" w:rsidRDefault="00CD7BC0" w:rsidP="00337069">
      <w:pPr>
        <w:spacing w:before="100" w:beforeAutospacing="1" w:after="100" w:afterAutospacing="1" w:line="360" w:lineRule="auto"/>
        <w:outlineLvl w:val="1"/>
        <w:rPr>
          <w:rFonts w:ascii="Arial" w:eastAsia="Times New Roman" w:hAnsi="Arial" w:cs="Arial"/>
          <w:b/>
          <w:bCs/>
          <w:kern w:val="0"/>
          <w:sz w:val="36"/>
          <w:szCs w:val="36"/>
          <w:lang w:eastAsia="en-GB"/>
          <w14:ligatures w14:val="none"/>
        </w:rPr>
      </w:pPr>
    </w:p>
    <w:p w14:paraId="18AF4079" w14:textId="5DBB3AFB" w:rsidR="00614261" w:rsidRPr="00E968D4" w:rsidRDefault="00614261" w:rsidP="00337069">
      <w:pPr>
        <w:pStyle w:val="Heading1"/>
        <w:spacing w:line="360" w:lineRule="auto"/>
        <w:rPr>
          <w:rFonts w:ascii="Arial" w:eastAsia="Times New Roman" w:hAnsi="Arial" w:cs="Arial"/>
          <w:b/>
          <w:bCs/>
          <w:color w:val="000000" w:themeColor="text1"/>
          <w:sz w:val="28"/>
          <w:szCs w:val="28"/>
          <w:lang w:eastAsia="en-GB"/>
        </w:rPr>
      </w:pPr>
      <w:bookmarkStart w:id="41" w:name="_Toc227447437"/>
      <w:bookmarkStart w:id="42" w:name="_Toc227448114"/>
      <w:bookmarkStart w:id="43" w:name="_Toc227448165"/>
      <w:bookmarkStart w:id="44" w:name="_Toc227448366"/>
      <w:r w:rsidRPr="00E968D4">
        <w:rPr>
          <w:rFonts w:ascii="Arial" w:eastAsia="Times New Roman" w:hAnsi="Arial" w:cs="Arial"/>
          <w:b/>
          <w:bCs/>
          <w:color w:val="000000" w:themeColor="text1"/>
          <w:sz w:val="28"/>
          <w:szCs w:val="28"/>
          <w:lang w:eastAsia="en-GB"/>
        </w:rPr>
        <w:lastRenderedPageBreak/>
        <w:t>Reference List (Harvard Style)</w:t>
      </w:r>
      <w:bookmarkEnd w:id="41"/>
      <w:bookmarkEnd w:id="42"/>
      <w:bookmarkEnd w:id="43"/>
      <w:bookmarkEnd w:id="44"/>
    </w:p>
    <w:p w14:paraId="1649134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Denison, D.R. (1990) </w:t>
      </w:r>
      <w:r w:rsidRPr="00614261">
        <w:rPr>
          <w:rFonts w:ascii="Arial" w:eastAsia="Times New Roman" w:hAnsi="Arial" w:cs="Arial"/>
          <w:i/>
          <w:iCs/>
          <w:kern w:val="0"/>
          <w:lang w:eastAsia="en-GB"/>
          <w14:ligatures w14:val="none"/>
        </w:rPr>
        <w:t>Corporate culture and organizational effectiveness</w:t>
      </w:r>
      <w:r w:rsidRPr="00614261">
        <w:rPr>
          <w:rFonts w:ascii="Arial" w:eastAsia="Times New Roman" w:hAnsi="Arial" w:cs="Arial"/>
          <w:kern w:val="0"/>
          <w:lang w:eastAsia="en-GB"/>
          <w14:ligatures w14:val="none"/>
        </w:rPr>
        <w:t>. New York: Wiley.</w:t>
      </w:r>
    </w:p>
    <w:p w14:paraId="0C74B8C0"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Handy, C. (1993) </w:t>
      </w:r>
      <w:r w:rsidRPr="00614261">
        <w:rPr>
          <w:rFonts w:ascii="Arial" w:eastAsia="Times New Roman" w:hAnsi="Arial" w:cs="Arial"/>
          <w:i/>
          <w:iCs/>
          <w:kern w:val="0"/>
          <w:lang w:eastAsia="en-GB"/>
          <w14:ligatures w14:val="none"/>
        </w:rPr>
        <w:t>Understanding organizations</w:t>
      </w:r>
      <w:r w:rsidRPr="00614261">
        <w:rPr>
          <w:rFonts w:ascii="Arial" w:eastAsia="Times New Roman" w:hAnsi="Arial" w:cs="Arial"/>
          <w:kern w:val="0"/>
          <w:lang w:eastAsia="en-GB"/>
          <w14:ligatures w14:val="none"/>
        </w:rPr>
        <w:t xml:space="preserve">. 4th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London: Penguin.</w:t>
      </w:r>
    </w:p>
    <w:p w14:paraId="74E05532"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Hofstede, G. (2001) </w:t>
      </w:r>
      <w:r w:rsidRPr="00614261">
        <w:rPr>
          <w:rFonts w:ascii="Arial" w:eastAsia="Times New Roman" w:hAnsi="Arial" w:cs="Arial"/>
          <w:i/>
          <w:iCs/>
          <w:kern w:val="0"/>
          <w:lang w:eastAsia="en-GB"/>
          <w14:ligatures w14:val="none"/>
        </w:rPr>
        <w:t xml:space="preserve">Culture’s consequences: Comparing values, </w:t>
      </w:r>
      <w:proofErr w:type="spellStart"/>
      <w:r w:rsidRPr="00614261">
        <w:rPr>
          <w:rFonts w:ascii="Arial" w:eastAsia="Times New Roman" w:hAnsi="Arial" w:cs="Arial"/>
          <w:i/>
          <w:iCs/>
          <w:kern w:val="0"/>
          <w:lang w:eastAsia="en-GB"/>
          <w14:ligatures w14:val="none"/>
        </w:rPr>
        <w:t>behaviors</w:t>
      </w:r>
      <w:proofErr w:type="spellEnd"/>
      <w:r w:rsidRPr="00614261">
        <w:rPr>
          <w:rFonts w:ascii="Arial" w:eastAsia="Times New Roman" w:hAnsi="Arial" w:cs="Arial"/>
          <w:i/>
          <w:iCs/>
          <w:kern w:val="0"/>
          <w:lang w:eastAsia="en-GB"/>
          <w14:ligatures w14:val="none"/>
        </w:rPr>
        <w:t>, institutions and organizations across nations</w:t>
      </w:r>
      <w:r w:rsidRPr="00614261">
        <w:rPr>
          <w:rFonts w:ascii="Arial" w:eastAsia="Times New Roman" w:hAnsi="Arial" w:cs="Arial"/>
          <w:kern w:val="0"/>
          <w:lang w:eastAsia="en-GB"/>
          <w14:ligatures w14:val="none"/>
        </w:rPr>
        <w:t xml:space="preserve">. 2nd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Thousand Oaks: Sage.</w:t>
      </w:r>
    </w:p>
    <w:p w14:paraId="5D3148E3"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Humby, C., Hunt, T. and Phillips, T. (2008) </w:t>
      </w:r>
      <w:r w:rsidRPr="00614261">
        <w:rPr>
          <w:rFonts w:ascii="Arial" w:eastAsia="Times New Roman" w:hAnsi="Arial" w:cs="Arial"/>
          <w:i/>
          <w:iCs/>
          <w:kern w:val="0"/>
          <w:lang w:eastAsia="en-GB"/>
          <w14:ligatures w14:val="none"/>
        </w:rPr>
        <w:t>Scoring points: How Tesco continues to win customer loyalty</w:t>
      </w:r>
      <w:r w:rsidRPr="00614261">
        <w:rPr>
          <w:rFonts w:ascii="Arial" w:eastAsia="Times New Roman" w:hAnsi="Arial" w:cs="Arial"/>
          <w:kern w:val="0"/>
          <w:lang w:eastAsia="en-GB"/>
          <w14:ligatures w14:val="none"/>
        </w:rPr>
        <w:t>. London: Kogan Page.</w:t>
      </w:r>
    </w:p>
    <w:p w14:paraId="46C611B1"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Johnson, G., Whittington, R., Scholes, K., Angwin, D. and </w:t>
      </w:r>
      <w:proofErr w:type="spellStart"/>
      <w:r w:rsidRPr="00614261">
        <w:rPr>
          <w:rFonts w:ascii="Arial" w:eastAsia="Times New Roman" w:hAnsi="Arial" w:cs="Arial"/>
          <w:kern w:val="0"/>
          <w:lang w:eastAsia="en-GB"/>
          <w14:ligatures w14:val="none"/>
        </w:rPr>
        <w:t>Regnér</w:t>
      </w:r>
      <w:proofErr w:type="spellEnd"/>
      <w:r w:rsidRPr="00614261">
        <w:rPr>
          <w:rFonts w:ascii="Arial" w:eastAsia="Times New Roman" w:hAnsi="Arial" w:cs="Arial"/>
          <w:kern w:val="0"/>
          <w:lang w:eastAsia="en-GB"/>
          <w14:ligatures w14:val="none"/>
        </w:rPr>
        <w:t xml:space="preserve">, P. (2020) </w:t>
      </w:r>
      <w:r w:rsidRPr="00614261">
        <w:rPr>
          <w:rFonts w:ascii="Arial" w:eastAsia="Times New Roman" w:hAnsi="Arial" w:cs="Arial"/>
          <w:i/>
          <w:iCs/>
          <w:kern w:val="0"/>
          <w:lang w:eastAsia="en-GB"/>
          <w14:ligatures w14:val="none"/>
        </w:rPr>
        <w:t>Exploring strategy</w:t>
      </w:r>
      <w:r w:rsidRPr="00614261">
        <w:rPr>
          <w:rFonts w:ascii="Arial" w:eastAsia="Times New Roman" w:hAnsi="Arial" w:cs="Arial"/>
          <w:kern w:val="0"/>
          <w:lang w:eastAsia="en-GB"/>
          <w14:ligatures w14:val="none"/>
        </w:rPr>
        <w:t xml:space="preserve">. 12th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Harlow: Pearson.</w:t>
      </w:r>
    </w:p>
    <w:p w14:paraId="37A19C5A"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Mullins, L.J. and Christy, G. (2016) </w:t>
      </w:r>
      <w:r w:rsidRPr="00614261">
        <w:rPr>
          <w:rFonts w:ascii="Arial" w:eastAsia="Times New Roman" w:hAnsi="Arial" w:cs="Arial"/>
          <w:i/>
          <w:iCs/>
          <w:kern w:val="0"/>
          <w:lang w:eastAsia="en-GB"/>
          <w14:ligatures w14:val="none"/>
        </w:rPr>
        <w:t>Management and organisational behaviour</w:t>
      </w:r>
      <w:r w:rsidRPr="00614261">
        <w:rPr>
          <w:rFonts w:ascii="Arial" w:eastAsia="Times New Roman" w:hAnsi="Arial" w:cs="Arial"/>
          <w:kern w:val="0"/>
          <w:lang w:eastAsia="en-GB"/>
          <w14:ligatures w14:val="none"/>
        </w:rPr>
        <w:t xml:space="preserve">. 11th </w:t>
      </w:r>
      <w:proofErr w:type="spellStart"/>
      <w:r w:rsidRPr="00614261">
        <w:rPr>
          <w:rFonts w:ascii="Arial" w:eastAsia="Times New Roman" w:hAnsi="Arial" w:cs="Arial"/>
          <w:kern w:val="0"/>
          <w:lang w:eastAsia="en-GB"/>
          <w14:ligatures w14:val="none"/>
        </w:rPr>
        <w:t>edn</w:t>
      </w:r>
      <w:proofErr w:type="spellEnd"/>
      <w:r w:rsidRPr="00614261">
        <w:rPr>
          <w:rFonts w:ascii="Arial" w:eastAsia="Times New Roman" w:hAnsi="Arial" w:cs="Arial"/>
          <w:kern w:val="0"/>
          <w:lang w:eastAsia="en-GB"/>
          <w14:ligatures w14:val="none"/>
        </w:rPr>
        <w:t>. Harlow: Pearson.</w:t>
      </w:r>
    </w:p>
    <w:p w14:paraId="4DF7F57F"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proofErr w:type="spellStart"/>
      <w:r w:rsidRPr="00614261">
        <w:rPr>
          <w:rFonts w:ascii="Arial" w:eastAsia="Times New Roman" w:hAnsi="Arial" w:cs="Arial"/>
          <w:kern w:val="0"/>
          <w:lang w:eastAsia="en-GB"/>
          <w14:ligatures w14:val="none"/>
        </w:rPr>
        <w:t>Reisberger</w:t>
      </w:r>
      <w:proofErr w:type="spellEnd"/>
      <w:r w:rsidRPr="00614261">
        <w:rPr>
          <w:rFonts w:ascii="Arial" w:eastAsia="Times New Roman" w:hAnsi="Arial" w:cs="Arial"/>
          <w:kern w:val="0"/>
          <w:lang w:eastAsia="en-GB"/>
          <w14:ligatures w14:val="none"/>
        </w:rPr>
        <w:t xml:space="preserve">, T. et al. (2024) ‘The linkage between digital transformation and organizational culture’, </w:t>
      </w:r>
      <w:r w:rsidRPr="00614261">
        <w:rPr>
          <w:rFonts w:ascii="Arial" w:eastAsia="Times New Roman" w:hAnsi="Arial" w:cs="Arial"/>
          <w:i/>
          <w:iCs/>
          <w:kern w:val="0"/>
          <w:lang w:eastAsia="en-GB"/>
          <w14:ligatures w14:val="none"/>
        </w:rPr>
        <w:t>Journal of the Knowledge Economy</w:t>
      </w:r>
      <w:r w:rsidRPr="00614261">
        <w:rPr>
          <w:rFonts w:ascii="Arial" w:eastAsia="Times New Roman" w:hAnsi="Arial" w:cs="Arial"/>
          <w:kern w:val="0"/>
          <w:lang w:eastAsia="en-GB"/>
          <w14:ligatures w14:val="none"/>
        </w:rPr>
        <w:t xml:space="preserve">. </w:t>
      </w:r>
    </w:p>
    <w:p w14:paraId="3C91E9F2"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Zhang, Y. et al. (2023) ‘How digital transformation impacts organizational culture’, </w:t>
      </w:r>
      <w:r w:rsidRPr="00614261">
        <w:rPr>
          <w:rFonts w:ascii="Arial" w:eastAsia="Times New Roman" w:hAnsi="Arial" w:cs="Arial"/>
          <w:i/>
          <w:iCs/>
          <w:kern w:val="0"/>
          <w:lang w:eastAsia="en-GB"/>
          <w14:ligatures w14:val="none"/>
        </w:rPr>
        <w:t>Computers &amp; Industrial Engineering</w:t>
      </w:r>
      <w:r w:rsidRPr="00614261">
        <w:rPr>
          <w:rFonts w:ascii="Arial" w:eastAsia="Times New Roman" w:hAnsi="Arial" w:cs="Arial"/>
          <w:kern w:val="0"/>
          <w:lang w:eastAsia="en-GB"/>
          <w14:ligatures w14:val="none"/>
        </w:rPr>
        <w:t xml:space="preserve">. </w:t>
      </w:r>
    </w:p>
    <w:p w14:paraId="44C8B677"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Journal of Retailing and Consumer Services (2025) ‘Reimagining retail: Technology and sustainability’. </w:t>
      </w:r>
    </w:p>
    <w:p w14:paraId="630CCCFE" w14:textId="77777777" w:rsidR="00614261" w:rsidRPr="00614261" w:rsidRDefault="00614261" w:rsidP="00337069">
      <w:pPr>
        <w:spacing w:before="100" w:beforeAutospacing="1" w:after="100" w:afterAutospacing="1" w:line="360" w:lineRule="auto"/>
        <w:rPr>
          <w:rFonts w:ascii="Arial" w:eastAsia="Times New Roman" w:hAnsi="Arial" w:cs="Arial"/>
          <w:kern w:val="0"/>
          <w:lang w:eastAsia="en-GB"/>
          <w14:ligatures w14:val="none"/>
        </w:rPr>
      </w:pPr>
      <w:r w:rsidRPr="00614261">
        <w:rPr>
          <w:rFonts w:ascii="Arial" w:eastAsia="Times New Roman" w:hAnsi="Arial" w:cs="Arial"/>
          <w:kern w:val="0"/>
          <w:lang w:eastAsia="en-GB"/>
          <w14:ligatures w14:val="none"/>
        </w:rPr>
        <w:t xml:space="preserve">Roy, B. (2024) </w:t>
      </w:r>
      <w:r w:rsidRPr="00614261">
        <w:rPr>
          <w:rFonts w:ascii="Arial" w:eastAsia="Times New Roman" w:hAnsi="Arial" w:cs="Arial"/>
          <w:i/>
          <w:iCs/>
          <w:kern w:val="0"/>
          <w:lang w:eastAsia="en-GB"/>
          <w14:ligatures w14:val="none"/>
        </w:rPr>
        <w:t>Digital transformation strategies in traditional retail industries: A case of Tesco</w:t>
      </w:r>
      <w:r w:rsidRPr="00614261">
        <w:rPr>
          <w:rFonts w:ascii="Arial" w:eastAsia="Times New Roman" w:hAnsi="Arial" w:cs="Arial"/>
          <w:kern w:val="0"/>
          <w:lang w:eastAsia="en-GB"/>
          <w14:ligatures w14:val="none"/>
        </w:rPr>
        <w:t>.</w:t>
      </w:r>
    </w:p>
    <w:p w14:paraId="427C346B" w14:textId="77777777" w:rsidR="002072EC" w:rsidRPr="00E968D4" w:rsidRDefault="002072EC">
      <w:pPr>
        <w:rPr>
          <w:rFonts w:ascii="Arial" w:hAnsi="Arial" w:cs="Arial"/>
        </w:rPr>
      </w:pPr>
    </w:p>
    <w:sectPr w:rsidR="002072EC" w:rsidRPr="00E968D4" w:rsidSect="002072E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2B867" w14:textId="77777777" w:rsidR="00B50E62" w:rsidRDefault="00B50E62" w:rsidP="00AC32CE">
      <w:pPr>
        <w:spacing w:after="0" w:line="240" w:lineRule="auto"/>
      </w:pPr>
      <w:r>
        <w:separator/>
      </w:r>
    </w:p>
  </w:endnote>
  <w:endnote w:type="continuationSeparator" w:id="0">
    <w:p w14:paraId="0EFA2AE4" w14:textId="77777777" w:rsidR="00B50E62" w:rsidRDefault="00B50E62" w:rsidP="00AC32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597894"/>
      <w:docPartObj>
        <w:docPartGallery w:val="Page Numbers (Bottom of Page)"/>
        <w:docPartUnique/>
      </w:docPartObj>
    </w:sdtPr>
    <w:sdtEndPr/>
    <w:sdtContent>
      <w:p w14:paraId="53615663" w14:textId="534625A8" w:rsidR="00AC32CE" w:rsidRDefault="00AC32CE">
        <w:pPr>
          <w:pStyle w:val="Footer"/>
          <w:jc w:val="right"/>
        </w:pPr>
        <w:r>
          <w:fldChar w:fldCharType="begin"/>
        </w:r>
        <w:r>
          <w:instrText>PAGE   \* MERGEFORMAT</w:instrText>
        </w:r>
        <w:r>
          <w:fldChar w:fldCharType="separate"/>
        </w:r>
        <w:r>
          <w:t>2</w:t>
        </w:r>
        <w:r>
          <w:fldChar w:fldCharType="end"/>
        </w:r>
      </w:p>
    </w:sdtContent>
  </w:sdt>
  <w:p w14:paraId="4DD66CC4" w14:textId="77777777" w:rsidR="00AC32CE" w:rsidRDefault="00AC32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8B858" w14:textId="77777777" w:rsidR="00B50E62" w:rsidRDefault="00B50E62" w:rsidP="00AC32CE">
      <w:pPr>
        <w:spacing w:after="0" w:line="240" w:lineRule="auto"/>
      </w:pPr>
      <w:r>
        <w:separator/>
      </w:r>
    </w:p>
  </w:footnote>
  <w:footnote w:type="continuationSeparator" w:id="0">
    <w:p w14:paraId="2964D51C" w14:textId="77777777" w:rsidR="00B50E62" w:rsidRDefault="00B50E62" w:rsidP="00AC32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384FF1"/>
    <w:multiLevelType w:val="multilevel"/>
    <w:tmpl w:val="3D241B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5451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2EC"/>
    <w:rsid w:val="000005F1"/>
    <w:rsid w:val="00085430"/>
    <w:rsid w:val="0009038B"/>
    <w:rsid w:val="000A6F90"/>
    <w:rsid w:val="001209AF"/>
    <w:rsid w:val="001447E9"/>
    <w:rsid w:val="001B6449"/>
    <w:rsid w:val="002072EC"/>
    <w:rsid w:val="002225F0"/>
    <w:rsid w:val="002A47CE"/>
    <w:rsid w:val="00311FA5"/>
    <w:rsid w:val="00337069"/>
    <w:rsid w:val="00367865"/>
    <w:rsid w:val="003A1058"/>
    <w:rsid w:val="003B2E38"/>
    <w:rsid w:val="003D58AE"/>
    <w:rsid w:val="003E6CF6"/>
    <w:rsid w:val="00406555"/>
    <w:rsid w:val="00500F93"/>
    <w:rsid w:val="00500FB6"/>
    <w:rsid w:val="005363ED"/>
    <w:rsid w:val="00562E61"/>
    <w:rsid w:val="0057531D"/>
    <w:rsid w:val="005B3EE7"/>
    <w:rsid w:val="0060583B"/>
    <w:rsid w:val="00614261"/>
    <w:rsid w:val="006304FC"/>
    <w:rsid w:val="00635D70"/>
    <w:rsid w:val="00670FF0"/>
    <w:rsid w:val="006C65AB"/>
    <w:rsid w:val="00721CDB"/>
    <w:rsid w:val="007D4817"/>
    <w:rsid w:val="007E70A5"/>
    <w:rsid w:val="00881585"/>
    <w:rsid w:val="00900191"/>
    <w:rsid w:val="00927E67"/>
    <w:rsid w:val="00953A8A"/>
    <w:rsid w:val="0096636F"/>
    <w:rsid w:val="0097118E"/>
    <w:rsid w:val="009B231F"/>
    <w:rsid w:val="00A57A5D"/>
    <w:rsid w:val="00AC2D71"/>
    <w:rsid w:val="00AC32CE"/>
    <w:rsid w:val="00AC3B7B"/>
    <w:rsid w:val="00B1122F"/>
    <w:rsid w:val="00B50E62"/>
    <w:rsid w:val="00B72CAF"/>
    <w:rsid w:val="00B950F3"/>
    <w:rsid w:val="00BE47BF"/>
    <w:rsid w:val="00BF5B24"/>
    <w:rsid w:val="00C042A8"/>
    <w:rsid w:val="00C13FB4"/>
    <w:rsid w:val="00C61F80"/>
    <w:rsid w:val="00C92B68"/>
    <w:rsid w:val="00CD7BC0"/>
    <w:rsid w:val="00D25C7E"/>
    <w:rsid w:val="00D562FE"/>
    <w:rsid w:val="00DD485E"/>
    <w:rsid w:val="00DE1197"/>
    <w:rsid w:val="00E030BF"/>
    <w:rsid w:val="00E13B9A"/>
    <w:rsid w:val="00E968D4"/>
    <w:rsid w:val="00F208F1"/>
    <w:rsid w:val="00F470E9"/>
    <w:rsid w:val="00FA69E8"/>
    <w:rsid w:val="00FD0ED4"/>
    <w:rsid w:val="00FF20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941782"/>
  <w15:chartTrackingRefBased/>
  <w15:docId w15:val="{9973A7CA-731E-43CC-A0B2-FA44739E88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7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7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7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7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7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72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72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72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72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7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7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7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7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7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7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7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7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72EC"/>
    <w:rPr>
      <w:rFonts w:eastAsiaTheme="majorEastAsia" w:cstheme="majorBidi"/>
      <w:color w:val="272727" w:themeColor="text1" w:themeTint="D8"/>
    </w:rPr>
  </w:style>
  <w:style w:type="paragraph" w:styleId="Title">
    <w:name w:val="Title"/>
    <w:basedOn w:val="Normal"/>
    <w:next w:val="Normal"/>
    <w:link w:val="TitleChar"/>
    <w:uiPriority w:val="10"/>
    <w:qFormat/>
    <w:rsid w:val="002072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7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72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7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72EC"/>
    <w:pPr>
      <w:spacing w:before="160"/>
      <w:jc w:val="center"/>
    </w:pPr>
    <w:rPr>
      <w:i/>
      <w:iCs/>
      <w:color w:val="404040" w:themeColor="text1" w:themeTint="BF"/>
    </w:rPr>
  </w:style>
  <w:style w:type="character" w:customStyle="1" w:styleId="QuoteChar">
    <w:name w:val="Quote Char"/>
    <w:basedOn w:val="DefaultParagraphFont"/>
    <w:link w:val="Quote"/>
    <w:uiPriority w:val="29"/>
    <w:rsid w:val="002072EC"/>
    <w:rPr>
      <w:i/>
      <w:iCs/>
      <w:color w:val="404040" w:themeColor="text1" w:themeTint="BF"/>
    </w:rPr>
  </w:style>
  <w:style w:type="paragraph" w:styleId="ListParagraph">
    <w:name w:val="List Paragraph"/>
    <w:basedOn w:val="Normal"/>
    <w:uiPriority w:val="34"/>
    <w:qFormat/>
    <w:rsid w:val="002072EC"/>
    <w:pPr>
      <w:ind w:left="720"/>
      <w:contextualSpacing/>
    </w:pPr>
  </w:style>
  <w:style w:type="character" w:styleId="IntenseEmphasis">
    <w:name w:val="Intense Emphasis"/>
    <w:basedOn w:val="DefaultParagraphFont"/>
    <w:uiPriority w:val="21"/>
    <w:qFormat/>
    <w:rsid w:val="002072EC"/>
    <w:rPr>
      <w:i/>
      <w:iCs/>
      <w:color w:val="0F4761" w:themeColor="accent1" w:themeShade="BF"/>
    </w:rPr>
  </w:style>
  <w:style w:type="paragraph" w:styleId="IntenseQuote">
    <w:name w:val="Intense Quote"/>
    <w:basedOn w:val="Normal"/>
    <w:next w:val="Normal"/>
    <w:link w:val="IntenseQuoteChar"/>
    <w:uiPriority w:val="30"/>
    <w:qFormat/>
    <w:rsid w:val="00207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72EC"/>
    <w:rPr>
      <w:i/>
      <w:iCs/>
      <w:color w:val="0F4761" w:themeColor="accent1" w:themeShade="BF"/>
    </w:rPr>
  </w:style>
  <w:style w:type="character" w:styleId="IntenseReference">
    <w:name w:val="Intense Reference"/>
    <w:basedOn w:val="DefaultParagraphFont"/>
    <w:uiPriority w:val="32"/>
    <w:qFormat/>
    <w:rsid w:val="002072EC"/>
    <w:rPr>
      <w:b/>
      <w:bCs/>
      <w:smallCaps/>
      <w:color w:val="0F4761" w:themeColor="accent1" w:themeShade="BF"/>
      <w:spacing w:val="5"/>
    </w:rPr>
  </w:style>
  <w:style w:type="paragraph" w:styleId="NoSpacing">
    <w:name w:val="No Spacing"/>
    <w:link w:val="NoSpacingChar"/>
    <w:uiPriority w:val="1"/>
    <w:qFormat/>
    <w:rsid w:val="002072E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2072EC"/>
    <w:rPr>
      <w:rFonts w:eastAsiaTheme="minorEastAsia"/>
      <w:kern w:val="0"/>
      <w:sz w:val="22"/>
      <w:szCs w:val="22"/>
      <w:lang w:eastAsia="en-GB"/>
      <w14:ligatures w14:val="none"/>
    </w:rPr>
  </w:style>
  <w:style w:type="paragraph" w:styleId="NormalWeb">
    <w:name w:val="Normal (Web)"/>
    <w:basedOn w:val="Normal"/>
    <w:uiPriority w:val="99"/>
    <w:semiHidden/>
    <w:unhideWhenUsed/>
    <w:rsid w:val="005B3EE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B2E38"/>
    <w:rPr>
      <w:b/>
      <w:bCs/>
    </w:rPr>
  </w:style>
  <w:style w:type="paragraph" w:styleId="TOCHeading">
    <w:name w:val="TOC Heading"/>
    <w:basedOn w:val="Heading1"/>
    <w:next w:val="Normal"/>
    <w:uiPriority w:val="39"/>
    <w:unhideWhenUsed/>
    <w:qFormat/>
    <w:rsid w:val="001B6449"/>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6636F"/>
    <w:pPr>
      <w:tabs>
        <w:tab w:val="right" w:leader="dot" w:pos="9016"/>
      </w:tabs>
      <w:spacing w:after="100"/>
      <w:ind w:left="240"/>
    </w:pPr>
    <w:rPr>
      <w:rFonts w:ascii="Arial" w:eastAsia="Times New Roman" w:hAnsi="Arial" w:cs="Arial"/>
      <w:b/>
      <w:bCs/>
      <w:noProof/>
      <w:kern w:val="0"/>
      <w:lang w:eastAsia="en-GB"/>
      <w14:ligatures w14:val="none"/>
    </w:rPr>
  </w:style>
  <w:style w:type="paragraph" w:styleId="TOC3">
    <w:name w:val="toc 3"/>
    <w:basedOn w:val="Normal"/>
    <w:next w:val="Normal"/>
    <w:autoRedefine/>
    <w:uiPriority w:val="39"/>
    <w:unhideWhenUsed/>
    <w:rsid w:val="001B6449"/>
    <w:pPr>
      <w:spacing w:after="100"/>
      <w:ind w:left="480"/>
    </w:pPr>
  </w:style>
  <w:style w:type="character" w:styleId="Hyperlink">
    <w:name w:val="Hyperlink"/>
    <w:basedOn w:val="DefaultParagraphFont"/>
    <w:uiPriority w:val="99"/>
    <w:unhideWhenUsed/>
    <w:rsid w:val="001B6449"/>
    <w:rPr>
      <w:color w:val="467886" w:themeColor="hyperlink"/>
      <w:u w:val="single"/>
    </w:rPr>
  </w:style>
  <w:style w:type="paragraph" w:styleId="Header">
    <w:name w:val="header"/>
    <w:basedOn w:val="Normal"/>
    <w:link w:val="HeaderChar"/>
    <w:uiPriority w:val="99"/>
    <w:unhideWhenUsed/>
    <w:rsid w:val="00AC32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32CE"/>
  </w:style>
  <w:style w:type="paragraph" w:styleId="Footer">
    <w:name w:val="footer"/>
    <w:basedOn w:val="Normal"/>
    <w:link w:val="FooterChar"/>
    <w:uiPriority w:val="99"/>
    <w:unhideWhenUsed/>
    <w:rsid w:val="00AC32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32CE"/>
  </w:style>
  <w:style w:type="paragraph" w:styleId="TOC1">
    <w:name w:val="toc 1"/>
    <w:basedOn w:val="Normal"/>
    <w:next w:val="Normal"/>
    <w:autoRedefine/>
    <w:uiPriority w:val="39"/>
    <w:unhideWhenUsed/>
    <w:rsid w:val="000A6F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0096F0087F24AB08B5A828B1C766397"/>
        <w:category>
          <w:name w:val="General"/>
          <w:gallery w:val="placeholder"/>
        </w:category>
        <w:types>
          <w:type w:val="bbPlcHdr"/>
        </w:types>
        <w:behaviors>
          <w:behavior w:val="content"/>
        </w:behaviors>
        <w:guid w:val="{F7C9B25F-05A5-4BF7-89E6-2DB6546633AA}"/>
      </w:docPartPr>
      <w:docPartBody>
        <w:p w:rsidR="00FB3C47" w:rsidRDefault="00A5435B" w:rsidP="00A5435B">
          <w:pPr>
            <w:pStyle w:val="10096F0087F24AB08B5A828B1C766397"/>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35B"/>
    <w:rsid w:val="001209AF"/>
    <w:rsid w:val="005363ED"/>
    <w:rsid w:val="00794863"/>
    <w:rsid w:val="00860F06"/>
    <w:rsid w:val="00927E67"/>
    <w:rsid w:val="00A326EE"/>
    <w:rsid w:val="00A5435B"/>
    <w:rsid w:val="00AC3B7B"/>
    <w:rsid w:val="00C10C1F"/>
    <w:rsid w:val="00FB3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096F0087F24AB08B5A828B1C766397">
    <w:name w:val="10096F0087F24AB08B5A828B1C766397"/>
    <w:rsid w:val="00A5435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2026-04-19T00:00:00</PublishDate>
  <Abstract/>
  <CompanyAddress>Student Id 2123174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72723E4-4D60-424E-A500-7249A2D9D9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3260</Words>
  <Characters>18582</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a study OF TESCO</vt:lpstr>
    </vt:vector>
  </TitlesOfParts>
  <Company>melat genene mekbeb</Company>
  <LinksUpToDate>false</LinksUpToDate>
  <CharactersWithSpaces>21799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 culture OF TESCO</dc:title>
  <dc:subject/>
  <dc:creator>melat mekbeb</dc:creator>
  <cp:keywords/>
  <dc:description/>
  <cp:lastModifiedBy>melat mekbeb</cp:lastModifiedBy>
  <cp:revision>2</cp:revision>
  <dcterms:created xsi:type="dcterms:W3CDTF">2026-04-20T20:33:00Z</dcterms:created>
  <dcterms:modified xsi:type="dcterms:W3CDTF">2026-04-20T20:33:00Z</dcterms:modified>
</cp:coreProperties>
</file>