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id w:val="1581412242"/>
        <w:docPartObj>
          <w:docPartGallery w:val="Cover Pages"/>
          <w:docPartUnique/>
        </w:docPartObj>
      </w:sdtPr>
      <w:sdtEndPr>
        <w:rPr>
          <w:b/>
          <w:bCs/>
        </w:rPr>
      </w:sdtEndPr>
      <w:sdtContent>
        <w:p w14:paraId="49942325" w14:textId="52129D19" w:rsidR="00417AE6" w:rsidRDefault="00417AE6">
          <w:r>
            <w:rPr>
              <w:noProof/>
            </w:rPr>
            <mc:AlternateContent>
              <mc:Choice Requires="wpg">
                <w:drawing>
                  <wp:anchor distT="0" distB="0" distL="114300" distR="114300" simplePos="0" relativeHeight="251659264" behindDoc="1" locked="0" layoutInCell="1" allowOverlap="1" wp14:anchorId="531531DC" wp14:editId="6F26A29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FBC394" w14:textId="662512B7" w:rsidR="00417AE6" w:rsidRDefault="00417AE6">
                                      <w:pPr>
                                        <w:pStyle w:val="NoSpacing"/>
                                        <w:spacing w:before="120"/>
                                        <w:jc w:val="center"/>
                                        <w:rPr>
                                          <w:color w:val="FFFFFF" w:themeColor="background1"/>
                                        </w:rPr>
                                      </w:pPr>
                                      <w:r>
                                        <w:rPr>
                                          <w:color w:val="FFFFFF" w:themeColor="background1"/>
                                        </w:rPr>
                                        <w:t>Name</w:t>
                                      </w:r>
                                    </w:p>
                                  </w:sdtContent>
                                </w:sdt>
                                <w:p w14:paraId="708AD9BB" w14:textId="142D4FD4" w:rsidR="00417AE6" w:rsidRDefault="00417AE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Roll Number</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5F9E0C1" w14:textId="6A9D8C8D" w:rsidR="00417AE6" w:rsidRDefault="00417AE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Public law</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31531DC"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FBC394" w14:textId="662512B7" w:rsidR="00417AE6" w:rsidRDefault="00417AE6">
                                <w:pPr>
                                  <w:pStyle w:val="NoSpacing"/>
                                  <w:spacing w:before="120"/>
                                  <w:jc w:val="center"/>
                                  <w:rPr>
                                    <w:color w:val="FFFFFF" w:themeColor="background1"/>
                                  </w:rPr>
                                </w:pPr>
                                <w:r>
                                  <w:rPr>
                                    <w:color w:val="FFFFFF" w:themeColor="background1"/>
                                  </w:rPr>
                                  <w:t>Name</w:t>
                                </w:r>
                              </w:p>
                            </w:sdtContent>
                          </w:sdt>
                          <w:p w14:paraId="708AD9BB" w14:textId="142D4FD4" w:rsidR="00417AE6" w:rsidRDefault="00417AE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Roll Number</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5F9E0C1" w14:textId="6A9D8C8D" w:rsidR="00417AE6" w:rsidRDefault="00417AE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Public law</w:t>
                                </w:r>
                              </w:p>
                            </w:sdtContent>
                          </w:sdt>
                        </w:txbxContent>
                      </v:textbox>
                    </v:shape>
                    <w10:wrap anchorx="page" anchory="page"/>
                  </v:group>
                </w:pict>
              </mc:Fallback>
            </mc:AlternateContent>
          </w:r>
        </w:p>
        <w:p w14:paraId="71EAA4C6" w14:textId="1CBA473A" w:rsidR="00417AE6" w:rsidRDefault="00417AE6">
          <w:pPr>
            <w:rPr>
              <w:b/>
              <w:bCs/>
              <w:sz w:val="32"/>
              <w:szCs w:val="32"/>
            </w:rPr>
          </w:pPr>
          <w:r>
            <w:rPr>
              <w:b/>
              <w:bCs/>
            </w:rPr>
            <w:br w:type="page"/>
          </w:r>
        </w:p>
      </w:sdtContent>
    </w:sdt>
    <w:sdt>
      <w:sdtPr>
        <w:rPr>
          <w:rFonts w:ascii="Times New Roman" w:hAnsi="Times New Roman" w:cs="Times New Roman"/>
          <w:b/>
          <w:bCs/>
          <w:color w:val="auto"/>
        </w:rPr>
        <w:id w:val="-112519130"/>
        <w:docPartObj>
          <w:docPartGallery w:val="Table of Contents"/>
          <w:docPartUnique/>
        </w:docPartObj>
      </w:sdtPr>
      <w:sdtEndPr>
        <w:rPr>
          <w:rFonts w:eastAsia="Times New Roman"/>
          <w:noProof/>
          <w:sz w:val="24"/>
          <w:szCs w:val="24"/>
          <w:lang w:val="en-PK" w:eastAsia="en-PK"/>
        </w:rPr>
      </w:sdtEndPr>
      <w:sdtContent>
        <w:p w14:paraId="36442AB5" w14:textId="240C0846" w:rsidR="00417AE6" w:rsidRPr="00417AE6" w:rsidRDefault="00417AE6" w:rsidP="00417AE6">
          <w:pPr>
            <w:pStyle w:val="TOCHeading"/>
            <w:spacing w:after="240" w:line="720" w:lineRule="auto"/>
            <w:rPr>
              <w:rFonts w:ascii="Times New Roman" w:hAnsi="Times New Roman" w:cs="Times New Roman"/>
              <w:b/>
              <w:bCs/>
              <w:color w:val="auto"/>
            </w:rPr>
          </w:pPr>
          <w:r w:rsidRPr="00417AE6">
            <w:rPr>
              <w:rFonts w:ascii="Times New Roman" w:hAnsi="Times New Roman" w:cs="Times New Roman"/>
              <w:b/>
              <w:bCs/>
              <w:color w:val="auto"/>
            </w:rPr>
            <w:t>Table of Contents</w:t>
          </w:r>
        </w:p>
        <w:p w14:paraId="21B2FB1C" w14:textId="1A49428F" w:rsidR="00417AE6" w:rsidRPr="00417AE6" w:rsidRDefault="00417AE6" w:rsidP="00417AE6">
          <w:pPr>
            <w:pStyle w:val="TOC1"/>
            <w:tabs>
              <w:tab w:val="right" w:leader="dot" w:pos="9016"/>
            </w:tabs>
            <w:spacing w:line="720" w:lineRule="auto"/>
            <w:rPr>
              <w:noProof/>
              <w:sz w:val="24"/>
              <w:szCs w:val="24"/>
            </w:rPr>
          </w:pPr>
          <w:r w:rsidRPr="00417AE6">
            <w:rPr>
              <w:sz w:val="24"/>
              <w:szCs w:val="24"/>
            </w:rPr>
            <w:fldChar w:fldCharType="begin"/>
          </w:r>
          <w:r w:rsidRPr="00417AE6">
            <w:rPr>
              <w:sz w:val="24"/>
              <w:szCs w:val="24"/>
            </w:rPr>
            <w:instrText xml:space="preserve"> TOC \o "1-3" \h \z \u </w:instrText>
          </w:r>
          <w:r w:rsidRPr="00417AE6">
            <w:rPr>
              <w:sz w:val="24"/>
              <w:szCs w:val="24"/>
            </w:rPr>
            <w:fldChar w:fldCharType="separate"/>
          </w:r>
          <w:hyperlink w:anchor="_Toc105496901" w:history="1">
            <w:r w:rsidRPr="00417AE6">
              <w:rPr>
                <w:rStyle w:val="Hyperlink"/>
                <w:b/>
                <w:bCs/>
                <w:noProof/>
                <w:sz w:val="24"/>
                <w:szCs w:val="24"/>
              </w:rPr>
              <w:t>Introduction</w:t>
            </w:r>
            <w:r w:rsidRPr="00417AE6">
              <w:rPr>
                <w:noProof/>
                <w:webHidden/>
                <w:sz w:val="24"/>
                <w:szCs w:val="24"/>
              </w:rPr>
              <w:tab/>
            </w:r>
            <w:r w:rsidRPr="00417AE6">
              <w:rPr>
                <w:noProof/>
                <w:webHidden/>
                <w:sz w:val="24"/>
                <w:szCs w:val="24"/>
              </w:rPr>
              <w:fldChar w:fldCharType="begin"/>
            </w:r>
            <w:r w:rsidRPr="00417AE6">
              <w:rPr>
                <w:noProof/>
                <w:webHidden/>
                <w:sz w:val="24"/>
                <w:szCs w:val="24"/>
              </w:rPr>
              <w:instrText xml:space="preserve"> PAGEREF _Toc105496901 \h </w:instrText>
            </w:r>
            <w:r w:rsidRPr="00417AE6">
              <w:rPr>
                <w:noProof/>
                <w:webHidden/>
                <w:sz w:val="24"/>
                <w:szCs w:val="24"/>
              </w:rPr>
            </w:r>
            <w:r w:rsidRPr="00417AE6">
              <w:rPr>
                <w:noProof/>
                <w:webHidden/>
                <w:sz w:val="24"/>
                <w:szCs w:val="24"/>
              </w:rPr>
              <w:fldChar w:fldCharType="separate"/>
            </w:r>
            <w:r>
              <w:rPr>
                <w:noProof/>
                <w:webHidden/>
                <w:sz w:val="24"/>
                <w:szCs w:val="24"/>
              </w:rPr>
              <w:t>1</w:t>
            </w:r>
            <w:r w:rsidRPr="00417AE6">
              <w:rPr>
                <w:noProof/>
                <w:webHidden/>
                <w:sz w:val="24"/>
                <w:szCs w:val="24"/>
              </w:rPr>
              <w:fldChar w:fldCharType="end"/>
            </w:r>
          </w:hyperlink>
        </w:p>
        <w:p w14:paraId="6A5823EE" w14:textId="7EC794D8" w:rsidR="00417AE6" w:rsidRPr="00417AE6" w:rsidRDefault="00417AE6" w:rsidP="00417AE6">
          <w:pPr>
            <w:pStyle w:val="TOC1"/>
            <w:tabs>
              <w:tab w:val="right" w:leader="dot" w:pos="9016"/>
            </w:tabs>
            <w:spacing w:line="720" w:lineRule="auto"/>
            <w:rPr>
              <w:noProof/>
              <w:sz w:val="24"/>
              <w:szCs w:val="24"/>
            </w:rPr>
          </w:pPr>
          <w:hyperlink w:anchor="_Toc105496902" w:history="1">
            <w:r w:rsidRPr="00417AE6">
              <w:rPr>
                <w:rStyle w:val="Hyperlink"/>
                <w:b/>
                <w:bCs/>
                <w:noProof/>
                <w:sz w:val="24"/>
                <w:szCs w:val="24"/>
                <w:lang w:val="en-US"/>
              </w:rPr>
              <w:t>Separation of power</w:t>
            </w:r>
            <w:r w:rsidRPr="00417AE6">
              <w:rPr>
                <w:noProof/>
                <w:webHidden/>
                <w:sz w:val="24"/>
                <w:szCs w:val="24"/>
              </w:rPr>
              <w:tab/>
            </w:r>
            <w:r w:rsidRPr="00417AE6">
              <w:rPr>
                <w:noProof/>
                <w:webHidden/>
                <w:sz w:val="24"/>
                <w:szCs w:val="24"/>
              </w:rPr>
              <w:fldChar w:fldCharType="begin"/>
            </w:r>
            <w:r w:rsidRPr="00417AE6">
              <w:rPr>
                <w:noProof/>
                <w:webHidden/>
                <w:sz w:val="24"/>
                <w:szCs w:val="24"/>
              </w:rPr>
              <w:instrText xml:space="preserve"> PAGEREF _Toc105496902 \h </w:instrText>
            </w:r>
            <w:r w:rsidRPr="00417AE6">
              <w:rPr>
                <w:noProof/>
                <w:webHidden/>
                <w:sz w:val="24"/>
                <w:szCs w:val="24"/>
              </w:rPr>
            </w:r>
            <w:r w:rsidRPr="00417AE6">
              <w:rPr>
                <w:noProof/>
                <w:webHidden/>
                <w:sz w:val="24"/>
                <w:szCs w:val="24"/>
              </w:rPr>
              <w:fldChar w:fldCharType="separate"/>
            </w:r>
            <w:r>
              <w:rPr>
                <w:noProof/>
                <w:webHidden/>
                <w:sz w:val="24"/>
                <w:szCs w:val="24"/>
              </w:rPr>
              <w:t>1</w:t>
            </w:r>
            <w:r w:rsidRPr="00417AE6">
              <w:rPr>
                <w:noProof/>
                <w:webHidden/>
                <w:sz w:val="24"/>
                <w:szCs w:val="24"/>
              </w:rPr>
              <w:fldChar w:fldCharType="end"/>
            </w:r>
          </w:hyperlink>
        </w:p>
        <w:p w14:paraId="52675B98" w14:textId="04705EF7" w:rsidR="00417AE6" w:rsidRPr="00417AE6" w:rsidRDefault="00417AE6" w:rsidP="00417AE6">
          <w:pPr>
            <w:pStyle w:val="TOC1"/>
            <w:tabs>
              <w:tab w:val="right" w:leader="dot" w:pos="9016"/>
            </w:tabs>
            <w:spacing w:line="720" w:lineRule="auto"/>
            <w:rPr>
              <w:noProof/>
              <w:sz w:val="24"/>
              <w:szCs w:val="24"/>
            </w:rPr>
          </w:pPr>
          <w:hyperlink w:anchor="_Toc105496903" w:history="1">
            <w:r>
              <w:rPr>
                <w:rStyle w:val="Hyperlink"/>
                <w:b/>
                <w:bCs/>
                <w:noProof/>
                <w:sz w:val="24"/>
                <w:szCs w:val="24"/>
                <w:lang w:val="en-US"/>
              </w:rPr>
              <w:t>W</w:t>
            </w:r>
            <w:r w:rsidRPr="00417AE6">
              <w:rPr>
                <w:rStyle w:val="Hyperlink"/>
                <w:b/>
                <w:bCs/>
                <w:noProof/>
                <w:sz w:val="24"/>
                <w:szCs w:val="24"/>
              </w:rPr>
              <w:t>ays that the gove</w:t>
            </w:r>
            <w:r w:rsidRPr="00417AE6">
              <w:rPr>
                <w:rStyle w:val="Hyperlink"/>
                <w:b/>
                <w:bCs/>
                <w:noProof/>
                <w:sz w:val="24"/>
                <w:szCs w:val="24"/>
              </w:rPr>
              <w:t>r</w:t>
            </w:r>
            <w:r w:rsidRPr="00417AE6">
              <w:rPr>
                <w:rStyle w:val="Hyperlink"/>
                <w:b/>
                <w:bCs/>
                <w:noProof/>
                <w:sz w:val="24"/>
                <w:szCs w:val="24"/>
              </w:rPr>
              <w:t>nment's executive branch and legislature work together</w:t>
            </w:r>
            <w:r w:rsidRPr="00417AE6">
              <w:rPr>
                <w:noProof/>
                <w:webHidden/>
                <w:sz w:val="24"/>
                <w:szCs w:val="24"/>
              </w:rPr>
              <w:tab/>
            </w:r>
            <w:r w:rsidRPr="00417AE6">
              <w:rPr>
                <w:noProof/>
                <w:webHidden/>
                <w:sz w:val="24"/>
                <w:szCs w:val="24"/>
              </w:rPr>
              <w:fldChar w:fldCharType="begin"/>
            </w:r>
            <w:r w:rsidRPr="00417AE6">
              <w:rPr>
                <w:noProof/>
                <w:webHidden/>
                <w:sz w:val="24"/>
                <w:szCs w:val="24"/>
              </w:rPr>
              <w:instrText xml:space="preserve"> PAGEREF _Toc105496903 \h </w:instrText>
            </w:r>
            <w:r w:rsidRPr="00417AE6">
              <w:rPr>
                <w:noProof/>
                <w:webHidden/>
                <w:sz w:val="24"/>
                <w:szCs w:val="24"/>
              </w:rPr>
            </w:r>
            <w:r w:rsidRPr="00417AE6">
              <w:rPr>
                <w:noProof/>
                <w:webHidden/>
                <w:sz w:val="24"/>
                <w:szCs w:val="24"/>
              </w:rPr>
              <w:fldChar w:fldCharType="separate"/>
            </w:r>
            <w:r>
              <w:rPr>
                <w:noProof/>
                <w:webHidden/>
                <w:sz w:val="24"/>
                <w:szCs w:val="24"/>
              </w:rPr>
              <w:t>2</w:t>
            </w:r>
            <w:r w:rsidRPr="00417AE6">
              <w:rPr>
                <w:noProof/>
                <w:webHidden/>
                <w:sz w:val="24"/>
                <w:szCs w:val="24"/>
              </w:rPr>
              <w:fldChar w:fldCharType="end"/>
            </w:r>
          </w:hyperlink>
        </w:p>
        <w:p w14:paraId="6231B2E7" w14:textId="6EC344E2" w:rsidR="00417AE6" w:rsidRPr="00417AE6" w:rsidRDefault="00417AE6" w:rsidP="00417AE6">
          <w:pPr>
            <w:pStyle w:val="TOC1"/>
            <w:tabs>
              <w:tab w:val="right" w:leader="dot" w:pos="9016"/>
            </w:tabs>
            <w:spacing w:line="720" w:lineRule="auto"/>
            <w:rPr>
              <w:noProof/>
              <w:sz w:val="24"/>
              <w:szCs w:val="24"/>
            </w:rPr>
          </w:pPr>
          <w:hyperlink w:anchor="_Toc105496904" w:history="1">
            <w:r w:rsidRPr="00417AE6">
              <w:rPr>
                <w:rStyle w:val="Hyperlink"/>
                <w:b/>
                <w:bCs/>
                <w:noProof/>
                <w:sz w:val="24"/>
                <w:szCs w:val="24"/>
              </w:rPr>
              <w:t>Why it's good to overlap</w:t>
            </w:r>
            <w:r w:rsidRPr="00417AE6">
              <w:rPr>
                <w:noProof/>
                <w:webHidden/>
                <w:sz w:val="24"/>
                <w:szCs w:val="24"/>
              </w:rPr>
              <w:tab/>
            </w:r>
            <w:r w:rsidRPr="00417AE6">
              <w:rPr>
                <w:noProof/>
                <w:webHidden/>
                <w:sz w:val="24"/>
                <w:szCs w:val="24"/>
              </w:rPr>
              <w:fldChar w:fldCharType="begin"/>
            </w:r>
            <w:r w:rsidRPr="00417AE6">
              <w:rPr>
                <w:noProof/>
                <w:webHidden/>
                <w:sz w:val="24"/>
                <w:szCs w:val="24"/>
              </w:rPr>
              <w:instrText xml:space="preserve"> PAGEREF _Toc105496904 \h </w:instrText>
            </w:r>
            <w:r w:rsidRPr="00417AE6">
              <w:rPr>
                <w:noProof/>
                <w:webHidden/>
                <w:sz w:val="24"/>
                <w:szCs w:val="24"/>
              </w:rPr>
            </w:r>
            <w:r w:rsidRPr="00417AE6">
              <w:rPr>
                <w:noProof/>
                <w:webHidden/>
                <w:sz w:val="24"/>
                <w:szCs w:val="24"/>
              </w:rPr>
              <w:fldChar w:fldCharType="separate"/>
            </w:r>
            <w:r>
              <w:rPr>
                <w:noProof/>
                <w:webHidden/>
                <w:sz w:val="24"/>
                <w:szCs w:val="24"/>
              </w:rPr>
              <w:t>2</w:t>
            </w:r>
            <w:r w:rsidRPr="00417AE6">
              <w:rPr>
                <w:noProof/>
                <w:webHidden/>
                <w:sz w:val="24"/>
                <w:szCs w:val="24"/>
              </w:rPr>
              <w:fldChar w:fldCharType="end"/>
            </w:r>
          </w:hyperlink>
        </w:p>
        <w:p w14:paraId="27A93C35" w14:textId="4AFC7E80" w:rsidR="00417AE6" w:rsidRPr="00417AE6" w:rsidRDefault="00417AE6" w:rsidP="00417AE6">
          <w:pPr>
            <w:pStyle w:val="TOC1"/>
            <w:tabs>
              <w:tab w:val="right" w:leader="dot" w:pos="9016"/>
            </w:tabs>
            <w:spacing w:line="720" w:lineRule="auto"/>
            <w:rPr>
              <w:noProof/>
              <w:sz w:val="24"/>
              <w:szCs w:val="24"/>
            </w:rPr>
          </w:pPr>
          <w:hyperlink w:anchor="_Toc105496905" w:history="1">
            <w:r w:rsidRPr="00417AE6">
              <w:rPr>
                <w:rStyle w:val="Hyperlink"/>
                <w:b/>
                <w:bCs/>
                <w:noProof/>
                <w:sz w:val="24"/>
                <w:szCs w:val="24"/>
                <w:lang w:val="en-US"/>
              </w:rPr>
              <w:t>Check and balance of system</w:t>
            </w:r>
            <w:r w:rsidRPr="00417AE6">
              <w:rPr>
                <w:noProof/>
                <w:webHidden/>
                <w:sz w:val="24"/>
                <w:szCs w:val="24"/>
              </w:rPr>
              <w:tab/>
            </w:r>
            <w:r w:rsidRPr="00417AE6">
              <w:rPr>
                <w:noProof/>
                <w:webHidden/>
                <w:sz w:val="24"/>
                <w:szCs w:val="24"/>
              </w:rPr>
              <w:fldChar w:fldCharType="begin"/>
            </w:r>
            <w:r w:rsidRPr="00417AE6">
              <w:rPr>
                <w:noProof/>
                <w:webHidden/>
                <w:sz w:val="24"/>
                <w:szCs w:val="24"/>
              </w:rPr>
              <w:instrText xml:space="preserve"> PAGEREF _Toc105496905 \h </w:instrText>
            </w:r>
            <w:r w:rsidRPr="00417AE6">
              <w:rPr>
                <w:noProof/>
                <w:webHidden/>
                <w:sz w:val="24"/>
                <w:szCs w:val="24"/>
              </w:rPr>
            </w:r>
            <w:r w:rsidRPr="00417AE6">
              <w:rPr>
                <w:noProof/>
                <w:webHidden/>
                <w:sz w:val="24"/>
                <w:szCs w:val="24"/>
              </w:rPr>
              <w:fldChar w:fldCharType="separate"/>
            </w:r>
            <w:r>
              <w:rPr>
                <w:noProof/>
                <w:webHidden/>
                <w:sz w:val="24"/>
                <w:szCs w:val="24"/>
              </w:rPr>
              <w:t>3</w:t>
            </w:r>
            <w:r w:rsidRPr="00417AE6">
              <w:rPr>
                <w:noProof/>
                <w:webHidden/>
                <w:sz w:val="24"/>
                <w:szCs w:val="24"/>
              </w:rPr>
              <w:fldChar w:fldCharType="end"/>
            </w:r>
          </w:hyperlink>
        </w:p>
        <w:p w14:paraId="22779380" w14:textId="04343A22" w:rsidR="00417AE6" w:rsidRPr="00417AE6" w:rsidRDefault="00417AE6" w:rsidP="00417AE6">
          <w:pPr>
            <w:pStyle w:val="TOC2"/>
            <w:tabs>
              <w:tab w:val="right" w:leader="dot" w:pos="9016"/>
            </w:tabs>
            <w:spacing w:line="720" w:lineRule="auto"/>
            <w:rPr>
              <w:noProof/>
              <w:sz w:val="24"/>
              <w:szCs w:val="24"/>
            </w:rPr>
          </w:pPr>
          <w:hyperlink w:anchor="_Toc105496906" w:history="1">
            <w:r w:rsidRPr="00417AE6">
              <w:rPr>
                <w:rStyle w:val="Hyperlink"/>
                <w:b/>
                <w:bCs/>
                <w:noProof/>
                <w:sz w:val="24"/>
                <w:szCs w:val="24"/>
              </w:rPr>
              <w:t>Act of 2005 to Change the Constitution</w:t>
            </w:r>
            <w:r w:rsidRPr="00417AE6">
              <w:rPr>
                <w:noProof/>
                <w:webHidden/>
                <w:sz w:val="24"/>
                <w:szCs w:val="24"/>
              </w:rPr>
              <w:tab/>
            </w:r>
            <w:r w:rsidRPr="00417AE6">
              <w:rPr>
                <w:noProof/>
                <w:webHidden/>
                <w:sz w:val="24"/>
                <w:szCs w:val="24"/>
              </w:rPr>
              <w:fldChar w:fldCharType="begin"/>
            </w:r>
            <w:r w:rsidRPr="00417AE6">
              <w:rPr>
                <w:noProof/>
                <w:webHidden/>
                <w:sz w:val="24"/>
                <w:szCs w:val="24"/>
              </w:rPr>
              <w:instrText xml:space="preserve"> PAGEREF _Toc105496906 \h </w:instrText>
            </w:r>
            <w:r w:rsidRPr="00417AE6">
              <w:rPr>
                <w:noProof/>
                <w:webHidden/>
                <w:sz w:val="24"/>
                <w:szCs w:val="24"/>
              </w:rPr>
            </w:r>
            <w:r w:rsidRPr="00417AE6">
              <w:rPr>
                <w:noProof/>
                <w:webHidden/>
                <w:sz w:val="24"/>
                <w:szCs w:val="24"/>
              </w:rPr>
              <w:fldChar w:fldCharType="separate"/>
            </w:r>
            <w:r>
              <w:rPr>
                <w:noProof/>
                <w:webHidden/>
                <w:sz w:val="24"/>
                <w:szCs w:val="24"/>
              </w:rPr>
              <w:t>3</w:t>
            </w:r>
            <w:r w:rsidRPr="00417AE6">
              <w:rPr>
                <w:noProof/>
                <w:webHidden/>
                <w:sz w:val="24"/>
                <w:szCs w:val="24"/>
              </w:rPr>
              <w:fldChar w:fldCharType="end"/>
            </w:r>
          </w:hyperlink>
        </w:p>
        <w:p w14:paraId="60624B99" w14:textId="35374F98" w:rsidR="00417AE6" w:rsidRPr="00417AE6" w:rsidRDefault="00417AE6" w:rsidP="00417AE6">
          <w:pPr>
            <w:pStyle w:val="TOC3"/>
            <w:tabs>
              <w:tab w:val="right" w:leader="dot" w:pos="9016"/>
            </w:tabs>
            <w:spacing w:line="720" w:lineRule="auto"/>
            <w:rPr>
              <w:noProof/>
              <w:sz w:val="24"/>
              <w:szCs w:val="24"/>
            </w:rPr>
          </w:pPr>
          <w:hyperlink w:anchor="_Toc105496907" w:history="1">
            <w:r w:rsidRPr="00417AE6">
              <w:rPr>
                <w:rStyle w:val="Hyperlink"/>
                <w:b/>
                <w:bCs/>
                <w:noProof/>
                <w:sz w:val="24"/>
                <w:szCs w:val="24"/>
              </w:rPr>
              <w:t>Background</w:t>
            </w:r>
            <w:r w:rsidRPr="00417AE6">
              <w:rPr>
                <w:noProof/>
                <w:webHidden/>
                <w:sz w:val="24"/>
                <w:szCs w:val="24"/>
              </w:rPr>
              <w:tab/>
            </w:r>
            <w:r w:rsidRPr="00417AE6">
              <w:rPr>
                <w:noProof/>
                <w:webHidden/>
                <w:sz w:val="24"/>
                <w:szCs w:val="24"/>
              </w:rPr>
              <w:fldChar w:fldCharType="begin"/>
            </w:r>
            <w:r w:rsidRPr="00417AE6">
              <w:rPr>
                <w:noProof/>
                <w:webHidden/>
                <w:sz w:val="24"/>
                <w:szCs w:val="24"/>
              </w:rPr>
              <w:instrText xml:space="preserve"> PAGEREF _Toc105496907 \h </w:instrText>
            </w:r>
            <w:r w:rsidRPr="00417AE6">
              <w:rPr>
                <w:noProof/>
                <w:webHidden/>
                <w:sz w:val="24"/>
                <w:szCs w:val="24"/>
              </w:rPr>
            </w:r>
            <w:r w:rsidRPr="00417AE6">
              <w:rPr>
                <w:noProof/>
                <w:webHidden/>
                <w:sz w:val="24"/>
                <w:szCs w:val="24"/>
              </w:rPr>
              <w:fldChar w:fldCharType="separate"/>
            </w:r>
            <w:r>
              <w:rPr>
                <w:noProof/>
                <w:webHidden/>
                <w:sz w:val="24"/>
                <w:szCs w:val="24"/>
              </w:rPr>
              <w:t>3</w:t>
            </w:r>
            <w:r w:rsidRPr="00417AE6">
              <w:rPr>
                <w:noProof/>
                <w:webHidden/>
                <w:sz w:val="24"/>
                <w:szCs w:val="24"/>
              </w:rPr>
              <w:fldChar w:fldCharType="end"/>
            </w:r>
          </w:hyperlink>
        </w:p>
        <w:p w14:paraId="35FB0BF7" w14:textId="50CEA7CD" w:rsidR="00417AE6" w:rsidRPr="00417AE6" w:rsidRDefault="00417AE6" w:rsidP="00417AE6">
          <w:pPr>
            <w:pStyle w:val="TOC2"/>
            <w:tabs>
              <w:tab w:val="right" w:leader="dot" w:pos="9016"/>
            </w:tabs>
            <w:spacing w:line="720" w:lineRule="auto"/>
            <w:rPr>
              <w:noProof/>
              <w:sz w:val="24"/>
              <w:szCs w:val="24"/>
            </w:rPr>
          </w:pPr>
          <w:hyperlink w:anchor="_Toc105496908" w:history="1">
            <w:r w:rsidRPr="00417AE6">
              <w:rPr>
                <w:rStyle w:val="Hyperlink"/>
                <w:b/>
                <w:bCs/>
                <w:noProof/>
                <w:sz w:val="24"/>
                <w:szCs w:val="24"/>
              </w:rPr>
              <w:t>The 1701 Act of Settlement</w:t>
            </w:r>
            <w:r w:rsidRPr="00417AE6">
              <w:rPr>
                <w:noProof/>
                <w:webHidden/>
                <w:sz w:val="24"/>
                <w:szCs w:val="24"/>
              </w:rPr>
              <w:tab/>
            </w:r>
            <w:r w:rsidRPr="00417AE6">
              <w:rPr>
                <w:noProof/>
                <w:webHidden/>
                <w:sz w:val="24"/>
                <w:szCs w:val="24"/>
              </w:rPr>
              <w:fldChar w:fldCharType="begin"/>
            </w:r>
            <w:r w:rsidRPr="00417AE6">
              <w:rPr>
                <w:noProof/>
                <w:webHidden/>
                <w:sz w:val="24"/>
                <w:szCs w:val="24"/>
              </w:rPr>
              <w:instrText xml:space="preserve"> PAGEREF _Toc105496908 \h </w:instrText>
            </w:r>
            <w:r w:rsidRPr="00417AE6">
              <w:rPr>
                <w:noProof/>
                <w:webHidden/>
                <w:sz w:val="24"/>
                <w:szCs w:val="24"/>
              </w:rPr>
            </w:r>
            <w:r w:rsidRPr="00417AE6">
              <w:rPr>
                <w:noProof/>
                <w:webHidden/>
                <w:sz w:val="24"/>
                <w:szCs w:val="24"/>
              </w:rPr>
              <w:fldChar w:fldCharType="separate"/>
            </w:r>
            <w:r>
              <w:rPr>
                <w:noProof/>
                <w:webHidden/>
                <w:sz w:val="24"/>
                <w:szCs w:val="24"/>
              </w:rPr>
              <w:t>3</w:t>
            </w:r>
            <w:r w:rsidRPr="00417AE6">
              <w:rPr>
                <w:noProof/>
                <w:webHidden/>
                <w:sz w:val="24"/>
                <w:szCs w:val="24"/>
              </w:rPr>
              <w:fldChar w:fldCharType="end"/>
            </w:r>
          </w:hyperlink>
        </w:p>
        <w:p w14:paraId="7B06E555" w14:textId="0DB4DCC8" w:rsidR="00417AE6" w:rsidRPr="00417AE6" w:rsidRDefault="00417AE6" w:rsidP="00417AE6">
          <w:pPr>
            <w:pStyle w:val="TOC2"/>
            <w:tabs>
              <w:tab w:val="right" w:leader="dot" w:pos="9016"/>
            </w:tabs>
            <w:spacing w:line="720" w:lineRule="auto"/>
            <w:rPr>
              <w:noProof/>
              <w:sz w:val="24"/>
              <w:szCs w:val="24"/>
            </w:rPr>
          </w:pPr>
          <w:hyperlink w:anchor="_Toc105496909" w:history="1">
            <w:r w:rsidRPr="00417AE6">
              <w:rPr>
                <w:rStyle w:val="Hyperlink"/>
                <w:b/>
                <w:bCs/>
                <w:noProof/>
                <w:sz w:val="24"/>
                <w:szCs w:val="24"/>
              </w:rPr>
              <w:t>Crime and Courts Act of 2013.</w:t>
            </w:r>
            <w:r w:rsidRPr="00417AE6">
              <w:rPr>
                <w:noProof/>
                <w:webHidden/>
                <w:sz w:val="24"/>
                <w:szCs w:val="24"/>
              </w:rPr>
              <w:tab/>
            </w:r>
            <w:r w:rsidRPr="00417AE6">
              <w:rPr>
                <w:noProof/>
                <w:webHidden/>
                <w:sz w:val="24"/>
                <w:szCs w:val="24"/>
              </w:rPr>
              <w:fldChar w:fldCharType="begin"/>
            </w:r>
            <w:r w:rsidRPr="00417AE6">
              <w:rPr>
                <w:noProof/>
                <w:webHidden/>
                <w:sz w:val="24"/>
                <w:szCs w:val="24"/>
              </w:rPr>
              <w:instrText xml:space="preserve"> PAGEREF _Toc105496909 \h </w:instrText>
            </w:r>
            <w:r w:rsidRPr="00417AE6">
              <w:rPr>
                <w:noProof/>
                <w:webHidden/>
                <w:sz w:val="24"/>
                <w:szCs w:val="24"/>
              </w:rPr>
            </w:r>
            <w:r w:rsidRPr="00417AE6">
              <w:rPr>
                <w:noProof/>
                <w:webHidden/>
                <w:sz w:val="24"/>
                <w:szCs w:val="24"/>
              </w:rPr>
              <w:fldChar w:fldCharType="separate"/>
            </w:r>
            <w:r>
              <w:rPr>
                <w:noProof/>
                <w:webHidden/>
                <w:sz w:val="24"/>
                <w:szCs w:val="24"/>
              </w:rPr>
              <w:t>4</w:t>
            </w:r>
            <w:r w:rsidRPr="00417AE6">
              <w:rPr>
                <w:noProof/>
                <w:webHidden/>
                <w:sz w:val="24"/>
                <w:szCs w:val="24"/>
              </w:rPr>
              <w:fldChar w:fldCharType="end"/>
            </w:r>
          </w:hyperlink>
        </w:p>
        <w:p w14:paraId="5298EF94" w14:textId="3D8CB641" w:rsidR="00417AE6" w:rsidRPr="00417AE6" w:rsidRDefault="00417AE6" w:rsidP="00417AE6">
          <w:pPr>
            <w:pStyle w:val="TOC1"/>
            <w:tabs>
              <w:tab w:val="right" w:leader="dot" w:pos="9016"/>
            </w:tabs>
            <w:spacing w:line="720" w:lineRule="auto"/>
            <w:rPr>
              <w:noProof/>
              <w:sz w:val="24"/>
              <w:szCs w:val="24"/>
            </w:rPr>
          </w:pPr>
          <w:hyperlink w:anchor="_Toc105496910" w:history="1">
            <w:r w:rsidRPr="00417AE6">
              <w:rPr>
                <w:rStyle w:val="Hyperlink"/>
                <w:b/>
                <w:bCs/>
                <w:noProof/>
                <w:sz w:val="24"/>
                <w:szCs w:val="24"/>
              </w:rPr>
              <w:t>Comment</w:t>
            </w:r>
            <w:r w:rsidRPr="00417AE6">
              <w:rPr>
                <w:noProof/>
                <w:webHidden/>
                <w:sz w:val="24"/>
                <w:szCs w:val="24"/>
              </w:rPr>
              <w:tab/>
            </w:r>
            <w:r w:rsidRPr="00417AE6">
              <w:rPr>
                <w:noProof/>
                <w:webHidden/>
                <w:sz w:val="24"/>
                <w:szCs w:val="24"/>
              </w:rPr>
              <w:fldChar w:fldCharType="begin"/>
            </w:r>
            <w:r w:rsidRPr="00417AE6">
              <w:rPr>
                <w:noProof/>
                <w:webHidden/>
                <w:sz w:val="24"/>
                <w:szCs w:val="24"/>
              </w:rPr>
              <w:instrText xml:space="preserve"> PAGEREF _Toc105496910 \h </w:instrText>
            </w:r>
            <w:r w:rsidRPr="00417AE6">
              <w:rPr>
                <w:noProof/>
                <w:webHidden/>
                <w:sz w:val="24"/>
                <w:szCs w:val="24"/>
              </w:rPr>
            </w:r>
            <w:r w:rsidRPr="00417AE6">
              <w:rPr>
                <w:noProof/>
                <w:webHidden/>
                <w:sz w:val="24"/>
                <w:szCs w:val="24"/>
              </w:rPr>
              <w:fldChar w:fldCharType="separate"/>
            </w:r>
            <w:r>
              <w:rPr>
                <w:noProof/>
                <w:webHidden/>
                <w:sz w:val="24"/>
                <w:szCs w:val="24"/>
              </w:rPr>
              <w:t>4</w:t>
            </w:r>
            <w:r w:rsidRPr="00417AE6">
              <w:rPr>
                <w:noProof/>
                <w:webHidden/>
                <w:sz w:val="24"/>
                <w:szCs w:val="24"/>
              </w:rPr>
              <w:fldChar w:fldCharType="end"/>
            </w:r>
          </w:hyperlink>
        </w:p>
        <w:p w14:paraId="502BEACA" w14:textId="4DD22696" w:rsidR="00417AE6" w:rsidRPr="00417AE6" w:rsidRDefault="00417AE6" w:rsidP="00417AE6">
          <w:pPr>
            <w:pStyle w:val="TOC1"/>
            <w:tabs>
              <w:tab w:val="right" w:leader="dot" w:pos="9016"/>
            </w:tabs>
            <w:spacing w:line="720" w:lineRule="auto"/>
            <w:rPr>
              <w:noProof/>
              <w:sz w:val="24"/>
              <w:szCs w:val="24"/>
            </w:rPr>
          </w:pPr>
          <w:hyperlink w:anchor="_Toc105496911" w:history="1">
            <w:r w:rsidRPr="00417AE6">
              <w:rPr>
                <w:rStyle w:val="Hyperlink"/>
                <w:b/>
                <w:bCs/>
                <w:noProof/>
                <w:sz w:val="24"/>
                <w:szCs w:val="24"/>
              </w:rPr>
              <w:t>Conclusion</w:t>
            </w:r>
            <w:r w:rsidRPr="00417AE6">
              <w:rPr>
                <w:noProof/>
                <w:webHidden/>
                <w:sz w:val="24"/>
                <w:szCs w:val="24"/>
              </w:rPr>
              <w:tab/>
            </w:r>
            <w:r w:rsidRPr="00417AE6">
              <w:rPr>
                <w:noProof/>
                <w:webHidden/>
                <w:sz w:val="24"/>
                <w:szCs w:val="24"/>
              </w:rPr>
              <w:fldChar w:fldCharType="begin"/>
            </w:r>
            <w:r w:rsidRPr="00417AE6">
              <w:rPr>
                <w:noProof/>
                <w:webHidden/>
                <w:sz w:val="24"/>
                <w:szCs w:val="24"/>
              </w:rPr>
              <w:instrText xml:space="preserve"> PAGEREF _Toc105496911 \h </w:instrText>
            </w:r>
            <w:r w:rsidRPr="00417AE6">
              <w:rPr>
                <w:noProof/>
                <w:webHidden/>
                <w:sz w:val="24"/>
                <w:szCs w:val="24"/>
              </w:rPr>
            </w:r>
            <w:r w:rsidRPr="00417AE6">
              <w:rPr>
                <w:noProof/>
                <w:webHidden/>
                <w:sz w:val="24"/>
                <w:szCs w:val="24"/>
              </w:rPr>
              <w:fldChar w:fldCharType="separate"/>
            </w:r>
            <w:r>
              <w:rPr>
                <w:noProof/>
                <w:webHidden/>
                <w:sz w:val="24"/>
                <w:szCs w:val="24"/>
              </w:rPr>
              <w:t>5</w:t>
            </w:r>
            <w:r w:rsidRPr="00417AE6">
              <w:rPr>
                <w:noProof/>
                <w:webHidden/>
                <w:sz w:val="24"/>
                <w:szCs w:val="24"/>
              </w:rPr>
              <w:fldChar w:fldCharType="end"/>
            </w:r>
          </w:hyperlink>
        </w:p>
        <w:p w14:paraId="3FDB220C" w14:textId="5071DD2B" w:rsidR="00417AE6" w:rsidRPr="00417AE6" w:rsidRDefault="00417AE6" w:rsidP="00417AE6">
          <w:pPr>
            <w:pStyle w:val="TOC1"/>
            <w:tabs>
              <w:tab w:val="right" w:leader="dot" w:pos="9016"/>
            </w:tabs>
            <w:spacing w:line="720" w:lineRule="auto"/>
            <w:rPr>
              <w:noProof/>
              <w:sz w:val="24"/>
              <w:szCs w:val="24"/>
            </w:rPr>
          </w:pPr>
          <w:hyperlink w:anchor="_Toc105496912" w:history="1">
            <w:r w:rsidRPr="00417AE6">
              <w:rPr>
                <w:rStyle w:val="Hyperlink"/>
                <w:b/>
                <w:bCs/>
                <w:noProof/>
                <w:sz w:val="24"/>
                <w:szCs w:val="24"/>
              </w:rPr>
              <w:t>References</w:t>
            </w:r>
            <w:r w:rsidRPr="00417AE6">
              <w:rPr>
                <w:noProof/>
                <w:webHidden/>
                <w:sz w:val="24"/>
                <w:szCs w:val="24"/>
              </w:rPr>
              <w:tab/>
            </w:r>
            <w:r w:rsidRPr="00417AE6">
              <w:rPr>
                <w:noProof/>
                <w:webHidden/>
                <w:sz w:val="24"/>
                <w:szCs w:val="24"/>
              </w:rPr>
              <w:fldChar w:fldCharType="begin"/>
            </w:r>
            <w:r w:rsidRPr="00417AE6">
              <w:rPr>
                <w:noProof/>
                <w:webHidden/>
                <w:sz w:val="24"/>
                <w:szCs w:val="24"/>
              </w:rPr>
              <w:instrText xml:space="preserve"> PAGEREF _Toc105496912 \h </w:instrText>
            </w:r>
            <w:r w:rsidRPr="00417AE6">
              <w:rPr>
                <w:noProof/>
                <w:webHidden/>
                <w:sz w:val="24"/>
                <w:szCs w:val="24"/>
              </w:rPr>
            </w:r>
            <w:r w:rsidRPr="00417AE6">
              <w:rPr>
                <w:noProof/>
                <w:webHidden/>
                <w:sz w:val="24"/>
                <w:szCs w:val="24"/>
              </w:rPr>
              <w:fldChar w:fldCharType="separate"/>
            </w:r>
            <w:r>
              <w:rPr>
                <w:noProof/>
                <w:webHidden/>
                <w:sz w:val="24"/>
                <w:szCs w:val="24"/>
              </w:rPr>
              <w:t>5</w:t>
            </w:r>
            <w:r w:rsidRPr="00417AE6">
              <w:rPr>
                <w:noProof/>
                <w:webHidden/>
                <w:sz w:val="24"/>
                <w:szCs w:val="24"/>
              </w:rPr>
              <w:fldChar w:fldCharType="end"/>
            </w:r>
          </w:hyperlink>
        </w:p>
        <w:p w14:paraId="70274209" w14:textId="6F40CD2C" w:rsidR="00417AE6" w:rsidRPr="00417AE6" w:rsidRDefault="00417AE6" w:rsidP="00417AE6">
          <w:pPr>
            <w:spacing w:line="720" w:lineRule="auto"/>
            <w:rPr>
              <w:sz w:val="24"/>
              <w:szCs w:val="24"/>
            </w:rPr>
          </w:pPr>
          <w:r w:rsidRPr="00417AE6">
            <w:rPr>
              <w:b/>
              <w:bCs/>
              <w:noProof/>
              <w:sz w:val="24"/>
              <w:szCs w:val="24"/>
            </w:rPr>
            <w:fldChar w:fldCharType="end"/>
          </w:r>
        </w:p>
      </w:sdtContent>
    </w:sdt>
    <w:p w14:paraId="5F5F001A" w14:textId="77777777" w:rsidR="00417AE6" w:rsidRDefault="00417AE6" w:rsidP="00417AE6">
      <w:pPr>
        <w:pStyle w:val="Heading1"/>
        <w:spacing w:before="240" w:after="240" w:line="360" w:lineRule="auto"/>
        <w:jc w:val="both"/>
        <w:rPr>
          <w:b/>
          <w:bCs/>
          <w:color w:val="auto"/>
        </w:rPr>
        <w:sectPr w:rsidR="00417AE6" w:rsidSect="00417AE6">
          <w:footerReference w:type="firs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bookmarkStart w:id="0" w:name="_Toc105496901"/>
    </w:p>
    <w:p w14:paraId="63C08C5B" w14:textId="419AFD0D" w:rsidR="00341222" w:rsidRPr="00417AE6" w:rsidRDefault="004F1D49" w:rsidP="00417AE6">
      <w:pPr>
        <w:pStyle w:val="Heading1"/>
        <w:spacing w:before="240" w:after="240" w:line="360" w:lineRule="auto"/>
        <w:jc w:val="both"/>
        <w:rPr>
          <w:b/>
          <w:bCs/>
          <w:color w:val="auto"/>
        </w:rPr>
      </w:pPr>
      <w:r w:rsidRPr="00417AE6">
        <w:rPr>
          <w:b/>
          <w:bCs/>
          <w:color w:val="auto"/>
        </w:rPr>
        <w:lastRenderedPageBreak/>
        <w:t>Introduction</w:t>
      </w:r>
      <w:bookmarkEnd w:id="0"/>
    </w:p>
    <w:p w14:paraId="27252608" w14:textId="28B1C533" w:rsidR="00341222" w:rsidRPr="00417AE6" w:rsidRDefault="004F1D49" w:rsidP="00417AE6">
      <w:pPr>
        <w:spacing w:before="240" w:line="360" w:lineRule="auto"/>
        <w:jc w:val="both"/>
        <w:rPr>
          <w:sz w:val="24"/>
          <w:szCs w:val="24"/>
        </w:rPr>
      </w:pPr>
      <w:r w:rsidRPr="00417AE6">
        <w:rPr>
          <w:sz w:val="24"/>
          <w:szCs w:val="24"/>
        </w:rPr>
        <w:t xml:space="preserve">In the United Kingdom, England and Wales, Scotland, and Northern Ireland all have their ways of making laws. Since 1707 and 1800, the Acts of Union have </w:t>
      </w:r>
      <w:r w:rsidR="00417AE6" w:rsidRPr="00417AE6">
        <w:rPr>
          <w:sz w:val="24"/>
          <w:szCs w:val="24"/>
        </w:rPr>
        <w:t>ensured</w:t>
      </w:r>
      <w:r w:rsidRPr="00417AE6">
        <w:rPr>
          <w:sz w:val="24"/>
          <w:szCs w:val="24"/>
        </w:rPr>
        <w:t xml:space="preserve"> that Northern Ireland and the rest of the UK, including Scotland, have kept their legal systems and traditions. People talk a lot about the Scottish Tribunals Service (STS) and the United Kingdom Supreme Court (UKSC), which took over from the House of Lords Judicial Committee (HLJC) in October 2009</w:t>
      </w:r>
      <w:r w:rsidR="00417AE6" w:rsidRPr="00417AE6">
        <w:rPr>
          <w:sz w:val="24"/>
          <w:szCs w:val="24"/>
          <w:lang w:val="en-US"/>
        </w:rPr>
        <w:t xml:space="preserve"> </w:t>
      </w:r>
      <w:sdt>
        <w:sdtPr>
          <w:rPr>
            <w:sz w:val="24"/>
            <w:szCs w:val="24"/>
            <w:lang w:val="en-US"/>
          </w:rPr>
          <w:id w:val="-1660766041"/>
          <w:citation/>
        </w:sdtPr>
        <w:sdtContent>
          <w:r w:rsidR="00417AE6" w:rsidRPr="00417AE6">
            <w:rPr>
              <w:sz w:val="24"/>
              <w:szCs w:val="24"/>
              <w:lang w:val="en-US"/>
            </w:rPr>
            <w:fldChar w:fldCharType="begin"/>
          </w:r>
          <w:r w:rsidR="00417AE6" w:rsidRPr="00417AE6">
            <w:rPr>
              <w:sz w:val="24"/>
              <w:szCs w:val="24"/>
              <w:lang w:val="en-US"/>
            </w:rPr>
            <w:instrText xml:space="preserve"> CITATION Bez20 \l 1033 </w:instrText>
          </w:r>
          <w:r w:rsidR="00417AE6" w:rsidRPr="00417AE6">
            <w:rPr>
              <w:sz w:val="24"/>
              <w:szCs w:val="24"/>
              <w:lang w:val="en-US"/>
            </w:rPr>
            <w:fldChar w:fldCharType="separate"/>
          </w:r>
          <w:r w:rsidR="00417AE6" w:rsidRPr="00417AE6">
            <w:rPr>
              <w:noProof/>
              <w:sz w:val="24"/>
              <w:szCs w:val="24"/>
              <w:lang w:val="en-US"/>
            </w:rPr>
            <w:t>(Bezzina, 2020)</w:t>
          </w:r>
          <w:r w:rsidR="00417AE6" w:rsidRPr="00417AE6">
            <w:rPr>
              <w:sz w:val="24"/>
              <w:szCs w:val="24"/>
              <w:lang w:val="en-US"/>
            </w:rPr>
            <w:fldChar w:fldCharType="end"/>
          </w:r>
        </w:sdtContent>
      </w:sdt>
      <w:r w:rsidRPr="00417AE6">
        <w:rPr>
          <w:sz w:val="24"/>
          <w:szCs w:val="24"/>
        </w:rPr>
        <w:t>.</w:t>
      </w:r>
    </w:p>
    <w:p w14:paraId="187164FC" w14:textId="604D1382" w:rsidR="00341222" w:rsidRPr="00417AE6" w:rsidRDefault="004F1D49" w:rsidP="00417AE6">
      <w:pPr>
        <w:pStyle w:val="Heading1"/>
        <w:spacing w:before="240" w:after="240" w:line="360" w:lineRule="auto"/>
        <w:jc w:val="both"/>
        <w:rPr>
          <w:b/>
          <w:bCs/>
          <w:color w:val="auto"/>
          <w:lang w:val="en-US"/>
        </w:rPr>
      </w:pPr>
      <w:bookmarkStart w:id="1" w:name="_Toc105496902"/>
      <w:r w:rsidRPr="00417AE6">
        <w:rPr>
          <w:b/>
          <w:bCs/>
          <w:color w:val="auto"/>
          <w:lang w:val="en-US"/>
        </w:rPr>
        <w:t>Separation of power</w:t>
      </w:r>
      <w:bookmarkEnd w:id="1"/>
    </w:p>
    <w:p w14:paraId="117A1024" w14:textId="01A6555D" w:rsidR="00341222" w:rsidRPr="00417AE6" w:rsidRDefault="004F1D49" w:rsidP="00417AE6">
      <w:pPr>
        <w:spacing w:before="240" w:line="360" w:lineRule="auto"/>
        <w:jc w:val="both"/>
        <w:rPr>
          <w:sz w:val="24"/>
          <w:szCs w:val="24"/>
        </w:rPr>
      </w:pPr>
      <w:r w:rsidRPr="00417AE6">
        <w:rPr>
          <w:sz w:val="24"/>
          <w:szCs w:val="24"/>
        </w:rPr>
        <w:t xml:space="preserve">The principle of separation of powers says that no one person, group, or organisation should have all of the </w:t>
      </w:r>
      <w:r w:rsidR="00417AE6" w:rsidRPr="00417AE6">
        <w:rPr>
          <w:sz w:val="24"/>
          <w:szCs w:val="24"/>
        </w:rPr>
        <w:t>administration</w:t>
      </w:r>
      <w:r w:rsidRPr="00417AE6">
        <w:rPr>
          <w:sz w:val="24"/>
          <w:szCs w:val="24"/>
        </w:rPr>
        <w:t>. Since the beginning of political philosophy, many ancient and modern political philosophers and intellectuals have talked about how power should be used and how government tasks should be done. From now on, the separation of powers will only be looked at in the works of Jean Badin and Montesquieu. Only Jean Badin and Montesquieu's ideas about how and by whom power should be used will be looked at in terms of political philosophy</w:t>
      </w:r>
      <w:r w:rsidR="00417AE6" w:rsidRPr="00417AE6">
        <w:rPr>
          <w:sz w:val="24"/>
          <w:szCs w:val="24"/>
          <w:lang w:val="en-US"/>
        </w:rPr>
        <w:t xml:space="preserve"> </w:t>
      </w:r>
      <w:sdt>
        <w:sdtPr>
          <w:rPr>
            <w:sz w:val="24"/>
            <w:szCs w:val="24"/>
            <w:lang w:val="en-US"/>
          </w:rPr>
          <w:id w:val="939255847"/>
          <w:citation/>
        </w:sdtPr>
        <w:sdtContent>
          <w:r w:rsidR="00417AE6" w:rsidRPr="00417AE6">
            <w:rPr>
              <w:sz w:val="24"/>
              <w:szCs w:val="24"/>
              <w:lang w:val="en-US"/>
            </w:rPr>
            <w:fldChar w:fldCharType="begin"/>
          </w:r>
          <w:r w:rsidR="00417AE6" w:rsidRPr="00417AE6">
            <w:rPr>
              <w:sz w:val="24"/>
              <w:szCs w:val="24"/>
              <w:lang w:val="en-US"/>
            </w:rPr>
            <w:instrText xml:space="preserve"> CITATION Cum20 \l 1033 </w:instrText>
          </w:r>
          <w:r w:rsidR="00417AE6" w:rsidRPr="00417AE6">
            <w:rPr>
              <w:sz w:val="24"/>
              <w:szCs w:val="24"/>
              <w:lang w:val="en-US"/>
            </w:rPr>
            <w:fldChar w:fldCharType="separate"/>
          </w:r>
          <w:r w:rsidR="00417AE6" w:rsidRPr="00417AE6">
            <w:rPr>
              <w:noProof/>
              <w:sz w:val="24"/>
              <w:szCs w:val="24"/>
              <w:lang w:val="en-US"/>
            </w:rPr>
            <w:t>(Cummins, 2020)</w:t>
          </w:r>
          <w:r w:rsidR="00417AE6" w:rsidRPr="00417AE6">
            <w:rPr>
              <w:sz w:val="24"/>
              <w:szCs w:val="24"/>
              <w:lang w:val="en-US"/>
            </w:rPr>
            <w:fldChar w:fldCharType="end"/>
          </w:r>
        </w:sdtContent>
      </w:sdt>
      <w:r w:rsidRPr="00417AE6">
        <w:rPr>
          <w:sz w:val="24"/>
          <w:szCs w:val="24"/>
        </w:rPr>
        <w:t>.</w:t>
      </w:r>
    </w:p>
    <w:p w14:paraId="7D7D6157" w14:textId="2F2934F1" w:rsidR="00341222" w:rsidRPr="00417AE6" w:rsidRDefault="004F1D49" w:rsidP="00417AE6">
      <w:pPr>
        <w:spacing w:before="240" w:line="360" w:lineRule="auto"/>
        <w:jc w:val="both"/>
        <w:rPr>
          <w:sz w:val="24"/>
          <w:szCs w:val="24"/>
        </w:rPr>
      </w:pPr>
      <w:r w:rsidRPr="00417AE6">
        <w:rPr>
          <w:sz w:val="24"/>
          <w:szCs w:val="24"/>
        </w:rPr>
        <w:t xml:space="preserve">Aristotle's ideas about </w:t>
      </w:r>
      <w:r w:rsidR="00417AE6" w:rsidRPr="00417AE6">
        <w:rPr>
          <w:sz w:val="24"/>
          <w:szCs w:val="24"/>
        </w:rPr>
        <w:t>running</w:t>
      </w:r>
      <w:r w:rsidRPr="00417AE6">
        <w:rPr>
          <w:sz w:val="24"/>
          <w:szCs w:val="24"/>
        </w:rPr>
        <w:t xml:space="preserve"> a government did not separate the three roles of government. On the other hand, Plato's classification of Statesmen was a guide for him. Aristotle and Plato both thought that a monarchy was better than democracy as a form of government. What's worse than a democracy that doesn't follow the rules? Plato and Aristotle had very different ideas about what an ideal state should be. Jean Bodin was one of the most well-known people who supported the idea of a sovereign monarchy, in which all political power is given to a single sovereign king.</w:t>
      </w:r>
    </w:p>
    <w:p w14:paraId="3768E9D4" w14:textId="47844FAF" w:rsidR="00341222" w:rsidRPr="00417AE6" w:rsidRDefault="004F1D49" w:rsidP="00417AE6">
      <w:pPr>
        <w:spacing w:before="240" w:line="360" w:lineRule="auto"/>
        <w:jc w:val="both"/>
        <w:rPr>
          <w:sz w:val="24"/>
          <w:szCs w:val="24"/>
        </w:rPr>
      </w:pPr>
      <w:r w:rsidRPr="00417AE6">
        <w:rPr>
          <w:sz w:val="24"/>
          <w:szCs w:val="24"/>
        </w:rPr>
        <w:t xml:space="preserve">Montesquieu called the idea of checks and balances between the legislative, executive, and judicial branches of government "separation of powers." Its </w:t>
      </w:r>
      <w:r w:rsidR="00417AE6" w:rsidRPr="00417AE6">
        <w:rPr>
          <w:sz w:val="24"/>
          <w:szCs w:val="24"/>
        </w:rPr>
        <w:t>argument</w:t>
      </w:r>
      <w:r w:rsidRPr="00417AE6">
        <w:rPr>
          <w:sz w:val="24"/>
          <w:szCs w:val="24"/>
        </w:rPr>
        <w:t xml:space="preserve">s had a </w:t>
      </w:r>
      <w:r w:rsidR="00417AE6" w:rsidRPr="00417AE6">
        <w:rPr>
          <w:sz w:val="24"/>
          <w:szCs w:val="24"/>
        </w:rPr>
        <w:t>significant</w:t>
      </w:r>
      <w:r w:rsidRPr="00417AE6">
        <w:rPr>
          <w:sz w:val="24"/>
          <w:szCs w:val="24"/>
        </w:rPr>
        <w:t xml:space="preserve"> impact on </w:t>
      </w:r>
      <w:r w:rsidR="00417AE6" w:rsidRPr="00417AE6">
        <w:rPr>
          <w:sz w:val="24"/>
          <w:szCs w:val="24"/>
        </w:rPr>
        <w:t>America's founding fathers</w:t>
      </w:r>
      <w:r w:rsidRPr="00417AE6">
        <w:rPr>
          <w:sz w:val="24"/>
          <w:szCs w:val="24"/>
        </w:rPr>
        <w:t xml:space="preserve"> and helped them write the text that would become the Constitution.</w:t>
      </w:r>
    </w:p>
    <w:p w14:paraId="1D87E947" w14:textId="5041DB34" w:rsidR="00341222" w:rsidRPr="00417AE6" w:rsidRDefault="004F1D49" w:rsidP="00417AE6">
      <w:pPr>
        <w:spacing w:before="240" w:line="360" w:lineRule="auto"/>
        <w:jc w:val="both"/>
        <w:rPr>
          <w:sz w:val="24"/>
          <w:szCs w:val="24"/>
        </w:rPr>
      </w:pPr>
      <w:r w:rsidRPr="00417AE6">
        <w:rPr>
          <w:sz w:val="24"/>
          <w:szCs w:val="24"/>
        </w:rPr>
        <w:t xml:space="preserve">In both Western and Muslim political ideas, some people were for putting all power and responsibility in the hands of one person, while others were against it. Only Montesquieu and </w:t>
      </w:r>
      <w:r w:rsidRPr="00417AE6">
        <w:rPr>
          <w:sz w:val="24"/>
          <w:szCs w:val="24"/>
        </w:rPr>
        <w:lastRenderedPageBreak/>
        <w:t>Jean Bodin will be looked at in this study. First, Montesquieu explained it in terms that most people could understand. Then, Jean Bodin fought for the separation of powers</w:t>
      </w:r>
      <w:r w:rsidR="00417AE6" w:rsidRPr="00417AE6">
        <w:rPr>
          <w:sz w:val="24"/>
          <w:szCs w:val="24"/>
          <w:lang w:val="en-US"/>
        </w:rPr>
        <w:t xml:space="preserve"> </w:t>
      </w:r>
      <w:sdt>
        <w:sdtPr>
          <w:rPr>
            <w:sz w:val="24"/>
            <w:szCs w:val="24"/>
            <w:lang w:val="en-US"/>
          </w:rPr>
          <w:id w:val="-255129319"/>
          <w:citation/>
        </w:sdtPr>
        <w:sdtContent>
          <w:r w:rsidR="00417AE6" w:rsidRPr="00417AE6">
            <w:rPr>
              <w:sz w:val="24"/>
              <w:szCs w:val="24"/>
              <w:lang w:val="en-US"/>
            </w:rPr>
            <w:fldChar w:fldCharType="begin"/>
          </w:r>
          <w:r w:rsidR="00417AE6" w:rsidRPr="00417AE6">
            <w:rPr>
              <w:sz w:val="24"/>
              <w:szCs w:val="24"/>
              <w:lang w:val="en-US"/>
            </w:rPr>
            <w:instrText xml:space="preserve"> CITATION Lev19 \l 1033 </w:instrText>
          </w:r>
          <w:r w:rsidR="00417AE6" w:rsidRPr="00417AE6">
            <w:rPr>
              <w:sz w:val="24"/>
              <w:szCs w:val="24"/>
              <w:lang w:val="en-US"/>
            </w:rPr>
            <w:fldChar w:fldCharType="separate"/>
          </w:r>
          <w:r w:rsidR="00417AE6" w:rsidRPr="00417AE6">
            <w:rPr>
              <w:noProof/>
              <w:sz w:val="24"/>
              <w:szCs w:val="24"/>
              <w:lang w:val="en-US"/>
            </w:rPr>
            <w:t>(Levy, 2019)</w:t>
          </w:r>
          <w:r w:rsidR="00417AE6" w:rsidRPr="00417AE6">
            <w:rPr>
              <w:sz w:val="24"/>
              <w:szCs w:val="24"/>
              <w:lang w:val="en-US"/>
            </w:rPr>
            <w:fldChar w:fldCharType="end"/>
          </w:r>
        </w:sdtContent>
      </w:sdt>
      <w:r w:rsidRPr="00417AE6">
        <w:rPr>
          <w:sz w:val="24"/>
          <w:szCs w:val="24"/>
        </w:rPr>
        <w:t>.</w:t>
      </w:r>
    </w:p>
    <w:p w14:paraId="69C0CB99" w14:textId="644ED0D7" w:rsidR="00341222" w:rsidRPr="00417AE6" w:rsidRDefault="00417AE6" w:rsidP="00417AE6">
      <w:pPr>
        <w:pStyle w:val="Heading1"/>
        <w:spacing w:before="240" w:after="240" w:line="360" w:lineRule="auto"/>
        <w:jc w:val="both"/>
        <w:rPr>
          <w:b/>
          <w:bCs/>
          <w:color w:val="auto"/>
        </w:rPr>
      </w:pPr>
      <w:bookmarkStart w:id="2" w:name="_Toc105496903"/>
      <w:r>
        <w:rPr>
          <w:b/>
          <w:bCs/>
          <w:color w:val="auto"/>
          <w:lang w:val="en-US"/>
        </w:rPr>
        <w:t>W</w:t>
      </w:r>
      <w:r w:rsidR="004F1D49" w:rsidRPr="00417AE6">
        <w:rPr>
          <w:b/>
          <w:bCs/>
          <w:color w:val="auto"/>
        </w:rPr>
        <w:t>ays that the government's executive branch and legislature work together</w:t>
      </w:r>
      <w:bookmarkEnd w:id="2"/>
    </w:p>
    <w:p w14:paraId="705698F6" w14:textId="14F542C9" w:rsidR="00341222" w:rsidRPr="00417AE6" w:rsidRDefault="004F1D49" w:rsidP="00417AE6">
      <w:pPr>
        <w:spacing w:before="240" w:line="360" w:lineRule="auto"/>
        <w:jc w:val="both"/>
        <w:rPr>
          <w:sz w:val="24"/>
          <w:szCs w:val="24"/>
        </w:rPr>
      </w:pPr>
      <w:r w:rsidRPr="00417AE6">
        <w:rPr>
          <w:sz w:val="24"/>
          <w:szCs w:val="24"/>
        </w:rPr>
        <w:t xml:space="preserve">As time went on, more and more power was </w:t>
      </w:r>
      <w:r w:rsidR="00417AE6" w:rsidRPr="00417AE6">
        <w:rPr>
          <w:sz w:val="24"/>
          <w:szCs w:val="24"/>
        </w:rPr>
        <w:t>held by</w:t>
      </w:r>
      <w:r w:rsidRPr="00417AE6">
        <w:rPr>
          <w:sz w:val="24"/>
          <w:szCs w:val="24"/>
        </w:rPr>
        <w:t xml:space="preserve"> fewer people. The job of Lord Chancellor, on the other hand, was different. Even though the office of Lord Chancellor has Anglo-Saxon roots, it has a </w:t>
      </w:r>
      <w:r w:rsidR="00417AE6" w:rsidRPr="00417AE6">
        <w:rPr>
          <w:sz w:val="24"/>
          <w:szCs w:val="24"/>
        </w:rPr>
        <w:t>leg</w:t>
      </w:r>
      <w:r w:rsidRPr="00417AE6">
        <w:rPr>
          <w:sz w:val="24"/>
          <w:szCs w:val="24"/>
        </w:rPr>
        <w:t xml:space="preserve">al history that goes back to 1068, after the Normans took over. </w:t>
      </w:r>
      <w:r w:rsidR="00417AE6" w:rsidRPr="00417AE6">
        <w:rPr>
          <w:sz w:val="24"/>
          <w:szCs w:val="24"/>
        </w:rPr>
        <w:t>Several well-known people have held the position of Lord Chancellor</w:t>
      </w:r>
      <w:r w:rsidRPr="00417AE6">
        <w:rPr>
          <w:sz w:val="24"/>
          <w:szCs w:val="24"/>
        </w:rPr>
        <w:t xml:space="preserve"> over the years. </w:t>
      </w:r>
      <w:r w:rsidR="00417AE6" w:rsidRPr="00417AE6">
        <w:rPr>
          <w:sz w:val="24"/>
          <w:szCs w:val="24"/>
        </w:rPr>
        <w:t>T</w:t>
      </w:r>
      <w:r w:rsidRPr="00417AE6">
        <w:rPr>
          <w:sz w:val="24"/>
          <w:szCs w:val="24"/>
        </w:rPr>
        <w:t>hese people are Thomas à Becket, Cardinal Wolsey, Thomas More, and Francis Bacon</w:t>
      </w:r>
      <w:r w:rsidR="00417AE6" w:rsidRPr="00417AE6">
        <w:rPr>
          <w:sz w:val="24"/>
          <w:szCs w:val="24"/>
          <w:lang w:val="en-US"/>
        </w:rPr>
        <w:t xml:space="preserve"> </w:t>
      </w:r>
      <w:sdt>
        <w:sdtPr>
          <w:rPr>
            <w:sz w:val="24"/>
            <w:szCs w:val="24"/>
            <w:lang w:val="en-US"/>
          </w:rPr>
          <w:id w:val="1959219501"/>
          <w:citation/>
        </w:sdtPr>
        <w:sdtContent>
          <w:r w:rsidR="00417AE6" w:rsidRPr="00417AE6">
            <w:rPr>
              <w:sz w:val="24"/>
              <w:szCs w:val="24"/>
              <w:lang w:val="en-US"/>
            </w:rPr>
            <w:fldChar w:fldCharType="begin"/>
          </w:r>
          <w:r w:rsidR="00417AE6" w:rsidRPr="00417AE6">
            <w:rPr>
              <w:sz w:val="24"/>
              <w:szCs w:val="24"/>
              <w:lang w:val="en-US"/>
            </w:rPr>
            <w:instrText xml:space="preserve"> CITATION Lev191 \l 1033 </w:instrText>
          </w:r>
          <w:r w:rsidR="00417AE6" w:rsidRPr="00417AE6">
            <w:rPr>
              <w:sz w:val="24"/>
              <w:szCs w:val="24"/>
              <w:lang w:val="en-US"/>
            </w:rPr>
            <w:fldChar w:fldCharType="separate"/>
          </w:r>
          <w:r w:rsidR="00417AE6" w:rsidRPr="00417AE6">
            <w:rPr>
              <w:noProof/>
              <w:sz w:val="24"/>
              <w:szCs w:val="24"/>
              <w:lang w:val="en-US"/>
            </w:rPr>
            <w:t>(Levin, 2019)</w:t>
          </w:r>
          <w:r w:rsidR="00417AE6" w:rsidRPr="00417AE6">
            <w:rPr>
              <w:sz w:val="24"/>
              <w:szCs w:val="24"/>
              <w:lang w:val="en-US"/>
            </w:rPr>
            <w:fldChar w:fldCharType="end"/>
          </w:r>
        </w:sdtContent>
      </w:sdt>
      <w:r w:rsidRPr="00417AE6">
        <w:rPr>
          <w:sz w:val="24"/>
          <w:szCs w:val="24"/>
        </w:rPr>
        <w:t>.</w:t>
      </w:r>
    </w:p>
    <w:p w14:paraId="1745E41F" w14:textId="56710510" w:rsidR="00341222" w:rsidRPr="00417AE6" w:rsidRDefault="004F1D49" w:rsidP="00417AE6">
      <w:pPr>
        <w:spacing w:before="240" w:line="360" w:lineRule="auto"/>
        <w:jc w:val="both"/>
        <w:rPr>
          <w:sz w:val="24"/>
          <w:szCs w:val="24"/>
        </w:rPr>
      </w:pPr>
      <w:r w:rsidRPr="00417AE6">
        <w:rPr>
          <w:sz w:val="24"/>
          <w:szCs w:val="24"/>
        </w:rPr>
        <w:t xml:space="preserve">The </w:t>
      </w:r>
      <w:r w:rsidR="00417AE6" w:rsidRPr="00417AE6">
        <w:rPr>
          <w:sz w:val="24"/>
          <w:szCs w:val="24"/>
        </w:rPr>
        <w:t>Lord Chancellor best showed the three main parts of the British constitution</w:t>
      </w:r>
      <w:r w:rsidRPr="00417AE6">
        <w:rPr>
          <w:sz w:val="24"/>
          <w:szCs w:val="24"/>
        </w:rPr>
        <w:t>. He was an elected member of the House of Lords, a Cabinet minister, and the head of the English and Welsh judiciaries, so it's safe to say that he had a lot of jobs. The work of the three levels of government was overseen and coordinated by a single office.</w:t>
      </w:r>
    </w:p>
    <w:p w14:paraId="6FAA5985" w14:textId="56E63DAA" w:rsidR="00341222" w:rsidRPr="00417AE6" w:rsidRDefault="004F1D49" w:rsidP="00417AE6">
      <w:pPr>
        <w:spacing w:before="240" w:line="360" w:lineRule="auto"/>
        <w:jc w:val="both"/>
        <w:rPr>
          <w:sz w:val="24"/>
          <w:szCs w:val="24"/>
        </w:rPr>
      </w:pPr>
      <w:r w:rsidRPr="00417AE6">
        <w:rPr>
          <w:sz w:val="24"/>
          <w:szCs w:val="24"/>
        </w:rPr>
        <w:t xml:space="preserve">Since 2003, the changes to the constitution have made a big difference in everyday life. This group includes both appointments to the court and complaints against judges. By making it </w:t>
      </w:r>
      <w:r w:rsidR="00417AE6" w:rsidRPr="00417AE6">
        <w:rPr>
          <w:sz w:val="24"/>
          <w:szCs w:val="24"/>
        </w:rPr>
        <w:t>more apparent</w:t>
      </w:r>
      <w:r w:rsidRPr="00417AE6">
        <w:rPr>
          <w:sz w:val="24"/>
          <w:szCs w:val="24"/>
        </w:rPr>
        <w:t xml:space="preserve"> that the court is independent, these changes are meant to improve accountability, public trust, and </w:t>
      </w:r>
      <w:r w:rsidR="00417AE6" w:rsidRPr="00417AE6">
        <w:rPr>
          <w:sz w:val="24"/>
          <w:szCs w:val="24"/>
        </w:rPr>
        <w:t>how</w:t>
      </w:r>
      <w:r w:rsidRPr="00417AE6">
        <w:rPr>
          <w:sz w:val="24"/>
          <w:szCs w:val="24"/>
        </w:rPr>
        <w:t xml:space="preserve"> the courts do their jobs. In January 2008, it was decided that a new Ministry of Justice would be set up in 2007 and that the government and judiciary would work together to make a new legal aid and courts service, as well as a new criminal justice system, prisons, and penal policy (which used to be the job of the Secretary of State for Justice) (previously the responsibility of the Lord Chancellor). So, courts are given the responsibility for making sure justice is done</w:t>
      </w:r>
      <w:r w:rsidR="00417AE6" w:rsidRPr="00417AE6">
        <w:rPr>
          <w:sz w:val="24"/>
          <w:szCs w:val="24"/>
          <w:lang w:val="en-US"/>
        </w:rPr>
        <w:t xml:space="preserve"> </w:t>
      </w:r>
      <w:sdt>
        <w:sdtPr>
          <w:rPr>
            <w:sz w:val="24"/>
            <w:szCs w:val="24"/>
            <w:lang w:val="en-US"/>
          </w:rPr>
          <w:id w:val="-1826115775"/>
          <w:citation/>
        </w:sdtPr>
        <w:sdtContent>
          <w:r w:rsidR="00417AE6" w:rsidRPr="00417AE6">
            <w:rPr>
              <w:sz w:val="24"/>
              <w:szCs w:val="24"/>
              <w:lang w:val="en-US"/>
            </w:rPr>
            <w:fldChar w:fldCharType="begin"/>
          </w:r>
          <w:r w:rsidR="00417AE6" w:rsidRPr="00417AE6">
            <w:rPr>
              <w:sz w:val="24"/>
              <w:szCs w:val="24"/>
              <w:lang w:val="en-US"/>
            </w:rPr>
            <w:instrText xml:space="preserve"> CITATION Lev21 \l 1033 </w:instrText>
          </w:r>
          <w:r w:rsidR="00417AE6" w:rsidRPr="00417AE6">
            <w:rPr>
              <w:sz w:val="24"/>
              <w:szCs w:val="24"/>
              <w:lang w:val="en-US"/>
            </w:rPr>
            <w:fldChar w:fldCharType="separate"/>
          </w:r>
          <w:r w:rsidR="00417AE6" w:rsidRPr="00417AE6">
            <w:rPr>
              <w:noProof/>
              <w:sz w:val="24"/>
              <w:szCs w:val="24"/>
              <w:lang w:val="en-US"/>
            </w:rPr>
            <w:t>(Levy, 2021)</w:t>
          </w:r>
          <w:r w:rsidR="00417AE6" w:rsidRPr="00417AE6">
            <w:rPr>
              <w:sz w:val="24"/>
              <w:szCs w:val="24"/>
              <w:lang w:val="en-US"/>
            </w:rPr>
            <w:fldChar w:fldCharType="end"/>
          </w:r>
        </w:sdtContent>
      </w:sdt>
      <w:r w:rsidRPr="00417AE6">
        <w:rPr>
          <w:sz w:val="24"/>
          <w:szCs w:val="24"/>
        </w:rPr>
        <w:t>.</w:t>
      </w:r>
    </w:p>
    <w:p w14:paraId="558316AC" w14:textId="77777777" w:rsidR="00341222" w:rsidRPr="00417AE6" w:rsidRDefault="004F1D49" w:rsidP="00417AE6">
      <w:pPr>
        <w:pStyle w:val="Heading1"/>
        <w:spacing w:before="240" w:after="240" w:line="360" w:lineRule="auto"/>
        <w:jc w:val="both"/>
        <w:rPr>
          <w:b/>
          <w:bCs/>
          <w:color w:val="auto"/>
        </w:rPr>
      </w:pPr>
      <w:bookmarkStart w:id="3" w:name="_Toc105496904"/>
      <w:r w:rsidRPr="00417AE6">
        <w:rPr>
          <w:b/>
          <w:bCs/>
          <w:color w:val="auto"/>
        </w:rPr>
        <w:t>Why it's good to overlap</w:t>
      </w:r>
      <w:bookmarkEnd w:id="3"/>
    </w:p>
    <w:p w14:paraId="2A060FAF" w14:textId="5E8D4AC1" w:rsidR="00341222" w:rsidRPr="00417AE6" w:rsidRDefault="004F1D49" w:rsidP="00417AE6">
      <w:pPr>
        <w:spacing w:before="240" w:line="360" w:lineRule="auto"/>
        <w:jc w:val="both"/>
        <w:rPr>
          <w:sz w:val="24"/>
          <w:szCs w:val="24"/>
        </w:rPr>
      </w:pPr>
      <w:r w:rsidRPr="00417AE6">
        <w:rPr>
          <w:sz w:val="24"/>
          <w:szCs w:val="24"/>
        </w:rPr>
        <w:t xml:space="preserve">The goal of judicial oversight is to make sure that any law passed by Parliament </w:t>
      </w:r>
      <w:r w:rsidR="00417AE6" w:rsidRPr="00417AE6">
        <w:rPr>
          <w:sz w:val="24"/>
          <w:szCs w:val="24"/>
        </w:rPr>
        <w:t>aligns</w:t>
      </w:r>
      <w:r w:rsidRPr="00417AE6">
        <w:rPr>
          <w:sz w:val="24"/>
          <w:szCs w:val="24"/>
        </w:rPr>
        <w:t xml:space="preserve"> with the power Parliament has been given and that the government and other public institutions are following the law. A petition from a private citizen can be used by the courts to question whether or not what public officials do is legal. Presidents and lawmakers shouldn't be able to mess with the court system. Judges </w:t>
      </w:r>
      <w:r w:rsidR="00417AE6" w:rsidRPr="00417AE6">
        <w:rPr>
          <w:sz w:val="24"/>
          <w:szCs w:val="24"/>
        </w:rPr>
        <w:t>seldom</w:t>
      </w:r>
      <w:r w:rsidRPr="00417AE6">
        <w:rPr>
          <w:sz w:val="24"/>
          <w:szCs w:val="24"/>
        </w:rPr>
        <w:t xml:space="preserve"> show respect to people in positions of power that they don't think they know enough about to judge. "High policy" uses of royal prerogatives </w:t>
      </w:r>
      <w:r w:rsidRPr="00417AE6">
        <w:rPr>
          <w:sz w:val="24"/>
          <w:szCs w:val="24"/>
        </w:rPr>
        <w:lastRenderedPageBreak/>
        <w:t>include choosing ministers, distributing money, making sure the country is safe, signing treaties, and dealing with defence issues. Council of Civil Service Unions v. Minister of the Civil Service (1985) AC 374 is a good example</w:t>
      </w:r>
      <w:r w:rsidR="00417AE6" w:rsidRPr="00417AE6">
        <w:rPr>
          <w:sz w:val="24"/>
          <w:szCs w:val="24"/>
          <w:lang w:val="en-US"/>
        </w:rPr>
        <w:t xml:space="preserve"> </w:t>
      </w:r>
      <w:sdt>
        <w:sdtPr>
          <w:rPr>
            <w:sz w:val="24"/>
            <w:szCs w:val="24"/>
            <w:lang w:val="en-US"/>
          </w:rPr>
          <w:id w:val="-28953127"/>
          <w:citation/>
        </w:sdtPr>
        <w:sdtContent>
          <w:r w:rsidR="00417AE6" w:rsidRPr="00417AE6">
            <w:rPr>
              <w:sz w:val="24"/>
              <w:szCs w:val="24"/>
              <w:lang w:val="en-US"/>
            </w:rPr>
            <w:fldChar w:fldCharType="begin"/>
          </w:r>
          <w:r w:rsidR="00417AE6" w:rsidRPr="00417AE6">
            <w:rPr>
              <w:sz w:val="24"/>
              <w:szCs w:val="24"/>
              <w:lang w:val="en-US"/>
            </w:rPr>
            <w:instrText xml:space="preserve"> CITATION Nis18 \l 1033 </w:instrText>
          </w:r>
          <w:r w:rsidR="00417AE6" w:rsidRPr="00417AE6">
            <w:rPr>
              <w:sz w:val="24"/>
              <w:szCs w:val="24"/>
              <w:lang w:val="en-US"/>
            </w:rPr>
            <w:fldChar w:fldCharType="separate"/>
          </w:r>
          <w:r w:rsidR="00417AE6" w:rsidRPr="00417AE6">
            <w:rPr>
              <w:noProof/>
              <w:sz w:val="24"/>
              <w:szCs w:val="24"/>
              <w:lang w:val="en-US"/>
            </w:rPr>
            <w:t>(Nissan, 2018)</w:t>
          </w:r>
          <w:r w:rsidR="00417AE6" w:rsidRPr="00417AE6">
            <w:rPr>
              <w:sz w:val="24"/>
              <w:szCs w:val="24"/>
              <w:lang w:val="en-US"/>
            </w:rPr>
            <w:fldChar w:fldCharType="end"/>
          </w:r>
        </w:sdtContent>
      </w:sdt>
      <w:r w:rsidRPr="00417AE6">
        <w:rPr>
          <w:sz w:val="24"/>
          <w:szCs w:val="24"/>
        </w:rPr>
        <w:t>.</w:t>
      </w:r>
    </w:p>
    <w:p w14:paraId="6F6EA398" w14:textId="77777777" w:rsidR="00341222" w:rsidRPr="00417AE6" w:rsidRDefault="004F1D49" w:rsidP="00417AE6">
      <w:pPr>
        <w:spacing w:before="240" w:line="360" w:lineRule="auto"/>
        <w:jc w:val="both"/>
        <w:rPr>
          <w:sz w:val="24"/>
          <w:szCs w:val="24"/>
        </w:rPr>
      </w:pPr>
      <w:r w:rsidRPr="00417AE6">
        <w:rPr>
          <w:sz w:val="24"/>
          <w:szCs w:val="24"/>
        </w:rPr>
        <w:t>After keeping terror suspects in Belmarsh jail without giving them a trial, the Attorney General said in A v. Secretary of State for Home Department in 2004 that "these were questions of political and not judicial judgement." Lord Bingham, a senior judge, said, "It is generally agreed that the role of independent judges in interpreting and applying the law is a key function of a modern democratic state."</w:t>
      </w:r>
    </w:p>
    <w:p w14:paraId="0FCCE7B5" w14:textId="2411DD5A" w:rsidR="00341222" w:rsidRPr="00417AE6" w:rsidRDefault="004F1D49" w:rsidP="00417AE6">
      <w:pPr>
        <w:pStyle w:val="Heading1"/>
        <w:spacing w:before="240" w:after="240" w:line="360" w:lineRule="auto"/>
        <w:jc w:val="both"/>
        <w:rPr>
          <w:b/>
          <w:bCs/>
          <w:color w:val="auto"/>
          <w:lang w:val="en-US"/>
        </w:rPr>
      </w:pPr>
      <w:bookmarkStart w:id="4" w:name="_Toc105496905"/>
      <w:r w:rsidRPr="00417AE6">
        <w:rPr>
          <w:b/>
          <w:bCs/>
          <w:color w:val="auto"/>
          <w:lang w:val="en-US"/>
        </w:rPr>
        <w:t>Check and balance of system</w:t>
      </w:r>
      <w:bookmarkEnd w:id="4"/>
    </w:p>
    <w:p w14:paraId="2B43C63E" w14:textId="4E96A0DE" w:rsidR="00341222" w:rsidRPr="00417AE6" w:rsidRDefault="004F1D49" w:rsidP="00417AE6">
      <w:pPr>
        <w:spacing w:before="240" w:line="360" w:lineRule="auto"/>
        <w:jc w:val="both"/>
        <w:rPr>
          <w:sz w:val="24"/>
          <w:szCs w:val="24"/>
        </w:rPr>
      </w:pPr>
      <w:r w:rsidRPr="00417AE6">
        <w:rPr>
          <w:sz w:val="24"/>
          <w:szCs w:val="24"/>
        </w:rPr>
        <w:t xml:space="preserve">There are checks and balances in place to </w:t>
      </w:r>
      <w:r w:rsidR="00417AE6" w:rsidRPr="00417AE6">
        <w:rPr>
          <w:sz w:val="24"/>
          <w:szCs w:val="24"/>
        </w:rPr>
        <w:t>ensure that the legislative and executive branches of government don't interfere</w:t>
      </w:r>
      <w:r w:rsidRPr="00417AE6">
        <w:rPr>
          <w:sz w:val="24"/>
          <w:szCs w:val="24"/>
        </w:rPr>
        <w:t>.</w:t>
      </w:r>
      <w:r w:rsidRPr="00417AE6">
        <w:rPr>
          <w:sz w:val="24"/>
          <w:szCs w:val="24"/>
          <w:lang w:val="en-US"/>
        </w:rPr>
        <w:t xml:space="preserve"> </w:t>
      </w:r>
      <w:r w:rsidRPr="00417AE6">
        <w:rPr>
          <w:sz w:val="24"/>
          <w:szCs w:val="24"/>
        </w:rPr>
        <w:t xml:space="preserve">The three Acts that will be </w:t>
      </w:r>
      <w:r w:rsidR="00417AE6" w:rsidRPr="00417AE6">
        <w:rPr>
          <w:sz w:val="24"/>
          <w:szCs w:val="24"/>
        </w:rPr>
        <w:t>discussed in the following few paragraphs keep the system's checks and balances</w:t>
      </w:r>
      <w:r w:rsidRPr="00417AE6">
        <w:rPr>
          <w:sz w:val="24"/>
          <w:szCs w:val="24"/>
        </w:rPr>
        <w:t>.</w:t>
      </w:r>
    </w:p>
    <w:p w14:paraId="168B4C66" w14:textId="77777777" w:rsidR="00341222" w:rsidRPr="00417AE6" w:rsidRDefault="004F1D49" w:rsidP="00417AE6">
      <w:pPr>
        <w:pStyle w:val="Heading2"/>
        <w:spacing w:before="240" w:after="240" w:line="360" w:lineRule="auto"/>
        <w:jc w:val="both"/>
        <w:rPr>
          <w:b/>
          <w:bCs/>
          <w:color w:val="auto"/>
          <w:sz w:val="28"/>
          <w:szCs w:val="28"/>
        </w:rPr>
      </w:pPr>
      <w:bookmarkStart w:id="5" w:name="_Toc105496906"/>
      <w:r w:rsidRPr="00417AE6">
        <w:rPr>
          <w:b/>
          <w:bCs/>
          <w:color w:val="auto"/>
          <w:sz w:val="28"/>
          <w:szCs w:val="28"/>
        </w:rPr>
        <w:t>Act of 2005 to Change the Constitution</w:t>
      </w:r>
      <w:bookmarkEnd w:id="5"/>
    </w:p>
    <w:p w14:paraId="595EE0A7" w14:textId="09F4E589" w:rsidR="00341222" w:rsidRPr="00417AE6" w:rsidRDefault="004F1D49" w:rsidP="00417AE6">
      <w:pPr>
        <w:spacing w:before="240" w:line="360" w:lineRule="auto"/>
        <w:jc w:val="both"/>
        <w:rPr>
          <w:sz w:val="24"/>
          <w:szCs w:val="24"/>
        </w:rPr>
      </w:pPr>
      <w:r w:rsidRPr="00417AE6">
        <w:rPr>
          <w:sz w:val="24"/>
          <w:szCs w:val="24"/>
        </w:rPr>
        <w:t xml:space="preserve">The Constitutional Reform Act 2005 (c. 4) is an act of the UK Parliament that deals with UK constitutional law. As a result, the </w:t>
      </w:r>
      <w:r w:rsidR="00417AE6" w:rsidRPr="00417AE6">
        <w:rPr>
          <w:sz w:val="24"/>
          <w:szCs w:val="24"/>
        </w:rPr>
        <w:t>United Kingdom Supreme Court</w:t>
      </w:r>
      <w:r w:rsidRPr="00417AE6">
        <w:rPr>
          <w:sz w:val="24"/>
          <w:szCs w:val="24"/>
        </w:rPr>
        <w:t xml:space="preserve"> took away from the Lord Chancellor's job his duties as Speaker of the House of Lords and Head of the Judiciary in England and Wales</w:t>
      </w:r>
      <w:r w:rsidR="00417AE6" w:rsidRPr="00417AE6">
        <w:rPr>
          <w:sz w:val="24"/>
          <w:szCs w:val="24"/>
          <w:lang w:val="en-US"/>
        </w:rPr>
        <w:t xml:space="preserve"> </w:t>
      </w:r>
      <w:sdt>
        <w:sdtPr>
          <w:rPr>
            <w:sz w:val="24"/>
            <w:szCs w:val="24"/>
            <w:lang w:val="en-US"/>
          </w:rPr>
          <w:id w:val="1840033695"/>
          <w:citation/>
        </w:sdtPr>
        <w:sdtContent>
          <w:r w:rsidR="00417AE6" w:rsidRPr="00417AE6">
            <w:rPr>
              <w:sz w:val="24"/>
              <w:szCs w:val="24"/>
              <w:lang w:val="en-US"/>
            </w:rPr>
            <w:fldChar w:fldCharType="begin"/>
          </w:r>
          <w:r w:rsidR="00417AE6" w:rsidRPr="00417AE6">
            <w:rPr>
              <w:sz w:val="24"/>
              <w:szCs w:val="24"/>
              <w:lang w:val="en-US"/>
            </w:rPr>
            <w:instrText xml:space="preserve"> CITATION Nor18 \l 1033 </w:instrText>
          </w:r>
          <w:r w:rsidR="00417AE6" w:rsidRPr="00417AE6">
            <w:rPr>
              <w:sz w:val="24"/>
              <w:szCs w:val="24"/>
              <w:lang w:val="en-US"/>
            </w:rPr>
            <w:fldChar w:fldCharType="separate"/>
          </w:r>
          <w:r w:rsidR="00417AE6" w:rsidRPr="00417AE6">
            <w:rPr>
              <w:noProof/>
              <w:sz w:val="24"/>
              <w:szCs w:val="24"/>
              <w:lang w:val="en-US"/>
            </w:rPr>
            <w:t>(Norton, 2018)</w:t>
          </w:r>
          <w:r w:rsidR="00417AE6" w:rsidRPr="00417AE6">
            <w:rPr>
              <w:sz w:val="24"/>
              <w:szCs w:val="24"/>
              <w:lang w:val="en-US"/>
            </w:rPr>
            <w:fldChar w:fldCharType="end"/>
          </w:r>
        </w:sdtContent>
      </w:sdt>
      <w:r w:rsidRPr="00417AE6">
        <w:rPr>
          <w:sz w:val="24"/>
          <w:szCs w:val="24"/>
        </w:rPr>
        <w:t>.</w:t>
      </w:r>
    </w:p>
    <w:p w14:paraId="41A3AE9F" w14:textId="77777777" w:rsidR="00341222" w:rsidRPr="00417AE6" w:rsidRDefault="004F1D49" w:rsidP="00417AE6">
      <w:pPr>
        <w:pStyle w:val="Heading3"/>
        <w:spacing w:before="240" w:after="240" w:line="360" w:lineRule="auto"/>
        <w:jc w:val="both"/>
        <w:rPr>
          <w:b/>
          <w:bCs/>
          <w:color w:val="auto"/>
          <w:sz w:val="26"/>
          <w:szCs w:val="26"/>
        </w:rPr>
      </w:pPr>
      <w:bookmarkStart w:id="6" w:name="_Toc105496907"/>
      <w:r w:rsidRPr="00417AE6">
        <w:rPr>
          <w:b/>
          <w:bCs/>
          <w:color w:val="auto"/>
          <w:sz w:val="26"/>
          <w:szCs w:val="26"/>
        </w:rPr>
        <w:t>Background</w:t>
      </w:r>
      <w:bookmarkEnd w:id="6"/>
    </w:p>
    <w:p w14:paraId="542FC3B8" w14:textId="68938B90" w:rsidR="00341222" w:rsidRPr="00417AE6" w:rsidRDefault="004F1D49" w:rsidP="00417AE6">
      <w:pPr>
        <w:spacing w:before="240" w:line="360" w:lineRule="auto"/>
        <w:jc w:val="both"/>
        <w:rPr>
          <w:sz w:val="24"/>
          <w:szCs w:val="24"/>
        </w:rPr>
      </w:pPr>
      <w:r w:rsidRPr="00417AE6">
        <w:rPr>
          <w:sz w:val="24"/>
          <w:szCs w:val="24"/>
        </w:rPr>
        <w:t>Changes were made to make sure that no one person c</w:t>
      </w:r>
      <w:r w:rsidR="00417AE6" w:rsidRPr="00417AE6">
        <w:rPr>
          <w:sz w:val="24"/>
          <w:szCs w:val="24"/>
        </w:rPr>
        <w:t>ould</w:t>
      </w:r>
      <w:r w:rsidRPr="00417AE6">
        <w:rPr>
          <w:sz w:val="24"/>
          <w:szCs w:val="24"/>
        </w:rPr>
        <w:t xml:space="preserve"> be both Lord Chancellor and a government minister or judge at the same time. Concerns that the historical mix of legislative and executive power would not meet the </w:t>
      </w:r>
      <w:r w:rsidR="00417AE6" w:rsidRPr="00417AE6">
        <w:rPr>
          <w:sz w:val="24"/>
          <w:szCs w:val="24"/>
        </w:rPr>
        <w:t>European Convention on Human Rights standard</w:t>
      </w:r>
      <w:r w:rsidRPr="00417AE6">
        <w:rPr>
          <w:sz w:val="24"/>
          <w:szCs w:val="24"/>
        </w:rPr>
        <w:t xml:space="preserve">s, which says that an impartial judge must also have </w:t>
      </w:r>
      <w:r w:rsidR="00417AE6" w:rsidRPr="00417AE6">
        <w:rPr>
          <w:sz w:val="24"/>
          <w:szCs w:val="24"/>
        </w:rPr>
        <w:t xml:space="preserve">the </w:t>
      </w:r>
      <w:r w:rsidRPr="00417AE6">
        <w:rPr>
          <w:sz w:val="24"/>
          <w:szCs w:val="24"/>
        </w:rPr>
        <w:t xml:space="preserve">legislative or executive </w:t>
      </w:r>
      <w:r w:rsidR="00417AE6" w:rsidRPr="00417AE6">
        <w:rPr>
          <w:sz w:val="24"/>
          <w:szCs w:val="24"/>
        </w:rPr>
        <w:t>capacity</w:t>
      </w:r>
      <w:r w:rsidRPr="00417AE6">
        <w:rPr>
          <w:sz w:val="24"/>
          <w:szCs w:val="24"/>
        </w:rPr>
        <w:t>, led to change. This law s</w:t>
      </w:r>
      <w:r w:rsidR="00417AE6" w:rsidRPr="00417AE6">
        <w:rPr>
          <w:sz w:val="24"/>
          <w:szCs w:val="24"/>
        </w:rPr>
        <w:t>tate</w:t>
      </w:r>
      <w:r w:rsidRPr="00417AE6">
        <w:rPr>
          <w:sz w:val="24"/>
          <w:szCs w:val="24"/>
        </w:rPr>
        <w:t xml:space="preserve">s that these two people don't have much </w:t>
      </w:r>
      <w:r w:rsidR="00417AE6" w:rsidRPr="00417AE6">
        <w:rPr>
          <w:sz w:val="24"/>
          <w:szCs w:val="24"/>
        </w:rPr>
        <w:t>control</w:t>
      </w:r>
      <w:r w:rsidRPr="00417AE6">
        <w:rPr>
          <w:sz w:val="24"/>
          <w:szCs w:val="24"/>
        </w:rPr>
        <w:t xml:space="preserve"> over the court presidents.</w:t>
      </w:r>
    </w:p>
    <w:p w14:paraId="732DC465" w14:textId="77777777" w:rsidR="00341222" w:rsidRPr="00417AE6" w:rsidRDefault="004F1D49" w:rsidP="00417AE6">
      <w:pPr>
        <w:pStyle w:val="Heading2"/>
        <w:spacing w:before="240" w:after="240" w:line="360" w:lineRule="auto"/>
        <w:jc w:val="both"/>
        <w:rPr>
          <w:b/>
          <w:bCs/>
          <w:color w:val="auto"/>
          <w:sz w:val="28"/>
          <w:szCs w:val="28"/>
        </w:rPr>
      </w:pPr>
      <w:bookmarkStart w:id="7" w:name="_Toc105496908"/>
      <w:r w:rsidRPr="00417AE6">
        <w:rPr>
          <w:b/>
          <w:bCs/>
          <w:color w:val="auto"/>
          <w:sz w:val="28"/>
          <w:szCs w:val="28"/>
        </w:rPr>
        <w:t>The 1701 Act of Settlement</w:t>
      </w:r>
      <w:bookmarkEnd w:id="7"/>
    </w:p>
    <w:p w14:paraId="0BA5BE45" w14:textId="77777777" w:rsidR="00341222" w:rsidRPr="00417AE6" w:rsidRDefault="004F1D49" w:rsidP="00417AE6">
      <w:pPr>
        <w:spacing w:before="240" w:line="360" w:lineRule="auto"/>
        <w:jc w:val="both"/>
        <w:rPr>
          <w:sz w:val="24"/>
          <w:szCs w:val="24"/>
        </w:rPr>
      </w:pPr>
      <w:r w:rsidRPr="00417AE6">
        <w:rPr>
          <w:sz w:val="24"/>
          <w:szCs w:val="24"/>
        </w:rPr>
        <w:t>After the Act of Settlement was passed, only Protestants could take over the thrones of England and Ireland. This led to Charles I's Protestant heirs being kicked out of power, except for his Protestant granddaughter Princess Anne, who later became Queen. When she died, the crowns would go to her children who were not Catholic.</w:t>
      </w:r>
    </w:p>
    <w:p w14:paraId="0DECBE22" w14:textId="14E2F764" w:rsidR="00341222" w:rsidRPr="00417AE6" w:rsidRDefault="004F1D49" w:rsidP="00417AE6">
      <w:pPr>
        <w:spacing w:before="240" w:line="360" w:lineRule="auto"/>
        <w:jc w:val="both"/>
        <w:rPr>
          <w:sz w:val="24"/>
          <w:szCs w:val="24"/>
        </w:rPr>
      </w:pPr>
      <w:r w:rsidRPr="00417AE6">
        <w:rPr>
          <w:sz w:val="24"/>
          <w:szCs w:val="24"/>
        </w:rPr>
        <w:lastRenderedPageBreak/>
        <w:t xml:space="preserve">The Act of Settlement made it illegal for people to inherit the crown if they became Roman Catholic or married a Roman Catholic. The act also limited the role of people who were not British citizens in the British government and the </w:t>
      </w:r>
      <w:r w:rsidR="00417AE6" w:rsidRPr="00417AE6">
        <w:rPr>
          <w:sz w:val="24"/>
          <w:szCs w:val="24"/>
        </w:rPr>
        <w:t>monarchy's power</w:t>
      </w:r>
      <w:r w:rsidRPr="00417AE6">
        <w:rPr>
          <w:sz w:val="24"/>
          <w:szCs w:val="24"/>
        </w:rPr>
        <w:t xml:space="preserve"> over the English parliament. A few of these clauses have changed over time because of changes in the law</w:t>
      </w:r>
      <w:r w:rsidR="00417AE6" w:rsidRPr="00417AE6">
        <w:rPr>
          <w:sz w:val="24"/>
          <w:szCs w:val="24"/>
          <w:lang w:val="en-US"/>
        </w:rPr>
        <w:t xml:space="preserve"> </w:t>
      </w:r>
      <w:sdt>
        <w:sdtPr>
          <w:rPr>
            <w:sz w:val="24"/>
            <w:szCs w:val="24"/>
            <w:lang w:val="en-US"/>
          </w:rPr>
          <w:id w:val="169154162"/>
          <w:citation/>
        </w:sdtPr>
        <w:sdtContent>
          <w:r w:rsidR="00417AE6" w:rsidRPr="00417AE6">
            <w:rPr>
              <w:sz w:val="24"/>
              <w:szCs w:val="24"/>
              <w:lang w:val="en-US"/>
            </w:rPr>
            <w:fldChar w:fldCharType="begin"/>
          </w:r>
          <w:r w:rsidR="00417AE6" w:rsidRPr="00417AE6">
            <w:rPr>
              <w:sz w:val="24"/>
              <w:szCs w:val="24"/>
              <w:lang w:val="en-US"/>
            </w:rPr>
            <w:instrText xml:space="preserve"> CITATION Cai18 \l 1033 </w:instrText>
          </w:r>
          <w:r w:rsidR="00417AE6" w:rsidRPr="00417AE6">
            <w:rPr>
              <w:sz w:val="24"/>
              <w:szCs w:val="24"/>
              <w:lang w:val="en-US"/>
            </w:rPr>
            <w:fldChar w:fldCharType="separate"/>
          </w:r>
          <w:r w:rsidR="00417AE6" w:rsidRPr="00417AE6">
            <w:rPr>
              <w:noProof/>
              <w:sz w:val="24"/>
              <w:szCs w:val="24"/>
              <w:lang w:val="en-US"/>
            </w:rPr>
            <w:t>(Caielli, 2018)</w:t>
          </w:r>
          <w:r w:rsidR="00417AE6" w:rsidRPr="00417AE6">
            <w:rPr>
              <w:sz w:val="24"/>
              <w:szCs w:val="24"/>
              <w:lang w:val="en-US"/>
            </w:rPr>
            <w:fldChar w:fldCharType="end"/>
          </w:r>
        </w:sdtContent>
      </w:sdt>
      <w:r w:rsidRPr="00417AE6">
        <w:rPr>
          <w:sz w:val="24"/>
          <w:szCs w:val="24"/>
        </w:rPr>
        <w:t>.</w:t>
      </w:r>
    </w:p>
    <w:p w14:paraId="7C97C290" w14:textId="5BF876BA" w:rsidR="00341222" w:rsidRPr="00417AE6" w:rsidRDefault="004F1D49" w:rsidP="00417AE6">
      <w:pPr>
        <w:pStyle w:val="Heading2"/>
        <w:spacing w:before="240" w:after="240" w:line="360" w:lineRule="auto"/>
        <w:jc w:val="both"/>
        <w:rPr>
          <w:b/>
          <w:bCs/>
          <w:color w:val="auto"/>
          <w:sz w:val="28"/>
          <w:szCs w:val="28"/>
        </w:rPr>
      </w:pPr>
      <w:bookmarkStart w:id="8" w:name="_Toc105496909"/>
      <w:r w:rsidRPr="00417AE6">
        <w:rPr>
          <w:b/>
          <w:bCs/>
          <w:color w:val="auto"/>
          <w:sz w:val="28"/>
          <w:szCs w:val="28"/>
        </w:rPr>
        <w:t>Crime and Courts Act of 2013.</w:t>
      </w:r>
      <w:bookmarkEnd w:id="8"/>
    </w:p>
    <w:p w14:paraId="309CE24F" w14:textId="1BF27006" w:rsidR="00341222" w:rsidRPr="00417AE6" w:rsidRDefault="004F1D49" w:rsidP="00417AE6">
      <w:pPr>
        <w:spacing w:before="240" w:line="360" w:lineRule="auto"/>
        <w:jc w:val="both"/>
        <w:rPr>
          <w:sz w:val="24"/>
          <w:szCs w:val="24"/>
        </w:rPr>
      </w:pPr>
      <w:r w:rsidRPr="00417AE6">
        <w:rPr>
          <w:sz w:val="24"/>
          <w:szCs w:val="24"/>
        </w:rPr>
        <w:t>In May 2012, the House of Lords in the UK was given the Crime and Courts Act 2013 (Chapter 22). One of its main goals is to create the National Crime Agency, which will take the place of the Serious Organized Crime Agency (SOCA). Under the Act, the law on self-defen</w:t>
      </w:r>
      <w:r w:rsidR="00417AE6" w:rsidRPr="00417AE6">
        <w:rPr>
          <w:sz w:val="24"/>
          <w:szCs w:val="24"/>
        </w:rPr>
        <w:t>c</w:t>
      </w:r>
      <w:r w:rsidRPr="00417AE6">
        <w:rPr>
          <w:sz w:val="24"/>
          <w:szCs w:val="24"/>
        </w:rPr>
        <w:t>e is changed, as are the rules about when and how court proceedings can be recorded</w:t>
      </w:r>
      <w:r w:rsidR="00417AE6" w:rsidRPr="00417AE6">
        <w:rPr>
          <w:sz w:val="24"/>
          <w:szCs w:val="24"/>
          <w:lang w:val="en-US"/>
        </w:rPr>
        <w:t xml:space="preserve"> </w:t>
      </w:r>
      <w:sdt>
        <w:sdtPr>
          <w:rPr>
            <w:sz w:val="24"/>
            <w:szCs w:val="24"/>
            <w:lang w:val="en-US"/>
          </w:rPr>
          <w:id w:val="1176848833"/>
          <w:citation/>
        </w:sdtPr>
        <w:sdtContent>
          <w:r w:rsidR="00417AE6" w:rsidRPr="00417AE6">
            <w:rPr>
              <w:sz w:val="24"/>
              <w:szCs w:val="24"/>
              <w:lang w:val="en-US"/>
            </w:rPr>
            <w:fldChar w:fldCharType="begin"/>
          </w:r>
          <w:r w:rsidR="00417AE6" w:rsidRPr="00417AE6">
            <w:rPr>
              <w:sz w:val="24"/>
              <w:szCs w:val="24"/>
              <w:lang w:val="en-US"/>
            </w:rPr>
            <w:instrText xml:space="preserve"> CITATION Mac18 \l 1033 </w:instrText>
          </w:r>
          <w:r w:rsidR="00417AE6" w:rsidRPr="00417AE6">
            <w:rPr>
              <w:sz w:val="24"/>
              <w:szCs w:val="24"/>
              <w:lang w:val="en-US"/>
            </w:rPr>
            <w:fldChar w:fldCharType="separate"/>
          </w:r>
          <w:r w:rsidR="00417AE6" w:rsidRPr="00417AE6">
            <w:rPr>
              <w:noProof/>
              <w:sz w:val="24"/>
              <w:szCs w:val="24"/>
              <w:lang w:val="en-US"/>
            </w:rPr>
            <w:t>(Mack, 2018)</w:t>
          </w:r>
          <w:r w:rsidR="00417AE6" w:rsidRPr="00417AE6">
            <w:rPr>
              <w:sz w:val="24"/>
              <w:szCs w:val="24"/>
              <w:lang w:val="en-US"/>
            </w:rPr>
            <w:fldChar w:fldCharType="end"/>
          </w:r>
        </w:sdtContent>
      </w:sdt>
      <w:r w:rsidRPr="00417AE6">
        <w:rPr>
          <w:sz w:val="24"/>
          <w:szCs w:val="24"/>
        </w:rPr>
        <w:t>.</w:t>
      </w:r>
    </w:p>
    <w:p w14:paraId="7B8FFD0C" w14:textId="406CD504" w:rsidR="00341222" w:rsidRPr="00417AE6" w:rsidRDefault="004F1D49" w:rsidP="00417AE6">
      <w:pPr>
        <w:spacing w:before="240" w:line="360" w:lineRule="auto"/>
        <w:jc w:val="both"/>
        <w:rPr>
          <w:sz w:val="24"/>
          <w:szCs w:val="24"/>
        </w:rPr>
      </w:pPr>
      <w:r w:rsidRPr="00417AE6">
        <w:rPr>
          <w:sz w:val="24"/>
          <w:szCs w:val="24"/>
        </w:rPr>
        <w:t xml:space="preserve">The Home Office calls the National Crime Agency "a national agency for fighting crime" in the sixteen-part introduction to Part 1. The Serious Organized Crime Agency's National Cyber Crime Unit (NCCU) </w:t>
      </w:r>
      <w:r w:rsidR="00417AE6" w:rsidRPr="00417AE6">
        <w:rPr>
          <w:sz w:val="24"/>
          <w:szCs w:val="24"/>
        </w:rPr>
        <w:t>comprises</w:t>
      </w:r>
      <w:r w:rsidRPr="00417AE6">
        <w:rPr>
          <w:sz w:val="24"/>
          <w:szCs w:val="24"/>
        </w:rPr>
        <w:t xml:space="preserve"> three different parts that all work together. This law also </w:t>
      </w:r>
      <w:r w:rsidR="00417AE6" w:rsidRPr="00417AE6">
        <w:rPr>
          <w:sz w:val="24"/>
          <w:szCs w:val="24"/>
        </w:rPr>
        <w:t>eliminates</w:t>
      </w:r>
      <w:r w:rsidRPr="00417AE6">
        <w:rPr>
          <w:sz w:val="24"/>
          <w:szCs w:val="24"/>
        </w:rPr>
        <w:t xml:space="preserve"> the National Policing Improvement Agency, which makes things even more complicated (NPIA).</w:t>
      </w:r>
    </w:p>
    <w:p w14:paraId="5116FBD9" w14:textId="77777777" w:rsidR="00341222" w:rsidRPr="00417AE6" w:rsidRDefault="004F1D49" w:rsidP="00417AE6">
      <w:pPr>
        <w:spacing w:before="240" w:line="360" w:lineRule="auto"/>
        <w:jc w:val="both"/>
        <w:rPr>
          <w:sz w:val="24"/>
          <w:szCs w:val="24"/>
        </w:rPr>
      </w:pPr>
      <w:r w:rsidRPr="00417AE6">
        <w:rPr>
          <w:sz w:val="24"/>
          <w:szCs w:val="24"/>
        </w:rPr>
        <w:t>For example, there are plans to make it easier for women to become judges and to change how people in Great Britain pay their fines. Because of the Act, England and Wales only have one family court instead of many county courts and a system where magistrate, county, and High Courts all handled family cases.</w:t>
      </w:r>
    </w:p>
    <w:p w14:paraId="5D94423E" w14:textId="608F264F" w:rsidR="00341222" w:rsidRPr="00417AE6" w:rsidRDefault="004F1D49" w:rsidP="00417AE6">
      <w:pPr>
        <w:spacing w:before="240" w:line="360" w:lineRule="auto"/>
        <w:jc w:val="both"/>
        <w:rPr>
          <w:sz w:val="24"/>
          <w:szCs w:val="24"/>
        </w:rPr>
      </w:pPr>
      <w:r w:rsidRPr="00417AE6">
        <w:rPr>
          <w:sz w:val="24"/>
          <w:szCs w:val="24"/>
        </w:rPr>
        <w:t>Here, you can find rules about everything from immigration to the UK to "drug driving." Section 57 of the Public Order Act of 1986 says that the words "abusive or insulting" have been changed to "or abusive" in sections 5 and 6. Thanks to the "Reform Section 5" project, this change was possible</w:t>
      </w:r>
      <w:r w:rsidR="00417AE6" w:rsidRPr="00417AE6">
        <w:rPr>
          <w:sz w:val="24"/>
          <w:szCs w:val="24"/>
          <w:lang w:val="en-US"/>
        </w:rPr>
        <w:t xml:space="preserve"> </w:t>
      </w:r>
      <w:sdt>
        <w:sdtPr>
          <w:rPr>
            <w:sz w:val="24"/>
            <w:szCs w:val="24"/>
            <w:lang w:val="en-US"/>
          </w:rPr>
          <w:id w:val="-2029719524"/>
          <w:citation/>
        </w:sdtPr>
        <w:sdtContent>
          <w:r w:rsidR="00417AE6" w:rsidRPr="00417AE6">
            <w:rPr>
              <w:sz w:val="24"/>
              <w:szCs w:val="24"/>
              <w:lang w:val="en-US"/>
            </w:rPr>
            <w:fldChar w:fldCharType="begin"/>
          </w:r>
          <w:r w:rsidR="00417AE6" w:rsidRPr="00417AE6">
            <w:rPr>
              <w:sz w:val="24"/>
              <w:szCs w:val="24"/>
              <w:lang w:val="en-US"/>
            </w:rPr>
            <w:instrText xml:space="preserve"> CITATION Sel18 \l 1033 </w:instrText>
          </w:r>
          <w:r w:rsidR="00417AE6" w:rsidRPr="00417AE6">
            <w:rPr>
              <w:sz w:val="24"/>
              <w:szCs w:val="24"/>
              <w:lang w:val="en-US"/>
            </w:rPr>
            <w:fldChar w:fldCharType="separate"/>
          </w:r>
          <w:r w:rsidR="00417AE6" w:rsidRPr="00417AE6">
            <w:rPr>
              <w:noProof/>
              <w:sz w:val="24"/>
              <w:szCs w:val="24"/>
              <w:lang w:val="en-US"/>
            </w:rPr>
            <w:t>(Sela, 2018)</w:t>
          </w:r>
          <w:r w:rsidR="00417AE6" w:rsidRPr="00417AE6">
            <w:rPr>
              <w:sz w:val="24"/>
              <w:szCs w:val="24"/>
              <w:lang w:val="en-US"/>
            </w:rPr>
            <w:fldChar w:fldCharType="end"/>
          </w:r>
        </w:sdtContent>
      </w:sdt>
      <w:r w:rsidRPr="00417AE6">
        <w:rPr>
          <w:sz w:val="24"/>
          <w:szCs w:val="24"/>
        </w:rPr>
        <w:t>.</w:t>
      </w:r>
    </w:p>
    <w:p w14:paraId="4067E1A6" w14:textId="77777777" w:rsidR="00341222" w:rsidRPr="00417AE6" w:rsidRDefault="004F1D49" w:rsidP="00417AE6">
      <w:pPr>
        <w:pStyle w:val="Heading1"/>
        <w:spacing w:before="240" w:after="240" w:line="360" w:lineRule="auto"/>
        <w:jc w:val="both"/>
        <w:rPr>
          <w:b/>
          <w:bCs/>
          <w:color w:val="auto"/>
        </w:rPr>
      </w:pPr>
      <w:bookmarkStart w:id="9" w:name="_Toc105496910"/>
      <w:r w:rsidRPr="00417AE6">
        <w:rPr>
          <w:b/>
          <w:bCs/>
          <w:color w:val="auto"/>
        </w:rPr>
        <w:t>Comment</w:t>
      </w:r>
      <w:bookmarkEnd w:id="9"/>
    </w:p>
    <w:p w14:paraId="5C89FCBD" w14:textId="089EC0BA" w:rsidR="00341222" w:rsidRPr="00417AE6" w:rsidRDefault="004F1D49" w:rsidP="00417AE6">
      <w:pPr>
        <w:spacing w:before="240" w:line="360" w:lineRule="auto"/>
        <w:jc w:val="both"/>
        <w:rPr>
          <w:sz w:val="24"/>
          <w:szCs w:val="24"/>
        </w:rPr>
      </w:pPr>
      <w:r w:rsidRPr="00417AE6">
        <w:rPr>
          <w:sz w:val="24"/>
          <w:szCs w:val="24"/>
        </w:rPr>
        <w:t xml:space="preserve">Checks and balances are one of the </w:t>
      </w:r>
      <w:r w:rsidR="00417AE6" w:rsidRPr="00417AE6">
        <w:rPr>
          <w:sz w:val="24"/>
          <w:szCs w:val="24"/>
        </w:rPr>
        <w:t>essential</w:t>
      </w:r>
      <w:r w:rsidRPr="00417AE6">
        <w:rPr>
          <w:sz w:val="24"/>
          <w:szCs w:val="24"/>
        </w:rPr>
        <w:t xml:space="preserve"> parts of how the Constitution was made. There are three parts to the government, and each one can limit the power of the others. This means that no one branch will be in charge. Each </w:t>
      </w:r>
      <w:r w:rsidR="00417AE6" w:rsidRPr="00417AE6">
        <w:rPr>
          <w:sz w:val="24"/>
          <w:szCs w:val="24"/>
        </w:rPr>
        <w:t>chapter</w:t>
      </w:r>
      <w:r w:rsidRPr="00417AE6">
        <w:rPr>
          <w:sz w:val="24"/>
          <w:szCs w:val="24"/>
        </w:rPr>
        <w:t xml:space="preserve"> looks at the strength of the others to make sure that power is shared fairly. How well and in what ways does this system of checks and balances work?</w:t>
      </w:r>
    </w:p>
    <w:p w14:paraId="5EA9CE19" w14:textId="4335F307" w:rsidR="00341222" w:rsidRPr="00417AE6" w:rsidRDefault="004F1D49" w:rsidP="00417AE6">
      <w:pPr>
        <w:spacing w:before="240" w:line="360" w:lineRule="auto"/>
        <w:jc w:val="both"/>
        <w:rPr>
          <w:sz w:val="24"/>
          <w:szCs w:val="24"/>
        </w:rPr>
      </w:pPr>
      <w:r w:rsidRPr="00417AE6">
        <w:rPr>
          <w:sz w:val="24"/>
          <w:szCs w:val="24"/>
        </w:rPr>
        <w:lastRenderedPageBreak/>
        <w:t>The way laws are made a</w:t>
      </w:r>
      <w:r w:rsidR="00417AE6" w:rsidRPr="00417AE6">
        <w:rPr>
          <w:sz w:val="24"/>
          <w:szCs w:val="24"/>
        </w:rPr>
        <w:t>n excellen</w:t>
      </w:r>
      <w:r w:rsidRPr="00417AE6">
        <w:rPr>
          <w:sz w:val="24"/>
          <w:szCs w:val="24"/>
        </w:rPr>
        <w:t xml:space="preserve">t example of how checks and balances work. There are rules for how the legislative process works. The executive branch is asked about the idea to figure out if it is </w:t>
      </w:r>
      <w:r w:rsidR="00417AE6" w:rsidRPr="00417AE6">
        <w:rPr>
          <w:sz w:val="24"/>
          <w:szCs w:val="24"/>
        </w:rPr>
        <w:t>suitable</w:t>
      </w:r>
      <w:r w:rsidRPr="00417AE6">
        <w:rPr>
          <w:sz w:val="24"/>
          <w:szCs w:val="24"/>
        </w:rPr>
        <w:t xml:space="preserve"> for the United States or not. In this case, it has been made a law</w:t>
      </w:r>
      <w:r w:rsidR="00417AE6" w:rsidRPr="00417AE6">
        <w:rPr>
          <w:sz w:val="24"/>
          <w:szCs w:val="24"/>
          <w:lang w:val="en-US"/>
        </w:rPr>
        <w:t xml:space="preserve"> </w:t>
      </w:r>
      <w:sdt>
        <w:sdtPr>
          <w:rPr>
            <w:sz w:val="24"/>
            <w:szCs w:val="24"/>
            <w:lang w:val="en-US"/>
          </w:rPr>
          <w:id w:val="2005622953"/>
          <w:citation/>
        </w:sdtPr>
        <w:sdtContent>
          <w:r w:rsidR="00417AE6" w:rsidRPr="00417AE6">
            <w:rPr>
              <w:sz w:val="24"/>
              <w:szCs w:val="24"/>
              <w:lang w:val="en-US"/>
            </w:rPr>
            <w:fldChar w:fldCharType="begin"/>
          </w:r>
          <w:r w:rsidR="00417AE6" w:rsidRPr="00417AE6">
            <w:rPr>
              <w:sz w:val="24"/>
              <w:szCs w:val="24"/>
              <w:lang w:val="en-US"/>
            </w:rPr>
            <w:instrText xml:space="preserve"> CITATION Woo20 \l 1033 </w:instrText>
          </w:r>
          <w:r w:rsidR="00417AE6" w:rsidRPr="00417AE6">
            <w:rPr>
              <w:sz w:val="24"/>
              <w:szCs w:val="24"/>
              <w:lang w:val="en-US"/>
            </w:rPr>
            <w:fldChar w:fldCharType="separate"/>
          </w:r>
          <w:r w:rsidR="00417AE6" w:rsidRPr="00417AE6">
            <w:rPr>
              <w:noProof/>
              <w:sz w:val="24"/>
              <w:szCs w:val="24"/>
              <w:lang w:val="en-US"/>
            </w:rPr>
            <w:t>(Woodcock, 2020)</w:t>
          </w:r>
          <w:r w:rsidR="00417AE6" w:rsidRPr="00417AE6">
            <w:rPr>
              <w:sz w:val="24"/>
              <w:szCs w:val="24"/>
              <w:lang w:val="en-US"/>
            </w:rPr>
            <w:fldChar w:fldCharType="end"/>
          </w:r>
        </w:sdtContent>
      </w:sdt>
      <w:r w:rsidRPr="00417AE6">
        <w:rPr>
          <w:sz w:val="24"/>
          <w:szCs w:val="24"/>
        </w:rPr>
        <w:t>.</w:t>
      </w:r>
    </w:p>
    <w:p w14:paraId="6AF4598B" w14:textId="6DE5E11A" w:rsidR="00341222" w:rsidRPr="00417AE6" w:rsidRDefault="004F1D49" w:rsidP="00417AE6">
      <w:pPr>
        <w:spacing w:before="240" w:line="360" w:lineRule="auto"/>
        <w:jc w:val="both"/>
        <w:rPr>
          <w:sz w:val="24"/>
          <w:szCs w:val="24"/>
        </w:rPr>
      </w:pPr>
      <w:r w:rsidRPr="00417AE6">
        <w:rPr>
          <w:sz w:val="24"/>
          <w:szCs w:val="24"/>
        </w:rPr>
        <w:t>The President will not sign a law unless he thinks it is in everyone's best interest. This is what is called a veto. Even so, the legislative branch gets a chance to make things right. If enough people vote for a measure, the legislative branch can override a veto from the executive branch.</w:t>
      </w:r>
      <w:r w:rsidR="00417AE6">
        <w:rPr>
          <w:sz w:val="24"/>
          <w:szCs w:val="24"/>
          <w:lang w:val="en-US"/>
        </w:rPr>
        <w:t xml:space="preserve"> </w:t>
      </w:r>
      <w:r w:rsidRPr="00417AE6">
        <w:rPr>
          <w:sz w:val="24"/>
          <w:szCs w:val="24"/>
        </w:rPr>
        <w:t xml:space="preserve">In the courts, which are part of the judicial branch, people can challenge new laws. If someone thinks </w:t>
      </w:r>
      <w:r w:rsidR="00417AE6" w:rsidRPr="00417AE6">
        <w:rPr>
          <w:sz w:val="24"/>
          <w:szCs w:val="24"/>
        </w:rPr>
        <w:t>regulation</w:t>
      </w:r>
      <w:r w:rsidRPr="00417AE6">
        <w:rPr>
          <w:sz w:val="24"/>
          <w:szCs w:val="24"/>
        </w:rPr>
        <w:t xml:space="preserve"> is unfair, they can sue the government. As a result of what the lawyers say, the court decides which side's arguments were the most convincing. The person who lost in court can go to a higher court or even the Supreme Court to get the case changed. When different parts of the government, like the legislature and the courts, don't agree, new laws may be written</w:t>
      </w:r>
      <w:r w:rsidR="00417AE6" w:rsidRPr="00417AE6">
        <w:rPr>
          <w:sz w:val="24"/>
          <w:szCs w:val="24"/>
          <w:lang w:val="en-US"/>
        </w:rPr>
        <w:t xml:space="preserve"> </w:t>
      </w:r>
      <w:sdt>
        <w:sdtPr>
          <w:rPr>
            <w:sz w:val="24"/>
            <w:szCs w:val="24"/>
            <w:lang w:val="en-US"/>
          </w:rPr>
          <w:id w:val="692427944"/>
          <w:citation/>
        </w:sdtPr>
        <w:sdtContent>
          <w:r w:rsidR="00417AE6" w:rsidRPr="00417AE6">
            <w:rPr>
              <w:sz w:val="24"/>
              <w:szCs w:val="24"/>
              <w:lang w:val="en-US"/>
            </w:rPr>
            <w:fldChar w:fldCharType="begin"/>
          </w:r>
          <w:r w:rsidR="00417AE6" w:rsidRPr="00417AE6">
            <w:rPr>
              <w:sz w:val="24"/>
              <w:szCs w:val="24"/>
              <w:lang w:val="en-US"/>
            </w:rPr>
            <w:instrText xml:space="preserve"> CITATION Tyr18 \l 1033 </w:instrText>
          </w:r>
          <w:r w:rsidR="00417AE6" w:rsidRPr="00417AE6">
            <w:rPr>
              <w:sz w:val="24"/>
              <w:szCs w:val="24"/>
              <w:lang w:val="en-US"/>
            </w:rPr>
            <w:fldChar w:fldCharType="separate"/>
          </w:r>
          <w:r w:rsidR="00417AE6" w:rsidRPr="00417AE6">
            <w:rPr>
              <w:noProof/>
              <w:sz w:val="24"/>
              <w:szCs w:val="24"/>
              <w:lang w:val="en-US"/>
            </w:rPr>
            <w:t>(Tyrrell, 2018)</w:t>
          </w:r>
          <w:r w:rsidR="00417AE6" w:rsidRPr="00417AE6">
            <w:rPr>
              <w:sz w:val="24"/>
              <w:szCs w:val="24"/>
              <w:lang w:val="en-US"/>
            </w:rPr>
            <w:fldChar w:fldCharType="end"/>
          </w:r>
        </w:sdtContent>
      </w:sdt>
      <w:r w:rsidRPr="00417AE6">
        <w:rPr>
          <w:sz w:val="24"/>
          <w:szCs w:val="24"/>
        </w:rPr>
        <w:t>.</w:t>
      </w:r>
    </w:p>
    <w:p w14:paraId="45BE8029" w14:textId="77777777" w:rsidR="00341222" w:rsidRPr="00417AE6" w:rsidRDefault="004F1D49" w:rsidP="00417AE6">
      <w:pPr>
        <w:pStyle w:val="Heading1"/>
        <w:spacing w:before="240" w:after="240" w:line="360" w:lineRule="auto"/>
        <w:jc w:val="both"/>
        <w:rPr>
          <w:b/>
          <w:bCs/>
          <w:color w:val="auto"/>
        </w:rPr>
      </w:pPr>
      <w:bookmarkStart w:id="10" w:name="_Toc105496911"/>
      <w:r w:rsidRPr="00417AE6">
        <w:rPr>
          <w:b/>
          <w:bCs/>
          <w:color w:val="auto"/>
        </w:rPr>
        <w:t>Conclusion</w:t>
      </w:r>
      <w:bookmarkEnd w:id="10"/>
    </w:p>
    <w:p w14:paraId="1FDBEDA0" w14:textId="5F14C8F2" w:rsidR="00341222" w:rsidRPr="00417AE6" w:rsidRDefault="004F1D49" w:rsidP="00417AE6">
      <w:pPr>
        <w:spacing w:before="240" w:line="360" w:lineRule="auto"/>
        <w:jc w:val="both"/>
        <w:rPr>
          <w:sz w:val="24"/>
          <w:szCs w:val="24"/>
          <w:lang w:val="en-US"/>
        </w:rPr>
      </w:pPr>
      <w:r w:rsidRPr="00417AE6">
        <w:rPr>
          <w:sz w:val="24"/>
          <w:szCs w:val="24"/>
        </w:rPr>
        <w:t>In some way or another, the three main parts of the UK system are all linked or overlap</w:t>
      </w:r>
      <w:r w:rsidR="00417AE6" w:rsidRPr="00417AE6">
        <w:rPr>
          <w:sz w:val="24"/>
          <w:szCs w:val="24"/>
        </w:rPr>
        <w:t>ped</w:t>
      </w:r>
      <w:r w:rsidRPr="00417AE6">
        <w:rPr>
          <w:sz w:val="24"/>
          <w:szCs w:val="24"/>
        </w:rPr>
        <w:t xml:space="preserve">. This is done to protect the rule of law, make sure that the system works right, and limit the power of a single person. This gives the person the impression that they can do everything </w:t>
      </w:r>
      <w:r w:rsidR="00417AE6" w:rsidRPr="00417AE6">
        <w:rPr>
          <w:sz w:val="24"/>
          <w:szCs w:val="24"/>
        </w:rPr>
        <w:t>independently</w:t>
      </w:r>
      <w:r w:rsidRPr="00417AE6">
        <w:rPr>
          <w:sz w:val="24"/>
          <w:szCs w:val="24"/>
        </w:rPr>
        <w:t xml:space="preserve">, but they still have to answer for their decisions on a </w:t>
      </w:r>
      <w:r w:rsidR="00417AE6" w:rsidRPr="00417AE6">
        <w:rPr>
          <w:sz w:val="24"/>
          <w:szCs w:val="24"/>
        </w:rPr>
        <w:t>particular</w:t>
      </w:r>
      <w:r w:rsidRPr="00417AE6">
        <w:rPr>
          <w:sz w:val="24"/>
          <w:szCs w:val="24"/>
        </w:rPr>
        <w:t xml:space="preserve"> issue.</w:t>
      </w:r>
      <w:r w:rsidRPr="00417AE6">
        <w:rPr>
          <w:sz w:val="24"/>
          <w:szCs w:val="24"/>
          <w:lang w:val="en-US"/>
        </w:rPr>
        <w:t xml:space="preserve"> Due to the reconfirmation</w:t>
      </w:r>
      <w:r w:rsidR="00417AE6" w:rsidRPr="00417AE6">
        <w:rPr>
          <w:sz w:val="24"/>
          <w:szCs w:val="24"/>
          <w:lang w:val="en-US"/>
        </w:rPr>
        <w:t>, there is a specific check</w:t>
      </w:r>
      <w:r w:rsidRPr="00417AE6">
        <w:rPr>
          <w:sz w:val="24"/>
          <w:szCs w:val="24"/>
          <w:lang w:val="en-US"/>
        </w:rPr>
        <w:t xml:space="preserve"> set to keep the check and balance in the system to av</w:t>
      </w:r>
      <w:r w:rsidR="00417AE6" w:rsidRPr="00417AE6">
        <w:rPr>
          <w:sz w:val="24"/>
          <w:szCs w:val="24"/>
          <w:lang w:val="en-US"/>
        </w:rPr>
        <w:t>oi</w:t>
      </w:r>
      <w:r w:rsidRPr="00417AE6">
        <w:rPr>
          <w:sz w:val="24"/>
          <w:szCs w:val="24"/>
          <w:lang w:val="en-US"/>
        </w:rPr>
        <w:t>d any inconv</w:t>
      </w:r>
      <w:r w:rsidR="00417AE6" w:rsidRPr="00417AE6">
        <w:rPr>
          <w:sz w:val="24"/>
          <w:szCs w:val="24"/>
          <w:lang w:val="en-US"/>
        </w:rPr>
        <w:t>en</w:t>
      </w:r>
      <w:r w:rsidRPr="00417AE6">
        <w:rPr>
          <w:sz w:val="24"/>
          <w:szCs w:val="24"/>
          <w:lang w:val="en-US"/>
        </w:rPr>
        <w:t xml:space="preserve">ience in </w:t>
      </w:r>
      <w:r w:rsidR="00417AE6" w:rsidRPr="00417AE6">
        <w:rPr>
          <w:sz w:val="24"/>
          <w:szCs w:val="24"/>
          <w:lang w:val="en-US"/>
        </w:rPr>
        <w:t>the workflow</w:t>
      </w:r>
      <w:r w:rsidRPr="00417AE6">
        <w:rPr>
          <w:sz w:val="24"/>
          <w:szCs w:val="24"/>
          <w:lang w:val="en-US"/>
        </w:rPr>
        <w:t>.</w:t>
      </w:r>
    </w:p>
    <w:bookmarkStart w:id="11" w:name="_Toc105496912" w:displacedByCustomXml="next"/>
    <w:sdt>
      <w:sdtPr>
        <w:rPr>
          <w:b/>
          <w:bCs/>
          <w:color w:val="auto"/>
        </w:rPr>
        <w:id w:val="-762756455"/>
        <w:docPartObj>
          <w:docPartGallery w:val="Bibliographies"/>
          <w:docPartUnique/>
        </w:docPartObj>
      </w:sdtPr>
      <w:sdtEndPr>
        <w:rPr>
          <w:b w:val="0"/>
          <w:bCs w:val="0"/>
          <w:sz w:val="24"/>
          <w:szCs w:val="24"/>
        </w:rPr>
      </w:sdtEndPr>
      <w:sdtContent>
        <w:p w14:paraId="3241CCCA" w14:textId="131D6200" w:rsidR="00417AE6" w:rsidRPr="00417AE6" w:rsidRDefault="00417AE6" w:rsidP="00417AE6">
          <w:pPr>
            <w:pStyle w:val="Heading1"/>
            <w:spacing w:before="240" w:after="240" w:line="360" w:lineRule="auto"/>
            <w:jc w:val="both"/>
            <w:rPr>
              <w:b/>
              <w:bCs/>
              <w:color w:val="auto"/>
            </w:rPr>
          </w:pPr>
          <w:r w:rsidRPr="00417AE6">
            <w:rPr>
              <w:b/>
              <w:bCs/>
              <w:color w:val="auto"/>
            </w:rPr>
            <w:t>References</w:t>
          </w:r>
          <w:bookmarkEnd w:id="11"/>
        </w:p>
        <w:sdt>
          <w:sdtPr>
            <w:rPr>
              <w:sz w:val="24"/>
              <w:szCs w:val="24"/>
            </w:rPr>
            <w:id w:val="-573587230"/>
            <w:bibliography/>
          </w:sdtPr>
          <w:sdtContent>
            <w:p w14:paraId="18CBB691" w14:textId="77777777" w:rsidR="00417AE6" w:rsidRPr="00417AE6" w:rsidRDefault="00417AE6" w:rsidP="00417AE6">
              <w:pPr>
                <w:pStyle w:val="Bibliography"/>
                <w:spacing w:before="240" w:line="360" w:lineRule="auto"/>
                <w:jc w:val="both"/>
                <w:rPr>
                  <w:noProof/>
                  <w:sz w:val="24"/>
                  <w:szCs w:val="24"/>
                </w:rPr>
              </w:pPr>
              <w:r w:rsidRPr="00417AE6">
                <w:rPr>
                  <w:sz w:val="24"/>
                  <w:szCs w:val="24"/>
                </w:rPr>
                <w:fldChar w:fldCharType="begin"/>
              </w:r>
              <w:r w:rsidRPr="00417AE6">
                <w:rPr>
                  <w:sz w:val="24"/>
                  <w:szCs w:val="24"/>
                </w:rPr>
                <w:instrText xml:space="preserve"> BIBLIOGRAPHY </w:instrText>
              </w:r>
              <w:r w:rsidRPr="00417AE6">
                <w:rPr>
                  <w:sz w:val="24"/>
                  <w:szCs w:val="24"/>
                </w:rPr>
                <w:fldChar w:fldCharType="separate"/>
              </w:r>
              <w:r w:rsidRPr="00417AE6">
                <w:rPr>
                  <w:noProof/>
                  <w:sz w:val="24"/>
                  <w:szCs w:val="24"/>
                </w:rPr>
                <w:t xml:space="preserve">Bezzina, C., 2020. A comparative analysis of the concept of redundancy in employment and kindred consequences between Maltese law and UK law. BS thesis.. </w:t>
              </w:r>
              <w:r w:rsidRPr="00417AE6">
                <w:rPr>
                  <w:i/>
                  <w:iCs/>
                  <w:noProof/>
                  <w:sz w:val="24"/>
                  <w:szCs w:val="24"/>
                </w:rPr>
                <w:t>University of Malta.</w:t>
              </w:r>
            </w:p>
            <w:p w14:paraId="5A278D59" w14:textId="77777777" w:rsidR="00417AE6" w:rsidRPr="00417AE6" w:rsidRDefault="00417AE6" w:rsidP="00417AE6">
              <w:pPr>
                <w:pStyle w:val="Bibliography"/>
                <w:spacing w:before="240" w:line="360" w:lineRule="auto"/>
                <w:jc w:val="both"/>
                <w:rPr>
                  <w:noProof/>
                  <w:sz w:val="24"/>
                  <w:szCs w:val="24"/>
                </w:rPr>
              </w:pPr>
              <w:r w:rsidRPr="00417AE6">
                <w:rPr>
                  <w:noProof/>
                  <w:sz w:val="24"/>
                  <w:szCs w:val="24"/>
                </w:rPr>
                <w:t>Caielli, M., 2018. "Why do women in the judiciary matter? The struggle for gender diversity in European courts.". pp. 157-172.</w:t>
              </w:r>
            </w:p>
            <w:p w14:paraId="3A6683C5" w14:textId="77777777" w:rsidR="00417AE6" w:rsidRPr="00417AE6" w:rsidRDefault="00417AE6" w:rsidP="00417AE6">
              <w:pPr>
                <w:pStyle w:val="Bibliography"/>
                <w:spacing w:before="240" w:line="360" w:lineRule="auto"/>
                <w:jc w:val="both"/>
                <w:rPr>
                  <w:noProof/>
                  <w:sz w:val="24"/>
                  <w:szCs w:val="24"/>
                </w:rPr>
              </w:pPr>
              <w:r w:rsidRPr="00417AE6">
                <w:rPr>
                  <w:noProof/>
                  <w:sz w:val="24"/>
                  <w:szCs w:val="24"/>
                </w:rPr>
                <w:t xml:space="preserve">Cummins, S. e. a., 2020. "COVID-19: impact on the urban food retail system and dietary inequalities in the UK.". </w:t>
              </w:r>
              <w:r w:rsidRPr="00417AE6">
                <w:rPr>
                  <w:i/>
                  <w:iCs/>
                  <w:noProof/>
                  <w:sz w:val="24"/>
                  <w:szCs w:val="24"/>
                </w:rPr>
                <w:t xml:space="preserve">Cities &amp; health, </w:t>
              </w:r>
              <w:r w:rsidRPr="00417AE6">
                <w:rPr>
                  <w:noProof/>
                  <w:sz w:val="24"/>
                  <w:szCs w:val="24"/>
                </w:rPr>
                <w:t>pp. 1-4.</w:t>
              </w:r>
            </w:p>
            <w:p w14:paraId="09DA00C0" w14:textId="77777777" w:rsidR="00417AE6" w:rsidRPr="00417AE6" w:rsidRDefault="00417AE6" w:rsidP="00417AE6">
              <w:pPr>
                <w:pStyle w:val="Bibliography"/>
                <w:spacing w:before="240" w:line="360" w:lineRule="auto"/>
                <w:jc w:val="both"/>
                <w:rPr>
                  <w:noProof/>
                  <w:sz w:val="24"/>
                  <w:szCs w:val="24"/>
                </w:rPr>
              </w:pPr>
              <w:r w:rsidRPr="00417AE6">
                <w:rPr>
                  <w:noProof/>
                  <w:sz w:val="24"/>
                  <w:szCs w:val="24"/>
                </w:rPr>
                <w:lastRenderedPageBreak/>
                <w:t xml:space="preserve">Levin, A. a. A. A., 2019. "Shouldn’t the bench be a mirror? The diversity of the Canadian judiciary.". </w:t>
              </w:r>
              <w:r w:rsidRPr="00417AE6">
                <w:rPr>
                  <w:i/>
                  <w:iCs/>
                  <w:noProof/>
                  <w:sz w:val="24"/>
                  <w:szCs w:val="24"/>
                </w:rPr>
                <w:t xml:space="preserve">International Journal of the Legal Profession, </w:t>
              </w:r>
              <w:r w:rsidRPr="00417AE6">
                <w:rPr>
                  <w:noProof/>
                  <w:sz w:val="24"/>
                  <w:szCs w:val="24"/>
                </w:rPr>
                <w:t>26(1), pp. 69-88.</w:t>
              </w:r>
            </w:p>
            <w:p w14:paraId="0B5B739C" w14:textId="77777777" w:rsidR="00417AE6" w:rsidRPr="00417AE6" w:rsidRDefault="00417AE6" w:rsidP="00417AE6">
              <w:pPr>
                <w:pStyle w:val="Bibliography"/>
                <w:spacing w:before="240" w:line="360" w:lineRule="auto"/>
                <w:jc w:val="both"/>
                <w:rPr>
                  <w:noProof/>
                  <w:sz w:val="24"/>
                  <w:szCs w:val="24"/>
                </w:rPr>
              </w:pPr>
              <w:r w:rsidRPr="00417AE6">
                <w:rPr>
                  <w:noProof/>
                  <w:sz w:val="24"/>
                  <w:szCs w:val="24"/>
                </w:rPr>
                <w:t xml:space="preserve">Levy, M. L. e. a., 2019. "Paediatric asthma care in the UK: fragmented and fatally fallible.". </w:t>
              </w:r>
              <w:r w:rsidRPr="00417AE6">
                <w:rPr>
                  <w:i/>
                  <w:iCs/>
                  <w:noProof/>
                  <w:sz w:val="24"/>
                  <w:szCs w:val="24"/>
                </w:rPr>
                <w:t xml:space="preserve">British Journal of General Practice, </w:t>
              </w:r>
              <w:r w:rsidRPr="00417AE6">
                <w:rPr>
                  <w:noProof/>
                  <w:sz w:val="24"/>
                  <w:szCs w:val="24"/>
                </w:rPr>
                <w:t>69(685), pp. 405-406.</w:t>
              </w:r>
            </w:p>
            <w:p w14:paraId="4E6EE171" w14:textId="77777777" w:rsidR="00417AE6" w:rsidRPr="00417AE6" w:rsidRDefault="00417AE6" w:rsidP="00417AE6">
              <w:pPr>
                <w:pStyle w:val="Bibliography"/>
                <w:spacing w:before="240" w:line="360" w:lineRule="auto"/>
                <w:jc w:val="both"/>
                <w:rPr>
                  <w:noProof/>
                  <w:sz w:val="24"/>
                  <w:szCs w:val="24"/>
                </w:rPr>
              </w:pPr>
              <w:r w:rsidRPr="00417AE6">
                <w:rPr>
                  <w:noProof/>
                  <w:sz w:val="24"/>
                  <w:szCs w:val="24"/>
                </w:rPr>
                <w:t xml:space="preserve">Levy, N. L. J. L. a. D. N. L. b. 3. (., 2021. "UK recommendations on opioid stewardship.". </w:t>
              </w:r>
              <w:r w:rsidRPr="00417AE6">
                <w:rPr>
                  <w:i/>
                  <w:iCs/>
                  <w:noProof/>
                  <w:sz w:val="24"/>
                  <w:szCs w:val="24"/>
                </w:rPr>
                <w:t xml:space="preserve">BMJ, </w:t>
              </w:r>
              <w:r w:rsidRPr="00417AE6">
                <w:rPr>
                  <w:noProof/>
                  <w:sz w:val="24"/>
                  <w:szCs w:val="24"/>
                </w:rPr>
                <w:t>Volume 372.</w:t>
              </w:r>
            </w:p>
            <w:p w14:paraId="0ECB879E" w14:textId="77777777" w:rsidR="00417AE6" w:rsidRPr="00417AE6" w:rsidRDefault="00417AE6" w:rsidP="00417AE6">
              <w:pPr>
                <w:pStyle w:val="Bibliography"/>
                <w:spacing w:before="240" w:line="360" w:lineRule="auto"/>
                <w:jc w:val="both"/>
                <w:rPr>
                  <w:noProof/>
                  <w:sz w:val="24"/>
                  <w:szCs w:val="24"/>
                </w:rPr>
              </w:pPr>
              <w:r w:rsidRPr="00417AE6">
                <w:rPr>
                  <w:noProof/>
                  <w:sz w:val="24"/>
                  <w:szCs w:val="24"/>
                </w:rPr>
                <w:t xml:space="preserve">Mack, K. S. R. A. a. J. T., 2018. "The judiciary and the public: Judicial perceptions.". </w:t>
              </w:r>
              <w:r w:rsidRPr="00417AE6">
                <w:rPr>
                  <w:i/>
                  <w:iCs/>
                  <w:noProof/>
                  <w:sz w:val="24"/>
                  <w:szCs w:val="24"/>
                </w:rPr>
                <w:t xml:space="preserve">Adelaide Law Review, </w:t>
              </w:r>
              <w:r w:rsidRPr="00417AE6">
                <w:rPr>
                  <w:noProof/>
                  <w:sz w:val="24"/>
                  <w:szCs w:val="24"/>
                </w:rPr>
                <w:t>39(1), pp. 1-35.</w:t>
              </w:r>
            </w:p>
            <w:p w14:paraId="311E6A87" w14:textId="77777777" w:rsidR="00417AE6" w:rsidRPr="00417AE6" w:rsidRDefault="00417AE6" w:rsidP="00417AE6">
              <w:pPr>
                <w:pStyle w:val="Bibliography"/>
                <w:spacing w:before="240" w:line="360" w:lineRule="auto"/>
                <w:jc w:val="both"/>
                <w:rPr>
                  <w:noProof/>
                  <w:sz w:val="24"/>
                  <w:szCs w:val="24"/>
                </w:rPr>
              </w:pPr>
              <w:r w:rsidRPr="00417AE6">
                <w:rPr>
                  <w:noProof/>
                  <w:sz w:val="24"/>
                  <w:szCs w:val="24"/>
                </w:rPr>
                <w:t xml:space="preserve">Nissan, E., 2018. "Computer tools and techniques for lawyers and the judiciary.". </w:t>
              </w:r>
              <w:r w:rsidRPr="00417AE6">
                <w:rPr>
                  <w:i/>
                  <w:iCs/>
                  <w:noProof/>
                  <w:sz w:val="24"/>
                  <w:szCs w:val="24"/>
                </w:rPr>
                <w:t xml:space="preserve">Cybernetics and Systems, </w:t>
              </w:r>
              <w:r w:rsidRPr="00417AE6">
                <w:rPr>
                  <w:noProof/>
                  <w:sz w:val="24"/>
                  <w:szCs w:val="24"/>
                </w:rPr>
                <w:t>49(4), pp. 201-233.</w:t>
              </w:r>
            </w:p>
            <w:p w14:paraId="76E9845F" w14:textId="77777777" w:rsidR="00417AE6" w:rsidRPr="00417AE6" w:rsidRDefault="00417AE6" w:rsidP="00417AE6">
              <w:pPr>
                <w:pStyle w:val="Bibliography"/>
                <w:spacing w:before="240" w:line="360" w:lineRule="auto"/>
                <w:jc w:val="both"/>
                <w:rPr>
                  <w:noProof/>
                  <w:sz w:val="24"/>
                  <w:szCs w:val="24"/>
                </w:rPr>
              </w:pPr>
              <w:r w:rsidRPr="00417AE6">
                <w:rPr>
                  <w:noProof/>
                  <w:sz w:val="24"/>
                  <w:szCs w:val="24"/>
                </w:rPr>
                <w:t xml:space="preserve">Norton, P., 2018. "The judiciary.". </w:t>
              </w:r>
              <w:r w:rsidRPr="00417AE6">
                <w:rPr>
                  <w:i/>
                  <w:iCs/>
                  <w:noProof/>
                  <w:sz w:val="24"/>
                  <w:szCs w:val="24"/>
                </w:rPr>
                <w:t xml:space="preserve">Politics UK. Routledge, </w:t>
              </w:r>
              <w:r w:rsidRPr="00417AE6">
                <w:rPr>
                  <w:noProof/>
                  <w:sz w:val="24"/>
                  <w:szCs w:val="24"/>
                </w:rPr>
                <w:t>pp. 512-535.</w:t>
              </w:r>
            </w:p>
            <w:p w14:paraId="77882DB7" w14:textId="77777777" w:rsidR="00417AE6" w:rsidRPr="00417AE6" w:rsidRDefault="00417AE6" w:rsidP="00417AE6">
              <w:pPr>
                <w:pStyle w:val="Bibliography"/>
                <w:spacing w:before="240" w:line="360" w:lineRule="auto"/>
                <w:jc w:val="both"/>
                <w:rPr>
                  <w:noProof/>
                  <w:sz w:val="24"/>
                  <w:szCs w:val="24"/>
                </w:rPr>
              </w:pPr>
              <w:r w:rsidRPr="00417AE6">
                <w:rPr>
                  <w:noProof/>
                  <w:sz w:val="24"/>
                  <w:szCs w:val="24"/>
                </w:rPr>
                <w:t xml:space="preserve">Sela, A., 2018. "Can Computers Be Fair: How Automated and Human-Powered Online Dispute Resolution Affect Procedural Justice in Mediation and Arbitration.". </w:t>
              </w:r>
              <w:r w:rsidRPr="00417AE6">
                <w:rPr>
                  <w:i/>
                  <w:iCs/>
                  <w:noProof/>
                  <w:sz w:val="24"/>
                  <w:szCs w:val="24"/>
                </w:rPr>
                <w:t xml:space="preserve">Ohio St. J. on Disp. Resol, </w:t>
              </w:r>
              <w:r w:rsidRPr="00417AE6">
                <w:rPr>
                  <w:noProof/>
                  <w:sz w:val="24"/>
                  <w:szCs w:val="24"/>
                </w:rPr>
                <w:t>33(1), p. 91.</w:t>
              </w:r>
            </w:p>
            <w:p w14:paraId="3E4EB367" w14:textId="77777777" w:rsidR="00417AE6" w:rsidRPr="00417AE6" w:rsidRDefault="00417AE6" w:rsidP="00417AE6">
              <w:pPr>
                <w:pStyle w:val="Bibliography"/>
                <w:spacing w:before="240" w:line="360" w:lineRule="auto"/>
                <w:jc w:val="both"/>
                <w:rPr>
                  <w:noProof/>
                  <w:sz w:val="24"/>
                  <w:szCs w:val="24"/>
                </w:rPr>
              </w:pPr>
              <w:r w:rsidRPr="00417AE6">
                <w:rPr>
                  <w:noProof/>
                  <w:sz w:val="24"/>
                  <w:szCs w:val="24"/>
                </w:rPr>
                <w:t xml:space="preserve">Tyrrell, H., 2018. Human Rights in the UK and the Influence of Foreign Jurisprudence.. </w:t>
              </w:r>
              <w:r w:rsidRPr="00417AE6">
                <w:rPr>
                  <w:i/>
                  <w:iCs/>
                  <w:noProof/>
                  <w:sz w:val="24"/>
                  <w:szCs w:val="24"/>
                </w:rPr>
                <w:t>Bloomsbury Publishing.</w:t>
              </w:r>
            </w:p>
            <w:p w14:paraId="6C453BE0" w14:textId="77777777" w:rsidR="00417AE6" w:rsidRPr="00417AE6" w:rsidRDefault="00417AE6" w:rsidP="00417AE6">
              <w:pPr>
                <w:pStyle w:val="Bibliography"/>
                <w:spacing w:before="240" w:line="360" w:lineRule="auto"/>
                <w:jc w:val="both"/>
                <w:rPr>
                  <w:noProof/>
                  <w:sz w:val="24"/>
                  <w:szCs w:val="24"/>
                </w:rPr>
              </w:pPr>
              <w:r w:rsidRPr="00417AE6">
                <w:rPr>
                  <w:noProof/>
                  <w:sz w:val="24"/>
                  <w:szCs w:val="24"/>
                </w:rPr>
                <w:t xml:space="preserve">Woodcock, T. e. a. ". f. t. m. o. g. d. t. p. p. f. p. w. a. i. G. f. t. A. o. A. t. R. C. o. P. a. t. S. f. E., 2020. Guidelines for the management of glucocorticoids during the peri‐operative period for patients with adrenal insufficiency: Guidelines from the Association of Anaesthetists, the Royal College of Physicians and the Society for Endocrin. </w:t>
              </w:r>
              <w:r w:rsidRPr="00417AE6">
                <w:rPr>
                  <w:i/>
                  <w:iCs/>
                  <w:noProof/>
                  <w:sz w:val="24"/>
                  <w:szCs w:val="24"/>
                </w:rPr>
                <w:t xml:space="preserve">Anaesthesia, </w:t>
              </w:r>
              <w:r w:rsidRPr="00417AE6">
                <w:rPr>
                  <w:noProof/>
                  <w:sz w:val="24"/>
                  <w:szCs w:val="24"/>
                </w:rPr>
                <w:t>75(5), pp. 654-663.</w:t>
              </w:r>
            </w:p>
            <w:p w14:paraId="215A31C8" w14:textId="5791E57A" w:rsidR="00417AE6" w:rsidRPr="00417AE6" w:rsidRDefault="00417AE6" w:rsidP="00417AE6">
              <w:pPr>
                <w:spacing w:before="240" w:line="360" w:lineRule="auto"/>
                <w:jc w:val="both"/>
                <w:rPr>
                  <w:sz w:val="24"/>
                  <w:szCs w:val="24"/>
                </w:rPr>
              </w:pPr>
              <w:r w:rsidRPr="00417AE6">
                <w:rPr>
                  <w:b/>
                  <w:bCs/>
                  <w:noProof/>
                  <w:sz w:val="24"/>
                  <w:szCs w:val="24"/>
                </w:rPr>
                <w:fldChar w:fldCharType="end"/>
              </w:r>
            </w:p>
          </w:sdtContent>
        </w:sdt>
      </w:sdtContent>
    </w:sdt>
    <w:p w14:paraId="3B6DC707" w14:textId="77777777" w:rsidR="00417AE6" w:rsidRPr="00417AE6" w:rsidRDefault="00417AE6" w:rsidP="00417AE6">
      <w:pPr>
        <w:spacing w:before="240" w:line="360" w:lineRule="auto"/>
        <w:jc w:val="both"/>
        <w:rPr>
          <w:sz w:val="24"/>
          <w:szCs w:val="24"/>
          <w:lang w:val="en-US"/>
        </w:rPr>
      </w:pPr>
    </w:p>
    <w:sectPr w:rsidR="00417AE6" w:rsidRPr="00417AE6" w:rsidSect="00417AE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61544" w14:textId="77777777" w:rsidR="009D013E" w:rsidRDefault="009D013E" w:rsidP="00417AE6">
      <w:r>
        <w:separator/>
      </w:r>
    </w:p>
  </w:endnote>
  <w:endnote w:type="continuationSeparator" w:id="0">
    <w:p w14:paraId="02ADF4E0" w14:textId="77777777" w:rsidR="009D013E" w:rsidRDefault="009D013E" w:rsidP="00417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92708"/>
      <w:docPartObj>
        <w:docPartGallery w:val="Page Numbers (Bottom of Page)"/>
        <w:docPartUnique/>
      </w:docPartObj>
    </w:sdtPr>
    <w:sdtEndPr>
      <w:rPr>
        <w:noProof/>
      </w:rPr>
    </w:sdtEndPr>
    <w:sdtContent>
      <w:p w14:paraId="6B855471" w14:textId="63744668" w:rsidR="00417AE6" w:rsidRDefault="00417A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55D97D" w14:textId="77777777" w:rsidR="00417AE6" w:rsidRDefault="00417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25CB1" w14:textId="77777777" w:rsidR="009D013E" w:rsidRDefault="009D013E" w:rsidP="00417AE6">
      <w:r>
        <w:separator/>
      </w:r>
    </w:p>
  </w:footnote>
  <w:footnote w:type="continuationSeparator" w:id="0">
    <w:p w14:paraId="0C93EE0D" w14:textId="77777777" w:rsidR="009D013E" w:rsidRDefault="009D013E" w:rsidP="00417A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764E06"/>
    <w:multiLevelType w:val="hybridMultilevel"/>
    <w:tmpl w:val="065E89FA"/>
    <w:lvl w:ilvl="0" w:tplc="AA482EEA">
      <w:start w:val="1"/>
      <w:numFmt w:val="bullet"/>
      <w:lvlText w:val="●"/>
      <w:lvlJc w:val="left"/>
      <w:pPr>
        <w:ind w:left="720" w:hanging="360"/>
      </w:pPr>
    </w:lvl>
    <w:lvl w:ilvl="1" w:tplc="4DE81BD8">
      <w:start w:val="1"/>
      <w:numFmt w:val="bullet"/>
      <w:lvlText w:val="○"/>
      <w:lvlJc w:val="left"/>
      <w:pPr>
        <w:ind w:left="1440" w:hanging="360"/>
      </w:pPr>
    </w:lvl>
    <w:lvl w:ilvl="2" w:tplc="86C8510E">
      <w:start w:val="1"/>
      <w:numFmt w:val="bullet"/>
      <w:lvlText w:val="■"/>
      <w:lvlJc w:val="left"/>
      <w:pPr>
        <w:ind w:left="2160" w:hanging="360"/>
      </w:pPr>
    </w:lvl>
    <w:lvl w:ilvl="3" w:tplc="F0CA2928">
      <w:start w:val="1"/>
      <w:numFmt w:val="bullet"/>
      <w:lvlText w:val="●"/>
      <w:lvlJc w:val="left"/>
      <w:pPr>
        <w:ind w:left="2880" w:hanging="360"/>
      </w:pPr>
    </w:lvl>
    <w:lvl w:ilvl="4" w:tplc="72909E10">
      <w:start w:val="1"/>
      <w:numFmt w:val="bullet"/>
      <w:lvlText w:val="○"/>
      <w:lvlJc w:val="left"/>
      <w:pPr>
        <w:ind w:left="3600" w:hanging="360"/>
      </w:pPr>
    </w:lvl>
    <w:lvl w:ilvl="5" w:tplc="60643716">
      <w:start w:val="1"/>
      <w:numFmt w:val="bullet"/>
      <w:lvlText w:val="■"/>
      <w:lvlJc w:val="left"/>
      <w:pPr>
        <w:ind w:left="4320" w:hanging="360"/>
      </w:pPr>
    </w:lvl>
    <w:lvl w:ilvl="6" w:tplc="CFB29CC0">
      <w:start w:val="1"/>
      <w:numFmt w:val="bullet"/>
      <w:lvlText w:val="●"/>
      <w:lvlJc w:val="left"/>
      <w:pPr>
        <w:ind w:left="5040" w:hanging="360"/>
      </w:pPr>
    </w:lvl>
    <w:lvl w:ilvl="7" w:tplc="FE5EE260">
      <w:start w:val="1"/>
      <w:numFmt w:val="bullet"/>
      <w:lvlText w:val="●"/>
      <w:lvlJc w:val="left"/>
      <w:pPr>
        <w:ind w:left="5760" w:hanging="360"/>
      </w:pPr>
    </w:lvl>
    <w:lvl w:ilvl="8" w:tplc="1D7A1D38">
      <w:start w:val="1"/>
      <w:numFmt w:val="bullet"/>
      <w:lvlText w:val="●"/>
      <w:lvlJc w:val="left"/>
      <w:pPr>
        <w:ind w:left="6480" w:hanging="360"/>
      </w:pPr>
    </w:lvl>
  </w:abstractNum>
  <w:num w:numId="1" w16cid:durableId="207673362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QwtbA0MjA2tTQ2tDBU0lEKTi0uzszPAykwrAUAc/THPiwAAAA="/>
  </w:docVars>
  <w:rsids>
    <w:rsidRoot w:val="00341222"/>
    <w:rsid w:val="00341222"/>
    <w:rsid w:val="00417AE6"/>
    <w:rsid w:val="004F1D49"/>
    <w:rsid w:val="009D013E"/>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5B6F"/>
  <w15:docId w15:val="{215093A4-CCE2-4D94-B29D-B48B2B383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PK" w:eastAsia="en-P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customStyle="1" w:styleId="Heading1Char">
    <w:name w:val="Heading 1 Char"/>
    <w:basedOn w:val="DefaultParagraphFont"/>
    <w:link w:val="Heading1"/>
    <w:uiPriority w:val="9"/>
    <w:rsid w:val="00417AE6"/>
    <w:rPr>
      <w:color w:val="2E74B5"/>
      <w:sz w:val="32"/>
      <w:szCs w:val="32"/>
    </w:rPr>
  </w:style>
  <w:style w:type="paragraph" w:styleId="Bibliography">
    <w:name w:val="Bibliography"/>
    <w:basedOn w:val="Normal"/>
    <w:next w:val="Normal"/>
    <w:uiPriority w:val="37"/>
    <w:unhideWhenUsed/>
    <w:rsid w:val="00417AE6"/>
  </w:style>
  <w:style w:type="paragraph" w:styleId="NoSpacing">
    <w:name w:val="No Spacing"/>
    <w:link w:val="NoSpacingChar"/>
    <w:uiPriority w:val="1"/>
    <w:qFormat/>
    <w:rsid w:val="00417AE6"/>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417AE6"/>
    <w:rPr>
      <w:rFonts w:asciiTheme="minorHAnsi" w:eastAsiaTheme="minorEastAsia" w:hAnsiTheme="minorHAnsi" w:cstheme="minorBidi"/>
      <w:sz w:val="22"/>
      <w:szCs w:val="22"/>
      <w:lang w:val="en-US" w:eastAsia="en-US"/>
    </w:rPr>
  </w:style>
  <w:style w:type="paragraph" w:styleId="TOCHeading">
    <w:name w:val="TOC Heading"/>
    <w:basedOn w:val="Heading1"/>
    <w:next w:val="Normal"/>
    <w:uiPriority w:val="39"/>
    <w:unhideWhenUsed/>
    <w:qFormat/>
    <w:rsid w:val="00417AE6"/>
    <w:pPr>
      <w:keepNext/>
      <w:keepLines/>
      <w:spacing w:before="240" w:line="259" w:lineRule="auto"/>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417AE6"/>
    <w:pPr>
      <w:spacing w:after="100"/>
    </w:pPr>
  </w:style>
  <w:style w:type="paragraph" w:styleId="TOC2">
    <w:name w:val="toc 2"/>
    <w:basedOn w:val="Normal"/>
    <w:next w:val="Normal"/>
    <w:autoRedefine/>
    <w:uiPriority w:val="39"/>
    <w:unhideWhenUsed/>
    <w:rsid w:val="00417AE6"/>
    <w:pPr>
      <w:spacing w:after="100"/>
      <w:ind w:left="200"/>
    </w:pPr>
  </w:style>
  <w:style w:type="paragraph" w:styleId="TOC3">
    <w:name w:val="toc 3"/>
    <w:basedOn w:val="Normal"/>
    <w:next w:val="Normal"/>
    <w:autoRedefine/>
    <w:uiPriority w:val="39"/>
    <w:unhideWhenUsed/>
    <w:rsid w:val="00417AE6"/>
    <w:pPr>
      <w:spacing w:after="100"/>
      <w:ind w:left="400"/>
    </w:pPr>
  </w:style>
  <w:style w:type="paragraph" w:styleId="Header">
    <w:name w:val="header"/>
    <w:basedOn w:val="Normal"/>
    <w:link w:val="HeaderChar"/>
    <w:uiPriority w:val="99"/>
    <w:unhideWhenUsed/>
    <w:rsid w:val="00417AE6"/>
    <w:pPr>
      <w:tabs>
        <w:tab w:val="center" w:pos="4513"/>
        <w:tab w:val="right" w:pos="9026"/>
      </w:tabs>
    </w:pPr>
  </w:style>
  <w:style w:type="character" w:customStyle="1" w:styleId="HeaderChar">
    <w:name w:val="Header Char"/>
    <w:basedOn w:val="DefaultParagraphFont"/>
    <w:link w:val="Header"/>
    <w:uiPriority w:val="99"/>
    <w:rsid w:val="00417AE6"/>
  </w:style>
  <w:style w:type="paragraph" w:styleId="Footer">
    <w:name w:val="footer"/>
    <w:basedOn w:val="Normal"/>
    <w:link w:val="FooterChar"/>
    <w:uiPriority w:val="99"/>
    <w:unhideWhenUsed/>
    <w:rsid w:val="00417AE6"/>
    <w:pPr>
      <w:tabs>
        <w:tab w:val="center" w:pos="4513"/>
        <w:tab w:val="right" w:pos="9026"/>
      </w:tabs>
    </w:pPr>
  </w:style>
  <w:style w:type="character" w:customStyle="1" w:styleId="FooterChar">
    <w:name w:val="Footer Char"/>
    <w:basedOn w:val="DefaultParagraphFont"/>
    <w:link w:val="Footer"/>
    <w:uiPriority w:val="99"/>
    <w:rsid w:val="00417A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070930">
      <w:bodyDiv w:val="1"/>
      <w:marLeft w:val="0"/>
      <w:marRight w:val="0"/>
      <w:marTop w:val="0"/>
      <w:marBottom w:val="0"/>
      <w:divBdr>
        <w:top w:val="none" w:sz="0" w:space="0" w:color="auto"/>
        <w:left w:val="none" w:sz="0" w:space="0" w:color="auto"/>
        <w:bottom w:val="none" w:sz="0" w:space="0" w:color="auto"/>
        <w:right w:val="none" w:sz="0" w:space="0" w:color="auto"/>
      </w:divBdr>
    </w:div>
    <w:div w:id="295838111">
      <w:bodyDiv w:val="1"/>
      <w:marLeft w:val="0"/>
      <w:marRight w:val="0"/>
      <w:marTop w:val="0"/>
      <w:marBottom w:val="0"/>
      <w:divBdr>
        <w:top w:val="none" w:sz="0" w:space="0" w:color="auto"/>
        <w:left w:val="none" w:sz="0" w:space="0" w:color="auto"/>
        <w:bottom w:val="none" w:sz="0" w:space="0" w:color="auto"/>
        <w:right w:val="none" w:sz="0" w:space="0" w:color="auto"/>
      </w:divBdr>
    </w:div>
    <w:div w:id="472910809">
      <w:bodyDiv w:val="1"/>
      <w:marLeft w:val="0"/>
      <w:marRight w:val="0"/>
      <w:marTop w:val="0"/>
      <w:marBottom w:val="0"/>
      <w:divBdr>
        <w:top w:val="none" w:sz="0" w:space="0" w:color="auto"/>
        <w:left w:val="none" w:sz="0" w:space="0" w:color="auto"/>
        <w:bottom w:val="none" w:sz="0" w:space="0" w:color="auto"/>
        <w:right w:val="none" w:sz="0" w:space="0" w:color="auto"/>
      </w:divBdr>
    </w:div>
    <w:div w:id="758988543">
      <w:bodyDiv w:val="1"/>
      <w:marLeft w:val="0"/>
      <w:marRight w:val="0"/>
      <w:marTop w:val="0"/>
      <w:marBottom w:val="0"/>
      <w:divBdr>
        <w:top w:val="none" w:sz="0" w:space="0" w:color="auto"/>
        <w:left w:val="none" w:sz="0" w:space="0" w:color="auto"/>
        <w:bottom w:val="none" w:sz="0" w:space="0" w:color="auto"/>
        <w:right w:val="none" w:sz="0" w:space="0" w:color="auto"/>
      </w:divBdr>
    </w:div>
    <w:div w:id="884100419">
      <w:bodyDiv w:val="1"/>
      <w:marLeft w:val="0"/>
      <w:marRight w:val="0"/>
      <w:marTop w:val="0"/>
      <w:marBottom w:val="0"/>
      <w:divBdr>
        <w:top w:val="none" w:sz="0" w:space="0" w:color="auto"/>
        <w:left w:val="none" w:sz="0" w:space="0" w:color="auto"/>
        <w:bottom w:val="none" w:sz="0" w:space="0" w:color="auto"/>
        <w:right w:val="none" w:sz="0" w:space="0" w:color="auto"/>
      </w:divBdr>
    </w:div>
    <w:div w:id="1152061812">
      <w:bodyDiv w:val="1"/>
      <w:marLeft w:val="0"/>
      <w:marRight w:val="0"/>
      <w:marTop w:val="0"/>
      <w:marBottom w:val="0"/>
      <w:divBdr>
        <w:top w:val="none" w:sz="0" w:space="0" w:color="auto"/>
        <w:left w:val="none" w:sz="0" w:space="0" w:color="auto"/>
        <w:bottom w:val="none" w:sz="0" w:space="0" w:color="auto"/>
        <w:right w:val="none" w:sz="0" w:space="0" w:color="auto"/>
      </w:divBdr>
    </w:div>
    <w:div w:id="1173643276">
      <w:bodyDiv w:val="1"/>
      <w:marLeft w:val="0"/>
      <w:marRight w:val="0"/>
      <w:marTop w:val="0"/>
      <w:marBottom w:val="0"/>
      <w:divBdr>
        <w:top w:val="none" w:sz="0" w:space="0" w:color="auto"/>
        <w:left w:val="none" w:sz="0" w:space="0" w:color="auto"/>
        <w:bottom w:val="none" w:sz="0" w:space="0" w:color="auto"/>
        <w:right w:val="none" w:sz="0" w:space="0" w:color="auto"/>
      </w:divBdr>
    </w:div>
    <w:div w:id="1206059627">
      <w:bodyDiv w:val="1"/>
      <w:marLeft w:val="0"/>
      <w:marRight w:val="0"/>
      <w:marTop w:val="0"/>
      <w:marBottom w:val="0"/>
      <w:divBdr>
        <w:top w:val="none" w:sz="0" w:space="0" w:color="auto"/>
        <w:left w:val="none" w:sz="0" w:space="0" w:color="auto"/>
        <w:bottom w:val="none" w:sz="0" w:space="0" w:color="auto"/>
        <w:right w:val="none" w:sz="0" w:space="0" w:color="auto"/>
      </w:divBdr>
    </w:div>
    <w:div w:id="1368069669">
      <w:bodyDiv w:val="1"/>
      <w:marLeft w:val="0"/>
      <w:marRight w:val="0"/>
      <w:marTop w:val="0"/>
      <w:marBottom w:val="0"/>
      <w:divBdr>
        <w:top w:val="none" w:sz="0" w:space="0" w:color="auto"/>
        <w:left w:val="none" w:sz="0" w:space="0" w:color="auto"/>
        <w:bottom w:val="none" w:sz="0" w:space="0" w:color="auto"/>
        <w:right w:val="none" w:sz="0" w:space="0" w:color="auto"/>
      </w:divBdr>
    </w:div>
    <w:div w:id="1470054729">
      <w:bodyDiv w:val="1"/>
      <w:marLeft w:val="0"/>
      <w:marRight w:val="0"/>
      <w:marTop w:val="0"/>
      <w:marBottom w:val="0"/>
      <w:divBdr>
        <w:top w:val="none" w:sz="0" w:space="0" w:color="auto"/>
        <w:left w:val="none" w:sz="0" w:space="0" w:color="auto"/>
        <w:bottom w:val="none" w:sz="0" w:space="0" w:color="auto"/>
        <w:right w:val="none" w:sz="0" w:space="0" w:color="auto"/>
      </w:divBdr>
    </w:div>
    <w:div w:id="1726835912">
      <w:bodyDiv w:val="1"/>
      <w:marLeft w:val="0"/>
      <w:marRight w:val="0"/>
      <w:marTop w:val="0"/>
      <w:marBottom w:val="0"/>
      <w:divBdr>
        <w:top w:val="none" w:sz="0" w:space="0" w:color="auto"/>
        <w:left w:val="none" w:sz="0" w:space="0" w:color="auto"/>
        <w:bottom w:val="none" w:sz="0" w:space="0" w:color="auto"/>
        <w:right w:val="none" w:sz="0" w:space="0" w:color="auto"/>
      </w:divBdr>
    </w:div>
    <w:div w:id="1759519996">
      <w:bodyDiv w:val="1"/>
      <w:marLeft w:val="0"/>
      <w:marRight w:val="0"/>
      <w:marTop w:val="0"/>
      <w:marBottom w:val="0"/>
      <w:divBdr>
        <w:top w:val="none" w:sz="0" w:space="0" w:color="auto"/>
        <w:left w:val="none" w:sz="0" w:space="0" w:color="auto"/>
        <w:bottom w:val="none" w:sz="0" w:space="0" w:color="auto"/>
        <w:right w:val="none" w:sz="0" w:space="0" w:color="auto"/>
      </w:divBdr>
    </w:div>
    <w:div w:id="1914048050">
      <w:bodyDiv w:val="1"/>
      <w:marLeft w:val="0"/>
      <w:marRight w:val="0"/>
      <w:marTop w:val="0"/>
      <w:marBottom w:val="0"/>
      <w:divBdr>
        <w:top w:val="none" w:sz="0" w:space="0" w:color="auto"/>
        <w:left w:val="none" w:sz="0" w:space="0" w:color="auto"/>
        <w:bottom w:val="none" w:sz="0" w:space="0" w:color="auto"/>
        <w:right w:val="none" w:sz="0" w:space="0" w:color="auto"/>
      </w:divBdr>
    </w:div>
    <w:div w:id="20833364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Bez20</b:Tag>
    <b:SourceType>JournalArticle</b:SourceType>
    <b:Guid>{9D7A151E-FC0D-4400-A2C5-D14465AEFEFE}</b:Guid>
    <b:Author>
      <b:Author>
        <b:NameList>
          <b:Person>
            <b:Last>Bezzina</b:Last>
            <b:First>Chantal.</b:First>
          </b:Person>
        </b:NameList>
      </b:Author>
    </b:Author>
    <b:Title>A comparative analysis of the concept of redundancy in employment and kindred consequences between Maltese law and UK law. BS thesis. </b:Title>
    <b:JournalName>University of Malta</b:JournalName>
    <b:Year>2020</b:Year>
    <b:RefOrder>1</b:RefOrder>
  </b:Source>
  <b:Source>
    <b:Tag>Cum20</b:Tag>
    <b:SourceType>JournalArticle</b:SourceType>
    <b:Guid>{7368B6CD-08B6-4855-9B13-DC4A59C4E4CA}</b:Guid>
    <b:Author>
      <b:Author>
        <b:NameList>
          <b:Person>
            <b:Last>Cummins</b:Last>
            <b:First>Steven,</b:First>
            <b:Middle>et al.</b:Middle>
          </b:Person>
        </b:NameList>
      </b:Author>
    </b:Author>
    <b:Title>"COVID-19: impact on the urban food retail system and dietary inequalities in the UK."</b:Title>
    <b:JournalName>Cities &amp; health</b:JournalName>
    <b:Year>2020</b:Year>
    <b:Pages>1-4</b:Pages>
    <b:RefOrder>2</b:RefOrder>
  </b:Source>
  <b:Source>
    <b:Tag>Lev19</b:Tag>
    <b:SourceType>JournalArticle</b:SourceType>
    <b:Guid>{8198EF14-496A-4934-A4E9-B5ADA4B2E992}</b:Guid>
    <b:Author>
      <b:Author>
        <b:NameList>
          <b:Person>
            <b:Last>Levy</b:Last>
            <b:First>Mark</b:First>
            <b:Middle>L., et al.</b:Middle>
          </b:Person>
        </b:NameList>
      </b:Author>
    </b:Author>
    <b:Title>"Paediatric asthma care in the UK: fragmented and fatally fallible."</b:Title>
    <b:JournalName>British Journal of General Practice</b:JournalName>
    <b:Year>2019</b:Year>
    <b:Pages>405-406</b:Pages>
    <b:Volume>69</b:Volume>
    <b:Issue>685</b:Issue>
    <b:RefOrder>3</b:RefOrder>
  </b:Source>
  <b:Source>
    <b:Tag>Lev191</b:Tag>
    <b:SourceType>JournalArticle</b:SourceType>
    <b:Guid>{9620DE23-8065-42DF-B9E9-F4CEEE60A635}</b:Guid>
    <b:Author>
      <b:Author>
        <b:NameList>
          <b:Person>
            <b:Last>Levin</b:Last>
            <b:First>Avner,</b:First>
            <b:Middle>and Asher Alkoby.</b:Middle>
          </b:Person>
        </b:NameList>
      </b:Author>
    </b:Author>
    <b:Title>"Shouldn’t the bench be a mirror? The diversity of the Canadian judiciary."</b:Title>
    <b:JournalName>International Journal of the Legal Profession</b:JournalName>
    <b:Year>2019</b:Year>
    <b:Pages>69-88</b:Pages>
    <b:Volume>26</b:Volume>
    <b:Issue>1</b:Issue>
    <b:RefOrder>4</b:RefOrder>
  </b:Source>
  <b:Source>
    <b:Tag>Lev21</b:Tag>
    <b:SourceType>JournalArticle</b:SourceType>
    <b:Guid>{9E65CECA-8961-4A3D-9F18-077AA4124F20}</b:Guid>
    <b:Author>
      <b:Author>
        <b:NameList>
          <b:Person>
            <b:Last>Levy</b:Last>
            <b:First>Nicholas,</b:First>
            <b:Middle>Linda J. Lord, and Dileep N. Lobo. bmj 372 (2021).</b:Middle>
          </b:Person>
        </b:NameList>
      </b:Author>
    </b:Author>
    <b:Title>"UK recommendations on opioid stewardship."</b:Title>
    <b:JournalName>BMJ</b:JournalName>
    <b:Year>2021</b:Year>
    <b:Volume>372</b:Volume>
    <b:RefOrder>5</b:RefOrder>
  </b:Source>
  <b:Source>
    <b:Tag>Nis18</b:Tag>
    <b:SourceType>JournalArticle</b:SourceType>
    <b:Guid>{25843EB3-4B32-4255-AFBF-E0AD89909052}</b:Guid>
    <b:Author>
      <b:Author>
        <b:NameList>
          <b:Person>
            <b:Last>Nissan</b:Last>
            <b:First>Ephraim</b:First>
          </b:Person>
        </b:NameList>
      </b:Author>
    </b:Author>
    <b:Title>"Computer tools and techniques for lawyers and the judiciary."</b:Title>
    <b:JournalName>Cybernetics and Systems</b:JournalName>
    <b:Year>2018</b:Year>
    <b:Pages>201-233</b:Pages>
    <b:Volume>49</b:Volume>
    <b:Issue>4</b:Issue>
    <b:RefOrder>6</b:RefOrder>
  </b:Source>
  <b:Source>
    <b:Tag>Nor18</b:Tag>
    <b:SourceType>JournalArticle</b:SourceType>
    <b:Guid>{4AE7D231-74B3-4555-AE64-D270E952B6EF}</b:Guid>
    <b:Author>
      <b:Author>
        <b:NameList>
          <b:Person>
            <b:Last>Norton</b:Last>
            <b:First>Philip</b:First>
          </b:Person>
        </b:NameList>
      </b:Author>
    </b:Author>
    <b:Title>"The judiciary."</b:Title>
    <b:JournalName>Politics UK. Routledge</b:JournalName>
    <b:Year>2018</b:Year>
    <b:Pages>512-535</b:Pages>
    <b:RefOrder>7</b:RefOrder>
  </b:Source>
  <b:Source>
    <b:Tag>Cai18</b:Tag>
    <b:SourceType>JournalArticle</b:SourceType>
    <b:Guid>{F889198B-D5E4-4F29-8BB2-855F20AE53E6}</b:Guid>
    <b:Author>
      <b:Author>
        <b:NameList>
          <b:Person>
            <b:Last>Caielli</b:Last>
            <b:First>Mia.</b:First>
          </b:Person>
        </b:NameList>
      </b:Author>
    </b:Author>
    <b:Title>"Why do women in the judiciary matter? The struggle for gender diversity in European courts."</b:Title>
    <b:Year>2018</b:Year>
    <b:Pages>157-172</b:Pages>
    <b:RefOrder>8</b:RefOrder>
  </b:Source>
  <b:Source>
    <b:Tag>Mac18</b:Tag>
    <b:SourceType>JournalArticle</b:SourceType>
    <b:Guid>{F15EC863-B01D-4A35-B9C1-9EE2088210A6}</b:Guid>
    <b:Author>
      <b:Author>
        <b:NameList>
          <b:Person>
            <b:Last>Mack</b:Last>
            <b:First>Kathy,</b:First>
            <b:Middle>Sharyn Roach Anleu, and Jordan Tutton.</b:Middle>
          </b:Person>
        </b:NameList>
      </b:Author>
    </b:Author>
    <b:Title>"The judiciary and the public: Judicial perceptions."</b:Title>
    <b:JournalName>Adelaide Law Review</b:JournalName>
    <b:Year>2018</b:Year>
    <b:Pages>1-35</b:Pages>
    <b:Volume>39</b:Volume>
    <b:Issue>1</b:Issue>
    <b:RefOrder>9</b:RefOrder>
  </b:Source>
  <b:Source>
    <b:Tag>Sel18</b:Tag>
    <b:SourceType>JournalArticle</b:SourceType>
    <b:Guid>{93DFF05E-A9E0-4F21-8053-A75FF739EAFB}</b:Guid>
    <b:Author>
      <b:Author>
        <b:NameList>
          <b:Person>
            <b:Last>Sela</b:Last>
            <b:First>Ayelet.</b:First>
          </b:Person>
        </b:NameList>
      </b:Author>
    </b:Author>
    <b:Title>"Can Computers Be Fair: How Automated and Human-Powered Online Dispute Resolution Affect Procedural Justice in Mediation and Arbitration."</b:Title>
    <b:JournalName>Ohio St. J. on Disp. Resol</b:JournalName>
    <b:Year>2018</b:Year>
    <b:Pages>91</b:Pages>
    <b:Volume>33</b:Volume>
    <b:Issue>1</b:Issue>
    <b:RefOrder>10</b:RefOrder>
  </b:Source>
  <b:Source>
    <b:Tag>Woo20</b:Tag>
    <b:SourceType>JournalArticle</b:SourceType>
    <b:Guid>{03F221CC-B976-4EA2-996F-7A2811474EE7}</b:Guid>
    <b:Author>
      <b:Author>
        <b:NameList>
          <b:Person>
            <b:Last>Woodcock</b:Last>
            <b:First>T.,</b:First>
            <b:Middle>et al. "Guidelines for the management of glucocorticoids during the peri‐operative period for patients with adrenal insufficiency: Guidelines from the Association of Anaesthetists, the Royal College of Physicians and the Society for Endocrin</b:Middle>
          </b:Person>
        </b:NameList>
      </b:Author>
    </b:Author>
    <b:Title>Guidelines for the management of glucocorticoids during the peri‐operative period for patients with adrenal insufficiency: Guidelines from the Association of Anaesthetists, the Royal College of Physicians and the Society for Endocrin</b:Title>
    <b:JournalName>Anaesthesia</b:JournalName>
    <b:Year>2020</b:Year>
    <b:Pages>654-663</b:Pages>
    <b:Volume>75</b:Volume>
    <b:Issue>5</b:Issue>
    <b:RefOrder>11</b:RefOrder>
  </b:Source>
  <b:Source>
    <b:Tag>Tyr18</b:Tag>
    <b:SourceType>JournalArticle</b:SourceType>
    <b:Guid>{CC9BB5AD-7EB2-4A72-AF97-06CA5E28C90C}</b:Guid>
    <b:Author>
      <b:Author>
        <b:NameList>
          <b:Person>
            <b:Last>Tyrrell</b:Last>
            <b:First>Hélène.</b:First>
          </b:Person>
        </b:NameList>
      </b:Author>
    </b:Author>
    <b:Title>Human Rights in the UK and the Influence of Foreign Jurisprudence. </b:Title>
    <b:JournalName>Bloomsbury Publishing</b:JournalName>
    <b:Year>2018</b:Year>
    <b:RefOrder>12</b:RefOrder>
  </b:Source>
</b:Sources>
</file>

<file path=customXml/itemProps1.xml><?xml version="1.0" encoding="utf-8"?>
<ds:datastoreItem xmlns:ds="http://schemas.openxmlformats.org/officeDocument/2006/customXml" ds:itemID="{F9E6E80E-51B6-42F3-930A-6472BEE3C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2060</Words>
  <Characters>11746</Characters>
  <Application>Microsoft Office Word</Application>
  <DocSecurity>0</DocSecurity>
  <Lines>97</Lines>
  <Paragraphs>27</Paragraphs>
  <ScaleCrop>false</ScaleCrop>
  <Company>Roll Number</Company>
  <LinksUpToDate>false</LinksUpToDate>
  <CharactersWithSpaces>13779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law</dc:title>
  <dc:creator>Name</dc:creator>
  <cp:lastModifiedBy>HIRRA ANZAR</cp:lastModifiedBy>
  <cp:revision>3</cp:revision>
  <dcterms:created xsi:type="dcterms:W3CDTF">2022-06-07T11:54:00Z</dcterms:created>
  <dcterms:modified xsi:type="dcterms:W3CDTF">2022-06-07T07:27:00Z</dcterms:modified>
</cp:coreProperties>
</file>