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29FEE7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960B7">
              <w:rPr>
                <w:rFonts w:ascii="Times New Roman" w:hAnsi="Times New Roman" w:cs="Times New Roman"/>
                <w:b/>
                <w:color w:val="auto"/>
                <w:sz w:val="48"/>
              </w:rPr>
              <w:t>Michelle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7B0B595" w14:textId="1611AF2C" w:rsidR="00F3510B"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3510B">
              <w:rPr>
                <w:rFonts w:ascii="Times New Roman" w:hAnsi="Times New Roman" w:cs="Times New Roman"/>
                <w:b/>
                <w:color w:val="auto"/>
                <w:sz w:val="48"/>
              </w:rPr>
              <w:t xml:space="preserve"> </w:t>
            </w:r>
            <w:r w:rsidR="004F0572">
              <w:rPr>
                <w:rFonts w:ascii="Times New Roman" w:hAnsi="Times New Roman" w:cs="Times New Roman"/>
                <w:b/>
                <w:sz w:val="48"/>
              </w:rPr>
              <w:t>eleywilliams@hotmail.com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0454493" w14:textId="77777777" w:rsidR="00F3510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3510B">
              <w:rPr>
                <w:rFonts w:ascii="Times New Roman" w:hAnsi="Times New Roman" w:cs="Times New Roman"/>
                <w:b/>
                <w:color w:val="auto"/>
                <w:sz w:val="48"/>
              </w:rPr>
              <w:t xml:space="preserve"> </w:t>
            </w:r>
          </w:p>
          <w:p w14:paraId="0DE696B2" w14:textId="5E81451D" w:rsidR="00F927A1" w:rsidRPr="005D3F07" w:rsidRDefault="00F3510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2516783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DFD6A18" w14:textId="235E27C3" w:rsidR="00F22AC5" w:rsidRPr="00375543" w:rsidRDefault="00337FEF" w:rsidP="00375543">
      <w:pPr>
        <w:jc w:val="center"/>
        <w:rPr>
          <w:b/>
          <w:sz w:val="24"/>
          <w:szCs w:val="24"/>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AEEE92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032DF">
        <w:rPr>
          <w:sz w:val="24"/>
          <w:szCs w:val="24"/>
        </w:rPr>
        <w:t>12/05/2026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293D8E46" w14:textId="77777777" w:rsidR="0020004D" w:rsidRPr="0020004D" w:rsidRDefault="0020004D" w:rsidP="0020004D">
            <w:pPr>
              <w:spacing w:after="160" w:line="278" w:lineRule="auto"/>
              <w:jc w:val="both"/>
              <w:rPr>
                <w:sz w:val="24"/>
                <w:szCs w:val="24"/>
              </w:rPr>
            </w:pPr>
            <w:r w:rsidRPr="0020004D">
              <w:rPr>
                <w:sz w:val="24"/>
                <w:szCs w:val="24"/>
              </w:rPr>
              <w:lastRenderedPageBreak/>
              <w:t>Social work objectives were to ascertain 1’s wishes, feelings and views, explore what was going well and causing worry, and identify hopes for the future using the Signs of Safety ‘Three Houses’ tool (Signs of Safety, 2024). This would inform her Care and Wellbeing Assessment and care proceedings, ensuring her voice remained central.</w:t>
            </w:r>
          </w:p>
          <w:p w14:paraId="3987D0CC" w14:textId="77777777" w:rsidR="0020004D" w:rsidRPr="0020004D" w:rsidRDefault="0020004D" w:rsidP="0020004D">
            <w:pPr>
              <w:spacing w:after="160" w:line="278" w:lineRule="auto"/>
              <w:jc w:val="both"/>
              <w:rPr>
                <w:sz w:val="24"/>
                <w:szCs w:val="24"/>
              </w:rPr>
            </w:pPr>
            <w:r w:rsidRPr="0020004D">
              <w:rPr>
                <w:sz w:val="24"/>
                <w:szCs w:val="24"/>
              </w:rPr>
              <w:t>The observation involved direct work with 1, a 14-year-old living in a Care Inspectorate Wales (CIW) registered Local Authority placement in a rural Welsh county. She is subject to an Interim Care Order under Section 38 of the Children Act 1989. The rural context was relevant when considering access to services. Section 6 of the SSWWA 2014 requires practitioners to ascertain and consider views, wishes, feelings, dignity, culture and language. Similarly, Section 22 of the Children Act 1989 requires Local Authorities to ascertain and give due consideration to the wishes and feelings of looked-after children.</w:t>
            </w:r>
          </w:p>
          <w:p w14:paraId="2A61F2E2" w14:textId="77777777" w:rsidR="0020004D" w:rsidRPr="0020004D" w:rsidRDefault="0020004D" w:rsidP="0020004D">
            <w:pPr>
              <w:spacing w:after="160" w:line="278" w:lineRule="auto"/>
              <w:jc w:val="both"/>
              <w:rPr>
                <w:sz w:val="24"/>
                <w:szCs w:val="24"/>
              </w:rPr>
            </w:pPr>
            <w:r w:rsidRPr="0020004D">
              <w:rPr>
                <w:sz w:val="24"/>
                <w:szCs w:val="24"/>
              </w:rPr>
              <w:t>Before the observation, I gained 1’s agreement for my practice educator, whom she knew, to attend. I introduced the observer, explained their role and checked that 1 remained comfortable. I recognised that observation could affect her communication within a statutory context and increase the power imbalance. Transparency about the observer’s role supported trust and reduced this imbalance (Maiter, Palmer and Manji, 2006). The session took place in a room to promote comfort and engagement. I considered how having two adults present may have felt for 1 and ensured staff were available afterwards should she require emotional support.</w:t>
            </w:r>
          </w:p>
          <w:p w14:paraId="0AAF9A9A" w14:textId="77777777" w:rsidR="0020004D" w:rsidRPr="0020004D" w:rsidRDefault="0020004D" w:rsidP="0020004D">
            <w:pPr>
              <w:spacing w:after="160" w:line="278" w:lineRule="auto"/>
              <w:jc w:val="both"/>
              <w:rPr>
                <w:sz w:val="24"/>
                <w:szCs w:val="24"/>
              </w:rPr>
            </w:pPr>
            <w:r w:rsidRPr="0020004D">
              <w:rPr>
                <w:sz w:val="24"/>
                <w:szCs w:val="24"/>
              </w:rPr>
              <w:t xml:space="preserve">I considered cultural, ethnic and language needs in line with </w:t>
            </w:r>
            <w:r w:rsidRPr="0020004D">
              <w:rPr>
                <w:i/>
                <w:iCs/>
                <w:sz w:val="24"/>
                <w:szCs w:val="24"/>
              </w:rPr>
              <w:t>More Than Just Words</w:t>
            </w:r>
            <w:r w:rsidRPr="0020004D">
              <w:rPr>
                <w:sz w:val="24"/>
                <w:szCs w:val="24"/>
              </w:rPr>
              <w:t xml:space="preserve"> (Welsh Government, 2012) by making the Active Offer and checking 1’s preferred language. Although fluent in Welsh and English, she chose English. I remained sensitive to her Welsh context and would have adapted my communication and the Three Houses tool if required. I avoided assumptions about her cultural or ethnic identity by focusing on her preferences, checking my understanding with her and support workers, and ensuring my practice reflected her needs.</w:t>
            </w:r>
          </w:p>
          <w:p w14:paraId="7989743F" w14:textId="77777777" w:rsidR="0020004D" w:rsidRDefault="0020004D" w:rsidP="00D3203C">
            <w:pPr>
              <w:jc w:val="both"/>
              <w:rPr>
                <w:sz w:val="24"/>
                <w:szCs w:val="24"/>
              </w:rPr>
            </w:pPr>
          </w:p>
          <w:p w14:paraId="440488E5" w14:textId="38C85C4B" w:rsidR="00D3203C" w:rsidRPr="00D0114C" w:rsidRDefault="00933F7B" w:rsidP="00D3203C">
            <w:pPr>
              <w:jc w:val="both"/>
              <w:rPr>
                <w:sz w:val="24"/>
                <w:szCs w:val="24"/>
              </w:rPr>
            </w:pPr>
            <w:r w:rsidRPr="00D0114C">
              <w:rPr>
                <w:sz w:val="24"/>
                <w:szCs w:val="24"/>
              </w:rPr>
              <w:t>Word Count - 330</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09924C8" w14:textId="77777777" w:rsidR="001A33BE" w:rsidRDefault="001A33BE" w:rsidP="00243DB0">
            <w:pPr>
              <w:jc w:val="both"/>
              <w:rPr>
                <w:i/>
                <w:sz w:val="24"/>
                <w:szCs w:val="24"/>
              </w:rPr>
            </w:pPr>
          </w:p>
          <w:p w14:paraId="4372C3F2" w14:textId="77777777" w:rsidR="001A33BE" w:rsidRDefault="001A33BE" w:rsidP="00243DB0">
            <w:pPr>
              <w:jc w:val="both"/>
              <w:rPr>
                <w:i/>
                <w:sz w:val="24"/>
                <w:szCs w:val="24"/>
              </w:rPr>
            </w:pPr>
          </w:p>
          <w:p w14:paraId="69F6BABD" w14:textId="77777777" w:rsidR="00A03A48" w:rsidRPr="00A03A48" w:rsidRDefault="00A03A48" w:rsidP="00A03A48">
            <w:pPr>
              <w:spacing w:after="160" w:line="278" w:lineRule="auto"/>
              <w:jc w:val="both"/>
              <w:rPr>
                <w:sz w:val="24"/>
                <w:szCs w:val="24"/>
              </w:rPr>
            </w:pPr>
            <w:r w:rsidRPr="00A03A48">
              <w:rPr>
                <w:sz w:val="24"/>
                <w:szCs w:val="24"/>
              </w:rPr>
              <w:t>I have used Kolb’s experiential learning cycle (Kolb, 1984) to structure my reflection, considering concrete experience, reflective observation, abstract conceptualisation and active experimentation.</w:t>
            </w:r>
          </w:p>
          <w:p w14:paraId="3966CB2A" w14:textId="5CB8D330" w:rsidR="00A03A48" w:rsidRPr="00A03A48" w:rsidRDefault="00A03A48" w:rsidP="00A03A48">
            <w:pPr>
              <w:spacing w:after="160" w:line="278" w:lineRule="auto"/>
              <w:jc w:val="both"/>
              <w:rPr>
                <w:sz w:val="24"/>
                <w:szCs w:val="24"/>
              </w:rPr>
            </w:pPr>
            <w:r w:rsidRPr="00A03A48">
              <w:rPr>
                <w:sz w:val="24"/>
                <w:szCs w:val="24"/>
              </w:rPr>
              <w:t>From my concrete experience, the observation involved completing the Signs of Safety ‘Three Houses’ exercise with 1, a 14-year-old girl with an acquired brain injury (ABI). The tool was appropriate because it supports child-centred practice by keeping the child’s voice central while balancing strengths and worries (Signs of Safety, 2024). I considered 1’s individual communication needs when selecting this approach, as she engages well with visual and structured activities and benefits from information being broken into manageable sections. Having worked with 1 for several years, I had developed an understanding of her communication preferences through direct contact, information from carers, and Speech and Language Therapy (SALT) reports. This helped me assess that I had the necessary skills and knowledge to undertake the session. Visual tools can enable children and young people to express themselves in a less pressured way and support engagement with social work (Werzinger, 2025; Iriss, 20</w:t>
            </w:r>
            <w:r w:rsidR="00047701">
              <w:rPr>
                <w:sz w:val="24"/>
                <w:szCs w:val="24"/>
              </w:rPr>
              <w:t>1</w:t>
            </w:r>
            <w:r w:rsidRPr="00A03A48">
              <w:rPr>
                <w:sz w:val="24"/>
                <w:szCs w:val="24"/>
              </w:rPr>
              <w:t>6).</w:t>
            </w:r>
          </w:p>
          <w:p w14:paraId="378CD051" w14:textId="07DB126A" w:rsidR="00A03A48" w:rsidRPr="00A03A48" w:rsidRDefault="00A03A48" w:rsidP="00A03A48">
            <w:pPr>
              <w:spacing w:after="160" w:line="278" w:lineRule="auto"/>
              <w:jc w:val="both"/>
              <w:rPr>
                <w:sz w:val="24"/>
                <w:szCs w:val="24"/>
              </w:rPr>
            </w:pPr>
            <w:r w:rsidRPr="00A03A48">
              <w:rPr>
                <w:sz w:val="24"/>
                <w:szCs w:val="24"/>
              </w:rPr>
              <w:t>1’s ABI affects her processing and communication meaning my communication needed to be adapted to reduce cognitive demands. As a teenager, she is also developing independence and autonomy and may be sensitive to communication that feels childish. ABI can affect processing speed, attention, memory, language, fatigue</w:t>
            </w:r>
            <w:r w:rsidR="00823304">
              <w:rPr>
                <w:sz w:val="24"/>
                <w:szCs w:val="24"/>
              </w:rPr>
              <w:t>,</w:t>
            </w:r>
            <w:r w:rsidRPr="00A03A48">
              <w:rPr>
                <w:sz w:val="24"/>
                <w:szCs w:val="24"/>
              </w:rPr>
              <w:t xml:space="preserve"> and emotional regulation, although this varies between individuals. Guidance indicates that young people with ABI can benefit from simplified information, repetition, structure</w:t>
            </w:r>
            <w:r w:rsidR="00823304">
              <w:rPr>
                <w:sz w:val="24"/>
                <w:szCs w:val="24"/>
              </w:rPr>
              <w:t>,</w:t>
            </w:r>
            <w:r w:rsidRPr="00A03A48">
              <w:rPr>
                <w:sz w:val="24"/>
                <w:szCs w:val="24"/>
              </w:rPr>
              <w:t xml:space="preserve"> and additional processing time, particularly where fatigue affects their ability to process and retain information (The Children’s Trust, 2026). My recent Childhood ABI training with the Brain Injury Trust increased my understanding of how fatigue, puberty</w:t>
            </w:r>
            <w:r w:rsidR="00823304">
              <w:rPr>
                <w:sz w:val="24"/>
                <w:szCs w:val="24"/>
              </w:rPr>
              <w:t>,</w:t>
            </w:r>
            <w:r w:rsidRPr="00A03A48">
              <w:rPr>
                <w:sz w:val="24"/>
                <w:szCs w:val="24"/>
              </w:rPr>
              <w:t xml:space="preserve"> and hormonal changes can affect emotional regulation (Chung, Smith and Woodcock, 2025). This influenced my approach as I considered the length </w:t>
            </w:r>
            <w:r w:rsidRPr="00A03A48">
              <w:rPr>
                <w:sz w:val="24"/>
                <w:szCs w:val="24"/>
              </w:rPr>
              <w:lastRenderedPageBreak/>
              <w:t>and pace of the activity, broke information into smaller sections, allowed pauses</w:t>
            </w:r>
            <w:r w:rsidR="005179C3">
              <w:rPr>
                <w:sz w:val="24"/>
                <w:szCs w:val="24"/>
              </w:rPr>
              <w:t>,</w:t>
            </w:r>
            <w:r w:rsidRPr="00A03A48">
              <w:rPr>
                <w:sz w:val="24"/>
                <w:szCs w:val="24"/>
              </w:rPr>
              <w:t xml:space="preserve"> and regularly checked her understanding. I also recognised that dysregulation may be associated with neurological fatigue rather than behavioural intent (Thompson et al., 2016), encouraging me to interpret her presentation with curiosity rather than assumptions.</w:t>
            </w:r>
          </w:p>
          <w:p w14:paraId="302086E6" w14:textId="0639DB54" w:rsidR="00A03A48" w:rsidRPr="00A03A48" w:rsidRDefault="00A03A48" w:rsidP="00A03A48">
            <w:pPr>
              <w:spacing w:after="160" w:line="278" w:lineRule="auto"/>
              <w:jc w:val="both"/>
              <w:rPr>
                <w:sz w:val="24"/>
                <w:szCs w:val="24"/>
              </w:rPr>
            </w:pPr>
            <w:r w:rsidRPr="00A03A48">
              <w:rPr>
                <w:sz w:val="24"/>
                <w:szCs w:val="24"/>
              </w:rPr>
              <w:t>Reflecting on this experience, during the ‘Three Houses’ exercise, 1 identified her Good Things, Worries and Dreams. She spoke positively about reconnecting with her father after twelve years, describing this as the highlight of her week and expressing a long-term wish to live with him. The structured activity enabled her to discuss this sensitive subject without becoming overwhelmed and provided an opportunity to explore Therapeutic Life Journey Work (Creative Life Story Work, 2026). I used empathy, active listening</w:t>
            </w:r>
            <w:r w:rsidR="00822308">
              <w:rPr>
                <w:sz w:val="24"/>
                <w:szCs w:val="24"/>
              </w:rPr>
              <w:t>,</w:t>
            </w:r>
            <w:r w:rsidRPr="00A03A48">
              <w:rPr>
                <w:sz w:val="24"/>
                <w:szCs w:val="24"/>
              </w:rPr>
              <w:t xml:space="preserve"> and a calm, consistent approach which supported the trusting relationship already established between us and enabled her to decide whether this work felt appropriate. Giving 1 control over whether to continue respected her autonomy, dignity</w:t>
            </w:r>
            <w:r w:rsidR="00822308">
              <w:rPr>
                <w:sz w:val="24"/>
                <w:szCs w:val="24"/>
              </w:rPr>
              <w:t>,</w:t>
            </w:r>
            <w:r w:rsidRPr="00A03A48">
              <w:rPr>
                <w:sz w:val="24"/>
                <w:szCs w:val="24"/>
              </w:rPr>
              <w:t xml:space="preserve"> and right to participate at her own pace.</w:t>
            </w:r>
          </w:p>
          <w:p w14:paraId="6AE3E65E" w14:textId="51406F51" w:rsidR="00A03A48" w:rsidRPr="00A03A48" w:rsidRDefault="00A03A48" w:rsidP="00A03A48">
            <w:pPr>
              <w:spacing w:after="160" w:line="278" w:lineRule="auto"/>
              <w:jc w:val="both"/>
              <w:rPr>
                <w:sz w:val="24"/>
                <w:szCs w:val="24"/>
              </w:rPr>
            </w:pPr>
            <w:r w:rsidRPr="00A03A48">
              <w:rPr>
                <w:sz w:val="24"/>
                <w:szCs w:val="24"/>
              </w:rPr>
              <w:t>Within her House of Worries, 1 discussed disliking completing schoolwork away from school while also not wanting to return to the school environment. This led to exploration of her GCSE options and how her learning needs could be supported. She also expressed concern that returning to her grandparents care could result in losing contact with her father because of strained family relationships. I used active listening and paraphrasing to demonstrate that I had heard and understood her concerns (Lishman, 2009, p.110). I acknowledged her feelings and checked her understanding throughout, helping create a safe environment for communication.</w:t>
            </w:r>
          </w:p>
          <w:p w14:paraId="4409828F" w14:textId="006CFF5E" w:rsidR="00A03A48" w:rsidRPr="00A03A48" w:rsidRDefault="00A03A48" w:rsidP="00A03A48">
            <w:pPr>
              <w:spacing w:after="160" w:line="278" w:lineRule="auto"/>
              <w:jc w:val="both"/>
              <w:rPr>
                <w:sz w:val="24"/>
                <w:szCs w:val="24"/>
              </w:rPr>
            </w:pPr>
            <w:r w:rsidRPr="00A03A48">
              <w:rPr>
                <w:sz w:val="24"/>
                <w:szCs w:val="24"/>
              </w:rPr>
              <w:t>Reflecting further on my communication, I considered my non-verbal communication (Winter, K. et al., 201</w:t>
            </w:r>
            <w:r w:rsidR="006A3FB5">
              <w:rPr>
                <w:sz w:val="24"/>
                <w:szCs w:val="24"/>
              </w:rPr>
              <w:t>7</w:t>
            </w:r>
            <w:r w:rsidRPr="00A03A48">
              <w:rPr>
                <w:sz w:val="24"/>
                <w:szCs w:val="24"/>
              </w:rPr>
              <w:t>) and 1’s responses throughout the session. When discussing family relationships, she became emotional, with reduced eye contact, increased fidgeting</w:t>
            </w:r>
            <w:r w:rsidR="003F3CA7">
              <w:rPr>
                <w:sz w:val="24"/>
                <w:szCs w:val="24"/>
              </w:rPr>
              <w:t>,</w:t>
            </w:r>
            <w:r w:rsidRPr="00A03A48">
              <w:rPr>
                <w:sz w:val="24"/>
                <w:szCs w:val="24"/>
              </w:rPr>
              <w:t xml:space="preserve"> and quieter speech which I interpreted as possible signs of discomfort (NSPCC, 2024). I recognised these behaviours could have several meanings and therefore avoided assuming they represented distress. Trauma-informed practice emphasises recognising emotional triggers and responding sensitively (Isobel and Delgado, 2018). I therefore slowed my pace, acknowledged her feelings and gave her space to decide whether she wanted to continue. This demonstrated the importance of responding to communication beyond spoken words and reinforced that person-centred practice requires practitioners to adapt to the individual rather than expecting the individual to adapt to professional communication (Lishman, J. 2009).</w:t>
            </w:r>
          </w:p>
          <w:p w14:paraId="3BE27CB2" w14:textId="0A674D90" w:rsidR="00A03A48" w:rsidRPr="00A03A48" w:rsidRDefault="00A03A48" w:rsidP="00A03A48">
            <w:pPr>
              <w:spacing w:after="160" w:line="278" w:lineRule="auto"/>
              <w:jc w:val="both"/>
              <w:rPr>
                <w:sz w:val="24"/>
                <w:szCs w:val="24"/>
              </w:rPr>
            </w:pPr>
            <w:r w:rsidRPr="00A03A48">
              <w:rPr>
                <w:sz w:val="24"/>
                <w:szCs w:val="24"/>
              </w:rPr>
              <w:t>Through abstract conceptualisation, I considered how my approach reflected person-centred, strengths-based</w:t>
            </w:r>
            <w:r w:rsidR="004D2F60">
              <w:rPr>
                <w:sz w:val="24"/>
                <w:szCs w:val="24"/>
              </w:rPr>
              <w:t>,</w:t>
            </w:r>
            <w:r w:rsidRPr="00A03A48">
              <w:rPr>
                <w:sz w:val="24"/>
                <w:szCs w:val="24"/>
              </w:rPr>
              <w:t xml:space="preserve"> and rights-based practice. Section 22 of the Children Act 1989 requires the local authority to ascertain and give due consideration to the wishes and feelings of a looked-after child, having regard to their age and understanding</w:t>
            </w:r>
            <w:r w:rsidR="004D2F60">
              <w:rPr>
                <w:sz w:val="24"/>
                <w:szCs w:val="24"/>
              </w:rPr>
              <w:t>,</w:t>
            </w:r>
            <w:r w:rsidRPr="00A03A48">
              <w:rPr>
                <w:sz w:val="24"/>
                <w:szCs w:val="24"/>
              </w:rPr>
              <w:t xml:space="preserve"> and their cultural and linguistic background. This reinforces my responsibility to ensure that 1’s views were actively sought and appropriately represented within assessment and planning. This is also consistent with </w:t>
            </w:r>
            <w:r w:rsidRPr="00A03A48">
              <w:rPr>
                <w:sz w:val="24"/>
                <w:szCs w:val="24"/>
              </w:rPr>
              <w:lastRenderedPageBreak/>
              <w:t>the participation principles of SSWWA, 2014. Olsen (2023) highlights that children should be supported to communicate in ways that are safe and accessible, promoting agency</w:t>
            </w:r>
            <w:r w:rsidR="000A2758">
              <w:rPr>
                <w:sz w:val="24"/>
                <w:szCs w:val="24"/>
              </w:rPr>
              <w:t>,</w:t>
            </w:r>
            <w:r w:rsidRPr="00A03A48">
              <w:rPr>
                <w:sz w:val="24"/>
                <w:szCs w:val="24"/>
              </w:rPr>
              <w:t xml:space="preserve"> and participation.</w:t>
            </w:r>
          </w:p>
          <w:p w14:paraId="7AD67CD8" w14:textId="381738B2" w:rsidR="00A03A48" w:rsidRPr="00A03A48" w:rsidRDefault="00A03A48" w:rsidP="00A03A48">
            <w:pPr>
              <w:spacing w:after="160" w:line="278" w:lineRule="auto"/>
              <w:jc w:val="both"/>
              <w:rPr>
                <w:sz w:val="24"/>
                <w:szCs w:val="24"/>
              </w:rPr>
            </w:pPr>
            <w:r w:rsidRPr="00A03A48">
              <w:rPr>
                <w:sz w:val="24"/>
                <w:szCs w:val="24"/>
              </w:rPr>
              <w:t>1’s House of Dreams identified her aspiration to own a café and bake her own cakes. I used this opportunity to explore what she enjoyed about baking and how this could link to future learning and vocational opportunities. This reflected strengths-based practice by focusing on her abilities, aspirations and resilience rather than defining her solely by her disability or current difficulties (Social Care Wales, 2025). Strengths-based approaches can promote empowerment by increasing an individual’s confidence, control</w:t>
            </w:r>
            <w:r w:rsidR="000A2758">
              <w:rPr>
                <w:sz w:val="24"/>
                <w:szCs w:val="24"/>
              </w:rPr>
              <w:t>,</w:t>
            </w:r>
            <w:r w:rsidRPr="00A03A48">
              <w:rPr>
                <w:sz w:val="24"/>
                <w:szCs w:val="24"/>
              </w:rPr>
              <w:t xml:space="preserve"> and ability to make decisions about their lives (Toros and Falch-Eriksen, 2021).</w:t>
            </w:r>
          </w:p>
          <w:p w14:paraId="118075EA" w14:textId="61A6BBA8" w:rsidR="00A03A48" w:rsidRPr="00A03A48" w:rsidRDefault="00A03A48" w:rsidP="00A03A48">
            <w:pPr>
              <w:spacing w:after="160" w:line="278" w:lineRule="auto"/>
              <w:jc w:val="both"/>
              <w:rPr>
                <w:sz w:val="24"/>
                <w:szCs w:val="24"/>
              </w:rPr>
            </w:pPr>
            <w:r w:rsidRPr="00A03A48">
              <w:rPr>
                <w:sz w:val="24"/>
                <w:szCs w:val="24"/>
              </w:rPr>
              <w:t xml:space="preserve">Cultural and linguistic sensitivity were also important. Although 1 communicates in English, she is fluent in Welsh, and I made the Active Offer by checking her preferred language and ensuring Welsh-language resources were available. </w:t>
            </w:r>
            <w:r w:rsidRPr="00A03A48">
              <w:rPr>
                <w:i/>
                <w:iCs/>
                <w:sz w:val="24"/>
                <w:szCs w:val="24"/>
              </w:rPr>
              <w:t>More Than Just Words</w:t>
            </w:r>
            <w:r w:rsidRPr="00A03A48">
              <w:rPr>
                <w:sz w:val="24"/>
                <w:szCs w:val="24"/>
              </w:rPr>
              <w:t xml:space="preserve"> (Welsh Government, 2012) emphasises that Welsh-language services should be offered proactively rather than requiring individuals to request them. Although 1 chose English, this prompted me to reflect on the importance of revisiting language preferences as part of person-centred practice. The Welsh Language Commissioner (2026) found that over 90% of young people consulted were proud to converse in Welsh, highlighting the significance of recognising linguistic identity. This reflected the Code of Professional Practice for Social Care Wales (2017), particularly the requirement to respect people’s language, culture, values and beliefs</w:t>
            </w:r>
            <w:r w:rsidR="00A81010">
              <w:rPr>
                <w:sz w:val="24"/>
                <w:szCs w:val="24"/>
              </w:rPr>
              <w:t>,</w:t>
            </w:r>
            <w:r w:rsidRPr="00A03A48">
              <w:rPr>
                <w:sz w:val="24"/>
                <w:szCs w:val="24"/>
              </w:rPr>
              <w:t xml:space="preserve"> and promote their rights, views</w:t>
            </w:r>
            <w:r w:rsidR="00A81010">
              <w:rPr>
                <w:sz w:val="24"/>
                <w:szCs w:val="24"/>
              </w:rPr>
              <w:t>,</w:t>
            </w:r>
            <w:r w:rsidRPr="00A03A48">
              <w:rPr>
                <w:sz w:val="24"/>
                <w:szCs w:val="24"/>
              </w:rPr>
              <w:t xml:space="preserve"> and wellbeing.</w:t>
            </w:r>
          </w:p>
          <w:p w14:paraId="083846D6" w14:textId="77777777" w:rsidR="00A03A48" w:rsidRPr="00A03A48" w:rsidRDefault="00A03A48" w:rsidP="00A03A48">
            <w:pPr>
              <w:spacing w:after="160" w:line="278" w:lineRule="auto"/>
              <w:jc w:val="both"/>
              <w:rPr>
                <w:sz w:val="24"/>
                <w:szCs w:val="24"/>
              </w:rPr>
            </w:pPr>
            <w:r w:rsidRPr="00A03A48">
              <w:rPr>
                <w:sz w:val="24"/>
                <w:szCs w:val="24"/>
              </w:rPr>
              <w:t>Through active experimentation, I have identified how this learning will influence my future practice. My Signs of Safety training has been limited to the two-day introductory course, and research suggests that ongoing training and reflective supervision can strengthen effective implementation of the model (Sheehan et al., 2018). I therefore plan to complete the available five-day training to develop my confidence and competence.</w:t>
            </w:r>
          </w:p>
          <w:p w14:paraId="72023563" w14:textId="77777777" w:rsidR="00A03A48" w:rsidRPr="00A03A48" w:rsidRDefault="00A03A48" w:rsidP="00A03A48">
            <w:pPr>
              <w:spacing w:after="160" w:line="278" w:lineRule="auto"/>
              <w:jc w:val="both"/>
              <w:rPr>
                <w:sz w:val="24"/>
                <w:szCs w:val="24"/>
              </w:rPr>
            </w:pPr>
            <w:r w:rsidRPr="00A03A48">
              <w:rPr>
                <w:sz w:val="24"/>
                <w:szCs w:val="24"/>
              </w:rPr>
              <w:t>I also reflected critically on the suitability of the ‘Three Houses’ tool for an older teenager. Although 1 engaged well, I noticed moments where she appeared slightly self-conscious about the child-focused format. Navein et al. (2022) highlight the importance of adapting communication methods to avoid inadvertently infantilising young people. I recognise that I did not explicitly ask 1 whether she felt the activity was suitable because she appeared comfortable and engaged. In future, I would directly seek her views about the method and offer alternatives where appropriate.</w:t>
            </w:r>
          </w:p>
          <w:p w14:paraId="59C71944" w14:textId="77777777" w:rsidR="00A03A48" w:rsidRPr="00A03A48" w:rsidRDefault="00A03A48" w:rsidP="00A03A48">
            <w:pPr>
              <w:spacing w:after="160" w:line="278" w:lineRule="auto"/>
              <w:jc w:val="both"/>
              <w:rPr>
                <w:sz w:val="24"/>
                <w:szCs w:val="24"/>
              </w:rPr>
            </w:pPr>
            <w:r w:rsidRPr="00A03A48">
              <w:rPr>
                <w:sz w:val="24"/>
                <w:szCs w:val="24"/>
              </w:rPr>
              <w:t xml:space="preserve">This reflection has already influenced my practice. I have subsequently used the ‘Three Houses’ with children aged 5-10 and developed an emoticon-based activity for older teenagers, recognising the importance of age-appropriate and accessible communication. This aligns with Sinclair, Vieira and Zufelt’s (2019) emphasis on appropriate communication </w:t>
            </w:r>
            <w:r w:rsidRPr="00A03A48">
              <w:rPr>
                <w:sz w:val="24"/>
                <w:szCs w:val="24"/>
              </w:rPr>
              <w:lastRenderedPageBreak/>
              <w:t>methods to promote youth participation and enable young people to express their needs, feelings and wishes.</w:t>
            </w:r>
          </w:p>
          <w:p w14:paraId="46211ABF" w14:textId="6FBF465C" w:rsidR="00A03A48" w:rsidRPr="00A03A48" w:rsidRDefault="00A03A48" w:rsidP="00A03A48">
            <w:pPr>
              <w:spacing w:after="160" w:line="278" w:lineRule="auto"/>
              <w:jc w:val="both"/>
              <w:rPr>
                <w:sz w:val="24"/>
                <w:szCs w:val="24"/>
              </w:rPr>
            </w:pPr>
            <w:r w:rsidRPr="00A03A48">
              <w:rPr>
                <w:sz w:val="24"/>
                <w:szCs w:val="24"/>
              </w:rPr>
              <w:t>Overall, the observation reinforced that effective communication requires ongoing assessment, flexibility</w:t>
            </w:r>
            <w:r w:rsidR="00115A06">
              <w:rPr>
                <w:sz w:val="24"/>
                <w:szCs w:val="24"/>
              </w:rPr>
              <w:t>,</w:t>
            </w:r>
            <w:r w:rsidRPr="00A03A48">
              <w:rPr>
                <w:sz w:val="24"/>
                <w:szCs w:val="24"/>
              </w:rPr>
              <w:t xml:space="preserve"> and reflection rather than reliance on a single communication method. Moving forward, I will complete the five-day Signs of Safety training, continue developing creative communication tools</w:t>
            </w:r>
            <w:r w:rsidR="00307B94">
              <w:rPr>
                <w:sz w:val="24"/>
                <w:szCs w:val="24"/>
              </w:rPr>
              <w:t>,</w:t>
            </w:r>
            <w:r w:rsidRPr="00A03A48">
              <w:rPr>
                <w:sz w:val="24"/>
                <w:szCs w:val="24"/>
              </w:rPr>
              <w:t xml:space="preserve"> and build on my ABI training to ensure my communication remains evidence-informed and responsive to young people’s neurological, emotional, developmental, cultural</w:t>
            </w:r>
            <w:r w:rsidR="00307B94">
              <w:rPr>
                <w:sz w:val="24"/>
                <w:szCs w:val="24"/>
              </w:rPr>
              <w:t>,</w:t>
            </w:r>
            <w:r w:rsidRPr="00A03A48">
              <w:rPr>
                <w:sz w:val="24"/>
                <w:szCs w:val="24"/>
              </w:rPr>
              <w:t xml:space="preserve"> and linguistic needs. This supports my commitment to person-centred, anti-oppressive practice (BASW, 2021) and ensuring young people’s voices remain central to social work decision-making.</w:t>
            </w:r>
          </w:p>
          <w:p w14:paraId="720845CB" w14:textId="77777777" w:rsidR="001A33BE" w:rsidRPr="00D0114C" w:rsidRDefault="001A33BE" w:rsidP="00D0114C">
            <w:pPr>
              <w:jc w:val="both"/>
              <w:rPr>
                <w:sz w:val="24"/>
                <w:szCs w:val="24"/>
              </w:rPr>
            </w:pPr>
          </w:p>
          <w:p w14:paraId="16D7BECA" w14:textId="27E3B44B" w:rsidR="00A808D6" w:rsidRPr="00D0114C" w:rsidRDefault="00A808D6" w:rsidP="00D0114C">
            <w:pPr>
              <w:jc w:val="both"/>
              <w:rPr>
                <w:sz w:val="24"/>
                <w:szCs w:val="24"/>
              </w:rPr>
            </w:pPr>
            <w:r w:rsidRPr="00D0114C">
              <w:rPr>
                <w:sz w:val="24"/>
                <w:szCs w:val="24"/>
              </w:rPr>
              <w:t>Word Count - 13</w:t>
            </w:r>
            <w:r w:rsidR="00A03A48">
              <w:rPr>
                <w:sz w:val="24"/>
                <w:szCs w:val="24"/>
              </w:rPr>
              <w:t>10</w:t>
            </w:r>
          </w:p>
          <w:p w14:paraId="32CFD395" w14:textId="6CFC551A" w:rsidR="002F2185" w:rsidRPr="008B28E7" w:rsidRDefault="002F2185" w:rsidP="00243DB0">
            <w:pPr>
              <w:jc w:val="both"/>
              <w:rPr>
                <w:sz w:val="24"/>
                <w:szCs w:val="24"/>
              </w:rPr>
            </w:pPr>
          </w:p>
        </w:tc>
      </w:tr>
    </w:tbl>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8E057B2" w:rsidR="00CA3593" w:rsidRPr="008B28E7" w:rsidRDefault="00EA766B" w:rsidP="00FF7EBB">
            <w:pPr>
              <w:jc w:val="both"/>
              <w:rPr>
                <w:sz w:val="24"/>
                <w:szCs w:val="24"/>
              </w:rPr>
            </w:pPr>
            <w:r>
              <w:rPr>
                <w:sz w:val="24"/>
                <w:szCs w:val="24"/>
              </w:rPr>
              <w:t>Yes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lastRenderedPageBreak/>
              <w:t>Did they explain why they were being observed?</w:t>
            </w:r>
          </w:p>
          <w:p w14:paraId="2B1CE82A" w14:textId="77777777" w:rsidR="00C7108B" w:rsidRPr="00C7108B" w:rsidRDefault="00C7108B" w:rsidP="006108C9">
            <w:pPr>
              <w:rPr>
                <w:sz w:val="22"/>
                <w:szCs w:val="22"/>
              </w:rPr>
            </w:pPr>
          </w:p>
        </w:tc>
        <w:tc>
          <w:tcPr>
            <w:tcW w:w="7470" w:type="dxa"/>
          </w:tcPr>
          <w:p w14:paraId="412E47E3" w14:textId="77777777" w:rsidR="00CA3593" w:rsidRDefault="00ED38BD" w:rsidP="00FF7EBB">
            <w:pPr>
              <w:jc w:val="both"/>
              <w:rPr>
                <w:sz w:val="24"/>
                <w:szCs w:val="24"/>
              </w:rPr>
            </w:pPr>
            <w:r>
              <w:rPr>
                <w:sz w:val="24"/>
                <w:szCs w:val="24"/>
              </w:rPr>
              <w:lastRenderedPageBreak/>
              <w:t>Yes</w:t>
            </w:r>
          </w:p>
          <w:p w14:paraId="422717BF" w14:textId="77777777" w:rsidR="006A4B47" w:rsidRDefault="006A4B47" w:rsidP="00FF7EBB">
            <w:pPr>
              <w:jc w:val="both"/>
              <w:rPr>
                <w:sz w:val="24"/>
                <w:szCs w:val="24"/>
              </w:rPr>
            </w:pPr>
          </w:p>
          <w:p w14:paraId="1894720E" w14:textId="77777777" w:rsidR="006A4B47" w:rsidRDefault="006A4B47" w:rsidP="00FF7EBB">
            <w:pPr>
              <w:jc w:val="both"/>
              <w:rPr>
                <w:sz w:val="24"/>
                <w:szCs w:val="24"/>
              </w:rPr>
            </w:pPr>
          </w:p>
          <w:p w14:paraId="136290EC" w14:textId="77777777" w:rsidR="006A4B47" w:rsidRDefault="006A4B47" w:rsidP="00FF7EBB">
            <w:pPr>
              <w:jc w:val="both"/>
              <w:rPr>
                <w:sz w:val="24"/>
                <w:szCs w:val="24"/>
              </w:rPr>
            </w:pPr>
          </w:p>
          <w:p w14:paraId="0F0363A9" w14:textId="3008A95D" w:rsidR="006A4B47" w:rsidRPr="008B28E7" w:rsidRDefault="006A4B47" w:rsidP="00FF7EBB">
            <w:pPr>
              <w:jc w:val="both"/>
              <w:rPr>
                <w:sz w:val="24"/>
                <w:szCs w:val="24"/>
              </w:rPr>
            </w:pPr>
            <w:r>
              <w:rPr>
                <w:sz w:val="24"/>
                <w:szCs w:val="24"/>
              </w:rPr>
              <w:lastRenderedPageBreak/>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BB5F788" w:rsidR="00CA3593" w:rsidRPr="008B28E7" w:rsidRDefault="00ED38BD"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798F679" w:rsidR="00CA3593" w:rsidRPr="008B28E7" w:rsidRDefault="007E66B3" w:rsidP="00FF7EBB">
            <w:pPr>
              <w:jc w:val="both"/>
              <w:rPr>
                <w:sz w:val="24"/>
                <w:szCs w:val="24"/>
              </w:rPr>
            </w:pPr>
            <w:r>
              <w:rPr>
                <w:sz w:val="24"/>
                <w:szCs w:val="24"/>
              </w:rPr>
              <w:t>Yes</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D8021EE" w:rsidR="00CA3593" w:rsidRPr="008B28E7" w:rsidRDefault="007E66B3" w:rsidP="00FF7EBB">
            <w:pPr>
              <w:jc w:val="both"/>
              <w:rPr>
                <w:sz w:val="24"/>
                <w:szCs w:val="24"/>
              </w:rPr>
            </w:pPr>
            <w:r>
              <w:rPr>
                <w:sz w:val="24"/>
                <w:szCs w:val="24"/>
              </w:rPr>
              <w:t>Yes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53B1B5BF" w:rsidR="00A12F22" w:rsidRPr="008B28E7" w:rsidRDefault="007E66B3"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22915D66" w:rsidR="00D0503D" w:rsidRPr="008B28E7" w:rsidRDefault="007E66B3"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65CB4C79" w:rsidR="00D0503D" w:rsidRPr="008B28E7" w:rsidRDefault="00BB340C" w:rsidP="00D0503D">
            <w:pPr>
              <w:jc w:val="both"/>
              <w:rPr>
                <w:sz w:val="24"/>
                <w:szCs w:val="24"/>
              </w:rPr>
            </w:pPr>
            <w:r>
              <w:rPr>
                <w:sz w:val="24"/>
                <w:szCs w:val="24"/>
              </w:rPr>
              <w:t>She visits me regularly and listens to me.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D68DA91" w14:textId="77777777" w:rsidR="00D3203C" w:rsidRDefault="00D3203C" w:rsidP="00BB340C">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645CD" w14:textId="77777777" w:rsidR="00EE7B8A" w:rsidRDefault="00EE7B8A">
      <w:r>
        <w:separator/>
      </w:r>
    </w:p>
  </w:endnote>
  <w:endnote w:type="continuationSeparator" w:id="0">
    <w:p w14:paraId="7FB4D2CF" w14:textId="77777777" w:rsidR="00EE7B8A" w:rsidRDefault="00EE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5C4D" w14:textId="77777777" w:rsidR="00EE7B8A" w:rsidRDefault="00EE7B8A">
      <w:r>
        <w:separator/>
      </w:r>
    </w:p>
  </w:footnote>
  <w:footnote w:type="continuationSeparator" w:id="0">
    <w:p w14:paraId="687E3356" w14:textId="77777777" w:rsidR="00EE7B8A" w:rsidRDefault="00EE7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69E7"/>
    <w:rsid w:val="00020EEC"/>
    <w:rsid w:val="0002440E"/>
    <w:rsid w:val="00026C8F"/>
    <w:rsid w:val="0002759A"/>
    <w:rsid w:val="00027B1F"/>
    <w:rsid w:val="0003088B"/>
    <w:rsid w:val="000325D9"/>
    <w:rsid w:val="000372B2"/>
    <w:rsid w:val="0004079F"/>
    <w:rsid w:val="00043543"/>
    <w:rsid w:val="00045B87"/>
    <w:rsid w:val="00045C07"/>
    <w:rsid w:val="00045C40"/>
    <w:rsid w:val="00046861"/>
    <w:rsid w:val="0004770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758"/>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A06"/>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33BE"/>
    <w:rsid w:val="001A59BB"/>
    <w:rsid w:val="001A607E"/>
    <w:rsid w:val="001A6A51"/>
    <w:rsid w:val="001A79C4"/>
    <w:rsid w:val="001B06D7"/>
    <w:rsid w:val="001B331A"/>
    <w:rsid w:val="001C0237"/>
    <w:rsid w:val="001C0E74"/>
    <w:rsid w:val="001C4DB8"/>
    <w:rsid w:val="001C50B8"/>
    <w:rsid w:val="001D229F"/>
    <w:rsid w:val="001E2EB6"/>
    <w:rsid w:val="001F4552"/>
    <w:rsid w:val="0020004D"/>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F9A"/>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32DF"/>
    <w:rsid w:val="00307B94"/>
    <w:rsid w:val="003106DB"/>
    <w:rsid w:val="0031350A"/>
    <w:rsid w:val="00316567"/>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543"/>
    <w:rsid w:val="00375AF5"/>
    <w:rsid w:val="003761BD"/>
    <w:rsid w:val="00377448"/>
    <w:rsid w:val="00377884"/>
    <w:rsid w:val="003826BD"/>
    <w:rsid w:val="00385414"/>
    <w:rsid w:val="00390074"/>
    <w:rsid w:val="00391577"/>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253F"/>
    <w:rsid w:val="003D4710"/>
    <w:rsid w:val="003D54BC"/>
    <w:rsid w:val="003E16D7"/>
    <w:rsid w:val="003E197E"/>
    <w:rsid w:val="003E4B70"/>
    <w:rsid w:val="003E54CF"/>
    <w:rsid w:val="003E5FBA"/>
    <w:rsid w:val="003F1233"/>
    <w:rsid w:val="003F3CA7"/>
    <w:rsid w:val="003F67A4"/>
    <w:rsid w:val="00400786"/>
    <w:rsid w:val="00401FDA"/>
    <w:rsid w:val="004046F0"/>
    <w:rsid w:val="0040668F"/>
    <w:rsid w:val="00411EF7"/>
    <w:rsid w:val="00412677"/>
    <w:rsid w:val="004128EF"/>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0B7"/>
    <w:rsid w:val="004968E2"/>
    <w:rsid w:val="004A2A49"/>
    <w:rsid w:val="004A5A64"/>
    <w:rsid w:val="004B5553"/>
    <w:rsid w:val="004B600B"/>
    <w:rsid w:val="004B6822"/>
    <w:rsid w:val="004B69F6"/>
    <w:rsid w:val="004C2D3A"/>
    <w:rsid w:val="004D03C4"/>
    <w:rsid w:val="004D0BF1"/>
    <w:rsid w:val="004D0F4E"/>
    <w:rsid w:val="004D2F60"/>
    <w:rsid w:val="004D3278"/>
    <w:rsid w:val="004D35A4"/>
    <w:rsid w:val="004D445F"/>
    <w:rsid w:val="004E087B"/>
    <w:rsid w:val="004E44A4"/>
    <w:rsid w:val="004E7B8B"/>
    <w:rsid w:val="004E7BDD"/>
    <w:rsid w:val="004F0572"/>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4F5"/>
    <w:rsid w:val="005179C3"/>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E3C"/>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FB5"/>
    <w:rsid w:val="006A4B47"/>
    <w:rsid w:val="006B4496"/>
    <w:rsid w:val="006B5E67"/>
    <w:rsid w:val="006B6612"/>
    <w:rsid w:val="006C2EB5"/>
    <w:rsid w:val="006D18A3"/>
    <w:rsid w:val="006D5970"/>
    <w:rsid w:val="006E481E"/>
    <w:rsid w:val="006E795F"/>
    <w:rsid w:val="006F0862"/>
    <w:rsid w:val="006F1438"/>
    <w:rsid w:val="006F2A9E"/>
    <w:rsid w:val="006F5ED3"/>
    <w:rsid w:val="00700249"/>
    <w:rsid w:val="00702644"/>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65E"/>
    <w:rsid w:val="007E66B3"/>
    <w:rsid w:val="007F10BD"/>
    <w:rsid w:val="007F312E"/>
    <w:rsid w:val="007F3F7E"/>
    <w:rsid w:val="007F4BA4"/>
    <w:rsid w:val="00813CEC"/>
    <w:rsid w:val="0081534C"/>
    <w:rsid w:val="00816CE7"/>
    <w:rsid w:val="008171E4"/>
    <w:rsid w:val="008208EA"/>
    <w:rsid w:val="00822308"/>
    <w:rsid w:val="00822B44"/>
    <w:rsid w:val="0082330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F7B"/>
    <w:rsid w:val="0094495F"/>
    <w:rsid w:val="009513B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3A48"/>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1AD"/>
    <w:rsid w:val="00A54A2D"/>
    <w:rsid w:val="00A54D67"/>
    <w:rsid w:val="00A55A3F"/>
    <w:rsid w:val="00A5656A"/>
    <w:rsid w:val="00A60103"/>
    <w:rsid w:val="00A652F6"/>
    <w:rsid w:val="00A65861"/>
    <w:rsid w:val="00A732EA"/>
    <w:rsid w:val="00A7489E"/>
    <w:rsid w:val="00A8015F"/>
    <w:rsid w:val="00A808D6"/>
    <w:rsid w:val="00A81010"/>
    <w:rsid w:val="00A83BEF"/>
    <w:rsid w:val="00A85039"/>
    <w:rsid w:val="00A906AA"/>
    <w:rsid w:val="00A93CBC"/>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40C"/>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4E39"/>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99D"/>
    <w:rsid w:val="00CE4BC4"/>
    <w:rsid w:val="00CE7DA2"/>
    <w:rsid w:val="00CF2F8A"/>
    <w:rsid w:val="00CF3DB3"/>
    <w:rsid w:val="00D0114C"/>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126B"/>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66B"/>
    <w:rsid w:val="00EA7ADF"/>
    <w:rsid w:val="00EB2173"/>
    <w:rsid w:val="00EB62E6"/>
    <w:rsid w:val="00EB695F"/>
    <w:rsid w:val="00EC3A85"/>
    <w:rsid w:val="00EC4B89"/>
    <w:rsid w:val="00EC59A5"/>
    <w:rsid w:val="00EC6E15"/>
    <w:rsid w:val="00ED1B30"/>
    <w:rsid w:val="00ED38BD"/>
    <w:rsid w:val="00ED5D03"/>
    <w:rsid w:val="00EE01ED"/>
    <w:rsid w:val="00EE1AC1"/>
    <w:rsid w:val="00EE39D6"/>
    <w:rsid w:val="00EE52AD"/>
    <w:rsid w:val="00EE5BC3"/>
    <w:rsid w:val="00EE6FAB"/>
    <w:rsid w:val="00EE7B8A"/>
    <w:rsid w:val="00EF328C"/>
    <w:rsid w:val="00EF68BB"/>
    <w:rsid w:val="00F01F92"/>
    <w:rsid w:val="00F030D4"/>
    <w:rsid w:val="00F04053"/>
    <w:rsid w:val="00F06573"/>
    <w:rsid w:val="00F10A08"/>
    <w:rsid w:val="00F15354"/>
    <w:rsid w:val="00F22AC5"/>
    <w:rsid w:val="00F254D1"/>
    <w:rsid w:val="00F32B82"/>
    <w:rsid w:val="00F34C86"/>
    <w:rsid w:val="00F3510B"/>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840"/>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F0572"/>
    <w:rPr>
      <w:color w:val="605E5C"/>
      <w:shd w:val="clear" w:color="auto" w:fill="E1DFDD"/>
    </w:rPr>
  </w:style>
  <w:style w:type="paragraph" w:customStyle="1" w:styleId="pdq2pgselectionanchorcontainer">
    <w:name w:val="pdq2pg_selectionanchorcontainer"/>
    <w:basedOn w:val="Normal"/>
    <w:rsid w:val="00A808D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A808D6"/>
    <w:rPr>
      <w:b/>
      <w:bCs/>
    </w:rPr>
  </w:style>
  <w:style w:type="paragraph" w:styleId="NormalWeb">
    <w:name w:val="Normal (Web)"/>
    <w:basedOn w:val="Normal"/>
    <w:uiPriority w:val="99"/>
    <w:semiHidden/>
    <w:unhideWhenUsed/>
    <w:rsid w:val="00A808D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808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2629</Words>
  <Characters>14045</Characters>
  <Application>Microsoft Office Word</Application>
  <DocSecurity>0</DocSecurity>
  <Lines>238</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Eley Williams</cp:lastModifiedBy>
  <cp:revision>45</cp:revision>
  <cp:lastPrinted>2020-02-11T19:20:00Z</cp:lastPrinted>
  <dcterms:created xsi:type="dcterms:W3CDTF">2026-09-16T14:10:00Z</dcterms:created>
  <dcterms:modified xsi:type="dcterms:W3CDTF">2026-10-06T18:27:00Z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