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B4DD209" w14:textId="20CF7BF4" w:rsidR="00A665BA" w:rsidRPr="00224E2F" w:rsidRDefault="0083266D" w:rsidP="001E3B85">
      <w:pPr>
        <w:spacing w:line="360" w:lineRule="auto"/>
        <w:jc w:val="center"/>
        <w:rPr>
          <w:rFonts w:ascii="Arial" w:hAnsi="Arial" w:cs="Arial"/>
        </w:rPr>
      </w:pPr>
      <w:r w:rsidRPr="00224E2F">
        <w:rPr>
          <w:rFonts w:ascii="Arial" w:hAnsi="Arial" w:cs="Arial"/>
        </w:rPr>
        <w:t>The law in relation to non-fatal offences against the person is no longer fit for purpose and is in need of reform</w:t>
      </w:r>
    </w:p>
    <w:p w14:paraId="4B66D55F" w14:textId="431486C9" w:rsidR="0083266D" w:rsidRPr="00224E2F" w:rsidRDefault="0083266D" w:rsidP="001E3B85">
      <w:pPr>
        <w:spacing w:line="360" w:lineRule="auto"/>
        <w:rPr>
          <w:rFonts w:ascii="Arial" w:hAnsi="Arial" w:cs="Arial"/>
        </w:rPr>
      </w:pPr>
    </w:p>
    <w:p w14:paraId="0583AEBB" w14:textId="06CF369D" w:rsidR="0083266D" w:rsidRPr="00224E2F" w:rsidRDefault="002223CC" w:rsidP="001E3B85">
      <w:pPr>
        <w:spacing w:line="360" w:lineRule="auto"/>
        <w:jc w:val="both"/>
        <w:rPr>
          <w:rFonts w:ascii="Arial" w:hAnsi="Arial" w:cs="Arial"/>
        </w:rPr>
      </w:pPr>
      <w:r w:rsidRPr="00224E2F">
        <w:rPr>
          <w:rFonts w:ascii="Arial" w:hAnsi="Arial" w:cs="Arial"/>
        </w:rPr>
        <w:t xml:space="preserve">Non-fatal offences are governed by </w:t>
      </w:r>
      <w:r w:rsidR="0083266D" w:rsidRPr="00224E2F">
        <w:rPr>
          <w:rFonts w:ascii="Arial" w:hAnsi="Arial" w:cs="Arial"/>
        </w:rPr>
        <w:t xml:space="preserve">Offences </w:t>
      </w:r>
      <w:r w:rsidRPr="00224E2F">
        <w:rPr>
          <w:rFonts w:ascii="Arial" w:hAnsi="Arial" w:cs="Arial"/>
        </w:rPr>
        <w:t>A</w:t>
      </w:r>
      <w:r w:rsidR="0083266D" w:rsidRPr="00224E2F">
        <w:rPr>
          <w:rFonts w:ascii="Arial" w:hAnsi="Arial" w:cs="Arial"/>
        </w:rPr>
        <w:t xml:space="preserve">gainst </w:t>
      </w:r>
      <w:r w:rsidR="00AB2D71" w:rsidRPr="00224E2F">
        <w:rPr>
          <w:rFonts w:ascii="Arial" w:hAnsi="Arial" w:cs="Arial"/>
        </w:rPr>
        <w:t>the</w:t>
      </w:r>
      <w:r w:rsidR="0083266D" w:rsidRPr="00224E2F">
        <w:rPr>
          <w:rFonts w:ascii="Arial" w:hAnsi="Arial" w:cs="Arial"/>
        </w:rPr>
        <w:t xml:space="preserve"> </w:t>
      </w:r>
      <w:r w:rsidRPr="00224E2F">
        <w:rPr>
          <w:rFonts w:ascii="Arial" w:hAnsi="Arial" w:cs="Arial"/>
        </w:rPr>
        <w:t>P</w:t>
      </w:r>
      <w:r w:rsidR="0083266D" w:rsidRPr="00224E2F">
        <w:rPr>
          <w:rFonts w:ascii="Arial" w:hAnsi="Arial" w:cs="Arial"/>
        </w:rPr>
        <w:t xml:space="preserve">erson </w:t>
      </w:r>
      <w:r w:rsidRPr="00224E2F">
        <w:rPr>
          <w:rFonts w:ascii="Arial" w:hAnsi="Arial" w:cs="Arial"/>
        </w:rPr>
        <w:t>A</w:t>
      </w:r>
      <w:r w:rsidR="0083266D" w:rsidRPr="00224E2F">
        <w:rPr>
          <w:rFonts w:ascii="Arial" w:hAnsi="Arial" w:cs="Arial"/>
        </w:rPr>
        <w:t>ct 1861</w:t>
      </w:r>
      <w:r w:rsidRPr="00224E2F">
        <w:rPr>
          <w:rFonts w:ascii="Arial" w:hAnsi="Arial" w:cs="Arial"/>
        </w:rPr>
        <w:t xml:space="preserve">, </w:t>
      </w:r>
      <w:r w:rsidR="00982C4C">
        <w:rPr>
          <w:rFonts w:ascii="Arial" w:hAnsi="Arial" w:cs="Arial"/>
        </w:rPr>
        <w:t xml:space="preserve">some of the offences </w:t>
      </w:r>
      <w:r w:rsidR="00937E7E">
        <w:rPr>
          <w:rFonts w:ascii="Arial" w:hAnsi="Arial" w:cs="Arial"/>
        </w:rPr>
        <w:t>covered by the Act include</w:t>
      </w:r>
      <w:r w:rsidRPr="00224E2F">
        <w:rPr>
          <w:rFonts w:ascii="Arial" w:hAnsi="Arial" w:cs="Arial"/>
        </w:rPr>
        <w:t xml:space="preserve"> </w:t>
      </w:r>
      <w:r w:rsidR="00B56C36" w:rsidRPr="00224E2F">
        <w:rPr>
          <w:rFonts w:ascii="Arial" w:hAnsi="Arial" w:cs="Arial"/>
        </w:rPr>
        <w:t>assault and battery, assault that causes actual bodily harm, wounding and causing grievous bodily harm or causing grievous bodily harm with intent</w:t>
      </w:r>
      <w:r w:rsidR="007B01C4">
        <w:rPr>
          <w:rFonts w:ascii="Arial" w:hAnsi="Arial" w:cs="Arial"/>
        </w:rPr>
        <w:t>.</w:t>
      </w:r>
      <w:r w:rsidR="00982C4C">
        <w:rPr>
          <w:rFonts w:ascii="Arial" w:hAnsi="Arial" w:cs="Arial"/>
        </w:rPr>
        <w:t xml:space="preserve"> </w:t>
      </w:r>
      <w:r w:rsidR="00B56C36" w:rsidRPr="00224E2F">
        <w:rPr>
          <w:rFonts w:ascii="Arial" w:hAnsi="Arial" w:cs="Arial"/>
        </w:rPr>
        <w:t>(Allen and Edwards, 2019).</w:t>
      </w:r>
      <w:r w:rsidR="00982C4C">
        <w:rPr>
          <w:rFonts w:ascii="Arial" w:hAnsi="Arial" w:cs="Arial"/>
        </w:rPr>
        <w:t xml:space="preserve"> This </w:t>
      </w:r>
      <w:r w:rsidR="00937E7E">
        <w:rPr>
          <w:rFonts w:ascii="Arial" w:hAnsi="Arial" w:cs="Arial"/>
        </w:rPr>
        <w:t>assignment</w:t>
      </w:r>
      <w:r w:rsidR="00982C4C">
        <w:rPr>
          <w:rFonts w:ascii="Arial" w:hAnsi="Arial" w:cs="Arial"/>
        </w:rPr>
        <w:t xml:space="preserve"> will discuss </w:t>
      </w:r>
      <w:r w:rsidR="00937E7E">
        <w:rPr>
          <w:rFonts w:ascii="Arial" w:hAnsi="Arial" w:cs="Arial"/>
        </w:rPr>
        <w:t xml:space="preserve">if </w:t>
      </w:r>
      <w:r w:rsidR="00982C4C">
        <w:rPr>
          <w:rFonts w:ascii="Arial" w:hAnsi="Arial" w:cs="Arial"/>
        </w:rPr>
        <w:t xml:space="preserve">the Act is outdated and </w:t>
      </w:r>
      <w:r w:rsidR="00937E7E">
        <w:rPr>
          <w:rFonts w:ascii="Arial" w:hAnsi="Arial" w:cs="Arial"/>
        </w:rPr>
        <w:t>analyse whether</w:t>
      </w:r>
      <w:r w:rsidR="00982C4C">
        <w:rPr>
          <w:rFonts w:ascii="Arial" w:hAnsi="Arial" w:cs="Arial"/>
        </w:rPr>
        <w:t xml:space="preserve"> it is fit for </w:t>
      </w:r>
      <w:r w:rsidR="00937E7E">
        <w:rPr>
          <w:rFonts w:ascii="Arial" w:hAnsi="Arial" w:cs="Arial"/>
        </w:rPr>
        <w:t xml:space="preserve">a </w:t>
      </w:r>
      <w:r w:rsidR="00982C4C">
        <w:rPr>
          <w:rFonts w:ascii="Arial" w:hAnsi="Arial" w:cs="Arial"/>
        </w:rPr>
        <w:t xml:space="preserve">modern society, and if reform is needed.  </w:t>
      </w:r>
    </w:p>
    <w:p w14:paraId="35B54762" w14:textId="69C2B2E1" w:rsidR="0083266D" w:rsidRDefault="0083266D" w:rsidP="001E3B85">
      <w:pPr>
        <w:spacing w:line="360" w:lineRule="auto"/>
        <w:jc w:val="both"/>
        <w:rPr>
          <w:rFonts w:ascii="Arial" w:hAnsi="Arial" w:cs="Arial"/>
        </w:rPr>
      </w:pPr>
    </w:p>
    <w:p w14:paraId="6D555E7E" w14:textId="4AA76C0F" w:rsidR="007B01C4" w:rsidRDefault="007B01C4" w:rsidP="001E3B85">
      <w:pPr>
        <w:spacing w:line="360" w:lineRule="auto"/>
        <w:jc w:val="both"/>
        <w:rPr>
          <w:rFonts w:ascii="Arial" w:hAnsi="Arial" w:cs="Arial"/>
        </w:rPr>
      </w:pPr>
      <w:r>
        <w:rPr>
          <w:rFonts w:ascii="Arial" w:hAnsi="Arial" w:cs="Arial"/>
        </w:rPr>
        <w:t xml:space="preserve">The Offences Against the Person Act 1861 is deemed to be outdated as the legislation that governs the offences are over 150 years old. Numerous offences no longer have purpose in a modern society as things have developed since the Victorian generation. </w:t>
      </w:r>
      <w:r w:rsidR="00037F12">
        <w:rPr>
          <w:rFonts w:ascii="Arial" w:hAnsi="Arial" w:cs="Arial"/>
        </w:rPr>
        <w:t>Another</w:t>
      </w:r>
      <w:r>
        <w:rPr>
          <w:rFonts w:ascii="Arial" w:hAnsi="Arial" w:cs="Arial"/>
        </w:rPr>
        <w:t xml:space="preserve"> issue that consider</w:t>
      </w:r>
      <w:r w:rsidR="00037F12">
        <w:rPr>
          <w:rFonts w:ascii="Arial" w:hAnsi="Arial" w:cs="Arial"/>
        </w:rPr>
        <w:t>s</w:t>
      </w:r>
      <w:r>
        <w:rPr>
          <w:rFonts w:ascii="Arial" w:hAnsi="Arial" w:cs="Arial"/>
        </w:rPr>
        <w:t xml:space="preserve"> the Act to be unfit for modern </w:t>
      </w:r>
      <w:r w:rsidR="008007DE">
        <w:rPr>
          <w:rFonts w:ascii="Arial" w:hAnsi="Arial" w:cs="Arial"/>
        </w:rPr>
        <w:t>days are</w:t>
      </w:r>
      <w:r>
        <w:rPr>
          <w:rFonts w:ascii="Arial" w:hAnsi="Arial" w:cs="Arial"/>
        </w:rPr>
        <w:t xml:space="preserve"> that there is a flaw within the hierarchy of offences</w:t>
      </w:r>
      <w:r w:rsidR="00037F12">
        <w:rPr>
          <w:rFonts w:ascii="Arial" w:hAnsi="Arial" w:cs="Arial"/>
        </w:rPr>
        <w:t xml:space="preserve"> and</w:t>
      </w:r>
      <w:r>
        <w:rPr>
          <w:rFonts w:ascii="Arial" w:hAnsi="Arial" w:cs="Arial"/>
        </w:rPr>
        <w:t xml:space="preserve"> the archaic language which creates unwanted complexity. Economic arguments have also </w:t>
      </w:r>
      <w:r w:rsidR="000435E7">
        <w:rPr>
          <w:rFonts w:ascii="Arial" w:hAnsi="Arial" w:cs="Arial"/>
        </w:rPr>
        <w:t xml:space="preserve">called </w:t>
      </w:r>
      <w:r>
        <w:rPr>
          <w:rFonts w:ascii="Arial" w:hAnsi="Arial" w:cs="Arial"/>
        </w:rPr>
        <w:t xml:space="preserve">for reform as it will allow </w:t>
      </w:r>
      <w:r w:rsidR="00762663">
        <w:rPr>
          <w:rFonts w:ascii="Arial" w:hAnsi="Arial" w:cs="Arial"/>
        </w:rPr>
        <w:t>more cases to remain in the Magistrates’ Court which is cheaper. (</w:t>
      </w:r>
      <w:proofErr w:type="spellStart"/>
      <w:r w:rsidR="00762663">
        <w:rPr>
          <w:rFonts w:ascii="Arial" w:hAnsi="Arial" w:cs="Arial"/>
        </w:rPr>
        <w:t>Eugenicos</w:t>
      </w:r>
      <w:proofErr w:type="spellEnd"/>
      <w:r w:rsidR="00762663">
        <w:rPr>
          <w:rFonts w:ascii="Arial" w:hAnsi="Arial" w:cs="Arial"/>
        </w:rPr>
        <w:t>, 2017).</w:t>
      </w:r>
      <w:r w:rsidR="00342B43">
        <w:rPr>
          <w:rFonts w:ascii="Arial" w:hAnsi="Arial" w:cs="Arial"/>
        </w:rPr>
        <w:t xml:space="preserve"> </w:t>
      </w:r>
      <w:r w:rsidR="00A752FD">
        <w:rPr>
          <w:rFonts w:ascii="Arial" w:hAnsi="Arial" w:cs="Arial"/>
        </w:rPr>
        <w:t xml:space="preserve">A few criticisms of the Act are that there are excessive confined offences that discuss the same subject, having less and simpler offences would allow for a better understanding. An example of this is that there seem to be three offences for poisoning, four offences of which concerns explosives and three offences that cover railways. </w:t>
      </w:r>
      <w:r w:rsidR="003D71E4">
        <w:rPr>
          <w:rFonts w:ascii="Arial" w:hAnsi="Arial" w:cs="Arial"/>
        </w:rPr>
        <w:t xml:space="preserve">The Act can be perceived as unfit as same sections that contain a series of different situations that are in relation to each other, this leaves uncertainty whether the specific section creates one or numerous offences. An example of this may be section 18 as it creates four different offences but covers ten distinguishable factual circumstances. </w:t>
      </w:r>
      <w:r w:rsidR="000F67E0">
        <w:rPr>
          <w:rFonts w:ascii="Arial" w:hAnsi="Arial" w:cs="Arial"/>
        </w:rPr>
        <w:t>(Law Commission, 2015).</w:t>
      </w:r>
      <w:r w:rsidR="005E57C9">
        <w:rPr>
          <w:rFonts w:ascii="Arial" w:hAnsi="Arial" w:cs="Arial"/>
        </w:rPr>
        <w:t xml:space="preserve"> Section 20 of the Act outlines</w:t>
      </w:r>
      <w:r w:rsidR="00BF3878">
        <w:rPr>
          <w:rFonts w:ascii="Arial" w:hAnsi="Arial" w:cs="Arial"/>
        </w:rPr>
        <w:t xml:space="preserve"> “</w:t>
      </w:r>
      <w:r w:rsidR="005E57C9">
        <w:rPr>
          <w:rFonts w:ascii="Arial" w:hAnsi="Arial" w:cs="Arial"/>
        </w:rPr>
        <w:t>inflicting bodily injury, with or without weapon</w:t>
      </w:r>
      <w:r w:rsidR="00BF3878">
        <w:rPr>
          <w:rFonts w:ascii="Arial" w:hAnsi="Arial" w:cs="Arial"/>
        </w:rPr>
        <w:t>”</w:t>
      </w:r>
      <w:r w:rsidR="005E57C9">
        <w:rPr>
          <w:rFonts w:ascii="Arial" w:hAnsi="Arial" w:cs="Arial"/>
        </w:rPr>
        <w:t xml:space="preserve">, it states that </w:t>
      </w:r>
      <w:r w:rsidR="00BF3878">
        <w:rPr>
          <w:rFonts w:ascii="Arial" w:hAnsi="Arial" w:cs="Arial"/>
        </w:rPr>
        <w:t>“</w:t>
      </w:r>
      <w:r w:rsidR="005E57C9">
        <w:rPr>
          <w:rFonts w:ascii="Arial" w:hAnsi="Arial" w:cs="Arial"/>
        </w:rPr>
        <w:t>whoever unlawfully wounds or inflicts grievous bodily harm maliciously to another person with or without any instrument will be liable and convicted</w:t>
      </w:r>
      <w:r w:rsidR="00BF3878">
        <w:rPr>
          <w:rFonts w:ascii="Arial" w:hAnsi="Arial" w:cs="Arial"/>
        </w:rPr>
        <w:t>”</w:t>
      </w:r>
      <w:r w:rsidR="005E57C9">
        <w:rPr>
          <w:rFonts w:ascii="Arial" w:hAnsi="Arial" w:cs="Arial"/>
        </w:rPr>
        <w:t xml:space="preserve">. </w:t>
      </w:r>
      <w:r w:rsidR="00BF3878">
        <w:rPr>
          <w:rFonts w:ascii="Arial" w:hAnsi="Arial" w:cs="Arial"/>
        </w:rPr>
        <w:t xml:space="preserve">Meanwhile, </w:t>
      </w:r>
      <w:r w:rsidR="005E57C9">
        <w:rPr>
          <w:rFonts w:ascii="Arial" w:hAnsi="Arial" w:cs="Arial"/>
        </w:rPr>
        <w:t xml:space="preserve">Section 47 of Offences Against the Person Act 1861 implies that any person to </w:t>
      </w:r>
      <w:r w:rsidR="00C15C53">
        <w:rPr>
          <w:rFonts w:ascii="Arial" w:hAnsi="Arial" w:cs="Arial"/>
        </w:rPr>
        <w:t>conduct an assault that occasions actual bodily harm will be liable for conviction. (Legislation.gov.uk, 2021).</w:t>
      </w:r>
      <w:r w:rsidR="00EE7707">
        <w:rPr>
          <w:rFonts w:ascii="Arial" w:hAnsi="Arial" w:cs="Arial"/>
        </w:rPr>
        <w:t xml:space="preserve"> The Law Commission emphasize </w:t>
      </w:r>
      <w:r w:rsidR="0015087B">
        <w:rPr>
          <w:rFonts w:ascii="Arial" w:hAnsi="Arial" w:cs="Arial"/>
        </w:rPr>
        <w:t>the absence of clarity in the sections between the result of which the individual’s punishment and their mental condition</w:t>
      </w:r>
      <w:r w:rsidR="00A13F29">
        <w:rPr>
          <w:rFonts w:ascii="Arial" w:hAnsi="Arial" w:cs="Arial"/>
        </w:rPr>
        <w:t>,</w:t>
      </w:r>
      <w:r w:rsidR="0015087B">
        <w:rPr>
          <w:rFonts w:ascii="Arial" w:hAnsi="Arial" w:cs="Arial"/>
        </w:rPr>
        <w:t xml:space="preserve"> that would be sufficient for a conviction. It is irrational </w:t>
      </w:r>
      <w:r w:rsidR="000D1317">
        <w:rPr>
          <w:rFonts w:ascii="Arial" w:hAnsi="Arial" w:cs="Arial"/>
        </w:rPr>
        <w:t xml:space="preserve">that the less severe offence in section 47 is subject to a same utmost punishment of five years as in section 20. It was also astonishing that the </w:t>
      </w:r>
      <w:r w:rsidR="000D1317">
        <w:rPr>
          <w:rFonts w:ascii="Arial" w:hAnsi="Arial" w:cs="Arial"/>
        </w:rPr>
        <w:lastRenderedPageBreak/>
        <w:t xml:space="preserve">contemplation of s. 20 had appeared again in R v </w:t>
      </w:r>
      <w:proofErr w:type="spellStart"/>
      <w:r w:rsidR="000D1317">
        <w:rPr>
          <w:rFonts w:ascii="Arial" w:hAnsi="Arial" w:cs="Arial"/>
        </w:rPr>
        <w:t>Mandair</w:t>
      </w:r>
      <w:proofErr w:type="spellEnd"/>
      <w:r w:rsidR="000D1317">
        <w:rPr>
          <w:rFonts w:ascii="Arial" w:hAnsi="Arial" w:cs="Arial"/>
        </w:rPr>
        <w:t xml:space="preserve"> (1994) in the House of Lords, after it had been thoroughly questioned </w:t>
      </w:r>
      <w:r w:rsidR="00BE036B">
        <w:rPr>
          <w:rFonts w:ascii="Arial" w:hAnsi="Arial" w:cs="Arial"/>
        </w:rPr>
        <w:t xml:space="preserve">in R v Savage (1991). Lord </w:t>
      </w:r>
      <w:proofErr w:type="spellStart"/>
      <w:r w:rsidR="00BE036B">
        <w:rPr>
          <w:rFonts w:ascii="Arial" w:hAnsi="Arial" w:cs="Arial"/>
        </w:rPr>
        <w:t>Mustill</w:t>
      </w:r>
      <w:proofErr w:type="spellEnd"/>
      <w:r w:rsidR="00BE036B">
        <w:rPr>
          <w:rFonts w:ascii="Arial" w:hAnsi="Arial" w:cs="Arial"/>
        </w:rPr>
        <w:t xml:space="preserve"> stated in </w:t>
      </w:r>
      <w:proofErr w:type="spellStart"/>
      <w:r w:rsidR="00BE036B">
        <w:rPr>
          <w:rFonts w:ascii="Arial" w:hAnsi="Arial" w:cs="Arial"/>
        </w:rPr>
        <w:t>Mandair</w:t>
      </w:r>
      <w:proofErr w:type="spellEnd"/>
      <w:r w:rsidR="00BE036B">
        <w:rPr>
          <w:rFonts w:ascii="Arial" w:hAnsi="Arial" w:cs="Arial"/>
        </w:rPr>
        <w:t xml:space="preserve"> that the outdated legislation is long delayed for repeal which is situated on logic and uses language that will be easier for everyone to comprehend. </w:t>
      </w:r>
      <w:r w:rsidR="005439A7">
        <w:rPr>
          <w:rFonts w:ascii="Arial" w:hAnsi="Arial" w:cs="Arial"/>
        </w:rPr>
        <w:t xml:space="preserve">Courts have had trouble to provide consistent results and interpretation to the Act. </w:t>
      </w:r>
      <w:r w:rsidR="00A93466">
        <w:rPr>
          <w:rFonts w:ascii="Arial" w:hAnsi="Arial" w:cs="Arial"/>
        </w:rPr>
        <w:t>(Reed, 1995).</w:t>
      </w:r>
    </w:p>
    <w:p w14:paraId="6470DDC9" w14:textId="57F48989" w:rsidR="00CC4CE7" w:rsidRDefault="00742107" w:rsidP="001E3B85">
      <w:pPr>
        <w:spacing w:line="360" w:lineRule="auto"/>
        <w:jc w:val="both"/>
        <w:rPr>
          <w:rFonts w:ascii="Arial" w:hAnsi="Arial" w:cs="Arial"/>
        </w:rPr>
      </w:pPr>
      <w:r>
        <w:rPr>
          <w:rFonts w:ascii="Arial" w:hAnsi="Arial" w:cs="Arial"/>
        </w:rPr>
        <w:t xml:space="preserve"> </w:t>
      </w:r>
    </w:p>
    <w:p w14:paraId="0F7E4508" w14:textId="7497F34A" w:rsidR="000F67E0" w:rsidRDefault="00185E13" w:rsidP="001E3B85">
      <w:pPr>
        <w:spacing w:line="360" w:lineRule="auto"/>
        <w:jc w:val="both"/>
        <w:rPr>
          <w:rFonts w:ascii="Arial" w:hAnsi="Arial" w:cs="Arial"/>
        </w:rPr>
      </w:pPr>
      <w:r>
        <w:rPr>
          <w:rFonts w:ascii="Arial" w:hAnsi="Arial" w:cs="Arial"/>
        </w:rPr>
        <w:t>There has been d</w:t>
      </w:r>
      <w:r w:rsidR="00742107">
        <w:rPr>
          <w:rFonts w:ascii="Arial" w:hAnsi="Arial" w:cs="Arial"/>
        </w:rPr>
        <w:t>isagreement with reform</w:t>
      </w:r>
      <w:r>
        <w:rPr>
          <w:rFonts w:ascii="Arial" w:hAnsi="Arial" w:cs="Arial"/>
        </w:rPr>
        <w:t xml:space="preserve"> </w:t>
      </w:r>
      <w:r w:rsidR="00C95DD4">
        <w:rPr>
          <w:rFonts w:ascii="Arial" w:hAnsi="Arial" w:cs="Arial"/>
        </w:rPr>
        <w:t xml:space="preserve">of the Act </w:t>
      </w:r>
      <w:r>
        <w:rPr>
          <w:rFonts w:ascii="Arial" w:hAnsi="Arial" w:cs="Arial"/>
        </w:rPr>
        <w:t xml:space="preserve">by the Bar Council and </w:t>
      </w:r>
      <w:r w:rsidR="00C95DD4">
        <w:rPr>
          <w:rFonts w:ascii="Arial" w:hAnsi="Arial" w:cs="Arial"/>
        </w:rPr>
        <w:t>Criminal Bar Association, they believe that faults were to be considered theoretical as the legal definitions were cleared up by judicial conclusions and that it worked effectively in practice. They suggested the change of a few needless offences to be removed and a change to the hierarchy of offences</w:t>
      </w:r>
      <w:r w:rsidR="007E5F45">
        <w:rPr>
          <w:rFonts w:ascii="Arial" w:hAnsi="Arial" w:cs="Arial"/>
        </w:rPr>
        <w:t>,</w:t>
      </w:r>
      <w:r w:rsidR="00C95DD4">
        <w:rPr>
          <w:rFonts w:ascii="Arial" w:hAnsi="Arial" w:cs="Arial"/>
        </w:rPr>
        <w:t xml:space="preserve"> without a complete replacement of the Act. The London Criminal Courts Solicitors’ Association agreed that updating the language would be essential, however, most definitions were acknowledged </w:t>
      </w:r>
      <w:r w:rsidR="008B46D3">
        <w:rPr>
          <w:rFonts w:ascii="Arial" w:hAnsi="Arial" w:cs="Arial"/>
        </w:rPr>
        <w:t xml:space="preserve">and that changing the language to more modern terms might cause issues. </w:t>
      </w:r>
      <w:r w:rsidR="00F6271D">
        <w:rPr>
          <w:rFonts w:ascii="Arial" w:hAnsi="Arial" w:cs="Arial"/>
        </w:rPr>
        <w:t xml:space="preserve">Abolishing unwanted offences from the Act was insignificant compared to the substantial </w:t>
      </w:r>
      <w:r w:rsidR="00432E30">
        <w:rPr>
          <w:rFonts w:ascii="Arial" w:hAnsi="Arial" w:cs="Arial"/>
        </w:rPr>
        <w:t>number</w:t>
      </w:r>
      <w:r w:rsidR="00F6271D">
        <w:rPr>
          <w:rFonts w:ascii="Arial" w:hAnsi="Arial" w:cs="Arial"/>
        </w:rPr>
        <w:t xml:space="preserve"> of new offences that are created regularly which are rarely prosecuted. John Spencer believed that the faults in the language and arrangement within the Act were not </w:t>
      </w:r>
      <w:r w:rsidR="007E5F45">
        <w:rPr>
          <w:rFonts w:ascii="Arial" w:hAnsi="Arial" w:cs="Arial"/>
        </w:rPr>
        <w:t>crucial</w:t>
      </w:r>
      <w:r w:rsidR="00F6271D">
        <w:rPr>
          <w:rFonts w:ascii="Arial" w:hAnsi="Arial" w:cs="Arial"/>
        </w:rPr>
        <w:t xml:space="preserve">, however he stated that the </w:t>
      </w:r>
      <w:r w:rsidR="00432E30">
        <w:rPr>
          <w:rFonts w:ascii="Arial" w:hAnsi="Arial" w:cs="Arial"/>
        </w:rPr>
        <w:t>number</w:t>
      </w:r>
      <w:r w:rsidR="00F6271D">
        <w:rPr>
          <w:rFonts w:ascii="Arial" w:hAnsi="Arial" w:cs="Arial"/>
        </w:rPr>
        <w:t xml:space="preserve"> of offences that relate to assault and injuries could potentially be reduced. (Law Commission, </w:t>
      </w:r>
      <w:r w:rsidR="004B2037">
        <w:rPr>
          <w:rFonts w:ascii="Arial" w:hAnsi="Arial" w:cs="Arial"/>
        </w:rPr>
        <w:t xml:space="preserve">2015). </w:t>
      </w:r>
    </w:p>
    <w:p w14:paraId="313C0360" w14:textId="2858F83B" w:rsidR="0083266D" w:rsidRDefault="0083266D" w:rsidP="001E3B85">
      <w:pPr>
        <w:spacing w:line="360" w:lineRule="auto"/>
        <w:jc w:val="both"/>
        <w:rPr>
          <w:rFonts w:ascii="Arial" w:hAnsi="Arial" w:cs="Arial"/>
        </w:rPr>
      </w:pPr>
    </w:p>
    <w:p w14:paraId="7837B7E3" w14:textId="59955CDD" w:rsidR="000435E7" w:rsidRPr="00224E2F" w:rsidRDefault="000435E7" w:rsidP="001E3B85">
      <w:pPr>
        <w:spacing w:line="360" w:lineRule="auto"/>
        <w:jc w:val="both"/>
        <w:rPr>
          <w:rFonts w:ascii="Arial" w:hAnsi="Arial" w:cs="Arial"/>
        </w:rPr>
      </w:pPr>
      <w:r>
        <w:rPr>
          <w:rFonts w:ascii="Arial" w:hAnsi="Arial" w:cs="Arial"/>
        </w:rPr>
        <w:t xml:space="preserve">Several members of the judiciary </w:t>
      </w:r>
      <w:r w:rsidR="00637C82">
        <w:rPr>
          <w:rFonts w:ascii="Arial" w:hAnsi="Arial" w:cs="Arial"/>
        </w:rPr>
        <w:t xml:space="preserve">and commentators </w:t>
      </w:r>
      <w:r>
        <w:rPr>
          <w:rFonts w:ascii="Arial" w:hAnsi="Arial" w:cs="Arial"/>
        </w:rPr>
        <w:t>perceive that the language</w:t>
      </w:r>
      <w:r w:rsidR="00637C82">
        <w:rPr>
          <w:rFonts w:ascii="Arial" w:hAnsi="Arial" w:cs="Arial"/>
        </w:rPr>
        <w:t xml:space="preserve"> used</w:t>
      </w:r>
      <w:r>
        <w:rPr>
          <w:rFonts w:ascii="Arial" w:hAnsi="Arial" w:cs="Arial"/>
        </w:rPr>
        <w:t xml:space="preserve"> in the Act </w:t>
      </w:r>
      <w:r w:rsidR="00637C82">
        <w:rPr>
          <w:rFonts w:ascii="Arial" w:hAnsi="Arial" w:cs="Arial"/>
        </w:rPr>
        <w:t xml:space="preserve">is deemed archaic as it fails to outline the offences using clear and straightforward language. This suggests that courts have previously had to accord “a strained interpretation of the meaning of the sections’ words” in some instances. An example of this could be psychological problems </w:t>
      </w:r>
      <w:r w:rsidR="003562C0">
        <w:rPr>
          <w:rFonts w:ascii="Arial" w:hAnsi="Arial" w:cs="Arial"/>
        </w:rPr>
        <w:t>with</w:t>
      </w:r>
      <w:r w:rsidR="00637C82">
        <w:rPr>
          <w:rFonts w:ascii="Arial" w:hAnsi="Arial" w:cs="Arial"/>
        </w:rPr>
        <w:t xml:space="preserve"> the term of ‘bodily harm’. </w:t>
      </w:r>
      <w:r w:rsidR="00EC3136">
        <w:rPr>
          <w:rFonts w:ascii="Arial" w:hAnsi="Arial" w:cs="Arial"/>
        </w:rPr>
        <w:t xml:space="preserve">(Herring, 2018). </w:t>
      </w:r>
      <w:r w:rsidR="00C16595">
        <w:rPr>
          <w:rFonts w:ascii="Arial" w:hAnsi="Arial" w:cs="Arial"/>
        </w:rPr>
        <w:t xml:space="preserve">A jury should not be distracted from their role by the worry of not understanding the language which is described as “ambiguous and alien”. The old-fashioned terms that have an absence of clarity and attempts of failure to define phrases on the judiciary’s part has shown how unfit the Act is. </w:t>
      </w:r>
      <w:r w:rsidR="00753DD7">
        <w:rPr>
          <w:rFonts w:ascii="Arial" w:hAnsi="Arial" w:cs="Arial"/>
        </w:rPr>
        <w:t xml:space="preserve">The case of Ireland and Burstow (1998) gave a clearer understanding of the terms ‘inflict’ and </w:t>
      </w:r>
      <w:proofErr w:type="spellStart"/>
      <w:r w:rsidR="00753DD7">
        <w:rPr>
          <w:rFonts w:ascii="Arial" w:hAnsi="Arial" w:cs="Arial"/>
        </w:rPr>
        <w:t>‘cause</w:t>
      </w:r>
      <w:proofErr w:type="spellEnd"/>
      <w:r w:rsidR="00753DD7">
        <w:rPr>
          <w:rFonts w:ascii="Arial" w:hAnsi="Arial" w:cs="Arial"/>
        </w:rPr>
        <w:t xml:space="preserve">’ by Lord Hope, however, Michael Allen reasons that in his attempt to do this, he had caused farther instability within the law. In </w:t>
      </w:r>
      <w:r w:rsidR="003562C0">
        <w:rPr>
          <w:rFonts w:ascii="Arial" w:hAnsi="Arial" w:cs="Arial"/>
        </w:rPr>
        <w:t>the</w:t>
      </w:r>
      <w:r w:rsidR="00753DD7">
        <w:rPr>
          <w:rFonts w:ascii="Arial" w:hAnsi="Arial" w:cs="Arial"/>
        </w:rPr>
        <w:t xml:space="preserve"> Law Commission’s </w:t>
      </w:r>
      <w:proofErr w:type="gramStart"/>
      <w:r w:rsidR="00753DD7">
        <w:rPr>
          <w:rFonts w:ascii="Arial" w:hAnsi="Arial" w:cs="Arial"/>
        </w:rPr>
        <w:t>Bill</w:t>
      </w:r>
      <w:proofErr w:type="gramEnd"/>
      <w:r w:rsidR="00753DD7">
        <w:rPr>
          <w:rFonts w:ascii="Arial" w:hAnsi="Arial" w:cs="Arial"/>
        </w:rPr>
        <w:t xml:space="preserve"> they have drafted, the words inflict and cause are to be replaced using ‘injury’ and ‘serious injury’ which is </w:t>
      </w:r>
      <w:r w:rsidR="00753DD7">
        <w:rPr>
          <w:rFonts w:ascii="Arial" w:hAnsi="Arial" w:cs="Arial"/>
        </w:rPr>
        <w:lastRenderedPageBreak/>
        <w:t xml:space="preserve">understood clearly, it is accessible and uses the natural meaning of the words. This will </w:t>
      </w:r>
      <w:r w:rsidR="003562C0">
        <w:rPr>
          <w:rFonts w:ascii="Arial" w:hAnsi="Arial" w:cs="Arial"/>
        </w:rPr>
        <w:t>help</w:t>
      </w:r>
      <w:r w:rsidR="00753DD7">
        <w:rPr>
          <w:rFonts w:ascii="Arial" w:hAnsi="Arial" w:cs="Arial"/>
        </w:rPr>
        <w:t xml:space="preserve"> the judiciary to distinguish among the two meanings of harm. </w:t>
      </w:r>
      <w:r w:rsidR="009D4FE9">
        <w:rPr>
          <w:rFonts w:ascii="Arial" w:hAnsi="Arial" w:cs="Arial"/>
        </w:rPr>
        <w:t>(</w:t>
      </w:r>
      <w:proofErr w:type="spellStart"/>
      <w:r w:rsidR="009D4FE9">
        <w:rPr>
          <w:rFonts w:ascii="Arial" w:hAnsi="Arial" w:cs="Arial"/>
        </w:rPr>
        <w:t>McCombe</w:t>
      </w:r>
      <w:proofErr w:type="spellEnd"/>
      <w:r w:rsidR="009D4FE9">
        <w:rPr>
          <w:rFonts w:ascii="Arial" w:hAnsi="Arial" w:cs="Arial"/>
        </w:rPr>
        <w:t xml:space="preserve">, 2017). </w:t>
      </w:r>
      <w:r w:rsidR="007A1C0E">
        <w:rPr>
          <w:rFonts w:ascii="Arial" w:hAnsi="Arial" w:cs="Arial"/>
        </w:rPr>
        <w:t xml:space="preserve">The Offences Against the Person Act is understood to be drafted in </w:t>
      </w:r>
      <w:r w:rsidR="002F3E8C">
        <w:rPr>
          <w:rFonts w:ascii="Arial" w:hAnsi="Arial" w:cs="Arial"/>
        </w:rPr>
        <w:t xml:space="preserve">a </w:t>
      </w:r>
      <w:r w:rsidR="007A1C0E">
        <w:rPr>
          <w:rFonts w:ascii="Arial" w:hAnsi="Arial" w:cs="Arial"/>
        </w:rPr>
        <w:t xml:space="preserve">complex and unnecessary way as the offences are excessively particular with the </w:t>
      </w:r>
      <w:r w:rsidR="00DD7AB3">
        <w:rPr>
          <w:rFonts w:ascii="Arial" w:hAnsi="Arial" w:cs="Arial"/>
        </w:rPr>
        <w:t>explanations</w:t>
      </w:r>
      <w:r w:rsidR="007A1C0E">
        <w:rPr>
          <w:rFonts w:ascii="Arial" w:hAnsi="Arial" w:cs="Arial"/>
        </w:rPr>
        <w:t xml:space="preserve">. </w:t>
      </w:r>
      <w:r w:rsidR="00343535">
        <w:rPr>
          <w:rFonts w:ascii="Arial" w:hAnsi="Arial" w:cs="Arial"/>
        </w:rPr>
        <w:t>This is due to the style of the</w:t>
      </w:r>
      <w:r w:rsidR="00DD7AB3">
        <w:rPr>
          <w:rFonts w:ascii="Arial" w:hAnsi="Arial" w:cs="Arial"/>
        </w:rPr>
        <w:t xml:space="preserve"> time in which it was </w:t>
      </w:r>
      <w:r w:rsidR="00343535">
        <w:rPr>
          <w:rFonts w:ascii="Arial" w:hAnsi="Arial" w:cs="Arial"/>
        </w:rPr>
        <w:t>draft</w:t>
      </w:r>
      <w:r w:rsidR="00DD7AB3">
        <w:rPr>
          <w:rFonts w:ascii="Arial" w:hAnsi="Arial" w:cs="Arial"/>
        </w:rPr>
        <w:t>ed</w:t>
      </w:r>
      <w:r w:rsidR="00343535">
        <w:rPr>
          <w:rFonts w:ascii="Arial" w:hAnsi="Arial" w:cs="Arial"/>
        </w:rPr>
        <w:t xml:space="preserve"> in the Victorian era. An example of a term which should not be used in criminal trials would be “detainer” which is an antiquated use of terminolog</w:t>
      </w:r>
      <w:r w:rsidR="002F3E8C">
        <w:rPr>
          <w:rFonts w:ascii="Arial" w:hAnsi="Arial" w:cs="Arial"/>
        </w:rPr>
        <w:t xml:space="preserve">y </w:t>
      </w:r>
      <w:r w:rsidR="00DD7AB3">
        <w:rPr>
          <w:rFonts w:ascii="Arial" w:hAnsi="Arial" w:cs="Arial"/>
        </w:rPr>
        <w:t>that</w:t>
      </w:r>
      <w:r w:rsidR="00343535">
        <w:rPr>
          <w:rFonts w:ascii="Arial" w:hAnsi="Arial" w:cs="Arial"/>
        </w:rPr>
        <w:t xml:space="preserve"> c</w:t>
      </w:r>
      <w:r w:rsidR="00DD7AB3">
        <w:rPr>
          <w:rFonts w:ascii="Arial" w:hAnsi="Arial" w:cs="Arial"/>
        </w:rPr>
        <w:t>ould</w:t>
      </w:r>
      <w:r w:rsidR="00343535">
        <w:rPr>
          <w:rFonts w:ascii="Arial" w:hAnsi="Arial" w:cs="Arial"/>
        </w:rPr>
        <w:t xml:space="preserve"> </w:t>
      </w:r>
      <w:r w:rsidR="002F3E8C">
        <w:rPr>
          <w:rFonts w:ascii="Arial" w:hAnsi="Arial" w:cs="Arial"/>
        </w:rPr>
        <w:t xml:space="preserve">potentially </w:t>
      </w:r>
      <w:r w:rsidR="00343535">
        <w:rPr>
          <w:rFonts w:ascii="Arial" w:hAnsi="Arial" w:cs="Arial"/>
        </w:rPr>
        <w:t>cause confusion to lawyers and judges as well as narrowing the accessibility of understanding the law to lay persons. The use of unsuitable</w:t>
      </w:r>
      <w:r w:rsidR="002F3E8C">
        <w:rPr>
          <w:rFonts w:ascii="Arial" w:hAnsi="Arial" w:cs="Arial"/>
        </w:rPr>
        <w:t>,</w:t>
      </w:r>
      <w:r w:rsidR="00343535">
        <w:rPr>
          <w:rFonts w:ascii="Arial" w:hAnsi="Arial" w:cs="Arial"/>
        </w:rPr>
        <w:t xml:space="preserve"> old language can be seen as crucial when the numbers of self-represented defendants increas</w:t>
      </w:r>
      <w:r w:rsidR="00C01594">
        <w:rPr>
          <w:rFonts w:ascii="Arial" w:hAnsi="Arial" w:cs="Arial"/>
        </w:rPr>
        <w:t>e</w:t>
      </w:r>
      <w:r w:rsidR="00343535">
        <w:rPr>
          <w:rFonts w:ascii="Arial" w:hAnsi="Arial" w:cs="Arial"/>
        </w:rPr>
        <w:t xml:space="preserve">. (Law Commission, 2015). </w:t>
      </w:r>
    </w:p>
    <w:p w14:paraId="0F4AE8FC" w14:textId="6FB45D4F" w:rsidR="0027272B" w:rsidRDefault="0027272B" w:rsidP="001E3B85">
      <w:pPr>
        <w:spacing w:line="360" w:lineRule="auto"/>
        <w:jc w:val="both"/>
        <w:rPr>
          <w:rFonts w:ascii="Arial" w:hAnsi="Arial" w:cs="Arial"/>
        </w:rPr>
      </w:pPr>
    </w:p>
    <w:p w14:paraId="31C5BEB2" w14:textId="60B0C862" w:rsidR="00C76A35" w:rsidRDefault="00334CF4" w:rsidP="00224E2F">
      <w:pPr>
        <w:spacing w:line="360" w:lineRule="auto"/>
        <w:jc w:val="both"/>
        <w:rPr>
          <w:rFonts w:ascii="Arial" w:hAnsi="Arial" w:cs="Arial"/>
        </w:rPr>
      </w:pPr>
      <w:r>
        <w:rPr>
          <w:rFonts w:ascii="Arial" w:hAnsi="Arial" w:cs="Arial"/>
        </w:rPr>
        <w:t xml:space="preserve">Another criticism that is in favour </w:t>
      </w:r>
      <w:r w:rsidR="003C1632">
        <w:rPr>
          <w:rFonts w:ascii="Arial" w:hAnsi="Arial" w:cs="Arial"/>
        </w:rPr>
        <w:t>of</w:t>
      </w:r>
      <w:r>
        <w:rPr>
          <w:rFonts w:ascii="Arial" w:hAnsi="Arial" w:cs="Arial"/>
        </w:rPr>
        <w:t xml:space="preserve"> a reform </w:t>
      </w:r>
      <w:r w:rsidR="003C1632">
        <w:rPr>
          <w:rFonts w:ascii="Arial" w:hAnsi="Arial" w:cs="Arial"/>
        </w:rPr>
        <w:t xml:space="preserve">for </w:t>
      </w:r>
      <w:r>
        <w:rPr>
          <w:rFonts w:ascii="Arial" w:hAnsi="Arial" w:cs="Arial"/>
        </w:rPr>
        <w:t xml:space="preserve">the Act is that </w:t>
      </w:r>
      <w:r w:rsidR="002B0748">
        <w:rPr>
          <w:rFonts w:ascii="Arial" w:hAnsi="Arial" w:cs="Arial"/>
        </w:rPr>
        <w:t xml:space="preserve">the </w:t>
      </w:r>
      <w:r>
        <w:rPr>
          <w:rFonts w:ascii="Arial" w:hAnsi="Arial" w:cs="Arial"/>
        </w:rPr>
        <w:t xml:space="preserve">offences </w:t>
      </w:r>
      <w:r w:rsidR="003C1632">
        <w:rPr>
          <w:rFonts w:ascii="Arial" w:hAnsi="Arial" w:cs="Arial"/>
        </w:rPr>
        <w:t>of which OAPA 1861 cover</w:t>
      </w:r>
      <w:r>
        <w:rPr>
          <w:rFonts w:ascii="Arial" w:hAnsi="Arial" w:cs="Arial"/>
        </w:rPr>
        <w:t xml:space="preserve"> are no longer used in </w:t>
      </w:r>
      <w:r w:rsidR="002B0748">
        <w:rPr>
          <w:rFonts w:ascii="Arial" w:hAnsi="Arial" w:cs="Arial"/>
        </w:rPr>
        <w:t xml:space="preserve">a </w:t>
      </w:r>
      <w:r>
        <w:rPr>
          <w:rFonts w:ascii="Arial" w:hAnsi="Arial" w:cs="Arial"/>
        </w:rPr>
        <w:t>modern societ</w:t>
      </w:r>
      <w:r w:rsidR="00E02F64">
        <w:rPr>
          <w:rFonts w:ascii="Arial" w:hAnsi="Arial" w:cs="Arial"/>
        </w:rPr>
        <w:t>y.</w:t>
      </w:r>
      <w:r w:rsidR="00297934">
        <w:rPr>
          <w:rFonts w:ascii="Arial" w:hAnsi="Arial" w:cs="Arial"/>
        </w:rPr>
        <w:t xml:space="preserve"> The use of offences that include factual scenarios that are detached from today’s society can be s.17 which covers the prevention to escape a </w:t>
      </w:r>
      <w:r w:rsidR="00AB2D71">
        <w:rPr>
          <w:rFonts w:ascii="Arial" w:hAnsi="Arial" w:cs="Arial"/>
        </w:rPr>
        <w:t>shipwreck</w:t>
      </w:r>
      <w:r w:rsidR="00297934">
        <w:rPr>
          <w:rFonts w:ascii="Arial" w:hAnsi="Arial" w:cs="Arial"/>
        </w:rPr>
        <w:t xml:space="preserve"> as well as criminalising the force of preventing someone else from rescuing people who were </w:t>
      </w:r>
      <w:r w:rsidR="003C1632">
        <w:rPr>
          <w:rFonts w:ascii="Arial" w:hAnsi="Arial" w:cs="Arial"/>
        </w:rPr>
        <w:t>“</w:t>
      </w:r>
      <w:r w:rsidR="00297934">
        <w:rPr>
          <w:rFonts w:ascii="Arial" w:hAnsi="Arial" w:cs="Arial"/>
        </w:rPr>
        <w:t>distressed, deserted or wrecked</w:t>
      </w:r>
      <w:r w:rsidR="003C1632">
        <w:rPr>
          <w:rFonts w:ascii="Arial" w:hAnsi="Arial" w:cs="Arial"/>
        </w:rPr>
        <w:t>”</w:t>
      </w:r>
      <w:r w:rsidR="00297934">
        <w:rPr>
          <w:rFonts w:ascii="Arial" w:hAnsi="Arial" w:cs="Arial"/>
        </w:rPr>
        <w:t>. (</w:t>
      </w:r>
      <w:proofErr w:type="spellStart"/>
      <w:r w:rsidR="00297934">
        <w:rPr>
          <w:rFonts w:ascii="Arial" w:hAnsi="Arial" w:cs="Arial"/>
        </w:rPr>
        <w:t>Eugenicos</w:t>
      </w:r>
      <w:proofErr w:type="spellEnd"/>
      <w:r w:rsidR="00297934">
        <w:rPr>
          <w:rFonts w:ascii="Arial" w:hAnsi="Arial" w:cs="Arial"/>
        </w:rPr>
        <w:t xml:space="preserve">, 2017). </w:t>
      </w:r>
      <w:r w:rsidR="00E02F64">
        <w:rPr>
          <w:rFonts w:ascii="Arial" w:hAnsi="Arial" w:cs="Arial"/>
        </w:rPr>
        <w:t xml:space="preserve">There are suggestions that some </w:t>
      </w:r>
      <w:r w:rsidR="002B0748">
        <w:rPr>
          <w:rFonts w:ascii="Arial" w:hAnsi="Arial" w:cs="Arial"/>
        </w:rPr>
        <w:t xml:space="preserve">of the </w:t>
      </w:r>
      <w:r w:rsidR="00E02F64">
        <w:rPr>
          <w:rFonts w:ascii="Arial" w:hAnsi="Arial" w:cs="Arial"/>
        </w:rPr>
        <w:t xml:space="preserve">offences that are unlikely to be used and </w:t>
      </w:r>
      <w:r w:rsidR="003C1632">
        <w:rPr>
          <w:rFonts w:ascii="Arial" w:hAnsi="Arial" w:cs="Arial"/>
        </w:rPr>
        <w:t xml:space="preserve">are </w:t>
      </w:r>
      <w:r w:rsidR="00E02F64">
        <w:rPr>
          <w:rFonts w:ascii="Arial" w:hAnsi="Arial" w:cs="Arial"/>
        </w:rPr>
        <w:t xml:space="preserve">unnecessary should be removed from the Act. </w:t>
      </w:r>
      <w:r w:rsidR="00D13813">
        <w:rPr>
          <w:rFonts w:ascii="Arial" w:hAnsi="Arial" w:cs="Arial"/>
        </w:rPr>
        <w:t xml:space="preserve">The significance that several offences in the Act have been overruled by modern legislation which makes the older legislation forceless, this supports the idea that the Offences Against the Person Act is outdated. The hierarchy of offences </w:t>
      </w:r>
      <w:r w:rsidR="002B0748">
        <w:rPr>
          <w:rFonts w:ascii="Arial" w:hAnsi="Arial" w:cs="Arial"/>
        </w:rPr>
        <w:t xml:space="preserve">also </w:t>
      </w:r>
      <w:r w:rsidR="00D13813">
        <w:rPr>
          <w:rFonts w:ascii="Arial" w:hAnsi="Arial" w:cs="Arial"/>
        </w:rPr>
        <w:t>has a lack of structure</w:t>
      </w:r>
      <w:r w:rsidR="002B0748">
        <w:rPr>
          <w:rFonts w:ascii="Arial" w:hAnsi="Arial" w:cs="Arial"/>
        </w:rPr>
        <w:t xml:space="preserve">, this being that </w:t>
      </w:r>
      <w:r w:rsidR="00660AB4">
        <w:rPr>
          <w:rFonts w:ascii="Arial" w:hAnsi="Arial" w:cs="Arial"/>
        </w:rPr>
        <w:t>it</w:t>
      </w:r>
      <w:r w:rsidR="00D13813">
        <w:rPr>
          <w:rFonts w:ascii="Arial" w:hAnsi="Arial" w:cs="Arial"/>
        </w:rPr>
        <w:t xml:space="preserve"> relates to “common assault to s.47 actual bodily harm (ABH)”</w:t>
      </w:r>
      <w:r w:rsidR="00AF2D06">
        <w:rPr>
          <w:rFonts w:ascii="Arial" w:hAnsi="Arial" w:cs="Arial"/>
        </w:rPr>
        <w:t xml:space="preserve"> to the offences covered by s.20 and s.18 of the Act. This unclear understanding of the seriousness of offences originated from the failure of clear distinctions of the three offences and its substantial use of constructive liability. The main issue which creates the unclear and ineffective hierarchy is that both sections 18 and 20 both have the maximum sentence of punishment of five years although the offences cover different types of harm.</w:t>
      </w:r>
      <w:r w:rsidR="00965A39">
        <w:rPr>
          <w:rFonts w:ascii="Arial" w:hAnsi="Arial" w:cs="Arial"/>
        </w:rPr>
        <w:t xml:space="preserve"> (Demetriou, 2016).</w:t>
      </w:r>
      <w:r w:rsidR="00AF2D06">
        <w:rPr>
          <w:rFonts w:ascii="Arial" w:hAnsi="Arial" w:cs="Arial"/>
        </w:rPr>
        <w:t xml:space="preserve"> </w:t>
      </w:r>
    </w:p>
    <w:p w14:paraId="1208EF0A" w14:textId="42DBE693" w:rsidR="00B156C6" w:rsidRDefault="00AF2D06" w:rsidP="00224E2F">
      <w:pPr>
        <w:spacing w:line="360" w:lineRule="auto"/>
        <w:jc w:val="both"/>
        <w:rPr>
          <w:rFonts w:ascii="Arial" w:hAnsi="Arial" w:cs="Arial"/>
        </w:rPr>
      </w:pPr>
      <w:r>
        <w:rPr>
          <w:rFonts w:ascii="Arial" w:hAnsi="Arial" w:cs="Arial"/>
        </w:rPr>
        <w:t xml:space="preserve">The harm of </w:t>
      </w:r>
      <w:r w:rsidR="008B68D0">
        <w:rPr>
          <w:rFonts w:ascii="Arial" w:hAnsi="Arial" w:cs="Arial"/>
        </w:rPr>
        <w:t>grievous bodily harm (GBH)</w:t>
      </w:r>
      <w:r>
        <w:rPr>
          <w:rFonts w:ascii="Arial" w:hAnsi="Arial" w:cs="Arial"/>
        </w:rPr>
        <w:t xml:space="preserve"> relates to serious lifelong harm, this could </w:t>
      </w:r>
      <w:r w:rsidR="008B68D0">
        <w:rPr>
          <w:rFonts w:ascii="Arial" w:hAnsi="Arial" w:cs="Arial"/>
        </w:rPr>
        <w:t>range from</w:t>
      </w:r>
      <w:r>
        <w:rPr>
          <w:rFonts w:ascii="Arial" w:hAnsi="Arial" w:cs="Arial"/>
        </w:rPr>
        <w:t xml:space="preserve"> HIV </w:t>
      </w:r>
      <w:r w:rsidR="008B68D0">
        <w:rPr>
          <w:rFonts w:ascii="Arial" w:hAnsi="Arial" w:cs="Arial"/>
        </w:rPr>
        <w:t>to</w:t>
      </w:r>
      <w:r>
        <w:rPr>
          <w:rFonts w:ascii="Arial" w:hAnsi="Arial" w:cs="Arial"/>
        </w:rPr>
        <w:t xml:space="preserve"> broken and/or fractured bones</w:t>
      </w:r>
      <w:r w:rsidR="00965A39">
        <w:rPr>
          <w:rFonts w:ascii="Arial" w:hAnsi="Arial" w:cs="Arial"/>
        </w:rPr>
        <w:t xml:space="preserve"> which has a harsher actus reus and </w:t>
      </w:r>
      <w:proofErr w:type="spellStart"/>
      <w:r w:rsidR="00965A39">
        <w:rPr>
          <w:rFonts w:ascii="Arial" w:hAnsi="Arial" w:cs="Arial"/>
        </w:rPr>
        <w:t>mens</w:t>
      </w:r>
      <w:proofErr w:type="spellEnd"/>
      <w:r w:rsidR="00965A39">
        <w:rPr>
          <w:rFonts w:ascii="Arial" w:hAnsi="Arial" w:cs="Arial"/>
        </w:rPr>
        <w:t xml:space="preserve"> rea,</w:t>
      </w:r>
      <w:r>
        <w:rPr>
          <w:rFonts w:ascii="Arial" w:hAnsi="Arial" w:cs="Arial"/>
        </w:rPr>
        <w:t xml:space="preserve"> </w:t>
      </w:r>
      <w:r w:rsidR="008B68D0">
        <w:rPr>
          <w:rFonts w:ascii="Arial" w:hAnsi="Arial" w:cs="Arial"/>
        </w:rPr>
        <w:t xml:space="preserve">while </w:t>
      </w:r>
      <w:r>
        <w:rPr>
          <w:rFonts w:ascii="Arial" w:hAnsi="Arial" w:cs="Arial"/>
        </w:rPr>
        <w:t>ABH covers injuries that could hinder with the health and well-being of a person, this could amount to injuries such as grazing and bruising. While the offences are significantly different</w:t>
      </w:r>
      <w:r w:rsidR="00886E67">
        <w:rPr>
          <w:rFonts w:ascii="Arial" w:hAnsi="Arial" w:cs="Arial"/>
        </w:rPr>
        <w:t xml:space="preserve"> in severity</w:t>
      </w:r>
      <w:r>
        <w:rPr>
          <w:rFonts w:ascii="Arial" w:hAnsi="Arial" w:cs="Arial"/>
        </w:rPr>
        <w:t xml:space="preserve">, the certainty that both carry the same maximum sentence can cause uncertainty of the seriousness which creates an </w:t>
      </w:r>
      <w:r>
        <w:rPr>
          <w:rFonts w:ascii="Arial" w:hAnsi="Arial" w:cs="Arial"/>
        </w:rPr>
        <w:lastRenderedPageBreak/>
        <w:t>unclear hierarchy.</w:t>
      </w:r>
      <w:r w:rsidR="00D13813">
        <w:rPr>
          <w:rFonts w:ascii="Arial" w:hAnsi="Arial" w:cs="Arial"/>
        </w:rPr>
        <w:t xml:space="preserve"> </w:t>
      </w:r>
      <w:r w:rsidR="00965A39">
        <w:rPr>
          <w:rFonts w:ascii="Arial" w:hAnsi="Arial" w:cs="Arial"/>
        </w:rPr>
        <w:t xml:space="preserve">A new aggravated assault which has been proposed by the Law Commission is intended to close the gap of the hierarchy as well as the scheme to order the offences from most to least serious will help make it easier to distinguish each offence. </w:t>
      </w:r>
      <w:r w:rsidR="00E02F64">
        <w:rPr>
          <w:rFonts w:ascii="Arial" w:hAnsi="Arial" w:cs="Arial"/>
        </w:rPr>
        <w:t>(</w:t>
      </w:r>
      <w:r w:rsidR="00AE5FA4">
        <w:rPr>
          <w:rFonts w:ascii="Arial" w:hAnsi="Arial" w:cs="Arial"/>
        </w:rPr>
        <w:t xml:space="preserve">Child, </w:t>
      </w:r>
      <w:r w:rsidR="00965A39">
        <w:rPr>
          <w:rFonts w:ascii="Arial" w:hAnsi="Arial" w:cs="Arial"/>
        </w:rPr>
        <w:t>2017</w:t>
      </w:r>
      <w:r w:rsidR="00E02F64">
        <w:rPr>
          <w:rFonts w:ascii="Arial" w:hAnsi="Arial" w:cs="Arial"/>
        </w:rPr>
        <w:t xml:space="preserve">).  </w:t>
      </w:r>
      <w:r w:rsidR="008C5B7B">
        <w:rPr>
          <w:rFonts w:ascii="Arial" w:hAnsi="Arial" w:cs="Arial"/>
        </w:rPr>
        <w:t>Due to t</w:t>
      </w:r>
      <w:r w:rsidR="004A5340">
        <w:rPr>
          <w:rFonts w:ascii="Arial" w:hAnsi="Arial" w:cs="Arial"/>
        </w:rPr>
        <w:t>he Act fail</w:t>
      </w:r>
      <w:r w:rsidR="008C5B7B">
        <w:rPr>
          <w:rFonts w:ascii="Arial" w:hAnsi="Arial" w:cs="Arial"/>
        </w:rPr>
        <w:t>ing</w:t>
      </w:r>
      <w:r w:rsidR="004A5340">
        <w:rPr>
          <w:rFonts w:ascii="Arial" w:hAnsi="Arial" w:cs="Arial"/>
        </w:rPr>
        <w:t xml:space="preserve"> to provide a clear hierarchy of</w:t>
      </w:r>
      <w:r w:rsidR="008C5B7B">
        <w:rPr>
          <w:rFonts w:ascii="Arial" w:hAnsi="Arial" w:cs="Arial"/>
        </w:rPr>
        <w:t xml:space="preserve"> </w:t>
      </w:r>
      <w:r w:rsidR="004A5340">
        <w:rPr>
          <w:rFonts w:ascii="Arial" w:hAnsi="Arial" w:cs="Arial"/>
        </w:rPr>
        <w:t>seriousness of</w:t>
      </w:r>
      <w:r w:rsidR="00660AB4">
        <w:rPr>
          <w:rFonts w:ascii="Arial" w:hAnsi="Arial" w:cs="Arial"/>
        </w:rPr>
        <w:t xml:space="preserve"> </w:t>
      </w:r>
      <w:r w:rsidR="004A5340">
        <w:rPr>
          <w:rFonts w:ascii="Arial" w:hAnsi="Arial" w:cs="Arial"/>
        </w:rPr>
        <w:t>offenc</w:t>
      </w:r>
      <w:r w:rsidR="00660AB4">
        <w:rPr>
          <w:rFonts w:ascii="Arial" w:hAnsi="Arial" w:cs="Arial"/>
        </w:rPr>
        <w:t>es</w:t>
      </w:r>
      <w:r w:rsidR="008C5B7B">
        <w:rPr>
          <w:rFonts w:ascii="Arial" w:hAnsi="Arial" w:cs="Arial"/>
        </w:rPr>
        <w:t xml:space="preserve"> in sections 20, 18 and 47, it is said that</w:t>
      </w:r>
      <w:r w:rsidR="004A5340">
        <w:rPr>
          <w:rFonts w:ascii="Arial" w:hAnsi="Arial" w:cs="Arial"/>
        </w:rPr>
        <w:t xml:space="preserve"> </w:t>
      </w:r>
      <w:r w:rsidR="008C5B7B">
        <w:rPr>
          <w:rFonts w:ascii="Arial" w:hAnsi="Arial" w:cs="Arial"/>
        </w:rPr>
        <w:t>s</w:t>
      </w:r>
      <w:r w:rsidR="00660AB4">
        <w:rPr>
          <w:rFonts w:ascii="Arial" w:hAnsi="Arial" w:cs="Arial"/>
        </w:rPr>
        <w:t xml:space="preserve">.20 </w:t>
      </w:r>
      <w:r w:rsidR="004A5340">
        <w:rPr>
          <w:rFonts w:ascii="Arial" w:hAnsi="Arial" w:cs="Arial"/>
        </w:rPr>
        <w:t xml:space="preserve">should be deemed as a more serious offence than s.47, but both offences are composed in different ways which means that the </w:t>
      </w:r>
      <w:r w:rsidR="008C5B7B">
        <w:rPr>
          <w:rFonts w:ascii="Arial" w:hAnsi="Arial" w:cs="Arial"/>
        </w:rPr>
        <w:t>interpretations</w:t>
      </w:r>
      <w:r w:rsidR="004A5340">
        <w:rPr>
          <w:rFonts w:ascii="Arial" w:hAnsi="Arial" w:cs="Arial"/>
        </w:rPr>
        <w:t xml:space="preserve"> of seriousness is concealed by unrelated differences. If the offences were understood in definitions, then s. 47 would cover a wider segment of cases</w:t>
      </w:r>
      <w:r w:rsidR="001E3B85">
        <w:rPr>
          <w:rFonts w:ascii="Arial" w:hAnsi="Arial" w:cs="Arial"/>
        </w:rPr>
        <w:t xml:space="preserve"> than s.20, and s.20 would regard a wider class of cases than s.18, however s.47 seems to be the narrowest of the three offences which </w:t>
      </w:r>
      <w:r w:rsidR="00B646EB">
        <w:rPr>
          <w:rFonts w:ascii="Arial" w:hAnsi="Arial" w:cs="Arial"/>
        </w:rPr>
        <w:t>has been explained</w:t>
      </w:r>
      <w:r w:rsidR="001E3B85">
        <w:rPr>
          <w:rFonts w:ascii="Arial" w:hAnsi="Arial" w:cs="Arial"/>
        </w:rPr>
        <w:t xml:space="preserve"> a</w:t>
      </w:r>
      <w:r w:rsidR="00041A60">
        <w:rPr>
          <w:rFonts w:ascii="Arial" w:hAnsi="Arial" w:cs="Arial"/>
        </w:rPr>
        <w:t>s</w:t>
      </w:r>
      <w:r w:rsidR="001E3B85">
        <w:rPr>
          <w:rFonts w:ascii="Arial" w:hAnsi="Arial" w:cs="Arial"/>
        </w:rPr>
        <w:t xml:space="preserve"> irrational. </w:t>
      </w:r>
      <w:r w:rsidR="00053AA0">
        <w:rPr>
          <w:rFonts w:ascii="Arial" w:hAnsi="Arial" w:cs="Arial"/>
        </w:rPr>
        <w:t xml:space="preserve">(Gardener, </w:t>
      </w:r>
      <w:r w:rsidR="00EE2752">
        <w:rPr>
          <w:rFonts w:ascii="Arial" w:hAnsi="Arial" w:cs="Arial"/>
        </w:rPr>
        <w:t>1994).</w:t>
      </w:r>
      <w:r w:rsidR="002B0748">
        <w:rPr>
          <w:rFonts w:ascii="Arial" w:hAnsi="Arial" w:cs="Arial"/>
        </w:rPr>
        <w:t xml:space="preserve"> The hierarchy fails to provide a consistent variable factor throughout the sections mentioned above. Although it is obvious that each of the sections contain d</w:t>
      </w:r>
      <w:r w:rsidR="0064627D">
        <w:rPr>
          <w:rFonts w:ascii="Arial" w:hAnsi="Arial" w:cs="Arial"/>
        </w:rPr>
        <w:t>issimilar</w:t>
      </w:r>
      <w:r w:rsidR="002B0748">
        <w:rPr>
          <w:rFonts w:ascii="Arial" w:hAnsi="Arial" w:cs="Arial"/>
        </w:rPr>
        <w:t xml:space="preserve"> seriousness of </w:t>
      </w:r>
      <w:r w:rsidR="003036E1">
        <w:rPr>
          <w:rFonts w:ascii="Arial" w:hAnsi="Arial" w:cs="Arial"/>
        </w:rPr>
        <w:t>each</w:t>
      </w:r>
      <w:r w:rsidR="002B0748">
        <w:rPr>
          <w:rFonts w:ascii="Arial" w:hAnsi="Arial" w:cs="Arial"/>
        </w:rPr>
        <w:t xml:space="preserve"> offence, it is questioned as to why the punishment and/or imprisonment remains the same </w:t>
      </w:r>
      <w:r w:rsidR="00C67F97">
        <w:rPr>
          <w:rFonts w:ascii="Arial" w:hAnsi="Arial" w:cs="Arial"/>
        </w:rPr>
        <w:t>with said</w:t>
      </w:r>
      <w:r w:rsidR="002B0748">
        <w:rPr>
          <w:rFonts w:ascii="Arial" w:hAnsi="Arial" w:cs="Arial"/>
        </w:rPr>
        <w:t xml:space="preserve"> offences. </w:t>
      </w:r>
      <w:r w:rsidR="00D02F1A">
        <w:rPr>
          <w:rFonts w:ascii="Arial" w:hAnsi="Arial" w:cs="Arial"/>
        </w:rPr>
        <w:t>(</w:t>
      </w:r>
      <w:proofErr w:type="spellStart"/>
      <w:r w:rsidR="00D02F1A">
        <w:rPr>
          <w:rFonts w:ascii="Arial" w:hAnsi="Arial" w:cs="Arial"/>
        </w:rPr>
        <w:t>Eriera</w:t>
      </w:r>
      <w:proofErr w:type="spellEnd"/>
      <w:r w:rsidR="00D02F1A">
        <w:rPr>
          <w:rFonts w:ascii="Arial" w:hAnsi="Arial" w:cs="Arial"/>
        </w:rPr>
        <w:t xml:space="preserve">, 2007). </w:t>
      </w:r>
    </w:p>
    <w:p w14:paraId="44FBC21A" w14:textId="77777777" w:rsidR="00C76A35" w:rsidRDefault="00C76A35" w:rsidP="00224E2F">
      <w:pPr>
        <w:spacing w:line="360" w:lineRule="auto"/>
        <w:jc w:val="both"/>
        <w:rPr>
          <w:rFonts w:ascii="Arial" w:hAnsi="Arial" w:cs="Arial"/>
        </w:rPr>
      </w:pPr>
    </w:p>
    <w:p w14:paraId="0C706B74" w14:textId="173F505D" w:rsidR="00D2176A" w:rsidRDefault="00261E0F" w:rsidP="00224E2F">
      <w:pPr>
        <w:spacing w:line="360" w:lineRule="auto"/>
        <w:jc w:val="both"/>
        <w:rPr>
          <w:rFonts w:ascii="Arial" w:hAnsi="Arial" w:cs="Arial"/>
        </w:rPr>
      </w:pPr>
      <w:r>
        <w:rPr>
          <w:rFonts w:ascii="Arial" w:hAnsi="Arial" w:cs="Arial"/>
        </w:rPr>
        <w:t>Recommendations from the Law Commission’s Report for the Offences Against the Person Act 1861 suggests the use of a modified version of a scheme of offences that was contained in the Home Office Draft Bill 1998. The use of this Bill</w:t>
      </w:r>
      <w:r w:rsidR="00445962">
        <w:rPr>
          <w:rFonts w:ascii="Arial" w:hAnsi="Arial" w:cs="Arial"/>
        </w:rPr>
        <w:t xml:space="preserve"> is</w:t>
      </w:r>
      <w:r>
        <w:rPr>
          <w:rFonts w:ascii="Arial" w:hAnsi="Arial" w:cs="Arial"/>
        </w:rPr>
        <w:t xml:space="preserve"> to override the Offences Against the Person Act</w:t>
      </w:r>
      <w:r w:rsidR="00445962">
        <w:rPr>
          <w:rFonts w:ascii="Arial" w:hAnsi="Arial" w:cs="Arial"/>
        </w:rPr>
        <w:t>,</w:t>
      </w:r>
      <w:r>
        <w:rPr>
          <w:rFonts w:ascii="Arial" w:hAnsi="Arial" w:cs="Arial"/>
        </w:rPr>
        <w:t xml:space="preserve"> with change from the Law Commission’s recommendations </w:t>
      </w:r>
      <w:r w:rsidR="00445962">
        <w:rPr>
          <w:rFonts w:ascii="Arial" w:hAnsi="Arial" w:cs="Arial"/>
        </w:rPr>
        <w:t>to create</w:t>
      </w:r>
      <w:r>
        <w:rPr>
          <w:rFonts w:ascii="Arial" w:hAnsi="Arial" w:cs="Arial"/>
        </w:rPr>
        <w:t xml:space="preserve"> a more structured and logical interpretation</w:t>
      </w:r>
      <w:r w:rsidR="0096533C">
        <w:rPr>
          <w:rFonts w:ascii="Arial" w:hAnsi="Arial" w:cs="Arial"/>
        </w:rPr>
        <w:t xml:space="preserve"> of the law.</w:t>
      </w:r>
      <w:r>
        <w:rPr>
          <w:rFonts w:ascii="Arial" w:hAnsi="Arial" w:cs="Arial"/>
        </w:rPr>
        <w:t xml:space="preserve"> This will help with cases being tried in the most appropriate courts for the seriousness of </w:t>
      </w:r>
      <w:r w:rsidR="0096533C">
        <w:rPr>
          <w:rFonts w:ascii="Arial" w:hAnsi="Arial" w:cs="Arial"/>
        </w:rPr>
        <w:t xml:space="preserve">the </w:t>
      </w:r>
      <w:r>
        <w:rPr>
          <w:rFonts w:ascii="Arial" w:hAnsi="Arial" w:cs="Arial"/>
        </w:rPr>
        <w:t>offence</w:t>
      </w:r>
      <w:r w:rsidR="0096533C">
        <w:rPr>
          <w:rFonts w:ascii="Arial" w:hAnsi="Arial" w:cs="Arial"/>
        </w:rPr>
        <w:t xml:space="preserve"> they have committed</w:t>
      </w:r>
      <w:r>
        <w:rPr>
          <w:rFonts w:ascii="Arial" w:hAnsi="Arial" w:cs="Arial"/>
        </w:rPr>
        <w:t>. (</w:t>
      </w:r>
      <w:r w:rsidR="00A132B3">
        <w:rPr>
          <w:rFonts w:ascii="Arial" w:hAnsi="Arial" w:cs="Arial"/>
        </w:rPr>
        <w:t>Law Commission of England and Wales</w:t>
      </w:r>
      <w:r>
        <w:rPr>
          <w:rFonts w:ascii="Arial" w:hAnsi="Arial" w:cs="Arial"/>
        </w:rPr>
        <w:t xml:space="preserve">, 2015). </w:t>
      </w:r>
      <w:r w:rsidR="00AF71FE">
        <w:rPr>
          <w:rFonts w:ascii="Arial" w:hAnsi="Arial" w:cs="Arial"/>
        </w:rPr>
        <w:t>The Law Commission stated that the new Act is to create a clear and rational offence hierarchy, the introduction of a new offence to allow for clear distinguishing between s.47 and the offence of battery and assault. They stated that the new Act that will replace OAPA 1861 needs to establish correspondence instead of constructive liability. The Act will allow for a fresh start with the use of modern and clear language where it will also deal with current problems with the law.</w:t>
      </w:r>
      <w:r w:rsidR="00A32285">
        <w:rPr>
          <w:rFonts w:ascii="Arial" w:hAnsi="Arial" w:cs="Arial"/>
        </w:rPr>
        <w:t xml:space="preserve"> The proposal of replacing the term ‘apprehension’ with the word ‘belief’ was recommended by the Commission as apprehension can be understood as </w:t>
      </w:r>
      <w:r w:rsidR="00885689">
        <w:rPr>
          <w:rFonts w:ascii="Arial" w:hAnsi="Arial" w:cs="Arial"/>
        </w:rPr>
        <w:t>“</w:t>
      </w:r>
      <w:r w:rsidR="00A32285">
        <w:rPr>
          <w:rFonts w:ascii="Arial" w:hAnsi="Arial" w:cs="Arial"/>
        </w:rPr>
        <w:t>fear of immediate violence</w:t>
      </w:r>
      <w:r w:rsidR="00885689">
        <w:rPr>
          <w:rFonts w:ascii="Arial" w:hAnsi="Arial" w:cs="Arial"/>
        </w:rPr>
        <w:t>”</w:t>
      </w:r>
      <w:r w:rsidR="00A32285">
        <w:rPr>
          <w:rFonts w:ascii="Arial" w:hAnsi="Arial" w:cs="Arial"/>
        </w:rPr>
        <w:t>. It was stated in R v Constanza (1997), the Court of Appeal held it is not necessary that immediate fear of violence is present</w:t>
      </w:r>
      <w:r w:rsidR="00885689">
        <w:rPr>
          <w:rFonts w:ascii="Arial" w:hAnsi="Arial" w:cs="Arial"/>
        </w:rPr>
        <w:t xml:space="preserve">, </w:t>
      </w:r>
      <w:r w:rsidR="00A32285">
        <w:rPr>
          <w:rFonts w:ascii="Arial" w:hAnsi="Arial" w:cs="Arial"/>
        </w:rPr>
        <w:t xml:space="preserve">as </w:t>
      </w:r>
      <w:r w:rsidR="00856383">
        <w:rPr>
          <w:rFonts w:ascii="Arial" w:hAnsi="Arial" w:cs="Arial"/>
        </w:rPr>
        <w:t xml:space="preserve">the </w:t>
      </w:r>
      <w:r w:rsidR="00A32285">
        <w:rPr>
          <w:rFonts w:ascii="Arial" w:hAnsi="Arial" w:cs="Arial"/>
        </w:rPr>
        <w:t>fear</w:t>
      </w:r>
      <w:r w:rsidR="00856383">
        <w:rPr>
          <w:rFonts w:ascii="Arial" w:hAnsi="Arial" w:cs="Arial"/>
        </w:rPr>
        <w:t xml:space="preserve"> element being present</w:t>
      </w:r>
      <w:r w:rsidR="00A32285">
        <w:rPr>
          <w:rFonts w:ascii="Arial" w:hAnsi="Arial" w:cs="Arial"/>
        </w:rPr>
        <w:t xml:space="preserve"> alone is sufficient to satisfy </w:t>
      </w:r>
      <w:r w:rsidR="00A32285">
        <w:rPr>
          <w:rFonts w:ascii="Arial" w:hAnsi="Arial" w:cs="Arial"/>
        </w:rPr>
        <w:lastRenderedPageBreak/>
        <w:t>actus reus. These changes will allow for the law to be enforced in a simpler form. (Demetriou, 2016).</w:t>
      </w:r>
    </w:p>
    <w:p w14:paraId="18BD2091" w14:textId="2A972665" w:rsidR="005414B0" w:rsidRDefault="005414B0" w:rsidP="00224E2F">
      <w:pPr>
        <w:spacing w:line="360" w:lineRule="auto"/>
        <w:jc w:val="both"/>
        <w:rPr>
          <w:rFonts w:ascii="Arial" w:hAnsi="Arial" w:cs="Arial"/>
        </w:rPr>
      </w:pPr>
    </w:p>
    <w:p w14:paraId="03A8BD03" w14:textId="106ACFCB" w:rsidR="005414B0" w:rsidRPr="005414B0" w:rsidRDefault="005414B0" w:rsidP="00224E2F">
      <w:pPr>
        <w:spacing w:line="360" w:lineRule="auto"/>
        <w:jc w:val="both"/>
        <w:rPr>
          <w:rFonts w:ascii="Arial" w:hAnsi="Arial" w:cs="Arial"/>
        </w:rPr>
      </w:pPr>
      <w:r>
        <w:rPr>
          <w:rFonts w:ascii="Arial" w:hAnsi="Arial" w:cs="Arial"/>
        </w:rPr>
        <w:t>Despite the argument against a reform of the Offences against the Person Act 1861, there has been compelling evidence that supports the recommendations given by the Law Commission. However, the use of a whole new legislation may not be entirely necessary. Examining the current offences and descriptions of such offences could be amended, as repealing current offences through a new Act could cause problems for the courts.  On the other hand, amending</w:t>
      </w:r>
      <w:r w:rsidR="004B7517">
        <w:rPr>
          <w:rFonts w:ascii="Arial" w:hAnsi="Arial" w:cs="Arial"/>
        </w:rPr>
        <w:t xml:space="preserve"> each of the offences in</w:t>
      </w:r>
      <w:r>
        <w:rPr>
          <w:rFonts w:ascii="Arial" w:hAnsi="Arial" w:cs="Arial"/>
        </w:rPr>
        <w:t xml:space="preserve"> the current Offences against the Person Act could be too time consuming and difficult due to </w:t>
      </w:r>
      <w:r w:rsidR="004B7517">
        <w:rPr>
          <w:rFonts w:ascii="Arial" w:hAnsi="Arial" w:cs="Arial"/>
        </w:rPr>
        <w:t>difficulty understanding and</w:t>
      </w:r>
      <w:r>
        <w:rPr>
          <w:rFonts w:ascii="Arial" w:hAnsi="Arial" w:cs="Arial"/>
        </w:rPr>
        <w:t xml:space="preserve"> interpret</w:t>
      </w:r>
      <w:r w:rsidR="004B7517">
        <w:rPr>
          <w:rFonts w:ascii="Arial" w:hAnsi="Arial" w:cs="Arial"/>
        </w:rPr>
        <w:t>ing</w:t>
      </w:r>
      <w:r>
        <w:rPr>
          <w:rFonts w:ascii="Arial" w:hAnsi="Arial" w:cs="Arial"/>
        </w:rPr>
        <w:t xml:space="preserve"> the Ac</w:t>
      </w:r>
      <w:r w:rsidR="004B7517">
        <w:rPr>
          <w:rFonts w:ascii="Arial" w:hAnsi="Arial" w:cs="Arial"/>
        </w:rPr>
        <w:t>t</w:t>
      </w:r>
      <w:r>
        <w:rPr>
          <w:rFonts w:ascii="Arial" w:hAnsi="Arial" w:cs="Arial"/>
        </w:rPr>
        <w:t xml:space="preserve">. The use of the </w:t>
      </w:r>
      <w:r w:rsidR="00DF6295">
        <w:rPr>
          <w:rFonts w:ascii="Arial" w:hAnsi="Arial" w:cs="Arial"/>
        </w:rPr>
        <w:t>Home Office</w:t>
      </w:r>
      <w:r>
        <w:rPr>
          <w:rFonts w:ascii="Arial" w:hAnsi="Arial" w:cs="Arial"/>
        </w:rPr>
        <w:t xml:space="preserve"> draft Bill </w:t>
      </w:r>
      <w:r w:rsidR="00DF6295">
        <w:rPr>
          <w:rFonts w:ascii="Arial" w:hAnsi="Arial" w:cs="Arial"/>
        </w:rPr>
        <w:t xml:space="preserve">1998 </w:t>
      </w:r>
      <w:r>
        <w:rPr>
          <w:rFonts w:ascii="Arial" w:hAnsi="Arial" w:cs="Arial"/>
        </w:rPr>
        <w:t xml:space="preserve">will be effective as it contains </w:t>
      </w:r>
      <w:r w:rsidR="009E7025">
        <w:rPr>
          <w:rFonts w:ascii="Arial" w:hAnsi="Arial" w:cs="Arial"/>
        </w:rPr>
        <w:t xml:space="preserve">modern </w:t>
      </w:r>
      <w:r>
        <w:rPr>
          <w:rFonts w:ascii="Arial" w:hAnsi="Arial" w:cs="Arial"/>
        </w:rPr>
        <w:t>offences that are up to date with current society</w:t>
      </w:r>
      <w:r w:rsidR="009E7025">
        <w:rPr>
          <w:rFonts w:ascii="Arial" w:hAnsi="Arial" w:cs="Arial"/>
        </w:rPr>
        <w:t>,</w:t>
      </w:r>
      <w:r>
        <w:rPr>
          <w:rFonts w:ascii="Arial" w:hAnsi="Arial" w:cs="Arial"/>
        </w:rPr>
        <w:t xml:space="preserve"> </w:t>
      </w:r>
      <w:r w:rsidR="009E7025">
        <w:rPr>
          <w:rFonts w:ascii="Arial" w:hAnsi="Arial" w:cs="Arial"/>
        </w:rPr>
        <w:t xml:space="preserve">this </w:t>
      </w:r>
      <w:r>
        <w:rPr>
          <w:rFonts w:ascii="Arial" w:hAnsi="Arial" w:cs="Arial"/>
        </w:rPr>
        <w:t xml:space="preserve">will aid the law to </w:t>
      </w:r>
      <w:r w:rsidR="009E7025">
        <w:rPr>
          <w:rFonts w:ascii="Arial" w:hAnsi="Arial" w:cs="Arial"/>
        </w:rPr>
        <w:t xml:space="preserve">give appropriate convictions </w:t>
      </w:r>
      <w:r w:rsidR="00503316">
        <w:rPr>
          <w:rFonts w:ascii="Arial" w:hAnsi="Arial" w:cs="Arial"/>
        </w:rPr>
        <w:t xml:space="preserve">successfully. The new Act will provide an easier interpretation of the law, the new and easier terminology will allow for judges, lawyers and lay people to understand and </w:t>
      </w:r>
      <w:r w:rsidR="00CF305F">
        <w:rPr>
          <w:rFonts w:ascii="Arial" w:hAnsi="Arial" w:cs="Arial"/>
        </w:rPr>
        <w:t>use their powers of the law accordingly and functionally</w:t>
      </w:r>
      <w:r w:rsidR="00503316">
        <w:rPr>
          <w:rFonts w:ascii="Arial" w:hAnsi="Arial" w:cs="Arial"/>
        </w:rPr>
        <w:t xml:space="preserve">. </w:t>
      </w:r>
      <w:r w:rsidR="00A2108B">
        <w:rPr>
          <w:rFonts w:ascii="Arial" w:hAnsi="Arial" w:cs="Arial"/>
        </w:rPr>
        <w:t>To end, there are more arguments that support the need for reform than those who are against, which suggests the use of the current OAPA 1861 is outdated and has no purpose in modern society.</w:t>
      </w:r>
    </w:p>
    <w:p w14:paraId="03DAC9EE" w14:textId="77777777" w:rsidR="00D2176A" w:rsidRDefault="00D2176A" w:rsidP="00224E2F">
      <w:pPr>
        <w:spacing w:line="360" w:lineRule="auto"/>
        <w:jc w:val="both"/>
        <w:rPr>
          <w:rFonts w:ascii="Arial" w:hAnsi="Arial" w:cs="Arial"/>
          <w:b/>
          <w:bCs/>
        </w:rPr>
      </w:pPr>
    </w:p>
    <w:p w14:paraId="2BE8D7F1" w14:textId="77777777" w:rsidR="00D2176A" w:rsidRDefault="00D2176A" w:rsidP="00224E2F">
      <w:pPr>
        <w:spacing w:line="360" w:lineRule="auto"/>
        <w:jc w:val="both"/>
        <w:rPr>
          <w:rFonts w:ascii="Arial" w:hAnsi="Arial" w:cs="Arial"/>
          <w:b/>
          <w:bCs/>
        </w:rPr>
      </w:pPr>
    </w:p>
    <w:p w14:paraId="2C801ECB" w14:textId="0FA1ED62" w:rsidR="00B56C36" w:rsidRPr="00224E2F" w:rsidRDefault="00B56C36" w:rsidP="00224E2F">
      <w:pPr>
        <w:spacing w:line="360" w:lineRule="auto"/>
        <w:jc w:val="both"/>
        <w:rPr>
          <w:rFonts w:ascii="Arial" w:hAnsi="Arial" w:cs="Arial"/>
          <w:b/>
          <w:bCs/>
        </w:rPr>
      </w:pPr>
      <w:r w:rsidRPr="00224E2F">
        <w:rPr>
          <w:rFonts w:ascii="Arial" w:hAnsi="Arial" w:cs="Arial"/>
          <w:b/>
          <w:bCs/>
        </w:rPr>
        <w:t xml:space="preserve">References </w:t>
      </w:r>
    </w:p>
    <w:p w14:paraId="4DF12A93" w14:textId="0C096725" w:rsidR="005E1640" w:rsidRDefault="005E1640" w:rsidP="00762663">
      <w:pPr>
        <w:spacing w:line="360" w:lineRule="auto"/>
        <w:rPr>
          <w:rFonts w:ascii="Arial" w:hAnsi="Arial" w:cs="Arial"/>
        </w:rPr>
      </w:pPr>
      <w:r w:rsidRPr="00224E2F">
        <w:rPr>
          <w:rFonts w:ascii="Arial" w:hAnsi="Arial" w:cs="Arial"/>
        </w:rPr>
        <w:t xml:space="preserve">Allen, M.J and Edwards, I. (2019). </w:t>
      </w:r>
      <w:r w:rsidRPr="006B5B87">
        <w:rPr>
          <w:rFonts w:ascii="Arial" w:hAnsi="Arial" w:cs="Arial"/>
          <w:i/>
          <w:iCs/>
        </w:rPr>
        <w:t>Criminal Law</w:t>
      </w:r>
      <w:r w:rsidRPr="00224E2F">
        <w:rPr>
          <w:rFonts w:ascii="Arial" w:hAnsi="Arial" w:cs="Arial"/>
        </w:rPr>
        <w:t xml:space="preserve"> 1</w:t>
      </w:r>
      <w:r>
        <w:rPr>
          <w:rFonts w:ascii="Arial" w:hAnsi="Arial" w:cs="Arial"/>
        </w:rPr>
        <w:t>5</w:t>
      </w:r>
      <w:r w:rsidRPr="00966D54">
        <w:rPr>
          <w:rFonts w:ascii="Arial" w:hAnsi="Arial" w:cs="Arial"/>
          <w:vertAlign w:val="superscript"/>
        </w:rPr>
        <w:t>th</w:t>
      </w:r>
      <w:r>
        <w:rPr>
          <w:rFonts w:ascii="Arial" w:hAnsi="Arial" w:cs="Arial"/>
        </w:rPr>
        <w:t xml:space="preserve"> Ed</w:t>
      </w:r>
      <w:r w:rsidRPr="00224E2F">
        <w:rPr>
          <w:rFonts w:ascii="Arial" w:hAnsi="Arial" w:cs="Arial"/>
        </w:rPr>
        <w:t xml:space="preserve">. </w:t>
      </w:r>
      <w:r>
        <w:rPr>
          <w:rFonts w:ascii="Arial" w:hAnsi="Arial" w:cs="Arial"/>
        </w:rPr>
        <w:t xml:space="preserve">Oxford: </w:t>
      </w:r>
      <w:r w:rsidRPr="00224E2F">
        <w:rPr>
          <w:rFonts w:ascii="Arial" w:hAnsi="Arial" w:cs="Arial"/>
        </w:rPr>
        <w:t>Oxford University Press.</w:t>
      </w:r>
    </w:p>
    <w:p w14:paraId="4BBF71B2" w14:textId="77777777" w:rsidR="003771D9" w:rsidRDefault="003771D9" w:rsidP="007E6866">
      <w:pPr>
        <w:spacing w:line="360" w:lineRule="auto"/>
        <w:rPr>
          <w:rFonts w:ascii="Arial" w:hAnsi="Arial" w:cs="Arial"/>
          <w:color w:val="000000"/>
          <w:spacing w:val="-5"/>
          <w:shd w:val="clear" w:color="auto" w:fill="FFFFFF"/>
        </w:rPr>
      </w:pPr>
    </w:p>
    <w:p w14:paraId="37FB2B1C" w14:textId="6BE1AD3A" w:rsidR="005E1640" w:rsidRDefault="005E1640" w:rsidP="007E6866">
      <w:pPr>
        <w:spacing w:line="360" w:lineRule="auto"/>
      </w:pPr>
      <w:r>
        <w:rPr>
          <w:rFonts w:ascii="Arial" w:hAnsi="Arial" w:cs="Arial"/>
          <w:color w:val="000000"/>
          <w:spacing w:val="-5"/>
          <w:shd w:val="clear" w:color="auto" w:fill="FFFFFF"/>
        </w:rPr>
        <w:t>Child, J. (2017). Smith, Hogan and Ormerod’s essentials of criminal law 2</w:t>
      </w:r>
      <w:r w:rsidRPr="006A2966">
        <w:rPr>
          <w:rFonts w:ascii="Arial" w:hAnsi="Arial" w:cs="Arial"/>
          <w:color w:val="000000"/>
          <w:spacing w:val="-5"/>
          <w:shd w:val="clear" w:color="auto" w:fill="FFFFFF"/>
          <w:vertAlign w:val="superscript"/>
        </w:rPr>
        <w:t>nd</w:t>
      </w:r>
      <w:r>
        <w:rPr>
          <w:rFonts w:ascii="Arial" w:hAnsi="Arial" w:cs="Arial"/>
          <w:color w:val="000000"/>
          <w:spacing w:val="-5"/>
          <w:shd w:val="clear" w:color="auto" w:fill="FFFFFF"/>
        </w:rPr>
        <w:t xml:space="preserve"> Ed. Oxford: Oxford University Press.</w:t>
      </w:r>
    </w:p>
    <w:p w14:paraId="7652FF91" w14:textId="77777777" w:rsidR="003771D9" w:rsidRDefault="003771D9" w:rsidP="00EE2752">
      <w:pPr>
        <w:spacing w:line="360" w:lineRule="auto"/>
        <w:rPr>
          <w:rFonts w:ascii="Arial" w:hAnsi="Arial" w:cs="Arial"/>
        </w:rPr>
      </w:pPr>
    </w:p>
    <w:p w14:paraId="39B1A59E" w14:textId="0A799B99" w:rsidR="005E1640" w:rsidRPr="00EE2752" w:rsidRDefault="005E1640" w:rsidP="00EE2752">
      <w:pPr>
        <w:spacing w:line="360" w:lineRule="auto"/>
        <w:rPr>
          <w:rFonts w:ascii="Arial" w:hAnsi="Arial" w:cs="Arial"/>
        </w:rPr>
      </w:pPr>
      <w:r>
        <w:rPr>
          <w:rFonts w:ascii="Arial" w:hAnsi="Arial" w:cs="Arial"/>
        </w:rPr>
        <w:t xml:space="preserve">Demetriou, S. (2016). Not giving up a fight: a review of the Law Commission’s scoping report on non-fatal offences against the person. </w:t>
      </w:r>
      <w:r w:rsidRPr="00D2176A">
        <w:rPr>
          <w:rFonts w:ascii="Arial" w:hAnsi="Arial" w:cs="Arial"/>
          <w:i/>
          <w:iCs/>
        </w:rPr>
        <w:t>Journal of Criminal Law</w:t>
      </w:r>
      <w:r>
        <w:rPr>
          <w:rFonts w:ascii="Arial" w:hAnsi="Arial" w:cs="Arial"/>
        </w:rPr>
        <w:t xml:space="preserve">. 80 </w:t>
      </w:r>
      <w:r w:rsidRPr="00EE2752">
        <w:rPr>
          <w:rFonts w:ascii="Arial" w:hAnsi="Arial" w:cs="Arial"/>
        </w:rPr>
        <w:t>(3). Pp. 188-200. DOI: 10,1177/0022018316646656.</w:t>
      </w:r>
    </w:p>
    <w:p w14:paraId="094EBB19" w14:textId="77777777" w:rsidR="003771D9" w:rsidRDefault="003771D9" w:rsidP="00D02F1A">
      <w:pPr>
        <w:spacing w:line="360" w:lineRule="auto"/>
        <w:rPr>
          <w:rFonts w:ascii="Helvetica Neue" w:hAnsi="Helvetica Neue"/>
          <w:color w:val="000000" w:themeColor="text1"/>
          <w:shd w:val="clear" w:color="auto" w:fill="FFFFFF"/>
        </w:rPr>
      </w:pPr>
    </w:p>
    <w:p w14:paraId="6F2B6D12" w14:textId="69234659" w:rsidR="005E1640" w:rsidRDefault="005E1640" w:rsidP="00D02F1A">
      <w:pPr>
        <w:spacing w:line="360" w:lineRule="auto"/>
        <w:rPr>
          <w:rFonts w:ascii="Helvetica Neue" w:hAnsi="Helvetica Neue"/>
          <w:color w:val="000000" w:themeColor="text1"/>
          <w:shd w:val="clear" w:color="auto" w:fill="FFFFFF"/>
        </w:rPr>
      </w:pPr>
      <w:r>
        <w:rPr>
          <w:rFonts w:ascii="Helvetica Neue" w:hAnsi="Helvetica Neue"/>
          <w:color w:val="000000" w:themeColor="text1"/>
          <w:shd w:val="clear" w:color="auto" w:fill="FFFFFF"/>
        </w:rPr>
        <w:t xml:space="preserve">Demetriou, S. (2016). Reviewing </w:t>
      </w:r>
      <w:proofErr w:type="gramStart"/>
      <w:r>
        <w:rPr>
          <w:rFonts w:ascii="Helvetica Neue" w:hAnsi="Helvetica Neue"/>
          <w:color w:val="000000" w:themeColor="text1"/>
          <w:shd w:val="clear" w:color="auto" w:fill="FFFFFF"/>
        </w:rPr>
        <w:t>The</w:t>
      </w:r>
      <w:proofErr w:type="gramEnd"/>
      <w:r>
        <w:rPr>
          <w:rFonts w:ascii="Helvetica Neue" w:hAnsi="Helvetica Neue"/>
          <w:color w:val="000000" w:themeColor="text1"/>
          <w:shd w:val="clear" w:color="auto" w:fill="FFFFFF"/>
        </w:rPr>
        <w:t xml:space="preserve"> Law Commission’s Recommendations on the “Offences against the Person” 2015 Report (Part 1), </w:t>
      </w:r>
      <w:proofErr w:type="spellStart"/>
      <w:r w:rsidRPr="000C455D">
        <w:rPr>
          <w:rFonts w:ascii="Helvetica Neue" w:hAnsi="Helvetica Neue"/>
          <w:i/>
          <w:iCs/>
          <w:color w:val="000000" w:themeColor="text1"/>
          <w:shd w:val="clear" w:color="auto" w:fill="FFFFFF"/>
        </w:rPr>
        <w:t>LaPSe</w:t>
      </w:r>
      <w:proofErr w:type="spellEnd"/>
      <w:r w:rsidRPr="000C455D">
        <w:rPr>
          <w:rFonts w:ascii="Helvetica Neue" w:hAnsi="Helvetica Neue"/>
          <w:i/>
          <w:iCs/>
          <w:color w:val="000000" w:themeColor="text1"/>
          <w:shd w:val="clear" w:color="auto" w:fill="FFFFFF"/>
        </w:rPr>
        <w:t xml:space="preserve"> of Reason</w:t>
      </w:r>
      <w:r>
        <w:rPr>
          <w:rFonts w:ascii="Helvetica Neue" w:hAnsi="Helvetica Neue"/>
          <w:color w:val="000000" w:themeColor="text1"/>
          <w:shd w:val="clear" w:color="auto" w:fill="FFFFFF"/>
        </w:rPr>
        <w:t xml:space="preserve"> [blog].  3 </w:t>
      </w:r>
      <w:r>
        <w:rPr>
          <w:rFonts w:ascii="Helvetica Neue" w:hAnsi="Helvetica Neue"/>
          <w:color w:val="000000" w:themeColor="text1"/>
          <w:shd w:val="clear" w:color="auto" w:fill="FFFFFF"/>
        </w:rPr>
        <w:lastRenderedPageBreak/>
        <w:t xml:space="preserve">February. Available at: </w:t>
      </w:r>
      <w:r w:rsidRPr="00123641">
        <w:rPr>
          <w:rFonts w:ascii="Helvetica Neue" w:hAnsi="Helvetica Neue"/>
          <w:color w:val="000000" w:themeColor="text1"/>
          <w:shd w:val="clear" w:color="auto" w:fill="FFFFFF"/>
        </w:rPr>
        <w:t>https://lawpoliticsandsociology.wordpress.com/2016/02/03/reviewing-law-commissions-recommendations-on-the-offences-against-the-person-2015-report-part-i/</w:t>
      </w:r>
      <w:r>
        <w:rPr>
          <w:rFonts w:ascii="Helvetica Neue" w:hAnsi="Helvetica Neue"/>
          <w:color w:val="000000" w:themeColor="text1"/>
          <w:shd w:val="clear" w:color="auto" w:fill="FFFFFF"/>
        </w:rPr>
        <w:t xml:space="preserve"> [Accessed 24 February]. </w:t>
      </w:r>
    </w:p>
    <w:p w14:paraId="5454E337" w14:textId="77777777" w:rsidR="003771D9" w:rsidRDefault="003771D9" w:rsidP="00D02F1A">
      <w:pPr>
        <w:spacing w:line="360" w:lineRule="auto"/>
        <w:rPr>
          <w:rFonts w:ascii="Helvetica Neue" w:hAnsi="Helvetica Neue"/>
          <w:color w:val="000000" w:themeColor="text1"/>
          <w:shd w:val="clear" w:color="auto" w:fill="FFFFFF"/>
        </w:rPr>
      </w:pPr>
    </w:p>
    <w:p w14:paraId="70044119" w14:textId="2C6C5DBD" w:rsidR="005E1640" w:rsidRDefault="005E1640" w:rsidP="00D02F1A">
      <w:pPr>
        <w:spacing w:line="360" w:lineRule="auto"/>
        <w:rPr>
          <w:rFonts w:ascii="Helvetica Neue" w:hAnsi="Helvetica Neue"/>
          <w:color w:val="000000" w:themeColor="text1"/>
          <w:shd w:val="clear" w:color="auto" w:fill="FFFFFF"/>
        </w:rPr>
      </w:pPr>
      <w:proofErr w:type="spellStart"/>
      <w:r w:rsidRPr="00D02F1A">
        <w:rPr>
          <w:rFonts w:ascii="Helvetica Neue" w:hAnsi="Helvetica Neue"/>
          <w:color w:val="000000" w:themeColor="text1"/>
          <w:shd w:val="clear" w:color="auto" w:fill="FFFFFF"/>
        </w:rPr>
        <w:t>Eriera</w:t>
      </w:r>
      <w:proofErr w:type="spellEnd"/>
      <w:r w:rsidRPr="00D02F1A">
        <w:rPr>
          <w:rFonts w:ascii="Helvetica Neue" w:hAnsi="Helvetica Neue"/>
          <w:color w:val="000000" w:themeColor="text1"/>
          <w:shd w:val="clear" w:color="auto" w:fill="FFFFFF"/>
        </w:rPr>
        <w:t xml:space="preserve">, A. (2007). </w:t>
      </w:r>
      <w:r>
        <w:rPr>
          <w:rFonts w:ascii="Helvetica Neue" w:hAnsi="Helvetica Neue"/>
          <w:color w:val="000000" w:themeColor="text1"/>
          <w:shd w:val="clear" w:color="auto" w:fill="FFFFFF"/>
        </w:rPr>
        <w:t>‘</w:t>
      </w:r>
      <w:r w:rsidRPr="00D02F1A">
        <w:rPr>
          <w:rFonts w:ascii="Helvetica Neue" w:hAnsi="Helvetica Neue"/>
          <w:color w:val="000000" w:themeColor="text1"/>
          <w:shd w:val="clear" w:color="auto" w:fill="FFFFFF"/>
        </w:rPr>
        <w:t>Offences against the Person: Offending Rationality</w:t>
      </w:r>
      <w:r>
        <w:rPr>
          <w:rFonts w:ascii="Helvetica Neue" w:hAnsi="Helvetica Neue"/>
          <w:color w:val="000000" w:themeColor="text1"/>
          <w:shd w:val="clear" w:color="auto" w:fill="FFFFFF"/>
        </w:rPr>
        <w:t>’,</w:t>
      </w:r>
      <w:r w:rsidRPr="00D02F1A">
        <w:rPr>
          <w:rFonts w:ascii="Helvetica Neue" w:hAnsi="Helvetica Neue"/>
          <w:color w:val="000000" w:themeColor="text1"/>
          <w:shd w:val="clear" w:color="auto" w:fill="FFFFFF"/>
        </w:rPr>
        <w:t> </w:t>
      </w:r>
      <w:r w:rsidRPr="00D02F1A">
        <w:rPr>
          <w:rFonts w:ascii="Helvetica Neue" w:hAnsi="Helvetica Neue"/>
          <w:i/>
          <w:iCs/>
          <w:color w:val="000000" w:themeColor="text1"/>
        </w:rPr>
        <w:t>Cambridge Student Law Revie</w:t>
      </w:r>
      <w:r>
        <w:rPr>
          <w:rFonts w:ascii="Helvetica Neue" w:hAnsi="Helvetica Neue"/>
          <w:i/>
          <w:iCs/>
          <w:color w:val="000000" w:themeColor="text1"/>
        </w:rPr>
        <w:t>w</w:t>
      </w:r>
      <w:r w:rsidRPr="00D02F1A">
        <w:rPr>
          <w:rFonts w:ascii="Helvetica Neue" w:hAnsi="Helvetica Neue"/>
          <w:i/>
          <w:iCs/>
          <w:color w:val="000000" w:themeColor="text1"/>
        </w:rPr>
        <w:t>, 3</w:t>
      </w:r>
      <w:r>
        <w:rPr>
          <w:rFonts w:ascii="Helvetica Neue" w:hAnsi="Helvetica Neue"/>
          <w:i/>
          <w:iCs/>
          <w:color w:val="000000" w:themeColor="text1"/>
        </w:rPr>
        <w:t>(1), pp.</w:t>
      </w:r>
      <w:r w:rsidRPr="00D02F1A">
        <w:rPr>
          <w:rFonts w:ascii="Helvetica Neue" w:hAnsi="Helvetica Neue"/>
          <w:color w:val="000000" w:themeColor="text1"/>
          <w:shd w:val="clear" w:color="auto" w:fill="FFFFFF"/>
        </w:rPr>
        <w:t> 22-29.</w:t>
      </w:r>
      <w:r>
        <w:rPr>
          <w:rFonts w:ascii="Helvetica Neue" w:hAnsi="Helvetica Neue"/>
          <w:color w:val="000000" w:themeColor="text1"/>
          <w:shd w:val="clear" w:color="auto" w:fill="FFFFFF"/>
        </w:rPr>
        <w:t xml:space="preserve"> URL: </w:t>
      </w:r>
      <w:r w:rsidRPr="00D02F1A">
        <w:rPr>
          <w:rFonts w:ascii="Helvetica Neue" w:hAnsi="Helvetica Neue"/>
          <w:color w:val="000000" w:themeColor="text1"/>
          <w:shd w:val="clear" w:color="auto" w:fill="FFFFFF"/>
        </w:rPr>
        <w:t>https://heinonline.org/HOL/Page?public=true&amp;handle=hein.journals/camslr3&amp;div=7&amp;start_page=22&amp;collection=journals&amp;set_as_cursor=0&amp;men_tab=srchresult</w:t>
      </w:r>
      <w:r>
        <w:rPr>
          <w:rFonts w:ascii="Helvetica Neue" w:hAnsi="Helvetica Neue"/>
          <w:color w:val="000000" w:themeColor="text1"/>
          <w:shd w:val="clear" w:color="auto" w:fill="FFFFFF"/>
        </w:rPr>
        <w:t xml:space="preserve">s </w:t>
      </w:r>
    </w:p>
    <w:p w14:paraId="552BE10D" w14:textId="77777777" w:rsidR="003771D9" w:rsidRDefault="003771D9" w:rsidP="00762663">
      <w:pPr>
        <w:spacing w:line="360" w:lineRule="auto"/>
        <w:rPr>
          <w:rFonts w:ascii="Arial" w:hAnsi="Arial" w:cs="Arial"/>
        </w:rPr>
      </w:pPr>
    </w:p>
    <w:p w14:paraId="6E425C22" w14:textId="579DA0BA" w:rsidR="005E1640" w:rsidRDefault="005E1640" w:rsidP="00762663">
      <w:pPr>
        <w:spacing w:line="360" w:lineRule="auto"/>
        <w:rPr>
          <w:rFonts w:ascii="Arial" w:hAnsi="Arial" w:cs="Arial"/>
        </w:rPr>
      </w:pPr>
      <w:proofErr w:type="spellStart"/>
      <w:r>
        <w:rPr>
          <w:rFonts w:ascii="Arial" w:hAnsi="Arial" w:cs="Arial"/>
        </w:rPr>
        <w:t>Eugenicos</w:t>
      </w:r>
      <w:proofErr w:type="spellEnd"/>
      <w:r>
        <w:rPr>
          <w:rFonts w:ascii="Arial" w:hAnsi="Arial" w:cs="Arial"/>
        </w:rPr>
        <w:t xml:space="preserve">, A.M. (2017) ‘Should We Reform the Offences Against the Person Act 1861?’, </w:t>
      </w:r>
      <w:r w:rsidRPr="006B5B87">
        <w:rPr>
          <w:rFonts w:ascii="Arial" w:hAnsi="Arial" w:cs="Arial"/>
          <w:i/>
          <w:iCs/>
        </w:rPr>
        <w:t>The Journal of Criminal Law</w:t>
      </w:r>
      <w:r>
        <w:rPr>
          <w:rFonts w:ascii="Arial" w:hAnsi="Arial" w:cs="Arial"/>
        </w:rPr>
        <w:t>, 18(1), pp. 26-32. DOI: 10.1177/0022018316685478.</w:t>
      </w:r>
    </w:p>
    <w:p w14:paraId="4729F62A" w14:textId="77777777" w:rsidR="003771D9" w:rsidRDefault="003771D9" w:rsidP="007E6866">
      <w:pPr>
        <w:spacing w:line="360" w:lineRule="auto"/>
        <w:rPr>
          <w:rFonts w:ascii="Arial" w:hAnsi="Arial" w:cs="Arial"/>
          <w:color w:val="000000"/>
          <w:spacing w:val="-5"/>
          <w:shd w:val="clear" w:color="auto" w:fill="FFFFFF"/>
        </w:rPr>
      </w:pPr>
    </w:p>
    <w:p w14:paraId="02D56E87" w14:textId="0F6595A1" w:rsidR="005E1640" w:rsidRDefault="005E1640" w:rsidP="007E6866">
      <w:pPr>
        <w:spacing w:line="360" w:lineRule="auto"/>
        <w:rPr>
          <w:rFonts w:ascii="Arial" w:hAnsi="Arial" w:cs="Arial"/>
          <w:color w:val="000000"/>
          <w:spacing w:val="-5"/>
          <w:shd w:val="clear" w:color="auto" w:fill="FFFFFF"/>
        </w:rPr>
      </w:pPr>
      <w:r w:rsidRPr="00EE2752">
        <w:rPr>
          <w:rFonts w:ascii="Arial" w:hAnsi="Arial" w:cs="Arial"/>
          <w:color w:val="000000"/>
          <w:spacing w:val="-5"/>
          <w:shd w:val="clear" w:color="auto" w:fill="FFFFFF"/>
        </w:rPr>
        <w:t>Gardner, J. (1994). Rationality and the Rule of Law in Offences against the Person.</w:t>
      </w:r>
      <w:r w:rsidRPr="00EE2752">
        <w:rPr>
          <w:rStyle w:val="apple-converted-space"/>
          <w:rFonts w:ascii="Arial" w:hAnsi="Arial" w:cs="Arial"/>
          <w:color w:val="000000"/>
          <w:spacing w:val="-5"/>
          <w:shd w:val="clear" w:color="auto" w:fill="FFFFFF"/>
        </w:rPr>
        <w:t> </w:t>
      </w:r>
      <w:r w:rsidRPr="00EE2752">
        <w:rPr>
          <w:rFonts w:ascii="Arial" w:hAnsi="Arial" w:cs="Arial"/>
          <w:i/>
          <w:iCs/>
          <w:color w:val="000000"/>
          <w:spacing w:val="-5"/>
        </w:rPr>
        <w:t>The Cambridge Law Journal,</w:t>
      </w:r>
      <w:r>
        <w:rPr>
          <w:rFonts w:ascii="Arial" w:hAnsi="Arial" w:cs="Arial"/>
          <w:i/>
          <w:iCs/>
          <w:color w:val="000000"/>
          <w:spacing w:val="-5"/>
        </w:rPr>
        <w:t xml:space="preserve"> </w:t>
      </w:r>
      <w:r w:rsidRPr="00EE2752">
        <w:rPr>
          <w:rFonts w:ascii="Arial" w:hAnsi="Arial" w:cs="Arial"/>
          <w:i/>
          <w:iCs/>
          <w:color w:val="000000"/>
          <w:spacing w:val="-5"/>
        </w:rPr>
        <w:t>53</w:t>
      </w:r>
      <w:r w:rsidRPr="00EE2752">
        <w:rPr>
          <w:rFonts w:ascii="Arial" w:hAnsi="Arial" w:cs="Arial"/>
          <w:color w:val="000000"/>
          <w:spacing w:val="-5"/>
          <w:shd w:val="clear" w:color="auto" w:fill="FFFFFF"/>
        </w:rPr>
        <w:t xml:space="preserve">(3), </w:t>
      </w:r>
      <w:r>
        <w:rPr>
          <w:rFonts w:ascii="Arial" w:hAnsi="Arial" w:cs="Arial"/>
          <w:color w:val="000000"/>
          <w:spacing w:val="-5"/>
          <w:shd w:val="clear" w:color="auto" w:fill="FFFFFF"/>
        </w:rPr>
        <w:t xml:space="preserve">pp. </w:t>
      </w:r>
      <w:r w:rsidRPr="00EE2752">
        <w:rPr>
          <w:rFonts w:ascii="Arial" w:hAnsi="Arial" w:cs="Arial"/>
          <w:color w:val="000000"/>
          <w:spacing w:val="-5"/>
          <w:shd w:val="clear" w:color="auto" w:fill="FFFFFF"/>
        </w:rPr>
        <w:t xml:space="preserve">502-523. </w:t>
      </w:r>
      <w:r>
        <w:rPr>
          <w:rFonts w:ascii="Arial" w:hAnsi="Arial" w:cs="Arial"/>
          <w:color w:val="000000"/>
          <w:spacing w:val="-5"/>
          <w:shd w:val="clear" w:color="auto" w:fill="FFFFFF"/>
        </w:rPr>
        <w:t>DOI: 10.1093/</w:t>
      </w:r>
      <w:proofErr w:type="spellStart"/>
      <w:proofErr w:type="gramStart"/>
      <w:r>
        <w:rPr>
          <w:rFonts w:ascii="Arial" w:hAnsi="Arial" w:cs="Arial"/>
          <w:color w:val="000000"/>
          <w:spacing w:val="-5"/>
          <w:shd w:val="clear" w:color="auto" w:fill="FFFFFF"/>
        </w:rPr>
        <w:t>acprof:oso</w:t>
      </w:r>
      <w:proofErr w:type="spellEnd"/>
      <w:proofErr w:type="gramEnd"/>
      <w:r>
        <w:rPr>
          <w:rFonts w:ascii="Arial" w:hAnsi="Arial" w:cs="Arial"/>
          <w:color w:val="000000"/>
          <w:spacing w:val="-5"/>
          <w:shd w:val="clear" w:color="auto" w:fill="FFFFFF"/>
        </w:rPr>
        <w:t>/9780199239351.001.0001.</w:t>
      </w:r>
    </w:p>
    <w:p w14:paraId="2B4FDC0F" w14:textId="77777777" w:rsidR="003771D9" w:rsidRDefault="003771D9" w:rsidP="00A93466">
      <w:pPr>
        <w:spacing w:line="360" w:lineRule="auto"/>
        <w:rPr>
          <w:rFonts w:ascii="Arial" w:hAnsi="Arial" w:cs="Arial"/>
        </w:rPr>
      </w:pPr>
    </w:p>
    <w:p w14:paraId="50FDF35B" w14:textId="2FD57756" w:rsidR="005E1640" w:rsidRDefault="005E1640" w:rsidP="00A93466">
      <w:pPr>
        <w:spacing w:line="360" w:lineRule="auto"/>
        <w:rPr>
          <w:rFonts w:ascii="Arial" w:hAnsi="Arial" w:cs="Arial"/>
        </w:rPr>
      </w:pPr>
      <w:r>
        <w:rPr>
          <w:rFonts w:ascii="Arial" w:hAnsi="Arial" w:cs="Arial"/>
        </w:rPr>
        <w:t xml:space="preserve">Herring, J. (2018). </w:t>
      </w:r>
      <w:r w:rsidRPr="007902DE">
        <w:rPr>
          <w:rFonts w:ascii="Arial" w:hAnsi="Arial" w:cs="Arial"/>
          <w:i/>
          <w:iCs/>
        </w:rPr>
        <w:t>Criminal Law: Text, Cases and Materials</w:t>
      </w:r>
      <w:r>
        <w:rPr>
          <w:rFonts w:ascii="Arial" w:hAnsi="Arial" w:cs="Arial"/>
        </w:rPr>
        <w:t xml:space="preserve"> 8</w:t>
      </w:r>
      <w:r w:rsidRPr="00AC02D7">
        <w:rPr>
          <w:rFonts w:ascii="Arial" w:hAnsi="Arial" w:cs="Arial"/>
          <w:vertAlign w:val="superscript"/>
        </w:rPr>
        <w:t>th</w:t>
      </w:r>
      <w:r>
        <w:rPr>
          <w:rFonts w:ascii="Arial" w:hAnsi="Arial" w:cs="Arial"/>
        </w:rPr>
        <w:t xml:space="preserve"> Ed. Oxford: Oxford University Press. </w:t>
      </w:r>
    </w:p>
    <w:p w14:paraId="47922341" w14:textId="77777777" w:rsidR="003771D9" w:rsidRDefault="003771D9" w:rsidP="00D02F1A">
      <w:pPr>
        <w:spacing w:line="360" w:lineRule="auto"/>
        <w:rPr>
          <w:rFonts w:ascii="Helvetica Neue" w:hAnsi="Helvetica Neue"/>
          <w:color w:val="000000" w:themeColor="text1"/>
          <w:shd w:val="clear" w:color="auto" w:fill="FFFFFF"/>
        </w:rPr>
      </w:pPr>
    </w:p>
    <w:p w14:paraId="396DBA63" w14:textId="31B9FFAB" w:rsidR="005E1640" w:rsidRDefault="005E1640" w:rsidP="00D02F1A">
      <w:pPr>
        <w:spacing w:line="360" w:lineRule="auto"/>
        <w:rPr>
          <w:rFonts w:ascii="Helvetica Neue" w:hAnsi="Helvetica Neue"/>
          <w:color w:val="000000" w:themeColor="text1"/>
          <w:shd w:val="clear" w:color="auto" w:fill="FFFFFF"/>
        </w:rPr>
      </w:pPr>
      <w:r>
        <w:rPr>
          <w:rFonts w:ascii="Helvetica Neue" w:hAnsi="Helvetica Neue"/>
          <w:color w:val="000000" w:themeColor="text1"/>
          <w:shd w:val="clear" w:color="auto" w:fill="FFFFFF"/>
        </w:rPr>
        <w:t xml:space="preserve">Law Commission of England and Wales (2015), </w:t>
      </w:r>
      <w:r w:rsidRPr="001C2C98">
        <w:rPr>
          <w:rFonts w:ascii="Helvetica Neue" w:hAnsi="Helvetica Neue"/>
          <w:i/>
          <w:iCs/>
          <w:color w:val="000000" w:themeColor="text1"/>
          <w:shd w:val="clear" w:color="auto" w:fill="FFFFFF"/>
        </w:rPr>
        <w:t>YouTube</w:t>
      </w:r>
      <w:r>
        <w:rPr>
          <w:rFonts w:ascii="Helvetica Neue" w:hAnsi="Helvetica Neue"/>
          <w:color w:val="000000" w:themeColor="text1"/>
          <w:shd w:val="clear" w:color="auto" w:fill="FFFFFF"/>
        </w:rPr>
        <w:t xml:space="preserve">, Available at: </w:t>
      </w:r>
      <w:r w:rsidRPr="00DA1B7A">
        <w:rPr>
          <w:rFonts w:ascii="Helvetica Neue" w:hAnsi="Helvetica Neue"/>
          <w:color w:val="000000" w:themeColor="text1"/>
          <w:shd w:val="clear" w:color="auto" w:fill="FFFFFF"/>
        </w:rPr>
        <w:t>https://www.youtube.com/watch?v=diWKWOdY8IQ</w:t>
      </w:r>
      <w:r>
        <w:rPr>
          <w:rFonts w:ascii="Helvetica Neue" w:hAnsi="Helvetica Neue"/>
          <w:color w:val="000000" w:themeColor="text1"/>
          <w:shd w:val="clear" w:color="auto" w:fill="FFFFFF"/>
        </w:rPr>
        <w:t xml:space="preserve"> [Accessed 24 February 2021}.</w:t>
      </w:r>
    </w:p>
    <w:p w14:paraId="7F93A6D6" w14:textId="77777777" w:rsidR="003771D9" w:rsidRDefault="003771D9" w:rsidP="00A93466">
      <w:pPr>
        <w:spacing w:line="360" w:lineRule="auto"/>
        <w:rPr>
          <w:rFonts w:ascii="Arial" w:hAnsi="Arial" w:cs="Arial"/>
        </w:rPr>
      </w:pPr>
    </w:p>
    <w:p w14:paraId="419427A7" w14:textId="4C5F502D" w:rsidR="005E1640" w:rsidRDefault="005E1640" w:rsidP="00A93466">
      <w:pPr>
        <w:spacing w:line="360" w:lineRule="auto"/>
        <w:rPr>
          <w:rFonts w:ascii="Arial" w:hAnsi="Arial" w:cs="Arial"/>
        </w:rPr>
      </w:pPr>
      <w:r>
        <w:rPr>
          <w:rFonts w:ascii="Arial" w:hAnsi="Arial" w:cs="Arial"/>
        </w:rPr>
        <w:t xml:space="preserve">Law Commission. (2015). </w:t>
      </w:r>
      <w:r w:rsidRPr="004B2037">
        <w:rPr>
          <w:rFonts w:ascii="Arial" w:hAnsi="Arial" w:cs="Arial"/>
          <w:i/>
          <w:iCs/>
        </w:rPr>
        <w:t>Reform of Offences Against the Person</w:t>
      </w:r>
      <w:r>
        <w:rPr>
          <w:rFonts w:ascii="Arial" w:hAnsi="Arial" w:cs="Arial"/>
          <w:i/>
          <w:iCs/>
        </w:rPr>
        <w:t xml:space="preserve"> Report,</w:t>
      </w:r>
      <w:r w:rsidRPr="004B2037">
        <w:rPr>
          <w:rFonts w:ascii="Arial" w:hAnsi="Arial" w:cs="Arial"/>
          <w:i/>
          <w:iCs/>
        </w:rPr>
        <w:t xml:space="preserve"> Law Com No 361</w:t>
      </w:r>
      <w:r>
        <w:rPr>
          <w:rFonts w:ascii="Arial" w:hAnsi="Arial" w:cs="Arial"/>
        </w:rPr>
        <w:t xml:space="preserve">. Available at: </w:t>
      </w:r>
      <w:r w:rsidRPr="004B2037">
        <w:rPr>
          <w:rFonts w:ascii="Arial" w:hAnsi="Arial" w:cs="Arial"/>
        </w:rPr>
        <w:t>http://www.lawcom.gov.uk/app/uploads/2015/11/51950-LC-HC555_Web.pdf</w:t>
      </w:r>
      <w:r>
        <w:rPr>
          <w:rFonts w:ascii="Arial" w:hAnsi="Arial" w:cs="Arial"/>
        </w:rPr>
        <w:t xml:space="preserve"> [Accessed 17 February 2021].</w:t>
      </w:r>
    </w:p>
    <w:p w14:paraId="2ECB9888" w14:textId="77777777" w:rsidR="003771D9" w:rsidRDefault="003771D9" w:rsidP="00762663">
      <w:pPr>
        <w:spacing w:line="360" w:lineRule="auto"/>
        <w:rPr>
          <w:rFonts w:ascii="Arial" w:hAnsi="Arial" w:cs="Arial"/>
        </w:rPr>
      </w:pPr>
    </w:p>
    <w:p w14:paraId="6BC21AA4" w14:textId="5E744D70" w:rsidR="005E1640" w:rsidRDefault="005E1640" w:rsidP="00762663">
      <w:pPr>
        <w:spacing w:line="360" w:lineRule="auto"/>
        <w:rPr>
          <w:rFonts w:ascii="Arial" w:hAnsi="Arial" w:cs="Arial"/>
        </w:rPr>
      </w:pPr>
      <w:r>
        <w:rPr>
          <w:rFonts w:ascii="Arial" w:hAnsi="Arial" w:cs="Arial"/>
        </w:rPr>
        <w:t xml:space="preserve">Law Commission. (2015). </w:t>
      </w:r>
      <w:r w:rsidRPr="006B5B87">
        <w:rPr>
          <w:rFonts w:ascii="Arial" w:hAnsi="Arial" w:cs="Arial"/>
          <w:i/>
          <w:iCs/>
        </w:rPr>
        <w:t>Reform of Offences Against the Person Summary</w:t>
      </w:r>
      <w:r>
        <w:rPr>
          <w:rFonts w:ascii="Arial" w:hAnsi="Arial" w:cs="Arial"/>
        </w:rPr>
        <w:t xml:space="preserve">. Available at: </w:t>
      </w:r>
      <w:r w:rsidRPr="00F06503">
        <w:rPr>
          <w:rFonts w:ascii="Arial" w:hAnsi="Arial" w:cs="Arial"/>
        </w:rPr>
        <w:t>https://www.lawcom.gov.uk/project/offences-against-the-person/</w:t>
      </w:r>
      <w:r>
        <w:rPr>
          <w:rFonts w:ascii="Arial" w:hAnsi="Arial" w:cs="Arial"/>
        </w:rPr>
        <w:t xml:space="preserve"> [Accessed 23 February 2021]. </w:t>
      </w:r>
    </w:p>
    <w:p w14:paraId="1084F1C7" w14:textId="77777777" w:rsidR="005E1640" w:rsidRDefault="005E1640" w:rsidP="00762663">
      <w:pPr>
        <w:spacing w:line="360" w:lineRule="auto"/>
        <w:rPr>
          <w:rFonts w:ascii="Arial" w:hAnsi="Arial" w:cs="Arial"/>
        </w:rPr>
      </w:pPr>
      <w:r>
        <w:rPr>
          <w:rFonts w:ascii="Arial" w:hAnsi="Arial" w:cs="Arial"/>
        </w:rPr>
        <w:lastRenderedPageBreak/>
        <w:t xml:space="preserve">Legislation.gov.uk. (2021). </w:t>
      </w:r>
      <w:r w:rsidRPr="00C15C53">
        <w:rPr>
          <w:rFonts w:ascii="Arial" w:hAnsi="Arial" w:cs="Arial"/>
          <w:i/>
          <w:iCs/>
        </w:rPr>
        <w:t>Offences Against the Person Act 1861</w:t>
      </w:r>
      <w:r>
        <w:rPr>
          <w:rFonts w:ascii="Arial" w:hAnsi="Arial" w:cs="Arial"/>
        </w:rPr>
        <w:t xml:space="preserve">. Available at: </w:t>
      </w:r>
      <w:r w:rsidRPr="00C15C53">
        <w:rPr>
          <w:rFonts w:ascii="Arial" w:hAnsi="Arial" w:cs="Arial"/>
        </w:rPr>
        <w:t>https://www.legislation.gov.uk/ukpga/Vict/24-25/100/section/47</w:t>
      </w:r>
      <w:r>
        <w:rPr>
          <w:rFonts w:ascii="Arial" w:hAnsi="Arial" w:cs="Arial"/>
        </w:rPr>
        <w:t xml:space="preserve"> [Accessed 17 February 2021].</w:t>
      </w:r>
    </w:p>
    <w:p w14:paraId="573CC93E" w14:textId="77777777" w:rsidR="003771D9" w:rsidRDefault="003771D9" w:rsidP="00A93466">
      <w:pPr>
        <w:spacing w:line="360" w:lineRule="auto"/>
        <w:rPr>
          <w:rFonts w:ascii="Arial" w:hAnsi="Arial" w:cs="Arial"/>
        </w:rPr>
      </w:pPr>
    </w:p>
    <w:p w14:paraId="573C1DDB" w14:textId="53A760E3" w:rsidR="005E1640" w:rsidRDefault="005E1640" w:rsidP="00A93466">
      <w:pPr>
        <w:spacing w:line="360" w:lineRule="auto"/>
        <w:rPr>
          <w:rFonts w:ascii="Arial" w:hAnsi="Arial" w:cs="Arial"/>
        </w:rPr>
      </w:pPr>
      <w:proofErr w:type="spellStart"/>
      <w:r>
        <w:rPr>
          <w:rFonts w:ascii="Arial" w:hAnsi="Arial" w:cs="Arial"/>
        </w:rPr>
        <w:t>McCombe</w:t>
      </w:r>
      <w:proofErr w:type="spellEnd"/>
      <w:r>
        <w:rPr>
          <w:rFonts w:ascii="Arial" w:hAnsi="Arial" w:cs="Arial"/>
        </w:rPr>
        <w:t xml:space="preserve">, C. (2017). “Non-fatal Offences against the Person: Complexities, Difficulties and Reform”, Queen Mary Law Journal, 8(1), pp. 71-82. URL: </w:t>
      </w:r>
      <w:r w:rsidRPr="007B41B4">
        <w:rPr>
          <w:rFonts w:ascii="Arial" w:hAnsi="Arial" w:cs="Arial"/>
        </w:rPr>
        <w:t>https://heinonline.org/HOL/Page?handle=hein.journals/qmlj8&amp;id=77&amp;collection=journals&amp;index=</w:t>
      </w:r>
      <w:r>
        <w:rPr>
          <w:rFonts w:ascii="Arial" w:hAnsi="Arial" w:cs="Arial"/>
        </w:rPr>
        <w:t>.</w:t>
      </w:r>
    </w:p>
    <w:p w14:paraId="135FF228" w14:textId="77777777" w:rsidR="003771D9" w:rsidRDefault="003771D9" w:rsidP="00A93466">
      <w:pPr>
        <w:spacing w:line="360" w:lineRule="auto"/>
        <w:rPr>
          <w:rFonts w:ascii="Arial" w:hAnsi="Arial" w:cs="Arial"/>
        </w:rPr>
      </w:pPr>
    </w:p>
    <w:p w14:paraId="38524E19" w14:textId="52013520" w:rsidR="005E1640" w:rsidRPr="00A93466" w:rsidRDefault="005E1640" w:rsidP="00A93466">
      <w:pPr>
        <w:spacing w:line="360" w:lineRule="auto"/>
        <w:rPr>
          <w:rFonts w:ascii="Arial" w:hAnsi="Arial" w:cs="Arial"/>
        </w:rPr>
      </w:pPr>
      <w:r w:rsidRPr="00A93466">
        <w:rPr>
          <w:rFonts w:ascii="Arial" w:hAnsi="Arial" w:cs="Arial"/>
        </w:rPr>
        <w:t>Reed A.</w:t>
      </w:r>
      <w:r>
        <w:rPr>
          <w:rFonts w:ascii="Arial" w:hAnsi="Arial" w:cs="Arial"/>
        </w:rPr>
        <w:t xml:space="preserve"> (1995).</w:t>
      </w:r>
      <w:r w:rsidRPr="00A93466">
        <w:rPr>
          <w:rFonts w:ascii="Arial" w:hAnsi="Arial" w:cs="Arial"/>
        </w:rPr>
        <w:t xml:space="preserve"> Offences against the Person: The Need for Reform. </w:t>
      </w:r>
      <w:r w:rsidRPr="00A93466">
        <w:rPr>
          <w:rFonts w:ascii="Arial" w:hAnsi="Arial" w:cs="Arial"/>
          <w:i/>
          <w:iCs/>
        </w:rPr>
        <w:t>The Journal of Criminal Law</w:t>
      </w:r>
      <w:r>
        <w:rPr>
          <w:rFonts w:ascii="Arial" w:hAnsi="Arial" w:cs="Arial"/>
          <w:i/>
          <w:iCs/>
        </w:rPr>
        <w:t xml:space="preserve">, </w:t>
      </w:r>
      <w:r w:rsidRPr="00A93466">
        <w:rPr>
          <w:rFonts w:ascii="Arial" w:hAnsi="Arial" w:cs="Arial"/>
        </w:rPr>
        <w:t>59(2)</w:t>
      </w:r>
      <w:r>
        <w:rPr>
          <w:rFonts w:ascii="Arial" w:hAnsi="Arial" w:cs="Arial"/>
        </w:rPr>
        <w:t>, pp.</w:t>
      </w:r>
      <w:r w:rsidRPr="00A93466">
        <w:rPr>
          <w:rFonts w:ascii="Arial" w:hAnsi="Arial" w:cs="Arial"/>
        </w:rPr>
        <w:t xml:space="preserve">187-197. </w:t>
      </w:r>
      <w:r>
        <w:rPr>
          <w:rFonts w:ascii="Arial" w:hAnsi="Arial" w:cs="Arial"/>
        </w:rPr>
        <w:t>DOI</w:t>
      </w:r>
      <w:r w:rsidRPr="00A93466">
        <w:rPr>
          <w:rFonts w:ascii="Arial" w:hAnsi="Arial" w:cs="Arial"/>
        </w:rPr>
        <w:t>:</w:t>
      </w:r>
      <w:r>
        <w:rPr>
          <w:rFonts w:ascii="Arial" w:hAnsi="Arial" w:cs="Arial"/>
        </w:rPr>
        <w:t xml:space="preserve"> </w:t>
      </w:r>
      <w:r w:rsidRPr="00A93466">
        <w:rPr>
          <w:rFonts w:ascii="Arial" w:hAnsi="Arial" w:cs="Arial"/>
        </w:rPr>
        <w:t>10.1177/002201839505900205</w:t>
      </w:r>
      <w:r>
        <w:rPr>
          <w:rFonts w:ascii="Arial" w:hAnsi="Arial" w:cs="Arial"/>
        </w:rPr>
        <w:t>.</w:t>
      </w:r>
    </w:p>
    <w:p w14:paraId="62A6A506" w14:textId="77777777" w:rsidR="00AE454E" w:rsidRDefault="00AE454E" w:rsidP="00762663">
      <w:pPr>
        <w:spacing w:line="360" w:lineRule="auto"/>
        <w:rPr>
          <w:rFonts w:ascii="Arial" w:hAnsi="Arial" w:cs="Arial"/>
        </w:rPr>
      </w:pPr>
    </w:p>
    <w:p w14:paraId="14D83497" w14:textId="77777777" w:rsidR="00AE454E" w:rsidRPr="00224E2F" w:rsidRDefault="00AE454E" w:rsidP="00762663">
      <w:pPr>
        <w:spacing w:line="360" w:lineRule="auto"/>
        <w:rPr>
          <w:rFonts w:ascii="Arial" w:hAnsi="Arial" w:cs="Arial"/>
        </w:rPr>
      </w:pPr>
    </w:p>
    <w:sectPr w:rsidR="00AE454E" w:rsidRPr="00224E2F" w:rsidSect="003B3298">
      <w:pgSz w:w="11900" w:h="16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Helvetica Neue">
    <w:altName w:val="Helvetica Neue"/>
    <w:panose1 w:val="02000503000000020004"/>
    <w:charset w:val="00"/>
    <w:family w:val="auto"/>
    <w:pitch w:val="variable"/>
    <w:sig w:usb0="E50002FF" w:usb1="500079DB" w:usb2="0000001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266D"/>
    <w:rsid w:val="00037F12"/>
    <w:rsid w:val="00041A60"/>
    <w:rsid w:val="000435E7"/>
    <w:rsid w:val="00053AA0"/>
    <w:rsid w:val="00092865"/>
    <w:rsid w:val="000A7677"/>
    <w:rsid w:val="000B7F22"/>
    <w:rsid w:val="000C455D"/>
    <w:rsid w:val="000D1317"/>
    <w:rsid w:val="000E275C"/>
    <w:rsid w:val="000F469D"/>
    <w:rsid w:val="000F67E0"/>
    <w:rsid w:val="001028D1"/>
    <w:rsid w:val="00123641"/>
    <w:rsid w:val="0012401F"/>
    <w:rsid w:val="0015087B"/>
    <w:rsid w:val="00185E13"/>
    <w:rsid w:val="001C2C98"/>
    <w:rsid w:val="001E3B85"/>
    <w:rsid w:val="001E4253"/>
    <w:rsid w:val="002223CC"/>
    <w:rsid w:val="00224E2F"/>
    <w:rsid w:val="00242007"/>
    <w:rsid w:val="002456D1"/>
    <w:rsid w:val="00261E0F"/>
    <w:rsid w:val="0027272B"/>
    <w:rsid w:val="00297934"/>
    <w:rsid w:val="002A733E"/>
    <w:rsid w:val="002B0748"/>
    <w:rsid w:val="002F3E8C"/>
    <w:rsid w:val="002F78D2"/>
    <w:rsid w:val="00301034"/>
    <w:rsid w:val="003036E1"/>
    <w:rsid w:val="003058E7"/>
    <w:rsid w:val="003106E0"/>
    <w:rsid w:val="00327988"/>
    <w:rsid w:val="00334CF4"/>
    <w:rsid w:val="00342B43"/>
    <w:rsid w:val="00343535"/>
    <w:rsid w:val="00351485"/>
    <w:rsid w:val="003562C0"/>
    <w:rsid w:val="003771D9"/>
    <w:rsid w:val="003B3298"/>
    <w:rsid w:val="003C1632"/>
    <w:rsid w:val="003D71E4"/>
    <w:rsid w:val="00422976"/>
    <w:rsid w:val="00432E30"/>
    <w:rsid w:val="00445962"/>
    <w:rsid w:val="004A5340"/>
    <w:rsid w:val="004B2037"/>
    <w:rsid w:val="004B7517"/>
    <w:rsid w:val="004D12B1"/>
    <w:rsid w:val="00503316"/>
    <w:rsid w:val="005136D1"/>
    <w:rsid w:val="005414B0"/>
    <w:rsid w:val="005439A7"/>
    <w:rsid w:val="005E1640"/>
    <w:rsid w:val="005E57C9"/>
    <w:rsid w:val="00637C82"/>
    <w:rsid w:val="0064627D"/>
    <w:rsid w:val="00660AB4"/>
    <w:rsid w:val="006A2966"/>
    <w:rsid w:val="006B5B87"/>
    <w:rsid w:val="00707032"/>
    <w:rsid w:val="00742107"/>
    <w:rsid w:val="00753DD7"/>
    <w:rsid w:val="00762663"/>
    <w:rsid w:val="007902DE"/>
    <w:rsid w:val="007A1C0E"/>
    <w:rsid w:val="007B01C4"/>
    <w:rsid w:val="007B41B4"/>
    <w:rsid w:val="007E5F45"/>
    <w:rsid w:val="007E6866"/>
    <w:rsid w:val="008007DE"/>
    <w:rsid w:val="0083266D"/>
    <w:rsid w:val="00850506"/>
    <w:rsid w:val="00856383"/>
    <w:rsid w:val="00885689"/>
    <w:rsid w:val="00886E67"/>
    <w:rsid w:val="008B46D3"/>
    <w:rsid w:val="008B68D0"/>
    <w:rsid w:val="008C5B7B"/>
    <w:rsid w:val="00937E7E"/>
    <w:rsid w:val="0096533C"/>
    <w:rsid w:val="00965A39"/>
    <w:rsid w:val="00966D54"/>
    <w:rsid w:val="00981D20"/>
    <w:rsid w:val="00982C4C"/>
    <w:rsid w:val="009963D0"/>
    <w:rsid w:val="009D4FE9"/>
    <w:rsid w:val="009E7025"/>
    <w:rsid w:val="009F4370"/>
    <w:rsid w:val="00A132B3"/>
    <w:rsid w:val="00A13F29"/>
    <w:rsid w:val="00A2108B"/>
    <w:rsid w:val="00A32285"/>
    <w:rsid w:val="00A752FD"/>
    <w:rsid w:val="00A93466"/>
    <w:rsid w:val="00AB2D71"/>
    <w:rsid w:val="00AC02D7"/>
    <w:rsid w:val="00AE454E"/>
    <w:rsid w:val="00AE5FA4"/>
    <w:rsid w:val="00AF2D06"/>
    <w:rsid w:val="00AF68CC"/>
    <w:rsid w:val="00AF71FE"/>
    <w:rsid w:val="00B156C6"/>
    <w:rsid w:val="00B56C36"/>
    <w:rsid w:val="00B646EB"/>
    <w:rsid w:val="00BE036B"/>
    <w:rsid w:val="00BE68D3"/>
    <w:rsid w:val="00BF3878"/>
    <w:rsid w:val="00C01594"/>
    <w:rsid w:val="00C15C53"/>
    <w:rsid w:val="00C16595"/>
    <w:rsid w:val="00C67F97"/>
    <w:rsid w:val="00C76A35"/>
    <w:rsid w:val="00C92E22"/>
    <w:rsid w:val="00C95DD4"/>
    <w:rsid w:val="00CC4CE7"/>
    <w:rsid w:val="00CF305F"/>
    <w:rsid w:val="00D02F1A"/>
    <w:rsid w:val="00D13813"/>
    <w:rsid w:val="00D2176A"/>
    <w:rsid w:val="00D72AA7"/>
    <w:rsid w:val="00DA1B7A"/>
    <w:rsid w:val="00DD7AB3"/>
    <w:rsid w:val="00DF6295"/>
    <w:rsid w:val="00E02F64"/>
    <w:rsid w:val="00E938CC"/>
    <w:rsid w:val="00EC3136"/>
    <w:rsid w:val="00EE2752"/>
    <w:rsid w:val="00EE7707"/>
    <w:rsid w:val="00F06503"/>
    <w:rsid w:val="00F071CC"/>
    <w:rsid w:val="00F6271D"/>
    <w:rsid w:val="00F900B5"/>
    <w:rsid w:val="00F93D4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E2E7E7D"/>
  <w14:defaultImageDpi w14:val="32767"/>
  <w15:chartTrackingRefBased/>
  <w15:docId w15:val="{3A98627A-295D-AA45-840A-8B747BAEEC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rsid w:val="00EE2752"/>
    <w:rPr>
      <w:rFonts w:ascii="Times New Roman" w:eastAsia="Times New Roman" w:hAnsi="Times New Roman"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7272B"/>
    <w:rPr>
      <w:color w:val="0563C1" w:themeColor="hyperlink"/>
      <w:u w:val="single"/>
    </w:rPr>
  </w:style>
  <w:style w:type="character" w:styleId="UnresolvedMention">
    <w:name w:val="Unresolved Mention"/>
    <w:basedOn w:val="DefaultParagraphFont"/>
    <w:uiPriority w:val="99"/>
    <w:rsid w:val="0027272B"/>
    <w:rPr>
      <w:color w:val="605E5C"/>
      <w:shd w:val="clear" w:color="auto" w:fill="E1DFDD"/>
    </w:rPr>
  </w:style>
  <w:style w:type="character" w:styleId="FollowedHyperlink">
    <w:name w:val="FollowedHyperlink"/>
    <w:basedOn w:val="DefaultParagraphFont"/>
    <w:uiPriority w:val="99"/>
    <w:semiHidden/>
    <w:unhideWhenUsed/>
    <w:rsid w:val="00432E30"/>
    <w:rPr>
      <w:color w:val="954F72" w:themeColor="followedHyperlink"/>
      <w:u w:val="single"/>
    </w:rPr>
  </w:style>
  <w:style w:type="character" w:customStyle="1" w:styleId="apple-converted-space">
    <w:name w:val="apple-converted-space"/>
    <w:basedOn w:val="DefaultParagraphFont"/>
    <w:rsid w:val="00EE275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9110593">
      <w:bodyDiv w:val="1"/>
      <w:marLeft w:val="0"/>
      <w:marRight w:val="0"/>
      <w:marTop w:val="0"/>
      <w:marBottom w:val="0"/>
      <w:divBdr>
        <w:top w:val="none" w:sz="0" w:space="0" w:color="auto"/>
        <w:left w:val="none" w:sz="0" w:space="0" w:color="auto"/>
        <w:bottom w:val="none" w:sz="0" w:space="0" w:color="auto"/>
        <w:right w:val="none" w:sz="0" w:space="0" w:color="auto"/>
      </w:divBdr>
    </w:div>
    <w:div w:id="622267436">
      <w:bodyDiv w:val="1"/>
      <w:marLeft w:val="0"/>
      <w:marRight w:val="0"/>
      <w:marTop w:val="0"/>
      <w:marBottom w:val="0"/>
      <w:divBdr>
        <w:top w:val="none" w:sz="0" w:space="0" w:color="auto"/>
        <w:left w:val="none" w:sz="0" w:space="0" w:color="auto"/>
        <w:bottom w:val="none" w:sz="0" w:space="0" w:color="auto"/>
        <w:right w:val="none" w:sz="0" w:space="0" w:color="auto"/>
      </w:divBdr>
    </w:div>
    <w:div w:id="9170553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354</TotalTime>
  <Pages>7</Pages>
  <Words>2161</Words>
  <Characters>12324</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 Bevan (2003799)</dc:creator>
  <cp:keywords/>
  <dc:description/>
  <cp:lastModifiedBy>Rachel Bevan (2003799)</cp:lastModifiedBy>
  <cp:revision>140</cp:revision>
  <dcterms:created xsi:type="dcterms:W3CDTF">2021-02-11T12:11:00Z</dcterms:created>
  <dcterms:modified xsi:type="dcterms:W3CDTF">2021-02-24T22:23:00Z</dcterms:modified>
</cp:coreProperties>
</file>