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24C55" w14:textId="6BCCCD8E" w:rsidR="00715341" w:rsidRPr="00702D7B" w:rsidRDefault="00715341" w:rsidP="00702D7B">
      <w:pPr>
        <w:pStyle w:val="TOCHeading"/>
        <w:rPr>
          <w:b/>
          <w:bCs/>
          <w:noProof/>
        </w:rPr>
      </w:pPr>
    </w:p>
    <w:p w14:paraId="068E1848" w14:textId="77777777" w:rsidR="00702D7B" w:rsidRDefault="00702D7B" w:rsidP="00702D7B">
      <w:pPr>
        <w:spacing w:line="360" w:lineRule="auto"/>
        <w:jc w:val="center"/>
      </w:pPr>
      <w:r>
        <w:rPr>
          <w:noProof/>
        </w:rPr>
        <w:drawing>
          <wp:inline distT="0" distB="0" distL="0" distR="0" wp14:anchorId="0EB87562" wp14:editId="557BDE3B">
            <wp:extent cx="3810330" cy="1627773"/>
            <wp:effectExtent l="0" t="0" r="0" b="0"/>
            <wp:docPr id="13063600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360025" name="Picture 1306360025"/>
                    <pic:cNvPicPr/>
                  </pic:nvPicPr>
                  <pic:blipFill>
                    <a:blip r:embed="rId8">
                      <a:extLst>
                        <a:ext uri="{28A0092B-C50C-407E-A947-70E740481C1C}">
                          <a14:useLocalDpi xmlns:a14="http://schemas.microsoft.com/office/drawing/2010/main"/>
                        </a:ext>
                      </a:extLst>
                    </a:blip>
                    <a:stretch>
                      <a:fillRect/>
                    </a:stretch>
                  </pic:blipFill>
                  <pic:spPr>
                    <a:xfrm>
                      <a:off x="0" y="0"/>
                      <a:ext cx="3810330" cy="1627773"/>
                    </a:xfrm>
                    <a:prstGeom prst="rect">
                      <a:avLst/>
                    </a:prstGeom>
                  </pic:spPr>
                </pic:pic>
              </a:graphicData>
            </a:graphic>
          </wp:inline>
        </w:drawing>
      </w:r>
    </w:p>
    <w:p w14:paraId="1446393B" w14:textId="77777777" w:rsidR="00702D7B" w:rsidRDefault="00702D7B" w:rsidP="00702D7B">
      <w:pPr>
        <w:spacing w:line="360" w:lineRule="auto"/>
        <w:rPr>
          <w:lang w:val="en-US"/>
        </w:rPr>
      </w:pPr>
    </w:p>
    <w:p w14:paraId="650E5350" w14:textId="77777777" w:rsidR="00702D7B" w:rsidRDefault="00702D7B" w:rsidP="00702D7B">
      <w:pPr>
        <w:spacing w:line="360" w:lineRule="auto"/>
        <w:rPr>
          <w:rFonts w:ascii="Arial" w:eastAsia="Arial" w:hAnsi="Arial" w:cs="Arial"/>
          <w:lang w:val="en-US"/>
        </w:rPr>
      </w:pPr>
    </w:p>
    <w:p w14:paraId="719F1DD1" w14:textId="77777777" w:rsidR="00702D7B" w:rsidRDefault="00702D7B" w:rsidP="00702D7B">
      <w:pPr>
        <w:spacing w:line="360" w:lineRule="auto"/>
        <w:jc w:val="center"/>
        <w:rPr>
          <w:rFonts w:ascii="Arial" w:eastAsia="Arial" w:hAnsi="Arial" w:cs="Arial"/>
          <w:b/>
          <w:bCs/>
          <w:lang w:val="en-US"/>
        </w:rPr>
      </w:pPr>
      <w:r w:rsidRPr="290B13FD">
        <w:rPr>
          <w:rFonts w:ascii="Arial" w:eastAsia="Arial" w:hAnsi="Arial" w:cs="Arial"/>
          <w:b/>
          <w:bCs/>
          <w:lang w:val="en-US"/>
        </w:rPr>
        <w:t xml:space="preserve">Student Name: Shyam </w:t>
      </w:r>
      <w:proofErr w:type="spellStart"/>
      <w:r w:rsidRPr="290B13FD">
        <w:rPr>
          <w:rFonts w:ascii="Arial" w:eastAsia="Arial" w:hAnsi="Arial" w:cs="Arial"/>
          <w:b/>
          <w:bCs/>
          <w:lang w:val="en-US"/>
        </w:rPr>
        <w:t>SatishKumar</w:t>
      </w:r>
      <w:proofErr w:type="spellEnd"/>
      <w:r w:rsidRPr="290B13FD">
        <w:rPr>
          <w:rFonts w:ascii="Arial" w:eastAsia="Arial" w:hAnsi="Arial" w:cs="Arial"/>
          <w:b/>
          <w:bCs/>
          <w:lang w:val="en-US"/>
        </w:rPr>
        <w:t xml:space="preserve"> Patel</w:t>
      </w:r>
    </w:p>
    <w:p w14:paraId="0047E180" w14:textId="77777777" w:rsidR="00702D7B" w:rsidRDefault="00702D7B" w:rsidP="00702D7B">
      <w:pPr>
        <w:spacing w:line="360" w:lineRule="auto"/>
        <w:jc w:val="center"/>
        <w:rPr>
          <w:rFonts w:ascii="Arial" w:eastAsia="Arial" w:hAnsi="Arial" w:cs="Arial"/>
          <w:b/>
          <w:bCs/>
          <w:lang w:val="en-US"/>
        </w:rPr>
      </w:pPr>
      <w:r w:rsidRPr="290B13FD">
        <w:rPr>
          <w:rFonts w:ascii="Arial" w:eastAsia="Arial" w:hAnsi="Arial" w:cs="Arial"/>
          <w:b/>
          <w:bCs/>
          <w:lang w:val="en-US"/>
        </w:rPr>
        <w:t xml:space="preserve"> </w:t>
      </w:r>
    </w:p>
    <w:p w14:paraId="60A2A7AA" w14:textId="77777777" w:rsidR="00702D7B" w:rsidRDefault="00702D7B" w:rsidP="00702D7B">
      <w:pPr>
        <w:spacing w:line="360" w:lineRule="auto"/>
        <w:jc w:val="center"/>
        <w:rPr>
          <w:rFonts w:ascii="Arial" w:eastAsia="Arial" w:hAnsi="Arial" w:cs="Arial"/>
          <w:b/>
          <w:bCs/>
          <w:lang w:val="en-US"/>
        </w:rPr>
      </w:pPr>
      <w:r w:rsidRPr="290B13FD">
        <w:rPr>
          <w:rFonts w:ascii="Arial" w:eastAsia="Arial" w:hAnsi="Arial" w:cs="Arial"/>
          <w:b/>
          <w:bCs/>
          <w:lang w:val="en-US"/>
        </w:rPr>
        <w:t>Student ID: 2520602</w:t>
      </w:r>
    </w:p>
    <w:p w14:paraId="5B071F7E" w14:textId="77777777" w:rsidR="00702D7B" w:rsidRDefault="00702D7B" w:rsidP="00702D7B">
      <w:pPr>
        <w:spacing w:line="360" w:lineRule="auto"/>
        <w:jc w:val="center"/>
        <w:rPr>
          <w:rFonts w:ascii="Arial" w:eastAsia="Arial" w:hAnsi="Arial" w:cs="Arial"/>
          <w:b/>
          <w:bCs/>
          <w:lang w:val="en-US"/>
        </w:rPr>
      </w:pPr>
      <w:r w:rsidRPr="290B13FD">
        <w:rPr>
          <w:rFonts w:ascii="Arial" w:eastAsia="Arial" w:hAnsi="Arial" w:cs="Arial"/>
          <w:b/>
          <w:bCs/>
          <w:lang w:val="en-US"/>
        </w:rPr>
        <w:t xml:space="preserve"> </w:t>
      </w:r>
    </w:p>
    <w:p w14:paraId="3B4FFADE" w14:textId="7D363896" w:rsidR="00702D7B" w:rsidRDefault="00702D7B" w:rsidP="00702D7B">
      <w:pPr>
        <w:spacing w:line="360" w:lineRule="auto"/>
        <w:jc w:val="center"/>
        <w:rPr>
          <w:rFonts w:ascii="Arial" w:eastAsia="Arial" w:hAnsi="Arial" w:cs="Arial"/>
          <w:b/>
          <w:bCs/>
          <w:lang w:val="en-US"/>
        </w:rPr>
      </w:pPr>
      <w:r w:rsidRPr="290B13FD">
        <w:rPr>
          <w:rFonts w:ascii="Arial" w:eastAsia="Arial" w:hAnsi="Arial" w:cs="Arial"/>
          <w:b/>
          <w:bCs/>
          <w:lang w:val="en-US"/>
        </w:rPr>
        <w:t xml:space="preserve">Module Name: </w:t>
      </w:r>
      <w:r w:rsidRPr="00702D7B">
        <w:rPr>
          <w:rFonts w:ascii="Arial" w:eastAsia="Arial" w:hAnsi="Arial" w:cs="Arial"/>
          <w:b/>
          <w:bCs/>
        </w:rPr>
        <w:t>International Business Concepts</w:t>
      </w:r>
    </w:p>
    <w:p w14:paraId="0657E52D" w14:textId="77777777" w:rsidR="00702D7B" w:rsidRDefault="00702D7B" w:rsidP="00702D7B">
      <w:pPr>
        <w:spacing w:line="360" w:lineRule="auto"/>
        <w:ind w:left="3478"/>
        <w:jc w:val="center"/>
        <w:rPr>
          <w:rFonts w:ascii="Arial" w:eastAsia="Arial" w:hAnsi="Arial" w:cs="Arial"/>
          <w:b/>
          <w:bCs/>
          <w:lang w:val="en-US"/>
        </w:rPr>
      </w:pPr>
      <w:r w:rsidRPr="290B13FD">
        <w:rPr>
          <w:rFonts w:ascii="Arial" w:eastAsia="Arial" w:hAnsi="Arial" w:cs="Arial"/>
          <w:b/>
          <w:bCs/>
          <w:lang w:val="en-US"/>
        </w:rPr>
        <w:t xml:space="preserve"> </w:t>
      </w:r>
    </w:p>
    <w:p w14:paraId="74FFB09B" w14:textId="7E6FC242" w:rsidR="00702D7B" w:rsidRDefault="00702D7B" w:rsidP="00702D7B">
      <w:pPr>
        <w:spacing w:line="360" w:lineRule="auto"/>
        <w:jc w:val="center"/>
        <w:rPr>
          <w:rFonts w:ascii="Arial" w:eastAsia="Arial" w:hAnsi="Arial" w:cs="Arial"/>
          <w:b/>
          <w:bCs/>
          <w:lang w:val="en-US"/>
        </w:rPr>
      </w:pPr>
      <w:r w:rsidRPr="290B13FD">
        <w:rPr>
          <w:rFonts w:ascii="Arial" w:eastAsia="Arial" w:hAnsi="Arial" w:cs="Arial"/>
          <w:b/>
          <w:bCs/>
          <w:lang w:val="en-US"/>
        </w:rPr>
        <w:t xml:space="preserve">Module Code: </w:t>
      </w:r>
      <w:r w:rsidRPr="00702D7B">
        <w:rPr>
          <w:rFonts w:ascii="Arial" w:eastAsia="Arial" w:hAnsi="Arial" w:cs="Arial"/>
          <w:b/>
          <w:bCs/>
        </w:rPr>
        <w:t>LCMB7034</w:t>
      </w:r>
    </w:p>
    <w:p w14:paraId="10273288" w14:textId="77777777" w:rsidR="00702D7B" w:rsidRDefault="00702D7B" w:rsidP="00702D7B">
      <w:pPr>
        <w:spacing w:line="360" w:lineRule="auto"/>
        <w:ind w:left="3478"/>
        <w:jc w:val="center"/>
        <w:rPr>
          <w:rFonts w:ascii="Arial" w:eastAsia="Arial" w:hAnsi="Arial" w:cs="Arial"/>
          <w:b/>
          <w:bCs/>
          <w:lang w:val="en-US"/>
        </w:rPr>
      </w:pPr>
      <w:r w:rsidRPr="290B13FD">
        <w:rPr>
          <w:rFonts w:ascii="Arial" w:eastAsia="Arial" w:hAnsi="Arial" w:cs="Arial"/>
          <w:b/>
          <w:bCs/>
          <w:lang w:val="en-US"/>
        </w:rPr>
        <w:t xml:space="preserve"> </w:t>
      </w:r>
    </w:p>
    <w:p w14:paraId="4ACA4793" w14:textId="264CF6F2" w:rsidR="00702D7B" w:rsidRDefault="00702D7B" w:rsidP="00702D7B">
      <w:pPr>
        <w:spacing w:line="360" w:lineRule="auto"/>
        <w:jc w:val="center"/>
        <w:rPr>
          <w:rFonts w:ascii="Arial" w:eastAsia="Arial" w:hAnsi="Arial" w:cs="Arial"/>
          <w:b/>
          <w:bCs/>
          <w:lang w:val="en-US"/>
        </w:rPr>
      </w:pPr>
      <w:r w:rsidRPr="290B13FD">
        <w:rPr>
          <w:rFonts w:ascii="Arial" w:eastAsia="Arial" w:hAnsi="Arial" w:cs="Arial"/>
          <w:b/>
          <w:bCs/>
          <w:lang w:val="en-US"/>
        </w:rPr>
        <w:t xml:space="preserve">Lecturer’s Name: </w:t>
      </w:r>
      <w:r w:rsidRPr="00702D7B">
        <w:rPr>
          <w:rFonts w:ascii="Arial" w:eastAsia="Arial" w:hAnsi="Arial" w:cs="Arial"/>
          <w:b/>
          <w:bCs/>
        </w:rPr>
        <w:t xml:space="preserve">Gladius </w:t>
      </w:r>
      <w:proofErr w:type="spellStart"/>
      <w:r w:rsidRPr="00702D7B">
        <w:rPr>
          <w:rFonts w:ascii="Arial" w:eastAsia="Arial" w:hAnsi="Arial" w:cs="Arial"/>
          <w:b/>
          <w:bCs/>
        </w:rPr>
        <w:t>Kulothungan</w:t>
      </w:r>
      <w:proofErr w:type="spellEnd"/>
    </w:p>
    <w:p w14:paraId="4D28A6C5" w14:textId="77777777" w:rsidR="00702D7B" w:rsidRDefault="00702D7B" w:rsidP="00702D7B">
      <w:pPr>
        <w:spacing w:line="360" w:lineRule="auto"/>
        <w:ind w:left="3478"/>
        <w:jc w:val="center"/>
        <w:rPr>
          <w:rFonts w:ascii="Arial" w:eastAsia="Arial" w:hAnsi="Arial" w:cs="Arial"/>
          <w:b/>
          <w:bCs/>
          <w:lang w:val="en-US"/>
        </w:rPr>
      </w:pPr>
      <w:r w:rsidRPr="290B13FD">
        <w:rPr>
          <w:rFonts w:ascii="Arial" w:eastAsia="Arial" w:hAnsi="Arial" w:cs="Arial"/>
          <w:b/>
          <w:bCs/>
          <w:lang w:val="en-US"/>
        </w:rPr>
        <w:t xml:space="preserve"> </w:t>
      </w:r>
    </w:p>
    <w:p w14:paraId="2B92C1A3" w14:textId="0888F556" w:rsidR="00702D7B" w:rsidRDefault="00702D7B" w:rsidP="00702D7B">
      <w:pPr>
        <w:spacing w:line="360" w:lineRule="auto"/>
        <w:jc w:val="center"/>
        <w:rPr>
          <w:rFonts w:ascii="Arial" w:eastAsia="Arial" w:hAnsi="Arial" w:cs="Arial"/>
          <w:b/>
          <w:bCs/>
          <w:lang w:val="en-US"/>
        </w:rPr>
      </w:pPr>
      <w:r w:rsidRPr="290B13FD">
        <w:rPr>
          <w:rFonts w:ascii="Arial" w:eastAsia="Arial" w:hAnsi="Arial" w:cs="Arial"/>
          <w:b/>
          <w:bCs/>
          <w:lang w:val="en-US"/>
        </w:rPr>
        <w:t xml:space="preserve">Word Count: </w:t>
      </w:r>
      <w:r w:rsidR="00DF3B19">
        <w:rPr>
          <w:rFonts w:ascii="Arial" w:eastAsia="Arial" w:hAnsi="Arial" w:cs="Arial"/>
          <w:b/>
          <w:bCs/>
          <w:lang w:val="en-US"/>
        </w:rPr>
        <w:t>5000</w:t>
      </w:r>
    </w:p>
    <w:p w14:paraId="381B5D89" w14:textId="77777777" w:rsidR="00702D7B" w:rsidRDefault="00702D7B" w:rsidP="00702D7B">
      <w:pPr>
        <w:spacing w:line="360" w:lineRule="auto"/>
        <w:ind w:left="3478"/>
        <w:rPr>
          <w:rFonts w:ascii="Arial" w:eastAsia="Arial" w:hAnsi="Arial" w:cs="Arial"/>
          <w:b/>
          <w:bCs/>
          <w:lang w:val="en-US"/>
        </w:rPr>
      </w:pPr>
      <w:r w:rsidRPr="290B13FD">
        <w:rPr>
          <w:rFonts w:ascii="Arial" w:eastAsia="Arial" w:hAnsi="Arial" w:cs="Arial"/>
          <w:b/>
          <w:bCs/>
          <w:lang w:val="en-US"/>
        </w:rPr>
        <w:t xml:space="preserve"> </w:t>
      </w:r>
    </w:p>
    <w:p w14:paraId="0CE02A03" w14:textId="185EEE53" w:rsidR="00702D7B" w:rsidRDefault="00702D7B" w:rsidP="00702D7B">
      <w:pPr>
        <w:spacing w:line="360" w:lineRule="auto"/>
        <w:jc w:val="center"/>
        <w:rPr>
          <w:rFonts w:ascii="Arial" w:eastAsia="Arial" w:hAnsi="Arial" w:cs="Arial"/>
          <w:b/>
          <w:bCs/>
          <w:lang w:val="en-US"/>
        </w:rPr>
      </w:pPr>
      <w:r w:rsidRPr="290B13FD">
        <w:rPr>
          <w:rFonts w:ascii="Arial" w:eastAsia="Arial" w:hAnsi="Arial" w:cs="Arial"/>
          <w:b/>
          <w:bCs/>
          <w:lang w:val="en-US"/>
        </w:rPr>
        <w:t xml:space="preserve">Term </w:t>
      </w:r>
      <w:r w:rsidR="00D705EC">
        <w:rPr>
          <w:rFonts w:ascii="Arial" w:eastAsia="Arial" w:hAnsi="Arial" w:cs="Arial"/>
          <w:b/>
          <w:bCs/>
          <w:lang w:val="en-US"/>
        </w:rPr>
        <w:t>2</w:t>
      </w:r>
    </w:p>
    <w:p w14:paraId="19AFD2EA" w14:textId="77777777" w:rsidR="00715341" w:rsidRDefault="00715341" w:rsidP="00715341"/>
    <w:p w14:paraId="3D56524D" w14:textId="77777777" w:rsidR="00715341" w:rsidRDefault="00715341" w:rsidP="00715341"/>
    <w:p w14:paraId="21A02688" w14:textId="77777777" w:rsidR="00715341" w:rsidRDefault="00715341" w:rsidP="00715341"/>
    <w:p w14:paraId="5EF9271D" w14:textId="77777777" w:rsidR="00715341" w:rsidRDefault="00715341" w:rsidP="00715341"/>
    <w:p w14:paraId="2DB57B75" w14:textId="77777777" w:rsidR="00702D7B" w:rsidRDefault="00702D7B" w:rsidP="00715341"/>
    <w:sdt>
      <w:sdtPr>
        <w:id w:val="-1800599194"/>
        <w:docPartObj>
          <w:docPartGallery w:val="Table of Contents"/>
          <w:docPartUnique/>
        </w:docPartObj>
      </w:sdtPr>
      <w:sdtEndPr>
        <w:rPr>
          <w:rFonts w:asciiTheme="minorHAnsi" w:eastAsiaTheme="minorHAnsi" w:hAnsiTheme="minorHAnsi" w:cstheme="minorBidi"/>
          <w:b/>
          <w:bCs/>
          <w:noProof/>
          <w:color w:val="auto"/>
          <w:kern w:val="2"/>
          <w:sz w:val="24"/>
          <w:szCs w:val="24"/>
          <w:lang w:val="en-IN"/>
          <w14:ligatures w14:val="standardContextual"/>
        </w:rPr>
      </w:sdtEndPr>
      <w:sdtContent>
        <w:p w14:paraId="49CF4C4F" w14:textId="7D33E14B" w:rsidR="00AF36F1" w:rsidRDefault="00AF36F1">
          <w:pPr>
            <w:pStyle w:val="TOCHeading"/>
          </w:pPr>
          <w:r>
            <w:t>Table of Contents</w:t>
          </w:r>
        </w:p>
        <w:p w14:paraId="39C8E96F" w14:textId="32CA0D76" w:rsidR="00AF36F1" w:rsidRDefault="00AF36F1">
          <w:pPr>
            <w:pStyle w:val="TOC1"/>
            <w:tabs>
              <w:tab w:val="left" w:pos="480"/>
              <w:tab w:val="right" w:leader="dot" w:pos="10456"/>
            </w:tabs>
            <w:rPr>
              <w:rFonts w:eastAsiaTheme="minorEastAsia"/>
              <w:noProof/>
              <w:lang w:val="en-CA" w:eastAsia="en-CA"/>
            </w:rPr>
          </w:pPr>
          <w:r>
            <w:fldChar w:fldCharType="begin"/>
          </w:r>
          <w:r>
            <w:instrText xml:space="preserve"> TOC \o "1-3" \h \z \u </w:instrText>
          </w:r>
          <w:r>
            <w:fldChar w:fldCharType="separate"/>
          </w:r>
          <w:hyperlink w:anchor="_Toc236998165" w:history="1">
            <w:r w:rsidRPr="00DA18AB">
              <w:rPr>
                <w:rStyle w:val="Hyperlink"/>
                <w:rFonts w:ascii="Arial" w:hAnsi="Arial" w:cs="Arial"/>
                <w:noProof/>
              </w:rPr>
              <w:t>1.</w:t>
            </w:r>
            <w:r>
              <w:rPr>
                <w:rFonts w:eastAsiaTheme="minorEastAsia"/>
                <w:noProof/>
                <w:lang w:val="en-CA" w:eastAsia="en-CA"/>
              </w:rPr>
              <w:tab/>
            </w:r>
            <w:r w:rsidRPr="00DA18A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_Toc236998165 \h </w:instrText>
            </w:r>
            <w:r>
              <w:rPr>
                <w:noProof/>
                <w:webHidden/>
              </w:rPr>
            </w:r>
            <w:r>
              <w:rPr>
                <w:noProof/>
                <w:webHidden/>
              </w:rPr>
              <w:fldChar w:fldCharType="separate"/>
            </w:r>
            <w:r>
              <w:rPr>
                <w:noProof/>
                <w:webHidden/>
              </w:rPr>
              <w:t>3</w:t>
            </w:r>
            <w:r>
              <w:rPr>
                <w:noProof/>
                <w:webHidden/>
              </w:rPr>
              <w:fldChar w:fldCharType="end"/>
            </w:r>
          </w:hyperlink>
        </w:p>
        <w:p w14:paraId="6BB00D28" w14:textId="3BA9DA11" w:rsidR="00AF36F1" w:rsidRDefault="00AF36F1">
          <w:pPr>
            <w:pStyle w:val="TOC1"/>
            <w:tabs>
              <w:tab w:val="right" w:leader="dot" w:pos="10456"/>
            </w:tabs>
            <w:rPr>
              <w:rFonts w:eastAsiaTheme="minorEastAsia"/>
              <w:noProof/>
              <w:lang w:val="en-CA" w:eastAsia="en-CA"/>
            </w:rPr>
          </w:pPr>
          <w:hyperlink w:anchor="_Toc236998166" w:history="1">
            <w:r w:rsidRPr="00DA18AB">
              <w:rPr>
                <w:rStyle w:val="Hyperlink"/>
                <w:rFonts w:ascii="Arial" w:hAnsi="Arial" w:cs="Arial"/>
                <w:noProof/>
              </w:rPr>
              <w:t>2. Organisational Classification and Global Strategy</w:t>
            </w:r>
            <w:r>
              <w:rPr>
                <w:noProof/>
                <w:webHidden/>
              </w:rPr>
              <w:tab/>
            </w:r>
            <w:r>
              <w:rPr>
                <w:noProof/>
                <w:webHidden/>
              </w:rPr>
              <w:fldChar w:fldCharType="begin"/>
            </w:r>
            <w:r>
              <w:rPr>
                <w:noProof/>
                <w:webHidden/>
              </w:rPr>
              <w:instrText xml:space="preserve"> PAGEREF _Toc236998166 \h </w:instrText>
            </w:r>
            <w:r>
              <w:rPr>
                <w:noProof/>
                <w:webHidden/>
              </w:rPr>
            </w:r>
            <w:r>
              <w:rPr>
                <w:noProof/>
                <w:webHidden/>
              </w:rPr>
              <w:fldChar w:fldCharType="separate"/>
            </w:r>
            <w:r>
              <w:rPr>
                <w:noProof/>
                <w:webHidden/>
              </w:rPr>
              <w:t>4</w:t>
            </w:r>
            <w:r>
              <w:rPr>
                <w:noProof/>
                <w:webHidden/>
              </w:rPr>
              <w:fldChar w:fldCharType="end"/>
            </w:r>
          </w:hyperlink>
        </w:p>
        <w:p w14:paraId="5BF59C75" w14:textId="1B1DB9E4" w:rsidR="00AF36F1" w:rsidRDefault="00AF36F1">
          <w:pPr>
            <w:pStyle w:val="TOC1"/>
            <w:tabs>
              <w:tab w:val="right" w:leader="dot" w:pos="10456"/>
            </w:tabs>
            <w:rPr>
              <w:rFonts w:eastAsiaTheme="minorEastAsia"/>
              <w:noProof/>
              <w:lang w:val="en-CA" w:eastAsia="en-CA"/>
            </w:rPr>
          </w:pPr>
          <w:hyperlink w:anchor="_Toc236998167" w:history="1">
            <w:r w:rsidRPr="00DA18AB">
              <w:rPr>
                <w:rStyle w:val="Hyperlink"/>
                <w:rFonts w:ascii="Arial" w:hAnsi="Arial" w:cs="Arial"/>
                <w:noProof/>
              </w:rPr>
              <w:t>2. Macro-Environmental Appraisal and Market Attractiveness</w:t>
            </w:r>
            <w:r>
              <w:rPr>
                <w:noProof/>
                <w:webHidden/>
              </w:rPr>
              <w:tab/>
            </w:r>
            <w:r>
              <w:rPr>
                <w:noProof/>
                <w:webHidden/>
              </w:rPr>
              <w:fldChar w:fldCharType="begin"/>
            </w:r>
            <w:r>
              <w:rPr>
                <w:noProof/>
                <w:webHidden/>
              </w:rPr>
              <w:instrText xml:space="preserve"> PAGEREF _Toc236998167 \h </w:instrText>
            </w:r>
            <w:r>
              <w:rPr>
                <w:noProof/>
                <w:webHidden/>
              </w:rPr>
            </w:r>
            <w:r>
              <w:rPr>
                <w:noProof/>
                <w:webHidden/>
              </w:rPr>
              <w:fldChar w:fldCharType="separate"/>
            </w:r>
            <w:r>
              <w:rPr>
                <w:noProof/>
                <w:webHidden/>
              </w:rPr>
              <w:t>7</w:t>
            </w:r>
            <w:r>
              <w:rPr>
                <w:noProof/>
                <w:webHidden/>
              </w:rPr>
              <w:fldChar w:fldCharType="end"/>
            </w:r>
          </w:hyperlink>
        </w:p>
        <w:p w14:paraId="7880281D" w14:textId="3268EFBC" w:rsidR="00AF36F1" w:rsidRDefault="00AF36F1">
          <w:pPr>
            <w:pStyle w:val="TOC2"/>
            <w:tabs>
              <w:tab w:val="right" w:leader="dot" w:pos="10456"/>
            </w:tabs>
            <w:rPr>
              <w:rFonts w:eastAsiaTheme="minorEastAsia"/>
              <w:noProof/>
              <w:lang w:val="en-CA" w:eastAsia="en-CA"/>
            </w:rPr>
          </w:pPr>
          <w:hyperlink w:anchor="_Toc236998168" w:history="1">
            <w:r w:rsidRPr="00DA18AB">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_Toc236998168 \h </w:instrText>
            </w:r>
            <w:r>
              <w:rPr>
                <w:noProof/>
                <w:webHidden/>
              </w:rPr>
            </w:r>
            <w:r>
              <w:rPr>
                <w:noProof/>
                <w:webHidden/>
              </w:rPr>
              <w:fldChar w:fldCharType="separate"/>
            </w:r>
            <w:r>
              <w:rPr>
                <w:noProof/>
                <w:webHidden/>
              </w:rPr>
              <w:t>7</w:t>
            </w:r>
            <w:r>
              <w:rPr>
                <w:noProof/>
                <w:webHidden/>
              </w:rPr>
              <w:fldChar w:fldCharType="end"/>
            </w:r>
          </w:hyperlink>
        </w:p>
        <w:p w14:paraId="678FEB27" w14:textId="6B414194" w:rsidR="00AF36F1" w:rsidRDefault="00AF36F1">
          <w:pPr>
            <w:pStyle w:val="TOC2"/>
            <w:tabs>
              <w:tab w:val="right" w:leader="dot" w:pos="10456"/>
            </w:tabs>
            <w:rPr>
              <w:rFonts w:eastAsiaTheme="minorEastAsia"/>
              <w:noProof/>
              <w:lang w:val="en-CA" w:eastAsia="en-CA"/>
            </w:rPr>
          </w:pPr>
          <w:hyperlink w:anchor="_Toc236998169" w:history="1">
            <w:r w:rsidRPr="00DA18AB">
              <w:rPr>
                <w:rStyle w:val="Hyperlink"/>
                <w:rFonts w:ascii="Arial" w:hAnsi="Arial" w:cs="Arial"/>
                <w:noProof/>
              </w:rPr>
              <w:t>2.2 Political Environment</w:t>
            </w:r>
            <w:r>
              <w:rPr>
                <w:noProof/>
                <w:webHidden/>
              </w:rPr>
              <w:tab/>
            </w:r>
            <w:r>
              <w:rPr>
                <w:noProof/>
                <w:webHidden/>
              </w:rPr>
              <w:fldChar w:fldCharType="begin"/>
            </w:r>
            <w:r>
              <w:rPr>
                <w:noProof/>
                <w:webHidden/>
              </w:rPr>
              <w:instrText xml:space="preserve"> PAGEREF _Toc236998169 \h </w:instrText>
            </w:r>
            <w:r>
              <w:rPr>
                <w:noProof/>
                <w:webHidden/>
              </w:rPr>
            </w:r>
            <w:r>
              <w:rPr>
                <w:noProof/>
                <w:webHidden/>
              </w:rPr>
              <w:fldChar w:fldCharType="separate"/>
            </w:r>
            <w:r>
              <w:rPr>
                <w:noProof/>
                <w:webHidden/>
              </w:rPr>
              <w:t>7</w:t>
            </w:r>
            <w:r>
              <w:rPr>
                <w:noProof/>
                <w:webHidden/>
              </w:rPr>
              <w:fldChar w:fldCharType="end"/>
            </w:r>
          </w:hyperlink>
        </w:p>
        <w:p w14:paraId="173D1282" w14:textId="0E768529" w:rsidR="00AF36F1" w:rsidRDefault="00AF36F1">
          <w:pPr>
            <w:pStyle w:val="TOC2"/>
            <w:tabs>
              <w:tab w:val="right" w:leader="dot" w:pos="10456"/>
            </w:tabs>
            <w:rPr>
              <w:rFonts w:eastAsiaTheme="minorEastAsia"/>
              <w:noProof/>
              <w:lang w:val="en-CA" w:eastAsia="en-CA"/>
            </w:rPr>
          </w:pPr>
          <w:hyperlink w:anchor="_Toc236998170" w:history="1">
            <w:r w:rsidRPr="00DA18AB">
              <w:rPr>
                <w:rStyle w:val="Hyperlink"/>
                <w:rFonts w:ascii="Arial" w:hAnsi="Arial" w:cs="Arial"/>
                <w:noProof/>
              </w:rPr>
              <w:t>2.3 Economic Environment</w:t>
            </w:r>
            <w:r>
              <w:rPr>
                <w:noProof/>
                <w:webHidden/>
              </w:rPr>
              <w:tab/>
            </w:r>
            <w:r>
              <w:rPr>
                <w:noProof/>
                <w:webHidden/>
              </w:rPr>
              <w:fldChar w:fldCharType="begin"/>
            </w:r>
            <w:r>
              <w:rPr>
                <w:noProof/>
                <w:webHidden/>
              </w:rPr>
              <w:instrText xml:space="preserve"> PAGEREF _Toc236998170 \h </w:instrText>
            </w:r>
            <w:r>
              <w:rPr>
                <w:noProof/>
                <w:webHidden/>
              </w:rPr>
            </w:r>
            <w:r>
              <w:rPr>
                <w:noProof/>
                <w:webHidden/>
              </w:rPr>
              <w:fldChar w:fldCharType="separate"/>
            </w:r>
            <w:r>
              <w:rPr>
                <w:noProof/>
                <w:webHidden/>
              </w:rPr>
              <w:t>10</w:t>
            </w:r>
            <w:r>
              <w:rPr>
                <w:noProof/>
                <w:webHidden/>
              </w:rPr>
              <w:fldChar w:fldCharType="end"/>
            </w:r>
          </w:hyperlink>
        </w:p>
        <w:p w14:paraId="1CFBC8D0" w14:textId="52431EB1" w:rsidR="00AF36F1" w:rsidRDefault="00AF36F1">
          <w:pPr>
            <w:pStyle w:val="TOC2"/>
            <w:tabs>
              <w:tab w:val="right" w:leader="dot" w:pos="10456"/>
            </w:tabs>
            <w:rPr>
              <w:rFonts w:eastAsiaTheme="minorEastAsia"/>
              <w:noProof/>
              <w:lang w:val="en-CA" w:eastAsia="en-CA"/>
            </w:rPr>
          </w:pPr>
          <w:hyperlink w:anchor="_Toc236998171" w:history="1">
            <w:r w:rsidRPr="00DA18AB">
              <w:rPr>
                <w:rStyle w:val="Hyperlink"/>
                <w:rFonts w:ascii="Arial" w:hAnsi="Arial" w:cs="Arial"/>
                <w:noProof/>
              </w:rPr>
              <w:t>2.4 Legal Environment</w:t>
            </w:r>
            <w:r>
              <w:rPr>
                <w:noProof/>
                <w:webHidden/>
              </w:rPr>
              <w:tab/>
            </w:r>
            <w:r>
              <w:rPr>
                <w:noProof/>
                <w:webHidden/>
              </w:rPr>
              <w:fldChar w:fldCharType="begin"/>
            </w:r>
            <w:r>
              <w:rPr>
                <w:noProof/>
                <w:webHidden/>
              </w:rPr>
              <w:instrText xml:space="preserve"> PAGEREF _Toc236998171 \h </w:instrText>
            </w:r>
            <w:r>
              <w:rPr>
                <w:noProof/>
                <w:webHidden/>
              </w:rPr>
            </w:r>
            <w:r>
              <w:rPr>
                <w:noProof/>
                <w:webHidden/>
              </w:rPr>
              <w:fldChar w:fldCharType="separate"/>
            </w:r>
            <w:r>
              <w:rPr>
                <w:noProof/>
                <w:webHidden/>
              </w:rPr>
              <w:t>12</w:t>
            </w:r>
            <w:r>
              <w:rPr>
                <w:noProof/>
                <w:webHidden/>
              </w:rPr>
              <w:fldChar w:fldCharType="end"/>
            </w:r>
          </w:hyperlink>
        </w:p>
        <w:p w14:paraId="0253A743" w14:textId="59A34047" w:rsidR="00AF36F1" w:rsidRDefault="00AF36F1">
          <w:pPr>
            <w:pStyle w:val="TOC2"/>
            <w:tabs>
              <w:tab w:val="right" w:leader="dot" w:pos="10456"/>
            </w:tabs>
            <w:rPr>
              <w:rFonts w:eastAsiaTheme="minorEastAsia"/>
              <w:noProof/>
              <w:lang w:val="en-CA" w:eastAsia="en-CA"/>
            </w:rPr>
          </w:pPr>
          <w:hyperlink w:anchor="_Toc236998172" w:history="1">
            <w:r w:rsidRPr="00DA18AB">
              <w:rPr>
                <w:rStyle w:val="Hyperlink"/>
                <w:rFonts w:ascii="Arial" w:hAnsi="Arial" w:cs="Arial"/>
                <w:noProof/>
              </w:rPr>
              <w:t>2.5 Cultural Environment</w:t>
            </w:r>
            <w:r>
              <w:rPr>
                <w:noProof/>
                <w:webHidden/>
              </w:rPr>
              <w:tab/>
            </w:r>
            <w:r>
              <w:rPr>
                <w:noProof/>
                <w:webHidden/>
              </w:rPr>
              <w:fldChar w:fldCharType="begin"/>
            </w:r>
            <w:r>
              <w:rPr>
                <w:noProof/>
                <w:webHidden/>
              </w:rPr>
              <w:instrText xml:space="preserve"> PAGEREF _Toc236998172 \h </w:instrText>
            </w:r>
            <w:r>
              <w:rPr>
                <w:noProof/>
                <w:webHidden/>
              </w:rPr>
            </w:r>
            <w:r>
              <w:rPr>
                <w:noProof/>
                <w:webHidden/>
              </w:rPr>
              <w:fldChar w:fldCharType="separate"/>
            </w:r>
            <w:r>
              <w:rPr>
                <w:noProof/>
                <w:webHidden/>
              </w:rPr>
              <w:t>13</w:t>
            </w:r>
            <w:r>
              <w:rPr>
                <w:noProof/>
                <w:webHidden/>
              </w:rPr>
              <w:fldChar w:fldCharType="end"/>
            </w:r>
          </w:hyperlink>
        </w:p>
        <w:p w14:paraId="5E4464B1" w14:textId="1AA8137C" w:rsidR="00AF36F1" w:rsidRDefault="00AF36F1">
          <w:pPr>
            <w:pStyle w:val="TOC2"/>
            <w:tabs>
              <w:tab w:val="right" w:leader="dot" w:pos="10456"/>
            </w:tabs>
            <w:rPr>
              <w:rFonts w:eastAsiaTheme="minorEastAsia"/>
              <w:noProof/>
              <w:lang w:val="en-CA" w:eastAsia="en-CA"/>
            </w:rPr>
          </w:pPr>
          <w:hyperlink w:anchor="_Toc236998173" w:history="1">
            <w:r w:rsidRPr="00DA18AB">
              <w:rPr>
                <w:rStyle w:val="Hyperlink"/>
                <w:rFonts w:ascii="Arial" w:hAnsi="Arial" w:cs="Arial"/>
                <w:noProof/>
              </w:rPr>
              <w:t>2.6 Market Entry Analysis Using Dunning's Eclectic (OLI) Paradigm</w:t>
            </w:r>
            <w:r>
              <w:rPr>
                <w:noProof/>
                <w:webHidden/>
              </w:rPr>
              <w:tab/>
            </w:r>
            <w:r>
              <w:rPr>
                <w:noProof/>
                <w:webHidden/>
              </w:rPr>
              <w:fldChar w:fldCharType="begin"/>
            </w:r>
            <w:r>
              <w:rPr>
                <w:noProof/>
                <w:webHidden/>
              </w:rPr>
              <w:instrText xml:space="preserve"> PAGEREF _Toc236998173 \h </w:instrText>
            </w:r>
            <w:r>
              <w:rPr>
                <w:noProof/>
                <w:webHidden/>
              </w:rPr>
            </w:r>
            <w:r>
              <w:rPr>
                <w:noProof/>
                <w:webHidden/>
              </w:rPr>
              <w:fldChar w:fldCharType="separate"/>
            </w:r>
            <w:r>
              <w:rPr>
                <w:noProof/>
                <w:webHidden/>
              </w:rPr>
              <w:t>17</w:t>
            </w:r>
            <w:r>
              <w:rPr>
                <w:noProof/>
                <w:webHidden/>
              </w:rPr>
              <w:fldChar w:fldCharType="end"/>
            </w:r>
          </w:hyperlink>
        </w:p>
        <w:p w14:paraId="00D7D2B8" w14:textId="4F7607F3" w:rsidR="00AF36F1" w:rsidRDefault="00AF36F1">
          <w:pPr>
            <w:pStyle w:val="TOC1"/>
            <w:tabs>
              <w:tab w:val="right" w:leader="dot" w:pos="10456"/>
            </w:tabs>
            <w:rPr>
              <w:rFonts w:eastAsiaTheme="minorEastAsia"/>
              <w:noProof/>
              <w:lang w:val="en-CA" w:eastAsia="en-CA"/>
            </w:rPr>
          </w:pPr>
          <w:hyperlink w:anchor="_Toc236998174" w:history="1">
            <w:r w:rsidRPr="00DA18AB">
              <w:rPr>
                <w:rStyle w:val="Hyperlink"/>
                <w:rFonts w:ascii="Arial" w:hAnsi="Arial" w:cs="Arial"/>
                <w:noProof/>
              </w:rPr>
              <w:t>3. Entry Mode Strategy and Strategic Synthesis</w:t>
            </w:r>
            <w:r>
              <w:rPr>
                <w:noProof/>
                <w:webHidden/>
              </w:rPr>
              <w:tab/>
            </w:r>
            <w:r>
              <w:rPr>
                <w:noProof/>
                <w:webHidden/>
              </w:rPr>
              <w:fldChar w:fldCharType="begin"/>
            </w:r>
            <w:r>
              <w:rPr>
                <w:noProof/>
                <w:webHidden/>
              </w:rPr>
              <w:instrText xml:space="preserve"> PAGEREF _Toc236998174 \h </w:instrText>
            </w:r>
            <w:r>
              <w:rPr>
                <w:noProof/>
                <w:webHidden/>
              </w:rPr>
            </w:r>
            <w:r>
              <w:rPr>
                <w:noProof/>
                <w:webHidden/>
              </w:rPr>
              <w:fldChar w:fldCharType="separate"/>
            </w:r>
            <w:r>
              <w:rPr>
                <w:noProof/>
                <w:webHidden/>
              </w:rPr>
              <w:t>20</w:t>
            </w:r>
            <w:r>
              <w:rPr>
                <w:noProof/>
                <w:webHidden/>
              </w:rPr>
              <w:fldChar w:fldCharType="end"/>
            </w:r>
          </w:hyperlink>
        </w:p>
        <w:p w14:paraId="72BB7CFC" w14:textId="0BA086AD" w:rsidR="00AF36F1" w:rsidRDefault="00AF36F1">
          <w:pPr>
            <w:pStyle w:val="TOC2"/>
            <w:tabs>
              <w:tab w:val="right" w:leader="dot" w:pos="10456"/>
            </w:tabs>
            <w:rPr>
              <w:rFonts w:eastAsiaTheme="minorEastAsia"/>
              <w:noProof/>
              <w:lang w:val="en-CA" w:eastAsia="en-CA"/>
            </w:rPr>
          </w:pPr>
          <w:hyperlink w:anchor="_Toc236998175" w:history="1">
            <w:r w:rsidRPr="00DA18AB">
              <w:rPr>
                <w:rStyle w:val="Hyperlink"/>
                <w:rFonts w:ascii="Arial" w:hAnsi="Arial" w:cs="Arial"/>
                <w:noProof/>
              </w:rPr>
              <w:t>3.1 Historical Pattern Recognition</w:t>
            </w:r>
            <w:r>
              <w:rPr>
                <w:noProof/>
                <w:webHidden/>
              </w:rPr>
              <w:tab/>
            </w:r>
            <w:r>
              <w:rPr>
                <w:noProof/>
                <w:webHidden/>
              </w:rPr>
              <w:fldChar w:fldCharType="begin"/>
            </w:r>
            <w:r>
              <w:rPr>
                <w:noProof/>
                <w:webHidden/>
              </w:rPr>
              <w:instrText xml:space="preserve"> PAGEREF _Toc236998175 \h </w:instrText>
            </w:r>
            <w:r>
              <w:rPr>
                <w:noProof/>
                <w:webHidden/>
              </w:rPr>
            </w:r>
            <w:r>
              <w:rPr>
                <w:noProof/>
                <w:webHidden/>
              </w:rPr>
              <w:fldChar w:fldCharType="separate"/>
            </w:r>
            <w:r>
              <w:rPr>
                <w:noProof/>
                <w:webHidden/>
              </w:rPr>
              <w:t>20</w:t>
            </w:r>
            <w:r>
              <w:rPr>
                <w:noProof/>
                <w:webHidden/>
              </w:rPr>
              <w:fldChar w:fldCharType="end"/>
            </w:r>
          </w:hyperlink>
        </w:p>
        <w:p w14:paraId="1DB6CCD5" w14:textId="551FF20F" w:rsidR="00AF36F1" w:rsidRDefault="00AF36F1">
          <w:pPr>
            <w:pStyle w:val="TOC2"/>
            <w:tabs>
              <w:tab w:val="right" w:leader="dot" w:pos="10456"/>
            </w:tabs>
            <w:rPr>
              <w:rFonts w:eastAsiaTheme="minorEastAsia"/>
              <w:noProof/>
              <w:lang w:val="en-CA" w:eastAsia="en-CA"/>
            </w:rPr>
          </w:pPr>
          <w:hyperlink w:anchor="_Toc236998176" w:history="1">
            <w:r w:rsidRPr="00DA18AB">
              <w:rPr>
                <w:rStyle w:val="Hyperlink"/>
                <w:rFonts w:ascii="Arial" w:hAnsi="Arial" w:cs="Arial"/>
                <w:noProof/>
              </w:rPr>
              <w:t>3.2 Strategic Fit and Justification</w:t>
            </w:r>
            <w:r>
              <w:rPr>
                <w:noProof/>
                <w:webHidden/>
              </w:rPr>
              <w:tab/>
            </w:r>
            <w:r>
              <w:rPr>
                <w:noProof/>
                <w:webHidden/>
              </w:rPr>
              <w:fldChar w:fldCharType="begin"/>
            </w:r>
            <w:r>
              <w:rPr>
                <w:noProof/>
                <w:webHidden/>
              </w:rPr>
              <w:instrText xml:space="preserve"> PAGEREF _Toc236998176 \h </w:instrText>
            </w:r>
            <w:r>
              <w:rPr>
                <w:noProof/>
                <w:webHidden/>
              </w:rPr>
            </w:r>
            <w:r>
              <w:rPr>
                <w:noProof/>
                <w:webHidden/>
              </w:rPr>
              <w:fldChar w:fldCharType="separate"/>
            </w:r>
            <w:r>
              <w:rPr>
                <w:noProof/>
                <w:webHidden/>
              </w:rPr>
              <w:t>22</w:t>
            </w:r>
            <w:r>
              <w:rPr>
                <w:noProof/>
                <w:webHidden/>
              </w:rPr>
              <w:fldChar w:fldCharType="end"/>
            </w:r>
          </w:hyperlink>
        </w:p>
        <w:p w14:paraId="08DCBB02" w14:textId="2A9B166E" w:rsidR="00AF36F1" w:rsidRDefault="00AF36F1">
          <w:pPr>
            <w:pStyle w:val="TOC2"/>
            <w:tabs>
              <w:tab w:val="right" w:leader="dot" w:pos="10456"/>
            </w:tabs>
            <w:rPr>
              <w:rFonts w:eastAsiaTheme="minorEastAsia"/>
              <w:noProof/>
              <w:lang w:val="en-CA" w:eastAsia="en-CA"/>
            </w:rPr>
          </w:pPr>
          <w:hyperlink w:anchor="_Toc236998177" w:history="1">
            <w:r w:rsidRPr="00DA18AB">
              <w:rPr>
                <w:rStyle w:val="Hyperlink"/>
                <w:rFonts w:ascii="Arial" w:hAnsi="Arial" w:cs="Arial"/>
                <w:noProof/>
              </w:rPr>
              <w:t>3.3 Conclusion and Recommendations</w:t>
            </w:r>
            <w:r>
              <w:rPr>
                <w:noProof/>
                <w:webHidden/>
              </w:rPr>
              <w:tab/>
            </w:r>
            <w:r>
              <w:rPr>
                <w:noProof/>
                <w:webHidden/>
              </w:rPr>
              <w:fldChar w:fldCharType="begin"/>
            </w:r>
            <w:r>
              <w:rPr>
                <w:noProof/>
                <w:webHidden/>
              </w:rPr>
              <w:instrText xml:space="preserve"> PAGEREF _Toc236998177 \h </w:instrText>
            </w:r>
            <w:r>
              <w:rPr>
                <w:noProof/>
                <w:webHidden/>
              </w:rPr>
            </w:r>
            <w:r>
              <w:rPr>
                <w:noProof/>
                <w:webHidden/>
              </w:rPr>
              <w:fldChar w:fldCharType="separate"/>
            </w:r>
            <w:r>
              <w:rPr>
                <w:noProof/>
                <w:webHidden/>
              </w:rPr>
              <w:t>25</w:t>
            </w:r>
            <w:r>
              <w:rPr>
                <w:noProof/>
                <w:webHidden/>
              </w:rPr>
              <w:fldChar w:fldCharType="end"/>
            </w:r>
          </w:hyperlink>
        </w:p>
        <w:p w14:paraId="16FEF4FA" w14:textId="2B76BC87" w:rsidR="00AF36F1" w:rsidRDefault="00AF36F1">
          <w:pPr>
            <w:pStyle w:val="TOC1"/>
            <w:tabs>
              <w:tab w:val="right" w:leader="dot" w:pos="10456"/>
            </w:tabs>
            <w:rPr>
              <w:rFonts w:eastAsiaTheme="minorEastAsia"/>
              <w:noProof/>
              <w:lang w:val="en-CA" w:eastAsia="en-CA"/>
            </w:rPr>
          </w:pPr>
          <w:hyperlink w:anchor="_Toc236998178" w:history="1">
            <w:r w:rsidRPr="00DA18AB">
              <w:rPr>
                <w:rStyle w:val="Hyperlink"/>
                <w:rFonts w:ascii="Arial" w:hAnsi="Arial" w:cs="Arial"/>
                <w:noProof/>
              </w:rPr>
              <w:t>Section 2: Reflective Account (Gibbs' Reflective Cycle)</w:t>
            </w:r>
            <w:r>
              <w:rPr>
                <w:noProof/>
                <w:webHidden/>
              </w:rPr>
              <w:tab/>
            </w:r>
            <w:r>
              <w:rPr>
                <w:noProof/>
                <w:webHidden/>
              </w:rPr>
              <w:fldChar w:fldCharType="begin"/>
            </w:r>
            <w:r>
              <w:rPr>
                <w:noProof/>
                <w:webHidden/>
              </w:rPr>
              <w:instrText xml:space="preserve"> PAGEREF _Toc236998178 \h </w:instrText>
            </w:r>
            <w:r>
              <w:rPr>
                <w:noProof/>
                <w:webHidden/>
              </w:rPr>
            </w:r>
            <w:r>
              <w:rPr>
                <w:noProof/>
                <w:webHidden/>
              </w:rPr>
              <w:fldChar w:fldCharType="separate"/>
            </w:r>
            <w:r>
              <w:rPr>
                <w:noProof/>
                <w:webHidden/>
              </w:rPr>
              <w:t>26</w:t>
            </w:r>
            <w:r>
              <w:rPr>
                <w:noProof/>
                <w:webHidden/>
              </w:rPr>
              <w:fldChar w:fldCharType="end"/>
            </w:r>
          </w:hyperlink>
        </w:p>
        <w:p w14:paraId="4E08C59B" w14:textId="68FA74C2" w:rsidR="00AF36F1" w:rsidRDefault="00AF36F1">
          <w:pPr>
            <w:pStyle w:val="TOC1"/>
            <w:tabs>
              <w:tab w:val="right" w:leader="dot" w:pos="10456"/>
            </w:tabs>
            <w:rPr>
              <w:rFonts w:eastAsiaTheme="minorEastAsia"/>
              <w:noProof/>
              <w:lang w:val="en-CA" w:eastAsia="en-CA"/>
            </w:rPr>
          </w:pPr>
          <w:hyperlink w:anchor="_Toc236998179" w:history="1">
            <w:r w:rsidRPr="00DA18A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_Toc236998179 \h </w:instrText>
            </w:r>
            <w:r>
              <w:rPr>
                <w:noProof/>
                <w:webHidden/>
              </w:rPr>
            </w:r>
            <w:r>
              <w:rPr>
                <w:noProof/>
                <w:webHidden/>
              </w:rPr>
              <w:fldChar w:fldCharType="separate"/>
            </w:r>
            <w:r>
              <w:rPr>
                <w:noProof/>
                <w:webHidden/>
              </w:rPr>
              <w:t>28</w:t>
            </w:r>
            <w:r>
              <w:rPr>
                <w:noProof/>
                <w:webHidden/>
              </w:rPr>
              <w:fldChar w:fldCharType="end"/>
            </w:r>
          </w:hyperlink>
        </w:p>
        <w:p w14:paraId="30AF4618" w14:textId="2ECCADCA" w:rsidR="00AF36F1" w:rsidRDefault="00AF36F1">
          <w:r>
            <w:rPr>
              <w:b/>
              <w:bCs/>
              <w:noProof/>
            </w:rPr>
            <w:fldChar w:fldCharType="end"/>
          </w:r>
        </w:p>
      </w:sdtContent>
    </w:sdt>
    <w:p w14:paraId="18DA32BA" w14:textId="378357D8" w:rsidR="00702D7B" w:rsidRDefault="00702D7B" w:rsidP="00702D7B"/>
    <w:p w14:paraId="56A4CEBF" w14:textId="77777777" w:rsidR="00702D7B" w:rsidRDefault="00702D7B" w:rsidP="00715341"/>
    <w:p w14:paraId="5CADFD8D" w14:textId="77777777" w:rsidR="00702D7B" w:rsidRDefault="00702D7B" w:rsidP="00715341"/>
    <w:p w14:paraId="3B37C2F1" w14:textId="77777777" w:rsidR="00702D7B" w:rsidRDefault="00702D7B" w:rsidP="00715341"/>
    <w:p w14:paraId="77E444BC" w14:textId="77777777" w:rsidR="00702D7B" w:rsidRDefault="00702D7B" w:rsidP="00715341"/>
    <w:p w14:paraId="22890C80" w14:textId="77777777" w:rsidR="00702D7B" w:rsidRDefault="00702D7B" w:rsidP="00715341"/>
    <w:p w14:paraId="3DD9353D" w14:textId="77777777" w:rsidR="00702D7B" w:rsidRDefault="00702D7B" w:rsidP="00715341"/>
    <w:p w14:paraId="1A1E448C" w14:textId="77777777" w:rsidR="00702D7B" w:rsidRDefault="00702D7B" w:rsidP="00715341"/>
    <w:p w14:paraId="48EA72F4" w14:textId="77777777" w:rsidR="00702D7B" w:rsidRDefault="00702D7B" w:rsidP="00715341"/>
    <w:p w14:paraId="790A79B3" w14:textId="77777777" w:rsidR="00702D7B" w:rsidRDefault="00702D7B" w:rsidP="00715341"/>
    <w:p w14:paraId="6DF11109" w14:textId="77777777" w:rsidR="00702D7B" w:rsidRDefault="00702D7B" w:rsidP="00715341"/>
    <w:p w14:paraId="3BE727F3" w14:textId="77777777" w:rsidR="00702D7B" w:rsidRDefault="00702D7B" w:rsidP="00715341"/>
    <w:p w14:paraId="3654DAA1" w14:textId="77777777" w:rsidR="00702D7B" w:rsidRDefault="00702D7B" w:rsidP="00715341"/>
    <w:p w14:paraId="1F92360E" w14:textId="77777777" w:rsidR="00702D7B" w:rsidRDefault="00702D7B" w:rsidP="00715341"/>
    <w:p w14:paraId="04EA7450" w14:textId="77777777" w:rsidR="00702D7B" w:rsidRDefault="00702D7B" w:rsidP="00715341"/>
    <w:p w14:paraId="5822339B" w14:textId="3E4B15C6" w:rsidR="00A0603E" w:rsidRPr="00715341" w:rsidRDefault="006136A2" w:rsidP="00715341">
      <w:pPr>
        <w:pStyle w:val="Heading1"/>
        <w:numPr>
          <w:ilvl w:val="0"/>
          <w:numId w:val="1"/>
        </w:numPr>
        <w:rPr>
          <w:rFonts w:ascii="Arial" w:hAnsi="Arial" w:cs="Arial"/>
          <w:sz w:val="24"/>
          <w:szCs w:val="24"/>
        </w:rPr>
      </w:pPr>
      <w:bookmarkStart w:id="0" w:name="_Toc236996666"/>
      <w:bookmarkStart w:id="1" w:name="_Toc236998165"/>
      <w:r w:rsidRPr="00715341">
        <w:rPr>
          <w:rFonts w:ascii="Arial" w:hAnsi="Arial" w:cs="Arial"/>
          <w:sz w:val="24"/>
          <w:szCs w:val="24"/>
        </w:rPr>
        <w:t>Introduction</w:t>
      </w:r>
      <w:bookmarkEnd w:id="0"/>
      <w:bookmarkEnd w:id="1"/>
    </w:p>
    <w:p w14:paraId="5523D9E9" w14:textId="77777777" w:rsidR="003C10D9" w:rsidRPr="003C10D9" w:rsidRDefault="003C10D9" w:rsidP="003C10D9">
      <w:pPr>
        <w:spacing w:line="360" w:lineRule="auto"/>
        <w:rPr>
          <w:rFonts w:ascii="Arial" w:hAnsi="Arial" w:cs="Arial"/>
        </w:rPr>
      </w:pPr>
      <w:r w:rsidRPr="003C10D9">
        <w:rPr>
          <w:rFonts w:ascii="Arial" w:hAnsi="Arial" w:cs="Arial"/>
        </w:rPr>
        <w:t>International market expansion represents a significant strategic decision for multinational corporations (MNCs), requiring firms to balance growth opportunities against political, economic, legal and cultural uncertainties. Successful market entry therefore depends on selecting an attractive host market and an entry strategy that aligns with organisational capabilities and the external business environment.</w:t>
      </w:r>
    </w:p>
    <w:p w14:paraId="5B6B9FB4" w14:textId="2C98B2E2" w:rsidR="003C10D9" w:rsidRPr="003C10D9" w:rsidRDefault="003C10D9" w:rsidP="003C10D9">
      <w:pPr>
        <w:spacing w:line="360" w:lineRule="auto"/>
        <w:rPr>
          <w:rFonts w:ascii="Arial" w:hAnsi="Arial" w:cs="Arial"/>
        </w:rPr>
      </w:pPr>
      <w:r w:rsidRPr="00916A58">
        <w:rPr>
          <w:rFonts w:ascii="Arial" w:hAnsi="Arial" w:cs="Arial"/>
        </w:rPr>
        <w:t>This report critically evaluates the proposed expansion of Caffè Nero, a UK-based multinational coffeehouse chain, into India, where the company had no significant operational presence as of 1 June 2026</w:t>
      </w:r>
      <w:r w:rsidR="00DB3C65">
        <w:rPr>
          <w:rFonts w:ascii="Arial" w:hAnsi="Arial" w:cs="Arial"/>
        </w:rPr>
        <w:t xml:space="preserve"> </w:t>
      </w:r>
      <w:r w:rsidR="00DB3C65" w:rsidRPr="00DB3C65">
        <w:rPr>
          <w:rFonts w:ascii="Arial" w:hAnsi="Arial" w:cs="Arial"/>
        </w:rPr>
        <w:t>(Caffè Nero, 2026)</w:t>
      </w:r>
      <w:r w:rsidRPr="00916A58">
        <w:rPr>
          <w:rFonts w:ascii="Arial" w:hAnsi="Arial" w:cs="Arial"/>
        </w:rPr>
        <w:t>. India offers</w:t>
      </w:r>
      <w:r w:rsidRPr="003C10D9">
        <w:rPr>
          <w:rFonts w:ascii="Arial" w:hAnsi="Arial" w:cs="Arial"/>
        </w:rPr>
        <w:t xml:space="preserve"> substantial growth potential due to rapid urbanisation, rising disposable incomes and the expansion of premium café culture. However, the market also presents considerable challenges, including intense competition, regulatory complexity and diverse consumer preferences.</w:t>
      </w:r>
    </w:p>
    <w:p w14:paraId="4ADA90FC" w14:textId="77777777" w:rsidR="003C10D9" w:rsidRPr="00916A58" w:rsidRDefault="003C10D9" w:rsidP="003C10D9">
      <w:pPr>
        <w:spacing w:line="360" w:lineRule="auto"/>
        <w:rPr>
          <w:rFonts w:ascii="Arial" w:hAnsi="Arial" w:cs="Arial"/>
        </w:rPr>
      </w:pPr>
      <w:r w:rsidRPr="00916A58">
        <w:rPr>
          <w:rFonts w:ascii="Arial" w:hAnsi="Arial" w:cs="Arial"/>
        </w:rPr>
        <w:t>The analysis first evaluates Caffè Nero's international strategy using Bartlett and Ghoshal's (1989) framework before critically assessing India's political, economic, legal and cultural environment. These findings are then synthesised through Dunning's Eclectic (OLI) Paradigm to determine the strategic rationale for market entry. Finally, the report evaluates alternative entry modes and recommends the most appropriate strategy based on risk, control, resource commitment and long-term strategic fit.</w:t>
      </w:r>
    </w:p>
    <w:p w14:paraId="5BEF4CB1" w14:textId="77777777" w:rsidR="006136A2" w:rsidRPr="006136A2" w:rsidRDefault="006136A2" w:rsidP="006136A2">
      <w:pPr>
        <w:spacing w:line="360" w:lineRule="auto"/>
        <w:rPr>
          <w:rFonts w:ascii="Arial" w:hAnsi="Arial" w:cs="Arial"/>
        </w:rPr>
      </w:pPr>
    </w:p>
    <w:p w14:paraId="5A8A41AA" w14:textId="77777777" w:rsidR="006136A2" w:rsidRDefault="006136A2" w:rsidP="006136A2">
      <w:pPr>
        <w:spacing w:line="360" w:lineRule="auto"/>
        <w:rPr>
          <w:rFonts w:ascii="Arial" w:hAnsi="Arial" w:cs="Arial"/>
        </w:rPr>
      </w:pPr>
    </w:p>
    <w:p w14:paraId="53922539" w14:textId="77777777" w:rsidR="006136A2" w:rsidRDefault="006136A2" w:rsidP="006136A2">
      <w:pPr>
        <w:spacing w:line="360" w:lineRule="auto"/>
        <w:rPr>
          <w:rFonts w:ascii="Arial" w:hAnsi="Arial" w:cs="Arial"/>
        </w:rPr>
      </w:pPr>
    </w:p>
    <w:p w14:paraId="3D3F487D" w14:textId="77777777" w:rsidR="006136A2" w:rsidRDefault="006136A2" w:rsidP="006136A2">
      <w:pPr>
        <w:spacing w:line="360" w:lineRule="auto"/>
        <w:rPr>
          <w:rFonts w:ascii="Arial" w:hAnsi="Arial" w:cs="Arial"/>
        </w:rPr>
      </w:pPr>
    </w:p>
    <w:p w14:paraId="2B5CFF3E" w14:textId="77777777" w:rsidR="006136A2" w:rsidRDefault="006136A2" w:rsidP="006136A2">
      <w:pPr>
        <w:spacing w:line="360" w:lineRule="auto"/>
        <w:rPr>
          <w:rFonts w:ascii="Arial" w:hAnsi="Arial" w:cs="Arial"/>
        </w:rPr>
      </w:pPr>
    </w:p>
    <w:p w14:paraId="59B9E92B" w14:textId="7D022E95" w:rsidR="006136A2" w:rsidRPr="006136A2" w:rsidRDefault="006136A2" w:rsidP="006136A2">
      <w:pPr>
        <w:spacing w:after="0" w:line="360" w:lineRule="auto"/>
        <w:jc w:val="center"/>
        <w:rPr>
          <w:rFonts w:ascii="Arial" w:hAnsi="Arial" w:cs="Arial"/>
          <w:i/>
          <w:iCs/>
          <w:color w:val="808080" w:themeColor="background1" w:themeShade="80"/>
          <w:sz w:val="20"/>
          <w:szCs w:val="20"/>
        </w:rPr>
      </w:pPr>
      <w:r w:rsidRPr="006136A2">
        <w:rPr>
          <w:rFonts w:ascii="Arial" w:hAnsi="Arial" w:cs="Arial"/>
          <w:i/>
          <w:iCs/>
          <w:noProof/>
          <w:color w:val="808080" w:themeColor="background1" w:themeShade="80"/>
          <w:sz w:val="20"/>
          <w:szCs w:val="20"/>
        </w:rPr>
        <w:drawing>
          <wp:anchor distT="0" distB="0" distL="114300" distR="114300" simplePos="0" relativeHeight="251658240" behindDoc="1" locked="0" layoutInCell="1" allowOverlap="1" wp14:anchorId="68DAA52F" wp14:editId="440A81DC">
            <wp:simplePos x="0" y="0"/>
            <wp:positionH relativeFrom="margin">
              <wp:align>center</wp:align>
            </wp:positionH>
            <wp:positionV relativeFrom="paragraph">
              <wp:posOffset>577</wp:posOffset>
            </wp:positionV>
            <wp:extent cx="5807710" cy="3872230"/>
            <wp:effectExtent l="0" t="0" r="2540" b="0"/>
            <wp:wrapTopAndBottom/>
            <wp:docPr id="109663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07710" cy="3872230"/>
                    </a:xfrm>
                    <a:prstGeom prst="rect">
                      <a:avLst/>
                    </a:prstGeom>
                    <a:noFill/>
                  </pic:spPr>
                </pic:pic>
              </a:graphicData>
            </a:graphic>
            <wp14:sizeRelH relativeFrom="page">
              <wp14:pctWidth>0</wp14:pctWidth>
            </wp14:sizeRelH>
            <wp14:sizeRelV relativeFrom="page">
              <wp14:pctHeight>0</wp14:pctHeight>
            </wp14:sizeRelV>
          </wp:anchor>
        </w:drawing>
      </w:r>
      <w:r w:rsidRPr="006136A2">
        <w:rPr>
          <w:rFonts w:ascii="Arial" w:hAnsi="Arial" w:cs="Arial"/>
          <w:i/>
          <w:iCs/>
          <w:color w:val="808080" w:themeColor="background1" w:themeShade="80"/>
          <w:sz w:val="20"/>
          <w:szCs w:val="20"/>
        </w:rPr>
        <w:t>Figure 1. Conceptual visualisation of Caffè Nero's proposed market entry into the Indian café market.</w:t>
      </w:r>
    </w:p>
    <w:p w14:paraId="06F65A7D" w14:textId="77777777" w:rsidR="00D3788F" w:rsidRPr="00D3788F" w:rsidRDefault="00D3788F" w:rsidP="00D3788F">
      <w:pPr>
        <w:jc w:val="center"/>
        <w:rPr>
          <w:rFonts w:ascii="Arial" w:hAnsi="Arial" w:cs="Arial"/>
          <w:i/>
          <w:iCs/>
          <w:color w:val="808080" w:themeColor="background1" w:themeShade="80"/>
          <w:sz w:val="20"/>
          <w:szCs w:val="20"/>
        </w:rPr>
      </w:pPr>
      <w:r w:rsidRPr="00D3788F">
        <w:rPr>
          <w:rFonts w:ascii="Arial" w:hAnsi="Arial" w:cs="Arial"/>
          <w:i/>
          <w:iCs/>
          <w:color w:val="808080" w:themeColor="background1" w:themeShade="80"/>
          <w:sz w:val="20"/>
          <w:szCs w:val="20"/>
        </w:rPr>
        <w:t>Source: Author-generated conceptual illustration (2026).</w:t>
      </w:r>
    </w:p>
    <w:p w14:paraId="166278C0" w14:textId="3A73C917" w:rsidR="00655742" w:rsidRPr="00655742" w:rsidRDefault="00427F09" w:rsidP="00655742">
      <w:pPr>
        <w:pStyle w:val="Heading1"/>
        <w:rPr>
          <w:rFonts w:ascii="Arial" w:hAnsi="Arial" w:cs="Arial"/>
          <w:sz w:val="24"/>
          <w:szCs w:val="24"/>
        </w:rPr>
      </w:pPr>
      <w:bookmarkStart w:id="2" w:name="_Toc236996667"/>
      <w:bookmarkStart w:id="3" w:name="_Toc236998166"/>
      <w:r>
        <w:rPr>
          <w:rFonts w:ascii="Arial" w:hAnsi="Arial" w:cs="Arial"/>
          <w:sz w:val="24"/>
          <w:szCs w:val="24"/>
        </w:rPr>
        <w:t xml:space="preserve">2. </w:t>
      </w:r>
      <w:r w:rsidR="00655742" w:rsidRPr="00655742">
        <w:rPr>
          <w:rFonts w:ascii="Arial" w:hAnsi="Arial" w:cs="Arial"/>
          <w:sz w:val="24"/>
          <w:szCs w:val="24"/>
        </w:rPr>
        <w:t>Organisational Classification and Global Strategy</w:t>
      </w:r>
      <w:bookmarkEnd w:id="2"/>
      <w:bookmarkEnd w:id="3"/>
    </w:p>
    <w:p w14:paraId="1516B111" w14:textId="1BB33FF5" w:rsidR="00655742" w:rsidRDefault="00E44A77" w:rsidP="00655742">
      <w:pPr>
        <w:spacing w:after="0" w:line="360" w:lineRule="auto"/>
        <w:rPr>
          <w:rFonts w:ascii="Arial" w:hAnsi="Arial" w:cs="Arial"/>
        </w:rPr>
      </w:pPr>
      <w:r w:rsidRPr="00E44A77">
        <w:rPr>
          <w:rFonts w:ascii="Arial" w:hAnsi="Arial" w:cs="Arial"/>
        </w:rPr>
        <w:t>International expansion requires multinational corporations (MNCs) to balance the competing demands of global integration and local responsiveness to sustain competitive advantage. Bartlett and Ghoshal's (1989) framework provides a useful lens for evaluating how firms coordinate international operations by categorising strategies as international, global, multidomestic or transnational. Applying this framework enables a critical assessment of whether Caffè Nero's existing international strategy supports its proposed expansion into India.</w:t>
      </w:r>
    </w:p>
    <w:p w14:paraId="5A655B1B" w14:textId="77777777" w:rsidR="00655742" w:rsidRDefault="00655742" w:rsidP="00655742">
      <w:pPr>
        <w:spacing w:after="0" w:line="360" w:lineRule="auto"/>
        <w:rPr>
          <w:rFonts w:ascii="Arial" w:hAnsi="Arial" w:cs="Arial"/>
        </w:rPr>
      </w:pPr>
    </w:p>
    <w:p w14:paraId="66DBB83E" w14:textId="69B3BB9D" w:rsidR="00655742" w:rsidRPr="00205146" w:rsidRDefault="00655742" w:rsidP="00655742">
      <w:pPr>
        <w:spacing w:after="0" w:line="360" w:lineRule="auto"/>
        <w:jc w:val="center"/>
        <w:rPr>
          <w:rFonts w:ascii="Arial" w:hAnsi="Arial" w:cs="Arial"/>
          <w:b/>
          <w:bCs/>
        </w:rPr>
      </w:pPr>
      <w:r w:rsidRPr="00205146">
        <w:rPr>
          <w:rFonts w:ascii="Arial" w:hAnsi="Arial" w:cs="Arial"/>
          <w:b/>
          <w:bCs/>
        </w:rPr>
        <w:t>Table 1. Strategic Classification of Caffè Nero Using Bartlett and Ghoshal's (1989) Framework</w:t>
      </w:r>
    </w:p>
    <w:tbl>
      <w:tblPr>
        <w:tblStyle w:val="TableGrid"/>
        <w:tblW w:w="0" w:type="auto"/>
        <w:tblLook w:val="04A0" w:firstRow="1" w:lastRow="0" w:firstColumn="1" w:lastColumn="0" w:noHBand="0" w:noVBand="1"/>
      </w:tblPr>
      <w:tblGrid>
        <w:gridCol w:w="2266"/>
        <w:gridCol w:w="3750"/>
        <w:gridCol w:w="4440"/>
      </w:tblGrid>
      <w:tr w:rsidR="00655742" w:rsidRPr="00655742" w14:paraId="49A4CAA1" w14:textId="77777777" w:rsidTr="00655742">
        <w:tc>
          <w:tcPr>
            <w:tcW w:w="0" w:type="auto"/>
            <w:hideMark/>
          </w:tcPr>
          <w:p w14:paraId="128F9FD8" w14:textId="77777777" w:rsidR="00655742" w:rsidRPr="00655742" w:rsidRDefault="00655742" w:rsidP="00655742">
            <w:pPr>
              <w:spacing w:line="360" w:lineRule="auto"/>
              <w:jc w:val="center"/>
              <w:rPr>
                <w:rFonts w:ascii="Arial" w:hAnsi="Arial" w:cs="Arial"/>
                <w:b/>
                <w:bCs/>
              </w:rPr>
            </w:pPr>
            <w:r w:rsidRPr="00655742">
              <w:rPr>
                <w:rFonts w:ascii="Arial" w:hAnsi="Arial" w:cs="Arial"/>
                <w:b/>
                <w:bCs/>
              </w:rPr>
              <w:lastRenderedPageBreak/>
              <w:t>Strategic Dimension</w:t>
            </w:r>
          </w:p>
        </w:tc>
        <w:tc>
          <w:tcPr>
            <w:tcW w:w="0" w:type="auto"/>
            <w:hideMark/>
          </w:tcPr>
          <w:p w14:paraId="2AF3D3BF" w14:textId="77777777" w:rsidR="00655742" w:rsidRPr="00655742" w:rsidRDefault="00655742" w:rsidP="00655742">
            <w:pPr>
              <w:spacing w:line="360" w:lineRule="auto"/>
              <w:jc w:val="center"/>
              <w:rPr>
                <w:rFonts w:ascii="Arial" w:hAnsi="Arial" w:cs="Arial"/>
                <w:b/>
                <w:bCs/>
              </w:rPr>
            </w:pPr>
            <w:r w:rsidRPr="00655742">
              <w:rPr>
                <w:rFonts w:ascii="Arial" w:hAnsi="Arial" w:cs="Arial"/>
                <w:b/>
                <w:bCs/>
              </w:rPr>
              <w:t>Evidence</w:t>
            </w:r>
          </w:p>
        </w:tc>
        <w:tc>
          <w:tcPr>
            <w:tcW w:w="0" w:type="auto"/>
            <w:hideMark/>
          </w:tcPr>
          <w:p w14:paraId="670F1BA7" w14:textId="77777777" w:rsidR="00655742" w:rsidRPr="00655742" w:rsidRDefault="00655742" w:rsidP="00655742">
            <w:pPr>
              <w:spacing w:line="360" w:lineRule="auto"/>
              <w:jc w:val="center"/>
              <w:rPr>
                <w:rFonts w:ascii="Arial" w:hAnsi="Arial" w:cs="Arial"/>
                <w:b/>
                <w:bCs/>
              </w:rPr>
            </w:pPr>
            <w:r w:rsidRPr="00655742">
              <w:rPr>
                <w:rFonts w:ascii="Arial" w:hAnsi="Arial" w:cs="Arial"/>
                <w:b/>
                <w:bCs/>
              </w:rPr>
              <w:t>Critical Evaluation</w:t>
            </w:r>
          </w:p>
        </w:tc>
      </w:tr>
      <w:tr w:rsidR="00655742" w:rsidRPr="00655742" w14:paraId="43157168" w14:textId="77777777" w:rsidTr="00655742">
        <w:tc>
          <w:tcPr>
            <w:tcW w:w="0" w:type="auto"/>
            <w:hideMark/>
          </w:tcPr>
          <w:p w14:paraId="51FE7115" w14:textId="77777777" w:rsidR="00655742" w:rsidRPr="00655742" w:rsidRDefault="00655742" w:rsidP="00655742">
            <w:pPr>
              <w:spacing w:line="360" w:lineRule="auto"/>
              <w:jc w:val="center"/>
              <w:rPr>
                <w:rFonts w:ascii="Arial" w:hAnsi="Arial" w:cs="Arial"/>
              </w:rPr>
            </w:pPr>
            <w:r w:rsidRPr="00655742">
              <w:rPr>
                <w:rFonts w:ascii="Arial" w:hAnsi="Arial" w:cs="Arial"/>
              </w:rPr>
              <w:t>Global Integration</w:t>
            </w:r>
          </w:p>
        </w:tc>
        <w:tc>
          <w:tcPr>
            <w:tcW w:w="0" w:type="auto"/>
            <w:hideMark/>
          </w:tcPr>
          <w:p w14:paraId="2945105E" w14:textId="77777777" w:rsidR="00655742" w:rsidRPr="00655742" w:rsidRDefault="00655742" w:rsidP="00655742">
            <w:pPr>
              <w:spacing w:line="360" w:lineRule="auto"/>
              <w:jc w:val="center"/>
              <w:rPr>
                <w:rFonts w:ascii="Arial" w:hAnsi="Arial" w:cs="Arial"/>
              </w:rPr>
            </w:pPr>
            <w:r w:rsidRPr="00655742">
              <w:rPr>
                <w:rFonts w:ascii="Arial" w:hAnsi="Arial" w:cs="Arial"/>
              </w:rPr>
              <w:t>Standardised brand identity, store ambience, coffee quality and operational procedures across international markets.</w:t>
            </w:r>
          </w:p>
        </w:tc>
        <w:tc>
          <w:tcPr>
            <w:tcW w:w="0" w:type="auto"/>
            <w:hideMark/>
          </w:tcPr>
          <w:p w14:paraId="5991A28A" w14:textId="77777777" w:rsidR="00655742" w:rsidRPr="00655742" w:rsidRDefault="00655742" w:rsidP="00655742">
            <w:pPr>
              <w:spacing w:line="360" w:lineRule="auto"/>
              <w:jc w:val="center"/>
              <w:rPr>
                <w:rFonts w:ascii="Arial" w:hAnsi="Arial" w:cs="Arial"/>
              </w:rPr>
            </w:pPr>
            <w:r w:rsidRPr="00655742">
              <w:rPr>
                <w:rFonts w:ascii="Arial" w:hAnsi="Arial" w:cs="Arial"/>
              </w:rPr>
              <w:t>Strengthens brand consistency and operational efficiency but may reduce flexibility in culturally diverse markets.</w:t>
            </w:r>
          </w:p>
        </w:tc>
      </w:tr>
      <w:tr w:rsidR="00655742" w:rsidRPr="00655742" w14:paraId="6841C825" w14:textId="77777777" w:rsidTr="00655742">
        <w:tc>
          <w:tcPr>
            <w:tcW w:w="0" w:type="auto"/>
            <w:hideMark/>
          </w:tcPr>
          <w:p w14:paraId="28AC847D" w14:textId="77777777" w:rsidR="00655742" w:rsidRPr="00655742" w:rsidRDefault="00655742" w:rsidP="00655742">
            <w:pPr>
              <w:spacing w:line="360" w:lineRule="auto"/>
              <w:jc w:val="center"/>
              <w:rPr>
                <w:rFonts w:ascii="Arial" w:hAnsi="Arial" w:cs="Arial"/>
              </w:rPr>
            </w:pPr>
            <w:r w:rsidRPr="00655742">
              <w:rPr>
                <w:rFonts w:ascii="Arial" w:hAnsi="Arial" w:cs="Arial"/>
              </w:rPr>
              <w:t>Local Responsiveness</w:t>
            </w:r>
          </w:p>
        </w:tc>
        <w:tc>
          <w:tcPr>
            <w:tcW w:w="0" w:type="auto"/>
            <w:hideMark/>
          </w:tcPr>
          <w:p w14:paraId="7D6383DA" w14:textId="77777777" w:rsidR="00655742" w:rsidRPr="00655742" w:rsidRDefault="00655742" w:rsidP="00655742">
            <w:pPr>
              <w:spacing w:line="360" w:lineRule="auto"/>
              <w:jc w:val="center"/>
              <w:rPr>
                <w:rFonts w:ascii="Arial" w:hAnsi="Arial" w:cs="Arial"/>
              </w:rPr>
            </w:pPr>
            <w:r w:rsidRPr="00655742">
              <w:rPr>
                <w:rFonts w:ascii="Arial" w:hAnsi="Arial" w:cs="Arial"/>
              </w:rPr>
              <w:t>Selective adaptation of food products, beverages and store formats according to host-country preferences.</w:t>
            </w:r>
          </w:p>
        </w:tc>
        <w:tc>
          <w:tcPr>
            <w:tcW w:w="0" w:type="auto"/>
            <w:hideMark/>
          </w:tcPr>
          <w:p w14:paraId="6DC6373B" w14:textId="77777777" w:rsidR="00655742" w:rsidRPr="00655742" w:rsidRDefault="00655742" w:rsidP="00655742">
            <w:pPr>
              <w:spacing w:line="360" w:lineRule="auto"/>
              <w:jc w:val="center"/>
              <w:rPr>
                <w:rFonts w:ascii="Arial" w:hAnsi="Arial" w:cs="Arial"/>
              </w:rPr>
            </w:pPr>
            <w:r w:rsidRPr="00655742">
              <w:rPr>
                <w:rFonts w:ascii="Arial" w:hAnsi="Arial" w:cs="Arial"/>
              </w:rPr>
              <w:t>Improves local customer acceptance while maintaining a consistent global brand image.</w:t>
            </w:r>
          </w:p>
        </w:tc>
      </w:tr>
      <w:tr w:rsidR="00655742" w:rsidRPr="00655742" w14:paraId="0B076352" w14:textId="77777777" w:rsidTr="00655742">
        <w:tc>
          <w:tcPr>
            <w:tcW w:w="0" w:type="auto"/>
            <w:hideMark/>
          </w:tcPr>
          <w:p w14:paraId="3EA81B11" w14:textId="77777777" w:rsidR="00655742" w:rsidRPr="00655742" w:rsidRDefault="00655742" w:rsidP="00655742">
            <w:pPr>
              <w:spacing w:line="360" w:lineRule="auto"/>
              <w:jc w:val="center"/>
              <w:rPr>
                <w:rFonts w:ascii="Arial" w:hAnsi="Arial" w:cs="Arial"/>
              </w:rPr>
            </w:pPr>
            <w:r w:rsidRPr="00655742">
              <w:rPr>
                <w:rFonts w:ascii="Arial" w:hAnsi="Arial" w:cs="Arial"/>
              </w:rPr>
              <w:t>Knowledge Development</w:t>
            </w:r>
          </w:p>
        </w:tc>
        <w:tc>
          <w:tcPr>
            <w:tcW w:w="0" w:type="auto"/>
            <w:hideMark/>
          </w:tcPr>
          <w:p w14:paraId="52233D08" w14:textId="77777777" w:rsidR="00655742" w:rsidRPr="00655742" w:rsidRDefault="00655742" w:rsidP="00655742">
            <w:pPr>
              <w:spacing w:line="360" w:lineRule="auto"/>
              <w:jc w:val="center"/>
              <w:rPr>
                <w:rFonts w:ascii="Arial" w:hAnsi="Arial" w:cs="Arial"/>
              </w:rPr>
            </w:pPr>
            <w:r w:rsidRPr="00655742">
              <w:rPr>
                <w:rFonts w:ascii="Arial" w:hAnsi="Arial" w:cs="Arial"/>
              </w:rPr>
              <w:t>Core capabilities and strategic decisions remain centrally coordinated across international operations.</w:t>
            </w:r>
          </w:p>
        </w:tc>
        <w:tc>
          <w:tcPr>
            <w:tcW w:w="0" w:type="auto"/>
            <w:hideMark/>
          </w:tcPr>
          <w:p w14:paraId="2CE93E4A" w14:textId="77777777" w:rsidR="00655742" w:rsidRPr="00655742" w:rsidRDefault="00655742" w:rsidP="00655742">
            <w:pPr>
              <w:spacing w:line="360" w:lineRule="auto"/>
              <w:jc w:val="center"/>
              <w:rPr>
                <w:rFonts w:ascii="Arial" w:hAnsi="Arial" w:cs="Arial"/>
              </w:rPr>
            </w:pPr>
            <w:r w:rsidRPr="00655742">
              <w:rPr>
                <w:rFonts w:ascii="Arial" w:hAnsi="Arial" w:cs="Arial"/>
              </w:rPr>
              <w:t>Facilitates knowledge transfer and quality control but may restrict innovation originating from local subsidiaries.</w:t>
            </w:r>
          </w:p>
        </w:tc>
      </w:tr>
      <w:tr w:rsidR="00655742" w:rsidRPr="00655742" w14:paraId="7916C629" w14:textId="77777777" w:rsidTr="00655742">
        <w:tc>
          <w:tcPr>
            <w:tcW w:w="0" w:type="auto"/>
            <w:hideMark/>
          </w:tcPr>
          <w:p w14:paraId="3579EA60" w14:textId="77777777" w:rsidR="00655742" w:rsidRPr="00655742" w:rsidRDefault="00655742" w:rsidP="00655742">
            <w:pPr>
              <w:spacing w:line="360" w:lineRule="auto"/>
              <w:jc w:val="center"/>
              <w:rPr>
                <w:rFonts w:ascii="Arial" w:hAnsi="Arial" w:cs="Arial"/>
              </w:rPr>
            </w:pPr>
            <w:r w:rsidRPr="00655742">
              <w:rPr>
                <w:rFonts w:ascii="Arial" w:hAnsi="Arial" w:cs="Arial"/>
              </w:rPr>
              <w:t>Overall Strategic Classification</w:t>
            </w:r>
          </w:p>
        </w:tc>
        <w:tc>
          <w:tcPr>
            <w:tcW w:w="0" w:type="auto"/>
            <w:hideMark/>
          </w:tcPr>
          <w:p w14:paraId="21213773" w14:textId="77777777" w:rsidR="00655742" w:rsidRPr="00655742" w:rsidRDefault="00655742" w:rsidP="00655742">
            <w:pPr>
              <w:spacing w:line="360" w:lineRule="auto"/>
              <w:jc w:val="center"/>
              <w:rPr>
                <w:rFonts w:ascii="Arial" w:hAnsi="Arial" w:cs="Arial"/>
              </w:rPr>
            </w:pPr>
            <w:r w:rsidRPr="00655742">
              <w:rPr>
                <w:rFonts w:ascii="Arial" w:hAnsi="Arial" w:cs="Arial"/>
              </w:rPr>
              <w:t>International Strategy</w:t>
            </w:r>
          </w:p>
        </w:tc>
        <w:tc>
          <w:tcPr>
            <w:tcW w:w="0" w:type="auto"/>
            <w:hideMark/>
          </w:tcPr>
          <w:p w14:paraId="1258F0B3" w14:textId="77777777" w:rsidR="00655742" w:rsidRPr="00655742" w:rsidRDefault="00655742" w:rsidP="00655742">
            <w:pPr>
              <w:spacing w:line="360" w:lineRule="auto"/>
              <w:jc w:val="center"/>
              <w:rPr>
                <w:rFonts w:ascii="Arial" w:hAnsi="Arial" w:cs="Arial"/>
              </w:rPr>
            </w:pPr>
            <w:r w:rsidRPr="00655742">
              <w:rPr>
                <w:rFonts w:ascii="Arial" w:hAnsi="Arial" w:cs="Arial"/>
              </w:rPr>
              <w:t>Caffè Nero leverages centrally developed competencies internationally while allowing limited local adaptation to meet market-specific requirements.</w:t>
            </w:r>
          </w:p>
        </w:tc>
      </w:tr>
    </w:tbl>
    <w:p w14:paraId="478C6DCC" w14:textId="49D0B113" w:rsidR="006136A2" w:rsidRDefault="00655742" w:rsidP="006136A2">
      <w:pPr>
        <w:spacing w:after="0" w:line="360" w:lineRule="auto"/>
        <w:rPr>
          <w:rFonts w:ascii="Arial" w:hAnsi="Arial" w:cs="Arial"/>
          <w:i/>
          <w:iCs/>
          <w:color w:val="808080" w:themeColor="background1" w:themeShade="80"/>
          <w:sz w:val="22"/>
          <w:szCs w:val="22"/>
        </w:rPr>
      </w:pPr>
      <w:r w:rsidRPr="00655742">
        <w:rPr>
          <w:rFonts w:ascii="Arial" w:hAnsi="Arial" w:cs="Arial"/>
          <w:i/>
          <w:iCs/>
          <w:color w:val="808080" w:themeColor="background1" w:themeShade="80"/>
          <w:sz w:val="22"/>
          <w:szCs w:val="22"/>
        </w:rPr>
        <w:t>Source: Adapted from Bartlett and Ghoshal (1989) and Caffè Nero corporate information.</w:t>
      </w:r>
    </w:p>
    <w:p w14:paraId="6784B6A9" w14:textId="77777777" w:rsidR="003837CF" w:rsidRPr="003837CF" w:rsidRDefault="003837CF" w:rsidP="003837CF">
      <w:pPr>
        <w:spacing w:after="0" w:line="360" w:lineRule="auto"/>
        <w:rPr>
          <w:rFonts w:ascii="Arial" w:hAnsi="Arial" w:cs="Arial"/>
        </w:rPr>
      </w:pPr>
      <w:r w:rsidRPr="003837CF">
        <w:rPr>
          <w:rFonts w:ascii="Arial" w:hAnsi="Arial" w:cs="Arial"/>
        </w:rPr>
        <w:t>Bartlett and Ghoshal's (1989) framework indicates that Caffè Nero predominantly follows an International Strategy, characterised by centralised management of its brand identity, store format, customer experience and operational standards across overseas markets. This approach enables the firm to leverage firm-specific advantages, including its premium European brand positioning and operational expertise, while maintaining service consistency. At the same time, selective adaptation of menus and store formats demonstrates a degree of local responsiveness, recognising that complete standardisation is unlikely to maximise competitiveness across culturally diverse markets.</w:t>
      </w:r>
    </w:p>
    <w:p w14:paraId="69606D19" w14:textId="77777777" w:rsidR="003837CF" w:rsidRPr="003837CF" w:rsidRDefault="003837CF" w:rsidP="003837CF">
      <w:pPr>
        <w:spacing w:after="0" w:line="360" w:lineRule="auto"/>
        <w:rPr>
          <w:rFonts w:ascii="Arial" w:hAnsi="Arial" w:cs="Arial"/>
        </w:rPr>
      </w:pPr>
      <w:r w:rsidRPr="003837CF">
        <w:rPr>
          <w:rFonts w:ascii="Arial" w:hAnsi="Arial" w:cs="Arial"/>
        </w:rPr>
        <w:t>However, this classification should not be interpreted rigidly. The coexistence of centralised strategic control and limited local adaptation suggests elements of a hybrid strategy, reflecting a recognised limitation of Bartlett and Ghoshal's model, which assumes discrete strategic categories despite many contemporary multinational enterprises adopting mixed approaches. Consequently, Caffè Nero is more accurately characterised as predominantly international, with selective localisation enhancing market responsiveness.</w:t>
      </w:r>
    </w:p>
    <w:p w14:paraId="33465404" w14:textId="77777777" w:rsidR="003837CF" w:rsidRPr="003837CF" w:rsidRDefault="003837CF" w:rsidP="003837CF">
      <w:pPr>
        <w:spacing w:after="0" w:line="360" w:lineRule="auto"/>
        <w:rPr>
          <w:rFonts w:ascii="Arial" w:hAnsi="Arial" w:cs="Arial"/>
        </w:rPr>
      </w:pPr>
      <w:r w:rsidRPr="003837CF">
        <w:rPr>
          <w:rFonts w:ascii="Arial" w:hAnsi="Arial" w:cs="Arial"/>
        </w:rPr>
        <w:t xml:space="preserve">From a global configuration perspective, Caffè Nero has established operations across Europe, the Middle East and North America (Figure 2), demonstrating a measured expansion strategy centred on premium positioning rather than rapid internationalisation. This geographic footprint </w:t>
      </w:r>
      <w:r w:rsidRPr="003837CF">
        <w:rPr>
          <w:rFonts w:ascii="Arial" w:hAnsi="Arial" w:cs="Arial"/>
        </w:rPr>
        <w:lastRenderedPageBreak/>
        <w:t>supports economies of scale in procurement, branding and knowledge transfer while reinforcing organisational learning, an important source of sustained competitive advantage (Barney, 1991).</w:t>
      </w:r>
    </w:p>
    <w:p w14:paraId="47A0E16D" w14:textId="157C7B0E" w:rsidR="00655742" w:rsidRDefault="00655742" w:rsidP="00655742">
      <w:pPr>
        <w:spacing w:after="0" w:line="360" w:lineRule="auto"/>
        <w:jc w:val="center"/>
        <w:rPr>
          <w:rFonts w:ascii="Arial" w:hAnsi="Arial" w:cs="Arial"/>
        </w:rPr>
      </w:pPr>
      <w:r>
        <w:rPr>
          <w:rFonts w:ascii="Arial" w:hAnsi="Arial" w:cs="Arial"/>
          <w:noProof/>
        </w:rPr>
        <w:drawing>
          <wp:inline distT="0" distB="0" distL="0" distR="0" wp14:anchorId="2B225CCC" wp14:editId="3FFABCCF">
            <wp:extent cx="6690619" cy="4460413"/>
            <wp:effectExtent l="0" t="0" r="0" b="0"/>
            <wp:docPr id="17765940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739188" cy="4492792"/>
                    </a:xfrm>
                    <a:prstGeom prst="rect">
                      <a:avLst/>
                    </a:prstGeom>
                    <a:noFill/>
                  </pic:spPr>
                </pic:pic>
              </a:graphicData>
            </a:graphic>
          </wp:inline>
        </w:drawing>
      </w:r>
    </w:p>
    <w:p w14:paraId="7277B2FF" w14:textId="65DACE7B" w:rsidR="00271C02" w:rsidRDefault="00271C02" w:rsidP="00271C02">
      <w:pPr>
        <w:spacing w:after="0" w:line="360" w:lineRule="auto"/>
        <w:jc w:val="both"/>
        <w:rPr>
          <w:rFonts w:ascii="Arial" w:hAnsi="Arial" w:cs="Arial"/>
        </w:rPr>
      </w:pPr>
      <w:r w:rsidRPr="00271C02">
        <w:rPr>
          <w:rFonts w:ascii="Arial" w:hAnsi="Arial" w:cs="Arial"/>
        </w:rPr>
        <w:t>Nevertheless, Caffè Nero's international presence remains relatively concentrated compared with global competitors such as Starbucks and Costa Coffee, limiting exposure to high-growth emerging markets. This concentration increases dependence on mature economies, where market saturation may constrain future growth. Consequently, expansion into India represents a strategically attractive opportunity to diversify revenue streams, provided the company maintains an appropriate balance between global standardisation and local adaptation.</w:t>
      </w:r>
    </w:p>
    <w:p w14:paraId="527A3C85" w14:textId="77777777" w:rsidR="00405845" w:rsidRDefault="00405845" w:rsidP="00655742">
      <w:pPr>
        <w:spacing w:after="0" w:line="360" w:lineRule="auto"/>
        <w:jc w:val="center"/>
        <w:rPr>
          <w:rFonts w:ascii="Arial" w:hAnsi="Arial" w:cs="Arial"/>
        </w:rPr>
      </w:pPr>
    </w:p>
    <w:p w14:paraId="1B2F4ED5" w14:textId="77777777" w:rsidR="00405845" w:rsidRDefault="00405845" w:rsidP="00655742">
      <w:pPr>
        <w:spacing w:after="0" w:line="360" w:lineRule="auto"/>
        <w:jc w:val="center"/>
        <w:rPr>
          <w:rFonts w:ascii="Arial" w:hAnsi="Arial" w:cs="Arial"/>
        </w:rPr>
      </w:pPr>
    </w:p>
    <w:p w14:paraId="103DEAFC" w14:textId="77777777" w:rsidR="00405845" w:rsidRDefault="00405845" w:rsidP="00655742">
      <w:pPr>
        <w:spacing w:after="0" w:line="360" w:lineRule="auto"/>
        <w:jc w:val="center"/>
        <w:rPr>
          <w:rFonts w:ascii="Arial" w:hAnsi="Arial" w:cs="Arial"/>
        </w:rPr>
      </w:pPr>
    </w:p>
    <w:p w14:paraId="557FBA8E" w14:textId="77777777" w:rsidR="00114913" w:rsidRDefault="00114913" w:rsidP="00655742">
      <w:pPr>
        <w:spacing w:after="0" w:line="360" w:lineRule="auto"/>
        <w:jc w:val="center"/>
        <w:rPr>
          <w:rFonts w:ascii="Arial" w:hAnsi="Arial" w:cs="Arial"/>
        </w:rPr>
      </w:pPr>
    </w:p>
    <w:p w14:paraId="39E4BB34" w14:textId="77777777" w:rsidR="00114913" w:rsidRDefault="00114913" w:rsidP="00655742">
      <w:pPr>
        <w:spacing w:after="0" w:line="360" w:lineRule="auto"/>
        <w:jc w:val="center"/>
        <w:rPr>
          <w:rFonts w:ascii="Arial" w:hAnsi="Arial" w:cs="Arial"/>
        </w:rPr>
      </w:pPr>
    </w:p>
    <w:p w14:paraId="58199074" w14:textId="77777777" w:rsidR="00114913" w:rsidRDefault="00114913" w:rsidP="00655742">
      <w:pPr>
        <w:spacing w:after="0" w:line="360" w:lineRule="auto"/>
        <w:jc w:val="center"/>
        <w:rPr>
          <w:rFonts w:ascii="Arial" w:hAnsi="Arial" w:cs="Arial"/>
        </w:rPr>
      </w:pPr>
    </w:p>
    <w:p w14:paraId="6C3DFA45" w14:textId="77777777" w:rsidR="00114913" w:rsidRDefault="00114913" w:rsidP="00655742">
      <w:pPr>
        <w:spacing w:after="0" w:line="360" w:lineRule="auto"/>
        <w:jc w:val="center"/>
        <w:rPr>
          <w:rFonts w:ascii="Arial" w:hAnsi="Arial" w:cs="Arial"/>
        </w:rPr>
      </w:pPr>
    </w:p>
    <w:p w14:paraId="29B1FC1D" w14:textId="77777777" w:rsidR="00114913" w:rsidRDefault="00114913" w:rsidP="00655742">
      <w:pPr>
        <w:spacing w:after="0" w:line="360" w:lineRule="auto"/>
        <w:jc w:val="center"/>
        <w:rPr>
          <w:rFonts w:ascii="Arial" w:hAnsi="Arial" w:cs="Arial"/>
        </w:rPr>
      </w:pPr>
    </w:p>
    <w:p w14:paraId="236C3340" w14:textId="77777777" w:rsidR="00114913" w:rsidRDefault="00114913" w:rsidP="00655742">
      <w:pPr>
        <w:spacing w:after="0" w:line="360" w:lineRule="auto"/>
        <w:jc w:val="center"/>
        <w:rPr>
          <w:rFonts w:ascii="Arial" w:hAnsi="Arial" w:cs="Arial"/>
        </w:rPr>
      </w:pPr>
    </w:p>
    <w:p w14:paraId="07041181" w14:textId="77777777" w:rsidR="00405845" w:rsidRDefault="00405845" w:rsidP="00655742">
      <w:pPr>
        <w:spacing w:after="0" w:line="360" w:lineRule="auto"/>
        <w:jc w:val="center"/>
        <w:rPr>
          <w:rFonts w:ascii="Arial" w:hAnsi="Arial" w:cs="Arial"/>
        </w:rPr>
      </w:pPr>
    </w:p>
    <w:p w14:paraId="611CFBF4" w14:textId="77777777" w:rsidR="00405845" w:rsidRPr="00405845" w:rsidRDefault="00405845" w:rsidP="00405845">
      <w:pPr>
        <w:pStyle w:val="Heading1"/>
        <w:rPr>
          <w:rFonts w:ascii="Arial" w:hAnsi="Arial" w:cs="Arial"/>
          <w:sz w:val="24"/>
          <w:szCs w:val="24"/>
        </w:rPr>
      </w:pPr>
      <w:bookmarkStart w:id="4" w:name="_Toc236996668"/>
      <w:bookmarkStart w:id="5" w:name="_Toc236998167"/>
      <w:r w:rsidRPr="00405845">
        <w:rPr>
          <w:rFonts w:ascii="Arial" w:hAnsi="Arial" w:cs="Arial"/>
          <w:sz w:val="24"/>
          <w:szCs w:val="24"/>
        </w:rPr>
        <w:lastRenderedPageBreak/>
        <w:t>2. Macro-Environmental Appraisal and Market Attractiveness</w:t>
      </w:r>
      <w:bookmarkEnd w:id="4"/>
      <w:bookmarkEnd w:id="5"/>
    </w:p>
    <w:p w14:paraId="2FFA98F5" w14:textId="77777777" w:rsidR="00405845" w:rsidRPr="00405845" w:rsidRDefault="00405845" w:rsidP="00405845">
      <w:pPr>
        <w:pStyle w:val="Heading2"/>
        <w:rPr>
          <w:rFonts w:ascii="Arial" w:hAnsi="Arial" w:cs="Arial"/>
          <w:sz w:val="24"/>
          <w:szCs w:val="24"/>
        </w:rPr>
      </w:pPr>
      <w:bookmarkStart w:id="6" w:name="_Toc236996669"/>
      <w:bookmarkStart w:id="7" w:name="_Toc236998168"/>
      <w:r w:rsidRPr="00405845">
        <w:rPr>
          <w:rFonts w:ascii="Arial" w:hAnsi="Arial" w:cs="Arial"/>
          <w:sz w:val="24"/>
          <w:szCs w:val="24"/>
        </w:rPr>
        <w:t>2.1 Introduction</w:t>
      </w:r>
      <w:bookmarkEnd w:id="6"/>
      <w:bookmarkEnd w:id="7"/>
    </w:p>
    <w:p w14:paraId="3BCAB643" w14:textId="77777777" w:rsidR="00405845" w:rsidRPr="00405845" w:rsidRDefault="00405845" w:rsidP="00405845">
      <w:pPr>
        <w:spacing w:after="0" w:line="360" w:lineRule="auto"/>
        <w:rPr>
          <w:rFonts w:ascii="Arial" w:hAnsi="Arial" w:cs="Arial"/>
        </w:rPr>
      </w:pPr>
      <w:r w:rsidRPr="00405845">
        <w:rPr>
          <w:rFonts w:ascii="Arial" w:hAnsi="Arial" w:cs="Arial"/>
        </w:rPr>
        <w:t>The success of international market entry depends not only on a firm's internal capabilities but also on its ability to understand and respond effectively to the external environment of the host country. Even organisations possessing strong brands, financial resources and operational expertise may experience unsuccessful expansion if political, economic, legal and cultural conditions are not adequately evaluated. Consequently, a comprehensive macro-environmental assessment is essential to determine whether a potential market offers sustainable growth opportunities while maintaining an acceptable level of strategic and operational risk.</w:t>
      </w:r>
    </w:p>
    <w:p w14:paraId="6ABEF836" w14:textId="77777777" w:rsidR="00405845" w:rsidRPr="00405845" w:rsidRDefault="00405845" w:rsidP="00405845">
      <w:pPr>
        <w:spacing w:after="0" w:line="360" w:lineRule="auto"/>
        <w:rPr>
          <w:rFonts w:ascii="Arial" w:hAnsi="Arial" w:cs="Arial"/>
        </w:rPr>
      </w:pPr>
      <w:r w:rsidRPr="00405845">
        <w:rPr>
          <w:rFonts w:ascii="Arial" w:hAnsi="Arial" w:cs="Arial"/>
        </w:rPr>
        <w:t>India represents an attractive yet complex market for Caffè Nero's proposed international expansion. The country's rapid urbanisation, expanding middle-class population, increasing disposable incomes and evolving café culture indicate significant long-term growth potential for premium coffee retailers. However, these opportunities coexist with substantial challenges, including intense competition from established domestic and international coffee chains, regulatory complexity, regional diversity and changing consumer preferences. Therefore, market attractiveness cannot be assessed solely through macroeconomic indicators but must also consider industry-specific conditions that influence the feasibility of successful market entry.</w:t>
      </w:r>
    </w:p>
    <w:p w14:paraId="3B452195" w14:textId="77777777" w:rsidR="00405845" w:rsidRDefault="00405845" w:rsidP="00405845">
      <w:pPr>
        <w:spacing w:after="0" w:line="360" w:lineRule="auto"/>
        <w:rPr>
          <w:rFonts w:ascii="Arial" w:hAnsi="Arial" w:cs="Arial"/>
        </w:rPr>
      </w:pPr>
      <w:r w:rsidRPr="00405845">
        <w:rPr>
          <w:rFonts w:ascii="Arial" w:hAnsi="Arial" w:cs="Arial"/>
        </w:rPr>
        <w:t>Accordingly, this section critically evaluates the political, economic, legal and cultural factors most relevant to Caffè Nero's business model and international strategy. Rather than providing a descriptive overview of India's external environment, the analysis focuses on how these factors are likely to influence the company's ability to establish, operate and sustain a competitive position within the Indian premium café market. The findings are subsequently synthesised using Dunning's Eclectic (OLI) Paradigm to assess whether Caffè Nero possesses the ownership, location and internalisation advantages necessary to support successful market entry and long-term value creation.</w:t>
      </w:r>
    </w:p>
    <w:p w14:paraId="5EA1B298" w14:textId="77777777" w:rsidR="00452FD1" w:rsidRDefault="00452FD1" w:rsidP="00405845">
      <w:pPr>
        <w:spacing w:after="0" w:line="360" w:lineRule="auto"/>
        <w:rPr>
          <w:rFonts w:ascii="Arial" w:hAnsi="Arial" w:cs="Arial"/>
        </w:rPr>
      </w:pPr>
    </w:p>
    <w:p w14:paraId="27E7A37D" w14:textId="77777777" w:rsidR="00405845" w:rsidRPr="00405845" w:rsidRDefault="00405845" w:rsidP="00405845">
      <w:pPr>
        <w:pStyle w:val="Heading2"/>
        <w:rPr>
          <w:rFonts w:ascii="Arial" w:hAnsi="Arial" w:cs="Arial"/>
          <w:sz w:val="24"/>
          <w:szCs w:val="24"/>
        </w:rPr>
      </w:pPr>
      <w:bookmarkStart w:id="8" w:name="_Toc236996670"/>
      <w:bookmarkStart w:id="9" w:name="_Toc236998169"/>
      <w:r w:rsidRPr="00405845">
        <w:rPr>
          <w:rFonts w:ascii="Arial" w:hAnsi="Arial" w:cs="Arial"/>
          <w:sz w:val="24"/>
          <w:szCs w:val="24"/>
        </w:rPr>
        <w:t>2.2 Political Environment</w:t>
      </w:r>
      <w:bookmarkEnd w:id="8"/>
      <w:bookmarkEnd w:id="9"/>
    </w:p>
    <w:p w14:paraId="589FBF50" w14:textId="77777777" w:rsidR="00C45BEE" w:rsidRPr="00C45BEE" w:rsidRDefault="00C45BEE" w:rsidP="00C45BEE">
      <w:pPr>
        <w:spacing w:after="0" w:line="360" w:lineRule="auto"/>
        <w:rPr>
          <w:rFonts w:ascii="Arial" w:hAnsi="Arial" w:cs="Arial"/>
        </w:rPr>
      </w:pPr>
      <w:r w:rsidRPr="00C45BEE">
        <w:rPr>
          <w:rFonts w:ascii="Arial" w:hAnsi="Arial" w:cs="Arial"/>
        </w:rPr>
        <w:t>India's political environment presents Caffè Nero with a favourable yet institutionally complex investment landscape. According to the institution-based view, multinational strategy is shaped not only by firm-specific resources and industry conditions but also by the formal and informal institutions governing host-country business environments (Peng, Wang and Jiang, 2008). This perspective is particularly relevant in India, where investment liberalisation coexists with regulatory responsibilities distributed across central, state and municipal authorities.</w:t>
      </w:r>
    </w:p>
    <w:p w14:paraId="037B42F9" w14:textId="1FB519BB" w:rsidR="00C45BEE" w:rsidRPr="00C45BEE" w:rsidRDefault="00C45BEE" w:rsidP="00C45BEE">
      <w:pPr>
        <w:spacing w:after="0" w:line="360" w:lineRule="auto"/>
        <w:rPr>
          <w:rFonts w:ascii="Arial" w:hAnsi="Arial" w:cs="Arial"/>
        </w:rPr>
      </w:pPr>
      <w:r w:rsidRPr="00C45BEE">
        <w:rPr>
          <w:rFonts w:ascii="Arial" w:hAnsi="Arial" w:cs="Arial"/>
        </w:rPr>
        <w:t xml:space="preserve">India has progressively liberalised its foreign direct investment (FDI) regime, permitting up to 100% foreign ownership under the automatic route across most sectors. Furthermore, the country </w:t>
      </w:r>
      <w:r w:rsidRPr="00C45BEE">
        <w:rPr>
          <w:rFonts w:ascii="Arial" w:hAnsi="Arial" w:cs="Arial"/>
        </w:rPr>
        <w:lastRenderedPageBreak/>
        <w:t>attracted approximately US$81.04 billion in FDI during 2024–25, representing a 14% annual increase, demonstrating continued governmental commitment to attracting international investment (DPIIT, 2025). For Caffè Nero, this reduces political barriers to entry and provides the flexibility to pursue equity-based investment rather than relying solely on contractual entry modes. However, regulatory requirements for cafés, retail activities and imported products remain sector-specific and require careful legal verification before market entry.</w:t>
      </w:r>
    </w:p>
    <w:p w14:paraId="68B1532B" w14:textId="517903F4" w:rsidR="00405845" w:rsidRPr="00205146" w:rsidRDefault="00405845" w:rsidP="00405845">
      <w:pPr>
        <w:spacing w:after="0" w:line="360" w:lineRule="auto"/>
        <w:jc w:val="center"/>
        <w:rPr>
          <w:rFonts w:ascii="Arial" w:hAnsi="Arial" w:cs="Arial"/>
          <w:b/>
          <w:bCs/>
        </w:rPr>
      </w:pPr>
      <w:r w:rsidRPr="00205146">
        <w:rPr>
          <w:rFonts w:ascii="Arial" w:hAnsi="Arial" w:cs="Arial"/>
          <w:b/>
          <w:bCs/>
        </w:rPr>
        <w:t>Table 2. Political factors affecting Caffè Nero’s proposed entry into India</w:t>
      </w:r>
    </w:p>
    <w:tbl>
      <w:tblPr>
        <w:tblStyle w:val="TableGrid"/>
        <w:tblW w:w="0" w:type="auto"/>
        <w:tblLook w:val="04A0" w:firstRow="1" w:lastRow="0" w:firstColumn="1" w:lastColumn="0" w:noHBand="0" w:noVBand="1"/>
      </w:tblPr>
      <w:tblGrid>
        <w:gridCol w:w="2209"/>
        <w:gridCol w:w="2376"/>
        <w:gridCol w:w="2574"/>
        <w:gridCol w:w="3297"/>
      </w:tblGrid>
      <w:tr w:rsidR="00405845" w:rsidRPr="00405845" w14:paraId="56312D35" w14:textId="77777777" w:rsidTr="00405845">
        <w:tc>
          <w:tcPr>
            <w:tcW w:w="0" w:type="auto"/>
            <w:hideMark/>
          </w:tcPr>
          <w:p w14:paraId="55DEC5DC" w14:textId="77777777" w:rsidR="00405845" w:rsidRPr="00405845" w:rsidRDefault="00405845" w:rsidP="00405845">
            <w:pPr>
              <w:spacing w:line="360" w:lineRule="auto"/>
              <w:jc w:val="center"/>
              <w:rPr>
                <w:rFonts w:ascii="Arial" w:hAnsi="Arial" w:cs="Arial"/>
                <w:b/>
                <w:bCs/>
              </w:rPr>
            </w:pPr>
            <w:r w:rsidRPr="00405845">
              <w:rPr>
                <w:rFonts w:ascii="Arial" w:hAnsi="Arial" w:cs="Arial"/>
                <w:b/>
                <w:bCs/>
              </w:rPr>
              <w:t>Political factor</w:t>
            </w:r>
          </w:p>
        </w:tc>
        <w:tc>
          <w:tcPr>
            <w:tcW w:w="0" w:type="auto"/>
            <w:hideMark/>
          </w:tcPr>
          <w:p w14:paraId="5E5972F2" w14:textId="4AD77918" w:rsidR="00405845" w:rsidRPr="00405845" w:rsidRDefault="00405845" w:rsidP="00405845">
            <w:pPr>
              <w:spacing w:line="360" w:lineRule="auto"/>
              <w:jc w:val="center"/>
              <w:rPr>
                <w:rFonts w:ascii="Arial" w:hAnsi="Arial" w:cs="Arial"/>
                <w:b/>
                <w:bCs/>
              </w:rPr>
            </w:pPr>
            <w:r w:rsidRPr="00405845">
              <w:rPr>
                <w:rFonts w:ascii="Arial" w:hAnsi="Arial" w:cs="Arial"/>
                <w:b/>
                <w:bCs/>
              </w:rPr>
              <w:t>Opportunity for Caffè Nero</w:t>
            </w:r>
          </w:p>
        </w:tc>
        <w:tc>
          <w:tcPr>
            <w:tcW w:w="0" w:type="auto"/>
            <w:hideMark/>
          </w:tcPr>
          <w:p w14:paraId="289B8894" w14:textId="77777777" w:rsidR="00405845" w:rsidRPr="00405845" w:rsidRDefault="00405845" w:rsidP="00405845">
            <w:pPr>
              <w:spacing w:line="360" w:lineRule="auto"/>
              <w:jc w:val="center"/>
              <w:rPr>
                <w:rFonts w:ascii="Arial" w:hAnsi="Arial" w:cs="Arial"/>
                <w:b/>
                <w:bCs/>
              </w:rPr>
            </w:pPr>
            <w:r w:rsidRPr="00405845">
              <w:rPr>
                <w:rFonts w:ascii="Arial" w:hAnsi="Arial" w:cs="Arial"/>
                <w:b/>
                <w:bCs/>
              </w:rPr>
              <w:t>Associated risk</w:t>
            </w:r>
          </w:p>
        </w:tc>
        <w:tc>
          <w:tcPr>
            <w:tcW w:w="0" w:type="auto"/>
            <w:hideMark/>
          </w:tcPr>
          <w:p w14:paraId="71D3675C" w14:textId="77777777" w:rsidR="00405845" w:rsidRPr="00405845" w:rsidRDefault="00405845" w:rsidP="00405845">
            <w:pPr>
              <w:spacing w:line="360" w:lineRule="auto"/>
              <w:jc w:val="center"/>
              <w:rPr>
                <w:rFonts w:ascii="Arial" w:hAnsi="Arial" w:cs="Arial"/>
                <w:b/>
                <w:bCs/>
              </w:rPr>
            </w:pPr>
            <w:r w:rsidRPr="00405845">
              <w:rPr>
                <w:rFonts w:ascii="Arial" w:hAnsi="Arial" w:cs="Arial"/>
                <w:b/>
                <w:bCs/>
              </w:rPr>
              <w:t>Strategic implication</w:t>
            </w:r>
          </w:p>
        </w:tc>
      </w:tr>
      <w:tr w:rsidR="00405845" w:rsidRPr="00405845" w14:paraId="30C34D65" w14:textId="77777777" w:rsidTr="00405845">
        <w:tc>
          <w:tcPr>
            <w:tcW w:w="0" w:type="auto"/>
            <w:hideMark/>
          </w:tcPr>
          <w:p w14:paraId="37A01C9A" w14:textId="77777777" w:rsidR="00405845" w:rsidRPr="00405845" w:rsidRDefault="00405845" w:rsidP="00405845">
            <w:pPr>
              <w:spacing w:line="360" w:lineRule="auto"/>
              <w:jc w:val="center"/>
              <w:rPr>
                <w:rFonts w:ascii="Arial" w:hAnsi="Arial" w:cs="Arial"/>
              </w:rPr>
            </w:pPr>
            <w:r w:rsidRPr="00405845">
              <w:rPr>
                <w:rFonts w:ascii="Arial" w:hAnsi="Arial" w:cs="Arial"/>
              </w:rPr>
              <w:t>Liberalised FDI environment</w:t>
            </w:r>
          </w:p>
        </w:tc>
        <w:tc>
          <w:tcPr>
            <w:tcW w:w="0" w:type="auto"/>
            <w:hideMark/>
          </w:tcPr>
          <w:p w14:paraId="14760B53" w14:textId="5BEB0160" w:rsidR="00405845" w:rsidRPr="00405845" w:rsidRDefault="00405845" w:rsidP="00405845">
            <w:pPr>
              <w:spacing w:line="360" w:lineRule="auto"/>
              <w:jc w:val="center"/>
              <w:rPr>
                <w:rFonts w:ascii="Arial" w:hAnsi="Arial" w:cs="Arial"/>
              </w:rPr>
            </w:pPr>
            <w:r w:rsidRPr="00405845">
              <w:rPr>
                <w:rFonts w:ascii="Arial" w:hAnsi="Arial" w:cs="Arial"/>
              </w:rPr>
              <w:t>Facilitates foreign ownership and capital commitment</w:t>
            </w:r>
          </w:p>
        </w:tc>
        <w:tc>
          <w:tcPr>
            <w:tcW w:w="0" w:type="auto"/>
            <w:hideMark/>
          </w:tcPr>
          <w:p w14:paraId="0F9D3EA8" w14:textId="77777777" w:rsidR="00405845" w:rsidRPr="00405845" w:rsidRDefault="00405845" w:rsidP="00405845">
            <w:pPr>
              <w:spacing w:line="360" w:lineRule="auto"/>
              <w:jc w:val="center"/>
              <w:rPr>
                <w:rFonts w:ascii="Arial" w:hAnsi="Arial" w:cs="Arial"/>
              </w:rPr>
            </w:pPr>
            <w:r w:rsidRPr="00405845">
              <w:rPr>
                <w:rFonts w:ascii="Arial" w:hAnsi="Arial" w:cs="Arial"/>
              </w:rPr>
              <w:t>Sector-specific conditions may still apply</w:t>
            </w:r>
          </w:p>
        </w:tc>
        <w:tc>
          <w:tcPr>
            <w:tcW w:w="0" w:type="auto"/>
            <w:hideMark/>
          </w:tcPr>
          <w:p w14:paraId="1E795BCB" w14:textId="77777777" w:rsidR="00405845" w:rsidRPr="00405845" w:rsidRDefault="00405845" w:rsidP="00405845">
            <w:pPr>
              <w:spacing w:line="360" w:lineRule="auto"/>
              <w:jc w:val="center"/>
              <w:rPr>
                <w:rFonts w:ascii="Arial" w:hAnsi="Arial" w:cs="Arial"/>
              </w:rPr>
            </w:pPr>
            <w:r w:rsidRPr="00405845">
              <w:rPr>
                <w:rFonts w:ascii="Arial" w:hAnsi="Arial" w:cs="Arial"/>
              </w:rPr>
              <w:t>Confirm the regulatory treatment of cafés, retailing and imported products before selecting an ownership structure</w:t>
            </w:r>
          </w:p>
        </w:tc>
      </w:tr>
      <w:tr w:rsidR="00405845" w:rsidRPr="00405845" w14:paraId="61EA54DA" w14:textId="77777777" w:rsidTr="00405845">
        <w:tc>
          <w:tcPr>
            <w:tcW w:w="0" w:type="auto"/>
            <w:hideMark/>
          </w:tcPr>
          <w:p w14:paraId="4F7CDC94" w14:textId="77777777" w:rsidR="00405845" w:rsidRPr="00405845" w:rsidRDefault="00405845" w:rsidP="00405845">
            <w:pPr>
              <w:spacing w:line="360" w:lineRule="auto"/>
              <w:jc w:val="center"/>
              <w:rPr>
                <w:rFonts w:ascii="Arial" w:hAnsi="Arial" w:cs="Arial"/>
              </w:rPr>
            </w:pPr>
            <w:r w:rsidRPr="00405845">
              <w:rPr>
                <w:rFonts w:ascii="Arial" w:hAnsi="Arial" w:cs="Arial"/>
              </w:rPr>
              <w:t>Government support for inward investment</w:t>
            </w:r>
          </w:p>
        </w:tc>
        <w:tc>
          <w:tcPr>
            <w:tcW w:w="0" w:type="auto"/>
            <w:hideMark/>
          </w:tcPr>
          <w:p w14:paraId="0426FF26" w14:textId="77777777" w:rsidR="00405845" w:rsidRPr="00405845" w:rsidRDefault="00405845" w:rsidP="00405845">
            <w:pPr>
              <w:spacing w:line="360" w:lineRule="auto"/>
              <w:jc w:val="center"/>
              <w:rPr>
                <w:rFonts w:ascii="Arial" w:hAnsi="Arial" w:cs="Arial"/>
              </w:rPr>
            </w:pPr>
            <w:r w:rsidRPr="00405845">
              <w:rPr>
                <w:rFonts w:ascii="Arial" w:hAnsi="Arial" w:cs="Arial"/>
              </w:rPr>
              <w:t>Signals policy commitment to international business</w:t>
            </w:r>
          </w:p>
        </w:tc>
        <w:tc>
          <w:tcPr>
            <w:tcW w:w="0" w:type="auto"/>
            <w:hideMark/>
          </w:tcPr>
          <w:p w14:paraId="6716FF10" w14:textId="77777777" w:rsidR="00405845" w:rsidRPr="00405845" w:rsidRDefault="00405845" w:rsidP="00405845">
            <w:pPr>
              <w:spacing w:line="360" w:lineRule="auto"/>
              <w:jc w:val="center"/>
              <w:rPr>
                <w:rFonts w:ascii="Arial" w:hAnsi="Arial" w:cs="Arial"/>
              </w:rPr>
            </w:pPr>
            <w:r w:rsidRPr="00405845">
              <w:rPr>
                <w:rFonts w:ascii="Arial" w:hAnsi="Arial" w:cs="Arial"/>
              </w:rPr>
              <w:t>Policy implementation may differ between jurisdictions</w:t>
            </w:r>
          </w:p>
        </w:tc>
        <w:tc>
          <w:tcPr>
            <w:tcW w:w="0" w:type="auto"/>
            <w:hideMark/>
          </w:tcPr>
          <w:p w14:paraId="7843F3BB" w14:textId="77777777" w:rsidR="00405845" w:rsidRPr="00405845" w:rsidRDefault="00405845" w:rsidP="00405845">
            <w:pPr>
              <w:spacing w:line="360" w:lineRule="auto"/>
              <w:jc w:val="center"/>
              <w:rPr>
                <w:rFonts w:ascii="Arial" w:hAnsi="Arial" w:cs="Arial"/>
              </w:rPr>
            </w:pPr>
            <w:r w:rsidRPr="00405845">
              <w:rPr>
                <w:rFonts w:ascii="Arial" w:hAnsi="Arial" w:cs="Arial"/>
              </w:rPr>
              <w:t>Prioritise investment-friendly metropolitan states and undertake location-specific due diligence</w:t>
            </w:r>
          </w:p>
        </w:tc>
      </w:tr>
      <w:tr w:rsidR="00405845" w:rsidRPr="00405845" w14:paraId="6FA88049" w14:textId="77777777" w:rsidTr="00405845">
        <w:tc>
          <w:tcPr>
            <w:tcW w:w="0" w:type="auto"/>
            <w:hideMark/>
          </w:tcPr>
          <w:p w14:paraId="75C61C37" w14:textId="77777777" w:rsidR="00405845" w:rsidRPr="00405845" w:rsidRDefault="00405845" w:rsidP="00405845">
            <w:pPr>
              <w:spacing w:line="360" w:lineRule="auto"/>
              <w:jc w:val="center"/>
              <w:rPr>
                <w:rFonts w:ascii="Arial" w:hAnsi="Arial" w:cs="Arial"/>
              </w:rPr>
            </w:pPr>
            <w:r w:rsidRPr="00405845">
              <w:rPr>
                <w:rFonts w:ascii="Arial" w:hAnsi="Arial" w:cs="Arial"/>
              </w:rPr>
              <w:t>Multi-level governance</w:t>
            </w:r>
          </w:p>
        </w:tc>
        <w:tc>
          <w:tcPr>
            <w:tcW w:w="0" w:type="auto"/>
            <w:hideMark/>
          </w:tcPr>
          <w:p w14:paraId="4C354ED5" w14:textId="1589EF7A" w:rsidR="00405845" w:rsidRPr="00405845" w:rsidRDefault="00405845" w:rsidP="00405845">
            <w:pPr>
              <w:spacing w:line="360" w:lineRule="auto"/>
              <w:jc w:val="center"/>
              <w:rPr>
                <w:rFonts w:ascii="Arial" w:hAnsi="Arial" w:cs="Arial"/>
              </w:rPr>
            </w:pPr>
            <w:r w:rsidRPr="00405845">
              <w:rPr>
                <w:rFonts w:ascii="Arial" w:hAnsi="Arial" w:cs="Arial"/>
              </w:rPr>
              <w:t>Allows local authorities to support urban hospitality investment</w:t>
            </w:r>
          </w:p>
        </w:tc>
        <w:tc>
          <w:tcPr>
            <w:tcW w:w="0" w:type="auto"/>
            <w:hideMark/>
          </w:tcPr>
          <w:p w14:paraId="341E2E1A" w14:textId="77777777" w:rsidR="00405845" w:rsidRPr="00405845" w:rsidRDefault="00405845" w:rsidP="00405845">
            <w:pPr>
              <w:spacing w:line="360" w:lineRule="auto"/>
              <w:jc w:val="center"/>
              <w:rPr>
                <w:rFonts w:ascii="Arial" w:hAnsi="Arial" w:cs="Arial"/>
              </w:rPr>
            </w:pPr>
            <w:r w:rsidRPr="00405845">
              <w:rPr>
                <w:rFonts w:ascii="Arial" w:hAnsi="Arial" w:cs="Arial"/>
              </w:rPr>
              <w:t>Creates overlapping permissions and administrative variation</w:t>
            </w:r>
          </w:p>
        </w:tc>
        <w:tc>
          <w:tcPr>
            <w:tcW w:w="0" w:type="auto"/>
            <w:hideMark/>
          </w:tcPr>
          <w:p w14:paraId="04DB646E" w14:textId="77777777" w:rsidR="00405845" w:rsidRPr="00405845" w:rsidRDefault="00405845" w:rsidP="00405845">
            <w:pPr>
              <w:spacing w:line="360" w:lineRule="auto"/>
              <w:jc w:val="center"/>
              <w:rPr>
                <w:rFonts w:ascii="Arial" w:hAnsi="Arial" w:cs="Arial"/>
              </w:rPr>
            </w:pPr>
            <w:r w:rsidRPr="00405845">
              <w:rPr>
                <w:rFonts w:ascii="Arial" w:hAnsi="Arial" w:cs="Arial"/>
              </w:rPr>
              <w:t>Use local regulatory expertise and phased city-level entry</w:t>
            </w:r>
          </w:p>
        </w:tc>
      </w:tr>
      <w:tr w:rsidR="00405845" w:rsidRPr="00405845" w14:paraId="623CE99F" w14:textId="77777777" w:rsidTr="00405845">
        <w:tc>
          <w:tcPr>
            <w:tcW w:w="0" w:type="auto"/>
            <w:hideMark/>
          </w:tcPr>
          <w:p w14:paraId="2E4E76CB" w14:textId="77777777" w:rsidR="00405845" w:rsidRPr="00405845" w:rsidRDefault="00405845" w:rsidP="00405845">
            <w:pPr>
              <w:spacing w:line="360" w:lineRule="auto"/>
              <w:jc w:val="center"/>
              <w:rPr>
                <w:rFonts w:ascii="Arial" w:hAnsi="Arial" w:cs="Arial"/>
              </w:rPr>
            </w:pPr>
            <w:r w:rsidRPr="00405845">
              <w:rPr>
                <w:rFonts w:ascii="Arial" w:hAnsi="Arial" w:cs="Arial"/>
              </w:rPr>
              <w:t>Strengthening UK–India commercial relations</w:t>
            </w:r>
          </w:p>
        </w:tc>
        <w:tc>
          <w:tcPr>
            <w:tcW w:w="0" w:type="auto"/>
            <w:hideMark/>
          </w:tcPr>
          <w:p w14:paraId="13301068" w14:textId="77777777" w:rsidR="00405845" w:rsidRPr="00405845" w:rsidRDefault="00405845" w:rsidP="00405845">
            <w:pPr>
              <w:spacing w:line="360" w:lineRule="auto"/>
              <w:jc w:val="center"/>
              <w:rPr>
                <w:rFonts w:ascii="Arial" w:hAnsi="Arial" w:cs="Arial"/>
              </w:rPr>
            </w:pPr>
            <w:r w:rsidRPr="00405845">
              <w:rPr>
                <w:rFonts w:ascii="Arial" w:hAnsi="Arial" w:cs="Arial"/>
              </w:rPr>
              <w:t>May improve long-term investment predictability</w:t>
            </w:r>
          </w:p>
        </w:tc>
        <w:tc>
          <w:tcPr>
            <w:tcW w:w="0" w:type="auto"/>
            <w:hideMark/>
          </w:tcPr>
          <w:p w14:paraId="35F22446" w14:textId="77777777" w:rsidR="00405845" w:rsidRPr="00405845" w:rsidRDefault="00405845" w:rsidP="00405845">
            <w:pPr>
              <w:spacing w:line="360" w:lineRule="auto"/>
              <w:jc w:val="center"/>
              <w:rPr>
                <w:rFonts w:ascii="Arial" w:hAnsi="Arial" w:cs="Arial"/>
              </w:rPr>
            </w:pPr>
            <w:r w:rsidRPr="00405845">
              <w:rPr>
                <w:rFonts w:ascii="Arial" w:hAnsi="Arial" w:cs="Arial"/>
              </w:rPr>
              <w:t>Benefits were not fully operational by the assignment cut-off</w:t>
            </w:r>
          </w:p>
        </w:tc>
        <w:tc>
          <w:tcPr>
            <w:tcW w:w="0" w:type="auto"/>
            <w:hideMark/>
          </w:tcPr>
          <w:p w14:paraId="256657A4" w14:textId="77777777" w:rsidR="00405845" w:rsidRPr="00405845" w:rsidRDefault="00405845" w:rsidP="00405845">
            <w:pPr>
              <w:spacing w:line="360" w:lineRule="auto"/>
              <w:jc w:val="center"/>
              <w:rPr>
                <w:rFonts w:ascii="Arial" w:hAnsi="Arial" w:cs="Arial"/>
              </w:rPr>
            </w:pPr>
            <w:r w:rsidRPr="00405845">
              <w:rPr>
                <w:rFonts w:ascii="Arial" w:hAnsi="Arial" w:cs="Arial"/>
              </w:rPr>
              <w:t>Treat bilateral policy developments as future support rather than the main justification for entry</w:t>
            </w:r>
          </w:p>
        </w:tc>
      </w:tr>
    </w:tbl>
    <w:p w14:paraId="66CF61AE" w14:textId="0D39704E" w:rsidR="00405845" w:rsidRPr="00405845" w:rsidRDefault="00405845" w:rsidP="00405845">
      <w:pPr>
        <w:spacing w:after="0" w:line="360" w:lineRule="auto"/>
        <w:rPr>
          <w:rFonts w:ascii="Arial" w:hAnsi="Arial" w:cs="Arial"/>
          <w:i/>
          <w:iCs/>
          <w:color w:val="808080" w:themeColor="background1" w:themeShade="80"/>
          <w:sz w:val="22"/>
          <w:szCs w:val="22"/>
        </w:rPr>
      </w:pPr>
      <w:r w:rsidRPr="00405845">
        <w:rPr>
          <w:rFonts w:ascii="Arial" w:hAnsi="Arial" w:cs="Arial"/>
          <w:i/>
          <w:iCs/>
          <w:color w:val="808080" w:themeColor="background1" w:themeShade="80"/>
          <w:sz w:val="22"/>
          <w:szCs w:val="22"/>
        </w:rPr>
        <w:t>Source: Author’s analysis based on DPIIT, Government of India and international business literature.</w:t>
      </w:r>
    </w:p>
    <w:p w14:paraId="545620DB" w14:textId="77777777" w:rsidR="00452FD1" w:rsidRDefault="00452FD1" w:rsidP="000E62DF">
      <w:pPr>
        <w:spacing w:after="0" w:line="360" w:lineRule="auto"/>
        <w:rPr>
          <w:rFonts w:ascii="Arial" w:hAnsi="Arial" w:cs="Arial"/>
        </w:rPr>
      </w:pPr>
    </w:p>
    <w:p w14:paraId="7128E4A5" w14:textId="77777777" w:rsidR="00452FD1" w:rsidRDefault="00452FD1" w:rsidP="000E62DF">
      <w:pPr>
        <w:spacing w:after="0" w:line="360" w:lineRule="auto"/>
        <w:rPr>
          <w:rFonts w:ascii="Arial" w:hAnsi="Arial" w:cs="Arial"/>
        </w:rPr>
      </w:pPr>
    </w:p>
    <w:p w14:paraId="33D275A5" w14:textId="77777777" w:rsidR="00452FD1" w:rsidRDefault="00452FD1" w:rsidP="000E62DF">
      <w:pPr>
        <w:spacing w:after="0" w:line="360" w:lineRule="auto"/>
        <w:rPr>
          <w:rFonts w:ascii="Arial" w:hAnsi="Arial" w:cs="Arial"/>
        </w:rPr>
      </w:pPr>
    </w:p>
    <w:p w14:paraId="655C442F" w14:textId="77777777" w:rsidR="00452FD1" w:rsidRDefault="00452FD1" w:rsidP="000E62DF">
      <w:pPr>
        <w:spacing w:after="0" w:line="360" w:lineRule="auto"/>
        <w:rPr>
          <w:rFonts w:ascii="Arial" w:hAnsi="Arial" w:cs="Arial"/>
        </w:rPr>
      </w:pPr>
    </w:p>
    <w:p w14:paraId="55B8F13D" w14:textId="77777777" w:rsidR="00452FD1" w:rsidRDefault="00452FD1" w:rsidP="000E62DF">
      <w:pPr>
        <w:spacing w:after="0" w:line="360" w:lineRule="auto"/>
        <w:rPr>
          <w:rFonts w:ascii="Arial" w:hAnsi="Arial" w:cs="Arial"/>
        </w:rPr>
      </w:pPr>
    </w:p>
    <w:p w14:paraId="5DB7E6F9" w14:textId="77777777" w:rsidR="00452FD1" w:rsidRDefault="00452FD1" w:rsidP="000E62DF">
      <w:pPr>
        <w:spacing w:after="0" w:line="360" w:lineRule="auto"/>
        <w:rPr>
          <w:rFonts w:ascii="Arial" w:hAnsi="Arial" w:cs="Arial"/>
        </w:rPr>
      </w:pPr>
    </w:p>
    <w:p w14:paraId="625A71CE" w14:textId="77777777" w:rsidR="00452FD1" w:rsidRDefault="00452FD1" w:rsidP="000E62DF">
      <w:pPr>
        <w:spacing w:after="0" w:line="360" w:lineRule="auto"/>
        <w:rPr>
          <w:rFonts w:ascii="Arial" w:hAnsi="Arial" w:cs="Arial"/>
        </w:rPr>
      </w:pPr>
    </w:p>
    <w:p w14:paraId="78145E3C" w14:textId="77777777" w:rsidR="00452FD1" w:rsidRDefault="00452FD1" w:rsidP="000E62DF">
      <w:pPr>
        <w:spacing w:after="0" w:line="360" w:lineRule="auto"/>
        <w:rPr>
          <w:rFonts w:ascii="Arial" w:hAnsi="Arial" w:cs="Arial"/>
        </w:rPr>
      </w:pPr>
    </w:p>
    <w:p w14:paraId="28C02A25" w14:textId="77777777" w:rsidR="00452FD1" w:rsidRDefault="00452FD1" w:rsidP="000E62DF">
      <w:pPr>
        <w:spacing w:after="0" w:line="360" w:lineRule="auto"/>
        <w:rPr>
          <w:rFonts w:ascii="Arial" w:hAnsi="Arial" w:cs="Arial"/>
        </w:rPr>
      </w:pPr>
    </w:p>
    <w:p w14:paraId="345B03B2" w14:textId="566B3975" w:rsidR="000E62DF" w:rsidRPr="000E62DF" w:rsidRDefault="00452FD1" w:rsidP="000E62DF">
      <w:pPr>
        <w:spacing w:after="0" w:line="360" w:lineRule="auto"/>
        <w:rPr>
          <w:rFonts w:ascii="Arial" w:hAnsi="Arial" w:cs="Arial"/>
        </w:rPr>
      </w:pPr>
      <w:r>
        <w:rPr>
          <w:rFonts w:ascii="Arial" w:hAnsi="Arial" w:cs="Arial"/>
          <w:noProof/>
        </w:rPr>
        <w:drawing>
          <wp:anchor distT="0" distB="0" distL="114300" distR="114300" simplePos="0" relativeHeight="251659264" behindDoc="0" locked="0" layoutInCell="1" allowOverlap="1" wp14:anchorId="11CD1F9F" wp14:editId="6A881432">
            <wp:simplePos x="0" y="0"/>
            <wp:positionH relativeFrom="page">
              <wp:posOffset>313690</wp:posOffset>
            </wp:positionH>
            <wp:positionV relativeFrom="paragraph">
              <wp:posOffset>0</wp:posOffset>
            </wp:positionV>
            <wp:extent cx="4003675" cy="4381500"/>
            <wp:effectExtent l="0" t="0" r="0" b="0"/>
            <wp:wrapSquare wrapText="bothSides"/>
            <wp:docPr id="158825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03675" cy="4381500"/>
                    </a:xfrm>
                    <a:prstGeom prst="rect">
                      <a:avLst/>
                    </a:prstGeom>
                    <a:noFill/>
                  </pic:spPr>
                </pic:pic>
              </a:graphicData>
            </a:graphic>
            <wp14:sizeRelH relativeFrom="page">
              <wp14:pctWidth>0</wp14:pctWidth>
            </wp14:sizeRelH>
            <wp14:sizeRelV relativeFrom="page">
              <wp14:pctHeight>0</wp14:pctHeight>
            </wp14:sizeRelV>
          </wp:anchor>
        </w:drawing>
      </w:r>
      <w:r w:rsidR="000E62DF" w:rsidRPr="000E62DF">
        <w:rPr>
          <w:rFonts w:ascii="Arial" w:hAnsi="Arial" w:cs="Arial"/>
        </w:rPr>
        <w:t xml:space="preserve">Despite investment liberalisation, India's federal governance structure creates implementation challenges. Food-service operators must comply with licensing requirements administered by the Food Safety and Standards Authority of India (FSSAI) through the </w:t>
      </w:r>
      <w:proofErr w:type="spellStart"/>
      <w:r w:rsidR="000E62DF" w:rsidRPr="000E62DF">
        <w:rPr>
          <w:rFonts w:ascii="Arial" w:hAnsi="Arial" w:cs="Arial"/>
        </w:rPr>
        <w:t>FoSCoS</w:t>
      </w:r>
      <w:proofErr w:type="spellEnd"/>
      <w:r w:rsidR="000E62DF" w:rsidRPr="000E62DF">
        <w:rPr>
          <w:rFonts w:ascii="Arial" w:hAnsi="Arial" w:cs="Arial"/>
        </w:rPr>
        <w:t xml:space="preserve"> system, while additional approvals may vary across state and municipal authorities. Consequently, regulatory complexity is determined not only by national policy but also by local administrative practices, reinforcing the need to evaluate India as a collection of distinct regional markets rather than a homogeneous business environment.</w:t>
      </w:r>
    </w:p>
    <w:p w14:paraId="22A9A23A" w14:textId="3D9AC824" w:rsidR="000E62DF" w:rsidRPr="000E62DF" w:rsidRDefault="000E62DF" w:rsidP="000E62DF">
      <w:pPr>
        <w:spacing w:after="0" w:line="360" w:lineRule="auto"/>
        <w:rPr>
          <w:rFonts w:ascii="Arial" w:hAnsi="Arial" w:cs="Arial"/>
        </w:rPr>
      </w:pPr>
      <w:r w:rsidRPr="000E62DF">
        <w:rPr>
          <w:rFonts w:ascii="Arial" w:hAnsi="Arial" w:cs="Arial"/>
        </w:rPr>
        <w:t xml:space="preserve">Institutional differences also influence entry mode decisions. Meyer </w:t>
      </w:r>
      <w:r w:rsidRPr="000E62DF">
        <w:rPr>
          <w:rFonts w:ascii="Arial" w:hAnsi="Arial" w:cs="Arial"/>
          <w:i/>
          <w:iCs/>
        </w:rPr>
        <w:t>et al.</w:t>
      </w:r>
      <w:r w:rsidRPr="000E62DF">
        <w:rPr>
          <w:rFonts w:ascii="Arial" w:hAnsi="Arial" w:cs="Arial"/>
        </w:rPr>
        <w:t xml:space="preserve"> (2009) demonstrate that variations in institutional quality shape multinational preferences for greenfield investment, acquisitions or joint ventures, while Xu and </w:t>
      </w:r>
      <w:proofErr w:type="spellStart"/>
      <w:r w:rsidRPr="000E62DF">
        <w:rPr>
          <w:rFonts w:ascii="Arial" w:hAnsi="Arial" w:cs="Arial"/>
        </w:rPr>
        <w:t>Shenkar</w:t>
      </w:r>
      <w:proofErr w:type="spellEnd"/>
      <w:r w:rsidRPr="000E62DF">
        <w:rPr>
          <w:rFonts w:ascii="Arial" w:hAnsi="Arial" w:cs="Arial"/>
        </w:rPr>
        <w:t xml:space="preserve"> (2002) argue that greater institutional distance increases uncertainty and transaction costs for foreign firms. For Caffè Nero, limited familiarity with India's multi-level regulatory environment increases the risks associated with immediate wholly owned expansion. Collaborating with an experienced local partner could facilitate regulatory compliance, property acquisition and stakeholder engagement, although this would require balancing local knowledge against reduced strategic control.</w:t>
      </w:r>
    </w:p>
    <w:p w14:paraId="60C14763" w14:textId="77777777" w:rsidR="000E62DF" w:rsidRDefault="000E62DF" w:rsidP="000E62DF">
      <w:pPr>
        <w:spacing w:after="0" w:line="360" w:lineRule="auto"/>
        <w:rPr>
          <w:rFonts w:ascii="Arial" w:hAnsi="Arial" w:cs="Arial"/>
        </w:rPr>
      </w:pPr>
      <w:r w:rsidRPr="000E62DF">
        <w:rPr>
          <w:rFonts w:ascii="Arial" w:hAnsi="Arial" w:cs="Arial"/>
        </w:rPr>
        <w:t>Overall, India's political environment is conditionally attractive. Liberal FDI policies and sustained government support enhance market accessibility, whereas fragmented regulatory implementation increases compliance costs and operational uncertainty. Accordingly, Caffè Nero should adopt a phased metropolitan expansion strategy, initially targeting investment-friendly cities such as Bengaluru, Mumbai or Delhi NCR, where stronger institutional support and established commercial ecosystems are likely to reduce implementation risk while providing a platform for future national expansion.</w:t>
      </w:r>
    </w:p>
    <w:p w14:paraId="579E3B13" w14:textId="77777777" w:rsidR="00EC33B0" w:rsidRPr="000E62DF" w:rsidRDefault="00EC33B0" w:rsidP="000E62DF">
      <w:pPr>
        <w:spacing w:after="0" w:line="360" w:lineRule="auto"/>
        <w:rPr>
          <w:rFonts w:ascii="Arial" w:hAnsi="Arial" w:cs="Arial"/>
        </w:rPr>
      </w:pPr>
    </w:p>
    <w:p w14:paraId="70B3D438" w14:textId="77777777" w:rsidR="002330BA" w:rsidRPr="002330BA" w:rsidRDefault="002330BA" w:rsidP="002330BA">
      <w:pPr>
        <w:pStyle w:val="Heading2"/>
        <w:rPr>
          <w:rFonts w:ascii="Arial" w:hAnsi="Arial" w:cs="Arial"/>
          <w:sz w:val="24"/>
          <w:szCs w:val="24"/>
        </w:rPr>
      </w:pPr>
      <w:bookmarkStart w:id="10" w:name="_Toc236996671"/>
      <w:bookmarkStart w:id="11" w:name="_Toc236998170"/>
      <w:r w:rsidRPr="002330BA">
        <w:rPr>
          <w:rFonts w:ascii="Arial" w:hAnsi="Arial" w:cs="Arial"/>
          <w:sz w:val="24"/>
          <w:szCs w:val="24"/>
        </w:rPr>
        <w:lastRenderedPageBreak/>
        <w:t>2.3 Economic Environment</w:t>
      </w:r>
      <w:bookmarkEnd w:id="10"/>
      <w:bookmarkEnd w:id="11"/>
    </w:p>
    <w:p w14:paraId="475B1412" w14:textId="77777777" w:rsidR="00A40C4D" w:rsidRPr="00A40C4D" w:rsidRDefault="00A40C4D" w:rsidP="00A40C4D">
      <w:pPr>
        <w:spacing w:after="0" w:line="360" w:lineRule="auto"/>
        <w:rPr>
          <w:rFonts w:ascii="Arial" w:hAnsi="Arial" w:cs="Arial"/>
        </w:rPr>
      </w:pPr>
      <w:r w:rsidRPr="00A40C4D">
        <w:rPr>
          <w:rFonts w:ascii="Arial" w:hAnsi="Arial" w:cs="Arial"/>
        </w:rPr>
        <w:t>India's economic environment offers significant long-term growth potential for Caffè Nero; however, market attractiveness depends more on the purchasing power and lifestyle preferences of urban consumers than on aggregate economic growth alone. Although India remains one of the world's fastest-growing major economies, demand for premium coffee is concentrated within metropolitan areas where disposable incomes, urbanisation and premium consumption patterns are strongest. Consequently, market entry should be evaluated through the commercial viability of Tier-1 cities rather than national economic indicators.</w:t>
      </w:r>
    </w:p>
    <w:p w14:paraId="0C1DE2E4" w14:textId="77777777" w:rsidR="00A40C4D" w:rsidRPr="00A40C4D" w:rsidRDefault="00A40C4D" w:rsidP="00A40C4D">
      <w:pPr>
        <w:spacing w:after="0" w:line="360" w:lineRule="auto"/>
        <w:rPr>
          <w:rFonts w:ascii="Arial" w:hAnsi="Arial" w:cs="Arial"/>
        </w:rPr>
      </w:pPr>
      <w:r w:rsidRPr="00A40C4D">
        <w:rPr>
          <w:rFonts w:ascii="Arial" w:hAnsi="Arial" w:cs="Arial"/>
        </w:rPr>
        <w:t>Sustained economic growth has expanded India's affluent and middle-income consumer segments, increasing expenditure on discretionary products such as premium food and beverage experiences. Euromonitor (2026) forecasts that India will have approximately 100 million affluent consumers (earning above US$10,000 annually) by 2029, creating a substantial customer base for premium café brands. For Caffè Nero, these trends support a market-seeking strategy targeting professionals, university students and younger consumers who increasingly associate cafés with work, leisure and social interaction.</w:t>
      </w:r>
    </w:p>
    <w:p w14:paraId="6FF31140" w14:textId="77777777" w:rsidR="002330BA" w:rsidRPr="002330BA" w:rsidRDefault="002330BA" w:rsidP="002330BA">
      <w:pPr>
        <w:spacing w:after="0" w:line="360" w:lineRule="auto"/>
        <w:jc w:val="center"/>
        <w:rPr>
          <w:rFonts w:ascii="Arial" w:hAnsi="Arial" w:cs="Arial"/>
          <w:b/>
          <w:bCs/>
        </w:rPr>
      </w:pPr>
      <w:r w:rsidRPr="002330BA">
        <w:rPr>
          <w:rFonts w:ascii="Arial" w:hAnsi="Arial" w:cs="Arial"/>
          <w:b/>
          <w:bCs/>
        </w:rPr>
        <w:t>Table 3. Economic Factors Influencing Caffè Nero's Proposed Entry into India</w:t>
      </w:r>
    </w:p>
    <w:tbl>
      <w:tblPr>
        <w:tblStyle w:val="TableGrid"/>
        <w:tblW w:w="0" w:type="auto"/>
        <w:jc w:val="center"/>
        <w:tblLook w:val="04A0" w:firstRow="1" w:lastRow="0" w:firstColumn="1" w:lastColumn="0" w:noHBand="0" w:noVBand="1"/>
      </w:tblPr>
      <w:tblGrid>
        <w:gridCol w:w="1917"/>
        <w:gridCol w:w="2609"/>
        <w:gridCol w:w="3123"/>
        <w:gridCol w:w="2807"/>
      </w:tblGrid>
      <w:tr w:rsidR="002330BA" w:rsidRPr="002330BA" w14:paraId="7E8D6712" w14:textId="77777777" w:rsidTr="002330BA">
        <w:trPr>
          <w:jc w:val="center"/>
        </w:trPr>
        <w:tc>
          <w:tcPr>
            <w:tcW w:w="0" w:type="auto"/>
            <w:hideMark/>
          </w:tcPr>
          <w:p w14:paraId="5AE9A8BA" w14:textId="77777777" w:rsidR="002330BA" w:rsidRPr="002330BA" w:rsidRDefault="002330BA" w:rsidP="002330BA">
            <w:pPr>
              <w:spacing w:line="360" w:lineRule="auto"/>
              <w:rPr>
                <w:rFonts w:ascii="Arial" w:hAnsi="Arial" w:cs="Arial"/>
                <w:b/>
                <w:bCs/>
              </w:rPr>
            </w:pPr>
            <w:r w:rsidRPr="002330BA">
              <w:rPr>
                <w:rFonts w:ascii="Arial" w:hAnsi="Arial" w:cs="Arial"/>
                <w:b/>
                <w:bCs/>
              </w:rPr>
              <w:t>Economic Factor</w:t>
            </w:r>
          </w:p>
        </w:tc>
        <w:tc>
          <w:tcPr>
            <w:tcW w:w="0" w:type="auto"/>
            <w:hideMark/>
          </w:tcPr>
          <w:p w14:paraId="50FAD7BD" w14:textId="77777777" w:rsidR="002330BA" w:rsidRPr="002330BA" w:rsidRDefault="002330BA" w:rsidP="002330BA">
            <w:pPr>
              <w:spacing w:line="360" w:lineRule="auto"/>
              <w:rPr>
                <w:rFonts w:ascii="Arial" w:hAnsi="Arial" w:cs="Arial"/>
                <w:b/>
                <w:bCs/>
              </w:rPr>
            </w:pPr>
            <w:r w:rsidRPr="002330BA">
              <w:rPr>
                <w:rFonts w:ascii="Arial" w:hAnsi="Arial" w:cs="Arial"/>
                <w:b/>
                <w:bCs/>
              </w:rPr>
              <w:t>Opportunity</w:t>
            </w:r>
          </w:p>
        </w:tc>
        <w:tc>
          <w:tcPr>
            <w:tcW w:w="0" w:type="auto"/>
            <w:hideMark/>
          </w:tcPr>
          <w:p w14:paraId="42334447" w14:textId="77777777" w:rsidR="002330BA" w:rsidRPr="002330BA" w:rsidRDefault="002330BA" w:rsidP="002330BA">
            <w:pPr>
              <w:spacing w:line="360" w:lineRule="auto"/>
              <w:rPr>
                <w:rFonts w:ascii="Arial" w:hAnsi="Arial" w:cs="Arial"/>
                <w:b/>
                <w:bCs/>
              </w:rPr>
            </w:pPr>
            <w:r w:rsidRPr="002330BA">
              <w:rPr>
                <w:rFonts w:ascii="Arial" w:hAnsi="Arial" w:cs="Arial"/>
                <w:b/>
                <w:bCs/>
              </w:rPr>
              <w:t>Challenge</w:t>
            </w:r>
          </w:p>
        </w:tc>
        <w:tc>
          <w:tcPr>
            <w:tcW w:w="0" w:type="auto"/>
            <w:hideMark/>
          </w:tcPr>
          <w:p w14:paraId="43CF30BC" w14:textId="77777777" w:rsidR="002330BA" w:rsidRPr="002330BA" w:rsidRDefault="002330BA" w:rsidP="002330BA">
            <w:pPr>
              <w:spacing w:line="360" w:lineRule="auto"/>
              <w:rPr>
                <w:rFonts w:ascii="Arial" w:hAnsi="Arial" w:cs="Arial"/>
                <w:b/>
                <w:bCs/>
              </w:rPr>
            </w:pPr>
            <w:r w:rsidRPr="002330BA">
              <w:rPr>
                <w:rFonts w:ascii="Arial" w:hAnsi="Arial" w:cs="Arial"/>
                <w:b/>
                <w:bCs/>
              </w:rPr>
              <w:t>Strategic Implication</w:t>
            </w:r>
          </w:p>
        </w:tc>
      </w:tr>
      <w:tr w:rsidR="002330BA" w:rsidRPr="002330BA" w14:paraId="42DFCF6A" w14:textId="77777777" w:rsidTr="002330BA">
        <w:trPr>
          <w:jc w:val="center"/>
        </w:trPr>
        <w:tc>
          <w:tcPr>
            <w:tcW w:w="0" w:type="auto"/>
            <w:hideMark/>
          </w:tcPr>
          <w:p w14:paraId="11B82862" w14:textId="77777777" w:rsidR="002330BA" w:rsidRPr="002330BA" w:rsidRDefault="002330BA" w:rsidP="002330BA">
            <w:pPr>
              <w:spacing w:line="360" w:lineRule="auto"/>
              <w:rPr>
                <w:rFonts w:ascii="Arial" w:hAnsi="Arial" w:cs="Arial"/>
              </w:rPr>
            </w:pPr>
            <w:r w:rsidRPr="002330BA">
              <w:rPr>
                <w:rFonts w:ascii="Arial" w:hAnsi="Arial" w:cs="Arial"/>
              </w:rPr>
              <w:t>Rising disposable income</w:t>
            </w:r>
          </w:p>
        </w:tc>
        <w:tc>
          <w:tcPr>
            <w:tcW w:w="0" w:type="auto"/>
            <w:hideMark/>
          </w:tcPr>
          <w:p w14:paraId="60F20167" w14:textId="77777777" w:rsidR="002330BA" w:rsidRPr="002330BA" w:rsidRDefault="002330BA" w:rsidP="002330BA">
            <w:pPr>
              <w:spacing w:line="360" w:lineRule="auto"/>
              <w:rPr>
                <w:rFonts w:ascii="Arial" w:hAnsi="Arial" w:cs="Arial"/>
              </w:rPr>
            </w:pPr>
            <w:r w:rsidRPr="002330BA">
              <w:rPr>
                <w:rFonts w:ascii="Arial" w:hAnsi="Arial" w:cs="Arial"/>
              </w:rPr>
              <w:t>Expanding premium consumer base</w:t>
            </w:r>
          </w:p>
        </w:tc>
        <w:tc>
          <w:tcPr>
            <w:tcW w:w="0" w:type="auto"/>
            <w:hideMark/>
          </w:tcPr>
          <w:p w14:paraId="3F2CC966" w14:textId="77777777" w:rsidR="002330BA" w:rsidRPr="002330BA" w:rsidRDefault="002330BA" w:rsidP="002330BA">
            <w:pPr>
              <w:spacing w:line="360" w:lineRule="auto"/>
              <w:rPr>
                <w:rFonts w:ascii="Arial" w:hAnsi="Arial" w:cs="Arial"/>
              </w:rPr>
            </w:pPr>
            <w:r w:rsidRPr="002330BA">
              <w:rPr>
                <w:rFonts w:ascii="Arial" w:hAnsi="Arial" w:cs="Arial"/>
              </w:rPr>
              <w:t>Income inequality</w:t>
            </w:r>
          </w:p>
        </w:tc>
        <w:tc>
          <w:tcPr>
            <w:tcW w:w="0" w:type="auto"/>
            <w:hideMark/>
          </w:tcPr>
          <w:p w14:paraId="343726FF" w14:textId="77777777" w:rsidR="002330BA" w:rsidRPr="002330BA" w:rsidRDefault="002330BA" w:rsidP="002330BA">
            <w:pPr>
              <w:spacing w:line="360" w:lineRule="auto"/>
              <w:rPr>
                <w:rFonts w:ascii="Arial" w:hAnsi="Arial" w:cs="Arial"/>
              </w:rPr>
            </w:pPr>
            <w:r w:rsidRPr="002330BA">
              <w:rPr>
                <w:rFonts w:ascii="Arial" w:hAnsi="Arial" w:cs="Arial"/>
              </w:rPr>
              <w:t>Focus on affluent metropolitan consumers</w:t>
            </w:r>
          </w:p>
        </w:tc>
      </w:tr>
      <w:tr w:rsidR="002330BA" w:rsidRPr="002330BA" w14:paraId="069FFBC2" w14:textId="77777777" w:rsidTr="002330BA">
        <w:trPr>
          <w:jc w:val="center"/>
        </w:trPr>
        <w:tc>
          <w:tcPr>
            <w:tcW w:w="0" w:type="auto"/>
            <w:hideMark/>
          </w:tcPr>
          <w:p w14:paraId="1F24F9FD" w14:textId="77777777" w:rsidR="002330BA" w:rsidRPr="002330BA" w:rsidRDefault="002330BA" w:rsidP="002330BA">
            <w:pPr>
              <w:spacing w:line="360" w:lineRule="auto"/>
              <w:rPr>
                <w:rFonts w:ascii="Arial" w:hAnsi="Arial" w:cs="Arial"/>
              </w:rPr>
            </w:pPr>
            <w:r w:rsidRPr="002330BA">
              <w:rPr>
                <w:rFonts w:ascii="Arial" w:hAnsi="Arial" w:cs="Arial"/>
              </w:rPr>
              <w:t>Growing middle class</w:t>
            </w:r>
          </w:p>
        </w:tc>
        <w:tc>
          <w:tcPr>
            <w:tcW w:w="0" w:type="auto"/>
            <w:hideMark/>
          </w:tcPr>
          <w:p w14:paraId="689728A3" w14:textId="77777777" w:rsidR="002330BA" w:rsidRPr="002330BA" w:rsidRDefault="002330BA" w:rsidP="002330BA">
            <w:pPr>
              <w:spacing w:line="360" w:lineRule="auto"/>
              <w:rPr>
                <w:rFonts w:ascii="Arial" w:hAnsi="Arial" w:cs="Arial"/>
              </w:rPr>
            </w:pPr>
            <w:r w:rsidRPr="002330BA">
              <w:rPr>
                <w:rFonts w:ascii="Arial" w:hAnsi="Arial" w:cs="Arial"/>
              </w:rPr>
              <w:t>Higher demand for premium café experiences</w:t>
            </w:r>
          </w:p>
        </w:tc>
        <w:tc>
          <w:tcPr>
            <w:tcW w:w="0" w:type="auto"/>
            <w:hideMark/>
          </w:tcPr>
          <w:p w14:paraId="09FEEB3B" w14:textId="77777777" w:rsidR="002330BA" w:rsidRPr="002330BA" w:rsidRDefault="002330BA" w:rsidP="002330BA">
            <w:pPr>
              <w:spacing w:line="360" w:lineRule="auto"/>
              <w:rPr>
                <w:rFonts w:ascii="Arial" w:hAnsi="Arial" w:cs="Arial"/>
              </w:rPr>
            </w:pPr>
            <w:r w:rsidRPr="002330BA">
              <w:rPr>
                <w:rFonts w:ascii="Arial" w:hAnsi="Arial" w:cs="Arial"/>
              </w:rPr>
              <w:t>Demand concentrated in major cities</w:t>
            </w:r>
          </w:p>
        </w:tc>
        <w:tc>
          <w:tcPr>
            <w:tcW w:w="0" w:type="auto"/>
            <w:hideMark/>
          </w:tcPr>
          <w:p w14:paraId="1392ED22" w14:textId="77777777" w:rsidR="002330BA" w:rsidRPr="002330BA" w:rsidRDefault="002330BA" w:rsidP="002330BA">
            <w:pPr>
              <w:spacing w:line="360" w:lineRule="auto"/>
              <w:rPr>
                <w:rFonts w:ascii="Arial" w:hAnsi="Arial" w:cs="Arial"/>
              </w:rPr>
            </w:pPr>
            <w:r w:rsidRPr="002330BA">
              <w:rPr>
                <w:rFonts w:ascii="Arial" w:hAnsi="Arial" w:cs="Arial"/>
              </w:rPr>
              <w:t>Adopt phased city-by-city expansion</w:t>
            </w:r>
          </w:p>
        </w:tc>
      </w:tr>
      <w:tr w:rsidR="002330BA" w:rsidRPr="002330BA" w14:paraId="51C276A4" w14:textId="77777777" w:rsidTr="002330BA">
        <w:trPr>
          <w:jc w:val="center"/>
        </w:trPr>
        <w:tc>
          <w:tcPr>
            <w:tcW w:w="0" w:type="auto"/>
            <w:hideMark/>
          </w:tcPr>
          <w:p w14:paraId="428A031D" w14:textId="77777777" w:rsidR="002330BA" w:rsidRPr="002330BA" w:rsidRDefault="002330BA" w:rsidP="002330BA">
            <w:pPr>
              <w:spacing w:line="360" w:lineRule="auto"/>
              <w:rPr>
                <w:rFonts w:ascii="Arial" w:hAnsi="Arial" w:cs="Arial"/>
              </w:rPr>
            </w:pPr>
            <w:r w:rsidRPr="002330BA">
              <w:rPr>
                <w:rFonts w:ascii="Arial" w:hAnsi="Arial" w:cs="Arial"/>
              </w:rPr>
              <w:t>Inflation</w:t>
            </w:r>
          </w:p>
        </w:tc>
        <w:tc>
          <w:tcPr>
            <w:tcW w:w="0" w:type="auto"/>
            <w:hideMark/>
          </w:tcPr>
          <w:p w14:paraId="43A64DDF" w14:textId="77777777" w:rsidR="002330BA" w:rsidRPr="002330BA" w:rsidRDefault="002330BA" w:rsidP="002330BA">
            <w:pPr>
              <w:spacing w:line="360" w:lineRule="auto"/>
              <w:rPr>
                <w:rFonts w:ascii="Arial" w:hAnsi="Arial" w:cs="Arial"/>
              </w:rPr>
            </w:pPr>
            <w:r w:rsidRPr="002330BA">
              <w:rPr>
                <w:rFonts w:ascii="Arial" w:hAnsi="Arial" w:cs="Arial"/>
              </w:rPr>
              <w:t>Higher nominal consumer spending</w:t>
            </w:r>
          </w:p>
        </w:tc>
        <w:tc>
          <w:tcPr>
            <w:tcW w:w="0" w:type="auto"/>
            <w:hideMark/>
          </w:tcPr>
          <w:p w14:paraId="5E0631C9" w14:textId="77777777" w:rsidR="002330BA" w:rsidRPr="002330BA" w:rsidRDefault="002330BA" w:rsidP="002330BA">
            <w:pPr>
              <w:spacing w:line="360" w:lineRule="auto"/>
              <w:rPr>
                <w:rFonts w:ascii="Arial" w:hAnsi="Arial" w:cs="Arial"/>
              </w:rPr>
            </w:pPr>
            <w:r w:rsidRPr="002330BA">
              <w:rPr>
                <w:rFonts w:ascii="Arial" w:hAnsi="Arial" w:cs="Arial"/>
              </w:rPr>
              <w:t>Reduced discretionary expenditure and higher operating costs</w:t>
            </w:r>
          </w:p>
        </w:tc>
        <w:tc>
          <w:tcPr>
            <w:tcW w:w="0" w:type="auto"/>
            <w:hideMark/>
          </w:tcPr>
          <w:p w14:paraId="2EB0DAB1" w14:textId="77777777" w:rsidR="002330BA" w:rsidRPr="002330BA" w:rsidRDefault="002330BA" w:rsidP="002330BA">
            <w:pPr>
              <w:spacing w:line="360" w:lineRule="auto"/>
              <w:rPr>
                <w:rFonts w:ascii="Arial" w:hAnsi="Arial" w:cs="Arial"/>
              </w:rPr>
            </w:pPr>
            <w:r w:rsidRPr="002330BA">
              <w:rPr>
                <w:rFonts w:ascii="Arial" w:hAnsi="Arial" w:cs="Arial"/>
              </w:rPr>
              <w:t>Implement value-based pricing and menu flexibility</w:t>
            </w:r>
          </w:p>
        </w:tc>
      </w:tr>
      <w:tr w:rsidR="002330BA" w:rsidRPr="002330BA" w14:paraId="1FADC5AC" w14:textId="77777777" w:rsidTr="002330BA">
        <w:trPr>
          <w:jc w:val="center"/>
        </w:trPr>
        <w:tc>
          <w:tcPr>
            <w:tcW w:w="0" w:type="auto"/>
            <w:hideMark/>
          </w:tcPr>
          <w:p w14:paraId="2C4E5037" w14:textId="77777777" w:rsidR="002330BA" w:rsidRPr="002330BA" w:rsidRDefault="002330BA" w:rsidP="002330BA">
            <w:pPr>
              <w:spacing w:line="360" w:lineRule="auto"/>
              <w:rPr>
                <w:rFonts w:ascii="Arial" w:hAnsi="Arial" w:cs="Arial"/>
              </w:rPr>
            </w:pPr>
            <w:r w:rsidRPr="002330BA">
              <w:rPr>
                <w:rFonts w:ascii="Arial" w:hAnsi="Arial" w:cs="Arial"/>
              </w:rPr>
              <w:t>Commercial rents</w:t>
            </w:r>
          </w:p>
        </w:tc>
        <w:tc>
          <w:tcPr>
            <w:tcW w:w="0" w:type="auto"/>
            <w:hideMark/>
          </w:tcPr>
          <w:p w14:paraId="53681144" w14:textId="77777777" w:rsidR="002330BA" w:rsidRPr="002330BA" w:rsidRDefault="002330BA" w:rsidP="002330BA">
            <w:pPr>
              <w:spacing w:line="360" w:lineRule="auto"/>
              <w:rPr>
                <w:rFonts w:ascii="Arial" w:hAnsi="Arial" w:cs="Arial"/>
              </w:rPr>
            </w:pPr>
            <w:r w:rsidRPr="002330BA">
              <w:rPr>
                <w:rFonts w:ascii="Arial" w:hAnsi="Arial" w:cs="Arial"/>
              </w:rPr>
              <w:t>Premium locations enhance brand visibility</w:t>
            </w:r>
          </w:p>
        </w:tc>
        <w:tc>
          <w:tcPr>
            <w:tcW w:w="0" w:type="auto"/>
            <w:hideMark/>
          </w:tcPr>
          <w:p w14:paraId="5A6B3BE3" w14:textId="77777777" w:rsidR="002330BA" w:rsidRPr="002330BA" w:rsidRDefault="002330BA" w:rsidP="002330BA">
            <w:pPr>
              <w:spacing w:line="360" w:lineRule="auto"/>
              <w:rPr>
                <w:rFonts w:ascii="Arial" w:hAnsi="Arial" w:cs="Arial"/>
              </w:rPr>
            </w:pPr>
            <w:r w:rsidRPr="002330BA">
              <w:rPr>
                <w:rFonts w:ascii="Arial" w:hAnsi="Arial" w:cs="Arial"/>
              </w:rPr>
              <w:t>High occupancy costs in Tier-1 cities</w:t>
            </w:r>
          </w:p>
        </w:tc>
        <w:tc>
          <w:tcPr>
            <w:tcW w:w="0" w:type="auto"/>
            <w:hideMark/>
          </w:tcPr>
          <w:p w14:paraId="5EE559AA" w14:textId="77777777" w:rsidR="002330BA" w:rsidRPr="002330BA" w:rsidRDefault="002330BA" w:rsidP="002330BA">
            <w:pPr>
              <w:spacing w:line="360" w:lineRule="auto"/>
              <w:rPr>
                <w:rFonts w:ascii="Arial" w:hAnsi="Arial" w:cs="Arial"/>
              </w:rPr>
            </w:pPr>
            <w:r w:rsidRPr="002330BA">
              <w:rPr>
                <w:rFonts w:ascii="Arial" w:hAnsi="Arial" w:cs="Arial"/>
              </w:rPr>
              <w:t>Prioritise flagship stores with strong revenue potential</w:t>
            </w:r>
          </w:p>
        </w:tc>
      </w:tr>
      <w:tr w:rsidR="002330BA" w:rsidRPr="002330BA" w14:paraId="64ECCE59" w14:textId="77777777" w:rsidTr="002330BA">
        <w:trPr>
          <w:jc w:val="center"/>
        </w:trPr>
        <w:tc>
          <w:tcPr>
            <w:tcW w:w="0" w:type="auto"/>
            <w:hideMark/>
          </w:tcPr>
          <w:p w14:paraId="68851513" w14:textId="77777777" w:rsidR="002330BA" w:rsidRPr="002330BA" w:rsidRDefault="002330BA" w:rsidP="002330BA">
            <w:pPr>
              <w:spacing w:line="360" w:lineRule="auto"/>
              <w:rPr>
                <w:rFonts w:ascii="Arial" w:hAnsi="Arial" w:cs="Arial"/>
              </w:rPr>
            </w:pPr>
            <w:r w:rsidRPr="002330BA">
              <w:rPr>
                <w:rFonts w:ascii="Arial" w:hAnsi="Arial" w:cs="Arial"/>
              </w:rPr>
              <w:t>Exchange-rate volatility</w:t>
            </w:r>
          </w:p>
        </w:tc>
        <w:tc>
          <w:tcPr>
            <w:tcW w:w="0" w:type="auto"/>
            <w:hideMark/>
          </w:tcPr>
          <w:p w14:paraId="54865F94" w14:textId="77777777" w:rsidR="002330BA" w:rsidRPr="002330BA" w:rsidRDefault="002330BA" w:rsidP="002330BA">
            <w:pPr>
              <w:spacing w:line="360" w:lineRule="auto"/>
              <w:rPr>
                <w:rFonts w:ascii="Arial" w:hAnsi="Arial" w:cs="Arial"/>
              </w:rPr>
            </w:pPr>
            <w:r w:rsidRPr="002330BA">
              <w:rPr>
                <w:rFonts w:ascii="Arial" w:hAnsi="Arial" w:cs="Arial"/>
              </w:rPr>
              <w:t>Local sourcing opportunities</w:t>
            </w:r>
          </w:p>
        </w:tc>
        <w:tc>
          <w:tcPr>
            <w:tcW w:w="0" w:type="auto"/>
            <w:hideMark/>
          </w:tcPr>
          <w:p w14:paraId="420D9D43" w14:textId="77777777" w:rsidR="002330BA" w:rsidRPr="002330BA" w:rsidRDefault="002330BA" w:rsidP="002330BA">
            <w:pPr>
              <w:spacing w:line="360" w:lineRule="auto"/>
              <w:rPr>
                <w:rFonts w:ascii="Arial" w:hAnsi="Arial" w:cs="Arial"/>
              </w:rPr>
            </w:pPr>
            <w:r w:rsidRPr="002330BA">
              <w:rPr>
                <w:rFonts w:ascii="Arial" w:hAnsi="Arial" w:cs="Arial"/>
              </w:rPr>
              <w:t>Increased import costs</w:t>
            </w:r>
          </w:p>
        </w:tc>
        <w:tc>
          <w:tcPr>
            <w:tcW w:w="0" w:type="auto"/>
            <w:hideMark/>
          </w:tcPr>
          <w:p w14:paraId="1F56EDC8" w14:textId="77777777" w:rsidR="002330BA" w:rsidRPr="002330BA" w:rsidRDefault="002330BA" w:rsidP="002330BA">
            <w:pPr>
              <w:spacing w:line="360" w:lineRule="auto"/>
              <w:rPr>
                <w:rFonts w:ascii="Arial" w:hAnsi="Arial" w:cs="Arial"/>
              </w:rPr>
            </w:pPr>
            <w:r w:rsidRPr="002330BA">
              <w:rPr>
                <w:rFonts w:ascii="Arial" w:hAnsi="Arial" w:cs="Arial"/>
              </w:rPr>
              <w:t>Develop local supplier partnerships where feasible</w:t>
            </w:r>
          </w:p>
        </w:tc>
      </w:tr>
    </w:tbl>
    <w:p w14:paraId="6BB50B1D" w14:textId="77777777" w:rsidR="002330BA" w:rsidRPr="002330BA" w:rsidRDefault="002330BA" w:rsidP="002330BA">
      <w:pPr>
        <w:spacing w:after="0" w:line="360" w:lineRule="auto"/>
        <w:rPr>
          <w:rFonts w:ascii="Arial" w:hAnsi="Arial" w:cs="Arial"/>
          <w:color w:val="808080" w:themeColor="background1" w:themeShade="80"/>
          <w:sz w:val="22"/>
          <w:szCs w:val="22"/>
        </w:rPr>
      </w:pPr>
      <w:r w:rsidRPr="002330BA">
        <w:rPr>
          <w:rFonts w:ascii="Arial" w:hAnsi="Arial" w:cs="Arial"/>
          <w:i/>
          <w:iCs/>
          <w:color w:val="808080" w:themeColor="background1" w:themeShade="80"/>
          <w:sz w:val="22"/>
          <w:szCs w:val="22"/>
        </w:rPr>
        <w:t>Source: Author's analysis based on Euromonitor (2026), IMF, World Bank and international business literature.</w:t>
      </w:r>
    </w:p>
    <w:p w14:paraId="6C5B80A5" w14:textId="77777777" w:rsidR="00A76C10" w:rsidRDefault="00A76C10" w:rsidP="00B57558">
      <w:pPr>
        <w:spacing w:after="0" w:line="360" w:lineRule="auto"/>
        <w:rPr>
          <w:rFonts w:ascii="Arial" w:hAnsi="Arial" w:cs="Arial"/>
        </w:rPr>
      </w:pPr>
    </w:p>
    <w:p w14:paraId="49673A17" w14:textId="650FE082" w:rsidR="00B57558" w:rsidRPr="00B57558" w:rsidRDefault="00A76C10" w:rsidP="00B57558">
      <w:pPr>
        <w:spacing w:after="0" w:line="360" w:lineRule="auto"/>
        <w:rPr>
          <w:rFonts w:ascii="Arial" w:hAnsi="Arial" w:cs="Arial"/>
        </w:rPr>
      </w:pPr>
      <w:r>
        <w:rPr>
          <w:rFonts w:ascii="Arial" w:hAnsi="Arial" w:cs="Arial"/>
          <w:noProof/>
        </w:rPr>
        <w:lastRenderedPageBreak/>
        <w:drawing>
          <wp:anchor distT="0" distB="0" distL="114300" distR="114300" simplePos="0" relativeHeight="251660288" behindDoc="0" locked="0" layoutInCell="1" allowOverlap="1" wp14:anchorId="6EF3B67C" wp14:editId="76088F17">
            <wp:simplePos x="0" y="0"/>
            <wp:positionH relativeFrom="column">
              <wp:posOffset>-152400</wp:posOffset>
            </wp:positionH>
            <wp:positionV relativeFrom="paragraph">
              <wp:posOffset>0</wp:posOffset>
            </wp:positionV>
            <wp:extent cx="3883660" cy="5178213"/>
            <wp:effectExtent l="0" t="0" r="2540" b="3810"/>
            <wp:wrapSquare wrapText="bothSides"/>
            <wp:docPr id="19398263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83660" cy="5178213"/>
                    </a:xfrm>
                    <a:prstGeom prst="rect">
                      <a:avLst/>
                    </a:prstGeom>
                    <a:noFill/>
                  </pic:spPr>
                </pic:pic>
              </a:graphicData>
            </a:graphic>
            <wp14:sizeRelH relativeFrom="page">
              <wp14:pctWidth>0</wp14:pctWidth>
            </wp14:sizeRelH>
            <wp14:sizeRelV relativeFrom="page">
              <wp14:pctHeight>0</wp14:pctHeight>
            </wp14:sizeRelV>
          </wp:anchor>
        </w:drawing>
      </w:r>
      <w:r w:rsidR="00B57558" w:rsidRPr="00B57558">
        <w:rPr>
          <w:rFonts w:ascii="Arial" w:hAnsi="Arial" w:cs="Arial"/>
        </w:rPr>
        <w:t>Despite favourable growth prospects, purchasing power remains uneven across regions, limiting the commercial viability of premium pricing outside major metropolitan centres. Consequently, nationwide expansion would expose Caffè Nero to unnecessary financial risk, whereas an initial focus on Mumbai, Bengaluru, Delhi NCR and Hyderabad would better align with consumer demand and income distribution.</w:t>
      </w:r>
    </w:p>
    <w:p w14:paraId="182C52F5" w14:textId="77777777" w:rsidR="00B57558" w:rsidRPr="00B57558" w:rsidRDefault="00B57558" w:rsidP="00B57558">
      <w:pPr>
        <w:spacing w:after="0" w:line="360" w:lineRule="auto"/>
        <w:rPr>
          <w:rFonts w:ascii="Arial" w:hAnsi="Arial" w:cs="Arial"/>
        </w:rPr>
      </w:pPr>
      <w:r w:rsidRPr="00B57558">
        <w:rPr>
          <w:rFonts w:ascii="Arial" w:hAnsi="Arial" w:cs="Arial"/>
        </w:rPr>
        <w:t>Inflation presents an additional challenge by increasing labour, rental and commodity costs while reducing discretionary consumer spending. Euromonitor (2026) reports that café operators have responded through pricing adjustments, menu diversification and value-oriented offerings. Accordingly, Caffè Nero should maintain its premium positioning while adopting locally responsive pricing and menu flexibility rather than replicating UK pricing structures.</w:t>
      </w:r>
    </w:p>
    <w:p w14:paraId="7777493B" w14:textId="77777777" w:rsidR="00B57558" w:rsidRPr="00B57558" w:rsidRDefault="00B57558" w:rsidP="00B57558">
      <w:pPr>
        <w:spacing w:after="0" w:line="360" w:lineRule="auto"/>
        <w:rPr>
          <w:rFonts w:ascii="Arial" w:hAnsi="Arial" w:cs="Arial"/>
        </w:rPr>
      </w:pPr>
      <w:r w:rsidRPr="00B57558">
        <w:rPr>
          <w:rFonts w:ascii="Arial" w:hAnsi="Arial" w:cs="Arial"/>
        </w:rPr>
        <w:t>Location economics are equally important. Premium cafés depend on high-footfall commercial districts to maximise customer traffic and strengthen brand visibility; however, Tier-1 retail locations command substantial lease costs that may delay profitability during the market-entry phase. Similarly, exchange-rate volatility may increase the cost of imported equipment and speciality coffee products. Developing local supplier partnerships would therefore reduce currency exposure, improve supply-chain resilience and support growing consumer preferences for locally sourced products.</w:t>
      </w:r>
    </w:p>
    <w:p w14:paraId="36416088" w14:textId="77777777" w:rsidR="00B57558" w:rsidRPr="00B57558" w:rsidRDefault="00B57558" w:rsidP="00B57558">
      <w:pPr>
        <w:spacing w:after="0" w:line="360" w:lineRule="auto"/>
        <w:rPr>
          <w:rFonts w:ascii="Arial" w:hAnsi="Arial" w:cs="Arial"/>
        </w:rPr>
      </w:pPr>
      <w:r w:rsidRPr="00B57558">
        <w:rPr>
          <w:rFonts w:ascii="Arial" w:hAnsi="Arial" w:cs="Arial"/>
        </w:rPr>
        <w:t>Overall, India's economic environment is highly attractive for Caffè Nero because rising affluence, urbanisation and premium consumption trends provide strong long-term demand. Nevertheless, these opportunities remain geographically concentrated and sensitive to inflationary pressures. A phased metropolitan expansion supported by disciplined site selection, local sourcing and value-based pricing is therefore likely to maximise long-term profitability while reducing financial risk.</w:t>
      </w:r>
    </w:p>
    <w:p w14:paraId="351BF0D2" w14:textId="77777777" w:rsidR="00B57558" w:rsidRDefault="00B57558" w:rsidP="002330BA">
      <w:pPr>
        <w:spacing w:after="0" w:line="360" w:lineRule="auto"/>
        <w:rPr>
          <w:rFonts w:ascii="Arial" w:hAnsi="Arial" w:cs="Arial"/>
        </w:rPr>
      </w:pPr>
    </w:p>
    <w:p w14:paraId="21A9478B" w14:textId="77777777" w:rsidR="002330BA" w:rsidRPr="002330BA" w:rsidRDefault="002330BA" w:rsidP="002330BA">
      <w:pPr>
        <w:pStyle w:val="Heading2"/>
        <w:rPr>
          <w:rFonts w:ascii="Arial" w:hAnsi="Arial" w:cs="Arial"/>
          <w:sz w:val="24"/>
          <w:szCs w:val="24"/>
        </w:rPr>
      </w:pPr>
      <w:bookmarkStart w:id="12" w:name="_Toc236996672"/>
      <w:bookmarkStart w:id="13" w:name="_Toc236998171"/>
      <w:r w:rsidRPr="002330BA">
        <w:rPr>
          <w:rFonts w:ascii="Arial" w:hAnsi="Arial" w:cs="Arial"/>
          <w:sz w:val="24"/>
          <w:szCs w:val="24"/>
        </w:rPr>
        <w:lastRenderedPageBreak/>
        <w:t>2.4 Legal Environment</w:t>
      </w:r>
      <w:bookmarkEnd w:id="12"/>
      <w:bookmarkEnd w:id="13"/>
    </w:p>
    <w:p w14:paraId="762A5D3C" w14:textId="77777777" w:rsidR="002330BA" w:rsidRPr="002330BA" w:rsidRDefault="002330BA" w:rsidP="002330BA">
      <w:pPr>
        <w:spacing w:after="0" w:line="360" w:lineRule="auto"/>
        <w:rPr>
          <w:rFonts w:ascii="Arial" w:hAnsi="Arial" w:cs="Arial"/>
        </w:rPr>
      </w:pPr>
      <w:r w:rsidRPr="002330BA">
        <w:rPr>
          <w:rFonts w:ascii="Arial" w:hAnsi="Arial" w:cs="Arial"/>
        </w:rPr>
        <w:t xml:space="preserve">India’s legal environment offers Caffè Nero a formal framework for establishing and protecting a foreign-owned food-service business; however, compliance extends beyond company incorporation and requires coordination across food safety, employment, taxation, intellectual property and local licensing regimes. Institutional-distance research suggests that unfamiliar regulatory systems increase the managerial resources required for foreign entry and can weaken performance when firms underestimate host-country complexity (Donnelly </w:t>
      </w:r>
      <w:r w:rsidRPr="002330BA">
        <w:rPr>
          <w:rFonts w:ascii="Arial" w:hAnsi="Arial" w:cs="Arial"/>
          <w:i/>
          <w:iCs/>
        </w:rPr>
        <w:t>et al</w:t>
      </w:r>
      <w:r w:rsidRPr="002330BA">
        <w:rPr>
          <w:rFonts w:ascii="Arial" w:hAnsi="Arial" w:cs="Arial"/>
        </w:rPr>
        <w:t>., 2024). Caffè Nero should therefore treat legal capability as a strategic resource rather than a purely administrative cost.</w:t>
      </w:r>
    </w:p>
    <w:p w14:paraId="59E1CDFB" w14:textId="504B6BAF" w:rsidR="00B718FA" w:rsidRPr="00E559C3" w:rsidRDefault="002330BA" w:rsidP="00E55D81">
      <w:pPr>
        <w:spacing w:after="0" w:line="360" w:lineRule="auto"/>
        <w:rPr>
          <w:rFonts w:ascii="Arial" w:hAnsi="Arial" w:cs="Arial"/>
        </w:rPr>
      </w:pPr>
      <w:r w:rsidRPr="002330BA">
        <w:rPr>
          <w:rFonts w:ascii="Arial" w:hAnsi="Arial" w:cs="Arial"/>
        </w:rPr>
        <w:t xml:space="preserve">Food regulation represents the most immediate legal consideration. Under Section 31 of the Food Safety and Standards Act 2006, every food-business operator must obtain FSSAI registration or a licence, with applications and compliance administered through the Food Safety Compliance System. A commercial café chain would require licensing rather than the basic registration intended for very small operators. Licensed food businesses must also maintain a documented Food Safety Management System and comply with hygiene requirements based on Good Manufacturing Practices and Good Hygiene Practices; Schedule 4 specifically includes catering establishments. These requirements could strengthen consumer confidence in an international brand but would increase training, documentation, inspection and quality-control costs. Research on India’s food-safety system similarly identifies progress towards unified standards while highlighting continuing variation in infrastructure and enforcement </w:t>
      </w:r>
      <w:r w:rsidR="00E55D81" w:rsidRPr="00E55D81">
        <w:rPr>
          <w:rFonts w:ascii="Arial" w:hAnsi="Arial" w:cs="Arial"/>
        </w:rPr>
        <w:t>(FSSAI, 2006; FSSAI, 2025a)</w:t>
      </w:r>
    </w:p>
    <w:p w14:paraId="24C7327A" w14:textId="323C99B7" w:rsidR="002330BA" w:rsidRPr="002330BA" w:rsidRDefault="002330BA" w:rsidP="00B718FA">
      <w:pPr>
        <w:spacing w:after="0" w:line="360" w:lineRule="auto"/>
        <w:jc w:val="center"/>
        <w:rPr>
          <w:rFonts w:ascii="Arial" w:hAnsi="Arial" w:cs="Arial"/>
          <w:b/>
          <w:bCs/>
        </w:rPr>
      </w:pPr>
      <w:r w:rsidRPr="002330BA">
        <w:rPr>
          <w:rFonts w:ascii="Arial" w:hAnsi="Arial" w:cs="Arial"/>
          <w:b/>
          <w:bCs/>
        </w:rPr>
        <w:t>Table 4. Legal factors affecting Caffè Nero’s proposed entry into India</w:t>
      </w:r>
    </w:p>
    <w:tbl>
      <w:tblPr>
        <w:tblStyle w:val="TableGrid"/>
        <w:tblW w:w="0" w:type="auto"/>
        <w:jc w:val="center"/>
        <w:tblLook w:val="04A0" w:firstRow="1" w:lastRow="0" w:firstColumn="1" w:lastColumn="0" w:noHBand="0" w:noVBand="1"/>
      </w:tblPr>
      <w:tblGrid>
        <w:gridCol w:w="1846"/>
        <w:gridCol w:w="4168"/>
        <w:gridCol w:w="4442"/>
      </w:tblGrid>
      <w:tr w:rsidR="002330BA" w:rsidRPr="002330BA" w14:paraId="05781F18" w14:textId="77777777" w:rsidTr="002330BA">
        <w:trPr>
          <w:jc w:val="center"/>
        </w:trPr>
        <w:tc>
          <w:tcPr>
            <w:tcW w:w="0" w:type="auto"/>
            <w:hideMark/>
          </w:tcPr>
          <w:p w14:paraId="08E82E1E" w14:textId="77777777" w:rsidR="002330BA" w:rsidRPr="002330BA" w:rsidRDefault="002330BA" w:rsidP="002330BA">
            <w:pPr>
              <w:spacing w:line="360" w:lineRule="auto"/>
              <w:rPr>
                <w:rFonts w:ascii="Arial" w:hAnsi="Arial" w:cs="Arial"/>
                <w:b/>
                <w:bCs/>
              </w:rPr>
            </w:pPr>
            <w:r w:rsidRPr="002330BA">
              <w:rPr>
                <w:rFonts w:ascii="Arial" w:hAnsi="Arial" w:cs="Arial"/>
                <w:b/>
                <w:bCs/>
              </w:rPr>
              <w:t>Legal factor</w:t>
            </w:r>
          </w:p>
        </w:tc>
        <w:tc>
          <w:tcPr>
            <w:tcW w:w="0" w:type="auto"/>
            <w:hideMark/>
          </w:tcPr>
          <w:p w14:paraId="4E3DE66D" w14:textId="77777777" w:rsidR="002330BA" w:rsidRPr="002330BA" w:rsidRDefault="002330BA" w:rsidP="002330BA">
            <w:pPr>
              <w:spacing w:line="360" w:lineRule="auto"/>
              <w:rPr>
                <w:rFonts w:ascii="Arial" w:hAnsi="Arial" w:cs="Arial"/>
                <w:b/>
                <w:bCs/>
              </w:rPr>
            </w:pPr>
            <w:r w:rsidRPr="002330BA">
              <w:rPr>
                <w:rFonts w:ascii="Arial" w:hAnsi="Arial" w:cs="Arial"/>
                <w:b/>
                <w:bCs/>
              </w:rPr>
              <w:t>Principal requirement or risk</w:t>
            </w:r>
          </w:p>
        </w:tc>
        <w:tc>
          <w:tcPr>
            <w:tcW w:w="0" w:type="auto"/>
            <w:hideMark/>
          </w:tcPr>
          <w:p w14:paraId="37BDBFE9" w14:textId="77777777" w:rsidR="002330BA" w:rsidRPr="002330BA" w:rsidRDefault="002330BA" w:rsidP="002330BA">
            <w:pPr>
              <w:spacing w:line="360" w:lineRule="auto"/>
              <w:rPr>
                <w:rFonts w:ascii="Arial" w:hAnsi="Arial" w:cs="Arial"/>
                <w:b/>
                <w:bCs/>
              </w:rPr>
            </w:pPr>
            <w:r w:rsidRPr="002330BA">
              <w:rPr>
                <w:rFonts w:ascii="Arial" w:hAnsi="Arial" w:cs="Arial"/>
                <w:b/>
                <w:bCs/>
              </w:rPr>
              <w:t>Strategic implication for Caffè Nero</w:t>
            </w:r>
          </w:p>
        </w:tc>
      </w:tr>
      <w:tr w:rsidR="002330BA" w:rsidRPr="002330BA" w14:paraId="5674158D" w14:textId="77777777" w:rsidTr="002330BA">
        <w:trPr>
          <w:jc w:val="center"/>
        </w:trPr>
        <w:tc>
          <w:tcPr>
            <w:tcW w:w="0" w:type="auto"/>
            <w:hideMark/>
          </w:tcPr>
          <w:p w14:paraId="6C4DA033" w14:textId="77777777" w:rsidR="002330BA" w:rsidRPr="002330BA" w:rsidRDefault="002330BA" w:rsidP="002330BA">
            <w:pPr>
              <w:spacing w:line="360" w:lineRule="auto"/>
              <w:rPr>
                <w:rFonts w:ascii="Arial" w:hAnsi="Arial" w:cs="Arial"/>
              </w:rPr>
            </w:pPr>
            <w:r w:rsidRPr="002330BA">
              <w:rPr>
                <w:rFonts w:ascii="Arial" w:hAnsi="Arial" w:cs="Arial"/>
              </w:rPr>
              <w:t>FSSAI licensing</w:t>
            </w:r>
          </w:p>
        </w:tc>
        <w:tc>
          <w:tcPr>
            <w:tcW w:w="0" w:type="auto"/>
            <w:hideMark/>
          </w:tcPr>
          <w:p w14:paraId="7907C57A" w14:textId="77777777" w:rsidR="002330BA" w:rsidRPr="002330BA" w:rsidRDefault="002330BA" w:rsidP="002330BA">
            <w:pPr>
              <w:spacing w:line="360" w:lineRule="auto"/>
              <w:rPr>
                <w:rFonts w:ascii="Arial" w:hAnsi="Arial" w:cs="Arial"/>
              </w:rPr>
            </w:pPr>
            <w:r w:rsidRPr="002330BA">
              <w:rPr>
                <w:rFonts w:ascii="Arial" w:hAnsi="Arial" w:cs="Arial"/>
              </w:rPr>
              <w:t>Premises licensing, food-safety systems and hygiene compliance</w:t>
            </w:r>
          </w:p>
        </w:tc>
        <w:tc>
          <w:tcPr>
            <w:tcW w:w="0" w:type="auto"/>
            <w:hideMark/>
          </w:tcPr>
          <w:p w14:paraId="3A2FCA63" w14:textId="77777777" w:rsidR="002330BA" w:rsidRPr="002330BA" w:rsidRDefault="002330BA" w:rsidP="002330BA">
            <w:pPr>
              <w:spacing w:line="360" w:lineRule="auto"/>
              <w:rPr>
                <w:rFonts w:ascii="Arial" w:hAnsi="Arial" w:cs="Arial"/>
              </w:rPr>
            </w:pPr>
            <w:r w:rsidRPr="002330BA">
              <w:rPr>
                <w:rFonts w:ascii="Arial" w:hAnsi="Arial" w:cs="Arial"/>
              </w:rPr>
              <w:t>Establish central compliance standards and conduct regular outlet audits</w:t>
            </w:r>
          </w:p>
        </w:tc>
      </w:tr>
      <w:tr w:rsidR="002330BA" w:rsidRPr="002330BA" w14:paraId="246ACA54" w14:textId="77777777" w:rsidTr="002330BA">
        <w:trPr>
          <w:jc w:val="center"/>
        </w:trPr>
        <w:tc>
          <w:tcPr>
            <w:tcW w:w="0" w:type="auto"/>
            <w:hideMark/>
          </w:tcPr>
          <w:p w14:paraId="3E6B970B" w14:textId="77777777" w:rsidR="002330BA" w:rsidRPr="002330BA" w:rsidRDefault="002330BA" w:rsidP="002330BA">
            <w:pPr>
              <w:spacing w:line="360" w:lineRule="auto"/>
              <w:rPr>
                <w:rFonts w:ascii="Arial" w:hAnsi="Arial" w:cs="Arial"/>
              </w:rPr>
            </w:pPr>
            <w:r w:rsidRPr="002330BA">
              <w:rPr>
                <w:rFonts w:ascii="Arial" w:hAnsi="Arial" w:cs="Arial"/>
              </w:rPr>
              <w:t>Labour regulation</w:t>
            </w:r>
          </w:p>
        </w:tc>
        <w:tc>
          <w:tcPr>
            <w:tcW w:w="0" w:type="auto"/>
            <w:hideMark/>
          </w:tcPr>
          <w:p w14:paraId="408E4C26" w14:textId="77777777" w:rsidR="002330BA" w:rsidRPr="002330BA" w:rsidRDefault="002330BA" w:rsidP="002330BA">
            <w:pPr>
              <w:spacing w:line="360" w:lineRule="auto"/>
              <w:rPr>
                <w:rFonts w:ascii="Arial" w:hAnsi="Arial" w:cs="Arial"/>
              </w:rPr>
            </w:pPr>
            <w:r w:rsidRPr="002330BA">
              <w:rPr>
                <w:rFonts w:ascii="Arial" w:hAnsi="Arial" w:cs="Arial"/>
              </w:rPr>
              <w:t>Wage, social-security, safety and employment obligations</w:t>
            </w:r>
          </w:p>
        </w:tc>
        <w:tc>
          <w:tcPr>
            <w:tcW w:w="0" w:type="auto"/>
            <w:hideMark/>
          </w:tcPr>
          <w:p w14:paraId="2E0C2EC3" w14:textId="77777777" w:rsidR="002330BA" w:rsidRPr="002330BA" w:rsidRDefault="002330BA" w:rsidP="002330BA">
            <w:pPr>
              <w:spacing w:line="360" w:lineRule="auto"/>
              <w:rPr>
                <w:rFonts w:ascii="Arial" w:hAnsi="Arial" w:cs="Arial"/>
              </w:rPr>
            </w:pPr>
            <w:r w:rsidRPr="002330BA">
              <w:rPr>
                <w:rFonts w:ascii="Arial" w:hAnsi="Arial" w:cs="Arial"/>
              </w:rPr>
              <w:t>Budget for formal employment systems, staff training and payroll compliance</w:t>
            </w:r>
          </w:p>
        </w:tc>
      </w:tr>
      <w:tr w:rsidR="002330BA" w:rsidRPr="002330BA" w14:paraId="20D2A8DF" w14:textId="77777777" w:rsidTr="002330BA">
        <w:trPr>
          <w:jc w:val="center"/>
        </w:trPr>
        <w:tc>
          <w:tcPr>
            <w:tcW w:w="0" w:type="auto"/>
            <w:hideMark/>
          </w:tcPr>
          <w:p w14:paraId="2FE0CA0A" w14:textId="77777777" w:rsidR="002330BA" w:rsidRPr="002330BA" w:rsidRDefault="002330BA" w:rsidP="002330BA">
            <w:pPr>
              <w:spacing w:line="360" w:lineRule="auto"/>
              <w:rPr>
                <w:rFonts w:ascii="Arial" w:hAnsi="Arial" w:cs="Arial"/>
              </w:rPr>
            </w:pPr>
            <w:r w:rsidRPr="002330BA">
              <w:rPr>
                <w:rFonts w:ascii="Arial" w:hAnsi="Arial" w:cs="Arial"/>
              </w:rPr>
              <w:t>Intellectual property</w:t>
            </w:r>
          </w:p>
        </w:tc>
        <w:tc>
          <w:tcPr>
            <w:tcW w:w="0" w:type="auto"/>
            <w:hideMark/>
          </w:tcPr>
          <w:p w14:paraId="5DB3AD16" w14:textId="77777777" w:rsidR="002330BA" w:rsidRPr="002330BA" w:rsidRDefault="002330BA" w:rsidP="002330BA">
            <w:pPr>
              <w:spacing w:line="360" w:lineRule="auto"/>
              <w:rPr>
                <w:rFonts w:ascii="Arial" w:hAnsi="Arial" w:cs="Arial"/>
              </w:rPr>
            </w:pPr>
            <w:r w:rsidRPr="002330BA">
              <w:rPr>
                <w:rFonts w:ascii="Arial" w:hAnsi="Arial" w:cs="Arial"/>
              </w:rPr>
              <w:t>Registration and enforcement of trademarks and brand assets</w:t>
            </w:r>
          </w:p>
        </w:tc>
        <w:tc>
          <w:tcPr>
            <w:tcW w:w="0" w:type="auto"/>
            <w:hideMark/>
          </w:tcPr>
          <w:p w14:paraId="5103FB75" w14:textId="77777777" w:rsidR="002330BA" w:rsidRPr="002330BA" w:rsidRDefault="002330BA" w:rsidP="002330BA">
            <w:pPr>
              <w:spacing w:line="360" w:lineRule="auto"/>
              <w:rPr>
                <w:rFonts w:ascii="Arial" w:hAnsi="Arial" w:cs="Arial"/>
              </w:rPr>
            </w:pPr>
            <w:r w:rsidRPr="002330BA">
              <w:rPr>
                <w:rFonts w:ascii="Arial" w:hAnsi="Arial" w:cs="Arial"/>
              </w:rPr>
              <w:t>Protect the Caffè Nero name, logo and related marks before launch</w:t>
            </w:r>
          </w:p>
        </w:tc>
      </w:tr>
      <w:tr w:rsidR="002330BA" w:rsidRPr="002330BA" w14:paraId="5CFF898E" w14:textId="77777777" w:rsidTr="002330BA">
        <w:trPr>
          <w:jc w:val="center"/>
        </w:trPr>
        <w:tc>
          <w:tcPr>
            <w:tcW w:w="0" w:type="auto"/>
            <w:hideMark/>
          </w:tcPr>
          <w:p w14:paraId="4CA54608" w14:textId="77777777" w:rsidR="002330BA" w:rsidRPr="002330BA" w:rsidRDefault="002330BA" w:rsidP="002330BA">
            <w:pPr>
              <w:spacing w:line="360" w:lineRule="auto"/>
              <w:rPr>
                <w:rFonts w:ascii="Arial" w:hAnsi="Arial" w:cs="Arial"/>
              </w:rPr>
            </w:pPr>
            <w:r w:rsidRPr="002330BA">
              <w:rPr>
                <w:rFonts w:ascii="Arial" w:hAnsi="Arial" w:cs="Arial"/>
              </w:rPr>
              <w:t>Taxation</w:t>
            </w:r>
          </w:p>
        </w:tc>
        <w:tc>
          <w:tcPr>
            <w:tcW w:w="0" w:type="auto"/>
            <w:hideMark/>
          </w:tcPr>
          <w:p w14:paraId="7B7C84A2" w14:textId="77777777" w:rsidR="002330BA" w:rsidRPr="002330BA" w:rsidRDefault="002330BA" w:rsidP="002330BA">
            <w:pPr>
              <w:spacing w:line="360" w:lineRule="auto"/>
              <w:rPr>
                <w:rFonts w:ascii="Arial" w:hAnsi="Arial" w:cs="Arial"/>
              </w:rPr>
            </w:pPr>
            <w:r w:rsidRPr="002330BA">
              <w:rPr>
                <w:rFonts w:ascii="Arial" w:hAnsi="Arial" w:cs="Arial"/>
              </w:rPr>
              <w:t>GST, corporate taxes and possible import duties</w:t>
            </w:r>
          </w:p>
        </w:tc>
        <w:tc>
          <w:tcPr>
            <w:tcW w:w="0" w:type="auto"/>
            <w:hideMark/>
          </w:tcPr>
          <w:p w14:paraId="72F931FC" w14:textId="77777777" w:rsidR="002330BA" w:rsidRPr="002330BA" w:rsidRDefault="002330BA" w:rsidP="002330BA">
            <w:pPr>
              <w:spacing w:line="360" w:lineRule="auto"/>
              <w:rPr>
                <w:rFonts w:ascii="Arial" w:hAnsi="Arial" w:cs="Arial"/>
              </w:rPr>
            </w:pPr>
            <w:r w:rsidRPr="002330BA">
              <w:rPr>
                <w:rFonts w:ascii="Arial" w:hAnsi="Arial" w:cs="Arial"/>
              </w:rPr>
              <w:t>Model tax-inclusive prices and reduce reliance on imported inputs</w:t>
            </w:r>
          </w:p>
        </w:tc>
      </w:tr>
      <w:tr w:rsidR="002330BA" w:rsidRPr="002330BA" w14:paraId="5F32484D" w14:textId="77777777" w:rsidTr="002330BA">
        <w:trPr>
          <w:jc w:val="center"/>
        </w:trPr>
        <w:tc>
          <w:tcPr>
            <w:tcW w:w="0" w:type="auto"/>
            <w:hideMark/>
          </w:tcPr>
          <w:p w14:paraId="524CF3E9" w14:textId="77777777" w:rsidR="002330BA" w:rsidRPr="002330BA" w:rsidRDefault="002330BA" w:rsidP="002330BA">
            <w:pPr>
              <w:spacing w:line="360" w:lineRule="auto"/>
              <w:rPr>
                <w:rFonts w:ascii="Arial" w:hAnsi="Arial" w:cs="Arial"/>
              </w:rPr>
            </w:pPr>
            <w:r w:rsidRPr="002330BA">
              <w:rPr>
                <w:rFonts w:ascii="Arial" w:hAnsi="Arial" w:cs="Arial"/>
              </w:rPr>
              <w:t>Local permissions</w:t>
            </w:r>
          </w:p>
        </w:tc>
        <w:tc>
          <w:tcPr>
            <w:tcW w:w="0" w:type="auto"/>
            <w:hideMark/>
          </w:tcPr>
          <w:p w14:paraId="6D361DFD" w14:textId="77777777" w:rsidR="002330BA" w:rsidRPr="002330BA" w:rsidRDefault="002330BA" w:rsidP="002330BA">
            <w:pPr>
              <w:spacing w:line="360" w:lineRule="auto"/>
              <w:rPr>
                <w:rFonts w:ascii="Arial" w:hAnsi="Arial" w:cs="Arial"/>
              </w:rPr>
            </w:pPr>
            <w:r w:rsidRPr="002330BA">
              <w:rPr>
                <w:rFonts w:ascii="Arial" w:hAnsi="Arial" w:cs="Arial"/>
              </w:rPr>
              <w:t>Municipal, property, fire and operating approvals may vary by location</w:t>
            </w:r>
          </w:p>
        </w:tc>
        <w:tc>
          <w:tcPr>
            <w:tcW w:w="0" w:type="auto"/>
            <w:hideMark/>
          </w:tcPr>
          <w:p w14:paraId="502965C6" w14:textId="77777777" w:rsidR="002330BA" w:rsidRPr="002330BA" w:rsidRDefault="002330BA" w:rsidP="002330BA">
            <w:pPr>
              <w:spacing w:line="360" w:lineRule="auto"/>
              <w:rPr>
                <w:rFonts w:ascii="Arial" w:hAnsi="Arial" w:cs="Arial"/>
              </w:rPr>
            </w:pPr>
            <w:r w:rsidRPr="002330BA">
              <w:rPr>
                <w:rFonts w:ascii="Arial" w:hAnsi="Arial" w:cs="Arial"/>
              </w:rPr>
              <w:t>Complete city-specific legal due diligence before signing leases</w:t>
            </w:r>
          </w:p>
        </w:tc>
      </w:tr>
    </w:tbl>
    <w:p w14:paraId="270C96FA" w14:textId="77777777" w:rsidR="002330BA" w:rsidRPr="002330BA" w:rsidRDefault="002330BA" w:rsidP="002330BA">
      <w:pPr>
        <w:spacing w:after="0" w:line="360" w:lineRule="auto"/>
        <w:rPr>
          <w:rFonts w:ascii="Arial" w:hAnsi="Arial" w:cs="Arial"/>
          <w:color w:val="808080" w:themeColor="background1" w:themeShade="80"/>
          <w:sz w:val="22"/>
          <w:szCs w:val="22"/>
        </w:rPr>
      </w:pPr>
      <w:r w:rsidRPr="002330BA">
        <w:rPr>
          <w:rFonts w:ascii="Arial" w:hAnsi="Arial" w:cs="Arial"/>
          <w:i/>
          <w:iCs/>
          <w:color w:val="808080" w:themeColor="background1" w:themeShade="80"/>
          <w:sz w:val="22"/>
          <w:szCs w:val="22"/>
        </w:rPr>
        <w:t>Source: Author’s analysis based on FSSAI, Ministry of Labour and Employment and Intellectual Property India.</w:t>
      </w:r>
    </w:p>
    <w:p w14:paraId="2908C8F7" w14:textId="16C26876" w:rsidR="002330BA" w:rsidRPr="002330BA" w:rsidRDefault="002330BA" w:rsidP="002330BA">
      <w:pPr>
        <w:spacing w:after="0" w:line="360" w:lineRule="auto"/>
        <w:rPr>
          <w:rFonts w:ascii="Arial" w:hAnsi="Arial" w:cs="Arial"/>
        </w:rPr>
      </w:pPr>
      <w:r w:rsidRPr="002330BA">
        <w:rPr>
          <w:rFonts w:ascii="Arial" w:hAnsi="Arial" w:cs="Arial"/>
        </w:rPr>
        <w:lastRenderedPageBreak/>
        <w:t>Labour regulation also affects operating costs because cafés are labour-intensive and require flexible shifts. India’s consolidated labour framework covers wages, industrial relations, social security, and occupational safety and working conditions</w:t>
      </w:r>
      <w:r w:rsidR="0021207B">
        <w:rPr>
          <w:rFonts w:ascii="Arial" w:hAnsi="Arial" w:cs="Arial"/>
        </w:rPr>
        <w:t xml:space="preserve"> </w:t>
      </w:r>
      <w:r w:rsidR="0021207B" w:rsidRPr="0021207B">
        <w:rPr>
          <w:rFonts w:ascii="Arial" w:hAnsi="Arial" w:cs="Arial"/>
        </w:rPr>
        <w:t>(Ministry of Labour and Employment, 2025)</w:t>
      </w:r>
      <w:r w:rsidRPr="002330BA">
        <w:rPr>
          <w:rFonts w:ascii="Arial" w:hAnsi="Arial" w:cs="Arial"/>
        </w:rPr>
        <w:t>. While consolidation can simplify an historically fragmented system, statutory wage, overtime, safety, written-employment and social-security obligations increase the cost of maintaining a formally employed and service-trained workforce. The impact will also vary across states because wage levels and local implementation differ. Caffè Nero should therefore avoid assuming that India’s comparatively lower wages automatically create a substantial labour-cost advantage.</w:t>
      </w:r>
    </w:p>
    <w:p w14:paraId="511284E5" w14:textId="74DFBBD2" w:rsidR="002330BA" w:rsidRPr="002330BA" w:rsidRDefault="002330BA" w:rsidP="002330BA">
      <w:pPr>
        <w:spacing w:after="0" w:line="360" w:lineRule="auto"/>
        <w:rPr>
          <w:rFonts w:ascii="Arial" w:hAnsi="Arial" w:cs="Arial"/>
        </w:rPr>
      </w:pPr>
      <w:r w:rsidRPr="002330BA">
        <w:rPr>
          <w:rFonts w:ascii="Arial" w:hAnsi="Arial" w:cs="Arial"/>
        </w:rPr>
        <w:t>Protection of intellectual property is particularly important because Caffè Nero’s competitive offering depends on its name, visual identity, store design and customer experience. India’s Trade Marks Registry operates under the Trade Marks Act 1999 and Trade Marks Rules 2017, permits foreign applicants and participates in the Madrid Protocol system</w:t>
      </w:r>
      <w:r w:rsidR="00D015FF">
        <w:rPr>
          <w:rFonts w:ascii="Arial" w:hAnsi="Arial" w:cs="Arial"/>
        </w:rPr>
        <w:t xml:space="preserve"> </w:t>
      </w:r>
      <w:r w:rsidR="00D015FF" w:rsidRPr="00D015FF">
        <w:rPr>
          <w:rFonts w:ascii="Arial" w:hAnsi="Arial" w:cs="Arial"/>
        </w:rPr>
        <w:t>(Intellectual Property India, 2025)</w:t>
      </w:r>
      <w:r w:rsidRPr="002330BA">
        <w:rPr>
          <w:rFonts w:ascii="Arial" w:hAnsi="Arial" w:cs="Arial"/>
        </w:rPr>
        <w:t>. Nevertheless, formal registration cannot by itself prevent imitation or inconsistent brand execution by partners. The company should register its trademarks before entry and embed detailed brand-control provisions within any franchise or joint-venture agreement.</w:t>
      </w:r>
    </w:p>
    <w:p w14:paraId="4E8124E0" w14:textId="77777777" w:rsidR="002330BA" w:rsidRDefault="002330BA" w:rsidP="002330BA">
      <w:pPr>
        <w:spacing w:after="0" w:line="360" w:lineRule="auto"/>
        <w:rPr>
          <w:rFonts w:ascii="Arial" w:hAnsi="Arial" w:cs="Arial"/>
        </w:rPr>
      </w:pPr>
      <w:r w:rsidRPr="002330BA">
        <w:rPr>
          <w:rFonts w:ascii="Arial" w:hAnsi="Arial" w:cs="Arial"/>
        </w:rPr>
        <w:t xml:space="preserve">Finally, taxation and imported-input regulation may affect pricing. GST, corporate taxation and duties on imported equipment or ingredients could reduce margins if Caffè Nero reproduces its UK supply model unchanged. Local sourcing would therefore provide not only economic benefits but also legal and customs simplification. Overall, India’s legal environment </w:t>
      </w:r>
      <w:r w:rsidRPr="00B175BD">
        <w:rPr>
          <w:rFonts w:ascii="Arial" w:hAnsi="Arial" w:cs="Arial"/>
        </w:rPr>
        <w:t>is manageable but compliance-intensive. It does not prevent entry, but it supports a phased str</w:t>
      </w:r>
      <w:r w:rsidRPr="002330BA">
        <w:rPr>
          <w:rFonts w:ascii="Arial" w:hAnsi="Arial" w:cs="Arial"/>
        </w:rPr>
        <w:t>ategy with strong local legal expertise, centralised food-safety controls and pre-entry protection of intellectual property.</w:t>
      </w:r>
    </w:p>
    <w:p w14:paraId="497E4B39" w14:textId="77777777" w:rsidR="00B175BD" w:rsidRPr="00B175BD" w:rsidRDefault="00B175BD" w:rsidP="00B175BD">
      <w:pPr>
        <w:pStyle w:val="Heading2"/>
        <w:rPr>
          <w:rFonts w:ascii="Arial" w:hAnsi="Arial" w:cs="Arial"/>
          <w:sz w:val="24"/>
          <w:szCs w:val="24"/>
        </w:rPr>
      </w:pPr>
      <w:bookmarkStart w:id="14" w:name="_Toc236996673"/>
      <w:bookmarkStart w:id="15" w:name="_Toc236998172"/>
      <w:r w:rsidRPr="00B175BD">
        <w:rPr>
          <w:rFonts w:ascii="Arial" w:hAnsi="Arial" w:cs="Arial"/>
          <w:sz w:val="24"/>
          <w:szCs w:val="24"/>
        </w:rPr>
        <w:t>2.5 Cultural Environment</w:t>
      </w:r>
      <w:bookmarkEnd w:id="14"/>
      <w:bookmarkEnd w:id="15"/>
    </w:p>
    <w:p w14:paraId="2A5E516F" w14:textId="2545E736" w:rsidR="00B175BD" w:rsidRDefault="008B0938" w:rsidP="00BB2B8E">
      <w:pPr>
        <w:spacing w:after="0" w:line="360" w:lineRule="auto"/>
        <w:rPr>
          <w:rFonts w:ascii="Arial" w:hAnsi="Arial" w:cs="Arial"/>
        </w:rPr>
      </w:pPr>
      <w:r w:rsidRPr="008B0938">
        <w:rPr>
          <w:rFonts w:ascii="Arial" w:hAnsi="Arial" w:cs="Arial"/>
        </w:rPr>
        <w:t>India’s cultural environment presents both substantial opportunities and adaptation challenges for Caffè Nero. Although India has traditionally been characterised by strong tea consumption, coffee is increasingly associated with urban lifestyles, social interaction and premium consumption among younger metropolitan consumers. Recent research indicates that beverage consumption in India is influenced not only by taste but also by perceived quality, lifestyle, social norms, health considerations and value perceptions, making cultural responsiveness particularly important for international food-service brands (Kate, Chaudhary and More, 2024). Consequently, Caffè Nero should avoid assuming that its established UK café proposition can be transferred unchanged to India.</w:t>
      </w:r>
    </w:p>
    <w:p w14:paraId="6EA2D207" w14:textId="77777777" w:rsidR="007170DE" w:rsidRDefault="007170DE" w:rsidP="007170DE">
      <w:pPr>
        <w:spacing w:after="0" w:line="360" w:lineRule="auto"/>
        <w:rPr>
          <w:rFonts w:ascii="Arial" w:hAnsi="Arial" w:cs="Arial"/>
        </w:rPr>
      </w:pPr>
    </w:p>
    <w:p w14:paraId="40D812DE" w14:textId="77777777" w:rsidR="007170DE" w:rsidRDefault="007170DE" w:rsidP="007170DE">
      <w:pPr>
        <w:spacing w:after="0" w:line="360" w:lineRule="auto"/>
        <w:rPr>
          <w:rFonts w:ascii="Arial" w:hAnsi="Arial" w:cs="Arial"/>
        </w:rPr>
      </w:pPr>
    </w:p>
    <w:p w14:paraId="2FA0BC74" w14:textId="77777777" w:rsidR="007170DE" w:rsidRDefault="007170DE" w:rsidP="007170DE">
      <w:pPr>
        <w:spacing w:after="0" w:line="360" w:lineRule="auto"/>
        <w:rPr>
          <w:rFonts w:ascii="Arial" w:hAnsi="Arial" w:cs="Arial"/>
        </w:rPr>
      </w:pPr>
    </w:p>
    <w:p w14:paraId="4D13E6BD" w14:textId="761D872C" w:rsidR="00893C7C" w:rsidRPr="00BB2B8E" w:rsidRDefault="00893C7C" w:rsidP="007170DE">
      <w:pPr>
        <w:spacing w:after="0" w:line="360" w:lineRule="auto"/>
        <w:jc w:val="center"/>
        <w:rPr>
          <w:rFonts w:ascii="Arial" w:hAnsi="Arial" w:cs="Arial"/>
        </w:rPr>
      </w:pPr>
      <w:r w:rsidRPr="00893C7C">
        <w:rPr>
          <w:rFonts w:ascii="Arial" w:hAnsi="Arial" w:cs="Arial"/>
        </w:rPr>
        <w:lastRenderedPageBreak/>
        <w:t xml:space="preserve">Table </w:t>
      </w:r>
      <w:r w:rsidR="00AD2B8E">
        <w:rPr>
          <w:rFonts w:ascii="Arial" w:hAnsi="Arial" w:cs="Arial"/>
        </w:rPr>
        <w:t>5</w:t>
      </w:r>
      <w:r w:rsidRPr="00893C7C">
        <w:rPr>
          <w:rFonts w:ascii="Arial" w:hAnsi="Arial" w:cs="Arial"/>
        </w:rPr>
        <w:t xml:space="preserve">. </w:t>
      </w:r>
      <w:r w:rsidR="00133186">
        <w:rPr>
          <w:rFonts w:ascii="Arial" w:hAnsi="Arial" w:cs="Arial"/>
        </w:rPr>
        <w:t>Cultural</w:t>
      </w:r>
      <w:r w:rsidRPr="00893C7C">
        <w:rPr>
          <w:rFonts w:ascii="Arial" w:hAnsi="Arial" w:cs="Arial"/>
        </w:rPr>
        <w:t xml:space="preserve"> Factors Affecting Caffè Nero's Proposed Entry into India</w:t>
      </w:r>
    </w:p>
    <w:tbl>
      <w:tblPr>
        <w:tblStyle w:val="TableGrid"/>
        <w:tblW w:w="0" w:type="auto"/>
        <w:tblLook w:val="04A0" w:firstRow="1" w:lastRow="0" w:firstColumn="1" w:lastColumn="0" w:noHBand="0" w:noVBand="1"/>
      </w:tblPr>
      <w:tblGrid>
        <w:gridCol w:w="1870"/>
        <w:gridCol w:w="2965"/>
        <w:gridCol w:w="2543"/>
        <w:gridCol w:w="3078"/>
      </w:tblGrid>
      <w:tr w:rsidR="00E94966" w:rsidRPr="00F83115" w14:paraId="1E78DD8F" w14:textId="77777777" w:rsidTr="0048417B">
        <w:tc>
          <w:tcPr>
            <w:tcW w:w="1838" w:type="dxa"/>
            <w:hideMark/>
          </w:tcPr>
          <w:p w14:paraId="6221A2F2" w14:textId="77777777" w:rsidR="00E94966" w:rsidRPr="00F83115" w:rsidRDefault="00E94966" w:rsidP="00E94966">
            <w:pPr>
              <w:spacing w:line="360" w:lineRule="auto"/>
              <w:rPr>
                <w:rFonts w:ascii="Arial" w:hAnsi="Arial" w:cs="Arial"/>
                <w:b/>
                <w:bCs/>
              </w:rPr>
            </w:pPr>
            <w:r w:rsidRPr="00F83115">
              <w:rPr>
                <w:rFonts w:ascii="Arial" w:hAnsi="Arial" w:cs="Arial"/>
                <w:b/>
                <w:bCs/>
              </w:rPr>
              <w:t>Cultural Factor</w:t>
            </w:r>
          </w:p>
        </w:tc>
        <w:tc>
          <w:tcPr>
            <w:tcW w:w="2977" w:type="dxa"/>
            <w:hideMark/>
          </w:tcPr>
          <w:p w14:paraId="3F750BCC" w14:textId="77777777" w:rsidR="00E94966" w:rsidRPr="00F83115" w:rsidRDefault="00E94966" w:rsidP="00E94966">
            <w:pPr>
              <w:spacing w:line="360" w:lineRule="auto"/>
              <w:rPr>
                <w:rFonts w:ascii="Arial" w:hAnsi="Arial" w:cs="Arial"/>
                <w:b/>
                <w:bCs/>
              </w:rPr>
            </w:pPr>
            <w:r w:rsidRPr="00F83115">
              <w:rPr>
                <w:rFonts w:ascii="Arial" w:hAnsi="Arial" w:cs="Arial"/>
                <w:b/>
                <w:bCs/>
              </w:rPr>
              <w:t>Opportunity for Caffè Nero</w:t>
            </w:r>
          </w:p>
        </w:tc>
        <w:tc>
          <w:tcPr>
            <w:tcW w:w="2551" w:type="dxa"/>
            <w:hideMark/>
          </w:tcPr>
          <w:p w14:paraId="0852663B" w14:textId="77777777" w:rsidR="00E94966" w:rsidRPr="00F83115" w:rsidRDefault="00E94966" w:rsidP="00E94966">
            <w:pPr>
              <w:spacing w:line="360" w:lineRule="auto"/>
              <w:rPr>
                <w:rFonts w:ascii="Arial" w:hAnsi="Arial" w:cs="Arial"/>
                <w:b/>
                <w:bCs/>
              </w:rPr>
            </w:pPr>
            <w:r w:rsidRPr="00F83115">
              <w:rPr>
                <w:rFonts w:ascii="Arial" w:hAnsi="Arial" w:cs="Arial"/>
                <w:b/>
                <w:bCs/>
              </w:rPr>
              <w:t>Associated Challenge</w:t>
            </w:r>
          </w:p>
        </w:tc>
        <w:tc>
          <w:tcPr>
            <w:tcW w:w="3090" w:type="dxa"/>
            <w:hideMark/>
          </w:tcPr>
          <w:p w14:paraId="5C28A618" w14:textId="77777777" w:rsidR="00E94966" w:rsidRPr="00F83115" w:rsidRDefault="00E94966" w:rsidP="00E94966">
            <w:pPr>
              <w:spacing w:line="360" w:lineRule="auto"/>
              <w:rPr>
                <w:rFonts w:ascii="Arial" w:hAnsi="Arial" w:cs="Arial"/>
                <w:b/>
                <w:bCs/>
              </w:rPr>
            </w:pPr>
            <w:r w:rsidRPr="00F83115">
              <w:rPr>
                <w:rFonts w:ascii="Arial" w:hAnsi="Arial" w:cs="Arial"/>
                <w:b/>
                <w:bCs/>
              </w:rPr>
              <w:t>Strategic Implication</w:t>
            </w:r>
          </w:p>
        </w:tc>
      </w:tr>
      <w:tr w:rsidR="00E94966" w:rsidRPr="00F83115" w14:paraId="6358622F" w14:textId="77777777" w:rsidTr="0048417B">
        <w:tc>
          <w:tcPr>
            <w:tcW w:w="1838" w:type="dxa"/>
            <w:hideMark/>
          </w:tcPr>
          <w:p w14:paraId="1DD86D93" w14:textId="77777777" w:rsidR="00E94966" w:rsidRPr="00F83115" w:rsidRDefault="00E94966" w:rsidP="00E94966">
            <w:pPr>
              <w:spacing w:line="360" w:lineRule="auto"/>
              <w:rPr>
                <w:rFonts w:ascii="Arial" w:hAnsi="Arial" w:cs="Arial"/>
              </w:rPr>
            </w:pPr>
            <w:r w:rsidRPr="00F83115">
              <w:rPr>
                <w:rFonts w:ascii="Arial" w:hAnsi="Arial" w:cs="Arial"/>
              </w:rPr>
              <w:t>Growth of urban café culture</w:t>
            </w:r>
          </w:p>
        </w:tc>
        <w:tc>
          <w:tcPr>
            <w:tcW w:w="2977" w:type="dxa"/>
            <w:hideMark/>
          </w:tcPr>
          <w:p w14:paraId="12F063D7" w14:textId="77777777" w:rsidR="00E94966" w:rsidRPr="00F83115" w:rsidRDefault="00E94966" w:rsidP="00E94966">
            <w:pPr>
              <w:spacing w:line="360" w:lineRule="auto"/>
              <w:rPr>
                <w:rFonts w:ascii="Arial" w:hAnsi="Arial" w:cs="Arial"/>
              </w:rPr>
            </w:pPr>
            <w:r w:rsidRPr="00F83115">
              <w:rPr>
                <w:rFonts w:ascii="Arial" w:hAnsi="Arial" w:cs="Arial"/>
              </w:rPr>
              <w:t>Increasing acceptance of cafés as spaces for socialising, studying and working</w:t>
            </w:r>
          </w:p>
        </w:tc>
        <w:tc>
          <w:tcPr>
            <w:tcW w:w="2551" w:type="dxa"/>
            <w:hideMark/>
          </w:tcPr>
          <w:p w14:paraId="2B32F4DE" w14:textId="77777777" w:rsidR="00E94966" w:rsidRPr="00F83115" w:rsidRDefault="00E94966" w:rsidP="00E94966">
            <w:pPr>
              <w:spacing w:line="360" w:lineRule="auto"/>
              <w:rPr>
                <w:rFonts w:ascii="Arial" w:hAnsi="Arial" w:cs="Arial"/>
              </w:rPr>
            </w:pPr>
            <w:r w:rsidRPr="00F83115">
              <w:rPr>
                <w:rFonts w:ascii="Arial" w:hAnsi="Arial" w:cs="Arial"/>
              </w:rPr>
              <w:t>Intense competition from international and domestic café brands</w:t>
            </w:r>
          </w:p>
        </w:tc>
        <w:tc>
          <w:tcPr>
            <w:tcW w:w="3090" w:type="dxa"/>
            <w:hideMark/>
          </w:tcPr>
          <w:p w14:paraId="5CE8A03E" w14:textId="77777777" w:rsidR="00E94966" w:rsidRPr="00F83115" w:rsidRDefault="00E94966" w:rsidP="00E94966">
            <w:pPr>
              <w:spacing w:line="360" w:lineRule="auto"/>
              <w:rPr>
                <w:rFonts w:ascii="Arial" w:hAnsi="Arial" w:cs="Arial"/>
              </w:rPr>
            </w:pPr>
            <w:r w:rsidRPr="00F83115">
              <w:rPr>
                <w:rFonts w:ascii="Arial" w:hAnsi="Arial" w:cs="Arial"/>
              </w:rPr>
              <w:t>Differentiate through European café ambience, product quality and customer experience</w:t>
            </w:r>
          </w:p>
        </w:tc>
      </w:tr>
      <w:tr w:rsidR="00E94966" w:rsidRPr="00F83115" w14:paraId="4B798FDE" w14:textId="77777777" w:rsidTr="0048417B">
        <w:tc>
          <w:tcPr>
            <w:tcW w:w="1838" w:type="dxa"/>
            <w:hideMark/>
          </w:tcPr>
          <w:p w14:paraId="50BB81FC" w14:textId="77777777" w:rsidR="00E94966" w:rsidRPr="00F83115" w:rsidRDefault="00E94966" w:rsidP="00E94966">
            <w:pPr>
              <w:spacing w:line="360" w:lineRule="auto"/>
              <w:rPr>
                <w:rFonts w:ascii="Arial" w:hAnsi="Arial" w:cs="Arial"/>
              </w:rPr>
            </w:pPr>
            <w:r w:rsidRPr="00F83115">
              <w:rPr>
                <w:rFonts w:ascii="Arial" w:hAnsi="Arial" w:cs="Arial"/>
              </w:rPr>
              <w:t>Tea-dominant beverage traditions</w:t>
            </w:r>
          </w:p>
        </w:tc>
        <w:tc>
          <w:tcPr>
            <w:tcW w:w="2977" w:type="dxa"/>
            <w:hideMark/>
          </w:tcPr>
          <w:p w14:paraId="44768361" w14:textId="77777777" w:rsidR="00E94966" w:rsidRPr="00F83115" w:rsidRDefault="00E94966" w:rsidP="00E94966">
            <w:pPr>
              <w:spacing w:line="360" w:lineRule="auto"/>
              <w:rPr>
                <w:rFonts w:ascii="Arial" w:hAnsi="Arial" w:cs="Arial"/>
              </w:rPr>
            </w:pPr>
            <w:r w:rsidRPr="00F83115">
              <w:rPr>
                <w:rFonts w:ascii="Arial" w:hAnsi="Arial" w:cs="Arial"/>
              </w:rPr>
              <w:t>Growing interest in coffee provides opportunities for category expansion</w:t>
            </w:r>
          </w:p>
        </w:tc>
        <w:tc>
          <w:tcPr>
            <w:tcW w:w="2551" w:type="dxa"/>
            <w:hideMark/>
          </w:tcPr>
          <w:p w14:paraId="119AEA1F" w14:textId="77777777" w:rsidR="00E94966" w:rsidRPr="00F83115" w:rsidRDefault="00E94966" w:rsidP="00E94966">
            <w:pPr>
              <w:spacing w:line="360" w:lineRule="auto"/>
              <w:rPr>
                <w:rFonts w:ascii="Arial" w:hAnsi="Arial" w:cs="Arial"/>
              </w:rPr>
            </w:pPr>
            <w:r w:rsidRPr="00F83115">
              <w:rPr>
                <w:rFonts w:ascii="Arial" w:hAnsi="Arial" w:cs="Arial"/>
              </w:rPr>
              <w:t>Tea remains culturally embedded and coffee preferences vary substantially across regions</w:t>
            </w:r>
          </w:p>
        </w:tc>
        <w:tc>
          <w:tcPr>
            <w:tcW w:w="3090" w:type="dxa"/>
            <w:hideMark/>
          </w:tcPr>
          <w:p w14:paraId="7F145E7B" w14:textId="77777777" w:rsidR="00E94966" w:rsidRPr="00F83115" w:rsidRDefault="00E94966" w:rsidP="00E94966">
            <w:pPr>
              <w:spacing w:line="360" w:lineRule="auto"/>
              <w:rPr>
                <w:rFonts w:ascii="Arial" w:hAnsi="Arial" w:cs="Arial"/>
              </w:rPr>
            </w:pPr>
            <w:r w:rsidRPr="00F83115">
              <w:rPr>
                <w:rFonts w:ascii="Arial" w:hAnsi="Arial" w:cs="Arial"/>
              </w:rPr>
              <w:t>Target metropolitan coffee consumers rather than attempting immediate mass-market penetration</w:t>
            </w:r>
          </w:p>
        </w:tc>
      </w:tr>
      <w:tr w:rsidR="00E94966" w:rsidRPr="00F83115" w14:paraId="68C8136D" w14:textId="77777777" w:rsidTr="0048417B">
        <w:tc>
          <w:tcPr>
            <w:tcW w:w="1838" w:type="dxa"/>
            <w:hideMark/>
          </w:tcPr>
          <w:p w14:paraId="119102CE" w14:textId="77777777" w:rsidR="00E94966" w:rsidRPr="00F83115" w:rsidRDefault="00E94966" w:rsidP="00E94966">
            <w:pPr>
              <w:spacing w:line="360" w:lineRule="auto"/>
              <w:rPr>
                <w:rFonts w:ascii="Arial" w:hAnsi="Arial" w:cs="Arial"/>
              </w:rPr>
            </w:pPr>
            <w:r w:rsidRPr="00F83115">
              <w:rPr>
                <w:rFonts w:ascii="Arial" w:hAnsi="Arial" w:cs="Arial"/>
              </w:rPr>
              <w:t>Younger and experience-oriented consumers</w:t>
            </w:r>
          </w:p>
        </w:tc>
        <w:tc>
          <w:tcPr>
            <w:tcW w:w="2977" w:type="dxa"/>
            <w:hideMark/>
          </w:tcPr>
          <w:p w14:paraId="0325536F" w14:textId="77777777" w:rsidR="00E94966" w:rsidRPr="00F83115" w:rsidRDefault="00E94966" w:rsidP="00E94966">
            <w:pPr>
              <w:spacing w:line="360" w:lineRule="auto"/>
              <w:rPr>
                <w:rFonts w:ascii="Arial" w:hAnsi="Arial" w:cs="Arial"/>
              </w:rPr>
            </w:pPr>
            <w:r w:rsidRPr="00F83115">
              <w:rPr>
                <w:rFonts w:ascii="Arial" w:hAnsi="Arial" w:cs="Arial"/>
              </w:rPr>
              <w:t>Younger urban consumers increasingly value premium, personalised and digitally enabled experiences</w:t>
            </w:r>
          </w:p>
        </w:tc>
        <w:tc>
          <w:tcPr>
            <w:tcW w:w="2551" w:type="dxa"/>
            <w:hideMark/>
          </w:tcPr>
          <w:p w14:paraId="49FE7E73" w14:textId="77777777" w:rsidR="00E94966" w:rsidRPr="00F83115" w:rsidRDefault="00E94966" w:rsidP="00E94966">
            <w:pPr>
              <w:spacing w:line="360" w:lineRule="auto"/>
              <w:rPr>
                <w:rFonts w:ascii="Arial" w:hAnsi="Arial" w:cs="Arial"/>
              </w:rPr>
            </w:pPr>
            <w:r w:rsidRPr="00F83115">
              <w:rPr>
                <w:rFonts w:ascii="Arial" w:hAnsi="Arial" w:cs="Arial"/>
              </w:rPr>
              <w:t>Consumer preferences and social trends can change rapidly</w:t>
            </w:r>
          </w:p>
        </w:tc>
        <w:tc>
          <w:tcPr>
            <w:tcW w:w="3090" w:type="dxa"/>
            <w:hideMark/>
          </w:tcPr>
          <w:p w14:paraId="4345D34D" w14:textId="77777777" w:rsidR="00E94966" w:rsidRPr="00F83115" w:rsidRDefault="00E94966" w:rsidP="00E94966">
            <w:pPr>
              <w:spacing w:line="360" w:lineRule="auto"/>
              <w:rPr>
                <w:rFonts w:ascii="Arial" w:hAnsi="Arial" w:cs="Arial"/>
              </w:rPr>
            </w:pPr>
            <w:r w:rsidRPr="00F83115">
              <w:rPr>
                <w:rFonts w:ascii="Arial" w:hAnsi="Arial" w:cs="Arial"/>
              </w:rPr>
              <w:t>Develop loyalty programmes, digital engagement and experience-led store formats</w:t>
            </w:r>
          </w:p>
        </w:tc>
      </w:tr>
      <w:tr w:rsidR="00E94966" w:rsidRPr="00F83115" w14:paraId="75D1A5AD" w14:textId="77777777" w:rsidTr="0048417B">
        <w:tc>
          <w:tcPr>
            <w:tcW w:w="1838" w:type="dxa"/>
            <w:hideMark/>
          </w:tcPr>
          <w:p w14:paraId="5E9E305C" w14:textId="77777777" w:rsidR="00E94966" w:rsidRPr="00F83115" w:rsidRDefault="00E94966" w:rsidP="00E94966">
            <w:pPr>
              <w:spacing w:line="360" w:lineRule="auto"/>
              <w:rPr>
                <w:rFonts w:ascii="Arial" w:hAnsi="Arial" w:cs="Arial"/>
              </w:rPr>
            </w:pPr>
            <w:r w:rsidRPr="00F83115">
              <w:rPr>
                <w:rFonts w:ascii="Arial" w:hAnsi="Arial" w:cs="Arial"/>
              </w:rPr>
              <w:t>Vegetarian and local dietary preferences</w:t>
            </w:r>
          </w:p>
        </w:tc>
        <w:tc>
          <w:tcPr>
            <w:tcW w:w="2977" w:type="dxa"/>
            <w:hideMark/>
          </w:tcPr>
          <w:p w14:paraId="75B22B9C" w14:textId="77777777" w:rsidR="00E94966" w:rsidRPr="00F83115" w:rsidRDefault="00E94966" w:rsidP="00E94966">
            <w:pPr>
              <w:spacing w:line="360" w:lineRule="auto"/>
              <w:rPr>
                <w:rFonts w:ascii="Arial" w:hAnsi="Arial" w:cs="Arial"/>
              </w:rPr>
            </w:pPr>
            <w:r w:rsidRPr="00F83115">
              <w:rPr>
                <w:rFonts w:ascii="Arial" w:hAnsi="Arial" w:cs="Arial"/>
              </w:rPr>
              <w:t>Menu localisation can increase acceptance and widen the addressable customer base</w:t>
            </w:r>
          </w:p>
        </w:tc>
        <w:tc>
          <w:tcPr>
            <w:tcW w:w="2551" w:type="dxa"/>
            <w:hideMark/>
          </w:tcPr>
          <w:p w14:paraId="4F3FF8FB" w14:textId="77777777" w:rsidR="00E94966" w:rsidRPr="00F83115" w:rsidRDefault="00E94966" w:rsidP="00E94966">
            <w:pPr>
              <w:spacing w:line="360" w:lineRule="auto"/>
              <w:rPr>
                <w:rFonts w:ascii="Arial" w:hAnsi="Arial" w:cs="Arial"/>
              </w:rPr>
            </w:pPr>
            <w:r w:rsidRPr="00F83115">
              <w:rPr>
                <w:rFonts w:ascii="Arial" w:hAnsi="Arial" w:cs="Arial"/>
              </w:rPr>
              <w:t>Excessive adaptation may weaken Caffè Nero’s distinctive European positioning</w:t>
            </w:r>
          </w:p>
        </w:tc>
        <w:tc>
          <w:tcPr>
            <w:tcW w:w="3090" w:type="dxa"/>
            <w:hideMark/>
          </w:tcPr>
          <w:p w14:paraId="643F9205" w14:textId="77777777" w:rsidR="00E94966" w:rsidRPr="00F83115" w:rsidRDefault="00E94966" w:rsidP="00E94966">
            <w:pPr>
              <w:spacing w:line="360" w:lineRule="auto"/>
              <w:rPr>
                <w:rFonts w:ascii="Arial" w:hAnsi="Arial" w:cs="Arial"/>
              </w:rPr>
            </w:pPr>
            <w:r w:rsidRPr="00F83115">
              <w:rPr>
                <w:rFonts w:ascii="Arial" w:hAnsi="Arial" w:cs="Arial"/>
              </w:rPr>
              <w:t>Combine core Caffè Nero products with selected vegetarian and locally relevant menu options</w:t>
            </w:r>
          </w:p>
        </w:tc>
      </w:tr>
      <w:tr w:rsidR="00E94966" w:rsidRPr="00F83115" w14:paraId="6EE53636" w14:textId="77777777" w:rsidTr="0048417B">
        <w:tc>
          <w:tcPr>
            <w:tcW w:w="1838" w:type="dxa"/>
            <w:hideMark/>
          </w:tcPr>
          <w:p w14:paraId="06CDD237" w14:textId="77777777" w:rsidR="00E94966" w:rsidRPr="00F83115" w:rsidRDefault="00E94966" w:rsidP="00E94966">
            <w:pPr>
              <w:spacing w:line="360" w:lineRule="auto"/>
              <w:rPr>
                <w:rFonts w:ascii="Arial" w:hAnsi="Arial" w:cs="Arial"/>
              </w:rPr>
            </w:pPr>
            <w:r w:rsidRPr="00F83115">
              <w:rPr>
                <w:rFonts w:ascii="Arial" w:hAnsi="Arial" w:cs="Arial"/>
              </w:rPr>
              <w:t>Premiumisation and value sensitivity</w:t>
            </w:r>
          </w:p>
        </w:tc>
        <w:tc>
          <w:tcPr>
            <w:tcW w:w="2977" w:type="dxa"/>
            <w:hideMark/>
          </w:tcPr>
          <w:p w14:paraId="21063EE8" w14:textId="77777777" w:rsidR="00E94966" w:rsidRPr="00F83115" w:rsidRDefault="00E94966" w:rsidP="00E94966">
            <w:pPr>
              <w:spacing w:line="360" w:lineRule="auto"/>
              <w:rPr>
                <w:rFonts w:ascii="Arial" w:hAnsi="Arial" w:cs="Arial"/>
              </w:rPr>
            </w:pPr>
            <w:r w:rsidRPr="00F83115">
              <w:rPr>
                <w:rFonts w:ascii="Arial" w:hAnsi="Arial" w:cs="Arial"/>
              </w:rPr>
              <w:t>Consumers may pay more for perceived quality, authenticity and experience</w:t>
            </w:r>
          </w:p>
        </w:tc>
        <w:tc>
          <w:tcPr>
            <w:tcW w:w="2551" w:type="dxa"/>
            <w:hideMark/>
          </w:tcPr>
          <w:p w14:paraId="07A8033B" w14:textId="77777777" w:rsidR="00E94966" w:rsidRPr="00F83115" w:rsidRDefault="00E94966" w:rsidP="00E94966">
            <w:pPr>
              <w:spacing w:line="360" w:lineRule="auto"/>
              <w:rPr>
                <w:rFonts w:ascii="Arial" w:hAnsi="Arial" w:cs="Arial"/>
              </w:rPr>
            </w:pPr>
            <w:r w:rsidRPr="00F83115">
              <w:rPr>
                <w:rFonts w:ascii="Arial" w:hAnsi="Arial" w:cs="Arial"/>
              </w:rPr>
              <w:t>Premium pricing can restrict demand in a price-sensitive market</w:t>
            </w:r>
          </w:p>
        </w:tc>
        <w:tc>
          <w:tcPr>
            <w:tcW w:w="3090" w:type="dxa"/>
            <w:hideMark/>
          </w:tcPr>
          <w:p w14:paraId="5390A3B5" w14:textId="77777777" w:rsidR="00E94966" w:rsidRPr="00F83115" w:rsidRDefault="00E94966" w:rsidP="00E94966">
            <w:pPr>
              <w:spacing w:line="360" w:lineRule="auto"/>
              <w:rPr>
                <w:rFonts w:ascii="Arial" w:hAnsi="Arial" w:cs="Arial"/>
              </w:rPr>
            </w:pPr>
            <w:r w:rsidRPr="00F83115">
              <w:rPr>
                <w:rFonts w:ascii="Arial" w:hAnsi="Arial" w:cs="Arial"/>
              </w:rPr>
              <w:t>Compete through perceived value and experience rather than price premium alone</w:t>
            </w:r>
          </w:p>
        </w:tc>
      </w:tr>
      <w:tr w:rsidR="00B175BD" w:rsidRPr="00B175BD" w14:paraId="3D8F15D5" w14:textId="77777777" w:rsidTr="0048417B">
        <w:tc>
          <w:tcPr>
            <w:tcW w:w="1838" w:type="dxa"/>
            <w:hideMark/>
          </w:tcPr>
          <w:p w14:paraId="22B200AE" w14:textId="77777777" w:rsidR="00B175BD" w:rsidRPr="00B175BD" w:rsidRDefault="00B175BD" w:rsidP="00B175BD">
            <w:pPr>
              <w:spacing w:line="360" w:lineRule="auto"/>
              <w:rPr>
                <w:rFonts w:ascii="Arial" w:hAnsi="Arial" w:cs="Arial"/>
              </w:rPr>
            </w:pPr>
            <w:r w:rsidRPr="00B175BD">
              <w:rPr>
                <w:rFonts w:ascii="Arial" w:hAnsi="Arial" w:cs="Arial"/>
              </w:rPr>
              <w:t>Millennials and Gen Z</w:t>
            </w:r>
          </w:p>
        </w:tc>
        <w:tc>
          <w:tcPr>
            <w:tcW w:w="2977" w:type="dxa"/>
            <w:hideMark/>
          </w:tcPr>
          <w:p w14:paraId="21D0E197" w14:textId="77777777" w:rsidR="00B175BD" w:rsidRPr="00B175BD" w:rsidRDefault="00B175BD" w:rsidP="00B175BD">
            <w:pPr>
              <w:spacing w:line="360" w:lineRule="auto"/>
              <w:rPr>
                <w:rFonts w:ascii="Arial" w:hAnsi="Arial" w:cs="Arial"/>
              </w:rPr>
            </w:pPr>
            <w:r w:rsidRPr="00B175BD">
              <w:rPr>
                <w:rFonts w:ascii="Arial" w:hAnsi="Arial" w:cs="Arial"/>
              </w:rPr>
              <w:t>High demand for experiential, digital and personalised consumption</w:t>
            </w:r>
          </w:p>
        </w:tc>
        <w:tc>
          <w:tcPr>
            <w:tcW w:w="2551" w:type="dxa"/>
            <w:hideMark/>
          </w:tcPr>
          <w:p w14:paraId="656B112E" w14:textId="77777777" w:rsidR="00B175BD" w:rsidRPr="00B175BD" w:rsidRDefault="00B175BD" w:rsidP="00B175BD">
            <w:pPr>
              <w:spacing w:line="360" w:lineRule="auto"/>
              <w:rPr>
                <w:rFonts w:ascii="Arial" w:hAnsi="Arial" w:cs="Arial"/>
              </w:rPr>
            </w:pPr>
            <w:r w:rsidRPr="00B175BD">
              <w:rPr>
                <w:rFonts w:ascii="Arial" w:hAnsi="Arial" w:cs="Arial"/>
              </w:rPr>
              <w:t>Rapidly changing preferences</w:t>
            </w:r>
          </w:p>
        </w:tc>
        <w:tc>
          <w:tcPr>
            <w:tcW w:w="3090" w:type="dxa"/>
            <w:hideMark/>
          </w:tcPr>
          <w:p w14:paraId="577EFBCF" w14:textId="77777777" w:rsidR="00B175BD" w:rsidRPr="00B175BD" w:rsidRDefault="00B175BD" w:rsidP="00B175BD">
            <w:pPr>
              <w:spacing w:line="360" w:lineRule="auto"/>
              <w:rPr>
                <w:rFonts w:ascii="Arial" w:hAnsi="Arial" w:cs="Arial"/>
              </w:rPr>
            </w:pPr>
            <w:r w:rsidRPr="00B175BD">
              <w:rPr>
                <w:rFonts w:ascii="Arial" w:hAnsi="Arial" w:cs="Arial"/>
              </w:rPr>
              <w:t>Invest in digital engagement, loyalty programmes and experiential retail</w:t>
            </w:r>
          </w:p>
        </w:tc>
      </w:tr>
      <w:tr w:rsidR="00B175BD" w:rsidRPr="00B175BD" w14:paraId="67727A88" w14:textId="77777777" w:rsidTr="0048417B">
        <w:tc>
          <w:tcPr>
            <w:tcW w:w="1838" w:type="dxa"/>
            <w:hideMark/>
          </w:tcPr>
          <w:p w14:paraId="354559DB" w14:textId="77777777" w:rsidR="00B175BD" w:rsidRPr="00B175BD" w:rsidRDefault="00B175BD" w:rsidP="00B175BD">
            <w:pPr>
              <w:spacing w:line="360" w:lineRule="auto"/>
              <w:rPr>
                <w:rFonts w:ascii="Arial" w:hAnsi="Arial" w:cs="Arial"/>
              </w:rPr>
            </w:pPr>
            <w:r w:rsidRPr="00B175BD">
              <w:rPr>
                <w:rFonts w:ascii="Arial" w:hAnsi="Arial" w:cs="Arial"/>
              </w:rPr>
              <w:t>Premiumisation</w:t>
            </w:r>
          </w:p>
        </w:tc>
        <w:tc>
          <w:tcPr>
            <w:tcW w:w="2977" w:type="dxa"/>
            <w:hideMark/>
          </w:tcPr>
          <w:p w14:paraId="4094F95B" w14:textId="77777777" w:rsidR="00B175BD" w:rsidRPr="00B175BD" w:rsidRDefault="00B175BD" w:rsidP="00B175BD">
            <w:pPr>
              <w:spacing w:line="360" w:lineRule="auto"/>
              <w:rPr>
                <w:rFonts w:ascii="Arial" w:hAnsi="Arial" w:cs="Arial"/>
              </w:rPr>
            </w:pPr>
            <w:r w:rsidRPr="00B175BD">
              <w:rPr>
                <w:rFonts w:ascii="Arial" w:hAnsi="Arial" w:cs="Arial"/>
              </w:rPr>
              <w:t>Consumers increasingly value quality and authenticity</w:t>
            </w:r>
          </w:p>
        </w:tc>
        <w:tc>
          <w:tcPr>
            <w:tcW w:w="2551" w:type="dxa"/>
            <w:hideMark/>
          </w:tcPr>
          <w:p w14:paraId="2E2EE6E2" w14:textId="77777777" w:rsidR="00B175BD" w:rsidRPr="00B175BD" w:rsidRDefault="00B175BD" w:rsidP="00B175BD">
            <w:pPr>
              <w:spacing w:line="360" w:lineRule="auto"/>
              <w:rPr>
                <w:rFonts w:ascii="Arial" w:hAnsi="Arial" w:cs="Arial"/>
              </w:rPr>
            </w:pPr>
            <w:r w:rsidRPr="00B175BD">
              <w:rPr>
                <w:rFonts w:ascii="Arial" w:hAnsi="Arial" w:cs="Arial"/>
              </w:rPr>
              <w:t>Price sensitivity remains significant</w:t>
            </w:r>
          </w:p>
        </w:tc>
        <w:tc>
          <w:tcPr>
            <w:tcW w:w="3090" w:type="dxa"/>
            <w:hideMark/>
          </w:tcPr>
          <w:p w14:paraId="585C493C" w14:textId="77777777" w:rsidR="00B175BD" w:rsidRPr="00B175BD" w:rsidRDefault="00B175BD" w:rsidP="00B175BD">
            <w:pPr>
              <w:spacing w:line="360" w:lineRule="auto"/>
              <w:rPr>
                <w:rFonts w:ascii="Arial" w:hAnsi="Arial" w:cs="Arial"/>
              </w:rPr>
            </w:pPr>
            <w:r w:rsidRPr="00B175BD">
              <w:rPr>
                <w:rFonts w:ascii="Arial" w:hAnsi="Arial" w:cs="Arial"/>
              </w:rPr>
              <w:t>Deliver value through experience rather than premium pricing alone</w:t>
            </w:r>
          </w:p>
        </w:tc>
      </w:tr>
    </w:tbl>
    <w:p w14:paraId="19E0801F" w14:textId="0D66C197" w:rsidR="00D67448" w:rsidRPr="009009A3" w:rsidRDefault="009009A3" w:rsidP="00893C7C">
      <w:pPr>
        <w:spacing w:after="0" w:line="360" w:lineRule="auto"/>
        <w:rPr>
          <w:rFonts w:ascii="Arial" w:hAnsi="Arial" w:cs="Arial"/>
          <w:i/>
          <w:iCs/>
          <w:noProof/>
          <w:color w:val="808080" w:themeColor="background1" w:themeShade="80"/>
          <w:sz w:val="20"/>
          <w:szCs w:val="20"/>
        </w:rPr>
      </w:pPr>
      <w:r w:rsidRPr="009009A3">
        <w:rPr>
          <w:rFonts w:ascii="Arial" w:hAnsi="Arial" w:cs="Arial"/>
          <w:i/>
          <w:iCs/>
          <w:noProof/>
          <w:color w:val="808080" w:themeColor="background1" w:themeShade="80"/>
          <w:sz w:val="20"/>
          <w:szCs w:val="20"/>
        </w:rPr>
        <w:t>Source: Author’s analysis based on Euromonitor International (2025; 2026), Kate, Chaudhary and More (2024) and relevant consumer-behaviour literature.</w:t>
      </w:r>
    </w:p>
    <w:p w14:paraId="1558A4AB" w14:textId="77777777" w:rsidR="00D67448" w:rsidRDefault="00D67448" w:rsidP="00893C7C">
      <w:pPr>
        <w:spacing w:after="0" w:line="360" w:lineRule="auto"/>
        <w:rPr>
          <w:rFonts w:ascii="Arial" w:hAnsi="Arial" w:cs="Arial"/>
          <w:noProof/>
        </w:rPr>
      </w:pPr>
    </w:p>
    <w:p w14:paraId="39F47466" w14:textId="77777777" w:rsidR="00D67448" w:rsidRDefault="00D67448" w:rsidP="00893C7C">
      <w:pPr>
        <w:spacing w:after="0" w:line="360" w:lineRule="auto"/>
        <w:rPr>
          <w:rFonts w:ascii="Arial" w:hAnsi="Arial" w:cs="Arial"/>
          <w:noProof/>
        </w:rPr>
      </w:pPr>
    </w:p>
    <w:p w14:paraId="0CD810E9" w14:textId="5CBF5A03" w:rsidR="00E0123E" w:rsidRPr="00E0123E" w:rsidRDefault="006A54D6" w:rsidP="006A54D6">
      <w:pPr>
        <w:spacing w:after="0" w:line="360" w:lineRule="auto"/>
        <w:rPr>
          <w:rFonts w:ascii="Arial" w:hAnsi="Arial" w:cs="Arial"/>
          <w:noProof/>
        </w:rPr>
      </w:pPr>
      <w:r>
        <w:rPr>
          <w:rFonts w:ascii="Arial" w:hAnsi="Arial" w:cs="Arial"/>
          <w:noProof/>
        </w:rPr>
        <w:lastRenderedPageBreak/>
        <w:drawing>
          <wp:anchor distT="0" distB="0" distL="114300" distR="114300" simplePos="0" relativeHeight="251664384" behindDoc="0" locked="0" layoutInCell="1" allowOverlap="1" wp14:anchorId="164931B1" wp14:editId="1AC6BEBA">
            <wp:simplePos x="0" y="0"/>
            <wp:positionH relativeFrom="column">
              <wp:posOffset>66675</wp:posOffset>
            </wp:positionH>
            <wp:positionV relativeFrom="paragraph">
              <wp:posOffset>0</wp:posOffset>
            </wp:positionV>
            <wp:extent cx="6048375" cy="4032250"/>
            <wp:effectExtent l="0" t="0" r="9525" b="6350"/>
            <wp:wrapTopAndBottom/>
            <wp:docPr id="134540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48375" cy="4032250"/>
                    </a:xfrm>
                    <a:prstGeom prst="rect">
                      <a:avLst/>
                    </a:prstGeom>
                    <a:noFill/>
                  </pic:spPr>
                </pic:pic>
              </a:graphicData>
            </a:graphic>
            <wp14:sizeRelH relativeFrom="page">
              <wp14:pctWidth>0</wp14:pctWidth>
            </wp14:sizeRelH>
            <wp14:sizeRelV relativeFrom="page">
              <wp14:pctHeight>0</wp14:pctHeight>
            </wp14:sizeRelV>
          </wp:anchor>
        </w:drawing>
      </w:r>
      <w:r w:rsidR="00E0123E" w:rsidRPr="00E0123E">
        <w:rPr>
          <w:rFonts w:ascii="Arial" w:hAnsi="Arial" w:cs="Arial"/>
          <w:noProof/>
        </w:rPr>
        <w:t>One of the most important cultural considerations is the relationship between India’s established tea tradition and its emerging coffee culture. Tea remains deeply embedded in everyday consumption, meaning that Caffè Nero cannot assume that Western-style coffee consumption represents a universal preference. Nevertheless, evidence of changing urban consumption patterns suggests that younger consumers increasingly view cafés as lifestyle and social spaces rather than merely locations for purchasing beverages. Research into Indian beverage consumption similarly demonstrates that consumer choices are shaped by perceived quality, price, health benefits and social influences rather than product characteristics alone (Kate, Chaudhary and More, 2024). This creates an opportunity for Caffè Nero to position itself around experience, authenticity and product quality while concentrating initially on metropolitan consumers already familiar with premium café formats.</w:t>
      </w:r>
    </w:p>
    <w:p w14:paraId="580D62A8" w14:textId="2F8B2FDF" w:rsidR="00E0123E" w:rsidRPr="00E0123E" w:rsidRDefault="00E0123E" w:rsidP="00E0123E">
      <w:pPr>
        <w:spacing w:after="0" w:line="360" w:lineRule="auto"/>
        <w:rPr>
          <w:rFonts w:ascii="Arial" w:hAnsi="Arial" w:cs="Arial"/>
          <w:noProof/>
        </w:rPr>
      </w:pPr>
      <w:r w:rsidRPr="00E0123E">
        <w:rPr>
          <w:rFonts w:ascii="Arial" w:hAnsi="Arial" w:cs="Arial"/>
          <w:noProof/>
        </w:rPr>
        <w:t xml:space="preserve">Dietary culture also requires selective localisation. </w:t>
      </w:r>
      <w:r w:rsidR="00F642C2" w:rsidRPr="00F642C2">
        <w:rPr>
          <w:rFonts w:ascii="Arial" w:hAnsi="Arial" w:cs="Arial"/>
          <w:noProof/>
        </w:rPr>
        <w:t>India has a substantial vegetarian consumer base, while research into the Indian food-service sector demonstrates that changing health, ethical and lifestyle preferences are creating opportunities for vegetarian and plant-based offerings, although operational and market barriers remain significant (Sharma et al., 2023).</w:t>
      </w:r>
      <w:r w:rsidR="00F642C2">
        <w:rPr>
          <w:rFonts w:ascii="Arial" w:hAnsi="Arial" w:cs="Arial"/>
          <w:noProof/>
        </w:rPr>
        <w:t xml:space="preserve"> </w:t>
      </w:r>
      <w:r w:rsidRPr="00E0123E">
        <w:rPr>
          <w:rFonts w:ascii="Arial" w:hAnsi="Arial" w:cs="Arial"/>
          <w:noProof/>
        </w:rPr>
        <w:t xml:space="preserve">For Caffè Nero, this implies that menu adaptation should extend beyond beverages to include a strong vegetarian range and selected locally relevant products. However, excessive localisation could dilute the European café identity that constitutes part of the company’s ownership advantage. A selective adaptation strategy would therefore be preferable, maintaining signature coffee products and store </w:t>
      </w:r>
      <w:r w:rsidRPr="00E0123E">
        <w:rPr>
          <w:rFonts w:ascii="Arial" w:hAnsi="Arial" w:cs="Arial"/>
          <w:noProof/>
        </w:rPr>
        <w:lastRenderedPageBreak/>
        <w:t>ambience while adapting food choices and flavours where consumer acceptance warrants modification.</w:t>
      </w:r>
    </w:p>
    <w:p w14:paraId="148EA0B9" w14:textId="77777777" w:rsidR="00E0123E" w:rsidRPr="00E0123E" w:rsidRDefault="00E0123E" w:rsidP="00E0123E">
      <w:pPr>
        <w:spacing w:after="0" w:line="360" w:lineRule="auto"/>
        <w:rPr>
          <w:rFonts w:ascii="Arial" w:hAnsi="Arial" w:cs="Arial"/>
          <w:noProof/>
        </w:rPr>
      </w:pPr>
      <w:r w:rsidRPr="00E0123E">
        <w:rPr>
          <w:rFonts w:ascii="Arial" w:hAnsi="Arial" w:cs="Arial"/>
          <w:noProof/>
        </w:rPr>
        <w:t>Cultural change also strengthens the importance of experiential consumption. Younger urban consumers increasingly use cafés for social interaction, informal meetings, studying and leisure, creating value beyond the functional consumption of coffee. This supports Caffè Nero’s established emphasis on ambience and the European coffeehouse experience. However, culturally responsive positioning should not be interpreted as complete standardisation. Bartlett and Ghoshal’s (1989) framework suggests that international firms must balance the efficiency and brand consistency derived from global integration with sufficient local responsiveness to address host-market differences. In India, this balance is particularly important because cultural and dietary preferences vary considerably across consumer groups and regions.</w:t>
      </w:r>
    </w:p>
    <w:p w14:paraId="3EB89CF1" w14:textId="77777777" w:rsidR="00E0123E" w:rsidRPr="00E0123E" w:rsidRDefault="00E0123E" w:rsidP="00E0123E">
      <w:pPr>
        <w:spacing w:after="0" w:line="360" w:lineRule="auto"/>
        <w:rPr>
          <w:rFonts w:ascii="Arial" w:hAnsi="Arial" w:cs="Arial"/>
          <w:noProof/>
        </w:rPr>
      </w:pPr>
      <w:r w:rsidRPr="00E0123E">
        <w:rPr>
          <w:rFonts w:ascii="Arial" w:hAnsi="Arial" w:cs="Arial"/>
          <w:noProof/>
        </w:rPr>
        <w:t>Overall, India’s cultural environment is attractive for Caffè Nero but requires selective localisation rather than wholesale adaptation. Growing metropolitan café culture and demand for premium experiences create an opportunity to transfer the company’s European brand and coffee expertise, while persistent tea traditions, dietary preferences and price sensitivity require modifications to the product portfolio and customer proposition. A culturally responsive strategy combining a consistent global brand experience with locally appropriate menu choices and digital engagement would therefore strengthen consumer acceptance without undermining Caffè Nero’s distinctive positioning.</w:t>
      </w:r>
    </w:p>
    <w:p w14:paraId="48528528" w14:textId="77777777" w:rsidR="006964AB" w:rsidRPr="00893C7C" w:rsidRDefault="006964AB" w:rsidP="00893C7C">
      <w:pPr>
        <w:spacing w:after="0" w:line="360" w:lineRule="auto"/>
        <w:rPr>
          <w:rFonts w:ascii="Arial" w:hAnsi="Arial" w:cs="Arial"/>
        </w:rPr>
      </w:pPr>
    </w:p>
    <w:p w14:paraId="6C3A772A" w14:textId="4B3F33AD" w:rsidR="00DA7D9C" w:rsidRPr="00B175BD" w:rsidRDefault="00DA7D9C" w:rsidP="00B175BD">
      <w:pPr>
        <w:spacing w:after="0" w:line="360" w:lineRule="auto"/>
        <w:jc w:val="center"/>
        <w:rPr>
          <w:rFonts w:ascii="Arial" w:hAnsi="Arial" w:cs="Arial"/>
          <w:b/>
          <w:bCs/>
        </w:rPr>
      </w:pPr>
      <w:r>
        <w:rPr>
          <w:rFonts w:ascii="Arial" w:hAnsi="Arial" w:cs="Arial"/>
          <w:b/>
          <w:bCs/>
          <w:noProof/>
        </w:rPr>
        <w:lastRenderedPageBreak/>
        <w:drawing>
          <wp:inline distT="0" distB="0" distL="0" distR="0" wp14:anchorId="73BE6621" wp14:editId="04826E1B">
            <wp:extent cx="6357938" cy="4238625"/>
            <wp:effectExtent l="0" t="0" r="5080" b="0"/>
            <wp:docPr id="3426227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362654" cy="4241769"/>
                    </a:xfrm>
                    <a:prstGeom prst="rect">
                      <a:avLst/>
                    </a:prstGeom>
                    <a:noFill/>
                  </pic:spPr>
                </pic:pic>
              </a:graphicData>
            </a:graphic>
          </wp:inline>
        </w:drawing>
      </w:r>
    </w:p>
    <w:p w14:paraId="3E135F7F" w14:textId="75A51F71" w:rsidR="009C28CA" w:rsidRPr="009C28CA" w:rsidRDefault="009C28CA" w:rsidP="009C28CA">
      <w:pPr>
        <w:pStyle w:val="Heading2"/>
        <w:rPr>
          <w:rFonts w:ascii="Arial" w:hAnsi="Arial" w:cs="Arial"/>
          <w:sz w:val="24"/>
          <w:szCs w:val="24"/>
        </w:rPr>
      </w:pPr>
      <w:bookmarkStart w:id="16" w:name="_Toc236996674"/>
      <w:bookmarkStart w:id="17" w:name="_Toc236998173"/>
      <w:r w:rsidRPr="009C28CA">
        <w:rPr>
          <w:rFonts w:ascii="Arial" w:hAnsi="Arial" w:cs="Arial"/>
          <w:sz w:val="24"/>
          <w:szCs w:val="24"/>
        </w:rPr>
        <w:t>2.</w:t>
      </w:r>
      <w:r w:rsidR="000D7D07">
        <w:rPr>
          <w:rFonts w:ascii="Arial" w:hAnsi="Arial" w:cs="Arial"/>
          <w:sz w:val="24"/>
          <w:szCs w:val="24"/>
        </w:rPr>
        <w:t>6</w:t>
      </w:r>
      <w:r w:rsidRPr="009C28CA">
        <w:rPr>
          <w:rFonts w:ascii="Arial" w:hAnsi="Arial" w:cs="Arial"/>
          <w:sz w:val="24"/>
          <w:szCs w:val="24"/>
        </w:rPr>
        <w:t xml:space="preserve"> Market Entry Analysis Using Dunning's Eclectic (OLI) Paradigm</w:t>
      </w:r>
      <w:bookmarkEnd w:id="16"/>
      <w:bookmarkEnd w:id="17"/>
    </w:p>
    <w:p w14:paraId="5C1F39D6" w14:textId="77777777" w:rsidR="00B03DFB" w:rsidRPr="00B03DFB" w:rsidRDefault="00B03DFB" w:rsidP="00B03DFB">
      <w:pPr>
        <w:spacing w:after="0" w:line="360" w:lineRule="auto"/>
        <w:rPr>
          <w:rFonts w:ascii="Arial" w:hAnsi="Arial" w:cs="Arial"/>
        </w:rPr>
      </w:pPr>
      <w:r w:rsidRPr="00B03DFB">
        <w:rPr>
          <w:rFonts w:ascii="Arial" w:hAnsi="Arial" w:cs="Arial"/>
        </w:rPr>
        <w:t>Following the macro-environmental appraisal, Dunning's Eclectic (OLI) Paradigm provides an appropriate framework for assessing whether Caffè Nero possesses the strategic conditions necessary for successful foreign direct investment (FDI) in India. Dunning (1988) argues that international expansion is most likely when firms simultaneously possess ownership (O), location (L) and internalisation (I) advantages. Rather than evaluating these dimensions independently, the framework explains how their interaction determines the viability of international market entry.</w:t>
      </w:r>
    </w:p>
    <w:p w14:paraId="1D7151E4" w14:textId="3BF5B4A0" w:rsidR="009C28CA" w:rsidRPr="009C28CA" w:rsidRDefault="009C28CA" w:rsidP="009C28CA">
      <w:pPr>
        <w:spacing w:after="0" w:line="360" w:lineRule="auto"/>
        <w:jc w:val="center"/>
        <w:rPr>
          <w:rFonts w:ascii="Arial" w:hAnsi="Arial" w:cs="Arial"/>
        </w:rPr>
      </w:pPr>
      <w:r w:rsidRPr="009C28CA">
        <w:rPr>
          <w:rFonts w:ascii="Arial" w:hAnsi="Arial" w:cs="Arial"/>
        </w:rPr>
        <w:t>Table 7. Application of Dunning's Eclectic (OLI) Paradigm to Caffè Nero's Proposed Entry into India</w:t>
      </w:r>
    </w:p>
    <w:tbl>
      <w:tblPr>
        <w:tblStyle w:val="TableGrid"/>
        <w:tblW w:w="0" w:type="auto"/>
        <w:tblLook w:val="04A0" w:firstRow="1" w:lastRow="0" w:firstColumn="1" w:lastColumn="0" w:noHBand="0" w:noVBand="1"/>
      </w:tblPr>
      <w:tblGrid>
        <w:gridCol w:w="2059"/>
        <w:gridCol w:w="4268"/>
        <w:gridCol w:w="4129"/>
      </w:tblGrid>
      <w:tr w:rsidR="009C28CA" w:rsidRPr="009C28CA" w14:paraId="4E9576C7" w14:textId="77777777" w:rsidTr="009C28CA">
        <w:tc>
          <w:tcPr>
            <w:tcW w:w="0" w:type="auto"/>
            <w:hideMark/>
          </w:tcPr>
          <w:p w14:paraId="1F5F5233" w14:textId="77777777" w:rsidR="009C28CA" w:rsidRPr="009C28CA" w:rsidRDefault="009C28CA" w:rsidP="009C28CA">
            <w:pPr>
              <w:spacing w:line="360" w:lineRule="auto"/>
              <w:rPr>
                <w:rFonts w:ascii="Arial" w:hAnsi="Arial" w:cs="Arial"/>
                <w:b/>
                <w:bCs/>
              </w:rPr>
            </w:pPr>
            <w:r w:rsidRPr="009C28CA">
              <w:rPr>
                <w:rFonts w:ascii="Arial" w:hAnsi="Arial" w:cs="Arial"/>
                <w:b/>
                <w:bCs/>
              </w:rPr>
              <w:t>OLI Dimension</w:t>
            </w:r>
          </w:p>
        </w:tc>
        <w:tc>
          <w:tcPr>
            <w:tcW w:w="0" w:type="auto"/>
            <w:hideMark/>
          </w:tcPr>
          <w:p w14:paraId="26E1351D" w14:textId="77777777" w:rsidR="009C28CA" w:rsidRPr="009C28CA" w:rsidRDefault="009C28CA" w:rsidP="009C28CA">
            <w:pPr>
              <w:spacing w:line="360" w:lineRule="auto"/>
              <w:rPr>
                <w:rFonts w:ascii="Arial" w:hAnsi="Arial" w:cs="Arial"/>
                <w:b/>
                <w:bCs/>
              </w:rPr>
            </w:pPr>
            <w:r w:rsidRPr="009C28CA">
              <w:rPr>
                <w:rFonts w:ascii="Arial" w:hAnsi="Arial" w:cs="Arial"/>
                <w:b/>
                <w:bCs/>
              </w:rPr>
              <w:t>Evidence from Macro-Environmental Analysis</w:t>
            </w:r>
          </w:p>
        </w:tc>
        <w:tc>
          <w:tcPr>
            <w:tcW w:w="0" w:type="auto"/>
            <w:hideMark/>
          </w:tcPr>
          <w:p w14:paraId="28BF510F" w14:textId="77777777" w:rsidR="009C28CA" w:rsidRPr="009C28CA" w:rsidRDefault="009C28CA" w:rsidP="009C28CA">
            <w:pPr>
              <w:spacing w:line="360" w:lineRule="auto"/>
              <w:rPr>
                <w:rFonts w:ascii="Arial" w:hAnsi="Arial" w:cs="Arial"/>
                <w:b/>
                <w:bCs/>
              </w:rPr>
            </w:pPr>
            <w:r w:rsidRPr="009C28CA">
              <w:rPr>
                <w:rFonts w:ascii="Arial" w:hAnsi="Arial" w:cs="Arial"/>
                <w:b/>
                <w:bCs/>
              </w:rPr>
              <w:t>Strategic Implication</w:t>
            </w:r>
          </w:p>
        </w:tc>
      </w:tr>
      <w:tr w:rsidR="009C28CA" w:rsidRPr="009C28CA" w14:paraId="73A091BA" w14:textId="77777777" w:rsidTr="009C28CA">
        <w:tc>
          <w:tcPr>
            <w:tcW w:w="0" w:type="auto"/>
            <w:hideMark/>
          </w:tcPr>
          <w:p w14:paraId="56FA9153" w14:textId="77777777" w:rsidR="009C28CA" w:rsidRPr="009C28CA" w:rsidRDefault="009C28CA" w:rsidP="009C28CA">
            <w:pPr>
              <w:spacing w:line="360" w:lineRule="auto"/>
              <w:rPr>
                <w:rFonts w:ascii="Arial" w:hAnsi="Arial" w:cs="Arial"/>
              </w:rPr>
            </w:pPr>
            <w:r w:rsidRPr="009C28CA">
              <w:rPr>
                <w:rFonts w:ascii="Arial" w:hAnsi="Arial" w:cs="Arial"/>
                <w:b/>
                <w:bCs/>
              </w:rPr>
              <w:t>Ownership Advantage</w:t>
            </w:r>
          </w:p>
        </w:tc>
        <w:tc>
          <w:tcPr>
            <w:tcW w:w="0" w:type="auto"/>
            <w:hideMark/>
          </w:tcPr>
          <w:p w14:paraId="65A5FF9B" w14:textId="77777777" w:rsidR="009C28CA" w:rsidRPr="009C28CA" w:rsidRDefault="009C28CA" w:rsidP="009C28CA">
            <w:pPr>
              <w:spacing w:line="360" w:lineRule="auto"/>
              <w:rPr>
                <w:rFonts w:ascii="Arial" w:hAnsi="Arial" w:cs="Arial"/>
              </w:rPr>
            </w:pPr>
            <w:r w:rsidRPr="009C28CA">
              <w:rPr>
                <w:rFonts w:ascii="Arial" w:hAnsi="Arial" w:cs="Arial"/>
              </w:rPr>
              <w:t>Strong European brand identity, premium café positioning, operational expertise, consistent customer experience and international management capabilities.</w:t>
            </w:r>
          </w:p>
        </w:tc>
        <w:tc>
          <w:tcPr>
            <w:tcW w:w="0" w:type="auto"/>
            <w:hideMark/>
          </w:tcPr>
          <w:p w14:paraId="2C4BD113" w14:textId="77777777" w:rsidR="009C28CA" w:rsidRPr="009C28CA" w:rsidRDefault="009C28CA" w:rsidP="009C28CA">
            <w:pPr>
              <w:spacing w:line="360" w:lineRule="auto"/>
              <w:rPr>
                <w:rFonts w:ascii="Arial" w:hAnsi="Arial" w:cs="Arial"/>
              </w:rPr>
            </w:pPr>
            <w:r w:rsidRPr="009C28CA">
              <w:rPr>
                <w:rFonts w:ascii="Arial" w:hAnsi="Arial" w:cs="Arial"/>
              </w:rPr>
              <w:t>Enables Caffè Nero to differentiate itself within India's increasingly competitive premium café sector.</w:t>
            </w:r>
          </w:p>
        </w:tc>
      </w:tr>
      <w:tr w:rsidR="009C28CA" w:rsidRPr="009C28CA" w14:paraId="64482292" w14:textId="77777777" w:rsidTr="009C28CA">
        <w:tc>
          <w:tcPr>
            <w:tcW w:w="0" w:type="auto"/>
            <w:hideMark/>
          </w:tcPr>
          <w:p w14:paraId="720385E0" w14:textId="77777777" w:rsidR="009C28CA" w:rsidRPr="009C28CA" w:rsidRDefault="009C28CA" w:rsidP="009C28CA">
            <w:pPr>
              <w:spacing w:line="360" w:lineRule="auto"/>
              <w:rPr>
                <w:rFonts w:ascii="Arial" w:hAnsi="Arial" w:cs="Arial"/>
              </w:rPr>
            </w:pPr>
            <w:r w:rsidRPr="009C28CA">
              <w:rPr>
                <w:rFonts w:ascii="Arial" w:hAnsi="Arial" w:cs="Arial"/>
                <w:b/>
                <w:bCs/>
              </w:rPr>
              <w:lastRenderedPageBreak/>
              <w:t>Location Advantage</w:t>
            </w:r>
          </w:p>
        </w:tc>
        <w:tc>
          <w:tcPr>
            <w:tcW w:w="0" w:type="auto"/>
            <w:hideMark/>
          </w:tcPr>
          <w:p w14:paraId="0C33E594" w14:textId="77777777" w:rsidR="009C28CA" w:rsidRPr="009C28CA" w:rsidRDefault="009C28CA" w:rsidP="009C28CA">
            <w:pPr>
              <w:spacing w:line="360" w:lineRule="auto"/>
              <w:rPr>
                <w:rFonts w:ascii="Arial" w:hAnsi="Arial" w:cs="Arial"/>
              </w:rPr>
            </w:pPr>
            <w:r w:rsidRPr="009C28CA">
              <w:rPr>
                <w:rFonts w:ascii="Arial" w:hAnsi="Arial" w:cs="Arial"/>
              </w:rPr>
              <w:t>Liberalised FDI environment, expanding affluent urban consumers, growing café culture and favourable long-term market growth despite regulatory complexity.</w:t>
            </w:r>
          </w:p>
        </w:tc>
        <w:tc>
          <w:tcPr>
            <w:tcW w:w="0" w:type="auto"/>
            <w:hideMark/>
          </w:tcPr>
          <w:p w14:paraId="3DFB1457" w14:textId="77777777" w:rsidR="009C28CA" w:rsidRPr="009C28CA" w:rsidRDefault="009C28CA" w:rsidP="009C28CA">
            <w:pPr>
              <w:spacing w:line="360" w:lineRule="auto"/>
              <w:rPr>
                <w:rFonts w:ascii="Arial" w:hAnsi="Arial" w:cs="Arial"/>
              </w:rPr>
            </w:pPr>
            <w:r w:rsidRPr="009C28CA">
              <w:rPr>
                <w:rFonts w:ascii="Arial" w:hAnsi="Arial" w:cs="Arial"/>
              </w:rPr>
              <w:t>India offers significant long-term market potential, particularly within metropolitan cities.</w:t>
            </w:r>
          </w:p>
        </w:tc>
      </w:tr>
      <w:tr w:rsidR="009C28CA" w:rsidRPr="009C28CA" w14:paraId="2F84B1DC" w14:textId="77777777" w:rsidTr="009C28CA">
        <w:tc>
          <w:tcPr>
            <w:tcW w:w="0" w:type="auto"/>
            <w:hideMark/>
          </w:tcPr>
          <w:p w14:paraId="3E633A7E" w14:textId="77777777" w:rsidR="009C28CA" w:rsidRPr="009C28CA" w:rsidRDefault="009C28CA" w:rsidP="009C28CA">
            <w:pPr>
              <w:spacing w:line="360" w:lineRule="auto"/>
              <w:rPr>
                <w:rFonts w:ascii="Arial" w:hAnsi="Arial" w:cs="Arial"/>
              </w:rPr>
            </w:pPr>
            <w:r w:rsidRPr="009C28CA">
              <w:rPr>
                <w:rFonts w:ascii="Arial" w:hAnsi="Arial" w:cs="Arial"/>
                <w:b/>
                <w:bCs/>
              </w:rPr>
              <w:t>Internalisation Advantage</w:t>
            </w:r>
          </w:p>
        </w:tc>
        <w:tc>
          <w:tcPr>
            <w:tcW w:w="0" w:type="auto"/>
            <w:hideMark/>
          </w:tcPr>
          <w:p w14:paraId="7FC7CC7C" w14:textId="77777777" w:rsidR="009C28CA" w:rsidRPr="009C28CA" w:rsidRDefault="009C28CA" w:rsidP="009C28CA">
            <w:pPr>
              <w:spacing w:line="360" w:lineRule="auto"/>
              <w:rPr>
                <w:rFonts w:ascii="Arial" w:hAnsi="Arial" w:cs="Arial"/>
              </w:rPr>
            </w:pPr>
            <w:r w:rsidRPr="009C28CA">
              <w:rPr>
                <w:rFonts w:ascii="Arial" w:hAnsi="Arial" w:cs="Arial"/>
              </w:rPr>
              <w:t>Brand quality, food safety, customer experience and operational consistency require close managerial control, while local knowledge remains essential.</w:t>
            </w:r>
          </w:p>
        </w:tc>
        <w:tc>
          <w:tcPr>
            <w:tcW w:w="0" w:type="auto"/>
            <w:hideMark/>
          </w:tcPr>
          <w:p w14:paraId="2EFCB3A6" w14:textId="77777777" w:rsidR="009C28CA" w:rsidRPr="009C28CA" w:rsidRDefault="009C28CA" w:rsidP="009C28CA">
            <w:pPr>
              <w:spacing w:line="360" w:lineRule="auto"/>
              <w:rPr>
                <w:rFonts w:ascii="Arial" w:hAnsi="Arial" w:cs="Arial"/>
              </w:rPr>
            </w:pPr>
            <w:r w:rsidRPr="009C28CA">
              <w:rPr>
                <w:rFonts w:ascii="Arial" w:hAnsi="Arial" w:cs="Arial"/>
              </w:rPr>
              <w:t>A phased equity-based entry supported by an experienced local partner provides an effective balance between control and market responsiveness.</w:t>
            </w:r>
          </w:p>
        </w:tc>
      </w:tr>
    </w:tbl>
    <w:p w14:paraId="10A81480" w14:textId="77777777" w:rsidR="009C28CA" w:rsidRPr="009C28CA" w:rsidRDefault="009C28CA" w:rsidP="009C28CA">
      <w:pPr>
        <w:spacing w:after="0" w:line="360" w:lineRule="auto"/>
        <w:rPr>
          <w:rFonts w:ascii="Arial" w:hAnsi="Arial" w:cs="Arial"/>
          <w:i/>
          <w:iCs/>
          <w:color w:val="808080" w:themeColor="background1" w:themeShade="80"/>
          <w:sz w:val="22"/>
          <w:szCs w:val="22"/>
        </w:rPr>
      </w:pPr>
      <w:r w:rsidRPr="009C28CA">
        <w:rPr>
          <w:rFonts w:ascii="Arial" w:hAnsi="Arial" w:cs="Arial"/>
          <w:b/>
          <w:bCs/>
          <w:i/>
          <w:iCs/>
          <w:color w:val="808080" w:themeColor="background1" w:themeShade="80"/>
          <w:sz w:val="22"/>
          <w:szCs w:val="22"/>
        </w:rPr>
        <w:t>Source:</w:t>
      </w:r>
      <w:r w:rsidRPr="009C28CA">
        <w:rPr>
          <w:rFonts w:ascii="Arial" w:hAnsi="Arial" w:cs="Arial"/>
          <w:i/>
          <w:iCs/>
          <w:color w:val="808080" w:themeColor="background1" w:themeShade="80"/>
          <w:sz w:val="22"/>
          <w:szCs w:val="22"/>
        </w:rPr>
        <w:t xml:space="preserve"> Author's synthesis based on Dunning (1988), Eden and Dai (2010) and the preceding macro-environmental analysis.</w:t>
      </w:r>
    </w:p>
    <w:p w14:paraId="6CEBBF97" w14:textId="4F529074" w:rsidR="00EE5582" w:rsidRPr="00EE5582" w:rsidRDefault="00C42AD3" w:rsidP="00EE5582">
      <w:pPr>
        <w:spacing w:after="0" w:line="360" w:lineRule="auto"/>
        <w:rPr>
          <w:rFonts w:ascii="Arial" w:hAnsi="Arial" w:cs="Arial"/>
        </w:rPr>
      </w:pPr>
      <w:r>
        <w:rPr>
          <w:rFonts w:ascii="Arial" w:hAnsi="Arial" w:cs="Arial"/>
          <w:noProof/>
        </w:rPr>
        <w:drawing>
          <wp:anchor distT="0" distB="0" distL="114300" distR="114300" simplePos="0" relativeHeight="251662336" behindDoc="0" locked="0" layoutInCell="1" allowOverlap="1" wp14:anchorId="0D75F5E6" wp14:editId="4588F6B5">
            <wp:simplePos x="0" y="0"/>
            <wp:positionH relativeFrom="margin">
              <wp:align>left</wp:align>
            </wp:positionH>
            <wp:positionV relativeFrom="paragraph">
              <wp:posOffset>11430</wp:posOffset>
            </wp:positionV>
            <wp:extent cx="3848100" cy="5772150"/>
            <wp:effectExtent l="0" t="0" r="0" b="0"/>
            <wp:wrapSquare wrapText="bothSides"/>
            <wp:docPr id="13618269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48100" cy="5772150"/>
                    </a:xfrm>
                    <a:prstGeom prst="rect">
                      <a:avLst/>
                    </a:prstGeom>
                    <a:noFill/>
                  </pic:spPr>
                </pic:pic>
              </a:graphicData>
            </a:graphic>
            <wp14:sizeRelH relativeFrom="page">
              <wp14:pctWidth>0</wp14:pctWidth>
            </wp14:sizeRelH>
            <wp14:sizeRelV relativeFrom="page">
              <wp14:pctHeight>0</wp14:pctHeight>
            </wp14:sizeRelV>
          </wp:anchor>
        </w:drawing>
      </w:r>
      <w:r w:rsidR="00EE5582" w:rsidRPr="00EE5582">
        <w:rPr>
          <w:rFonts w:ascii="Arial" w:hAnsi="Arial" w:cs="Arial"/>
        </w:rPr>
        <w:t>The analysis indicates that Caffè Nero possesses significant ownership advantages through its established European brand identity, premium café positioning, operational expertise and consistent customer experience. These firm-specific assets provide competitive differentiation within India's expanding premium café sector. However, ownership advantages alone are insufficient for sustained success, as multinational firms must continually adapt proprietary capabilities to changing host-market conditions rather than relying solely on existing brand equity (Dunning, 1988; Eden and Dai, 2010).</w:t>
      </w:r>
    </w:p>
    <w:p w14:paraId="5A6A6C53" w14:textId="77777777" w:rsidR="00702D7B" w:rsidRDefault="00EE5582" w:rsidP="00EE5582">
      <w:pPr>
        <w:spacing w:after="0" w:line="360" w:lineRule="auto"/>
        <w:rPr>
          <w:rFonts w:ascii="Arial" w:hAnsi="Arial" w:cs="Arial"/>
        </w:rPr>
      </w:pPr>
      <w:r w:rsidRPr="00EE5582">
        <w:rPr>
          <w:rFonts w:ascii="Arial" w:hAnsi="Arial" w:cs="Arial"/>
        </w:rPr>
        <w:t xml:space="preserve">India also offers compelling location advantages. Liberalised FDI policies, expanding affluent urban consumers and a rapidly developing café culture create favourable conditions for market-seeking investment. </w:t>
      </w:r>
    </w:p>
    <w:p w14:paraId="2B21E471" w14:textId="1F2B47B3" w:rsidR="00EE5582" w:rsidRPr="00EE5582" w:rsidRDefault="00EE5582" w:rsidP="00EE5582">
      <w:pPr>
        <w:spacing w:after="0" w:line="360" w:lineRule="auto"/>
        <w:rPr>
          <w:rFonts w:ascii="Arial" w:hAnsi="Arial" w:cs="Arial"/>
        </w:rPr>
      </w:pPr>
      <w:r w:rsidRPr="00EE5582">
        <w:rPr>
          <w:rFonts w:ascii="Arial" w:hAnsi="Arial" w:cs="Arial"/>
        </w:rPr>
        <w:lastRenderedPageBreak/>
        <w:t>Nevertheless, these opportunities remain concentrated within major metropolitan areas and are accompanied by regulatory complexity and intense competition. Consequently, India should be viewed as a portfolio of high-potential urban markets rather than a homogeneous national market, reinforcing the rationale for phased metropolitan expansion.</w:t>
      </w:r>
    </w:p>
    <w:p w14:paraId="4E457BC5" w14:textId="77777777" w:rsidR="00EE5582" w:rsidRPr="00EE5582" w:rsidRDefault="00EE5582" w:rsidP="00EE5582">
      <w:pPr>
        <w:spacing w:after="0" w:line="360" w:lineRule="auto"/>
        <w:rPr>
          <w:rFonts w:ascii="Arial" w:hAnsi="Arial" w:cs="Arial"/>
        </w:rPr>
      </w:pPr>
      <w:r w:rsidRPr="00EE5582">
        <w:rPr>
          <w:rFonts w:ascii="Arial" w:hAnsi="Arial" w:cs="Arial"/>
        </w:rPr>
        <w:t>Finally, internalisation advantages support maintaining managerial control over Caffè Nero's core strategic assets, particularly brand quality, food safety and customer experience. However, the political and legal analyses demonstrate that navigating India's institutional environment requires substantial local expertise, while the cultural analysis highlights the importance of adapting products and customer engagement to local preferences. Accordingly, complete internalisation through wholly owned expansion would increase financial and operational risk, whereas a carefully governed equity partnership or joint venture would provide an appropriate balance between strategic control and local market knowledge.</w:t>
      </w:r>
    </w:p>
    <w:p w14:paraId="6067449E" w14:textId="6DCD6B82" w:rsidR="00EE5582" w:rsidRDefault="00EE5582" w:rsidP="009C28CA">
      <w:pPr>
        <w:spacing w:after="0" w:line="360" w:lineRule="auto"/>
        <w:rPr>
          <w:rFonts w:ascii="Arial" w:hAnsi="Arial" w:cs="Arial"/>
        </w:rPr>
      </w:pPr>
      <w:r w:rsidRPr="00EE5582">
        <w:rPr>
          <w:rFonts w:ascii="Arial" w:hAnsi="Arial" w:cs="Arial"/>
        </w:rPr>
        <w:t>Overall, the OLI analysis confirms that India represents an attractive destination for Caffè Nero's international expansion. The company possesses transferable ownership advantages; India provides strong location-specific opportunities and internalising key operational activities will help protect long-term competitive advantage. Nevertheless, sustainable success depends on balancing global brand consistency with selective local adaptation. Therefore, a phased metropolitan expansion supported by an experienced local equity partner represents the most appropriate strategy, providing the foundation for the market-entry recommendation developed in the following section.</w:t>
      </w:r>
    </w:p>
    <w:p w14:paraId="0CA85492" w14:textId="77777777" w:rsidR="00053066" w:rsidRDefault="00053066" w:rsidP="009C28CA">
      <w:pPr>
        <w:spacing w:after="0" w:line="360" w:lineRule="auto"/>
        <w:rPr>
          <w:rFonts w:ascii="Arial" w:hAnsi="Arial" w:cs="Arial"/>
        </w:rPr>
      </w:pPr>
    </w:p>
    <w:p w14:paraId="7B158EC7" w14:textId="77777777" w:rsidR="00053066" w:rsidRDefault="00053066" w:rsidP="009C28CA">
      <w:pPr>
        <w:spacing w:after="0" w:line="360" w:lineRule="auto"/>
        <w:rPr>
          <w:rFonts w:ascii="Arial" w:hAnsi="Arial" w:cs="Arial"/>
        </w:rPr>
      </w:pPr>
    </w:p>
    <w:p w14:paraId="05DC4D36" w14:textId="77777777" w:rsidR="00053066" w:rsidRDefault="00053066" w:rsidP="009C28CA">
      <w:pPr>
        <w:spacing w:after="0" w:line="360" w:lineRule="auto"/>
        <w:rPr>
          <w:rFonts w:ascii="Arial" w:hAnsi="Arial" w:cs="Arial"/>
        </w:rPr>
      </w:pPr>
    </w:p>
    <w:p w14:paraId="1097167E" w14:textId="77777777" w:rsidR="00053066" w:rsidRDefault="00053066" w:rsidP="009C28CA">
      <w:pPr>
        <w:spacing w:after="0" w:line="360" w:lineRule="auto"/>
        <w:rPr>
          <w:rFonts w:ascii="Arial" w:hAnsi="Arial" w:cs="Arial"/>
        </w:rPr>
      </w:pPr>
    </w:p>
    <w:p w14:paraId="1A4131FF" w14:textId="77777777" w:rsidR="00053066" w:rsidRDefault="00053066" w:rsidP="009C28CA">
      <w:pPr>
        <w:spacing w:after="0" w:line="360" w:lineRule="auto"/>
        <w:rPr>
          <w:rFonts w:ascii="Arial" w:hAnsi="Arial" w:cs="Arial"/>
        </w:rPr>
      </w:pPr>
    </w:p>
    <w:p w14:paraId="7866DC47" w14:textId="77777777" w:rsidR="00053066" w:rsidRDefault="00053066" w:rsidP="009C28CA">
      <w:pPr>
        <w:spacing w:after="0" w:line="360" w:lineRule="auto"/>
        <w:rPr>
          <w:rFonts w:ascii="Arial" w:hAnsi="Arial" w:cs="Arial"/>
        </w:rPr>
      </w:pPr>
    </w:p>
    <w:p w14:paraId="1BC9C215" w14:textId="77777777" w:rsidR="00053066" w:rsidRDefault="00053066" w:rsidP="009C28CA">
      <w:pPr>
        <w:spacing w:after="0" w:line="360" w:lineRule="auto"/>
        <w:rPr>
          <w:rFonts w:ascii="Arial" w:hAnsi="Arial" w:cs="Arial"/>
        </w:rPr>
      </w:pPr>
    </w:p>
    <w:p w14:paraId="7EB3841E" w14:textId="77777777" w:rsidR="00053066" w:rsidRDefault="00053066" w:rsidP="009C28CA">
      <w:pPr>
        <w:spacing w:after="0" w:line="360" w:lineRule="auto"/>
        <w:rPr>
          <w:rFonts w:ascii="Arial" w:hAnsi="Arial" w:cs="Arial"/>
        </w:rPr>
      </w:pPr>
    </w:p>
    <w:p w14:paraId="4FD2D64A" w14:textId="77777777" w:rsidR="00053066" w:rsidRDefault="00053066" w:rsidP="009C28CA">
      <w:pPr>
        <w:spacing w:after="0" w:line="360" w:lineRule="auto"/>
        <w:rPr>
          <w:rFonts w:ascii="Arial" w:hAnsi="Arial" w:cs="Arial"/>
        </w:rPr>
      </w:pPr>
    </w:p>
    <w:p w14:paraId="1E941C45" w14:textId="77777777" w:rsidR="00053066" w:rsidRDefault="00053066" w:rsidP="009C28CA">
      <w:pPr>
        <w:spacing w:after="0" w:line="360" w:lineRule="auto"/>
        <w:rPr>
          <w:rFonts w:ascii="Arial" w:hAnsi="Arial" w:cs="Arial"/>
        </w:rPr>
      </w:pPr>
    </w:p>
    <w:p w14:paraId="46257D87" w14:textId="77777777" w:rsidR="00053066" w:rsidRDefault="00053066" w:rsidP="009C28CA">
      <w:pPr>
        <w:spacing w:after="0" w:line="360" w:lineRule="auto"/>
        <w:rPr>
          <w:rFonts w:ascii="Arial" w:hAnsi="Arial" w:cs="Arial"/>
        </w:rPr>
      </w:pPr>
    </w:p>
    <w:p w14:paraId="5F657E2D" w14:textId="77777777" w:rsidR="00053066" w:rsidRDefault="00053066" w:rsidP="009C28CA">
      <w:pPr>
        <w:spacing w:after="0" w:line="360" w:lineRule="auto"/>
        <w:rPr>
          <w:rFonts w:ascii="Arial" w:hAnsi="Arial" w:cs="Arial"/>
        </w:rPr>
      </w:pPr>
    </w:p>
    <w:p w14:paraId="7363D9D1" w14:textId="77777777" w:rsidR="00053066" w:rsidRDefault="00053066" w:rsidP="009C28CA">
      <w:pPr>
        <w:spacing w:after="0" w:line="360" w:lineRule="auto"/>
        <w:rPr>
          <w:rFonts w:ascii="Arial" w:hAnsi="Arial" w:cs="Arial"/>
        </w:rPr>
      </w:pPr>
    </w:p>
    <w:p w14:paraId="4D54F006" w14:textId="77777777" w:rsidR="00053066" w:rsidRDefault="00053066" w:rsidP="009C28CA">
      <w:pPr>
        <w:spacing w:after="0" w:line="360" w:lineRule="auto"/>
        <w:rPr>
          <w:rFonts w:ascii="Arial" w:hAnsi="Arial" w:cs="Arial"/>
        </w:rPr>
      </w:pPr>
    </w:p>
    <w:p w14:paraId="439096DF" w14:textId="77777777" w:rsidR="00D92EDB" w:rsidRPr="00D92EDB" w:rsidRDefault="00D92EDB" w:rsidP="00D92EDB">
      <w:pPr>
        <w:pStyle w:val="Heading1"/>
        <w:rPr>
          <w:rFonts w:ascii="Arial" w:hAnsi="Arial" w:cs="Arial"/>
          <w:sz w:val="24"/>
          <w:szCs w:val="24"/>
        </w:rPr>
      </w:pPr>
      <w:bookmarkStart w:id="18" w:name="_Toc236996675"/>
      <w:bookmarkStart w:id="19" w:name="_Toc236998174"/>
      <w:r w:rsidRPr="00D92EDB">
        <w:rPr>
          <w:rFonts w:ascii="Arial" w:hAnsi="Arial" w:cs="Arial"/>
          <w:sz w:val="24"/>
          <w:szCs w:val="24"/>
        </w:rPr>
        <w:lastRenderedPageBreak/>
        <w:t>3. Entry Mode Strategy and Strategic Synthesis</w:t>
      </w:r>
      <w:bookmarkEnd w:id="18"/>
      <w:bookmarkEnd w:id="19"/>
    </w:p>
    <w:p w14:paraId="1CF8CC4B" w14:textId="77777777" w:rsidR="00D92EDB" w:rsidRPr="00D92EDB" w:rsidRDefault="00D92EDB" w:rsidP="00D92EDB">
      <w:pPr>
        <w:pStyle w:val="Heading2"/>
        <w:rPr>
          <w:rFonts w:ascii="Arial" w:hAnsi="Arial" w:cs="Arial"/>
          <w:sz w:val="24"/>
          <w:szCs w:val="24"/>
        </w:rPr>
      </w:pPr>
      <w:bookmarkStart w:id="20" w:name="_Toc236996676"/>
      <w:bookmarkStart w:id="21" w:name="_Toc236998175"/>
      <w:r w:rsidRPr="00D92EDB">
        <w:rPr>
          <w:rFonts w:ascii="Arial" w:hAnsi="Arial" w:cs="Arial"/>
          <w:sz w:val="24"/>
          <w:szCs w:val="24"/>
        </w:rPr>
        <w:t>3.1 Historical Pattern Recognition</w:t>
      </w:r>
      <w:bookmarkEnd w:id="20"/>
      <w:bookmarkEnd w:id="21"/>
    </w:p>
    <w:p w14:paraId="0DC43009" w14:textId="77777777" w:rsidR="00053066" w:rsidRDefault="001F1535" w:rsidP="00053066">
      <w:pPr>
        <w:spacing w:after="0" w:line="360" w:lineRule="auto"/>
        <w:rPr>
          <w:rFonts w:ascii="Arial" w:hAnsi="Arial" w:cs="Arial"/>
        </w:rPr>
      </w:pPr>
      <w:r w:rsidRPr="001F1535">
        <w:rPr>
          <w:rFonts w:ascii="Arial" w:hAnsi="Arial" w:cs="Arial"/>
        </w:rPr>
        <w:t xml:space="preserve">Selecting an appropriate market entry mode is a critical strategic decision because it determines the balance between control, resource commitment, operational risk and long-term competitive advantage (Anderson and </w:t>
      </w:r>
      <w:proofErr w:type="spellStart"/>
      <w:r w:rsidRPr="001F1535">
        <w:rPr>
          <w:rFonts w:ascii="Arial" w:hAnsi="Arial" w:cs="Arial"/>
        </w:rPr>
        <w:t>Gatignon</w:t>
      </w:r>
      <w:proofErr w:type="spellEnd"/>
      <w:r w:rsidRPr="001F1535">
        <w:rPr>
          <w:rFonts w:ascii="Arial" w:hAnsi="Arial" w:cs="Arial"/>
        </w:rPr>
        <w:t xml:space="preserve">, 1986). Rather than relying on a single internationalisation strategy, Caffè Nero has historically adopted a flexible expansion model combining company-owned growth, partnerships and acquisitions according to host-market characteristics. This approach reflects </w:t>
      </w:r>
      <w:proofErr w:type="spellStart"/>
      <w:r w:rsidRPr="001F1535">
        <w:rPr>
          <w:rFonts w:ascii="Arial" w:hAnsi="Arial" w:cs="Arial"/>
        </w:rPr>
        <w:t>Brouthers</w:t>
      </w:r>
      <w:proofErr w:type="spellEnd"/>
      <w:r w:rsidRPr="001F1535">
        <w:rPr>
          <w:rFonts w:ascii="Arial" w:hAnsi="Arial" w:cs="Arial"/>
        </w:rPr>
        <w:t>' (2002) argument that entry-mode selection should align with both firm-specific capabilities and institutional conditions rather than follow a standardised internationalisation strategy</w:t>
      </w:r>
    </w:p>
    <w:p w14:paraId="4F06EFDD" w14:textId="5B560329" w:rsidR="004310FB" w:rsidRDefault="00053066" w:rsidP="00053066">
      <w:pPr>
        <w:spacing w:after="0" w:line="360" w:lineRule="auto"/>
        <w:jc w:val="center"/>
        <w:rPr>
          <w:rFonts w:ascii="Arial" w:hAnsi="Arial" w:cs="Arial"/>
        </w:rPr>
      </w:pPr>
      <w:r>
        <w:rPr>
          <w:rFonts w:ascii="Arial" w:hAnsi="Arial" w:cs="Arial"/>
          <w:noProof/>
        </w:rPr>
        <w:drawing>
          <wp:inline distT="0" distB="0" distL="0" distR="0" wp14:anchorId="5FAD991F" wp14:editId="21D818D3">
            <wp:extent cx="5567883" cy="3711922"/>
            <wp:effectExtent l="0" t="0" r="0" b="3175"/>
            <wp:docPr id="4337747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03010" cy="3735340"/>
                    </a:xfrm>
                    <a:prstGeom prst="rect">
                      <a:avLst/>
                    </a:prstGeom>
                    <a:noFill/>
                  </pic:spPr>
                </pic:pic>
              </a:graphicData>
            </a:graphic>
          </wp:inline>
        </w:drawing>
      </w:r>
      <w:r w:rsidR="001F1535" w:rsidRPr="001F1535">
        <w:rPr>
          <w:rFonts w:ascii="Arial" w:hAnsi="Arial" w:cs="Arial"/>
        </w:rPr>
        <w:t>.</w:t>
      </w:r>
    </w:p>
    <w:p w14:paraId="562B89E0" w14:textId="6386F903" w:rsidR="004310FB" w:rsidRPr="00D92EDB" w:rsidRDefault="004310FB" w:rsidP="004310FB">
      <w:pPr>
        <w:spacing w:after="0" w:line="360" w:lineRule="auto"/>
        <w:jc w:val="center"/>
        <w:rPr>
          <w:rFonts w:ascii="Arial" w:hAnsi="Arial" w:cs="Arial"/>
        </w:rPr>
      </w:pPr>
      <w:r w:rsidRPr="004310FB">
        <w:rPr>
          <w:rFonts w:ascii="Arial" w:hAnsi="Arial" w:cs="Arial"/>
          <w:b/>
          <w:bCs/>
        </w:rPr>
        <w:t xml:space="preserve">Figure </w:t>
      </w:r>
      <w:r w:rsidR="00DE654A">
        <w:rPr>
          <w:rFonts w:ascii="Arial" w:hAnsi="Arial" w:cs="Arial"/>
          <w:b/>
          <w:bCs/>
        </w:rPr>
        <w:t>7</w:t>
      </w:r>
      <w:r w:rsidRPr="004310FB">
        <w:rPr>
          <w:rFonts w:ascii="Arial" w:hAnsi="Arial" w:cs="Arial"/>
          <w:b/>
          <w:bCs/>
        </w:rPr>
        <w:t>. International Expansion Timeline of Caffè Nero (1997–2026).</w:t>
      </w:r>
      <w:r w:rsidRPr="004310FB">
        <w:rPr>
          <w:rFonts w:ascii="Arial" w:hAnsi="Arial" w:cs="Arial"/>
        </w:rPr>
        <w:br/>
      </w:r>
      <w:r w:rsidRPr="004310FB">
        <w:rPr>
          <w:rFonts w:ascii="Arial" w:hAnsi="Arial" w:cs="Arial"/>
          <w:b/>
          <w:bCs/>
          <w:i/>
          <w:iCs/>
          <w:color w:val="808080" w:themeColor="background1" w:themeShade="80"/>
          <w:sz w:val="22"/>
          <w:szCs w:val="22"/>
        </w:rPr>
        <w:t>Source:</w:t>
      </w:r>
      <w:r w:rsidRPr="004310FB">
        <w:rPr>
          <w:rFonts w:ascii="Arial" w:hAnsi="Arial" w:cs="Arial"/>
          <w:i/>
          <w:iCs/>
          <w:color w:val="808080" w:themeColor="background1" w:themeShade="80"/>
          <w:sz w:val="22"/>
          <w:szCs w:val="22"/>
        </w:rPr>
        <w:t xml:space="preserve"> Author's own illustration, developed from Caffè Nero corporate history and company reports (Caffè Nero, 2025; Nero Group, 2025).</w:t>
      </w:r>
    </w:p>
    <w:p w14:paraId="799445FB" w14:textId="77777777" w:rsidR="00DE654A" w:rsidRDefault="00DE654A" w:rsidP="001F485B">
      <w:pPr>
        <w:spacing w:after="0" w:line="360" w:lineRule="auto"/>
        <w:rPr>
          <w:rFonts w:ascii="Arial" w:hAnsi="Arial" w:cs="Arial"/>
        </w:rPr>
      </w:pPr>
      <w:r w:rsidRPr="001F485B">
        <w:rPr>
          <w:rFonts w:ascii="Arial" w:hAnsi="Arial" w:cs="Arial"/>
        </w:rPr>
        <w:t>Caffè Nero's expansion history demonstrates a consistent preference for maintaining strategic control while adapting governance structures to different market environments. The company initially expanded through wholly owned stores within the United Kingdom before entering international markets, beginning with Turkey (2007) and the United Arab Emirates (2009). More recently, acquisitions such as Coffee#1 have enabled faster market penetration and portfolio diversification while preserving operational standards across the business.</w:t>
      </w:r>
    </w:p>
    <w:p w14:paraId="2CB5FEBD" w14:textId="77777777" w:rsidR="001F485B" w:rsidRDefault="001F485B" w:rsidP="001F485B">
      <w:pPr>
        <w:spacing w:after="0" w:line="360" w:lineRule="auto"/>
        <w:rPr>
          <w:rFonts w:ascii="Arial" w:hAnsi="Arial" w:cs="Arial"/>
        </w:rPr>
      </w:pPr>
    </w:p>
    <w:p w14:paraId="0F1E6924" w14:textId="77777777" w:rsidR="001F485B" w:rsidRDefault="001F485B" w:rsidP="001F485B">
      <w:pPr>
        <w:spacing w:after="0" w:line="360" w:lineRule="auto"/>
        <w:rPr>
          <w:rFonts w:ascii="Arial" w:hAnsi="Arial" w:cs="Arial"/>
        </w:rPr>
      </w:pPr>
    </w:p>
    <w:p w14:paraId="4A67F9B9" w14:textId="77777777" w:rsidR="001F485B" w:rsidRPr="001F485B" w:rsidRDefault="001F485B" w:rsidP="001F485B">
      <w:pPr>
        <w:spacing w:after="0" w:line="360" w:lineRule="auto"/>
        <w:rPr>
          <w:rFonts w:ascii="Arial" w:hAnsi="Arial" w:cs="Arial"/>
        </w:rPr>
      </w:pPr>
    </w:p>
    <w:p w14:paraId="3080D368" w14:textId="686804FD" w:rsidR="00D92EDB" w:rsidRPr="00D92EDB" w:rsidRDefault="00D92EDB" w:rsidP="00B52CD4">
      <w:pPr>
        <w:spacing w:after="0" w:line="360" w:lineRule="auto"/>
        <w:jc w:val="center"/>
        <w:rPr>
          <w:rFonts w:ascii="Arial" w:hAnsi="Arial" w:cs="Arial"/>
          <w:b/>
          <w:bCs/>
        </w:rPr>
      </w:pPr>
      <w:r w:rsidRPr="00D92EDB">
        <w:rPr>
          <w:rFonts w:ascii="Arial" w:hAnsi="Arial" w:cs="Arial"/>
          <w:b/>
          <w:bCs/>
        </w:rPr>
        <w:t>Table 8. Historical Entry Modes Adopted by Caffè Nero</w:t>
      </w:r>
    </w:p>
    <w:tbl>
      <w:tblPr>
        <w:tblStyle w:val="TableGrid"/>
        <w:tblW w:w="0" w:type="auto"/>
        <w:tblLook w:val="04A0" w:firstRow="1" w:lastRow="0" w:firstColumn="1" w:lastColumn="0" w:noHBand="0" w:noVBand="1"/>
      </w:tblPr>
      <w:tblGrid>
        <w:gridCol w:w="2010"/>
        <w:gridCol w:w="3070"/>
        <w:gridCol w:w="3016"/>
        <w:gridCol w:w="2360"/>
      </w:tblGrid>
      <w:tr w:rsidR="00D92EDB" w:rsidRPr="00D92EDB" w14:paraId="2C685A0E" w14:textId="77777777" w:rsidTr="00B52CD4">
        <w:tc>
          <w:tcPr>
            <w:tcW w:w="0" w:type="auto"/>
            <w:hideMark/>
          </w:tcPr>
          <w:p w14:paraId="593B192B" w14:textId="77777777" w:rsidR="00D92EDB" w:rsidRPr="00D92EDB" w:rsidRDefault="00D92EDB" w:rsidP="00D92EDB">
            <w:pPr>
              <w:spacing w:line="360" w:lineRule="auto"/>
              <w:rPr>
                <w:rFonts w:ascii="Arial" w:hAnsi="Arial" w:cs="Arial"/>
                <w:b/>
                <w:bCs/>
              </w:rPr>
            </w:pPr>
            <w:r w:rsidRPr="00D92EDB">
              <w:rPr>
                <w:rFonts w:ascii="Arial" w:hAnsi="Arial" w:cs="Arial"/>
                <w:b/>
                <w:bCs/>
              </w:rPr>
              <w:t>Market/Region</w:t>
            </w:r>
          </w:p>
        </w:tc>
        <w:tc>
          <w:tcPr>
            <w:tcW w:w="0" w:type="auto"/>
            <w:hideMark/>
          </w:tcPr>
          <w:p w14:paraId="4B415F09" w14:textId="77777777" w:rsidR="00D92EDB" w:rsidRPr="00D92EDB" w:rsidRDefault="00D92EDB" w:rsidP="00D92EDB">
            <w:pPr>
              <w:spacing w:line="360" w:lineRule="auto"/>
              <w:rPr>
                <w:rFonts w:ascii="Arial" w:hAnsi="Arial" w:cs="Arial"/>
                <w:b/>
                <w:bCs/>
              </w:rPr>
            </w:pPr>
            <w:r w:rsidRPr="00D92EDB">
              <w:rPr>
                <w:rFonts w:ascii="Arial" w:hAnsi="Arial" w:cs="Arial"/>
                <w:b/>
                <w:bCs/>
              </w:rPr>
              <w:t>Dominant Entry Mode</w:t>
            </w:r>
          </w:p>
        </w:tc>
        <w:tc>
          <w:tcPr>
            <w:tcW w:w="0" w:type="auto"/>
            <w:hideMark/>
          </w:tcPr>
          <w:p w14:paraId="25E7C300" w14:textId="77777777" w:rsidR="00D92EDB" w:rsidRPr="00D92EDB" w:rsidRDefault="00D92EDB" w:rsidP="00D92EDB">
            <w:pPr>
              <w:spacing w:line="360" w:lineRule="auto"/>
              <w:rPr>
                <w:rFonts w:ascii="Arial" w:hAnsi="Arial" w:cs="Arial"/>
                <w:b/>
                <w:bCs/>
              </w:rPr>
            </w:pPr>
            <w:r w:rsidRPr="00D92EDB">
              <w:rPr>
                <w:rFonts w:ascii="Arial" w:hAnsi="Arial" w:cs="Arial"/>
                <w:b/>
                <w:bCs/>
              </w:rPr>
              <w:t>Strategic Rationale</w:t>
            </w:r>
          </w:p>
        </w:tc>
        <w:tc>
          <w:tcPr>
            <w:tcW w:w="0" w:type="auto"/>
            <w:hideMark/>
          </w:tcPr>
          <w:p w14:paraId="47308B99" w14:textId="77777777" w:rsidR="00D92EDB" w:rsidRPr="00D92EDB" w:rsidRDefault="00D92EDB" w:rsidP="00D92EDB">
            <w:pPr>
              <w:spacing w:line="360" w:lineRule="auto"/>
              <w:rPr>
                <w:rFonts w:ascii="Arial" w:hAnsi="Arial" w:cs="Arial"/>
                <w:b/>
                <w:bCs/>
              </w:rPr>
            </w:pPr>
            <w:r w:rsidRPr="00D92EDB">
              <w:rPr>
                <w:rFonts w:ascii="Arial" w:hAnsi="Arial" w:cs="Arial"/>
                <w:b/>
                <w:bCs/>
              </w:rPr>
              <w:t>Outcome</w:t>
            </w:r>
          </w:p>
        </w:tc>
      </w:tr>
      <w:tr w:rsidR="00D92EDB" w:rsidRPr="00D92EDB" w14:paraId="6FACF079" w14:textId="77777777" w:rsidTr="00B52CD4">
        <w:tc>
          <w:tcPr>
            <w:tcW w:w="0" w:type="auto"/>
            <w:hideMark/>
          </w:tcPr>
          <w:p w14:paraId="3A538D06" w14:textId="77777777" w:rsidR="00D92EDB" w:rsidRPr="00D92EDB" w:rsidRDefault="00D92EDB" w:rsidP="00D92EDB">
            <w:pPr>
              <w:spacing w:line="360" w:lineRule="auto"/>
              <w:rPr>
                <w:rFonts w:ascii="Arial" w:hAnsi="Arial" w:cs="Arial"/>
              </w:rPr>
            </w:pPr>
            <w:r w:rsidRPr="00D92EDB">
              <w:rPr>
                <w:rFonts w:ascii="Arial" w:hAnsi="Arial" w:cs="Arial"/>
              </w:rPr>
              <w:t>United Kingdom</w:t>
            </w:r>
          </w:p>
        </w:tc>
        <w:tc>
          <w:tcPr>
            <w:tcW w:w="0" w:type="auto"/>
            <w:hideMark/>
          </w:tcPr>
          <w:p w14:paraId="3255F307" w14:textId="77777777" w:rsidR="00D92EDB" w:rsidRPr="00D92EDB" w:rsidRDefault="00D92EDB" w:rsidP="00D92EDB">
            <w:pPr>
              <w:spacing w:line="360" w:lineRule="auto"/>
              <w:rPr>
                <w:rFonts w:ascii="Arial" w:hAnsi="Arial" w:cs="Arial"/>
              </w:rPr>
            </w:pPr>
            <w:r w:rsidRPr="00D92EDB">
              <w:rPr>
                <w:rFonts w:ascii="Arial" w:hAnsi="Arial" w:cs="Arial"/>
              </w:rPr>
              <w:t>Company-owned expansion</w:t>
            </w:r>
          </w:p>
        </w:tc>
        <w:tc>
          <w:tcPr>
            <w:tcW w:w="0" w:type="auto"/>
            <w:hideMark/>
          </w:tcPr>
          <w:p w14:paraId="265910D6" w14:textId="77777777" w:rsidR="00D92EDB" w:rsidRPr="00D92EDB" w:rsidRDefault="00D92EDB" w:rsidP="00D92EDB">
            <w:pPr>
              <w:spacing w:line="360" w:lineRule="auto"/>
              <w:rPr>
                <w:rFonts w:ascii="Arial" w:hAnsi="Arial" w:cs="Arial"/>
              </w:rPr>
            </w:pPr>
            <w:r w:rsidRPr="00D92EDB">
              <w:rPr>
                <w:rFonts w:ascii="Arial" w:hAnsi="Arial" w:cs="Arial"/>
              </w:rPr>
              <w:t>Maintain complete control over brand identity and operational quality</w:t>
            </w:r>
          </w:p>
        </w:tc>
        <w:tc>
          <w:tcPr>
            <w:tcW w:w="0" w:type="auto"/>
            <w:hideMark/>
          </w:tcPr>
          <w:p w14:paraId="41E7AB8C" w14:textId="77777777" w:rsidR="00D92EDB" w:rsidRPr="00D92EDB" w:rsidRDefault="00D92EDB" w:rsidP="00D92EDB">
            <w:pPr>
              <w:spacing w:line="360" w:lineRule="auto"/>
              <w:rPr>
                <w:rFonts w:ascii="Arial" w:hAnsi="Arial" w:cs="Arial"/>
              </w:rPr>
            </w:pPr>
            <w:r w:rsidRPr="00D92EDB">
              <w:rPr>
                <w:rFonts w:ascii="Arial" w:hAnsi="Arial" w:cs="Arial"/>
              </w:rPr>
              <w:t>Established strong domestic market leadership</w:t>
            </w:r>
          </w:p>
        </w:tc>
      </w:tr>
      <w:tr w:rsidR="00D92EDB" w:rsidRPr="00D92EDB" w14:paraId="343A2755" w14:textId="77777777" w:rsidTr="00B52CD4">
        <w:tc>
          <w:tcPr>
            <w:tcW w:w="0" w:type="auto"/>
            <w:hideMark/>
          </w:tcPr>
          <w:p w14:paraId="58925142" w14:textId="77777777" w:rsidR="00D92EDB" w:rsidRPr="00D92EDB" w:rsidRDefault="00D92EDB" w:rsidP="00D92EDB">
            <w:pPr>
              <w:spacing w:line="360" w:lineRule="auto"/>
              <w:rPr>
                <w:rFonts w:ascii="Arial" w:hAnsi="Arial" w:cs="Arial"/>
              </w:rPr>
            </w:pPr>
            <w:r w:rsidRPr="00D92EDB">
              <w:rPr>
                <w:rFonts w:ascii="Arial" w:hAnsi="Arial" w:cs="Arial"/>
              </w:rPr>
              <w:t>Turkey</w:t>
            </w:r>
          </w:p>
        </w:tc>
        <w:tc>
          <w:tcPr>
            <w:tcW w:w="0" w:type="auto"/>
            <w:hideMark/>
          </w:tcPr>
          <w:p w14:paraId="00444233" w14:textId="77777777" w:rsidR="00D92EDB" w:rsidRPr="00D92EDB" w:rsidRDefault="00D92EDB" w:rsidP="00D92EDB">
            <w:pPr>
              <w:spacing w:line="360" w:lineRule="auto"/>
              <w:rPr>
                <w:rFonts w:ascii="Arial" w:hAnsi="Arial" w:cs="Arial"/>
              </w:rPr>
            </w:pPr>
            <w:r w:rsidRPr="00D92EDB">
              <w:rPr>
                <w:rFonts w:ascii="Arial" w:hAnsi="Arial" w:cs="Arial"/>
              </w:rPr>
              <w:t>Direct international expansion</w:t>
            </w:r>
          </w:p>
        </w:tc>
        <w:tc>
          <w:tcPr>
            <w:tcW w:w="0" w:type="auto"/>
            <w:hideMark/>
          </w:tcPr>
          <w:p w14:paraId="55AC3D3F" w14:textId="77777777" w:rsidR="00D92EDB" w:rsidRPr="00D92EDB" w:rsidRDefault="00D92EDB" w:rsidP="00D92EDB">
            <w:pPr>
              <w:spacing w:line="360" w:lineRule="auto"/>
              <w:rPr>
                <w:rFonts w:ascii="Arial" w:hAnsi="Arial" w:cs="Arial"/>
              </w:rPr>
            </w:pPr>
            <w:r w:rsidRPr="00D92EDB">
              <w:rPr>
                <w:rFonts w:ascii="Arial" w:hAnsi="Arial" w:cs="Arial"/>
              </w:rPr>
              <w:t>Extend brand presence into a strategically attractive emerging market</w:t>
            </w:r>
          </w:p>
        </w:tc>
        <w:tc>
          <w:tcPr>
            <w:tcW w:w="0" w:type="auto"/>
            <w:hideMark/>
          </w:tcPr>
          <w:p w14:paraId="4BB685DC" w14:textId="77777777" w:rsidR="00D92EDB" w:rsidRPr="00D92EDB" w:rsidRDefault="00D92EDB" w:rsidP="00D92EDB">
            <w:pPr>
              <w:spacing w:line="360" w:lineRule="auto"/>
              <w:rPr>
                <w:rFonts w:ascii="Arial" w:hAnsi="Arial" w:cs="Arial"/>
              </w:rPr>
            </w:pPr>
            <w:r w:rsidRPr="00D92EDB">
              <w:rPr>
                <w:rFonts w:ascii="Arial" w:hAnsi="Arial" w:cs="Arial"/>
              </w:rPr>
              <w:t>Successful long-term international presence</w:t>
            </w:r>
          </w:p>
        </w:tc>
      </w:tr>
      <w:tr w:rsidR="00D92EDB" w:rsidRPr="00D92EDB" w14:paraId="4C9D48D3" w14:textId="77777777" w:rsidTr="00B52CD4">
        <w:tc>
          <w:tcPr>
            <w:tcW w:w="0" w:type="auto"/>
            <w:hideMark/>
          </w:tcPr>
          <w:p w14:paraId="3603BCA0" w14:textId="77777777" w:rsidR="00D92EDB" w:rsidRPr="00D92EDB" w:rsidRDefault="00D92EDB" w:rsidP="00D92EDB">
            <w:pPr>
              <w:spacing w:line="360" w:lineRule="auto"/>
              <w:rPr>
                <w:rFonts w:ascii="Arial" w:hAnsi="Arial" w:cs="Arial"/>
              </w:rPr>
            </w:pPr>
            <w:r w:rsidRPr="00D92EDB">
              <w:rPr>
                <w:rFonts w:ascii="Arial" w:hAnsi="Arial" w:cs="Arial"/>
              </w:rPr>
              <w:t>United Arab Emirates</w:t>
            </w:r>
          </w:p>
        </w:tc>
        <w:tc>
          <w:tcPr>
            <w:tcW w:w="0" w:type="auto"/>
            <w:hideMark/>
          </w:tcPr>
          <w:p w14:paraId="48680A4F" w14:textId="77777777" w:rsidR="00D92EDB" w:rsidRPr="00D92EDB" w:rsidRDefault="00D92EDB" w:rsidP="00D92EDB">
            <w:pPr>
              <w:spacing w:line="360" w:lineRule="auto"/>
              <w:rPr>
                <w:rFonts w:ascii="Arial" w:hAnsi="Arial" w:cs="Arial"/>
              </w:rPr>
            </w:pPr>
            <w:r w:rsidRPr="00D92EDB">
              <w:rPr>
                <w:rFonts w:ascii="Arial" w:hAnsi="Arial" w:cs="Arial"/>
              </w:rPr>
              <w:t>Partnership/franchise-supported expansion</w:t>
            </w:r>
          </w:p>
        </w:tc>
        <w:tc>
          <w:tcPr>
            <w:tcW w:w="0" w:type="auto"/>
            <w:hideMark/>
          </w:tcPr>
          <w:p w14:paraId="5A605DC7" w14:textId="77777777" w:rsidR="00D92EDB" w:rsidRPr="00D92EDB" w:rsidRDefault="00D92EDB" w:rsidP="00D92EDB">
            <w:pPr>
              <w:spacing w:line="360" w:lineRule="auto"/>
              <w:rPr>
                <w:rFonts w:ascii="Arial" w:hAnsi="Arial" w:cs="Arial"/>
              </w:rPr>
            </w:pPr>
            <w:r w:rsidRPr="00D92EDB">
              <w:rPr>
                <w:rFonts w:ascii="Arial" w:hAnsi="Arial" w:cs="Arial"/>
              </w:rPr>
              <w:t>Utilise local market knowledge while reducing institutional uncertainty</w:t>
            </w:r>
          </w:p>
        </w:tc>
        <w:tc>
          <w:tcPr>
            <w:tcW w:w="0" w:type="auto"/>
            <w:hideMark/>
          </w:tcPr>
          <w:p w14:paraId="3DFA7668" w14:textId="77777777" w:rsidR="00D92EDB" w:rsidRPr="00D92EDB" w:rsidRDefault="00D92EDB" w:rsidP="00D92EDB">
            <w:pPr>
              <w:spacing w:line="360" w:lineRule="auto"/>
              <w:rPr>
                <w:rFonts w:ascii="Arial" w:hAnsi="Arial" w:cs="Arial"/>
              </w:rPr>
            </w:pPr>
            <w:r w:rsidRPr="00D92EDB">
              <w:rPr>
                <w:rFonts w:ascii="Arial" w:hAnsi="Arial" w:cs="Arial"/>
              </w:rPr>
              <w:t>Successful regional expansion</w:t>
            </w:r>
          </w:p>
        </w:tc>
      </w:tr>
      <w:tr w:rsidR="00D92EDB" w:rsidRPr="00D92EDB" w14:paraId="577EDB31" w14:textId="77777777" w:rsidTr="00B52CD4">
        <w:tc>
          <w:tcPr>
            <w:tcW w:w="0" w:type="auto"/>
            <w:hideMark/>
          </w:tcPr>
          <w:p w14:paraId="48FFA6B6" w14:textId="77777777" w:rsidR="00D92EDB" w:rsidRPr="00D92EDB" w:rsidRDefault="00D92EDB" w:rsidP="00D92EDB">
            <w:pPr>
              <w:spacing w:line="360" w:lineRule="auto"/>
              <w:rPr>
                <w:rFonts w:ascii="Arial" w:hAnsi="Arial" w:cs="Arial"/>
              </w:rPr>
            </w:pPr>
            <w:r w:rsidRPr="00D92EDB">
              <w:rPr>
                <w:rFonts w:ascii="Arial" w:hAnsi="Arial" w:cs="Arial"/>
              </w:rPr>
              <w:t>Coffee#1 (UK)</w:t>
            </w:r>
          </w:p>
        </w:tc>
        <w:tc>
          <w:tcPr>
            <w:tcW w:w="0" w:type="auto"/>
            <w:hideMark/>
          </w:tcPr>
          <w:p w14:paraId="12AB68B7" w14:textId="77777777" w:rsidR="00D92EDB" w:rsidRPr="00D92EDB" w:rsidRDefault="00D92EDB" w:rsidP="00D92EDB">
            <w:pPr>
              <w:spacing w:line="360" w:lineRule="auto"/>
              <w:rPr>
                <w:rFonts w:ascii="Arial" w:hAnsi="Arial" w:cs="Arial"/>
              </w:rPr>
            </w:pPr>
            <w:r w:rsidRPr="00D92EDB">
              <w:rPr>
                <w:rFonts w:ascii="Arial" w:hAnsi="Arial" w:cs="Arial"/>
              </w:rPr>
              <w:t>Acquisition</w:t>
            </w:r>
          </w:p>
        </w:tc>
        <w:tc>
          <w:tcPr>
            <w:tcW w:w="0" w:type="auto"/>
            <w:hideMark/>
          </w:tcPr>
          <w:p w14:paraId="54DCEABA" w14:textId="77777777" w:rsidR="00D92EDB" w:rsidRPr="00D92EDB" w:rsidRDefault="00D92EDB" w:rsidP="00D92EDB">
            <w:pPr>
              <w:spacing w:line="360" w:lineRule="auto"/>
              <w:rPr>
                <w:rFonts w:ascii="Arial" w:hAnsi="Arial" w:cs="Arial"/>
              </w:rPr>
            </w:pPr>
            <w:r w:rsidRPr="00D92EDB">
              <w:rPr>
                <w:rFonts w:ascii="Arial" w:hAnsi="Arial" w:cs="Arial"/>
              </w:rPr>
              <w:t>Accelerate market growth and strengthen portfolio diversification</w:t>
            </w:r>
          </w:p>
        </w:tc>
        <w:tc>
          <w:tcPr>
            <w:tcW w:w="0" w:type="auto"/>
            <w:hideMark/>
          </w:tcPr>
          <w:p w14:paraId="3A25CEE4" w14:textId="77777777" w:rsidR="00D92EDB" w:rsidRPr="00D92EDB" w:rsidRDefault="00D92EDB" w:rsidP="00D92EDB">
            <w:pPr>
              <w:spacing w:line="360" w:lineRule="auto"/>
              <w:rPr>
                <w:rFonts w:ascii="Arial" w:hAnsi="Arial" w:cs="Arial"/>
              </w:rPr>
            </w:pPr>
            <w:r w:rsidRPr="00D92EDB">
              <w:rPr>
                <w:rFonts w:ascii="Arial" w:hAnsi="Arial" w:cs="Arial"/>
              </w:rPr>
              <w:t>Expanded market share and operating network</w:t>
            </w:r>
          </w:p>
        </w:tc>
      </w:tr>
    </w:tbl>
    <w:p w14:paraId="38ABC2E3" w14:textId="77777777" w:rsidR="00D92EDB" w:rsidRPr="00B52CD4" w:rsidRDefault="00D92EDB" w:rsidP="00D92EDB">
      <w:pPr>
        <w:spacing w:after="0" w:line="360" w:lineRule="auto"/>
        <w:rPr>
          <w:rFonts w:ascii="Arial" w:hAnsi="Arial" w:cs="Arial"/>
          <w:i/>
          <w:iCs/>
          <w:color w:val="808080" w:themeColor="background1" w:themeShade="80"/>
          <w:sz w:val="22"/>
          <w:szCs w:val="22"/>
        </w:rPr>
      </w:pPr>
      <w:r w:rsidRPr="00B52CD4">
        <w:rPr>
          <w:rFonts w:ascii="Arial" w:hAnsi="Arial" w:cs="Arial"/>
          <w:b/>
          <w:bCs/>
          <w:i/>
          <w:iCs/>
          <w:color w:val="808080" w:themeColor="background1" w:themeShade="80"/>
          <w:sz w:val="22"/>
          <w:szCs w:val="22"/>
        </w:rPr>
        <w:t>Source:</w:t>
      </w:r>
      <w:r w:rsidRPr="00B52CD4">
        <w:rPr>
          <w:rFonts w:ascii="Arial" w:hAnsi="Arial" w:cs="Arial"/>
          <w:i/>
          <w:iCs/>
          <w:color w:val="808080" w:themeColor="background1" w:themeShade="80"/>
          <w:sz w:val="22"/>
          <w:szCs w:val="22"/>
        </w:rPr>
        <w:t xml:space="preserve"> Author's synthesis based on Caffè Nero corporate history and company announcements. </w:t>
      </w:r>
    </w:p>
    <w:p w14:paraId="09EFAE48" w14:textId="77777777" w:rsidR="001D0CFF" w:rsidRPr="001D0CFF" w:rsidRDefault="001D0CFF" w:rsidP="001D0CFF">
      <w:pPr>
        <w:spacing w:after="0" w:line="360" w:lineRule="auto"/>
        <w:rPr>
          <w:rFonts w:ascii="Arial" w:hAnsi="Arial" w:cs="Arial"/>
        </w:rPr>
      </w:pPr>
      <w:r w:rsidRPr="001D0CFF">
        <w:rPr>
          <w:rFonts w:ascii="Arial" w:hAnsi="Arial" w:cs="Arial"/>
        </w:rPr>
        <w:t xml:space="preserve">The historical evidence suggests that Caffè Nero does not pursue maximum ownership in every market but instead balances control against market uncertainty. This is consistent with Anderson and </w:t>
      </w:r>
      <w:proofErr w:type="spellStart"/>
      <w:r w:rsidRPr="001D0CFF">
        <w:rPr>
          <w:rFonts w:ascii="Arial" w:hAnsi="Arial" w:cs="Arial"/>
        </w:rPr>
        <w:t>Gatignon's</w:t>
      </w:r>
      <w:proofErr w:type="spellEnd"/>
      <w:r w:rsidRPr="001D0CFF">
        <w:rPr>
          <w:rFonts w:ascii="Arial" w:hAnsi="Arial" w:cs="Arial"/>
        </w:rPr>
        <w:t xml:space="preserve"> (1986) proposition that firms should select entry modes according to the trade-off between strategic control and risk. While company ownership remains central to protecting brand quality and customer experience, partnerships and acquisitions demonstrate a willingness to adapt governance structures where local knowledge or faster market access creates strategic value.</w:t>
      </w:r>
    </w:p>
    <w:p w14:paraId="4AFDBAE6" w14:textId="77777777" w:rsidR="001D0CFF" w:rsidRPr="001D0CFF" w:rsidRDefault="001D0CFF" w:rsidP="001D0CFF">
      <w:pPr>
        <w:spacing w:after="0" w:line="360" w:lineRule="auto"/>
        <w:rPr>
          <w:rFonts w:ascii="Arial" w:hAnsi="Arial" w:cs="Arial"/>
        </w:rPr>
      </w:pPr>
      <w:r w:rsidRPr="001D0CFF">
        <w:rPr>
          <w:rFonts w:ascii="Arial" w:hAnsi="Arial" w:cs="Arial"/>
        </w:rPr>
        <w:t>This pattern is further reflected in the Nero Group's recent expansion through targeted acquisitions, including Coffee#1, 200 Degrees and Compass Coffee, alongside continued organic growth. Rather than pursuing extensive franchising, the company has prioritised sustainable expansion supported by managerial oversight and operational consistency.</w:t>
      </w:r>
    </w:p>
    <w:p w14:paraId="02F7F2FC" w14:textId="69557572" w:rsidR="001D0CFF" w:rsidRPr="001D0CFF" w:rsidRDefault="001D0CFF" w:rsidP="001D0CFF">
      <w:pPr>
        <w:spacing w:after="0" w:line="360" w:lineRule="auto"/>
        <w:rPr>
          <w:rFonts w:ascii="Arial" w:hAnsi="Arial" w:cs="Arial"/>
        </w:rPr>
      </w:pPr>
      <w:r w:rsidRPr="001D0CFF">
        <w:rPr>
          <w:rFonts w:ascii="Arial" w:hAnsi="Arial" w:cs="Arial"/>
        </w:rPr>
        <w:t xml:space="preserve">Overall, Caffè Nero's internationalisation history indicates that strategic flexibility, rather than adherence to a </w:t>
      </w:r>
      <w:r w:rsidR="008A1E26" w:rsidRPr="001D0CFF">
        <w:rPr>
          <w:rFonts w:ascii="Arial" w:hAnsi="Arial" w:cs="Arial"/>
        </w:rPr>
        <w:t>single-entry</w:t>
      </w:r>
      <w:r w:rsidRPr="001D0CFF">
        <w:rPr>
          <w:rFonts w:ascii="Arial" w:hAnsi="Arial" w:cs="Arial"/>
        </w:rPr>
        <w:t xml:space="preserve"> mode, underpins its competitive advantage. These historical patterns support the recommendation that entry into India should preserve managerial control while incorporating local market expertise, providing a logical foundation for evaluating the most appropriate entry mode in the following section.</w:t>
      </w:r>
    </w:p>
    <w:p w14:paraId="0990E671" w14:textId="77777777" w:rsidR="001D0CFF" w:rsidRDefault="001D0CFF" w:rsidP="00D92EDB">
      <w:pPr>
        <w:spacing w:after="0" w:line="360" w:lineRule="auto"/>
        <w:rPr>
          <w:rFonts w:ascii="Arial" w:hAnsi="Arial" w:cs="Arial"/>
        </w:rPr>
      </w:pPr>
    </w:p>
    <w:p w14:paraId="2FD4B22D" w14:textId="77777777" w:rsidR="00B52CD4" w:rsidRPr="00B52CD4" w:rsidRDefault="00B52CD4" w:rsidP="00B52CD4">
      <w:pPr>
        <w:pStyle w:val="Heading2"/>
        <w:rPr>
          <w:rFonts w:ascii="Arial" w:hAnsi="Arial" w:cs="Arial"/>
          <w:sz w:val="24"/>
          <w:szCs w:val="24"/>
        </w:rPr>
      </w:pPr>
      <w:bookmarkStart w:id="22" w:name="_Toc236996677"/>
      <w:bookmarkStart w:id="23" w:name="_Toc236998176"/>
      <w:r w:rsidRPr="00B52CD4">
        <w:rPr>
          <w:rFonts w:ascii="Arial" w:hAnsi="Arial" w:cs="Arial"/>
          <w:sz w:val="24"/>
          <w:szCs w:val="24"/>
        </w:rPr>
        <w:lastRenderedPageBreak/>
        <w:t>3.2 Strategic Fit and Justification</w:t>
      </w:r>
      <w:bookmarkEnd w:id="22"/>
      <w:bookmarkEnd w:id="23"/>
    </w:p>
    <w:p w14:paraId="3C7104E6" w14:textId="3840DB72" w:rsidR="00B52CD4" w:rsidRDefault="00DF0545" w:rsidP="00B52CD4">
      <w:pPr>
        <w:spacing w:after="0" w:line="360" w:lineRule="auto"/>
        <w:rPr>
          <w:rFonts w:ascii="Arial" w:hAnsi="Arial" w:cs="Arial"/>
        </w:rPr>
      </w:pPr>
      <w:r w:rsidRPr="00DF0545">
        <w:rPr>
          <w:rFonts w:ascii="Arial" w:hAnsi="Arial" w:cs="Arial"/>
        </w:rPr>
        <w:t xml:space="preserve">Although Caffè Nero has historically favoured high-control entry modes, replicating this approach without considering India's institutional and competitive environment would be strategically inappropriate. Entry-mode selection should reflect both organisational capabilities and host-country characteristics, including institutional complexity, market uncertainty and resource commitment (Anderson and </w:t>
      </w:r>
      <w:proofErr w:type="spellStart"/>
      <w:r w:rsidRPr="00DF0545">
        <w:rPr>
          <w:rFonts w:ascii="Arial" w:hAnsi="Arial" w:cs="Arial"/>
        </w:rPr>
        <w:t>Gatignon</w:t>
      </w:r>
      <w:proofErr w:type="spellEnd"/>
      <w:r w:rsidRPr="00DF0545">
        <w:rPr>
          <w:rFonts w:ascii="Arial" w:hAnsi="Arial" w:cs="Arial"/>
        </w:rPr>
        <w:t xml:space="preserve">, 1986; </w:t>
      </w:r>
      <w:proofErr w:type="spellStart"/>
      <w:r w:rsidRPr="00DF0545">
        <w:rPr>
          <w:rFonts w:ascii="Arial" w:hAnsi="Arial" w:cs="Arial"/>
        </w:rPr>
        <w:t>Brouthers</w:t>
      </w:r>
      <w:proofErr w:type="spellEnd"/>
      <w:r w:rsidRPr="00DF0545">
        <w:rPr>
          <w:rFonts w:ascii="Arial" w:hAnsi="Arial" w:cs="Arial"/>
        </w:rPr>
        <w:t>, 2002). Accordingly, the suitability of alternative entry modes must be evaluated against the political, economic, legal and cultural conditions identified in the preceding analysis.</w:t>
      </w:r>
    </w:p>
    <w:p w14:paraId="3B475B2F" w14:textId="31725AD8" w:rsidR="00393FB2" w:rsidRDefault="00393FB2" w:rsidP="00393FB2">
      <w:pPr>
        <w:spacing w:after="0" w:line="360" w:lineRule="auto"/>
        <w:jc w:val="center"/>
        <w:rPr>
          <w:rFonts w:ascii="Arial" w:hAnsi="Arial" w:cs="Arial"/>
        </w:rPr>
      </w:pPr>
      <w:r w:rsidRPr="00393FB2">
        <w:rPr>
          <w:rFonts w:ascii="Arial" w:hAnsi="Arial" w:cs="Arial"/>
        </w:rPr>
        <w:t>Figure 8. Entry Mode Decision Matrix for Caffè Nero's Proposed Expansion into India</w:t>
      </w:r>
    </w:p>
    <w:p w14:paraId="1E45A616" w14:textId="623861A6" w:rsidR="00BF7237" w:rsidRDefault="00BF7237" w:rsidP="00BF7237">
      <w:pPr>
        <w:spacing w:after="0" w:line="360" w:lineRule="auto"/>
        <w:jc w:val="center"/>
        <w:rPr>
          <w:rFonts w:ascii="Arial" w:hAnsi="Arial" w:cs="Arial"/>
        </w:rPr>
      </w:pPr>
      <w:r>
        <w:rPr>
          <w:rFonts w:ascii="Arial" w:hAnsi="Arial" w:cs="Arial"/>
          <w:noProof/>
        </w:rPr>
        <w:drawing>
          <wp:inline distT="0" distB="0" distL="0" distR="0" wp14:anchorId="68E7F6D6" wp14:editId="2B2F7D35">
            <wp:extent cx="5181600" cy="4667885"/>
            <wp:effectExtent l="0" t="0" r="0" b="0"/>
            <wp:docPr id="19921146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 t="7720" r="-2435"/>
                    <a:stretch>
                      <a:fillRect/>
                    </a:stretch>
                  </pic:blipFill>
                  <pic:spPr bwMode="auto">
                    <a:xfrm>
                      <a:off x="0" y="0"/>
                      <a:ext cx="5187606" cy="4673295"/>
                    </a:xfrm>
                    <a:prstGeom prst="rect">
                      <a:avLst/>
                    </a:prstGeom>
                    <a:noFill/>
                    <a:ln>
                      <a:noFill/>
                    </a:ln>
                    <a:extLst>
                      <a:ext uri="{53640926-AAD7-44D8-BBD7-CCE9431645EC}">
                        <a14:shadowObscured xmlns:a14="http://schemas.microsoft.com/office/drawing/2010/main"/>
                      </a:ext>
                    </a:extLst>
                  </pic:spPr>
                </pic:pic>
              </a:graphicData>
            </a:graphic>
          </wp:inline>
        </w:drawing>
      </w:r>
    </w:p>
    <w:p w14:paraId="1B6F1028" w14:textId="2F43D0E8" w:rsidR="00BF7237" w:rsidRDefault="00BF7237" w:rsidP="00BF7237">
      <w:pPr>
        <w:spacing w:after="0" w:line="360" w:lineRule="auto"/>
        <w:jc w:val="center"/>
        <w:rPr>
          <w:rFonts w:ascii="Arial" w:hAnsi="Arial" w:cs="Arial"/>
        </w:rPr>
      </w:pPr>
      <w:r w:rsidRPr="00BF7237">
        <w:rPr>
          <w:rFonts w:ascii="Arial" w:hAnsi="Arial" w:cs="Arial"/>
        </w:rPr>
        <w:t xml:space="preserve">Figure </w:t>
      </w:r>
      <w:r w:rsidR="000D3681">
        <w:rPr>
          <w:rFonts w:ascii="Arial" w:hAnsi="Arial" w:cs="Arial"/>
        </w:rPr>
        <w:t>8</w:t>
      </w:r>
      <w:r w:rsidRPr="00BF7237">
        <w:rPr>
          <w:rFonts w:ascii="Arial" w:hAnsi="Arial" w:cs="Arial"/>
        </w:rPr>
        <w:t>. Entry Mode Decision Matrix for Caffè Nero's Proposed Expansion into India</w:t>
      </w:r>
    </w:p>
    <w:p w14:paraId="3E579280" w14:textId="29FD225B" w:rsidR="00BF7237" w:rsidRPr="00BF7237" w:rsidRDefault="00BF7237" w:rsidP="00BF7237">
      <w:pPr>
        <w:spacing w:after="0" w:line="360" w:lineRule="auto"/>
        <w:rPr>
          <w:rFonts w:ascii="Arial" w:hAnsi="Arial" w:cs="Arial"/>
          <w:color w:val="808080" w:themeColor="background1" w:themeShade="80"/>
          <w:sz w:val="22"/>
          <w:szCs w:val="22"/>
        </w:rPr>
      </w:pPr>
      <w:r w:rsidRPr="00BF7237">
        <w:rPr>
          <w:rFonts w:ascii="Arial" w:hAnsi="Arial" w:cs="Arial"/>
          <w:b/>
          <w:bCs/>
          <w:color w:val="808080" w:themeColor="background1" w:themeShade="80"/>
          <w:sz w:val="22"/>
          <w:szCs w:val="22"/>
        </w:rPr>
        <w:t>Source:</w:t>
      </w:r>
      <w:r w:rsidRPr="00BF7237">
        <w:rPr>
          <w:rFonts w:ascii="Arial" w:hAnsi="Arial" w:cs="Arial"/>
          <w:color w:val="808080" w:themeColor="background1" w:themeShade="80"/>
          <w:sz w:val="22"/>
          <w:szCs w:val="22"/>
        </w:rPr>
        <w:t xml:space="preserve"> </w:t>
      </w:r>
      <w:r w:rsidRPr="00BF7237">
        <w:rPr>
          <w:rFonts w:ascii="Arial" w:hAnsi="Arial" w:cs="Arial"/>
          <w:i/>
          <w:iCs/>
          <w:color w:val="808080" w:themeColor="background1" w:themeShade="80"/>
          <w:sz w:val="22"/>
          <w:szCs w:val="22"/>
        </w:rPr>
        <w:t xml:space="preserve">Author's own illustration based on Anderson and </w:t>
      </w:r>
      <w:proofErr w:type="spellStart"/>
      <w:r w:rsidRPr="00BF7237">
        <w:rPr>
          <w:rFonts w:ascii="Arial" w:hAnsi="Arial" w:cs="Arial"/>
          <w:i/>
          <w:iCs/>
          <w:color w:val="808080" w:themeColor="background1" w:themeShade="80"/>
          <w:sz w:val="22"/>
          <w:szCs w:val="22"/>
        </w:rPr>
        <w:t>Gatignon</w:t>
      </w:r>
      <w:proofErr w:type="spellEnd"/>
      <w:r w:rsidRPr="00BF7237">
        <w:rPr>
          <w:rFonts w:ascii="Arial" w:hAnsi="Arial" w:cs="Arial"/>
          <w:i/>
          <w:iCs/>
          <w:color w:val="808080" w:themeColor="background1" w:themeShade="80"/>
          <w:sz w:val="22"/>
          <w:szCs w:val="22"/>
        </w:rPr>
        <w:t xml:space="preserve"> (1986), </w:t>
      </w:r>
      <w:proofErr w:type="spellStart"/>
      <w:r w:rsidRPr="00BF7237">
        <w:rPr>
          <w:rFonts w:ascii="Arial" w:hAnsi="Arial" w:cs="Arial"/>
          <w:i/>
          <w:iCs/>
          <w:color w:val="808080" w:themeColor="background1" w:themeShade="80"/>
          <w:sz w:val="22"/>
          <w:szCs w:val="22"/>
        </w:rPr>
        <w:t>Hennart</w:t>
      </w:r>
      <w:proofErr w:type="spellEnd"/>
      <w:r w:rsidRPr="00BF7237">
        <w:rPr>
          <w:rFonts w:ascii="Arial" w:hAnsi="Arial" w:cs="Arial"/>
          <w:i/>
          <w:iCs/>
          <w:color w:val="808080" w:themeColor="background1" w:themeShade="80"/>
          <w:sz w:val="22"/>
          <w:szCs w:val="22"/>
        </w:rPr>
        <w:t xml:space="preserve"> (1988), </w:t>
      </w:r>
      <w:proofErr w:type="spellStart"/>
      <w:r w:rsidRPr="00BF7237">
        <w:rPr>
          <w:rFonts w:ascii="Arial" w:hAnsi="Arial" w:cs="Arial"/>
          <w:i/>
          <w:iCs/>
          <w:color w:val="808080" w:themeColor="background1" w:themeShade="80"/>
          <w:sz w:val="22"/>
          <w:szCs w:val="22"/>
        </w:rPr>
        <w:t>Brouthers</w:t>
      </w:r>
      <w:proofErr w:type="spellEnd"/>
      <w:r w:rsidRPr="00BF7237">
        <w:rPr>
          <w:rFonts w:ascii="Arial" w:hAnsi="Arial" w:cs="Arial"/>
          <w:i/>
          <w:iCs/>
          <w:color w:val="808080" w:themeColor="background1" w:themeShade="80"/>
          <w:sz w:val="22"/>
          <w:szCs w:val="22"/>
        </w:rPr>
        <w:t xml:space="preserve"> (2002), and Dunning (1988).</w:t>
      </w:r>
    </w:p>
    <w:p w14:paraId="2E3340F6" w14:textId="77777777" w:rsidR="00BF7237" w:rsidRDefault="00BF7237" w:rsidP="00B52CD4">
      <w:pPr>
        <w:spacing w:after="0" w:line="360" w:lineRule="auto"/>
        <w:rPr>
          <w:rFonts w:ascii="Arial" w:hAnsi="Arial" w:cs="Arial"/>
        </w:rPr>
      </w:pPr>
    </w:p>
    <w:p w14:paraId="359B4E2A" w14:textId="77777777" w:rsidR="00BF7237" w:rsidRDefault="00BF7237" w:rsidP="00B52CD4">
      <w:pPr>
        <w:spacing w:after="0" w:line="360" w:lineRule="auto"/>
        <w:rPr>
          <w:rFonts w:ascii="Arial" w:hAnsi="Arial" w:cs="Arial"/>
        </w:rPr>
      </w:pPr>
    </w:p>
    <w:p w14:paraId="378E4E46" w14:textId="77777777" w:rsidR="00C532D2" w:rsidRDefault="00C532D2" w:rsidP="00B52CD4">
      <w:pPr>
        <w:spacing w:after="0" w:line="360" w:lineRule="auto"/>
        <w:rPr>
          <w:rFonts w:ascii="Arial" w:hAnsi="Arial" w:cs="Arial"/>
        </w:rPr>
      </w:pPr>
    </w:p>
    <w:p w14:paraId="471B20C7" w14:textId="77777777" w:rsidR="00C532D2" w:rsidRDefault="00C532D2" w:rsidP="00B52CD4">
      <w:pPr>
        <w:spacing w:after="0" w:line="360" w:lineRule="auto"/>
        <w:rPr>
          <w:rFonts w:ascii="Arial" w:hAnsi="Arial" w:cs="Arial"/>
        </w:rPr>
      </w:pPr>
    </w:p>
    <w:p w14:paraId="08B3554A" w14:textId="77777777" w:rsidR="00C532D2" w:rsidRDefault="00C532D2" w:rsidP="00B52CD4">
      <w:pPr>
        <w:spacing w:after="0" w:line="360" w:lineRule="auto"/>
        <w:rPr>
          <w:rFonts w:ascii="Arial" w:hAnsi="Arial" w:cs="Arial"/>
        </w:rPr>
      </w:pPr>
    </w:p>
    <w:p w14:paraId="59DBC68E" w14:textId="77777777" w:rsidR="00C532D2" w:rsidRPr="00B52CD4" w:rsidRDefault="00C532D2" w:rsidP="00B52CD4">
      <w:pPr>
        <w:spacing w:after="0" w:line="360" w:lineRule="auto"/>
        <w:rPr>
          <w:rFonts w:ascii="Arial" w:hAnsi="Arial" w:cs="Arial"/>
        </w:rPr>
      </w:pPr>
    </w:p>
    <w:p w14:paraId="56D5C0D2" w14:textId="77777777" w:rsidR="00B52CD4" w:rsidRPr="00B52CD4" w:rsidRDefault="00B52CD4" w:rsidP="00B52CD4">
      <w:pPr>
        <w:spacing w:after="0" w:line="360" w:lineRule="auto"/>
        <w:jc w:val="center"/>
        <w:rPr>
          <w:rFonts w:ascii="Arial" w:hAnsi="Arial" w:cs="Arial"/>
          <w:b/>
          <w:bCs/>
        </w:rPr>
      </w:pPr>
      <w:r w:rsidRPr="00B52CD4">
        <w:rPr>
          <w:rFonts w:ascii="Arial" w:hAnsi="Arial" w:cs="Arial"/>
          <w:b/>
          <w:bCs/>
        </w:rPr>
        <w:lastRenderedPageBreak/>
        <w:t>Table 9. Critical Evaluation of Alternative Entry Modes for India</w:t>
      </w:r>
    </w:p>
    <w:tbl>
      <w:tblPr>
        <w:tblStyle w:val="TableGrid"/>
        <w:tblW w:w="0" w:type="auto"/>
        <w:tblLook w:val="04A0" w:firstRow="1" w:lastRow="0" w:firstColumn="1" w:lastColumn="0" w:noHBand="0" w:noVBand="1"/>
      </w:tblPr>
      <w:tblGrid>
        <w:gridCol w:w="2358"/>
        <w:gridCol w:w="3223"/>
        <w:gridCol w:w="3315"/>
        <w:gridCol w:w="1560"/>
      </w:tblGrid>
      <w:tr w:rsidR="00B52CD4" w:rsidRPr="00B52CD4" w14:paraId="4D81EE37" w14:textId="77777777" w:rsidTr="00B52CD4">
        <w:tc>
          <w:tcPr>
            <w:tcW w:w="0" w:type="auto"/>
            <w:hideMark/>
          </w:tcPr>
          <w:p w14:paraId="61532D40" w14:textId="77777777" w:rsidR="00B52CD4" w:rsidRPr="00B52CD4" w:rsidRDefault="00B52CD4" w:rsidP="00897DEC">
            <w:pPr>
              <w:spacing w:line="360" w:lineRule="auto"/>
              <w:jc w:val="center"/>
              <w:rPr>
                <w:rFonts w:ascii="Arial" w:hAnsi="Arial" w:cs="Arial"/>
                <w:b/>
                <w:bCs/>
              </w:rPr>
            </w:pPr>
            <w:r w:rsidRPr="00B52CD4">
              <w:rPr>
                <w:rFonts w:ascii="Arial" w:hAnsi="Arial" w:cs="Arial"/>
                <w:b/>
                <w:bCs/>
              </w:rPr>
              <w:t>Entry Mode</w:t>
            </w:r>
          </w:p>
        </w:tc>
        <w:tc>
          <w:tcPr>
            <w:tcW w:w="0" w:type="auto"/>
            <w:hideMark/>
          </w:tcPr>
          <w:p w14:paraId="4EFBDED8" w14:textId="77777777" w:rsidR="00B52CD4" w:rsidRPr="00B52CD4" w:rsidRDefault="00B52CD4" w:rsidP="00897DEC">
            <w:pPr>
              <w:spacing w:line="360" w:lineRule="auto"/>
              <w:jc w:val="center"/>
              <w:rPr>
                <w:rFonts w:ascii="Arial" w:hAnsi="Arial" w:cs="Arial"/>
                <w:b/>
                <w:bCs/>
              </w:rPr>
            </w:pPr>
            <w:r w:rsidRPr="00B52CD4">
              <w:rPr>
                <w:rFonts w:ascii="Arial" w:hAnsi="Arial" w:cs="Arial"/>
                <w:b/>
                <w:bCs/>
              </w:rPr>
              <w:t>Advantages</w:t>
            </w:r>
          </w:p>
        </w:tc>
        <w:tc>
          <w:tcPr>
            <w:tcW w:w="0" w:type="auto"/>
            <w:hideMark/>
          </w:tcPr>
          <w:p w14:paraId="2FA0E235" w14:textId="77777777" w:rsidR="00B52CD4" w:rsidRPr="00B52CD4" w:rsidRDefault="00B52CD4" w:rsidP="00897DEC">
            <w:pPr>
              <w:spacing w:line="360" w:lineRule="auto"/>
              <w:jc w:val="center"/>
              <w:rPr>
                <w:rFonts w:ascii="Arial" w:hAnsi="Arial" w:cs="Arial"/>
                <w:b/>
                <w:bCs/>
              </w:rPr>
            </w:pPr>
            <w:r w:rsidRPr="00B52CD4">
              <w:rPr>
                <w:rFonts w:ascii="Arial" w:hAnsi="Arial" w:cs="Arial"/>
                <w:b/>
                <w:bCs/>
              </w:rPr>
              <w:t>Limitations</w:t>
            </w:r>
          </w:p>
        </w:tc>
        <w:tc>
          <w:tcPr>
            <w:tcW w:w="0" w:type="auto"/>
            <w:hideMark/>
          </w:tcPr>
          <w:p w14:paraId="4A12C7A5" w14:textId="77777777" w:rsidR="00B52CD4" w:rsidRPr="00B52CD4" w:rsidRDefault="00B52CD4" w:rsidP="00897DEC">
            <w:pPr>
              <w:spacing w:line="360" w:lineRule="auto"/>
              <w:jc w:val="center"/>
              <w:rPr>
                <w:rFonts w:ascii="Arial" w:hAnsi="Arial" w:cs="Arial"/>
                <w:b/>
                <w:bCs/>
              </w:rPr>
            </w:pPr>
            <w:r w:rsidRPr="00B52CD4">
              <w:rPr>
                <w:rFonts w:ascii="Arial" w:hAnsi="Arial" w:cs="Arial"/>
                <w:b/>
                <w:bCs/>
              </w:rPr>
              <w:t>Overall Suitability</w:t>
            </w:r>
          </w:p>
        </w:tc>
      </w:tr>
      <w:tr w:rsidR="00B52CD4" w:rsidRPr="00B52CD4" w14:paraId="7471AAB3" w14:textId="77777777" w:rsidTr="00B52CD4">
        <w:tc>
          <w:tcPr>
            <w:tcW w:w="0" w:type="auto"/>
            <w:hideMark/>
          </w:tcPr>
          <w:p w14:paraId="0C9C95B1" w14:textId="77777777" w:rsidR="00B52CD4" w:rsidRPr="00B52CD4" w:rsidRDefault="00B52CD4" w:rsidP="00897DEC">
            <w:pPr>
              <w:spacing w:line="360" w:lineRule="auto"/>
              <w:jc w:val="center"/>
              <w:rPr>
                <w:rFonts w:ascii="Arial" w:hAnsi="Arial" w:cs="Arial"/>
              </w:rPr>
            </w:pPr>
            <w:r w:rsidRPr="00B52CD4">
              <w:rPr>
                <w:rFonts w:ascii="Arial" w:hAnsi="Arial" w:cs="Arial"/>
                <w:b/>
                <w:bCs/>
              </w:rPr>
              <w:t>Wholly Owned Subsidiary</w:t>
            </w:r>
          </w:p>
        </w:tc>
        <w:tc>
          <w:tcPr>
            <w:tcW w:w="0" w:type="auto"/>
            <w:hideMark/>
          </w:tcPr>
          <w:p w14:paraId="6E275561" w14:textId="77777777" w:rsidR="00B52CD4" w:rsidRPr="00B52CD4" w:rsidRDefault="00B52CD4" w:rsidP="00B52CD4">
            <w:pPr>
              <w:spacing w:line="360" w:lineRule="auto"/>
              <w:rPr>
                <w:rFonts w:ascii="Arial" w:hAnsi="Arial" w:cs="Arial"/>
              </w:rPr>
            </w:pPr>
            <w:r w:rsidRPr="00B52CD4">
              <w:rPr>
                <w:rFonts w:ascii="Arial" w:hAnsi="Arial" w:cs="Arial"/>
              </w:rPr>
              <w:t>Maximum strategic control, protects brand quality, consistent customer experience</w:t>
            </w:r>
          </w:p>
        </w:tc>
        <w:tc>
          <w:tcPr>
            <w:tcW w:w="0" w:type="auto"/>
            <w:hideMark/>
          </w:tcPr>
          <w:p w14:paraId="76035F46" w14:textId="77777777" w:rsidR="00B52CD4" w:rsidRPr="00B52CD4" w:rsidRDefault="00B52CD4" w:rsidP="00B52CD4">
            <w:pPr>
              <w:spacing w:line="360" w:lineRule="auto"/>
              <w:rPr>
                <w:rFonts w:ascii="Arial" w:hAnsi="Arial" w:cs="Arial"/>
              </w:rPr>
            </w:pPr>
            <w:r w:rsidRPr="00B52CD4">
              <w:rPr>
                <w:rFonts w:ascii="Arial" w:hAnsi="Arial" w:cs="Arial"/>
              </w:rPr>
              <w:t>High capital commitment and operational risk</w:t>
            </w:r>
          </w:p>
        </w:tc>
        <w:tc>
          <w:tcPr>
            <w:tcW w:w="0" w:type="auto"/>
            <w:hideMark/>
          </w:tcPr>
          <w:p w14:paraId="7A6AF624" w14:textId="77777777" w:rsidR="00B52CD4" w:rsidRPr="00B52CD4" w:rsidRDefault="00B52CD4" w:rsidP="00897DEC">
            <w:pPr>
              <w:spacing w:line="360" w:lineRule="auto"/>
              <w:jc w:val="center"/>
              <w:rPr>
                <w:rFonts w:ascii="Arial" w:hAnsi="Arial" w:cs="Arial"/>
              </w:rPr>
            </w:pPr>
            <w:r w:rsidRPr="00B52CD4">
              <w:rPr>
                <w:rFonts w:ascii="Arial" w:hAnsi="Arial" w:cs="Arial"/>
                <w:b/>
                <w:bCs/>
              </w:rPr>
              <w:t>Moderate</w:t>
            </w:r>
          </w:p>
        </w:tc>
      </w:tr>
      <w:tr w:rsidR="00B52CD4" w:rsidRPr="00B52CD4" w14:paraId="7FEE0CEB" w14:textId="77777777" w:rsidTr="00B52CD4">
        <w:tc>
          <w:tcPr>
            <w:tcW w:w="0" w:type="auto"/>
            <w:hideMark/>
          </w:tcPr>
          <w:p w14:paraId="47AE9D52" w14:textId="77777777" w:rsidR="00B52CD4" w:rsidRPr="00B52CD4" w:rsidRDefault="00B52CD4" w:rsidP="00897DEC">
            <w:pPr>
              <w:spacing w:line="360" w:lineRule="auto"/>
              <w:jc w:val="center"/>
              <w:rPr>
                <w:rFonts w:ascii="Arial" w:hAnsi="Arial" w:cs="Arial"/>
              </w:rPr>
            </w:pPr>
            <w:r w:rsidRPr="00B52CD4">
              <w:rPr>
                <w:rFonts w:ascii="Arial" w:hAnsi="Arial" w:cs="Arial"/>
                <w:b/>
                <w:bCs/>
              </w:rPr>
              <w:t>Master Franchise</w:t>
            </w:r>
          </w:p>
        </w:tc>
        <w:tc>
          <w:tcPr>
            <w:tcW w:w="0" w:type="auto"/>
            <w:hideMark/>
          </w:tcPr>
          <w:p w14:paraId="10D63C37" w14:textId="77777777" w:rsidR="00B52CD4" w:rsidRPr="00B52CD4" w:rsidRDefault="00B52CD4" w:rsidP="00B52CD4">
            <w:pPr>
              <w:spacing w:line="360" w:lineRule="auto"/>
              <w:rPr>
                <w:rFonts w:ascii="Arial" w:hAnsi="Arial" w:cs="Arial"/>
              </w:rPr>
            </w:pPr>
            <w:r w:rsidRPr="00B52CD4">
              <w:rPr>
                <w:rFonts w:ascii="Arial" w:hAnsi="Arial" w:cs="Arial"/>
              </w:rPr>
              <w:t>Rapid expansion, lower financial investment, strong local knowledge</w:t>
            </w:r>
          </w:p>
        </w:tc>
        <w:tc>
          <w:tcPr>
            <w:tcW w:w="0" w:type="auto"/>
            <w:hideMark/>
          </w:tcPr>
          <w:p w14:paraId="05D0D344" w14:textId="77777777" w:rsidR="00B52CD4" w:rsidRPr="00B52CD4" w:rsidRDefault="00B52CD4" w:rsidP="00B52CD4">
            <w:pPr>
              <w:spacing w:line="360" w:lineRule="auto"/>
              <w:rPr>
                <w:rFonts w:ascii="Arial" w:hAnsi="Arial" w:cs="Arial"/>
              </w:rPr>
            </w:pPr>
            <w:r w:rsidRPr="00B52CD4">
              <w:rPr>
                <w:rFonts w:ascii="Arial" w:hAnsi="Arial" w:cs="Arial"/>
              </w:rPr>
              <w:t>Reduced operational control and potential brand inconsistency</w:t>
            </w:r>
          </w:p>
        </w:tc>
        <w:tc>
          <w:tcPr>
            <w:tcW w:w="0" w:type="auto"/>
            <w:hideMark/>
          </w:tcPr>
          <w:p w14:paraId="37457D8B" w14:textId="77777777" w:rsidR="00B52CD4" w:rsidRPr="00B52CD4" w:rsidRDefault="00B52CD4" w:rsidP="00897DEC">
            <w:pPr>
              <w:spacing w:line="360" w:lineRule="auto"/>
              <w:jc w:val="center"/>
              <w:rPr>
                <w:rFonts w:ascii="Arial" w:hAnsi="Arial" w:cs="Arial"/>
              </w:rPr>
            </w:pPr>
            <w:r w:rsidRPr="00B52CD4">
              <w:rPr>
                <w:rFonts w:ascii="Arial" w:hAnsi="Arial" w:cs="Arial"/>
                <w:b/>
                <w:bCs/>
              </w:rPr>
              <w:t>Moderate</w:t>
            </w:r>
          </w:p>
        </w:tc>
      </w:tr>
      <w:tr w:rsidR="00B52CD4" w:rsidRPr="00B52CD4" w14:paraId="0C24B3D5" w14:textId="77777777" w:rsidTr="00B52CD4">
        <w:tc>
          <w:tcPr>
            <w:tcW w:w="0" w:type="auto"/>
            <w:hideMark/>
          </w:tcPr>
          <w:p w14:paraId="6A7281E3" w14:textId="77777777" w:rsidR="00B52CD4" w:rsidRPr="00B52CD4" w:rsidRDefault="00B52CD4" w:rsidP="00897DEC">
            <w:pPr>
              <w:spacing w:line="360" w:lineRule="auto"/>
              <w:jc w:val="center"/>
              <w:rPr>
                <w:rFonts w:ascii="Arial" w:hAnsi="Arial" w:cs="Arial"/>
              </w:rPr>
            </w:pPr>
            <w:r w:rsidRPr="00B52CD4">
              <w:rPr>
                <w:rFonts w:ascii="Arial" w:hAnsi="Arial" w:cs="Arial"/>
                <w:b/>
                <w:bCs/>
              </w:rPr>
              <w:t>Acquisition</w:t>
            </w:r>
          </w:p>
        </w:tc>
        <w:tc>
          <w:tcPr>
            <w:tcW w:w="0" w:type="auto"/>
            <w:hideMark/>
          </w:tcPr>
          <w:p w14:paraId="45EDDEAC" w14:textId="77777777" w:rsidR="00B52CD4" w:rsidRPr="00B52CD4" w:rsidRDefault="00B52CD4" w:rsidP="00B52CD4">
            <w:pPr>
              <w:spacing w:line="360" w:lineRule="auto"/>
              <w:rPr>
                <w:rFonts w:ascii="Arial" w:hAnsi="Arial" w:cs="Arial"/>
              </w:rPr>
            </w:pPr>
            <w:r w:rsidRPr="00B52CD4">
              <w:rPr>
                <w:rFonts w:ascii="Arial" w:hAnsi="Arial" w:cs="Arial"/>
              </w:rPr>
              <w:t>Immediate market access and established customer base</w:t>
            </w:r>
          </w:p>
        </w:tc>
        <w:tc>
          <w:tcPr>
            <w:tcW w:w="0" w:type="auto"/>
            <w:hideMark/>
          </w:tcPr>
          <w:p w14:paraId="518433F7" w14:textId="77777777" w:rsidR="00B52CD4" w:rsidRPr="00B52CD4" w:rsidRDefault="00B52CD4" w:rsidP="00B52CD4">
            <w:pPr>
              <w:spacing w:line="360" w:lineRule="auto"/>
              <w:rPr>
                <w:rFonts w:ascii="Arial" w:hAnsi="Arial" w:cs="Arial"/>
              </w:rPr>
            </w:pPr>
            <w:r w:rsidRPr="00B52CD4">
              <w:rPr>
                <w:rFonts w:ascii="Arial" w:hAnsi="Arial" w:cs="Arial"/>
              </w:rPr>
              <w:t>Limited availability of suitable premium café chains and high acquisition costs</w:t>
            </w:r>
          </w:p>
        </w:tc>
        <w:tc>
          <w:tcPr>
            <w:tcW w:w="0" w:type="auto"/>
            <w:hideMark/>
          </w:tcPr>
          <w:p w14:paraId="57CA6F82" w14:textId="77777777" w:rsidR="00B52CD4" w:rsidRPr="00B52CD4" w:rsidRDefault="00B52CD4" w:rsidP="00897DEC">
            <w:pPr>
              <w:spacing w:line="360" w:lineRule="auto"/>
              <w:jc w:val="center"/>
              <w:rPr>
                <w:rFonts w:ascii="Arial" w:hAnsi="Arial" w:cs="Arial"/>
              </w:rPr>
            </w:pPr>
            <w:r w:rsidRPr="00B52CD4">
              <w:rPr>
                <w:rFonts w:ascii="Arial" w:hAnsi="Arial" w:cs="Arial"/>
                <w:b/>
                <w:bCs/>
              </w:rPr>
              <w:t>Moderate</w:t>
            </w:r>
          </w:p>
        </w:tc>
      </w:tr>
      <w:tr w:rsidR="00B52CD4" w:rsidRPr="00B52CD4" w14:paraId="5689E4D6" w14:textId="77777777" w:rsidTr="00B52CD4">
        <w:tc>
          <w:tcPr>
            <w:tcW w:w="0" w:type="auto"/>
            <w:hideMark/>
          </w:tcPr>
          <w:p w14:paraId="7713B18A" w14:textId="77777777" w:rsidR="00B52CD4" w:rsidRPr="00B52CD4" w:rsidRDefault="00B52CD4" w:rsidP="00897DEC">
            <w:pPr>
              <w:spacing w:line="360" w:lineRule="auto"/>
              <w:jc w:val="center"/>
              <w:rPr>
                <w:rFonts w:ascii="Arial" w:hAnsi="Arial" w:cs="Arial"/>
              </w:rPr>
            </w:pPr>
            <w:r w:rsidRPr="00B52CD4">
              <w:rPr>
                <w:rFonts w:ascii="Arial" w:hAnsi="Arial" w:cs="Arial"/>
                <w:b/>
                <w:bCs/>
              </w:rPr>
              <w:t>Strategic Joint Venture / Equity Partnership</w:t>
            </w:r>
          </w:p>
        </w:tc>
        <w:tc>
          <w:tcPr>
            <w:tcW w:w="0" w:type="auto"/>
            <w:hideMark/>
          </w:tcPr>
          <w:p w14:paraId="498F000E" w14:textId="77777777" w:rsidR="00B52CD4" w:rsidRPr="00B52CD4" w:rsidRDefault="00B52CD4" w:rsidP="00B52CD4">
            <w:pPr>
              <w:spacing w:line="360" w:lineRule="auto"/>
              <w:rPr>
                <w:rFonts w:ascii="Arial" w:hAnsi="Arial" w:cs="Arial"/>
              </w:rPr>
            </w:pPr>
            <w:r w:rsidRPr="00B52CD4">
              <w:rPr>
                <w:rFonts w:ascii="Arial" w:hAnsi="Arial" w:cs="Arial"/>
              </w:rPr>
              <w:t>Balances local expertise with strategic control while reducing market-entry risk</w:t>
            </w:r>
          </w:p>
        </w:tc>
        <w:tc>
          <w:tcPr>
            <w:tcW w:w="0" w:type="auto"/>
            <w:hideMark/>
          </w:tcPr>
          <w:p w14:paraId="0E01FBEB" w14:textId="77777777" w:rsidR="00B52CD4" w:rsidRPr="00B52CD4" w:rsidRDefault="00B52CD4" w:rsidP="00B52CD4">
            <w:pPr>
              <w:spacing w:line="360" w:lineRule="auto"/>
              <w:rPr>
                <w:rFonts w:ascii="Arial" w:hAnsi="Arial" w:cs="Arial"/>
              </w:rPr>
            </w:pPr>
            <w:r w:rsidRPr="00B52CD4">
              <w:rPr>
                <w:rFonts w:ascii="Arial" w:hAnsi="Arial" w:cs="Arial"/>
              </w:rPr>
              <w:t>Shared decision-making may slow implementation</w:t>
            </w:r>
          </w:p>
        </w:tc>
        <w:tc>
          <w:tcPr>
            <w:tcW w:w="0" w:type="auto"/>
            <w:hideMark/>
          </w:tcPr>
          <w:p w14:paraId="7D2A303F" w14:textId="77777777" w:rsidR="00B52CD4" w:rsidRPr="00B52CD4" w:rsidRDefault="00B52CD4" w:rsidP="00897DEC">
            <w:pPr>
              <w:spacing w:line="360" w:lineRule="auto"/>
              <w:jc w:val="center"/>
              <w:rPr>
                <w:rFonts w:ascii="Arial" w:hAnsi="Arial" w:cs="Arial"/>
              </w:rPr>
            </w:pPr>
            <w:r w:rsidRPr="00B52CD4">
              <w:rPr>
                <w:rFonts w:ascii="Arial" w:hAnsi="Arial" w:cs="Arial"/>
                <w:b/>
                <w:bCs/>
              </w:rPr>
              <w:t>High</w:t>
            </w:r>
          </w:p>
        </w:tc>
      </w:tr>
    </w:tbl>
    <w:p w14:paraId="031CBAA4" w14:textId="2B686500" w:rsidR="00B52CD4" w:rsidRPr="00B52CD4" w:rsidRDefault="00B52CD4" w:rsidP="00B52CD4">
      <w:pPr>
        <w:spacing w:after="0" w:line="360" w:lineRule="auto"/>
        <w:rPr>
          <w:rFonts w:ascii="Arial" w:hAnsi="Arial" w:cs="Arial"/>
          <w:i/>
          <w:iCs/>
          <w:color w:val="808080" w:themeColor="background1" w:themeShade="80"/>
          <w:sz w:val="22"/>
          <w:szCs w:val="22"/>
        </w:rPr>
      </w:pPr>
      <w:r w:rsidRPr="00B52CD4">
        <w:rPr>
          <w:rFonts w:ascii="Arial" w:hAnsi="Arial" w:cs="Arial"/>
          <w:b/>
          <w:bCs/>
          <w:i/>
          <w:iCs/>
          <w:color w:val="808080" w:themeColor="background1" w:themeShade="80"/>
          <w:sz w:val="22"/>
          <w:szCs w:val="22"/>
        </w:rPr>
        <w:t>Source:</w:t>
      </w:r>
      <w:r w:rsidRPr="00B52CD4">
        <w:rPr>
          <w:rFonts w:ascii="Arial" w:hAnsi="Arial" w:cs="Arial"/>
          <w:i/>
          <w:iCs/>
          <w:color w:val="808080" w:themeColor="background1" w:themeShade="80"/>
          <w:sz w:val="22"/>
          <w:szCs w:val="22"/>
        </w:rPr>
        <w:t xml:space="preserve"> Author's evaluation based on Anderson and </w:t>
      </w:r>
      <w:proofErr w:type="spellStart"/>
      <w:r w:rsidRPr="00B52CD4">
        <w:rPr>
          <w:rFonts w:ascii="Arial" w:hAnsi="Arial" w:cs="Arial"/>
          <w:i/>
          <w:iCs/>
          <w:color w:val="808080" w:themeColor="background1" w:themeShade="80"/>
          <w:sz w:val="22"/>
          <w:szCs w:val="22"/>
        </w:rPr>
        <w:t>Gatignon</w:t>
      </w:r>
      <w:proofErr w:type="spellEnd"/>
      <w:r w:rsidRPr="00B52CD4">
        <w:rPr>
          <w:rFonts w:ascii="Arial" w:hAnsi="Arial" w:cs="Arial"/>
          <w:i/>
          <w:iCs/>
          <w:color w:val="808080" w:themeColor="background1" w:themeShade="80"/>
          <w:sz w:val="22"/>
          <w:szCs w:val="22"/>
        </w:rPr>
        <w:t xml:space="preserve"> (1986), </w:t>
      </w:r>
      <w:proofErr w:type="spellStart"/>
      <w:r w:rsidRPr="00B52CD4">
        <w:rPr>
          <w:rFonts w:ascii="Arial" w:hAnsi="Arial" w:cs="Arial"/>
          <w:i/>
          <w:iCs/>
          <w:color w:val="808080" w:themeColor="background1" w:themeShade="80"/>
          <w:sz w:val="22"/>
          <w:szCs w:val="22"/>
        </w:rPr>
        <w:t>Brouthers</w:t>
      </w:r>
      <w:proofErr w:type="spellEnd"/>
      <w:r w:rsidRPr="00B52CD4">
        <w:rPr>
          <w:rFonts w:ascii="Arial" w:hAnsi="Arial" w:cs="Arial"/>
          <w:i/>
          <w:iCs/>
          <w:color w:val="808080" w:themeColor="background1" w:themeShade="80"/>
          <w:sz w:val="22"/>
          <w:szCs w:val="22"/>
        </w:rPr>
        <w:t xml:space="preserve"> (2002), </w:t>
      </w:r>
      <w:proofErr w:type="spellStart"/>
      <w:r w:rsidRPr="00B52CD4">
        <w:rPr>
          <w:rFonts w:ascii="Arial" w:hAnsi="Arial" w:cs="Arial"/>
          <w:i/>
          <w:iCs/>
          <w:color w:val="808080" w:themeColor="background1" w:themeShade="80"/>
          <w:sz w:val="22"/>
          <w:szCs w:val="22"/>
        </w:rPr>
        <w:t>Hennart</w:t>
      </w:r>
      <w:proofErr w:type="spellEnd"/>
      <w:r w:rsidRPr="00B52CD4">
        <w:rPr>
          <w:rFonts w:ascii="Arial" w:hAnsi="Arial" w:cs="Arial"/>
          <w:i/>
          <w:iCs/>
          <w:color w:val="808080" w:themeColor="background1" w:themeShade="80"/>
          <w:sz w:val="22"/>
          <w:szCs w:val="22"/>
        </w:rPr>
        <w:t xml:space="preserve"> (1988) </w:t>
      </w:r>
      <w:r w:rsidR="00702D7B">
        <w:rPr>
          <w:rFonts w:ascii="Arial" w:hAnsi="Arial" w:cs="Arial"/>
          <w:i/>
          <w:iCs/>
          <w:color w:val="808080" w:themeColor="background1" w:themeShade="80"/>
          <w:sz w:val="22"/>
          <w:szCs w:val="22"/>
        </w:rPr>
        <w:t>and</w:t>
      </w:r>
      <w:r w:rsidRPr="00B52CD4">
        <w:rPr>
          <w:rFonts w:ascii="Arial" w:hAnsi="Arial" w:cs="Arial"/>
          <w:i/>
          <w:iCs/>
          <w:color w:val="808080" w:themeColor="background1" w:themeShade="80"/>
          <w:sz w:val="22"/>
          <w:szCs w:val="22"/>
        </w:rPr>
        <w:t xml:space="preserve"> preceding analysis.</w:t>
      </w:r>
    </w:p>
    <w:p w14:paraId="796D7190" w14:textId="0FFBB368" w:rsidR="005D77CA" w:rsidRPr="005D77CA" w:rsidRDefault="00C35560" w:rsidP="005D77CA">
      <w:pPr>
        <w:spacing w:after="0" w:line="360" w:lineRule="auto"/>
        <w:rPr>
          <w:rFonts w:ascii="Arial" w:hAnsi="Arial" w:cs="Arial"/>
        </w:rPr>
      </w:pPr>
      <w:r>
        <w:rPr>
          <w:rFonts w:ascii="Arial" w:hAnsi="Arial" w:cs="Arial"/>
          <w:noProof/>
        </w:rPr>
        <w:lastRenderedPageBreak/>
        <w:drawing>
          <wp:anchor distT="0" distB="0" distL="114300" distR="114300" simplePos="0" relativeHeight="251663360" behindDoc="0" locked="0" layoutInCell="1" allowOverlap="1" wp14:anchorId="1D67F8B8" wp14:editId="6AF3D60B">
            <wp:simplePos x="0" y="0"/>
            <wp:positionH relativeFrom="column">
              <wp:posOffset>0</wp:posOffset>
            </wp:positionH>
            <wp:positionV relativeFrom="paragraph">
              <wp:posOffset>1905</wp:posOffset>
            </wp:positionV>
            <wp:extent cx="4140200" cy="6210300"/>
            <wp:effectExtent l="0" t="0" r="0" b="0"/>
            <wp:wrapSquare wrapText="bothSides"/>
            <wp:docPr id="18282804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140200" cy="6210300"/>
                    </a:xfrm>
                    <a:prstGeom prst="rect">
                      <a:avLst/>
                    </a:prstGeom>
                    <a:noFill/>
                  </pic:spPr>
                </pic:pic>
              </a:graphicData>
            </a:graphic>
            <wp14:sizeRelH relativeFrom="page">
              <wp14:pctWidth>0</wp14:pctWidth>
            </wp14:sizeRelH>
            <wp14:sizeRelV relativeFrom="page">
              <wp14:pctHeight>0</wp14:pctHeight>
            </wp14:sizeRelV>
          </wp:anchor>
        </w:drawing>
      </w:r>
      <w:r w:rsidR="005D77CA" w:rsidRPr="005D77CA">
        <w:rPr>
          <w:rFonts w:ascii="Arial" w:hAnsi="Arial" w:cs="Arial"/>
        </w:rPr>
        <w:t>The evaluation demonstrates that no single-entry mode satisfies all strategic requirements. A wholly owned subsidiary would maximise control over brand identity and customer experience but requires substantial capital investment and exposes Caffè Nero to significant operational risk during market entry. Conversely, a master franchise offers rapid expansion and local market knowledge but may weaken operational consistency and reduce the firm's ability to protect its premium brand positioning. Although acquisitions have supported the Nero Group's previous growth, the limited availability of suitable premium café chains in India and the integration risks associated with acquisitions reduce their strategic attractiveness (</w:t>
      </w:r>
      <w:proofErr w:type="spellStart"/>
      <w:r w:rsidR="005D77CA" w:rsidRPr="005D77CA">
        <w:rPr>
          <w:rFonts w:ascii="Arial" w:hAnsi="Arial" w:cs="Arial"/>
        </w:rPr>
        <w:t>Hennart</w:t>
      </w:r>
      <w:proofErr w:type="spellEnd"/>
      <w:r w:rsidR="005D77CA" w:rsidRPr="005D77CA">
        <w:rPr>
          <w:rFonts w:ascii="Arial" w:hAnsi="Arial" w:cs="Arial"/>
        </w:rPr>
        <w:t>, 1988).</w:t>
      </w:r>
    </w:p>
    <w:p w14:paraId="76AA91ED" w14:textId="77777777" w:rsidR="005D77CA" w:rsidRPr="005D77CA" w:rsidRDefault="005D77CA" w:rsidP="005D77CA">
      <w:pPr>
        <w:spacing w:after="0" w:line="360" w:lineRule="auto"/>
        <w:rPr>
          <w:rFonts w:ascii="Arial" w:hAnsi="Arial" w:cs="Arial"/>
        </w:rPr>
      </w:pPr>
      <w:r w:rsidRPr="005D77CA">
        <w:rPr>
          <w:rFonts w:ascii="Arial" w:hAnsi="Arial" w:cs="Arial"/>
        </w:rPr>
        <w:t>Among the alternatives, a strategic joint venture or equity partnership offers the strongest alignment with both Caffè Nero's ownership advantages and India's institutional environment. This approach balances strategic control with access to local market knowledge, enabling the company to manage regulatory complexity, identify suitable commercial locations and respond to evolving consumer preferences without compromising operational standards. The recommendation also supports the OLI analysis, which identified internalisation benefits through retaining control of core capabilities while leveraging partner-specific resources.</w:t>
      </w:r>
    </w:p>
    <w:p w14:paraId="08AD319A" w14:textId="77777777" w:rsidR="005D77CA" w:rsidRPr="005D77CA" w:rsidRDefault="005D77CA" w:rsidP="005D77CA">
      <w:pPr>
        <w:spacing w:after="0" w:line="360" w:lineRule="auto"/>
        <w:rPr>
          <w:rFonts w:ascii="Arial" w:hAnsi="Arial" w:cs="Arial"/>
        </w:rPr>
      </w:pPr>
      <w:r w:rsidRPr="005D77CA">
        <w:rPr>
          <w:rFonts w:ascii="Arial" w:hAnsi="Arial" w:cs="Arial"/>
        </w:rPr>
        <w:t xml:space="preserve">Importantly, this recommendation represents an evolution rather than a departure from Caffè Nero's historical internationalisation strategy. The company's expansion history demonstrates a consistent preference for protecting brand quality while adapting governance structures according to market conditions. Given India's greater institutional complexity and competitive intensity compared with Caffè Nero's earlier international markets, a phased equity-based partnership </w:t>
      </w:r>
      <w:r w:rsidRPr="005D77CA">
        <w:rPr>
          <w:rFonts w:ascii="Arial" w:hAnsi="Arial" w:cs="Arial"/>
        </w:rPr>
        <w:lastRenderedPageBreak/>
        <w:t xml:space="preserve">provides an appropriate balance between strategic flexibility and long-term control. This conclusion is consistent with </w:t>
      </w:r>
      <w:proofErr w:type="spellStart"/>
      <w:r w:rsidRPr="005D77CA">
        <w:rPr>
          <w:rFonts w:ascii="Arial" w:hAnsi="Arial" w:cs="Arial"/>
        </w:rPr>
        <w:t>Brouthers</w:t>
      </w:r>
      <w:proofErr w:type="spellEnd"/>
      <w:r w:rsidRPr="005D77CA">
        <w:rPr>
          <w:rFonts w:ascii="Arial" w:hAnsi="Arial" w:cs="Arial"/>
        </w:rPr>
        <w:t>' (2002) argument that superior international performance depends on aligning entry-mode decisions with both firm-specific resources and host-country conditions.</w:t>
      </w:r>
    </w:p>
    <w:p w14:paraId="739A33D4" w14:textId="77777777" w:rsidR="005D77CA" w:rsidRDefault="005D77CA" w:rsidP="00B52CD4">
      <w:pPr>
        <w:spacing w:after="0" w:line="360" w:lineRule="auto"/>
        <w:rPr>
          <w:rFonts w:ascii="Arial" w:hAnsi="Arial" w:cs="Arial"/>
        </w:rPr>
      </w:pPr>
    </w:p>
    <w:p w14:paraId="4B03076F" w14:textId="77777777" w:rsidR="00BF7237" w:rsidRPr="00BF7237" w:rsidRDefault="00BF7237" w:rsidP="00BF7237">
      <w:pPr>
        <w:pStyle w:val="Heading2"/>
        <w:rPr>
          <w:rFonts w:ascii="Arial" w:hAnsi="Arial" w:cs="Arial"/>
          <w:sz w:val="24"/>
          <w:szCs w:val="24"/>
        </w:rPr>
      </w:pPr>
      <w:bookmarkStart w:id="24" w:name="_Toc236996678"/>
      <w:bookmarkStart w:id="25" w:name="_Toc236998177"/>
      <w:r w:rsidRPr="00BF7237">
        <w:rPr>
          <w:rFonts w:ascii="Arial" w:hAnsi="Arial" w:cs="Arial"/>
          <w:sz w:val="24"/>
          <w:szCs w:val="24"/>
        </w:rPr>
        <w:t>3.3 Conclusion and Recommendations</w:t>
      </w:r>
      <w:bookmarkEnd w:id="24"/>
      <w:bookmarkEnd w:id="25"/>
    </w:p>
    <w:p w14:paraId="6136D31E" w14:textId="77777777" w:rsidR="002B2293" w:rsidRPr="002B2293" w:rsidRDefault="002B2293" w:rsidP="002B2293">
      <w:pPr>
        <w:spacing w:after="0" w:line="360" w:lineRule="auto"/>
        <w:rPr>
          <w:rFonts w:ascii="Arial" w:hAnsi="Arial" w:cs="Arial"/>
        </w:rPr>
      </w:pPr>
      <w:r w:rsidRPr="002B2293">
        <w:rPr>
          <w:rFonts w:ascii="Arial" w:hAnsi="Arial" w:cs="Arial"/>
        </w:rPr>
        <w:t>The findings of this report indicate that India represents a strategically attractive long-term market for Caffè Nero, supported by favourable FDI policies, sustained economic growth, an expanding affluent consumer base and the rapid development of premium café culture. However, these opportunities are accompanied by institutional complexity, regulatory requirements and increasing competitive intensity, reinforcing the need for an entry strategy that balances strategic control with local responsiveness (</w:t>
      </w:r>
      <w:proofErr w:type="spellStart"/>
      <w:r w:rsidRPr="002B2293">
        <w:rPr>
          <w:rFonts w:ascii="Arial" w:hAnsi="Arial" w:cs="Arial"/>
        </w:rPr>
        <w:t>Brouthers</w:t>
      </w:r>
      <w:proofErr w:type="spellEnd"/>
      <w:r w:rsidRPr="002B2293">
        <w:rPr>
          <w:rFonts w:ascii="Arial" w:hAnsi="Arial" w:cs="Arial"/>
        </w:rPr>
        <w:t>, 2002).</w:t>
      </w:r>
    </w:p>
    <w:p w14:paraId="0F4E0177" w14:textId="77777777" w:rsidR="002B2293" w:rsidRPr="002B2293" w:rsidRDefault="002B2293" w:rsidP="002B2293">
      <w:pPr>
        <w:spacing w:after="0" w:line="360" w:lineRule="auto"/>
        <w:rPr>
          <w:rFonts w:ascii="Arial" w:hAnsi="Arial" w:cs="Arial"/>
        </w:rPr>
      </w:pPr>
      <w:r w:rsidRPr="002B2293">
        <w:rPr>
          <w:rFonts w:ascii="Arial" w:hAnsi="Arial" w:cs="Arial"/>
        </w:rPr>
        <w:t>The integrated application of Bartlett and Ghoshal's (1989) framework and Dunning's (1988) OLI Paradigm demonstrates that Caffè Nero possesses transferable ownership advantages through its premium brand, operational expertise and consistent customer experience, while India's location-specific advantages provide favourable conditions for market-seeking investment. Nevertheless, consistent with Meyer et al. (2009), the institutional characteristics of emerging markets require governance structures that combine strategic control with local market knowledge.</w:t>
      </w:r>
    </w:p>
    <w:p w14:paraId="3E9AE45C" w14:textId="77777777" w:rsidR="002B2293" w:rsidRPr="002B2293" w:rsidRDefault="002B2293" w:rsidP="002B2293">
      <w:pPr>
        <w:spacing w:after="0" w:line="360" w:lineRule="auto"/>
        <w:rPr>
          <w:rFonts w:ascii="Arial" w:hAnsi="Arial" w:cs="Arial"/>
        </w:rPr>
      </w:pPr>
      <w:r w:rsidRPr="002B2293">
        <w:rPr>
          <w:rFonts w:ascii="Arial" w:hAnsi="Arial" w:cs="Arial"/>
        </w:rPr>
        <w:t xml:space="preserve">Accordingly, this report recommends that Caffè Nero adopts a phased equity-based joint venture as its preferred entry mode. Compared with wholly owned expansion, this approach reduces financial and operational risk while providing access to local regulatory expertise, commercial networks and consumer insights. At the same time, it offers greater strategic control than franchising, enabling the company to protect the premium customer experience that underpins its competitive advantage (Anderson and </w:t>
      </w:r>
      <w:proofErr w:type="spellStart"/>
      <w:r w:rsidRPr="002B2293">
        <w:rPr>
          <w:rFonts w:ascii="Arial" w:hAnsi="Arial" w:cs="Arial"/>
        </w:rPr>
        <w:t>Gatignon</w:t>
      </w:r>
      <w:proofErr w:type="spellEnd"/>
      <w:r w:rsidRPr="002B2293">
        <w:rPr>
          <w:rFonts w:ascii="Arial" w:hAnsi="Arial" w:cs="Arial"/>
        </w:rPr>
        <w:t>, 1986; Beamish and Lupton, 2009).</w:t>
      </w:r>
    </w:p>
    <w:p w14:paraId="573764C1" w14:textId="77777777" w:rsidR="002B2293" w:rsidRPr="002B2293" w:rsidRDefault="002B2293" w:rsidP="002B2293">
      <w:pPr>
        <w:spacing w:after="0" w:line="360" w:lineRule="auto"/>
        <w:rPr>
          <w:rFonts w:ascii="Arial" w:hAnsi="Arial" w:cs="Arial"/>
        </w:rPr>
      </w:pPr>
      <w:r w:rsidRPr="002B2293">
        <w:rPr>
          <w:rFonts w:ascii="Arial" w:hAnsi="Arial" w:cs="Arial"/>
        </w:rPr>
        <w:t>The recommended strategy should initially focus on Mumbai, Bengaluru and Delhi NCR, where affluent consumers, mature retail infrastructure and established café culture provide the strongest commercial potential. Following successful market validation and organisational learning, Caffè Nero can progressively increase its ownership and expand into additional metropolitan markets.</w:t>
      </w:r>
    </w:p>
    <w:p w14:paraId="032116F6" w14:textId="77777777" w:rsidR="002B2293" w:rsidRPr="002B2293" w:rsidRDefault="002B2293" w:rsidP="002B2293">
      <w:pPr>
        <w:spacing w:after="0" w:line="360" w:lineRule="auto"/>
        <w:rPr>
          <w:rFonts w:ascii="Arial" w:hAnsi="Arial" w:cs="Arial"/>
        </w:rPr>
      </w:pPr>
      <w:r w:rsidRPr="002B2293">
        <w:rPr>
          <w:rFonts w:ascii="Arial" w:hAnsi="Arial" w:cs="Arial"/>
        </w:rPr>
        <w:t>Overall, sustainable success in India will depend not on replicating the company's previous internationalisation model but on adapting it to local institutional conditions. By combining its established international capabilities with carefully selected local partnerships and phased expansion, Caffè Nero will be well positioned to achieve long-term competitive advantage in one of the world's fastest-growing premium café markets.</w:t>
      </w:r>
    </w:p>
    <w:p w14:paraId="3CC71F2B" w14:textId="77777777" w:rsidR="002B2293" w:rsidRDefault="002B2293" w:rsidP="00BF7237">
      <w:pPr>
        <w:spacing w:after="0" w:line="360" w:lineRule="auto"/>
        <w:rPr>
          <w:rFonts w:ascii="Arial" w:hAnsi="Arial" w:cs="Arial"/>
        </w:rPr>
      </w:pPr>
    </w:p>
    <w:p w14:paraId="719D92D9" w14:textId="77777777" w:rsidR="00C532D2" w:rsidRDefault="00C532D2" w:rsidP="00BF7237">
      <w:pPr>
        <w:spacing w:after="0" w:line="360" w:lineRule="auto"/>
        <w:rPr>
          <w:rFonts w:ascii="Arial" w:hAnsi="Arial" w:cs="Arial"/>
        </w:rPr>
      </w:pPr>
    </w:p>
    <w:p w14:paraId="5E1849C6" w14:textId="14C7580E" w:rsidR="009D10AA" w:rsidRPr="00C532D2" w:rsidRDefault="00CD6F24" w:rsidP="00C532D2">
      <w:pPr>
        <w:pStyle w:val="Heading1"/>
        <w:rPr>
          <w:rFonts w:ascii="Arial" w:hAnsi="Arial" w:cs="Arial"/>
          <w:sz w:val="24"/>
          <w:szCs w:val="24"/>
        </w:rPr>
      </w:pPr>
      <w:bookmarkStart w:id="26" w:name="_Toc236996679"/>
      <w:bookmarkStart w:id="27" w:name="_Toc236998178"/>
      <w:r w:rsidRPr="00CD6F24">
        <w:rPr>
          <w:rFonts w:ascii="Arial" w:hAnsi="Arial" w:cs="Arial"/>
          <w:sz w:val="24"/>
          <w:szCs w:val="24"/>
        </w:rPr>
        <w:lastRenderedPageBreak/>
        <w:t>Section 2: Reflective Account (Gibbs' Reflective Cycle)</w:t>
      </w:r>
      <w:bookmarkEnd w:id="26"/>
      <w:bookmarkEnd w:id="27"/>
    </w:p>
    <w:p w14:paraId="53590E4C" w14:textId="77777777" w:rsidR="00C532D2" w:rsidRDefault="00C532D2" w:rsidP="009D10AA">
      <w:pPr>
        <w:rPr>
          <w:rFonts w:ascii="Arial" w:hAnsi="Arial" w:cs="Arial"/>
          <w:b/>
          <w:bCs/>
        </w:rPr>
      </w:pPr>
    </w:p>
    <w:p w14:paraId="0E2CE1CE" w14:textId="4FE3058F" w:rsidR="00CD6F24" w:rsidRPr="009D10AA" w:rsidRDefault="00CD6F24" w:rsidP="009D10AA">
      <w:pPr>
        <w:rPr>
          <w:rFonts w:ascii="Arial" w:hAnsi="Arial" w:cs="Arial"/>
          <w:b/>
          <w:bCs/>
        </w:rPr>
      </w:pPr>
      <w:r w:rsidRPr="009D10AA">
        <w:rPr>
          <w:rFonts w:ascii="Arial" w:hAnsi="Arial" w:cs="Arial"/>
          <w:b/>
          <w:bCs/>
        </w:rPr>
        <w:t>2.1 Description</w:t>
      </w:r>
    </w:p>
    <w:p w14:paraId="39D9EB00" w14:textId="77777777" w:rsidR="00BD4A44" w:rsidRPr="00BD4A44" w:rsidRDefault="00BD4A44" w:rsidP="00BD4A44">
      <w:pPr>
        <w:spacing w:after="0" w:line="360" w:lineRule="auto"/>
        <w:rPr>
          <w:rFonts w:ascii="Arial" w:hAnsi="Arial" w:cs="Arial"/>
        </w:rPr>
      </w:pPr>
      <w:r w:rsidRPr="00BD4A44">
        <w:rPr>
          <w:rFonts w:ascii="Arial" w:hAnsi="Arial" w:cs="Arial"/>
        </w:rPr>
        <w:t>This assessment required the development of an international market-entry strategy by evaluating a suitable host country and recommending an appropriate entry mode for a multinational enterprise. Selecting an appropriate organisation proved more challenging than expected because the availability of academic literature, corporate information and evidence of international expansion would directly influence the quality of the analysis. After evaluating several alternatives, I selected Caffè Nero and India, as this combination provided sufficient scope to apply international business theories within a realistic strategic context.</w:t>
      </w:r>
    </w:p>
    <w:p w14:paraId="0F3FBA04" w14:textId="5AD2F8F2" w:rsidR="009D10AA" w:rsidRPr="00BD4A44" w:rsidRDefault="00BD4A44" w:rsidP="00BD4A44">
      <w:pPr>
        <w:spacing w:after="0" w:line="360" w:lineRule="auto"/>
        <w:rPr>
          <w:rFonts w:ascii="Arial" w:hAnsi="Arial" w:cs="Arial"/>
        </w:rPr>
      </w:pPr>
      <w:r w:rsidRPr="00BD4A44">
        <w:rPr>
          <w:rFonts w:ascii="Arial" w:hAnsi="Arial" w:cs="Arial"/>
        </w:rPr>
        <w:t>The report was developed using academic journals, company reports, government publications and industry data. Rather than producing a descriptive country analysis, I adopted a consultancy-style approach by integrating Bartlett and Ghoshal's (1989) framework, Dunning's (1988) OLI Paradigm and entry-mode theories throughout the strategic evaluation.</w:t>
      </w:r>
    </w:p>
    <w:p w14:paraId="304A3CC9" w14:textId="77777777" w:rsidR="00C532D2" w:rsidRDefault="00C532D2" w:rsidP="00BD4A44">
      <w:pPr>
        <w:spacing w:after="0" w:line="360" w:lineRule="auto"/>
        <w:rPr>
          <w:rFonts w:ascii="Arial" w:hAnsi="Arial" w:cs="Arial"/>
          <w:b/>
          <w:bCs/>
        </w:rPr>
      </w:pPr>
    </w:p>
    <w:p w14:paraId="55EFE53E" w14:textId="1A86612A" w:rsidR="00BD4A44" w:rsidRPr="00BD4A44" w:rsidRDefault="00BD4A44" w:rsidP="00BD4A44">
      <w:pPr>
        <w:spacing w:after="0" w:line="360" w:lineRule="auto"/>
        <w:rPr>
          <w:rFonts w:ascii="Arial" w:hAnsi="Arial" w:cs="Arial"/>
          <w:b/>
          <w:bCs/>
        </w:rPr>
      </w:pPr>
      <w:r w:rsidRPr="00BD4A44">
        <w:rPr>
          <w:rFonts w:ascii="Arial" w:hAnsi="Arial" w:cs="Arial"/>
          <w:b/>
          <w:bCs/>
        </w:rPr>
        <w:t>2.2 Feelings</w:t>
      </w:r>
    </w:p>
    <w:p w14:paraId="6F3A7162" w14:textId="77777777" w:rsidR="00BD4A44" w:rsidRPr="00BD4A44" w:rsidRDefault="00BD4A44" w:rsidP="00BD4A44">
      <w:pPr>
        <w:spacing w:after="0" w:line="360" w:lineRule="auto"/>
        <w:rPr>
          <w:rFonts w:ascii="Arial" w:hAnsi="Arial" w:cs="Arial"/>
        </w:rPr>
      </w:pPr>
      <w:r w:rsidRPr="00BD4A44">
        <w:rPr>
          <w:rFonts w:ascii="Arial" w:hAnsi="Arial" w:cs="Arial"/>
        </w:rPr>
        <w:t>Initially, I underestimated the complexity of the assignment because I assumed that selecting a host country and applying theoretical frameworks would be relatively straightforward. However, reviewing the literature highlighted that successful international expansion depends on aligning organisational capabilities with host-country conditions rather than identifying an attractive market alone. This initially reduced my confidence because I found it difficult to distinguish between description and critical analysis.</w:t>
      </w:r>
    </w:p>
    <w:p w14:paraId="3E4B4333" w14:textId="71A4C1CC" w:rsidR="009D10AA" w:rsidRPr="00BD4A44" w:rsidRDefault="00BD4A44" w:rsidP="00BD4A44">
      <w:pPr>
        <w:spacing w:after="0" w:line="360" w:lineRule="auto"/>
        <w:rPr>
          <w:rFonts w:ascii="Arial" w:hAnsi="Arial" w:cs="Arial"/>
        </w:rPr>
      </w:pPr>
      <w:r w:rsidRPr="00BD4A44">
        <w:rPr>
          <w:rFonts w:ascii="Arial" w:hAnsi="Arial" w:cs="Arial"/>
        </w:rPr>
        <w:t>As the assignment progressed, my confidence increased. Feedback from lectures and seminars encouraged me to focus on evaluating the strategic implications of evidence rather than describing external factors. This shift fundamentally changed my approach to academic writing and strengthened my confidence in applying theory critically.</w:t>
      </w:r>
    </w:p>
    <w:p w14:paraId="535509F4" w14:textId="77777777" w:rsidR="00C532D2" w:rsidRDefault="00C532D2" w:rsidP="00BD4A44">
      <w:pPr>
        <w:spacing w:after="0" w:line="360" w:lineRule="auto"/>
        <w:rPr>
          <w:rFonts w:ascii="Arial" w:hAnsi="Arial" w:cs="Arial"/>
          <w:b/>
          <w:bCs/>
        </w:rPr>
      </w:pPr>
    </w:p>
    <w:p w14:paraId="1E25BA41" w14:textId="2B0AAB29" w:rsidR="00BD4A44" w:rsidRPr="00BD4A44" w:rsidRDefault="00BD4A44" w:rsidP="00BD4A44">
      <w:pPr>
        <w:spacing w:after="0" w:line="360" w:lineRule="auto"/>
        <w:rPr>
          <w:rFonts w:ascii="Arial" w:hAnsi="Arial" w:cs="Arial"/>
          <w:b/>
          <w:bCs/>
        </w:rPr>
      </w:pPr>
      <w:r w:rsidRPr="00BD4A44">
        <w:rPr>
          <w:rFonts w:ascii="Arial" w:hAnsi="Arial" w:cs="Arial"/>
          <w:b/>
          <w:bCs/>
        </w:rPr>
        <w:t>2.3 Evaluation</w:t>
      </w:r>
    </w:p>
    <w:p w14:paraId="28670EA1" w14:textId="77777777" w:rsidR="00BD4A44" w:rsidRPr="00BD4A44" w:rsidRDefault="00BD4A44" w:rsidP="00BD4A44">
      <w:pPr>
        <w:spacing w:after="0" w:line="360" w:lineRule="auto"/>
        <w:rPr>
          <w:rFonts w:ascii="Arial" w:hAnsi="Arial" w:cs="Arial"/>
        </w:rPr>
      </w:pPr>
      <w:r w:rsidRPr="00BD4A44">
        <w:rPr>
          <w:rFonts w:ascii="Arial" w:hAnsi="Arial" w:cs="Arial"/>
        </w:rPr>
        <w:t>A key strength of my approach was organising the research before writing. Structuring evidence around the political, economic, legal and cultural environment, together with Caffè Nero's international strategy, enabled me to maintain a logical argument throughout the report.</w:t>
      </w:r>
    </w:p>
    <w:p w14:paraId="14A9071D" w14:textId="77777777" w:rsidR="00BD4A44" w:rsidRPr="00BD4A44" w:rsidRDefault="00BD4A44" w:rsidP="00BD4A44">
      <w:pPr>
        <w:spacing w:after="0" w:line="360" w:lineRule="auto"/>
        <w:rPr>
          <w:rFonts w:ascii="Arial" w:hAnsi="Arial" w:cs="Arial"/>
        </w:rPr>
      </w:pPr>
      <w:r w:rsidRPr="00BD4A44">
        <w:rPr>
          <w:rFonts w:ascii="Arial" w:hAnsi="Arial" w:cs="Arial"/>
        </w:rPr>
        <w:t xml:space="preserve">Another strength was integrating theory with practical evidence. Rather than presenting models independently, I applied Bartlett and Ghoshal's (1989) framework to Caffè Nero's international strategy and used Dunning's (1988) OLI Paradigm to synthesise the macro-environmental </w:t>
      </w:r>
      <w:r w:rsidRPr="00BD4A44">
        <w:rPr>
          <w:rFonts w:ascii="Arial" w:hAnsi="Arial" w:cs="Arial"/>
        </w:rPr>
        <w:lastRenderedPageBreak/>
        <w:t>findings. This demonstrated that strategic frameworks are most valuable when supporting managerial decision-making rather than describing business concepts.</w:t>
      </w:r>
    </w:p>
    <w:p w14:paraId="36778247" w14:textId="68D1340A" w:rsidR="00BD4A44" w:rsidRDefault="00BD4A44" w:rsidP="00BD4A44">
      <w:pPr>
        <w:spacing w:after="0" w:line="360" w:lineRule="auto"/>
        <w:rPr>
          <w:rFonts w:ascii="Arial" w:hAnsi="Arial" w:cs="Arial"/>
        </w:rPr>
      </w:pPr>
      <w:r w:rsidRPr="00BD4A44">
        <w:rPr>
          <w:rFonts w:ascii="Arial" w:hAnsi="Arial" w:cs="Arial"/>
        </w:rPr>
        <w:t>The greatest challenge was balancing analytical depth with the word limit. Early drafts relied excessively on description, reducing opportunities for critical evaluation. Revising the report helped me prioritise strategic interpretation and remove unnecessary repetition.</w:t>
      </w:r>
    </w:p>
    <w:p w14:paraId="72A70AA1" w14:textId="77777777" w:rsidR="009D10AA" w:rsidRPr="00BD4A44" w:rsidRDefault="009D10AA" w:rsidP="00BD4A44">
      <w:pPr>
        <w:spacing w:after="0" w:line="360" w:lineRule="auto"/>
        <w:rPr>
          <w:rFonts w:ascii="Arial" w:hAnsi="Arial" w:cs="Arial"/>
        </w:rPr>
      </w:pPr>
    </w:p>
    <w:p w14:paraId="21CDA44D" w14:textId="77777777" w:rsidR="00BD4A44" w:rsidRPr="00BD4A44" w:rsidRDefault="00BD4A44" w:rsidP="00BD4A44">
      <w:pPr>
        <w:spacing w:after="0" w:line="360" w:lineRule="auto"/>
        <w:rPr>
          <w:rFonts w:ascii="Arial" w:hAnsi="Arial" w:cs="Arial"/>
          <w:b/>
          <w:bCs/>
        </w:rPr>
      </w:pPr>
      <w:r w:rsidRPr="00BD4A44">
        <w:rPr>
          <w:rFonts w:ascii="Arial" w:hAnsi="Arial" w:cs="Arial"/>
          <w:b/>
          <w:bCs/>
        </w:rPr>
        <w:t>2.4 Analysis</w:t>
      </w:r>
    </w:p>
    <w:p w14:paraId="6924F4E3" w14:textId="77777777" w:rsidR="00BD4A44" w:rsidRPr="00BD4A44" w:rsidRDefault="00BD4A44" w:rsidP="00BD4A44">
      <w:pPr>
        <w:spacing w:after="0" w:line="360" w:lineRule="auto"/>
        <w:rPr>
          <w:rFonts w:ascii="Arial" w:hAnsi="Arial" w:cs="Arial"/>
        </w:rPr>
      </w:pPr>
      <w:r w:rsidRPr="00BD4A44">
        <w:rPr>
          <w:rFonts w:ascii="Arial" w:hAnsi="Arial" w:cs="Arial"/>
        </w:rPr>
        <w:t xml:space="preserve">This assignment significantly broadened my understanding of international strategy. Before undertaking the assessment, I viewed market entry primarily as a choice between alternative entry modes. Completing the report demonstrated that entry-mode decisions are shaped by political, economic, institutional and cultural conditions as well as organisational capabilities, supporting </w:t>
      </w:r>
      <w:proofErr w:type="spellStart"/>
      <w:r w:rsidRPr="00BD4A44">
        <w:rPr>
          <w:rFonts w:ascii="Arial" w:hAnsi="Arial" w:cs="Arial"/>
        </w:rPr>
        <w:t>Brouthers</w:t>
      </w:r>
      <w:proofErr w:type="spellEnd"/>
      <w:r w:rsidRPr="00BD4A44">
        <w:rPr>
          <w:rFonts w:ascii="Arial" w:hAnsi="Arial" w:cs="Arial"/>
        </w:rPr>
        <w:t>' (2002) argument that successful internationalisation requires alignment between firm resources and the host-country environment.</w:t>
      </w:r>
    </w:p>
    <w:p w14:paraId="450173AC" w14:textId="31E3FB14" w:rsidR="009D10AA" w:rsidRPr="00BD4A44" w:rsidRDefault="00BD4A44" w:rsidP="00BD4A44">
      <w:pPr>
        <w:spacing w:after="0" w:line="360" w:lineRule="auto"/>
        <w:rPr>
          <w:rFonts w:ascii="Arial" w:hAnsi="Arial" w:cs="Arial"/>
        </w:rPr>
      </w:pPr>
      <w:r w:rsidRPr="00BD4A44">
        <w:rPr>
          <w:rFonts w:ascii="Arial" w:hAnsi="Arial" w:cs="Arial"/>
        </w:rPr>
        <w:t>The assignment also strengthened my research and critical-thinking skills. I became more confident in evaluating peer-reviewed journals, government publications and industry reports while comparing evidence from multiple perspectives. This improved my ability to develop balanced strategic recommendations supported by credible evidence rather than relying on descriptive information or assumptions.</w:t>
      </w:r>
    </w:p>
    <w:p w14:paraId="3D437E59" w14:textId="77777777" w:rsidR="00C532D2" w:rsidRDefault="00C532D2" w:rsidP="00BD4A44">
      <w:pPr>
        <w:spacing w:after="0" w:line="360" w:lineRule="auto"/>
        <w:rPr>
          <w:rFonts w:ascii="Arial" w:hAnsi="Arial" w:cs="Arial"/>
          <w:b/>
          <w:bCs/>
        </w:rPr>
      </w:pPr>
    </w:p>
    <w:p w14:paraId="45505AC1" w14:textId="006BA91D" w:rsidR="00BD4A44" w:rsidRPr="00BD4A44" w:rsidRDefault="00BD4A44" w:rsidP="00BD4A44">
      <w:pPr>
        <w:spacing w:after="0" w:line="360" w:lineRule="auto"/>
        <w:rPr>
          <w:rFonts w:ascii="Arial" w:hAnsi="Arial" w:cs="Arial"/>
          <w:b/>
          <w:bCs/>
        </w:rPr>
      </w:pPr>
      <w:r w:rsidRPr="00BD4A44">
        <w:rPr>
          <w:rFonts w:ascii="Arial" w:hAnsi="Arial" w:cs="Arial"/>
          <w:b/>
          <w:bCs/>
        </w:rPr>
        <w:t>2.5 Conclusion</w:t>
      </w:r>
    </w:p>
    <w:p w14:paraId="1687CC74" w14:textId="712784AB" w:rsidR="009D10AA" w:rsidRPr="00BD4A44" w:rsidRDefault="00BD4A44" w:rsidP="00BD4A44">
      <w:pPr>
        <w:spacing w:after="0" w:line="360" w:lineRule="auto"/>
        <w:rPr>
          <w:rFonts w:ascii="Arial" w:hAnsi="Arial" w:cs="Arial"/>
        </w:rPr>
      </w:pPr>
      <w:r w:rsidRPr="00BD4A44">
        <w:rPr>
          <w:rFonts w:ascii="Arial" w:hAnsi="Arial" w:cs="Arial"/>
        </w:rPr>
        <w:t>Overall, this assessment enhanced both my theoretical understanding and practical application of international business strategy. It reinforced that successful international expansion requires integrating organisational capabilities, environmental analysis and strategic judgement rather than relying on individual theoretical models. More importantly, I developed greater confidence in producing evidence-based strategic recommendations.</w:t>
      </w:r>
    </w:p>
    <w:p w14:paraId="476A2B3B" w14:textId="77777777" w:rsidR="00C532D2" w:rsidRDefault="00C532D2" w:rsidP="00BD4A44">
      <w:pPr>
        <w:spacing w:after="0" w:line="360" w:lineRule="auto"/>
        <w:rPr>
          <w:rFonts w:ascii="Arial" w:hAnsi="Arial" w:cs="Arial"/>
          <w:b/>
          <w:bCs/>
        </w:rPr>
      </w:pPr>
    </w:p>
    <w:p w14:paraId="38AEF589" w14:textId="6152FABE" w:rsidR="00BD4A44" w:rsidRPr="00BD4A44" w:rsidRDefault="00BD4A44" w:rsidP="00BD4A44">
      <w:pPr>
        <w:spacing w:after="0" w:line="360" w:lineRule="auto"/>
        <w:rPr>
          <w:rFonts w:ascii="Arial" w:hAnsi="Arial" w:cs="Arial"/>
          <w:b/>
          <w:bCs/>
        </w:rPr>
      </w:pPr>
      <w:r w:rsidRPr="00BD4A44">
        <w:rPr>
          <w:rFonts w:ascii="Arial" w:hAnsi="Arial" w:cs="Arial"/>
          <w:b/>
          <w:bCs/>
        </w:rPr>
        <w:t>2.6 Action Plan</w:t>
      </w:r>
    </w:p>
    <w:p w14:paraId="2B0E5978" w14:textId="77777777" w:rsidR="00BD4A44" w:rsidRPr="00BD4A44" w:rsidRDefault="00BD4A44" w:rsidP="00BD4A44">
      <w:pPr>
        <w:spacing w:after="0" w:line="360" w:lineRule="auto"/>
        <w:rPr>
          <w:rFonts w:ascii="Arial" w:hAnsi="Arial" w:cs="Arial"/>
        </w:rPr>
      </w:pPr>
      <w:r w:rsidRPr="00BD4A44">
        <w:rPr>
          <w:rFonts w:ascii="Arial" w:hAnsi="Arial" w:cs="Arial"/>
        </w:rPr>
        <w:t>In future strategic projects, I will strengthen my research process by organising evidence before writing and synthesising academic literature more effectively across multiple sources. I also intend to continue developing consultancy-style reports through clearer strategic visuals, decision matrices and concise recommendations. Finally, I will begin future assignments earlier to allow additional time for critical review and refinement, improving both the quality of my analysis and my professional readiness for strategic decision-making.</w:t>
      </w:r>
    </w:p>
    <w:p w14:paraId="4C8561FE" w14:textId="77777777" w:rsidR="00397E58" w:rsidRDefault="00397E58" w:rsidP="00CD6F24">
      <w:pPr>
        <w:spacing w:after="0" w:line="360" w:lineRule="auto"/>
        <w:rPr>
          <w:rFonts w:ascii="Arial" w:hAnsi="Arial" w:cs="Arial"/>
        </w:rPr>
      </w:pPr>
    </w:p>
    <w:p w14:paraId="7D049B6E" w14:textId="77777777" w:rsidR="00C532D2" w:rsidRDefault="00C532D2" w:rsidP="00CD6F24">
      <w:pPr>
        <w:spacing w:after="0" w:line="360" w:lineRule="auto"/>
        <w:rPr>
          <w:rFonts w:ascii="Arial" w:hAnsi="Arial" w:cs="Arial"/>
        </w:rPr>
      </w:pPr>
    </w:p>
    <w:p w14:paraId="5431541D" w14:textId="77777777" w:rsidR="00397E58" w:rsidRPr="00397E58" w:rsidRDefault="00397E58" w:rsidP="00397E58">
      <w:pPr>
        <w:pStyle w:val="Heading1"/>
        <w:rPr>
          <w:rFonts w:ascii="Arial" w:hAnsi="Arial" w:cs="Arial"/>
          <w:sz w:val="24"/>
          <w:szCs w:val="24"/>
        </w:rPr>
      </w:pPr>
      <w:bookmarkStart w:id="28" w:name="_Toc236996680"/>
      <w:bookmarkStart w:id="29" w:name="_Toc236998179"/>
      <w:r w:rsidRPr="00397E58">
        <w:rPr>
          <w:rFonts w:ascii="Arial" w:hAnsi="Arial" w:cs="Arial"/>
          <w:sz w:val="24"/>
          <w:szCs w:val="24"/>
        </w:rPr>
        <w:lastRenderedPageBreak/>
        <w:t>References</w:t>
      </w:r>
      <w:bookmarkEnd w:id="28"/>
      <w:bookmarkEnd w:id="29"/>
    </w:p>
    <w:p w14:paraId="1F856D3C" w14:textId="77777777" w:rsidR="00702D7B" w:rsidRDefault="0063300B" w:rsidP="0063300B">
      <w:pPr>
        <w:spacing w:after="0" w:line="360" w:lineRule="auto"/>
        <w:rPr>
          <w:rFonts w:ascii="Arial" w:hAnsi="Arial" w:cs="Arial"/>
        </w:rPr>
      </w:pPr>
      <w:r w:rsidRPr="0063300B">
        <w:rPr>
          <w:rFonts w:ascii="Arial" w:hAnsi="Arial" w:cs="Arial"/>
        </w:rPr>
        <w:t xml:space="preserve">Anderson, E. and </w:t>
      </w:r>
      <w:proofErr w:type="spellStart"/>
      <w:r w:rsidRPr="0063300B">
        <w:rPr>
          <w:rFonts w:ascii="Arial" w:hAnsi="Arial" w:cs="Arial"/>
        </w:rPr>
        <w:t>Gatignon</w:t>
      </w:r>
      <w:proofErr w:type="spellEnd"/>
      <w:r w:rsidRPr="0063300B">
        <w:rPr>
          <w:rFonts w:ascii="Arial" w:hAnsi="Arial" w:cs="Arial"/>
        </w:rPr>
        <w:t xml:space="preserve">, H. (1986) ‘Modes of foreign entry: A transaction cost analysis and propositions’, </w:t>
      </w:r>
      <w:r w:rsidRPr="0063300B">
        <w:rPr>
          <w:rFonts w:ascii="Arial" w:hAnsi="Arial" w:cs="Arial"/>
          <w:i/>
          <w:iCs/>
        </w:rPr>
        <w:t>Journal of International Business Studies</w:t>
      </w:r>
      <w:r w:rsidRPr="0063300B">
        <w:rPr>
          <w:rFonts w:ascii="Arial" w:hAnsi="Arial" w:cs="Arial"/>
        </w:rPr>
        <w:t xml:space="preserve">, 17(3), pp. 1–26. </w:t>
      </w:r>
    </w:p>
    <w:p w14:paraId="4DE34CEC" w14:textId="5CBC5C07" w:rsidR="0063300B" w:rsidRPr="0063300B" w:rsidRDefault="0063300B" w:rsidP="0063300B">
      <w:pPr>
        <w:spacing w:after="0" w:line="360" w:lineRule="auto"/>
        <w:rPr>
          <w:rFonts w:ascii="Arial" w:hAnsi="Arial" w:cs="Arial"/>
        </w:rPr>
      </w:pPr>
      <w:r w:rsidRPr="0063300B">
        <w:rPr>
          <w:rFonts w:ascii="Arial" w:hAnsi="Arial" w:cs="Arial"/>
        </w:rPr>
        <w:t xml:space="preserve">Barney, J.B. (1991) ‘Firm resources and sustained competitive advantage’, </w:t>
      </w:r>
      <w:r w:rsidRPr="0063300B">
        <w:rPr>
          <w:rFonts w:ascii="Arial" w:hAnsi="Arial" w:cs="Arial"/>
          <w:i/>
          <w:iCs/>
        </w:rPr>
        <w:t>Journal of Management</w:t>
      </w:r>
      <w:r w:rsidRPr="0063300B">
        <w:rPr>
          <w:rFonts w:ascii="Arial" w:hAnsi="Arial" w:cs="Arial"/>
        </w:rPr>
        <w:t xml:space="preserve">, 17(1), pp. 99–120. </w:t>
      </w:r>
    </w:p>
    <w:p w14:paraId="240ADB5E" w14:textId="77777777" w:rsidR="0063300B" w:rsidRPr="0063300B" w:rsidRDefault="0063300B" w:rsidP="0063300B">
      <w:pPr>
        <w:spacing w:after="0" w:line="360" w:lineRule="auto"/>
        <w:rPr>
          <w:rFonts w:ascii="Arial" w:hAnsi="Arial" w:cs="Arial"/>
        </w:rPr>
      </w:pPr>
      <w:r w:rsidRPr="0063300B">
        <w:rPr>
          <w:rFonts w:ascii="Arial" w:hAnsi="Arial" w:cs="Arial"/>
        </w:rPr>
        <w:t xml:space="preserve">Bartlett, C.A. and Ghoshal, S. (1989) </w:t>
      </w:r>
      <w:r w:rsidRPr="0063300B">
        <w:rPr>
          <w:rFonts w:ascii="Arial" w:hAnsi="Arial" w:cs="Arial"/>
          <w:i/>
          <w:iCs/>
        </w:rPr>
        <w:t>Managing Across Borders: The Transnational Solution</w:t>
      </w:r>
      <w:r w:rsidRPr="0063300B">
        <w:rPr>
          <w:rFonts w:ascii="Arial" w:hAnsi="Arial" w:cs="Arial"/>
        </w:rPr>
        <w:t>. Boston, MA: Harvard Business School Press.</w:t>
      </w:r>
    </w:p>
    <w:p w14:paraId="4F8E72A0" w14:textId="41237274" w:rsidR="0063300B" w:rsidRPr="0063300B" w:rsidRDefault="0063300B" w:rsidP="0063300B">
      <w:pPr>
        <w:spacing w:after="0" w:line="360" w:lineRule="auto"/>
        <w:rPr>
          <w:rFonts w:ascii="Arial" w:hAnsi="Arial" w:cs="Arial"/>
        </w:rPr>
      </w:pPr>
      <w:r w:rsidRPr="0063300B">
        <w:rPr>
          <w:rFonts w:ascii="Arial" w:hAnsi="Arial" w:cs="Arial"/>
        </w:rPr>
        <w:t xml:space="preserve">Beamish, P.W. and Lupton, N.C. (2009) ‘Managing joint ventures’, </w:t>
      </w:r>
      <w:r w:rsidRPr="0063300B">
        <w:rPr>
          <w:rFonts w:ascii="Arial" w:hAnsi="Arial" w:cs="Arial"/>
          <w:i/>
          <w:iCs/>
        </w:rPr>
        <w:t>Academy of Management Perspectives</w:t>
      </w:r>
      <w:r w:rsidRPr="0063300B">
        <w:rPr>
          <w:rFonts w:ascii="Arial" w:hAnsi="Arial" w:cs="Arial"/>
        </w:rPr>
        <w:t xml:space="preserve">, 23(2), pp. 75–94. </w:t>
      </w:r>
    </w:p>
    <w:p w14:paraId="26D036EC" w14:textId="07EA93ED" w:rsidR="0063300B" w:rsidRPr="0063300B" w:rsidRDefault="0063300B" w:rsidP="0063300B">
      <w:pPr>
        <w:spacing w:after="0" w:line="360" w:lineRule="auto"/>
        <w:rPr>
          <w:rFonts w:ascii="Arial" w:hAnsi="Arial" w:cs="Arial"/>
        </w:rPr>
      </w:pPr>
      <w:proofErr w:type="spellStart"/>
      <w:r w:rsidRPr="0063300B">
        <w:rPr>
          <w:rFonts w:ascii="Arial" w:hAnsi="Arial" w:cs="Arial"/>
        </w:rPr>
        <w:t>Brouthers</w:t>
      </w:r>
      <w:proofErr w:type="spellEnd"/>
      <w:r w:rsidRPr="0063300B">
        <w:rPr>
          <w:rFonts w:ascii="Arial" w:hAnsi="Arial" w:cs="Arial"/>
        </w:rPr>
        <w:t xml:space="preserve">, K.D. (2002) ‘Institutional, cultural and transaction cost influences on entry mode choice and performance’, </w:t>
      </w:r>
      <w:r w:rsidRPr="0063300B">
        <w:rPr>
          <w:rFonts w:ascii="Arial" w:hAnsi="Arial" w:cs="Arial"/>
          <w:i/>
          <w:iCs/>
        </w:rPr>
        <w:t>Journal of International Business Studies</w:t>
      </w:r>
      <w:r w:rsidRPr="0063300B">
        <w:rPr>
          <w:rFonts w:ascii="Arial" w:hAnsi="Arial" w:cs="Arial"/>
        </w:rPr>
        <w:t xml:space="preserve">, 33(2), pp. 203–221. </w:t>
      </w:r>
    </w:p>
    <w:p w14:paraId="1CD7CA90" w14:textId="6B1BD1D1" w:rsidR="0063300B" w:rsidRPr="0063300B" w:rsidRDefault="0063300B" w:rsidP="0063300B">
      <w:pPr>
        <w:spacing w:after="0" w:line="360" w:lineRule="auto"/>
        <w:rPr>
          <w:rFonts w:ascii="Arial" w:hAnsi="Arial" w:cs="Arial"/>
        </w:rPr>
      </w:pPr>
      <w:r w:rsidRPr="0063300B">
        <w:rPr>
          <w:rFonts w:ascii="Arial" w:hAnsi="Arial" w:cs="Arial"/>
        </w:rPr>
        <w:t xml:space="preserve">Caffè Nero (2025) </w:t>
      </w:r>
      <w:r w:rsidRPr="0063300B">
        <w:rPr>
          <w:rFonts w:ascii="Arial" w:hAnsi="Arial" w:cs="Arial"/>
          <w:i/>
          <w:iCs/>
        </w:rPr>
        <w:t>Our Story</w:t>
      </w:r>
      <w:r w:rsidRPr="0063300B">
        <w:rPr>
          <w:rFonts w:ascii="Arial" w:hAnsi="Arial" w:cs="Arial"/>
        </w:rPr>
        <w:t xml:space="preserve">. Available at: </w:t>
      </w:r>
      <w:hyperlink r:id="rId19" w:history="1">
        <w:r w:rsidR="00FE5F10" w:rsidRPr="00FE5F10">
          <w:rPr>
            <w:rStyle w:val="Hyperlink"/>
            <w:rFonts w:ascii="Arial" w:hAnsi="Arial" w:cs="Arial"/>
          </w:rPr>
          <w:t>Story - Caffè Nero: United Kingdom</w:t>
        </w:r>
      </w:hyperlink>
      <w:r w:rsidRPr="0063300B">
        <w:rPr>
          <w:rFonts w:ascii="Arial" w:hAnsi="Arial" w:cs="Arial"/>
        </w:rPr>
        <w:t xml:space="preserve"> (Accessed: 1 August 2026).</w:t>
      </w:r>
    </w:p>
    <w:p w14:paraId="1D82AD16" w14:textId="140624E9" w:rsidR="0063300B" w:rsidRPr="0063300B" w:rsidRDefault="0063300B" w:rsidP="0063300B">
      <w:pPr>
        <w:spacing w:after="0" w:line="360" w:lineRule="auto"/>
        <w:rPr>
          <w:rFonts w:ascii="Arial" w:hAnsi="Arial" w:cs="Arial"/>
        </w:rPr>
      </w:pPr>
      <w:r w:rsidRPr="0063300B">
        <w:rPr>
          <w:rFonts w:ascii="Arial" w:hAnsi="Arial" w:cs="Arial"/>
        </w:rPr>
        <w:t xml:space="preserve">Caffè Nero (2026) </w:t>
      </w:r>
      <w:r w:rsidRPr="0063300B">
        <w:rPr>
          <w:rFonts w:ascii="Arial" w:hAnsi="Arial" w:cs="Arial"/>
          <w:i/>
          <w:iCs/>
        </w:rPr>
        <w:t>Find a Store</w:t>
      </w:r>
      <w:r w:rsidRPr="0063300B">
        <w:rPr>
          <w:rFonts w:ascii="Arial" w:hAnsi="Arial" w:cs="Arial"/>
        </w:rPr>
        <w:t xml:space="preserve">. Available at: </w:t>
      </w:r>
      <w:hyperlink r:id="rId20" w:tgtFrame="_new" w:history="1">
        <w:r w:rsidRPr="0063300B">
          <w:rPr>
            <w:rStyle w:val="Hyperlink"/>
            <w:rFonts w:ascii="Arial" w:hAnsi="Arial" w:cs="Arial"/>
          </w:rPr>
          <w:t>https://www.caffenero.com/uk/stores</w:t>
        </w:r>
      </w:hyperlink>
      <w:r w:rsidRPr="0063300B">
        <w:rPr>
          <w:rFonts w:ascii="Arial" w:hAnsi="Arial" w:cs="Arial"/>
        </w:rPr>
        <w:t xml:space="preserve"> (Accessed: </w:t>
      </w:r>
      <w:r w:rsidR="0027123C">
        <w:rPr>
          <w:rFonts w:ascii="Arial" w:hAnsi="Arial" w:cs="Arial"/>
        </w:rPr>
        <w:t>1</w:t>
      </w:r>
      <w:r w:rsidRPr="0063300B">
        <w:rPr>
          <w:rFonts w:ascii="Arial" w:hAnsi="Arial" w:cs="Arial"/>
        </w:rPr>
        <w:t xml:space="preserve"> August 2026).</w:t>
      </w:r>
    </w:p>
    <w:p w14:paraId="3936F65D" w14:textId="2FE008B8" w:rsidR="0063300B" w:rsidRPr="0063300B" w:rsidRDefault="0063300B" w:rsidP="0063300B">
      <w:pPr>
        <w:spacing w:after="0" w:line="360" w:lineRule="auto"/>
        <w:rPr>
          <w:rFonts w:ascii="Arial" w:hAnsi="Arial" w:cs="Arial"/>
        </w:rPr>
      </w:pPr>
      <w:r w:rsidRPr="0063300B">
        <w:rPr>
          <w:rFonts w:ascii="Arial" w:hAnsi="Arial" w:cs="Arial"/>
        </w:rPr>
        <w:t xml:space="preserve">Department for Promotion of Industry and Internal Trade (DPIIT) (2025) </w:t>
      </w:r>
      <w:r w:rsidRPr="0063300B">
        <w:rPr>
          <w:rFonts w:ascii="Arial" w:hAnsi="Arial" w:cs="Arial"/>
          <w:i/>
          <w:iCs/>
        </w:rPr>
        <w:t>Foreign Direct Investment Statistics</w:t>
      </w:r>
      <w:r w:rsidRPr="0063300B">
        <w:rPr>
          <w:rFonts w:ascii="Arial" w:hAnsi="Arial" w:cs="Arial"/>
        </w:rPr>
        <w:t>. Government of India. Available at:</w:t>
      </w:r>
      <w:r w:rsidR="004B0451" w:rsidRPr="004B0451">
        <w:t xml:space="preserve"> </w:t>
      </w:r>
      <w:hyperlink r:id="rId21" w:history="1">
        <w:r w:rsidR="004B0451" w:rsidRPr="004B0451">
          <w:rPr>
            <w:rStyle w:val="Hyperlink"/>
            <w:rFonts w:ascii="Arial" w:hAnsi="Arial" w:cs="Arial"/>
          </w:rPr>
          <w:t>Publications | Department for Promotion of Industry and Internal Trade</w:t>
        </w:r>
      </w:hyperlink>
      <w:r w:rsidRPr="0063300B">
        <w:rPr>
          <w:rFonts w:ascii="Arial" w:hAnsi="Arial" w:cs="Arial"/>
        </w:rPr>
        <w:t xml:space="preserve"> (Accessed: 1 August 2026).</w:t>
      </w:r>
    </w:p>
    <w:p w14:paraId="0C9631AB" w14:textId="4D399F06" w:rsidR="0063300B" w:rsidRPr="0063300B" w:rsidRDefault="0063300B" w:rsidP="0063300B">
      <w:pPr>
        <w:spacing w:after="0" w:line="360" w:lineRule="auto"/>
        <w:rPr>
          <w:rFonts w:ascii="Arial" w:hAnsi="Arial" w:cs="Arial"/>
        </w:rPr>
      </w:pPr>
      <w:r w:rsidRPr="0063300B">
        <w:rPr>
          <w:rFonts w:ascii="Arial" w:hAnsi="Arial" w:cs="Arial"/>
        </w:rPr>
        <w:t xml:space="preserve">Donnelly, R., Purkayastha, S., </w:t>
      </w:r>
      <w:proofErr w:type="spellStart"/>
      <w:r w:rsidRPr="0063300B">
        <w:rPr>
          <w:rFonts w:ascii="Arial" w:hAnsi="Arial" w:cs="Arial"/>
        </w:rPr>
        <w:t>Manolova</w:t>
      </w:r>
      <w:proofErr w:type="spellEnd"/>
      <w:r w:rsidRPr="0063300B">
        <w:rPr>
          <w:rFonts w:ascii="Arial" w:hAnsi="Arial" w:cs="Arial"/>
        </w:rPr>
        <w:t xml:space="preserve">, T.S. and Edelman, L.F. (2024) ‘Institutional distance, slack resources, and foreign market entry’, </w:t>
      </w:r>
      <w:r w:rsidRPr="0063300B">
        <w:rPr>
          <w:rFonts w:ascii="Arial" w:hAnsi="Arial" w:cs="Arial"/>
          <w:i/>
          <w:iCs/>
        </w:rPr>
        <w:t>Journal of International Business Studies</w:t>
      </w:r>
      <w:r w:rsidRPr="0063300B">
        <w:rPr>
          <w:rFonts w:ascii="Arial" w:hAnsi="Arial" w:cs="Arial"/>
        </w:rPr>
        <w:t xml:space="preserve">, 55(2), pp. 194–211. </w:t>
      </w:r>
    </w:p>
    <w:p w14:paraId="07230DB1" w14:textId="70267586" w:rsidR="00702D7B" w:rsidRPr="0063300B" w:rsidRDefault="0063300B" w:rsidP="0063300B">
      <w:pPr>
        <w:spacing w:after="0" w:line="360" w:lineRule="auto"/>
        <w:rPr>
          <w:rFonts w:ascii="Arial" w:hAnsi="Arial" w:cs="Arial"/>
        </w:rPr>
      </w:pPr>
      <w:r w:rsidRPr="0063300B">
        <w:rPr>
          <w:rFonts w:ascii="Arial" w:hAnsi="Arial" w:cs="Arial"/>
        </w:rPr>
        <w:t xml:space="preserve">Dunning, J.H. (1988) ‘The eclectic paradigm of international production: A restatement and some possible extensions’, </w:t>
      </w:r>
      <w:r w:rsidRPr="0063300B">
        <w:rPr>
          <w:rFonts w:ascii="Arial" w:hAnsi="Arial" w:cs="Arial"/>
          <w:i/>
          <w:iCs/>
        </w:rPr>
        <w:t>Journal of International Business Studies</w:t>
      </w:r>
      <w:r w:rsidRPr="0063300B">
        <w:rPr>
          <w:rFonts w:ascii="Arial" w:hAnsi="Arial" w:cs="Arial"/>
        </w:rPr>
        <w:t xml:space="preserve">, 19(1), pp. 1–31. </w:t>
      </w:r>
    </w:p>
    <w:p w14:paraId="7C3636D8" w14:textId="0E779A15" w:rsidR="0063300B" w:rsidRPr="0063300B" w:rsidRDefault="0063300B" w:rsidP="0063300B">
      <w:pPr>
        <w:spacing w:after="0" w:line="360" w:lineRule="auto"/>
        <w:rPr>
          <w:rFonts w:ascii="Arial" w:hAnsi="Arial" w:cs="Arial"/>
        </w:rPr>
      </w:pPr>
      <w:r w:rsidRPr="0063300B">
        <w:rPr>
          <w:rFonts w:ascii="Arial" w:hAnsi="Arial" w:cs="Arial"/>
        </w:rPr>
        <w:t xml:space="preserve">Eden, L. and Dai, L. (2010) ‘Rethinking the O in Dunning’s OLI/Eclectic Paradigm’, </w:t>
      </w:r>
      <w:r w:rsidRPr="0063300B">
        <w:rPr>
          <w:rFonts w:ascii="Arial" w:hAnsi="Arial" w:cs="Arial"/>
          <w:i/>
          <w:iCs/>
        </w:rPr>
        <w:t>Multinational Business Review</w:t>
      </w:r>
      <w:r w:rsidRPr="0063300B">
        <w:rPr>
          <w:rFonts w:ascii="Arial" w:hAnsi="Arial" w:cs="Arial"/>
        </w:rPr>
        <w:t xml:space="preserve">, 18(2), pp. 13–34. </w:t>
      </w:r>
    </w:p>
    <w:p w14:paraId="46E2FCF8" w14:textId="77777777" w:rsidR="0063300B" w:rsidRPr="0063300B" w:rsidRDefault="0063300B" w:rsidP="0063300B">
      <w:pPr>
        <w:spacing w:after="0" w:line="360" w:lineRule="auto"/>
        <w:rPr>
          <w:rFonts w:ascii="Arial" w:hAnsi="Arial" w:cs="Arial"/>
        </w:rPr>
      </w:pPr>
      <w:r w:rsidRPr="0063300B">
        <w:rPr>
          <w:rFonts w:ascii="Arial" w:hAnsi="Arial" w:cs="Arial"/>
        </w:rPr>
        <w:t xml:space="preserve">Euromonitor International (2025) </w:t>
      </w:r>
      <w:r w:rsidRPr="0063300B">
        <w:rPr>
          <w:rFonts w:ascii="Arial" w:hAnsi="Arial" w:cs="Arial"/>
          <w:i/>
          <w:iCs/>
        </w:rPr>
        <w:t>Voice of the Consumer: Lifestyles Survey</w:t>
      </w:r>
      <w:r w:rsidRPr="0063300B">
        <w:rPr>
          <w:rFonts w:ascii="Arial" w:hAnsi="Arial" w:cs="Arial"/>
        </w:rPr>
        <w:t>. London: Euromonitor International.</w:t>
      </w:r>
    </w:p>
    <w:p w14:paraId="0D0FA3B8" w14:textId="77777777" w:rsidR="0063300B" w:rsidRPr="0063300B" w:rsidRDefault="0063300B" w:rsidP="0063300B">
      <w:pPr>
        <w:spacing w:after="0" w:line="360" w:lineRule="auto"/>
        <w:rPr>
          <w:rFonts w:ascii="Arial" w:hAnsi="Arial" w:cs="Arial"/>
        </w:rPr>
      </w:pPr>
      <w:r w:rsidRPr="0063300B">
        <w:rPr>
          <w:rFonts w:ascii="Arial" w:hAnsi="Arial" w:cs="Arial"/>
        </w:rPr>
        <w:t xml:space="preserve">Euromonitor International (2026) </w:t>
      </w:r>
      <w:r w:rsidRPr="0063300B">
        <w:rPr>
          <w:rFonts w:ascii="Arial" w:hAnsi="Arial" w:cs="Arial"/>
          <w:i/>
          <w:iCs/>
        </w:rPr>
        <w:t>Consumer Foodservice in India</w:t>
      </w:r>
      <w:r w:rsidRPr="0063300B">
        <w:rPr>
          <w:rFonts w:ascii="Arial" w:hAnsi="Arial" w:cs="Arial"/>
        </w:rPr>
        <w:t>. London: Euromonitor International.</w:t>
      </w:r>
    </w:p>
    <w:p w14:paraId="2C08735B" w14:textId="2A9E535E" w:rsidR="0063300B" w:rsidRPr="0063300B" w:rsidRDefault="0063300B" w:rsidP="0063300B">
      <w:pPr>
        <w:spacing w:after="0" w:line="360" w:lineRule="auto"/>
        <w:rPr>
          <w:rFonts w:ascii="Arial" w:hAnsi="Arial" w:cs="Arial"/>
        </w:rPr>
      </w:pPr>
      <w:r w:rsidRPr="0063300B">
        <w:rPr>
          <w:rFonts w:ascii="Arial" w:hAnsi="Arial" w:cs="Arial"/>
        </w:rPr>
        <w:t xml:space="preserve">Food Safety and Standards Authority of India (FSSAI) (2006) </w:t>
      </w:r>
      <w:r w:rsidRPr="0063300B">
        <w:rPr>
          <w:rFonts w:ascii="Arial" w:hAnsi="Arial" w:cs="Arial"/>
          <w:i/>
          <w:iCs/>
        </w:rPr>
        <w:t xml:space="preserve">Food Safety and Standards Act, </w:t>
      </w:r>
      <w:r w:rsidRPr="007B2F3B">
        <w:rPr>
          <w:rFonts w:ascii="Arial" w:hAnsi="Arial" w:cs="Arial"/>
          <w:i/>
          <w:iCs/>
        </w:rPr>
        <w:t>2006</w:t>
      </w:r>
      <w:r w:rsidRPr="007B2F3B">
        <w:rPr>
          <w:rFonts w:ascii="Arial" w:hAnsi="Arial" w:cs="Arial"/>
        </w:rPr>
        <w:t xml:space="preserve">. Available at: </w:t>
      </w:r>
      <w:hyperlink r:id="rId22" w:history="1">
        <w:r w:rsidR="007B2F3B" w:rsidRPr="007B2F3B">
          <w:rPr>
            <w:rStyle w:val="Hyperlink"/>
            <w:rFonts w:ascii="Arial" w:hAnsi="Arial" w:cs="Arial"/>
          </w:rPr>
          <w:t>FSSAI - Food Safety and Standards Authority of India</w:t>
        </w:r>
      </w:hyperlink>
      <w:r w:rsidR="007B2F3B" w:rsidRPr="007B2F3B">
        <w:rPr>
          <w:rFonts w:ascii="Arial" w:hAnsi="Arial" w:cs="Arial"/>
        </w:rPr>
        <w:t xml:space="preserve"> </w:t>
      </w:r>
      <w:r w:rsidRPr="007B2F3B">
        <w:rPr>
          <w:rFonts w:ascii="Arial" w:hAnsi="Arial" w:cs="Arial"/>
        </w:rPr>
        <w:t>(</w:t>
      </w:r>
      <w:r w:rsidRPr="0063300B">
        <w:rPr>
          <w:rFonts w:ascii="Arial" w:hAnsi="Arial" w:cs="Arial"/>
        </w:rPr>
        <w:t>Accessed: 1 August 2026).</w:t>
      </w:r>
    </w:p>
    <w:p w14:paraId="5B3E35A9" w14:textId="77777777" w:rsidR="0063300B" w:rsidRPr="0063300B" w:rsidRDefault="0063300B" w:rsidP="0063300B">
      <w:pPr>
        <w:spacing w:after="0" w:line="360" w:lineRule="auto"/>
        <w:rPr>
          <w:rFonts w:ascii="Arial" w:hAnsi="Arial" w:cs="Arial"/>
        </w:rPr>
      </w:pPr>
      <w:r w:rsidRPr="0063300B">
        <w:rPr>
          <w:rFonts w:ascii="Arial" w:hAnsi="Arial" w:cs="Arial"/>
        </w:rPr>
        <w:t xml:space="preserve">Food Safety and Standards Authority of India (FSSAI) (2025a) </w:t>
      </w:r>
      <w:r w:rsidRPr="0063300B">
        <w:rPr>
          <w:rFonts w:ascii="Arial" w:hAnsi="Arial" w:cs="Arial"/>
          <w:i/>
          <w:iCs/>
        </w:rPr>
        <w:t>Food Safety Compliance System (</w:t>
      </w:r>
      <w:proofErr w:type="spellStart"/>
      <w:r w:rsidRPr="0063300B">
        <w:rPr>
          <w:rFonts w:ascii="Arial" w:hAnsi="Arial" w:cs="Arial"/>
          <w:i/>
          <w:iCs/>
        </w:rPr>
        <w:t>FoSCoS</w:t>
      </w:r>
      <w:proofErr w:type="spellEnd"/>
      <w:r w:rsidRPr="0063300B">
        <w:rPr>
          <w:rFonts w:ascii="Arial" w:hAnsi="Arial" w:cs="Arial"/>
          <w:i/>
          <w:iCs/>
        </w:rPr>
        <w:t>)</w:t>
      </w:r>
      <w:r w:rsidRPr="0063300B">
        <w:rPr>
          <w:rFonts w:ascii="Arial" w:hAnsi="Arial" w:cs="Arial"/>
        </w:rPr>
        <w:t xml:space="preserve">. Available at: </w:t>
      </w:r>
      <w:hyperlink r:id="rId23" w:tgtFrame="_new" w:history="1">
        <w:r w:rsidRPr="0063300B">
          <w:rPr>
            <w:rStyle w:val="Hyperlink"/>
            <w:rFonts w:ascii="Arial" w:hAnsi="Arial" w:cs="Arial"/>
          </w:rPr>
          <w:t>https://foscos.fssai.gov.in/</w:t>
        </w:r>
      </w:hyperlink>
      <w:r w:rsidRPr="0063300B">
        <w:rPr>
          <w:rFonts w:ascii="Arial" w:hAnsi="Arial" w:cs="Arial"/>
        </w:rPr>
        <w:t xml:space="preserve"> (Accessed: 1 August 2026).</w:t>
      </w:r>
    </w:p>
    <w:p w14:paraId="7C9D78CC" w14:textId="77777777" w:rsidR="0063300B" w:rsidRPr="0063300B" w:rsidRDefault="0063300B" w:rsidP="0063300B">
      <w:pPr>
        <w:spacing w:after="0" w:line="360" w:lineRule="auto"/>
        <w:rPr>
          <w:rFonts w:ascii="Arial" w:hAnsi="Arial" w:cs="Arial"/>
        </w:rPr>
      </w:pPr>
      <w:r w:rsidRPr="0063300B">
        <w:rPr>
          <w:rFonts w:ascii="Arial" w:hAnsi="Arial" w:cs="Arial"/>
        </w:rPr>
        <w:t xml:space="preserve">Gibbs, G. (1988) </w:t>
      </w:r>
      <w:r w:rsidRPr="0063300B">
        <w:rPr>
          <w:rFonts w:ascii="Arial" w:hAnsi="Arial" w:cs="Arial"/>
          <w:i/>
          <w:iCs/>
        </w:rPr>
        <w:t>Learning by Doing: A Guide to Teaching and Learning Methods</w:t>
      </w:r>
      <w:r w:rsidRPr="0063300B">
        <w:rPr>
          <w:rFonts w:ascii="Arial" w:hAnsi="Arial" w:cs="Arial"/>
        </w:rPr>
        <w:t>. Oxford: Oxford Polytechnic.</w:t>
      </w:r>
    </w:p>
    <w:p w14:paraId="4030133C" w14:textId="1D5EC99C" w:rsidR="0063300B" w:rsidRPr="0063300B" w:rsidRDefault="0063300B" w:rsidP="0063300B">
      <w:pPr>
        <w:spacing w:after="0" w:line="360" w:lineRule="auto"/>
        <w:rPr>
          <w:rFonts w:ascii="Arial" w:hAnsi="Arial" w:cs="Arial"/>
        </w:rPr>
      </w:pPr>
      <w:proofErr w:type="spellStart"/>
      <w:r w:rsidRPr="0063300B">
        <w:rPr>
          <w:rFonts w:ascii="Arial" w:hAnsi="Arial" w:cs="Arial"/>
        </w:rPr>
        <w:lastRenderedPageBreak/>
        <w:t>Hennart</w:t>
      </w:r>
      <w:proofErr w:type="spellEnd"/>
      <w:r w:rsidRPr="0063300B">
        <w:rPr>
          <w:rFonts w:ascii="Arial" w:hAnsi="Arial" w:cs="Arial"/>
        </w:rPr>
        <w:t xml:space="preserve">, J.-F. (1988) ‘A transaction cost theory of equity joint ventures’, </w:t>
      </w:r>
      <w:r w:rsidRPr="0063300B">
        <w:rPr>
          <w:rFonts w:ascii="Arial" w:hAnsi="Arial" w:cs="Arial"/>
          <w:i/>
          <w:iCs/>
        </w:rPr>
        <w:t>Strategic Management Journal</w:t>
      </w:r>
      <w:r w:rsidRPr="0063300B">
        <w:rPr>
          <w:rFonts w:ascii="Arial" w:hAnsi="Arial" w:cs="Arial"/>
        </w:rPr>
        <w:t xml:space="preserve">, 9(4), pp. 361–374. </w:t>
      </w:r>
    </w:p>
    <w:p w14:paraId="0F5EB8A5" w14:textId="77777777" w:rsidR="0063300B" w:rsidRPr="0063300B" w:rsidRDefault="0063300B" w:rsidP="0063300B">
      <w:pPr>
        <w:spacing w:after="0" w:line="360" w:lineRule="auto"/>
        <w:rPr>
          <w:rFonts w:ascii="Arial" w:hAnsi="Arial" w:cs="Arial"/>
        </w:rPr>
      </w:pPr>
      <w:r w:rsidRPr="0063300B">
        <w:rPr>
          <w:rFonts w:ascii="Arial" w:hAnsi="Arial" w:cs="Arial"/>
        </w:rPr>
        <w:t xml:space="preserve">International Monetary Fund (IMF) (2025) </w:t>
      </w:r>
      <w:r w:rsidRPr="0063300B">
        <w:rPr>
          <w:rFonts w:ascii="Arial" w:hAnsi="Arial" w:cs="Arial"/>
          <w:i/>
          <w:iCs/>
        </w:rPr>
        <w:t>World Economic Outlook Database</w:t>
      </w:r>
      <w:r w:rsidRPr="0063300B">
        <w:rPr>
          <w:rFonts w:ascii="Arial" w:hAnsi="Arial" w:cs="Arial"/>
        </w:rPr>
        <w:t xml:space="preserve">. Available at: </w:t>
      </w:r>
      <w:hyperlink r:id="rId24" w:tgtFrame="_new" w:history="1">
        <w:r w:rsidRPr="0063300B">
          <w:rPr>
            <w:rStyle w:val="Hyperlink"/>
            <w:rFonts w:ascii="Arial" w:hAnsi="Arial" w:cs="Arial"/>
          </w:rPr>
          <w:t>https://www.imf.org/en/Publications/WEO</w:t>
        </w:r>
      </w:hyperlink>
      <w:r w:rsidRPr="0063300B">
        <w:rPr>
          <w:rFonts w:ascii="Arial" w:hAnsi="Arial" w:cs="Arial"/>
        </w:rPr>
        <w:t xml:space="preserve"> (Accessed: 1 August 2026).</w:t>
      </w:r>
    </w:p>
    <w:p w14:paraId="3FDE4F3C" w14:textId="77777777" w:rsidR="0063300B" w:rsidRPr="0063300B" w:rsidRDefault="0063300B" w:rsidP="0063300B">
      <w:pPr>
        <w:spacing w:after="0" w:line="360" w:lineRule="auto"/>
        <w:rPr>
          <w:rFonts w:ascii="Arial" w:hAnsi="Arial" w:cs="Arial"/>
        </w:rPr>
      </w:pPr>
      <w:r w:rsidRPr="0063300B">
        <w:rPr>
          <w:rFonts w:ascii="Arial" w:hAnsi="Arial" w:cs="Arial"/>
        </w:rPr>
        <w:t xml:space="preserve">Intellectual Property India (2025) </w:t>
      </w:r>
      <w:r w:rsidRPr="0063300B">
        <w:rPr>
          <w:rFonts w:ascii="Arial" w:hAnsi="Arial" w:cs="Arial"/>
          <w:i/>
          <w:iCs/>
        </w:rPr>
        <w:t>Trade Marks Registry</w:t>
      </w:r>
      <w:r w:rsidRPr="0063300B">
        <w:rPr>
          <w:rFonts w:ascii="Arial" w:hAnsi="Arial" w:cs="Arial"/>
        </w:rPr>
        <w:t xml:space="preserve">. Available at: </w:t>
      </w:r>
      <w:hyperlink r:id="rId25" w:tgtFrame="_new" w:history="1">
        <w:r w:rsidRPr="0063300B">
          <w:rPr>
            <w:rStyle w:val="Hyperlink"/>
            <w:rFonts w:ascii="Arial" w:hAnsi="Arial" w:cs="Arial"/>
          </w:rPr>
          <w:t>https://ipindia.gov.in/</w:t>
        </w:r>
      </w:hyperlink>
      <w:r w:rsidRPr="0063300B">
        <w:rPr>
          <w:rFonts w:ascii="Arial" w:hAnsi="Arial" w:cs="Arial"/>
        </w:rPr>
        <w:t xml:space="preserve"> (Accessed: 1 August 2026).</w:t>
      </w:r>
    </w:p>
    <w:p w14:paraId="4E927A9A" w14:textId="58691F11" w:rsidR="0063300B" w:rsidRPr="0063300B" w:rsidRDefault="0063300B" w:rsidP="0063300B">
      <w:pPr>
        <w:spacing w:after="0" w:line="360" w:lineRule="auto"/>
        <w:rPr>
          <w:rFonts w:ascii="Arial" w:hAnsi="Arial" w:cs="Arial"/>
        </w:rPr>
      </w:pPr>
      <w:r w:rsidRPr="0063300B">
        <w:rPr>
          <w:rFonts w:ascii="Arial" w:hAnsi="Arial" w:cs="Arial"/>
        </w:rPr>
        <w:t xml:space="preserve">Kate, N., Chaudhary, P. and More, M. (2024) ‘Antecedents to organic tea buying </w:t>
      </w:r>
      <w:proofErr w:type="spellStart"/>
      <w:r w:rsidRPr="0063300B">
        <w:rPr>
          <w:rFonts w:ascii="Arial" w:hAnsi="Arial" w:cs="Arial"/>
        </w:rPr>
        <w:t>behavior</w:t>
      </w:r>
      <w:proofErr w:type="spellEnd"/>
      <w:r w:rsidRPr="0063300B">
        <w:rPr>
          <w:rFonts w:ascii="Arial" w:hAnsi="Arial" w:cs="Arial"/>
        </w:rPr>
        <w:t xml:space="preserve"> and consumption among millennials in India: Through the lens of theory of planned </w:t>
      </w:r>
      <w:proofErr w:type="spellStart"/>
      <w:r w:rsidRPr="0063300B">
        <w:rPr>
          <w:rFonts w:ascii="Arial" w:hAnsi="Arial" w:cs="Arial"/>
        </w:rPr>
        <w:t>behavior</w:t>
      </w:r>
      <w:proofErr w:type="spellEnd"/>
      <w:r w:rsidRPr="0063300B">
        <w:rPr>
          <w:rFonts w:ascii="Arial" w:hAnsi="Arial" w:cs="Arial"/>
        </w:rPr>
        <w:t xml:space="preserve">’, </w:t>
      </w:r>
      <w:r w:rsidRPr="0063300B">
        <w:rPr>
          <w:rFonts w:ascii="Arial" w:hAnsi="Arial" w:cs="Arial"/>
          <w:i/>
          <w:iCs/>
        </w:rPr>
        <w:t>Indian Journal of Marketing</w:t>
      </w:r>
      <w:r w:rsidRPr="0063300B">
        <w:rPr>
          <w:rFonts w:ascii="Arial" w:hAnsi="Arial" w:cs="Arial"/>
        </w:rPr>
        <w:t xml:space="preserve">, 54(1). </w:t>
      </w:r>
    </w:p>
    <w:p w14:paraId="64763C8F" w14:textId="53D9AE42" w:rsidR="0063300B" w:rsidRPr="0063300B" w:rsidRDefault="0063300B" w:rsidP="0063300B">
      <w:pPr>
        <w:spacing w:after="0" w:line="360" w:lineRule="auto"/>
        <w:rPr>
          <w:rFonts w:ascii="Arial" w:hAnsi="Arial" w:cs="Arial"/>
        </w:rPr>
      </w:pPr>
      <w:r w:rsidRPr="0063300B">
        <w:rPr>
          <w:rFonts w:ascii="Arial" w:hAnsi="Arial" w:cs="Arial"/>
        </w:rPr>
        <w:t xml:space="preserve">Meyer, K.E., Estrin, S., Bhaumik, S.K. and Peng, M.W. (2009) ‘Institutions, resources and entry strategies in emerging economies’, </w:t>
      </w:r>
      <w:r w:rsidRPr="0063300B">
        <w:rPr>
          <w:rFonts w:ascii="Arial" w:hAnsi="Arial" w:cs="Arial"/>
          <w:i/>
          <w:iCs/>
        </w:rPr>
        <w:t>Strategic Management Journal</w:t>
      </w:r>
      <w:r w:rsidRPr="0063300B">
        <w:rPr>
          <w:rFonts w:ascii="Arial" w:hAnsi="Arial" w:cs="Arial"/>
        </w:rPr>
        <w:t xml:space="preserve">, 30(1), pp. 61–80. </w:t>
      </w:r>
    </w:p>
    <w:p w14:paraId="26FE3941" w14:textId="77777777" w:rsidR="0063300B" w:rsidRPr="0063300B" w:rsidRDefault="0063300B" w:rsidP="0063300B">
      <w:pPr>
        <w:spacing w:after="0" w:line="360" w:lineRule="auto"/>
        <w:rPr>
          <w:rFonts w:ascii="Arial" w:hAnsi="Arial" w:cs="Arial"/>
        </w:rPr>
      </w:pPr>
      <w:r w:rsidRPr="0063300B">
        <w:rPr>
          <w:rFonts w:ascii="Arial" w:hAnsi="Arial" w:cs="Arial"/>
        </w:rPr>
        <w:t xml:space="preserve">Ministry of Labour and Employment (2025) </w:t>
      </w:r>
      <w:r w:rsidRPr="0063300B">
        <w:rPr>
          <w:rFonts w:ascii="Arial" w:hAnsi="Arial" w:cs="Arial"/>
          <w:i/>
          <w:iCs/>
        </w:rPr>
        <w:t>Labour Codes</w:t>
      </w:r>
      <w:r w:rsidRPr="0063300B">
        <w:rPr>
          <w:rFonts w:ascii="Arial" w:hAnsi="Arial" w:cs="Arial"/>
        </w:rPr>
        <w:t xml:space="preserve">. Government of India. Available at: </w:t>
      </w:r>
      <w:hyperlink r:id="rId26" w:tgtFrame="_new" w:history="1">
        <w:r w:rsidRPr="0063300B">
          <w:rPr>
            <w:rStyle w:val="Hyperlink"/>
            <w:rFonts w:ascii="Arial" w:hAnsi="Arial" w:cs="Arial"/>
          </w:rPr>
          <w:t>https://labour.gov.in/</w:t>
        </w:r>
      </w:hyperlink>
      <w:r w:rsidRPr="0063300B">
        <w:rPr>
          <w:rFonts w:ascii="Arial" w:hAnsi="Arial" w:cs="Arial"/>
        </w:rPr>
        <w:t xml:space="preserve"> (Accessed: 1 August 2026).</w:t>
      </w:r>
    </w:p>
    <w:p w14:paraId="01E73D65" w14:textId="77777777" w:rsidR="0063300B" w:rsidRPr="0063300B" w:rsidRDefault="0063300B" w:rsidP="0063300B">
      <w:pPr>
        <w:spacing w:after="0" w:line="360" w:lineRule="auto"/>
        <w:rPr>
          <w:rFonts w:ascii="Arial" w:hAnsi="Arial" w:cs="Arial"/>
        </w:rPr>
      </w:pPr>
      <w:r w:rsidRPr="0063300B">
        <w:rPr>
          <w:rFonts w:ascii="Arial" w:hAnsi="Arial" w:cs="Arial"/>
        </w:rPr>
        <w:t xml:space="preserve">Nero Group (2025) </w:t>
      </w:r>
      <w:r w:rsidRPr="0063300B">
        <w:rPr>
          <w:rFonts w:ascii="Arial" w:hAnsi="Arial" w:cs="Arial"/>
          <w:i/>
          <w:iCs/>
        </w:rPr>
        <w:t>About Nero Group</w:t>
      </w:r>
      <w:r w:rsidRPr="0063300B">
        <w:rPr>
          <w:rFonts w:ascii="Arial" w:hAnsi="Arial" w:cs="Arial"/>
        </w:rPr>
        <w:t>. Available at: https://www.nerogroup.com/ (Accessed: 1 August 2026).</w:t>
      </w:r>
    </w:p>
    <w:p w14:paraId="1F2B09CF" w14:textId="60FF0712" w:rsidR="0063300B" w:rsidRPr="0063300B" w:rsidRDefault="0063300B" w:rsidP="0063300B">
      <w:pPr>
        <w:spacing w:after="0" w:line="360" w:lineRule="auto"/>
        <w:rPr>
          <w:rFonts w:ascii="Arial" w:hAnsi="Arial" w:cs="Arial"/>
        </w:rPr>
      </w:pPr>
      <w:r w:rsidRPr="0063300B">
        <w:rPr>
          <w:rFonts w:ascii="Arial" w:hAnsi="Arial" w:cs="Arial"/>
        </w:rPr>
        <w:t xml:space="preserve">Peng, M.W., Wang, D.Y.L. and Jiang, Y. (2008) ‘An institution-based view of international business strategy: A focus on emerging economies’, </w:t>
      </w:r>
      <w:r w:rsidRPr="0063300B">
        <w:rPr>
          <w:rFonts w:ascii="Arial" w:hAnsi="Arial" w:cs="Arial"/>
          <w:i/>
          <w:iCs/>
        </w:rPr>
        <w:t>Journal of International Business Studies</w:t>
      </w:r>
      <w:r w:rsidRPr="0063300B">
        <w:rPr>
          <w:rFonts w:ascii="Arial" w:hAnsi="Arial" w:cs="Arial"/>
        </w:rPr>
        <w:t xml:space="preserve">, 39(5), pp. 920–936. </w:t>
      </w:r>
    </w:p>
    <w:p w14:paraId="512413EE" w14:textId="77777777" w:rsidR="0063300B" w:rsidRPr="0063300B" w:rsidRDefault="0063300B" w:rsidP="0063300B">
      <w:pPr>
        <w:spacing w:after="0" w:line="360" w:lineRule="auto"/>
        <w:rPr>
          <w:rFonts w:ascii="Arial" w:hAnsi="Arial" w:cs="Arial"/>
        </w:rPr>
      </w:pPr>
      <w:r w:rsidRPr="0063300B">
        <w:rPr>
          <w:rFonts w:ascii="Arial" w:hAnsi="Arial" w:cs="Arial"/>
        </w:rPr>
        <w:t xml:space="preserve">World Bank (2025) </w:t>
      </w:r>
      <w:r w:rsidRPr="0063300B">
        <w:rPr>
          <w:rFonts w:ascii="Arial" w:hAnsi="Arial" w:cs="Arial"/>
          <w:i/>
          <w:iCs/>
        </w:rPr>
        <w:t>World Development Indicators</w:t>
      </w:r>
      <w:r w:rsidRPr="0063300B">
        <w:rPr>
          <w:rFonts w:ascii="Arial" w:hAnsi="Arial" w:cs="Arial"/>
        </w:rPr>
        <w:t xml:space="preserve">. Available at: </w:t>
      </w:r>
      <w:hyperlink r:id="rId27" w:tgtFrame="_new" w:history="1">
        <w:r w:rsidRPr="0063300B">
          <w:rPr>
            <w:rStyle w:val="Hyperlink"/>
            <w:rFonts w:ascii="Arial" w:hAnsi="Arial" w:cs="Arial"/>
          </w:rPr>
          <w:t>https://data.worldbank.org/</w:t>
        </w:r>
      </w:hyperlink>
      <w:r w:rsidRPr="0063300B">
        <w:rPr>
          <w:rFonts w:ascii="Arial" w:hAnsi="Arial" w:cs="Arial"/>
        </w:rPr>
        <w:t xml:space="preserve"> (Accessed: 1 August 2026).</w:t>
      </w:r>
    </w:p>
    <w:p w14:paraId="701D781C" w14:textId="32BF295D" w:rsidR="0063300B" w:rsidRPr="0063300B" w:rsidRDefault="0063300B" w:rsidP="0063300B">
      <w:pPr>
        <w:spacing w:after="0" w:line="360" w:lineRule="auto"/>
        <w:rPr>
          <w:rFonts w:ascii="Arial" w:hAnsi="Arial" w:cs="Arial"/>
        </w:rPr>
      </w:pPr>
      <w:r w:rsidRPr="0063300B">
        <w:rPr>
          <w:rFonts w:ascii="Arial" w:hAnsi="Arial" w:cs="Arial"/>
        </w:rPr>
        <w:t xml:space="preserve">Xu, D. and </w:t>
      </w:r>
      <w:proofErr w:type="spellStart"/>
      <w:r w:rsidRPr="0063300B">
        <w:rPr>
          <w:rFonts w:ascii="Arial" w:hAnsi="Arial" w:cs="Arial"/>
        </w:rPr>
        <w:t>Shenkar</w:t>
      </w:r>
      <w:proofErr w:type="spellEnd"/>
      <w:r w:rsidRPr="0063300B">
        <w:rPr>
          <w:rFonts w:ascii="Arial" w:hAnsi="Arial" w:cs="Arial"/>
        </w:rPr>
        <w:t xml:space="preserve">, O. (2002) ‘Institutional distance and the multinational enterprise’, </w:t>
      </w:r>
      <w:r w:rsidRPr="0063300B">
        <w:rPr>
          <w:rFonts w:ascii="Arial" w:hAnsi="Arial" w:cs="Arial"/>
          <w:i/>
          <w:iCs/>
        </w:rPr>
        <w:t>Academy of Management Review</w:t>
      </w:r>
      <w:r w:rsidRPr="0063300B">
        <w:rPr>
          <w:rFonts w:ascii="Arial" w:hAnsi="Arial" w:cs="Arial"/>
        </w:rPr>
        <w:t xml:space="preserve">, 27(4), pp. 608–618. </w:t>
      </w:r>
    </w:p>
    <w:p w14:paraId="42791A41" w14:textId="77777777" w:rsidR="00405845" w:rsidRPr="00BF7237" w:rsidRDefault="00405845" w:rsidP="0063300B">
      <w:pPr>
        <w:spacing w:after="0" w:line="360" w:lineRule="auto"/>
        <w:rPr>
          <w:rFonts w:ascii="Arial" w:hAnsi="Arial" w:cs="Arial"/>
        </w:rPr>
      </w:pPr>
    </w:p>
    <w:sectPr w:rsidR="00405845" w:rsidRPr="00BF7237" w:rsidSect="006136A2">
      <w:footerReference w:type="default" r:id="rId2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33E2E5" w14:textId="77777777" w:rsidR="0036660E" w:rsidRDefault="0036660E" w:rsidP="00C160FF">
      <w:pPr>
        <w:spacing w:after="0" w:line="240" w:lineRule="auto"/>
      </w:pPr>
      <w:r>
        <w:separator/>
      </w:r>
    </w:p>
  </w:endnote>
  <w:endnote w:type="continuationSeparator" w:id="0">
    <w:p w14:paraId="7626E3BF" w14:textId="77777777" w:rsidR="0036660E" w:rsidRDefault="0036660E" w:rsidP="00C160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3989481"/>
      <w:docPartObj>
        <w:docPartGallery w:val="Page Numbers (Bottom of Page)"/>
        <w:docPartUnique/>
      </w:docPartObj>
    </w:sdtPr>
    <w:sdtEndPr>
      <w:rPr>
        <w:noProof/>
      </w:rPr>
    </w:sdtEndPr>
    <w:sdtContent>
      <w:p w14:paraId="4CB96A38" w14:textId="4E2F0FC2" w:rsidR="00D81E9A" w:rsidRDefault="00D81E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CAD747" w14:textId="77777777" w:rsidR="00D81E9A" w:rsidRDefault="00D81E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C4215C" w14:textId="77777777" w:rsidR="0036660E" w:rsidRDefault="0036660E" w:rsidP="00C160FF">
      <w:pPr>
        <w:spacing w:after="0" w:line="240" w:lineRule="auto"/>
      </w:pPr>
      <w:r>
        <w:separator/>
      </w:r>
    </w:p>
  </w:footnote>
  <w:footnote w:type="continuationSeparator" w:id="0">
    <w:p w14:paraId="1550A512" w14:textId="77777777" w:rsidR="0036660E" w:rsidRDefault="0036660E" w:rsidP="00C160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692519"/>
    <w:multiLevelType w:val="hybridMultilevel"/>
    <w:tmpl w:val="136A39C4"/>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2073112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6A2"/>
    <w:rsid w:val="00013A32"/>
    <w:rsid w:val="000377E1"/>
    <w:rsid w:val="00053066"/>
    <w:rsid w:val="000D3681"/>
    <w:rsid w:val="000D7D07"/>
    <w:rsid w:val="000E62DF"/>
    <w:rsid w:val="00114190"/>
    <w:rsid w:val="00114913"/>
    <w:rsid w:val="001171BF"/>
    <w:rsid w:val="00133186"/>
    <w:rsid w:val="001A4C7A"/>
    <w:rsid w:val="001D0CFF"/>
    <w:rsid w:val="001F1535"/>
    <w:rsid w:val="001F1721"/>
    <w:rsid w:val="001F485B"/>
    <w:rsid w:val="00205146"/>
    <w:rsid w:val="00211129"/>
    <w:rsid w:val="0021207B"/>
    <w:rsid w:val="002330BA"/>
    <w:rsid w:val="002622EA"/>
    <w:rsid w:val="0027123C"/>
    <w:rsid w:val="00271C02"/>
    <w:rsid w:val="002B2293"/>
    <w:rsid w:val="002F612F"/>
    <w:rsid w:val="00304411"/>
    <w:rsid w:val="0036660E"/>
    <w:rsid w:val="003837CF"/>
    <w:rsid w:val="00393FB2"/>
    <w:rsid w:val="00397E58"/>
    <w:rsid w:val="003C10D9"/>
    <w:rsid w:val="003D0536"/>
    <w:rsid w:val="00405845"/>
    <w:rsid w:val="00427F09"/>
    <w:rsid w:val="004310FB"/>
    <w:rsid w:val="00436C3E"/>
    <w:rsid w:val="00452FD1"/>
    <w:rsid w:val="0048417B"/>
    <w:rsid w:val="004B0451"/>
    <w:rsid w:val="004B73CE"/>
    <w:rsid w:val="004D536D"/>
    <w:rsid w:val="004F4A20"/>
    <w:rsid w:val="00586B5F"/>
    <w:rsid w:val="005D77CA"/>
    <w:rsid w:val="006136A2"/>
    <w:rsid w:val="0063300B"/>
    <w:rsid w:val="00637EE3"/>
    <w:rsid w:val="00655742"/>
    <w:rsid w:val="006964AB"/>
    <w:rsid w:val="006A54D6"/>
    <w:rsid w:val="006B0009"/>
    <w:rsid w:val="006C0A92"/>
    <w:rsid w:val="007017F3"/>
    <w:rsid w:val="00702D7B"/>
    <w:rsid w:val="00712892"/>
    <w:rsid w:val="00715341"/>
    <w:rsid w:val="007170DE"/>
    <w:rsid w:val="00724852"/>
    <w:rsid w:val="007B2F3B"/>
    <w:rsid w:val="007D5DD2"/>
    <w:rsid w:val="00812959"/>
    <w:rsid w:val="00831F7B"/>
    <w:rsid w:val="00893C7C"/>
    <w:rsid w:val="00897DEC"/>
    <w:rsid w:val="008A1E26"/>
    <w:rsid w:val="008B0938"/>
    <w:rsid w:val="008B791D"/>
    <w:rsid w:val="009009A3"/>
    <w:rsid w:val="009010D3"/>
    <w:rsid w:val="00916A58"/>
    <w:rsid w:val="009C28CA"/>
    <w:rsid w:val="009D10AA"/>
    <w:rsid w:val="00A0603E"/>
    <w:rsid w:val="00A16FD9"/>
    <w:rsid w:val="00A40C4D"/>
    <w:rsid w:val="00A76C10"/>
    <w:rsid w:val="00A823E1"/>
    <w:rsid w:val="00A94C38"/>
    <w:rsid w:val="00AD2B8E"/>
    <w:rsid w:val="00AF36F1"/>
    <w:rsid w:val="00B03DFB"/>
    <w:rsid w:val="00B175BD"/>
    <w:rsid w:val="00B52CD4"/>
    <w:rsid w:val="00B57558"/>
    <w:rsid w:val="00B718FA"/>
    <w:rsid w:val="00B72634"/>
    <w:rsid w:val="00B8128F"/>
    <w:rsid w:val="00BB2B8E"/>
    <w:rsid w:val="00BD4A44"/>
    <w:rsid w:val="00BF7237"/>
    <w:rsid w:val="00C1463D"/>
    <w:rsid w:val="00C160FF"/>
    <w:rsid w:val="00C35560"/>
    <w:rsid w:val="00C42AD3"/>
    <w:rsid w:val="00C45BEE"/>
    <w:rsid w:val="00C532D2"/>
    <w:rsid w:val="00C62F10"/>
    <w:rsid w:val="00CD250A"/>
    <w:rsid w:val="00CD6F24"/>
    <w:rsid w:val="00CE1E63"/>
    <w:rsid w:val="00D015FF"/>
    <w:rsid w:val="00D3788F"/>
    <w:rsid w:val="00D67448"/>
    <w:rsid w:val="00D705EC"/>
    <w:rsid w:val="00D81E9A"/>
    <w:rsid w:val="00D92EDB"/>
    <w:rsid w:val="00DA3472"/>
    <w:rsid w:val="00DA7D9C"/>
    <w:rsid w:val="00DB3C65"/>
    <w:rsid w:val="00DE60C3"/>
    <w:rsid w:val="00DE654A"/>
    <w:rsid w:val="00DF0545"/>
    <w:rsid w:val="00DF3B19"/>
    <w:rsid w:val="00E0123E"/>
    <w:rsid w:val="00E44323"/>
    <w:rsid w:val="00E44A77"/>
    <w:rsid w:val="00E559C3"/>
    <w:rsid w:val="00E55D81"/>
    <w:rsid w:val="00E94966"/>
    <w:rsid w:val="00EA0BFA"/>
    <w:rsid w:val="00EC33B0"/>
    <w:rsid w:val="00ED0D8F"/>
    <w:rsid w:val="00EE5582"/>
    <w:rsid w:val="00EF61DB"/>
    <w:rsid w:val="00F32E99"/>
    <w:rsid w:val="00F642C2"/>
    <w:rsid w:val="00F83115"/>
    <w:rsid w:val="00FA5F00"/>
    <w:rsid w:val="00FE5F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D451F"/>
  <w15:chartTrackingRefBased/>
  <w15:docId w15:val="{7ED181DB-25C1-44FD-9A0A-33DC749C2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6A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136A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136A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136A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136A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136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36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36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36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6A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136A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136A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136A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136A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136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36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36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36A2"/>
    <w:rPr>
      <w:rFonts w:eastAsiaTheme="majorEastAsia" w:cstheme="majorBidi"/>
      <w:color w:val="272727" w:themeColor="text1" w:themeTint="D8"/>
    </w:rPr>
  </w:style>
  <w:style w:type="paragraph" w:styleId="Title">
    <w:name w:val="Title"/>
    <w:basedOn w:val="Normal"/>
    <w:next w:val="Normal"/>
    <w:link w:val="TitleChar"/>
    <w:uiPriority w:val="10"/>
    <w:qFormat/>
    <w:rsid w:val="006136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36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36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36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36A2"/>
    <w:pPr>
      <w:spacing w:before="160"/>
      <w:jc w:val="center"/>
    </w:pPr>
    <w:rPr>
      <w:i/>
      <w:iCs/>
      <w:color w:val="404040" w:themeColor="text1" w:themeTint="BF"/>
    </w:rPr>
  </w:style>
  <w:style w:type="character" w:customStyle="1" w:styleId="QuoteChar">
    <w:name w:val="Quote Char"/>
    <w:basedOn w:val="DefaultParagraphFont"/>
    <w:link w:val="Quote"/>
    <w:uiPriority w:val="29"/>
    <w:rsid w:val="006136A2"/>
    <w:rPr>
      <w:i/>
      <w:iCs/>
      <w:color w:val="404040" w:themeColor="text1" w:themeTint="BF"/>
    </w:rPr>
  </w:style>
  <w:style w:type="paragraph" w:styleId="ListParagraph">
    <w:name w:val="List Paragraph"/>
    <w:basedOn w:val="Normal"/>
    <w:uiPriority w:val="34"/>
    <w:qFormat/>
    <w:rsid w:val="006136A2"/>
    <w:pPr>
      <w:ind w:left="720"/>
      <w:contextualSpacing/>
    </w:pPr>
  </w:style>
  <w:style w:type="character" w:styleId="IntenseEmphasis">
    <w:name w:val="Intense Emphasis"/>
    <w:basedOn w:val="DefaultParagraphFont"/>
    <w:uiPriority w:val="21"/>
    <w:qFormat/>
    <w:rsid w:val="006136A2"/>
    <w:rPr>
      <w:i/>
      <w:iCs/>
      <w:color w:val="2F5496" w:themeColor="accent1" w:themeShade="BF"/>
    </w:rPr>
  </w:style>
  <w:style w:type="paragraph" w:styleId="IntenseQuote">
    <w:name w:val="Intense Quote"/>
    <w:basedOn w:val="Normal"/>
    <w:next w:val="Normal"/>
    <w:link w:val="IntenseQuoteChar"/>
    <w:uiPriority w:val="30"/>
    <w:qFormat/>
    <w:rsid w:val="006136A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36A2"/>
    <w:rPr>
      <w:i/>
      <w:iCs/>
      <w:color w:val="2F5496" w:themeColor="accent1" w:themeShade="BF"/>
    </w:rPr>
  </w:style>
  <w:style w:type="character" w:styleId="IntenseReference">
    <w:name w:val="Intense Reference"/>
    <w:basedOn w:val="DefaultParagraphFont"/>
    <w:uiPriority w:val="32"/>
    <w:qFormat/>
    <w:rsid w:val="006136A2"/>
    <w:rPr>
      <w:b/>
      <w:bCs/>
      <w:smallCaps/>
      <w:color w:val="2F5496" w:themeColor="accent1" w:themeShade="BF"/>
      <w:spacing w:val="5"/>
    </w:rPr>
  </w:style>
  <w:style w:type="table" w:styleId="TableGrid">
    <w:name w:val="Table Grid"/>
    <w:basedOn w:val="TableNormal"/>
    <w:uiPriority w:val="39"/>
    <w:rsid w:val="006557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97E58"/>
    <w:rPr>
      <w:color w:val="0563C1" w:themeColor="hyperlink"/>
      <w:u w:val="single"/>
    </w:rPr>
  </w:style>
  <w:style w:type="character" w:styleId="UnresolvedMention">
    <w:name w:val="Unresolved Mention"/>
    <w:basedOn w:val="DefaultParagraphFont"/>
    <w:uiPriority w:val="99"/>
    <w:semiHidden/>
    <w:unhideWhenUsed/>
    <w:rsid w:val="00397E58"/>
    <w:rPr>
      <w:color w:val="605E5C"/>
      <w:shd w:val="clear" w:color="auto" w:fill="E1DFDD"/>
    </w:rPr>
  </w:style>
  <w:style w:type="paragraph" w:styleId="TOCHeading">
    <w:name w:val="TOC Heading"/>
    <w:basedOn w:val="Heading1"/>
    <w:next w:val="Normal"/>
    <w:uiPriority w:val="39"/>
    <w:unhideWhenUsed/>
    <w:qFormat/>
    <w:rsid w:val="00397E5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97E58"/>
    <w:pPr>
      <w:spacing w:after="100"/>
    </w:pPr>
  </w:style>
  <w:style w:type="paragraph" w:styleId="TOC2">
    <w:name w:val="toc 2"/>
    <w:basedOn w:val="Normal"/>
    <w:next w:val="Normal"/>
    <w:autoRedefine/>
    <w:uiPriority w:val="39"/>
    <w:unhideWhenUsed/>
    <w:rsid w:val="00397E58"/>
    <w:pPr>
      <w:spacing w:after="100"/>
      <w:ind w:left="240"/>
    </w:pPr>
  </w:style>
  <w:style w:type="paragraph" w:styleId="Header">
    <w:name w:val="header"/>
    <w:basedOn w:val="Normal"/>
    <w:link w:val="HeaderChar"/>
    <w:uiPriority w:val="99"/>
    <w:unhideWhenUsed/>
    <w:rsid w:val="00C160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0FF"/>
  </w:style>
  <w:style w:type="paragraph" w:styleId="Footer">
    <w:name w:val="footer"/>
    <w:basedOn w:val="Normal"/>
    <w:link w:val="FooterChar"/>
    <w:uiPriority w:val="99"/>
    <w:unhideWhenUsed/>
    <w:rsid w:val="00C160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0FF"/>
  </w:style>
  <w:style w:type="character" w:styleId="FollowedHyperlink">
    <w:name w:val="FollowedHyperlink"/>
    <w:basedOn w:val="DefaultParagraphFont"/>
    <w:uiPriority w:val="99"/>
    <w:semiHidden/>
    <w:unhideWhenUsed/>
    <w:rsid w:val="00637E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labour.gov.in/" TargetMode="External"/><Relationship Id="rId3" Type="http://schemas.openxmlformats.org/officeDocument/2006/relationships/styles" Target="styles.xml"/><Relationship Id="rId21" Type="http://schemas.openxmlformats.org/officeDocument/2006/relationships/hyperlink" Target="https://www.dpiit.gov.in/documents/publications?page=1"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ipindia.gov.in/"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caffenero.com/uk/stor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mf.org/en/Publications/WEO"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foscos.fssai.gov.in/"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caffenero.com/uk/stor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fssai.gov.in/food-law/act-2006" TargetMode="External"/><Relationship Id="rId27" Type="http://schemas.openxmlformats.org/officeDocument/2006/relationships/hyperlink" Target="https://data.worldbank.or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61DF57-0422-480C-B185-CE4483667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TotalTime>
  <Pages>29</Pages>
  <Words>7880</Words>
  <Characters>44920</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Heer Soni</dc:creator>
  <cp:keywords/>
  <dc:description/>
  <cp:lastModifiedBy>shyam patel</cp:lastModifiedBy>
  <cp:revision>98</cp:revision>
  <dcterms:created xsi:type="dcterms:W3CDTF">2026-08-01T15:05:00Z</dcterms:created>
  <dcterms:modified xsi:type="dcterms:W3CDTF">2026-08-07T11:29:00Z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21075b55-f232-4eca-82d2-bbe266888b85</vt:lpwstr>
  </property>
</Properties>
</file>