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11249D" w14:textId="3ADCD9F1" w:rsidR="00AA4C44" w:rsidRDefault="00AA4C44" w:rsidP="00122C7C">
      <w:pPr>
        <w:pBdr>
          <w:bottom w:val="single" w:sz="12" w:space="1" w:color="000000"/>
        </w:pBdr>
        <w:spacing w:line="360" w:lineRule="auto"/>
        <w:jc w:val="center"/>
        <w:rPr>
          <w:rFonts w:ascii="Aptos" w:eastAsia="Aptos" w:hAnsi="Aptos" w:cs="Aptos"/>
          <w:b/>
          <w:bCs/>
        </w:rPr>
      </w:pPr>
    </w:p>
    <w:p w14:paraId="387BFE05" w14:textId="5F8A41A6" w:rsidR="00AA4C44" w:rsidRDefault="0F52D20D" w:rsidP="00122C7C">
      <w:pPr>
        <w:pBdr>
          <w:bottom w:val="single" w:sz="12" w:space="1" w:color="000000"/>
        </w:pBdr>
        <w:spacing w:line="360" w:lineRule="auto"/>
        <w:jc w:val="center"/>
      </w:pPr>
      <w:r w:rsidRPr="1259BC21">
        <w:rPr>
          <w:rFonts w:ascii="Aptos" w:eastAsia="Aptos" w:hAnsi="Aptos" w:cs="Aptos"/>
          <w:b/>
          <w:bCs/>
        </w:rPr>
        <w:t xml:space="preserve"> </w:t>
      </w:r>
    </w:p>
    <w:p w14:paraId="52BC97DA" w14:textId="61CAA28C" w:rsidR="00AA4C44" w:rsidRDefault="0F52D20D" w:rsidP="00122C7C">
      <w:pPr>
        <w:pBdr>
          <w:bottom w:val="single" w:sz="12" w:space="1" w:color="000000"/>
        </w:pBdr>
        <w:spacing w:line="360" w:lineRule="auto"/>
      </w:pPr>
      <w:r w:rsidRPr="1259BC21">
        <w:rPr>
          <w:rFonts w:ascii="Aptos" w:eastAsia="Aptos" w:hAnsi="Aptos" w:cs="Aptos"/>
          <w:b/>
          <w:bCs/>
        </w:rPr>
        <w:t xml:space="preserve"> </w:t>
      </w:r>
    </w:p>
    <w:p w14:paraId="07CC5B58" w14:textId="42524AE2" w:rsidR="00AA4C44" w:rsidRDefault="0F52D20D" w:rsidP="00122C7C">
      <w:pPr>
        <w:pBdr>
          <w:bottom w:val="single" w:sz="12" w:space="1" w:color="000000"/>
        </w:pBdr>
        <w:spacing w:line="360" w:lineRule="auto"/>
        <w:jc w:val="center"/>
      </w:pPr>
      <w:r w:rsidRPr="1259BC21">
        <w:rPr>
          <w:rFonts w:ascii="Aptos" w:eastAsia="Aptos" w:hAnsi="Aptos" w:cs="Aptos"/>
          <w:b/>
          <w:bCs/>
          <w:sz w:val="32"/>
          <w:szCs w:val="32"/>
        </w:rPr>
        <w:t>How does the dose and frequency of walking in nature impact the mental wellbeing and burnout risk of full-time working parents?</w:t>
      </w:r>
    </w:p>
    <w:p w14:paraId="313B78C9" w14:textId="7613150C" w:rsidR="00AA4C44" w:rsidRDefault="0F52D20D" w:rsidP="00122C7C">
      <w:pPr>
        <w:pBdr>
          <w:bottom w:val="single" w:sz="12" w:space="1" w:color="000000"/>
        </w:pBdr>
        <w:spacing w:line="360" w:lineRule="auto"/>
        <w:jc w:val="center"/>
      </w:pPr>
      <w:r w:rsidRPr="1259BC21">
        <w:rPr>
          <w:rFonts w:ascii="Aptos" w:eastAsia="Aptos" w:hAnsi="Aptos" w:cs="Aptos"/>
          <w:b/>
          <w:bCs/>
          <w:sz w:val="32"/>
          <w:szCs w:val="32"/>
        </w:rPr>
        <w:t xml:space="preserve"> </w:t>
      </w:r>
    </w:p>
    <w:p w14:paraId="0DEE01A3" w14:textId="48F67E79" w:rsidR="00AA4C44" w:rsidRDefault="0F52D20D" w:rsidP="00122C7C">
      <w:pPr>
        <w:pBdr>
          <w:bottom w:val="single" w:sz="12" w:space="1" w:color="000000"/>
        </w:pBdr>
        <w:spacing w:line="360" w:lineRule="auto"/>
        <w:jc w:val="center"/>
      </w:pPr>
      <w:r w:rsidRPr="1259BC21">
        <w:rPr>
          <w:rFonts w:ascii="Aptos" w:eastAsia="Aptos" w:hAnsi="Aptos" w:cs="Aptos"/>
          <w:b/>
          <w:bCs/>
          <w:sz w:val="32"/>
          <w:szCs w:val="32"/>
        </w:rPr>
        <w:t xml:space="preserve"> </w:t>
      </w:r>
    </w:p>
    <w:p w14:paraId="0513E2DC" w14:textId="30BB3D33" w:rsidR="00AA4C44" w:rsidRDefault="0F52D20D" w:rsidP="00122C7C">
      <w:pPr>
        <w:pBdr>
          <w:bottom w:val="single" w:sz="12" w:space="1" w:color="000000"/>
        </w:pBdr>
        <w:spacing w:line="360" w:lineRule="auto"/>
        <w:jc w:val="center"/>
      </w:pPr>
      <w:r w:rsidRPr="1259BC21">
        <w:rPr>
          <w:rFonts w:ascii="Aptos" w:eastAsia="Aptos" w:hAnsi="Aptos" w:cs="Aptos"/>
          <w:b/>
          <w:bCs/>
          <w:sz w:val="32"/>
          <w:szCs w:val="32"/>
        </w:rPr>
        <w:t xml:space="preserve"> </w:t>
      </w:r>
    </w:p>
    <w:p w14:paraId="33FF67B2" w14:textId="2EE5FC9D" w:rsidR="00AA4C44" w:rsidRDefault="0F52D20D" w:rsidP="00122C7C">
      <w:pPr>
        <w:pBdr>
          <w:bottom w:val="single" w:sz="12" w:space="1" w:color="000000"/>
        </w:pBdr>
        <w:spacing w:line="360" w:lineRule="auto"/>
        <w:jc w:val="center"/>
      </w:pPr>
      <w:r w:rsidRPr="1259BC21">
        <w:rPr>
          <w:rFonts w:ascii="Aptos" w:eastAsia="Aptos" w:hAnsi="Aptos" w:cs="Aptos"/>
          <w:b/>
          <w:bCs/>
          <w:sz w:val="32"/>
          <w:szCs w:val="32"/>
        </w:rPr>
        <w:t xml:space="preserve"> </w:t>
      </w:r>
    </w:p>
    <w:p w14:paraId="1C6D786D" w14:textId="1437C841" w:rsidR="00AA4C44" w:rsidRDefault="0F52D20D" w:rsidP="00122C7C">
      <w:pPr>
        <w:pBdr>
          <w:bottom w:val="single" w:sz="12" w:space="1" w:color="000000"/>
        </w:pBdr>
        <w:spacing w:line="360" w:lineRule="auto"/>
        <w:jc w:val="center"/>
      </w:pPr>
      <w:r w:rsidRPr="1259BC21">
        <w:rPr>
          <w:rFonts w:ascii="Aptos" w:eastAsia="Aptos" w:hAnsi="Aptos" w:cs="Aptos"/>
          <w:b/>
          <w:bCs/>
          <w:sz w:val="22"/>
          <w:szCs w:val="22"/>
        </w:rPr>
        <w:t>Jason Worthy</w:t>
      </w:r>
    </w:p>
    <w:p w14:paraId="6660C069" w14:textId="179AE15A" w:rsidR="00AA4C44" w:rsidRDefault="6DDE0FA6" w:rsidP="00122C7C">
      <w:pPr>
        <w:pBdr>
          <w:bottom w:val="single" w:sz="12" w:space="1" w:color="000000"/>
        </w:pBdr>
        <w:spacing w:line="360" w:lineRule="auto"/>
        <w:jc w:val="center"/>
      </w:pPr>
      <w:r w:rsidRPr="02A6AE13">
        <w:rPr>
          <w:rFonts w:ascii="Aptos" w:eastAsia="Aptos" w:hAnsi="Aptos" w:cs="Aptos"/>
          <w:b/>
          <w:bCs/>
          <w:sz w:val="22"/>
          <w:szCs w:val="22"/>
        </w:rPr>
        <w:t>August</w:t>
      </w:r>
      <w:r w:rsidR="6DC4647D" w:rsidRPr="02A6AE13">
        <w:rPr>
          <w:rFonts w:ascii="Aptos" w:eastAsia="Aptos" w:hAnsi="Aptos" w:cs="Aptos"/>
          <w:b/>
          <w:bCs/>
          <w:sz w:val="22"/>
          <w:szCs w:val="22"/>
        </w:rPr>
        <w:t xml:space="preserve"> 202</w:t>
      </w:r>
    </w:p>
    <w:p w14:paraId="4DAF373A" w14:textId="1F6ED2DA" w:rsidR="00AA4C44" w:rsidRDefault="0F52D20D" w:rsidP="00122C7C">
      <w:pPr>
        <w:pBdr>
          <w:bottom w:val="single" w:sz="12" w:space="1" w:color="000000"/>
        </w:pBdr>
        <w:spacing w:line="360" w:lineRule="auto"/>
        <w:jc w:val="center"/>
      </w:pPr>
      <w:r w:rsidRPr="1259BC21">
        <w:rPr>
          <w:rFonts w:ascii="Aptos" w:eastAsia="Aptos" w:hAnsi="Aptos" w:cs="Aptos"/>
          <w:b/>
          <w:bCs/>
          <w:sz w:val="28"/>
          <w:szCs w:val="28"/>
        </w:rPr>
        <w:t xml:space="preserve"> </w:t>
      </w:r>
    </w:p>
    <w:p w14:paraId="28CCF5BE" w14:textId="5C7974BF" w:rsidR="00AA4C44" w:rsidRDefault="0F52D20D" w:rsidP="00122C7C">
      <w:pPr>
        <w:pBdr>
          <w:bottom w:val="single" w:sz="12" w:space="1" w:color="000000"/>
        </w:pBdr>
        <w:spacing w:line="360" w:lineRule="auto"/>
        <w:jc w:val="center"/>
      </w:pPr>
      <w:r w:rsidRPr="1259BC21">
        <w:rPr>
          <w:rFonts w:ascii="Aptos" w:eastAsia="Aptos" w:hAnsi="Aptos" w:cs="Aptos"/>
          <w:b/>
          <w:bCs/>
          <w:sz w:val="28"/>
          <w:szCs w:val="28"/>
        </w:rPr>
        <w:t>MASTERS DISSERTATION</w:t>
      </w:r>
    </w:p>
    <w:p w14:paraId="6356140F" w14:textId="076515AD" w:rsidR="00AA4C44" w:rsidRDefault="0F52D20D" w:rsidP="00122C7C">
      <w:pPr>
        <w:pBdr>
          <w:bottom w:val="single" w:sz="12" w:space="1" w:color="000000"/>
        </w:pBdr>
        <w:spacing w:line="360" w:lineRule="auto"/>
        <w:jc w:val="center"/>
      </w:pPr>
      <w:r w:rsidRPr="1259BC21">
        <w:rPr>
          <w:rFonts w:ascii="Aptos" w:eastAsia="Aptos" w:hAnsi="Aptos" w:cs="Aptos"/>
          <w:b/>
          <w:bCs/>
          <w:sz w:val="22"/>
          <w:szCs w:val="22"/>
        </w:rPr>
        <w:t xml:space="preserve"> </w:t>
      </w:r>
    </w:p>
    <w:p w14:paraId="6A73C463" w14:textId="626DBA01" w:rsidR="00AA4C44" w:rsidRDefault="0F52D20D" w:rsidP="00122C7C">
      <w:pPr>
        <w:pBdr>
          <w:bottom w:val="single" w:sz="12" w:space="1" w:color="000000"/>
        </w:pBdr>
        <w:spacing w:line="360" w:lineRule="auto"/>
        <w:jc w:val="center"/>
      </w:pPr>
      <w:r w:rsidRPr="1259BC21">
        <w:rPr>
          <w:rFonts w:ascii="Aptos" w:eastAsia="Aptos" w:hAnsi="Aptos" w:cs="Aptos"/>
          <w:b/>
          <w:bCs/>
          <w:sz w:val="22"/>
          <w:szCs w:val="22"/>
        </w:rPr>
        <w:t xml:space="preserve"> </w:t>
      </w:r>
    </w:p>
    <w:p w14:paraId="08C9DCA9" w14:textId="14B6B731" w:rsidR="00AA4C44" w:rsidRDefault="0F52D20D" w:rsidP="00122C7C">
      <w:pPr>
        <w:pBdr>
          <w:bottom w:val="single" w:sz="12" w:space="1" w:color="000000"/>
        </w:pBdr>
        <w:spacing w:line="360" w:lineRule="auto"/>
        <w:jc w:val="center"/>
      </w:pPr>
      <w:r w:rsidRPr="1259BC21">
        <w:rPr>
          <w:rFonts w:ascii="Aptos" w:eastAsia="Aptos" w:hAnsi="Aptos" w:cs="Aptos"/>
          <w:b/>
          <w:bCs/>
          <w:sz w:val="22"/>
          <w:szCs w:val="22"/>
        </w:rPr>
        <w:t xml:space="preserve"> </w:t>
      </w:r>
    </w:p>
    <w:p w14:paraId="47C1BA10" w14:textId="01109D92" w:rsidR="00AA4C44" w:rsidRDefault="0F52D20D" w:rsidP="00122C7C">
      <w:pPr>
        <w:pBdr>
          <w:bottom w:val="single" w:sz="12" w:space="1" w:color="000000"/>
        </w:pBdr>
        <w:spacing w:line="360" w:lineRule="auto"/>
        <w:jc w:val="center"/>
      </w:pPr>
      <w:r w:rsidRPr="1259BC21">
        <w:rPr>
          <w:rFonts w:ascii="Aptos" w:eastAsia="Aptos" w:hAnsi="Aptos" w:cs="Aptos"/>
          <w:b/>
          <w:bCs/>
          <w:sz w:val="22"/>
          <w:szCs w:val="22"/>
        </w:rPr>
        <w:t>MA Outdoor Education</w:t>
      </w:r>
    </w:p>
    <w:p w14:paraId="2831F4EB" w14:textId="497B896D" w:rsidR="00AA4C44" w:rsidRDefault="0F52D20D" w:rsidP="00122C7C">
      <w:pPr>
        <w:pBdr>
          <w:bottom w:val="single" w:sz="12" w:space="1" w:color="000000"/>
        </w:pBdr>
        <w:spacing w:line="360" w:lineRule="auto"/>
        <w:jc w:val="center"/>
      </w:pPr>
      <w:r w:rsidRPr="1259BC21">
        <w:rPr>
          <w:rFonts w:ascii="Aptos" w:eastAsia="Aptos" w:hAnsi="Aptos" w:cs="Aptos"/>
          <w:b/>
          <w:bCs/>
          <w:sz w:val="22"/>
          <w:szCs w:val="22"/>
        </w:rPr>
        <w:t>University of Wales Trinity St David</w:t>
      </w:r>
    </w:p>
    <w:p w14:paraId="668F05B7" w14:textId="4E4BA508" w:rsidR="00AA4C44" w:rsidRDefault="6DC4647D" w:rsidP="00122C7C">
      <w:pPr>
        <w:pBdr>
          <w:bottom w:val="single" w:sz="12" w:space="1" w:color="000000"/>
        </w:pBdr>
        <w:spacing w:line="360" w:lineRule="auto"/>
        <w:jc w:val="center"/>
      </w:pPr>
      <w:r w:rsidRPr="02A6AE13">
        <w:rPr>
          <w:rFonts w:ascii="Aptos" w:eastAsia="Aptos" w:hAnsi="Aptos" w:cs="Aptos"/>
          <w:b/>
          <w:bCs/>
          <w:sz w:val="22"/>
          <w:szCs w:val="22"/>
        </w:rPr>
        <w:t xml:space="preserve">  </w:t>
      </w:r>
    </w:p>
    <w:p w14:paraId="1FE7A28C" w14:textId="5C3F076C" w:rsidR="00AA4C44" w:rsidRDefault="0F52D20D" w:rsidP="00122C7C">
      <w:pPr>
        <w:pBdr>
          <w:bottom w:val="single" w:sz="12" w:space="1" w:color="000000"/>
        </w:pBdr>
        <w:spacing w:line="360" w:lineRule="auto"/>
        <w:jc w:val="center"/>
      </w:pPr>
      <w:r w:rsidRPr="1259BC21">
        <w:rPr>
          <w:rFonts w:ascii="Aptos" w:eastAsia="Aptos" w:hAnsi="Aptos" w:cs="Aptos"/>
          <w:b/>
          <w:bCs/>
          <w:sz w:val="22"/>
          <w:szCs w:val="22"/>
        </w:rPr>
        <w:t xml:space="preserve"> </w:t>
      </w:r>
    </w:p>
    <w:p w14:paraId="605BB0AE" w14:textId="088B37A8" w:rsidR="20643D2C" w:rsidRDefault="20643D2C" w:rsidP="2357DC9D">
      <w:pPr>
        <w:pBdr>
          <w:bottom w:val="single" w:sz="12" w:space="1" w:color="000000"/>
        </w:pBdr>
        <w:spacing w:line="360" w:lineRule="auto"/>
        <w:jc w:val="center"/>
        <w:rPr>
          <w:rFonts w:ascii="Aptos" w:eastAsia="Aptos" w:hAnsi="Aptos" w:cs="Aptos"/>
          <w:b/>
          <w:bCs/>
          <w:sz w:val="22"/>
          <w:szCs w:val="22"/>
        </w:rPr>
      </w:pPr>
      <w:r w:rsidRPr="2357DC9D">
        <w:rPr>
          <w:rFonts w:ascii="Aptos" w:eastAsia="Aptos" w:hAnsi="Aptos" w:cs="Aptos"/>
          <w:b/>
          <w:bCs/>
          <w:sz w:val="22"/>
          <w:szCs w:val="22"/>
        </w:rPr>
        <w:t xml:space="preserve">Word Count: </w:t>
      </w:r>
      <w:r w:rsidR="007E172F">
        <w:rPr>
          <w:rFonts w:ascii="Aptos" w:eastAsia="Aptos" w:hAnsi="Aptos" w:cs="Aptos"/>
          <w:sz w:val="22"/>
          <w:szCs w:val="22"/>
        </w:rPr>
        <w:t>14,</w:t>
      </w:r>
      <w:r w:rsidR="008B0305">
        <w:rPr>
          <w:rFonts w:ascii="Aptos" w:eastAsia="Aptos" w:hAnsi="Aptos" w:cs="Aptos"/>
          <w:sz w:val="22"/>
          <w:szCs w:val="22"/>
        </w:rPr>
        <w:t>696</w:t>
      </w:r>
    </w:p>
    <w:p w14:paraId="4C7B677C" w14:textId="09C1B355" w:rsidR="02A6AE13" w:rsidRDefault="02A6AE13" w:rsidP="00122C7C">
      <w:pPr>
        <w:pBdr>
          <w:bottom w:val="single" w:sz="12" w:space="1" w:color="000000"/>
        </w:pBdr>
        <w:spacing w:line="360" w:lineRule="auto"/>
        <w:jc w:val="center"/>
        <w:rPr>
          <w:rFonts w:ascii="Aptos" w:eastAsia="Aptos" w:hAnsi="Aptos" w:cs="Aptos"/>
          <w:sz w:val="22"/>
          <w:szCs w:val="22"/>
        </w:rPr>
      </w:pPr>
    </w:p>
    <w:p w14:paraId="597FB0DE" w14:textId="47F61A02" w:rsidR="02A6AE13" w:rsidRDefault="02A6AE13" w:rsidP="00122C7C">
      <w:pPr>
        <w:pBdr>
          <w:bottom w:val="single" w:sz="12" w:space="1" w:color="000000"/>
        </w:pBdr>
        <w:spacing w:line="360" w:lineRule="auto"/>
        <w:jc w:val="center"/>
        <w:rPr>
          <w:rFonts w:ascii="Aptos" w:eastAsia="Aptos" w:hAnsi="Aptos" w:cs="Aptos"/>
          <w:sz w:val="22"/>
          <w:szCs w:val="22"/>
        </w:rPr>
      </w:pPr>
    </w:p>
    <w:p w14:paraId="52609C1E" w14:textId="76C430C0" w:rsidR="0040144E" w:rsidRDefault="6957AE8E" w:rsidP="00122C7C">
      <w:pPr>
        <w:pBdr>
          <w:bottom w:val="single" w:sz="12" w:space="1" w:color="000000"/>
        </w:pBdr>
        <w:spacing w:line="360" w:lineRule="auto"/>
        <w:jc w:val="center"/>
      </w:pPr>
      <w:r w:rsidRPr="02A6AE13">
        <w:rPr>
          <w:rFonts w:ascii="Aptos" w:eastAsia="Aptos" w:hAnsi="Aptos" w:cs="Aptos"/>
          <w:b/>
          <w:bCs/>
        </w:rPr>
        <w:t>Table of Contents</w:t>
      </w:r>
    </w:p>
    <w:p w14:paraId="079B0F9C" w14:textId="77777777" w:rsidR="0040144E" w:rsidRDefault="0040144E" w:rsidP="00122C7C">
      <w:pPr>
        <w:spacing w:line="360" w:lineRule="auto"/>
        <w:rPr>
          <w:rFonts w:ascii="Aptos" w:eastAsia="Aptos" w:hAnsi="Aptos" w:cs="Aptos"/>
          <w:b/>
          <w:bCs/>
        </w:rPr>
      </w:pPr>
    </w:p>
    <w:p w14:paraId="77FA1753" w14:textId="77777777" w:rsidR="0040144E" w:rsidRDefault="0040144E" w:rsidP="00122C7C">
      <w:pPr>
        <w:spacing w:line="360" w:lineRule="auto"/>
        <w:rPr>
          <w:rFonts w:ascii="Aptos" w:eastAsia="Aptos" w:hAnsi="Aptos" w:cs="Aptos"/>
          <w:b/>
          <w:bCs/>
        </w:rPr>
      </w:pPr>
    </w:p>
    <w:p w14:paraId="37EDA3A3" w14:textId="77777777" w:rsidR="0040144E" w:rsidRDefault="0040144E" w:rsidP="00122C7C">
      <w:pPr>
        <w:spacing w:line="360" w:lineRule="auto"/>
        <w:rPr>
          <w:rFonts w:ascii="Aptos" w:eastAsia="Aptos" w:hAnsi="Aptos" w:cs="Aptos"/>
          <w:b/>
          <w:bCs/>
        </w:rPr>
      </w:pPr>
    </w:p>
    <w:p w14:paraId="36AF59FA" w14:textId="0E868C1C" w:rsidR="0040144E" w:rsidRPr="00D106BE" w:rsidRDefault="0040144E" w:rsidP="00122C7C">
      <w:pPr>
        <w:spacing w:line="360" w:lineRule="auto"/>
        <w:rPr>
          <w:rFonts w:ascii="Aptos" w:eastAsia="Aptos" w:hAnsi="Aptos" w:cs="Aptos"/>
        </w:rPr>
      </w:pPr>
      <w:r w:rsidRPr="00D106BE">
        <w:rPr>
          <w:rFonts w:ascii="Aptos" w:eastAsia="Aptos" w:hAnsi="Aptos" w:cs="Aptos"/>
        </w:rPr>
        <w:t>Title page</w:t>
      </w:r>
      <w:r w:rsidR="00FB6AE6" w:rsidRPr="00D106BE">
        <w:rPr>
          <w:rFonts w:ascii="Aptos" w:eastAsia="Aptos" w:hAnsi="Aptos" w:cs="Aptos"/>
        </w:rPr>
        <w:tab/>
      </w:r>
      <w:r w:rsidR="00FB6AE6" w:rsidRPr="00D106BE">
        <w:rPr>
          <w:rFonts w:ascii="Aptos" w:eastAsia="Aptos" w:hAnsi="Aptos" w:cs="Aptos"/>
        </w:rPr>
        <w:tab/>
        <w:t>…………….………………………………………………………………….</w:t>
      </w:r>
      <w:r w:rsidR="00FB6AE6" w:rsidRPr="00D106BE">
        <w:rPr>
          <w:rFonts w:ascii="Aptos" w:eastAsia="Aptos" w:hAnsi="Aptos" w:cs="Aptos"/>
        </w:rPr>
        <w:tab/>
        <w:t>1</w:t>
      </w:r>
    </w:p>
    <w:p w14:paraId="7ED69C00" w14:textId="17BA118F" w:rsidR="0040144E" w:rsidRPr="00D106BE" w:rsidRDefault="0040144E" w:rsidP="00122C7C">
      <w:pPr>
        <w:spacing w:line="360" w:lineRule="auto"/>
        <w:rPr>
          <w:rFonts w:ascii="Aptos" w:eastAsia="Aptos" w:hAnsi="Aptos" w:cs="Aptos"/>
        </w:rPr>
      </w:pPr>
      <w:r w:rsidRPr="00D106BE">
        <w:rPr>
          <w:rFonts w:ascii="Aptos" w:eastAsia="Aptos" w:hAnsi="Aptos" w:cs="Aptos"/>
        </w:rPr>
        <w:t>Contents</w:t>
      </w:r>
      <w:r w:rsidR="00FB6AE6" w:rsidRPr="00D106BE">
        <w:rPr>
          <w:rFonts w:ascii="Aptos" w:eastAsia="Aptos" w:hAnsi="Aptos" w:cs="Aptos"/>
        </w:rPr>
        <w:tab/>
      </w:r>
      <w:r w:rsidR="00FB6AE6" w:rsidRPr="00D106BE">
        <w:rPr>
          <w:rFonts w:ascii="Aptos" w:eastAsia="Aptos" w:hAnsi="Aptos" w:cs="Aptos"/>
        </w:rPr>
        <w:tab/>
        <w:t>.……………………………………………………………………………….</w:t>
      </w:r>
      <w:r w:rsidR="00FB6AE6" w:rsidRPr="00D106BE">
        <w:rPr>
          <w:rFonts w:ascii="Aptos" w:eastAsia="Aptos" w:hAnsi="Aptos" w:cs="Aptos"/>
        </w:rPr>
        <w:tab/>
        <w:t>2</w:t>
      </w:r>
    </w:p>
    <w:p w14:paraId="7ED45B90" w14:textId="1F0CDD52" w:rsidR="0040144E" w:rsidRPr="00D106BE" w:rsidRDefault="0040144E" w:rsidP="00122C7C">
      <w:pPr>
        <w:spacing w:line="360" w:lineRule="auto"/>
        <w:rPr>
          <w:rFonts w:ascii="Aptos" w:eastAsia="Aptos" w:hAnsi="Aptos" w:cs="Aptos"/>
        </w:rPr>
      </w:pPr>
      <w:r w:rsidRPr="00D106BE">
        <w:rPr>
          <w:rFonts w:ascii="Aptos" w:eastAsia="Aptos" w:hAnsi="Aptos" w:cs="Aptos"/>
        </w:rPr>
        <w:t>Declaration</w:t>
      </w:r>
      <w:r w:rsidR="00FB6AE6" w:rsidRPr="00D106BE">
        <w:rPr>
          <w:rFonts w:ascii="Aptos" w:eastAsia="Aptos" w:hAnsi="Aptos" w:cs="Aptos"/>
        </w:rPr>
        <w:tab/>
      </w:r>
      <w:r w:rsidR="00FB6AE6" w:rsidRPr="00D106BE">
        <w:rPr>
          <w:rFonts w:ascii="Aptos" w:eastAsia="Aptos" w:hAnsi="Aptos" w:cs="Aptos"/>
        </w:rPr>
        <w:tab/>
        <w:t>.……………………………………………………………………………….</w:t>
      </w:r>
      <w:r w:rsidR="00FB6AE6" w:rsidRPr="00D106BE">
        <w:rPr>
          <w:rFonts w:ascii="Aptos" w:eastAsia="Aptos" w:hAnsi="Aptos" w:cs="Aptos"/>
        </w:rPr>
        <w:tab/>
      </w:r>
      <w:r w:rsidR="00B53622">
        <w:rPr>
          <w:rFonts w:ascii="Aptos" w:eastAsia="Aptos" w:hAnsi="Aptos" w:cs="Aptos"/>
        </w:rPr>
        <w:t>3</w:t>
      </w:r>
    </w:p>
    <w:p w14:paraId="146F3989" w14:textId="6ECCEFE9" w:rsidR="0040144E" w:rsidRPr="00FB6AE6" w:rsidRDefault="0040144E" w:rsidP="00122C7C">
      <w:pPr>
        <w:spacing w:line="360" w:lineRule="auto"/>
        <w:rPr>
          <w:rFonts w:ascii="Aptos" w:eastAsia="Aptos" w:hAnsi="Aptos" w:cs="Aptos"/>
        </w:rPr>
      </w:pPr>
      <w:r w:rsidRPr="00D106BE">
        <w:rPr>
          <w:rFonts w:ascii="Aptos" w:eastAsia="Aptos" w:hAnsi="Aptos" w:cs="Aptos"/>
        </w:rPr>
        <w:t>Abstract</w:t>
      </w:r>
      <w:r w:rsidR="00FB6AE6" w:rsidRPr="00D106BE">
        <w:rPr>
          <w:rFonts w:ascii="Aptos" w:eastAsia="Aptos" w:hAnsi="Aptos" w:cs="Aptos"/>
        </w:rPr>
        <w:tab/>
      </w:r>
      <w:r w:rsidR="00FB6AE6" w:rsidRPr="00D106BE">
        <w:rPr>
          <w:rFonts w:ascii="Aptos" w:eastAsia="Aptos" w:hAnsi="Aptos" w:cs="Aptos"/>
        </w:rPr>
        <w:tab/>
      </w:r>
      <w:r w:rsidR="00FB6AE6" w:rsidRPr="00FB6AE6">
        <w:rPr>
          <w:rFonts w:ascii="Aptos" w:eastAsia="Aptos" w:hAnsi="Aptos" w:cs="Aptos"/>
        </w:rPr>
        <w:t>.……………………………………………………………………………….</w:t>
      </w:r>
      <w:r w:rsidR="00FB6AE6" w:rsidRPr="00FB6AE6">
        <w:rPr>
          <w:rFonts w:ascii="Aptos" w:eastAsia="Aptos" w:hAnsi="Aptos" w:cs="Aptos"/>
        </w:rPr>
        <w:tab/>
      </w:r>
      <w:r w:rsidR="00B53622">
        <w:rPr>
          <w:rFonts w:ascii="Aptos" w:eastAsia="Aptos" w:hAnsi="Aptos" w:cs="Aptos"/>
        </w:rPr>
        <w:t>4</w:t>
      </w:r>
    </w:p>
    <w:p w14:paraId="7ABDFF60" w14:textId="226D1CBE" w:rsidR="0040144E" w:rsidRPr="00FB6AE6" w:rsidRDefault="0040144E" w:rsidP="00122C7C">
      <w:pPr>
        <w:spacing w:line="360" w:lineRule="auto"/>
        <w:rPr>
          <w:rFonts w:ascii="Aptos" w:eastAsia="Aptos" w:hAnsi="Aptos" w:cs="Aptos"/>
        </w:rPr>
      </w:pPr>
      <w:r w:rsidRPr="00FB6AE6">
        <w:rPr>
          <w:rFonts w:ascii="Aptos" w:eastAsia="Aptos" w:hAnsi="Aptos" w:cs="Aptos"/>
        </w:rPr>
        <w:t>Introduction</w:t>
      </w:r>
      <w:r w:rsidR="00FB6AE6">
        <w:rPr>
          <w:rFonts w:ascii="Aptos" w:eastAsia="Aptos" w:hAnsi="Aptos" w:cs="Aptos"/>
        </w:rPr>
        <w:tab/>
      </w:r>
      <w:r w:rsidR="00FB6AE6">
        <w:rPr>
          <w:rFonts w:ascii="Aptos" w:eastAsia="Aptos" w:hAnsi="Aptos" w:cs="Aptos"/>
        </w:rPr>
        <w:tab/>
      </w:r>
      <w:r w:rsidR="00FB6AE6" w:rsidRPr="00FB6AE6">
        <w:rPr>
          <w:rFonts w:ascii="Aptos" w:eastAsia="Aptos" w:hAnsi="Aptos" w:cs="Aptos"/>
        </w:rPr>
        <w:t>.……………………………………………………………………………….</w:t>
      </w:r>
      <w:r w:rsidR="00FB6AE6" w:rsidRPr="00FB6AE6">
        <w:rPr>
          <w:rFonts w:ascii="Aptos" w:eastAsia="Aptos" w:hAnsi="Aptos" w:cs="Aptos"/>
        </w:rPr>
        <w:tab/>
      </w:r>
      <w:r w:rsidR="00B53622">
        <w:rPr>
          <w:rFonts w:ascii="Aptos" w:eastAsia="Aptos" w:hAnsi="Aptos" w:cs="Aptos"/>
        </w:rPr>
        <w:t>5</w:t>
      </w:r>
    </w:p>
    <w:p w14:paraId="140F0DE1" w14:textId="251D1EFE" w:rsidR="0040144E" w:rsidRPr="00FB6AE6" w:rsidRDefault="0040144E" w:rsidP="00122C7C">
      <w:pPr>
        <w:spacing w:line="360" w:lineRule="auto"/>
        <w:rPr>
          <w:rFonts w:ascii="Aptos" w:eastAsia="Aptos" w:hAnsi="Aptos" w:cs="Aptos"/>
        </w:rPr>
      </w:pPr>
      <w:r w:rsidRPr="00FB6AE6">
        <w:rPr>
          <w:rFonts w:ascii="Aptos" w:eastAsia="Aptos" w:hAnsi="Aptos" w:cs="Aptos"/>
        </w:rPr>
        <w:t xml:space="preserve">Literature Review </w:t>
      </w:r>
      <w:r w:rsidR="00FB6AE6">
        <w:rPr>
          <w:rFonts w:ascii="Aptos" w:eastAsia="Aptos" w:hAnsi="Aptos" w:cs="Aptos"/>
        </w:rPr>
        <w:tab/>
      </w:r>
      <w:r w:rsidR="00FB6AE6" w:rsidRPr="00FB6AE6">
        <w:rPr>
          <w:rFonts w:ascii="Aptos" w:eastAsia="Aptos" w:hAnsi="Aptos" w:cs="Aptos"/>
        </w:rPr>
        <w:t>.……………………………………………………………………………….</w:t>
      </w:r>
      <w:r w:rsidR="00FB6AE6" w:rsidRPr="00FB6AE6">
        <w:rPr>
          <w:rFonts w:ascii="Aptos" w:eastAsia="Aptos" w:hAnsi="Aptos" w:cs="Aptos"/>
        </w:rPr>
        <w:tab/>
      </w:r>
      <w:r w:rsidR="00B53622">
        <w:rPr>
          <w:rFonts w:ascii="Aptos" w:eastAsia="Aptos" w:hAnsi="Aptos" w:cs="Aptos"/>
        </w:rPr>
        <w:t>1</w:t>
      </w:r>
      <w:r w:rsidR="00C302EB">
        <w:rPr>
          <w:rFonts w:ascii="Aptos" w:eastAsia="Aptos" w:hAnsi="Aptos" w:cs="Aptos"/>
        </w:rPr>
        <w:t>4</w:t>
      </w:r>
    </w:p>
    <w:p w14:paraId="19739909" w14:textId="0BDC6D6C" w:rsidR="0040144E" w:rsidRPr="00FB6AE6" w:rsidRDefault="0040144E" w:rsidP="00122C7C">
      <w:pPr>
        <w:spacing w:line="360" w:lineRule="auto"/>
        <w:rPr>
          <w:rFonts w:ascii="Aptos" w:eastAsia="Aptos" w:hAnsi="Aptos" w:cs="Aptos"/>
        </w:rPr>
      </w:pPr>
      <w:r w:rsidRPr="00FB6AE6">
        <w:rPr>
          <w:rFonts w:ascii="Aptos" w:eastAsia="Aptos" w:hAnsi="Aptos" w:cs="Aptos"/>
        </w:rPr>
        <w:t>Methodology</w:t>
      </w:r>
      <w:r w:rsidR="00FB6AE6">
        <w:rPr>
          <w:rFonts w:ascii="Aptos" w:eastAsia="Aptos" w:hAnsi="Aptos" w:cs="Aptos"/>
        </w:rPr>
        <w:tab/>
      </w:r>
      <w:r w:rsidR="00FB6AE6">
        <w:rPr>
          <w:rFonts w:ascii="Aptos" w:eastAsia="Aptos" w:hAnsi="Aptos" w:cs="Aptos"/>
        </w:rPr>
        <w:tab/>
      </w:r>
      <w:r w:rsidR="00FB6AE6" w:rsidRPr="00FB6AE6">
        <w:rPr>
          <w:rFonts w:ascii="Aptos" w:eastAsia="Aptos" w:hAnsi="Aptos" w:cs="Aptos"/>
        </w:rPr>
        <w:t>.……………………………………………………………………………….</w:t>
      </w:r>
      <w:r w:rsidR="00FB6AE6" w:rsidRPr="00FB6AE6">
        <w:rPr>
          <w:rFonts w:ascii="Aptos" w:eastAsia="Aptos" w:hAnsi="Aptos" w:cs="Aptos"/>
        </w:rPr>
        <w:tab/>
      </w:r>
      <w:r w:rsidR="00B53622">
        <w:rPr>
          <w:rFonts w:ascii="Aptos" w:eastAsia="Aptos" w:hAnsi="Aptos" w:cs="Aptos"/>
        </w:rPr>
        <w:t>2</w:t>
      </w:r>
      <w:r w:rsidR="00C302EB">
        <w:rPr>
          <w:rFonts w:ascii="Aptos" w:eastAsia="Aptos" w:hAnsi="Aptos" w:cs="Aptos"/>
        </w:rPr>
        <w:t>6</w:t>
      </w:r>
    </w:p>
    <w:p w14:paraId="76060134" w14:textId="20C4E3E0" w:rsidR="0040144E" w:rsidRPr="00FB6AE6" w:rsidRDefault="0040144E" w:rsidP="00122C7C">
      <w:pPr>
        <w:spacing w:line="360" w:lineRule="auto"/>
        <w:rPr>
          <w:rFonts w:ascii="Aptos" w:eastAsia="Aptos" w:hAnsi="Aptos" w:cs="Aptos"/>
        </w:rPr>
      </w:pPr>
      <w:r w:rsidRPr="00FB6AE6">
        <w:rPr>
          <w:rFonts w:ascii="Aptos" w:eastAsia="Aptos" w:hAnsi="Aptos" w:cs="Aptos"/>
        </w:rPr>
        <w:t>Results</w:t>
      </w:r>
      <w:r w:rsidR="00FB6AE6">
        <w:rPr>
          <w:rFonts w:ascii="Aptos" w:eastAsia="Aptos" w:hAnsi="Aptos" w:cs="Aptos"/>
        </w:rPr>
        <w:tab/>
      </w:r>
      <w:r w:rsidR="00FB6AE6">
        <w:rPr>
          <w:rFonts w:ascii="Aptos" w:eastAsia="Aptos" w:hAnsi="Aptos" w:cs="Aptos"/>
        </w:rPr>
        <w:tab/>
      </w:r>
      <w:r w:rsidR="00FB6AE6" w:rsidRPr="00D106BE">
        <w:rPr>
          <w:rFonts w:ascii="Aptos" w:eastAsia="Aptos" w:hAnsi="Aptos" w:cs="Aptos"/>
        </w:rPr>
        <w:t>.……………………………………………………………………………….</w:t>
      </w:r>
      <w:r w:rsidR="00FB6AE6" w:rsidRPr="00D106BE">
        <w:rPr>
          <w:rFonts w:ascii="Aptos" w:eastAsia="Aptos" w:hAnsi="Aptos" w:cs="Aptos"/>
        </w:rPr>
        <w:tab/>
      </w:r>
      <w:r w:rsidR="00B53622">
        <w:rPr>
          <w:rFonts w:ascii="Aptos" w:eastAsia="Aptos" w:hAnsi="Aptos" w:cs="Aptos"/>
        </w:rPr>
        <w:t>4</w:t>
      </w:r>
      <w:r w:rsidR="00C302EB">
        <w:rPr>
          <w:rFonts w:ascii="Aptos" w:eastAsia="Aptos" w:hAnsi="Aptos" w:cs="Aptos"/>
        </w:rPr>
        <w:t>2</w:t>
      </w:r>
    </w:p>
    <w:p w14:paraId="01DDC575" w14:textId="12A0ADEA" w:rsidR="0040144E" w:rsidRPr="00FB6AE6" w:rsidRDefault="0040144E" w:rsidP="00122C7C">
      <w:pPr>
        <w:spacing w:line="360" w:lineRule="auto"/>
        <w:rPr>
          <w:rFonts w:ascii="Aptos" w:eastAsia="Aptos" w:hAnsi="Aptos" w:cs="Aptos"/>
        </w:rPr>
      </w:pPr>
      <w:r w:rsidRPr="00FB6AE6">
        <w:rPr>
          <w:rFonts w:ascii="Aptos" w:eastAsia="Aptos" w:hAnsi="Aptos" w:cs="Aptos"/>
        </w:rPr>
        <w:t>Discussion</w:t>
      </w:r>
      <w:r w:rsidR="00FB6AE6">
        <w:rPr>
          <w:rFonts w:ascii="Aptos" w:eastAsia="Aptos" w:hAnsi="Aptos" w:cs="Aptos"/>
        </w:rPr>
        <w:tab/>
      </w:r>
      <w:r w:rsidR="00FB6AE6">
        <w:rPr>
          <w:rFonts w:ascii="Aptos" w:eastAsia="Aptos" w:hAnsi="Aptos" w:cs="Aptos"/>
        </w:rPr>
        <w:tab/>
      </w:r>
      <w:r w:rsidR="00FB6AE6" w:rsidRPr="00D106BE">
        <w:rPr>
          <w:rFonts w:ascii="Aptos" w:eastAsia="Aptos" w:hAnsi="Aptos" w:cs="Aptos"/>
        </w:rPr>
        <w:t>.……………………………………………………………………………….</w:t>
      </w:r>
      <w:r w:rsidR="00FB6AE6" w:rsidRPr="00D106BE">
        <w:rPr>
          <w:rFonts w:ascii="Aptos" w:eastAsia="Aptos" w:hAnsi="Aptos" w:cs="Aptos"/>
        </w:rPr>
        <w:tab/>
      </w:r>
      <w:r w:rsidR="00C302EB">
        <w:rPr>
          <w:rFonts w:ascii="Aptos" w:eastAsia="Aptos" w:hAnsi="Aptos" w:cs="Aptos"/>
        </w:rPr>
        <w:t>50</w:t>
      </w:r>
    </w:p>
    <w:p w14:paraId="61D236DE" w14:textId="02187F4E" w:rsidR="00560291" w:rsidRDefault="0040144E" w:rsidP="00122C7C">
      <w:pPr>
        <w:spacing w:line="360" w:lineRule="auto"/>
        <w:rPr>
          <w:rFonts w:ascii="Aptos" w:eastAsia="Aptos" w:hAnsi="Aptos" w:cs="Aptos"/>
        </w:rPr>
      </w:pPr>
      <w:r w:rsidRPr="00FB6AE6">
        <w:rPr>
          <w:rFonts w:ascii="Aptos" w:eastAsia="Aptos" w:hAnsi="Aptos" w:cs="Aptos"/>
        </w:rPr>
        <w:t>Conclusion</w:t>
      </w:r>
      <w:r w:rsidR="00FB6AE6">
        <w:rPr>
          <w:rFonts w:ascii="Aptos" w:eastAsia="Aptos" w:hAnsi="Aptos" w:cs="Aptos"/>
        </w:rPr>
        <w:tab/>
      </w:r>
      <w:r w:rsidR="00FB6AE6">
        <w:rPr>
          <w:rFonts w:ascii="Aptos" w:eastAsia="Aptos" w:hAnsi="Aptos" w:cs="Aptos"/>
        </w:rPr>
        <w:tab/>
      </w:r>
      <w:r w:rsidR="00FB6AE6" w:rsidRPr="00D106BE">
        <w:rPr>
          <w:rFonts w:ascii="Aptos" w:eastAsia="Aptos" w:hAnsi="Aptos" w:cs="Aptos"/>
        </w:rPr>
        <w:t>.…</w:t>
      </w:r>
      <w:r w:rsidR="00560291" w:rsidRPr="00D106BE">
        <w:rPr>
          <w:rFonts w:ascii="Aptos" w:eastAsia="Aptos" w:hAnsi="Aptos" w:cs="Aptos"/>
        </w:rPr>
        <w:t>.</w:t>
      </w:r>
      <w:r w:rsidR="00FB6AE6" w:rsidRPr="00D106BE">
        <w:rPr>
          <w:rFonts w:ascii="Aptos" w:eastAsia="Aptos" w:hAnsi="Aptos" w:cs="Aptos"/>
        </w:rPr>
        <w:t>…………………………………………………………………………….</w:t>
      </w:r>
      <w:r w:rsidR="00FB6AE6" w:rsidRPr="00D106BE">
        <w:rPr>
          <w:rFonts w:ascii="Aptos" w:eastAsia="Aptos" w:hAnsi="Aptos" w:cs="Aptos"/>
        </w:rPr>
        <w:tab/>
      </w:r>
      <w:r w:rsidR="00C302EB">
        <w:rPr>
          <w:rFonts w:ascii="Aptos" w:eastAsia="Aptos" w:hAnsi="Aptos" w:cs="Aptos"/>
        </w:rPr>
        <w:t>57</w:t>
      </w:r>
    </w:p>
    <w:p w14:paraId="1D615788" w14:textId="53AA0C36" w:rsidR="00560291" w:rsidRDefault="00560291" w:rsidP="00122C7C">
      <w:pPr>
        <w:spacing w:line="360" w:lineRule="auto"/>
        <w:rPr>
          <w:rFonts w:ascii="Aptos" w:eastAsia="Aptos" w:hAnsi="Aptos" w:cs="Aptos"/>
        </w:rPr>
      </w:pPr>
      <w:r>
        <w:rPr>
          <w:rFonts w:ascii="Aptos" w:eastAsia="Aptos" w:hAnsi="Aptos" w:cs="Aptos"/>
        </w:rPr>
        <w:t>Bibliography</w:t>
      </w:r>
      <w:r>
        <w:rPr>
          <w:rFonts w:ascii="Aptos" w:eastAsia="Aptos" w:hAnsi="Aptos" w:cs="Aptos"/>
        </w:rPr>
        <w:tab/>
      </w:r>
      <w:r>
        <w:rPr>
          <w:rFonts w:ascii="Aptos" w:eastAsia="Aptos" w:hAnsi="Aptos" w:cs="Aptos"/>
        </w:rPr>
        <w:tab/>
      </w:r>
      <w:r w:rsidRPr="00D106BE">
        <w:rPr>
          <w:rFonts w:ascii="Aptos" w:eastAsia="Aptos" w:hAnsi="Aptos" w:cs="Aptos"/>
        </w:rPr>
        <w:t>.….…………………………………………………………………………….</w:t>
      </w:r>
      <w:r w:rsidRPr="00D106BE">
        <w:rPr>
          <w:rFonts w:ascii="Aptos" w:eastAsia="Aptos" w:hAnsi="Aptos" w:cs="Aptos"/>
        </w:rPr>
        <w:tab/>
      </w:r>
      <w:r w:rsidR="00C302EB">
        <w:rPr>
          <w:rFonts w:ascii="Aptos" w:eastAsia="Aptos" w:hAnsi="Aptos" w:cs="Aptos"/>
        </w:rPr>
        <w:t>59</w:t>
      </w:r>
    </w:p>
    <w:p w14:paraId="44408C71" w14:textId="5F0931D4" w:rsidR="00B53622" w:rsidRDefault="0040144E" w:rsidP="00122C7C">
      <w:pPr>
        <w:spacing w:line="360" w:lineRule="auto"/>
        <w:rPr>
          <w:rFonts w:ascii="Aptos" w:eastAsia="Aptos" w:hAnsi="Aptos" w:cs="Aptos"/>
        </w:rPr>
      </w:pPr>
      <w:r w:rsidRPr="00FB6AE6">
        <w:rPr>
          <w:rFonts w:ascii="Aptos" w:eastAsia="Aptos" w:hAnsi="Aptos" w:cs="Aptos"/>
        </w:rPr>
        <w:br w:type="page"/>
      </w:r>
    </w:p>
    <w:p w14:paraId="02C48121" w14:textId="40185EA9" w:rsidR="00B53622" w:rsidRDefault="00B53622" w:rsidP="00122C7C">
      <w:pPr>
        <w:pBdr>
          <w:bottom w:val="single" w:sz="12" w:space="1" w:color="000000"/>
        </w:pBdr>
        <w:spacing w:line="360" w:lineRule="auto"/>
        <w:jc w:val="center"/>
      </w:pPr>
      <w:r>
        <w:rPr>
          <w:rFonts w:ascii="Aptos" w:eastAsia="Aptos" w:hAnsi="Aptos" w:cs="Aptos"/>
          <w:b/>
          <w:bCs/>
        </w:rPr>
        <w:lastRenderedPageBreak/>
        <w:t xml:space="preserve">Declaration </w:t>
      </w:r>
    </w:p>
    <w:p w14:paraId="4E00F9EE" w14:textId="568BB80C" w:rsidR="00B53622" w:rsidRDefault="00B53622" w:rsidP="00122C7C">
      <w:pPr>
        <w:pBdr>
          <w:bottom w:val="single" w:sz="12" w:space="1" w:color="auto"/>
        </w:pBdr>
        <w:spacing w:line="360" w:lineRule="auto"/>
        <w:rPr>
          <w:rFonts w:ascii="Aptos" w:eastAsia="Aptos" w:hAnsi="Aptos" w:cs="Aptos"/>
          <w:b/>
          <w:bCs/>
        </w:rPr>
      </w:pPr>
      <w:r>
        <w:rPr>
          <w:rFonts w:ascii="Aptos" w:eastAsia="Aptos" w:hAnsi="Aptos" w:cs="Aptos"/>
        </w:rPr>
        <w:br w:type="page"/>
      </w:r>
      <w:r w:rsidRPr="1259BC21">
        <w:rPr>
          <w:rFonts w:ascii="Aptos" w:eastAsia="Aptos" w:hAnsi="Aptos" w:cs="Aptos"/>
          <w:b/>
          <w:bCs/>
        </w:rPr>
        <w:lastRenderedPageBreak/>
        <w:t>Jason Worthy, MA Outdoor Education</w:t>
      </w:r>
      <w:r>
        <w:tab/>
      </w:r>
      <w:r>
        <w:tab/>
      </w:r>
      <w:r>
        <w:tab/>
      </w:r>
      <w:r>
        <w:tab/>
      </w:r>
      <w:r>
        <w:tab/>
      </w:r>
      <w:r>
        <w:tab/>
      </w:r>
      <w:r w:rsidRPr="1259BC21">
        <w:rPr>
          <w:rFonts w:ascii="Aptos" w:eastAsia="Aptos" w:hAnsi="Aptos" w:cs="Aptos"/>
          <w:b/>
          <w:bCs/>
        </w:rPr>
        <w:t>May 2025</w:t>
      </w:r>
    </w:p>
    <w:p w14:paraId="5804DE07" w14:textId="2E204DB4" w:rsidR="00B53622" w:rsidRDefault="00B53622" w:rsidP="00122C7C">
      <w:pPr>
        <w:spacing w:line="360" w:lineRule="auto"/>
        <w:rPr>
          <w:b/>
          <w:bCs/>
        </w:rPr>
      </w:pPr>
      <w:r>
        <w:rPr>
          <w:rFonts w:ascii="Aptos" w:eastAsia="Aptos" w:hAnsi="Aptos" w:cs="Aptos"/>
          <w:b/>
          <w:bCs/>
        </w:rPr>
        <w:t>ABSTRACT</w:t>
      </w:r>
    </w:p>
    <w:p w14:paraId="1F9A69CA" w14:textId="56461286" w:rsidR="00251F2B" w:rsidRDefault="63EAA838" w:rsidP="2357DC9D">
      <w:pPr>
        <w:spacing w:line="360" w:lineRule="auto"/>
      </w:pPr>
      <w:r w:rsidRPr="2357DC9D">
        <w:rPr>
          <w:rFonts w:ascii="Aptos" w:eastAsia="Aptos" w:hAnsi="Aptos" w:cs="Aptos"/>
          <w:b/>
          <w:bCs/>
        </w:rPr>
        <w:t xml:space="preserve">Background: </w:t>
      </w:r>
      <w:r w:rsidRPr="2357DC9D">
        <w:rPr>
          <w:rFonts w:ascii="Aptos" w:eastAsia="Aptos" w:hAnsi="Aptos" w:cs="Aptos"/>
        </w:rPr>
        <w:t>Nature is widely linked to psychological</w:t>
      </w:r>
      <w:r w:rsidR="13DC3B0D" w:rsidRPr="2357DC9D">
        <w:rPr>
          <w:rFonts w:ascii="Aptos" w:eastAsia="Aptos" w:hAnsi="Aptos" w:cs="Aptos"/>
        </w:rPr>
        <w:t xml:space="preserve"> and emotional</w:t>
      </w:r>
      <w:r w:rsidRPr="2357DC9D">
        <w:rPr>
          <w:rFonts w:ascii="Aptos" w:eastAsia="Aptos" w:hAnsi="Aptos" w:cs="Aptos"/>
        </w:rPr>
        <w:t xml:space="preserve"> restoration, yet evidence on dose–response and </w:t>
      </w:r>
      <w:r w:rsidR="51BBEDF3" w:rsidRPr="2357DC9D">
        <w:rPr>
          <w:rFonts w:ascii="Aptos" w:eastAsia="Aptos" w:hAnsi="Aptos" w:cs="Aptos"/>
        </w:rPr>
        <w:t>guidance for working parents is limited</w:t>
      </w:r>
      <w:r w:rsidRPr="2357DC9D">
        <w:rPr>
          <w:rFonts w:ascii="Aptos" w:eastAsia="Aptos" w:hAnsi="Aptos" w:cs="Aptos"/>
        </w:rPr>
        <w:t>. This mixed-methods study assessed pre–post changes in mental health and burnout following self-directed walking in nature and tested whether walking dose (frequency, weekly minutes, duration) predicted change.</w:t>
      </w:r>
    </w:p>
    <w:p w14:paraId="02372EF8" w14:textId="2906DC85" w:rsidR="00251F2B" w:rsidRDefault="63EAA838" w:rsidP="2357DC9D">
      <w:pPr>
        <w:spacing w:line="360" w:lineRule="auto"/>
        <w:rPr>
          <w:rFonts w:ascii="Aptos" w:eastAsia="Aptos" w:hAnsi="Aptos" w:cs="Aptos"/>
        </w:rPr>
      </w:pPr>
      <w:r w:rsidRPr="2357DC9D">
        <w:rPr>
          <w:rFonts w:ascii="Aptos" w:eastAsia="Aptos" w:hAnsi="Aptos" w:cs="Aptos"/>
          <w:b/>
          <w:bCs/>
        </w:rPr>
        <w:t>Methods:</w:t>
      </w:r>
      <w:r w:rsidRPr="2357DC9D">
        <w:rPr>
          <w:rFonts w:ascii="Aptos" w:eastAsia="Aptos" w:hAnsi="Aptos" w:cs="Aptos"/>
        </w:rPr>
        <w:t xml:space="preserve"> Thirty-one full-time working parents (M_age = 45.6 years) completed validated measures at baseline and ~4 months later: BDI-II (depression), SWEMWBS (mental wellbeing), MBI subscales (emotional exhaustion, depersonalisation, personal accomplishment), and ONS </w:t>
      </w:r>
      <w:r w:rsidR="3C6F52DA" w:rsidRPr="2357DC9D">
        <w:rPr>
          <w:rFonts w:ascii="Aptos" w:eastAsia="Aptos" w:hAnsi="Aptos" w:cs="Aptos"/>
        </w:rPr>
        <w:t>(</w:t>
      </w:r>
      <w:r w:rsidRPr="2357DC9D">
        <w:rPr>
          <w:rFonts w:ascii="Aptos" w:eastAsia="Aptos" w:hAnsi="Aptos" w:cs="Aptos"/>
        </w:rPr>
        <w:t>personal wellbeing</w:t>
      </w:r>
      <w:r w:rsidR="31DD14F1" w:rsidRPr="2357DC9D">
        <w:rPr>
          <w:rFonts w:ascii="Aptos" w:eastAsia="Aptos" w:hAnsi="Aptos" w:cs="Aptos"/>
        </w:rPr>
        <w:t xml:space="preserve">). </w:t>
      </w:r>
      <w:r w:rsidRPr="2357DC9D">
        <w:rPr>
          <w:rFonts w:ascii="Aptos" w:eastAsia="Aptos" w:hAnsi="Aptos" w:cs="Aptos"/>
        </w:rPr>
        <w:t>Walking exposure over the interval was summarised as walks/week, minutes/week, and average minutes/walk (positively skewed). Assumption checks were applied; Wilcoxon tests followed for non-normal difference scores. Three semi-structured interviews provided qualitative context.</w:t>
      </w:r>
    </w:p>
    <w:p w14:paraId="279AF33B" w14:textId="78D8AC66" w:rsidR="00251F2B" w:rsidRDefault="63EAA838" w:rsidP="2357DC9D">
      <w:pPr>
        <w:spacing w:line="360" w:lineRule="auto"/>
        <w:rPr>
          <w:rFonts w:ascii="Aptos" w:eastAsia="Aptos" w:hAnsi="Aptos" w:cs="Aptos"/>
        </w:rPr>
      </w:pPr>
      <w:r w:rsidRPr="2357DC9D">
        <w:rPr>
          <w:rFonts w:ascii="Aptos" w:eastAsia="Aptos" w:hAnsi="Aptos" w:cs="Aptos"/>
          <w:b/>
          <w:bCs/>
        </w:rPr>
        <w:t>Results:</w:t>
      </w:r>
      <w:r w:rsidRPr="2357DC9D">
        <w:rPr>
          <w:rFonts w:ascii="Aptos" w:eastAsia="Aptos" w:hAnsi="Aptos" w:cs="Aptos"/>
        </w:rPr>
        <w:t xml:space="preserve"> Participants averaged ~2.0 walks/week (M = 1.99) and ~86.6 minutes/week (M = 86.6). Depressive symptoms decreased substantially (t(30) = 6.09, p &lt; .001; large effect) and emotional exhaustion decreased moderately (t(30) = 3.83, p &lt; .001). SWEMWBS improved in Wilcoxon testing (Z = 2.99, p = .003), while personal accomplishment declined (t(30) = 2.89, p = .007; Wilcoxon p = .011). ONS items changed little on average; “life feeling worthwhile” improved by Wilcoxon (p = .030). After Holm adjustment, BDI-II, MBI-EE and MBI-PA remained significant. No linear dose–response emerged for frequency, minutes/week, or duration with any outcome. Interviews highlighted context quality, </w:t>
      </w:r>
      <w:r w:rsidR="2374F8C8" w:rsidRPr="2357DC9D">
        <w:rPr>
          <w:rFonts w:ascii="Aptos" w:eastAsia="Aptos" w:hAnsi="Aptos" w:cs="Aptos"/>
        </w:rPr>
        <w:t xml:space="preserve">importance of </w:t>
      </w:r>
      <w:r w:rsidRPr="2357DC9D">
        <w:rPr>
          <w:rFonts w:ascii="Aptos" w:eastAsia="Aptos" w:hAnsi="Aptos" w:cs="Aptos"/>
        </w:rPr>
        <w:t xml:space="preserve">device detachment, and feasibility as </w:t>
      </w:r>
      <w:r w:rsidR="6B70E16C" w:rsidRPr="2357DC9D">
        <w:rPr>
          <w:rFonts w:ascii="Aptos" w:eastAsia="Aptos" w:hAnsi="Aptos" w:cs="Aptos"/>
        </w:rPr>
        <w:t>key drivers for guidance.</w:t>
      </w:r>
    </w:p>
    <w:p w14:paraId="0A4B9D56" w14:textId="6635AD4C" w:rsidR="00251F2B" w:rsidRDefault="5B34F96D" w:rsidP="2357DC9D">
      <w:pPr>
        <w:spacing w:line="360" w:lineRule="auto"/>
        <w:rPr>
          <w:rFonts w:ascii="Aptos" w:eastAsia="Aptos" w:hAnsi="Aptos" w:cs="Aptos"/>
        </w:rPr>
      </w:pPr>
      <w:r w:rsidRPr="2357DC9D">
        <w:rPr>
          <w:rFonts w:ascii="Aptos" w:eastAsia="Aptos" w:hAnsi="Aptos" w:cs="Aptos"/>
          <w:b/>
          <w:bCs/>
        </w:rPr>
        <w:t>Conclusion:</w:t>
      </w:r>
      <w:r w:rsidRPr="2357DC9D">
        <w:rPr>
          <w:rFonts w:ascii="Aptos" w:eastAsia="Aptos" w:hAnsi="Aptos" w:cs="Aptos"/>
        </w:rPr>
        <w:t xml:space="preserve"> In the lives of </w:t>
      </w:r>
      <w:r w:rsidR="267DA53E" w:rsidRPr="2357DC9D">
        <w:rPr>
          <w:rFonts w:ascii="Aptos" w:eastAsia="Aptos" w:hAnsi="Aptos" w:cs="Aptos"/>
        </w:rPr>
        <w:t xml:space="preserve">busy </w:t>
      </w:r>
      <w:r w:rsidRPr="2357DC9D">
        <w:rPr>
          <w:rFonts w:ascii="Aptos" w:eastAsia="Aptos" w:hAnsi="Aptos" w:cs="Aptos"/>
        </w:rPr>
        <w:t>working parents, modest, routine contact with nearby nature coincided with meaningful improvements in mood and reduced exhaustion, without evidence that “more minutes” were proportionately better within typical ranges.</w:t>
      </w:r>
      <w:r w:rsidR="15A0CC48" w:rsidRPr="2357DC9D">
        <w:rPr>
          <w:rFonts w:ascii="Aptos" w:eastAsia="Aptos" w:hAnsi="Aptos" w:cs="Aptos"/>
        </w:rPr>
        <w:t xml:space="preserve"> Guidance </w:t>
      </w:r>
      <w:r w:rsidRPr="2357DC9D">
        <w:rPr>
          <w:rFonts w:ascii="Aptos" w:eastAsia="Aptos" w:hAnsi="Aptos" w:cs="Aptos"/>
        </w:rPr>
        <w:t xml:space="preserve">cues may be needed to </w:t>
      </w:r>
      <w:r w:rsidR="2CD47A2A" w:rsidRPr="2357DC9D">
        <w:rPr>
          <w:rFonts w:ascii="Aptos" w:eastAsia="Aptos" w:hAnsi="Aptos" w:cs="Aptos"/>
        </w:rPr>
        <w:t>support feelings of</w:t>
      </w:r>
      <w:r w:rsidRPr="2357DC9D">
        <w:rPr>
          <w:rFonts w:ascii="Aptos" w:eastAsia="Aptos" w:hAnsi="Aptos" w:cs="Aptos"/>
        </w:rPr>
        <w:t xml:space="preserve"> personal accomplishment. Future controlled studies should model non-linear dose–response and test combined </w:t>
      </w:r>
      <w:r w:rsidR="638A1354" w:rsidRPr="2357DC9D">
        <w:rPr>
          <w:rFonts w:ascii="Aptos" w:eastAsia="Aptos" w:hAnsi="Aptos" w:cs="Aptos"/>
        </w:rPr>
        <w:t>self-development or guided interventions.</w:t>
      </w:r>
    </w:p>
    <w:p w14:paraId="4999F372" w14:textId="1AD42F02" w:rsidR="00251F2B" w:rsidRDefault="00251F2B" w:rsidP="2357DC9D">
      <w:pPr>
        <w:spacing w:line="360" w:lineRule="auto"/>
        <w:rPr>
          <w:rFonts w:ascii="Aptos" w:eastAsia="Aptos" w:hAnsi="Aptos" w:cs="Aptos"/>
        </w:rPr>
      </w:pPr>
    </w:p>
    <w:p w14:paraId="3962C9C8" w14:textId="29C7F002" w:rsidR="00251F2B" w:rsidRDefault="00251F2B" w:rsidP="2357DC9D">
      <w:pPr>
        <w:spacing w:line="360" w:lineRule="auto"/>
        <w:rPr>
          <w:b/>
          <w:bCs/>
        </w:rPr>
      </w:pPr>
    </w:p>
    <w:p w14:paraId="212E7C23" w14:textId="13548BE0" w:rsidR="00251F2B" w:rsidRPr="00C302EB" w:rsidRDefault="00251F2B" w:rsidP="00C302EB">
      <w:pPr>
        <w:spacing w:line="360" w:lineRule="auto"/>
      </w:pPr>
      <w:r>
        <w:rPr>
          <w:b/>
          <w:bCs/>
        </w:rPr>
        <w:t>INTRODUCTION</w:t>
      </w:r>
    </w:p>
    <w:p w14:paraId="0F5D101A" w14:textId="77777777" w:rsidR="00251F2B" w:rsidRPr="00703179" w:rsidRDefault="00251F2B" w:rsidP="00122C7C">
      <w:pPr>
        <w:spacing w:line="360" w:lineRule="auto"/>
        <w:rPr>
          <w:b/>
          <w:bCs/>
        </w:rPr>
      </w:pPr>
      <w:r w:rsidRPr="00703179">
        <w:rPr>
          <w:b/>
          <w:bCs/>
        </w:rPr>
        <w:t>Background &amp; Context</w:t>
      </w:r>
    </w:p>
    <w:p w14:paraId="22A3888E" w14:textId="4D96A58F" w:rsidR="00251F2B" w:rsidRPr="00703179" w:rsidRDefault="00251F2B" w:rsidP="00122C7C">
      <w:pPr>
        <w:spacing w:line="360" w:lineRule="auto"/>
      </w:pPr>
      <w:r>
        <w:t xml:space="preserve">Burnout </w:t>
      </w:r>
      <w:r w:rsidR="32A9F072">
        <w:t>an</w:t>
      </w:r>
    </w:p>
    <w:p w14:paraId="003F7091" w14:textId="285674B1" w:rsidR="00251F2B" w:rsidRPr="00703179" w:rsidRDefault="32A9F072" w:rsidP="00122C7C">
      <w:pPr>
        <w:spacing w:line="360" w:lineRule="auto"/>
      </w:pPr>
      <w:r>
        <w:t>d</w:t>
      </w:r>
      <w:r w:rsidR="00251F2B">
        <w:t xml:space="preserve"> mental wellbeing are </w:t>
      </w:r>
      <w:r w:rsidR="59D0F6C7">
        <w:t>gaining widespread media attention and are now recognised as major public health conce</w:t>
      </w:r>
      <w:r w:rsidR="4B35B4DE">
        <w:t xml:space="preserve">rns in modern society.  For full time working parents, who are navigating the demands of both professional and family life, this is especially important </w:t>
      </w:r>
      <w:r w:rsidR="00D106BE">
        <w:t>(Maslach &amp; Leiter, 2016; Ren et al., 2024; Amstad et al., 2011).</w:t>
      </w:r>
      <w:r w:rsidR="00963902">
        <w:t xml:space="preserve">  </w:t>
      </w:r>
      <w:r w:rsidR="176A9583">
        <w:t>Working parents f</w:t>
      </w:r>
      <w:r w:rsidR="00251F2B">
        <w:t>ace</w:t>
      </w:r>
      <w:r w:rsidR="1B302062">
        <w:t xml:space="preserve"> a</w:t>
      </w:r>
      <w:r w:rsidR="00251F2B">
        <w:t xml:space="preserve"> unique combination of occupational responsibilities, childcare, and </w:t>
      </w:r>
      <w:r w:rsidR="6DEF94D5">
        <w:t>parental duties</w:t>
      </w:r>
      <w:r w:rsidR="00251F2B">
        <w:t>, which frequently leads to sustained high stress, diminished mental health, and heightened burnout risk (Maslach and Leiter, 2016; van den Berg and Beute, 2021). Burnout</w:t>
      </w:r>
      <w:r w:rsidR="55FD3A67">
        <w:t xml:space="preserve"> is </w:t>
      </w:r>
      <w:r w:rsidR="00251F2B">
        <w:t xml:space="preserve">characterised by chronic emotional exhaustion, </w:t>
      </w:r>
      <w:r w:rsidR="59520138">
        <w:t xml:space="preserve">feelings of </w:t>
      </w:r>
      <w:r w:rsidR="00251F2B">
        <w:t>depersonalisation, and a reduced sense of accomplishment</w:t>
      </w:r>
      <w:r w:rsidR="52750ED0">
        <w:t xml:space="preserve">.  According to Maslach (2001) burnout </w:t>
      </w:r>
      <w:r w:rsidR="00251F2B">
        <w:t xml:space="preserve">is prevalent in </w:t>
      </w:r>
      <w:r w:rsidR="25D5076F">
        <w:t>working parents</w:t>
      </w:r>
      <w:r w:rsidR="00251F2B">
        <w:t xml:space="preserve"> due to the unrelenting demands of their</w:t>
      </w:r>
      <w:r w:rsidR="13BA4D56">
        <w:t xml:space="preserve"> conflicting </w:t>
      </w:r>
      <w:r w:rsidR="00251F2B">
        <w:t>daily roles (Maslach et al., 2001).</w:t>
      </w:r>
    </w:p>
    <w:p w14:paraId="1CCE2A38" w14:textId="0290E2B7" w:rsidR="00251F2B" w:rsidRPr="00703179" w:rsidRDefault="00251F2B" w:rsidP="00122C7C">
      <w:pPr>
        <w:spacing w:line="360" w:lineRule="auto"/>
      </w:pPr>
      <w:r>
        <w:t>A growing body of evidence suggests that regular interaction with natural environments</w:t>
      </w:r>
      <w:r w:rsidR="00963902">
        <w:t xml:space="preserve">, </w:t>
      </w:r>
      <w:r>
        <w:t>often termed “green space” or “blue space” exposure</w:t>
      </w:r>
      <w:r w:rsidR="00963902">
        <w:t xml:space="preserve">, </w:t>
      </w:r>
      <w:r>
        <w:t xml:space="preserve">can enhance psychological wellbeing, reduce stress, and build resilience (Bratman et al., 2019; Frumkin et al., 2017). </w:t>
      </w:r>
      <w:r w:rsidR="25FF8335">
        <w:t>Well documented frameworks</w:t>
      </w:r>
      <w:r>
        <w:t xml:space="preserve">, such as Attention Restoration Theory (ART) and Stress Reduction Theory (SRT), </w:t>
      </w:r>
      <w:r w:rsidR="12DCE7A9">
        <w:t>propose</w:t>
      </w:r>
      <w:r>
        <w:t xml:space="preserve"> that</w:t>
      </w:r>
      <w:r w:rsidR="040A4F66">
        <w:t xml:space="preserve"> time in </w:t>
      </w:r>
      <w:r>
        <w:t xml:space="preserve">nature provides restorative experiences that replenish depleted cognitive </w:t>
      </w:r>
      <w:r w:rsidR="21287354">
        <w:t>capability</w:t>
      </w:r>
      <w:r>
        <w:t xml:space="preserve"> and </w:t>
      </w:r>
      <w:r w:rsidR="47E98F6C">
        <w:t xml:space="preserve">also help to </w:t>
      </w:r>
      <w:r w:rsidR="561FF5E2">
        <w:t>r</w:t>
      </w:r>
      <w:r>
        <w:t xml:space="preserve">egulate stress responses through psychological and physiological pathways (Kaplan and Kaplan, 1989; Ulrich et al., 1991). </w:t>
      </w:r>
      <w:r w:rsidR="73D56623">
        <w:t>This concept of nature connection</w:t>
      </w:r>
      <w:r>
        <w:t xml:space="preserve"> ha</w:t>
      </w:r>
      <w:r w:rsidR="21683A0A">
        <w:t>s</w:t>
      </w:r>
      <w:r>
        <w:t xml:space="preserve"> been linked to improved emotional regulation, mood enhancement, and reductions in biomarkers of stress such as cortisol (Hunter et al., 2019).</w:t>
      </w:r>
    </w:p>
    <w:p w14:paraId="2C365B05" w14:textId="77777777" w:rsidR="00251F2B" w:rsidRPr="00703179" w:rsidRDefault="00251F2B" w:rsidP="00122C7C">
      <w:pPr>
        <w:spacing w:line="360" w:lineRule="auto"/>
      </w:pPr>
      <w:r w:rsidRPr="00703179">
        <w:t xml:space="preserve">Recent systematic reviews and meta-analyses reinforce these frameworks, demonstrating that exposure to natural settings can reduce symptoms of anxiety and depression, improve mood, and promote emotional balance (Twohig-Bennett and </w:t>
      </w:r>
      <w:r w:rsidRPr="00703179">
        <w:lastRenderedPageBreak/>
        <w:t>Jones, 2018; Roberts et al., 2019). Activities such as walking in nature, sometimes described as “green exercise”, are of particular interest because they combine physical activity with environmental restoration, offering dual benefits for mental wellbeing (Pretty et al., 2005; Olafsdóttir et al., 2020).</w:t>
      </w:r>
    </w:p>
    <w:p w14:paraId="0C3C38EA" w14:textId="1974D349" w:rsidR="00251F2B" w:rsidRDefault="00251F2B" w:rsidP="00122C7C">
      <w:pPr>
        <w:spacing w:line="360" w:lineRule="auto"/>
        <w:rPr>
          <w:color w:val="000000" w:themeColor="text1"/>
        </w:rPr>
      </w:pPr>
      <w:r>
        <w:t>However, significant gaps remain regarding the optimal “dose” of nature exposure needed to achieve these benefits, particularly in terms of the frequency, duration, and intensity of walking in nature for spe</w:t>
      </w:r>
      <w:r w:rsidRPr="01ED439A">
        <w:rPr>
          <w:color w:val="000000" w:themeColor="text1"/>
        </w:rPr>
        <w:t>cific at-risk groups such as full-time working parents (Shanahan et al., 2016; van den Berg and Beute, 2021). Th</w:t>
      </w:r>
      <w:r w:rsidR="33999E28" w:rsidRPr="01ED439A">
        <w:rPr>
          <w:color w:val="000000" w:themeColor="text1"/>
        </w:rPr>
        <w:t xml:space="preserve">e current </w:t>
      </w:r>
      <w:r w:rsidRPr="01ED439A">
        <w:rPr>
          <w:color w:val="000000" w:themeColor="text1"/>
        </w:rPr>
        <w:t>study</w:t>
      </w:r>
      <w:r w:rsidR="76F50D3E" w:rsidRPr="01ED439A">
        <w:rPr>
          <w:color w:val="000000" w:themeColor="text1"/>
        </w:rPr>
        <w:t xml:space="preserve"> </w:t>
      </w:r>
      <w:r w:rsidR="0598108A" w:rsidRPr="01ED439A">
        <w:rPr>
          <w:color w:val="000000" w:themeColor="text1"/>
        </w:rPr>
        <w:t xml:space="preserve">aims to </w:t>
      </w:r>
      <w:r w:rsidRPr="01ED439A">
        <w:rPr>
          <w:color w:val="000000" w:themeColor="text1"/>
        </w:rPr>
        <w:t>address these gaps</w:t>
      </w:r>
      <w:r w:rsidR="023A40C5" w:rsidRPr="01ED439A">
        <w:rPr>
          <w:color w:val="000000" w:themeColor="text1"/>
        </w:rPr>
        <w:t xml:space="preserve">, </w:t>
      </w:r>
      <w:r w:rsidRPr="01ED439A">
        <w:rPr>
          <w:color w:val="000000" w:themeColor="text1"/>
        </w:rPr>
        <w:t xml:space="preserve">by focusing </w:t>
      </w:r>
      <w:r w:rsidR="7A9FD00A" w:rsidRPr="01ED439A">
        <w:rPr>
          <w:color w:val="000000" w:themeColor="text1"/>
        </w:rPr>
        <w:t xml:space="preserve">exclusively on full time working parents. </w:t>
      </w:r>
    </w:p>
    <w:p w14:paraId="1B5D1C1C" w14:textId="578590AC" w:rsidR="01ED439A" w:rsidRDefault="01ED439A" w:rsidP="00122C7C">
      <w:pPr>
        <w:spacing w:line="360" w:lineRule="auto"/>
        <w:rPr>
          <w:color w:val="000000" w:themeColor="text1"/>
        </w:rPr>
      </w:pPr>
    </w:p>
    <w:p w14:paraId="218597ED" w14:textId="05ED1646" w:rsidR="01ED439A" w:rsidRDefault="01ED439A" w:rsidP="00122C7C">
      <w:pPr>
        <w:spacing w:line="360" w:lineRule="auto"/>
        <w:rPr>
          <w:color w:val="000000" w:themeColor="text1"/>
        </w:rPr>
      </w:pPr>
    </w:p>
    <w:p w14:paraId="310DA22E" w14:textId="77777777" w:rsidR="00251F2B" w:rsidRDefault="00251F2B" w:rsidP="00122C7C">
      <w:pPr>
        <w:spacing w:line="360" w:lineRule="auto"/>
        <w:rPr>
          <w:b/>
          <w:bCs/>
          <w:color w:val="000000" w:themeColor="text1"/>
        </w:rPr>
      </w:pPr>
      <w:r w:rsidRPr="01ED439A">
        <w:rPr>
          <w:b/>
          <w:bCs/>
          <w:color w:val="000000" w:themeColor="text1"/>
        </w:rPr>
        <w:t>Theoretical and Empirical Foundations</w:t>
      </w:r>
    </w:p>
    <w:p w14:paraId="73137AF3" w14:textId="20B0DA6E" w:rsidR="00251F2B" w:rsidRPr="00703179" w:rsidRDefault="5FAA4064" w:rsidP="00122C7C">
      <w:pPr>
        <w:spacing w:line="360" w:lineRule="auto"/>
      </w:pPr>
      <w:r w:rsidRPr="01ED439A">
        <w:t xml:space="preserve">The </w:t>
      </w:r>
      <w:r w:rsidR="2B84A3CE" w:rsidRPr="01ED439A">
        <w:t xml:space="preserve">academic literature on nature connection points to a strong </w:t>
      </w:r>
      <w:r w:rsidR="7CD4B43A" w:rsidRPr="01ED439A">
        <w:t>correlation</w:t>
      </w:r>
      <w:r w:rsidR="3EB49052" w:rsidRPr="01ED439A">
        <w:t xml:space="preserve"> </w:t>
      </w:r>
      <w:r w:rsidR="00251F2B" w:rsidRPr="01ED439A">
        <w:t>between nature and mental health</w:t>
      </w:r>
      <w:r w:rsidR="768B228B" w:rsidRPr="01ED439A">
        <w:t xml:space="preserve">.  </w:t>
      </w:r>
      <w:r w:rsidR="76206541" w:rsidRPr="01ED439A">
        <w:t xml:space="preserve"> </w:t>
      </w:r>
      <w:r w:rsidR="0EA83278" w:rsidRPr="01ED439A">
        <w:t>It is clear, however, that the literature often fails to address the specific needs of w</w:t>
      </w:r>
      <w:r w:rsidR="76206541" w:rsidRPr="01ED439A">
        <w:t>orking parents</w:t>
      </w:r>
      <w:r w:rsidR="15213A44" w:rsidRPr="01ED439A">
        <w:t xml:space="preserve"> – who o</w:t>
      </w:r>
      <w:r w:rsidR="76206541" w:rsidRPr="01ED439A">
        <w:t xml:space="preserve">ften find the </w:t>
      </w:r>
      <w:r w:rsidR="22D246CE" w:rsidRPr="01ED439A">
        <w:t>conflicting</w:t>
      </w:r>
      <w:r w:rsidR="00251F2B" w:rsidRPr="01ED439A">
        <w:t xml:space="preserve"> demands of career</w:t>
      </w:r>
      <w:r w:rsidR="37B901CE" w:rsidRPr="01ED439A">
        <w:t xml:space="preserve"> and </w:t>
      </w:r>
      <w:r w:rsidR="00251F2B" w:rsidRPr="01ED439A">
        <w:t>childcare</w:t>
      </w:r>
      <w:r w:rsidR="2D832CEF" w:rsidRPr="01ED439A">
        <w:t xml:space="preserve"> </w:t>
      </w:r>
      <w:r w:rsidR="00251F2B" w:rsidRPr="01ED439A">
        <w:t>leave little opportunity for s</w:t>
      </w:r>
      <w:r w:rsidR="733E34F9" w:rsidRPr="01ED439A">
        <w:t>e</w:t>
      </w:r>
      <w:r w:rsidR="00251F2B" w:rsidRPr="01ED439A">
        <w:t>lf-care</w:t>
      </w:r>
      <w:r w:rsidR="535BF6BF" w:rsidRPr="01ED439A">
        <w:t xml:space="preserve"> and wellbeing</w:t>
      </w:r>
      <w:r w:rsidR="160CB3CD" w:rsidRPr="01ED439A">
        <w:t>.  Crnic and Low (2002)</w:t>
      </w:r>
      <w:r w:rsidR="6F2CA413" w:rsidRPr="01ED439A">
        <w:t xml:space="preserve"> argue t</w:t>
      </w:r>
      <w:r w:rsidR="37F61A51" w:rsidRPr="01ED439A">
        <w:t xml:space="preserve">here is </w:t>
      </w:r>
      <w:r w:rsidR="6F2CA413" w:rsidRPr="01ED439A">
        <w:t xml:space="preserve">a </w:t>
      </w:r>
      <w:r w:rsidR="7A08B24B" w:rsidRPr="01ED439A">
        <w:t xml:space="preserve">pressing </w:t>
      </w:r>
      <w:r w:rsidR="00251F2B" w:rsidRPr="01ED439A">
        <w:t xml:space="preserve">need for </w:t>
      </w:r>
      <w:r w:rsidR="1E1C83FB" w:rsidRPr="01ED439A">
        <w:t>research and interventions</w:t>
      </w:r>
      <w:r w:rsidR="00251F2B" w:rsidRPr="01ED439A">
        <w:t xml:space="preserve"> that </w:t>
      </w:r>
      <w:r w:rsidR="744F70FE" w:rsidRPr="01ED439A">
        <w:t>specifically address the needs of time constrained populations</w:t>
      </w:r>
      <w:r w:rsidR="6EFA6EF2" w:rsidRPr="01ED439A">
        <w:t xml:space="preserve"> </w:t>
      </w:r>
      <w:r w:rsidR="00251F2B" w:rsidRPr="01ED439A">
        <w:t>(Crnic and Low, 2002; van der Lippe et al., 2011).</w:t>
      </w:r>
    </w:p>
    <w:p w14:paraId="4D60BDFA" w14:textId="526CCB62" w:rsidR="00251F2B" w:rsidRPr="00703179" w:rsidRDefault="00251F2B" w:rsidP="00122C7C">
      <w:pPr>
        <w:spacing w:line="360" w:lineRule="auto"/>
      </w:pPr>
      <w:r w:rsidRPr="01ED439A">
        <w:t xml:space="preserve">For </w:t>
      </w:r>
      <w:r w:rsidR="4B4A16C6" w:rsidRPr="01ED439A">
        <w:t>parents working in h</w:t>
      </w:r>
      <w:r w:rsidR="4A5DC80E" w:rsidRPr="01ED439A">
        <w:t>igh</w:t>
      </w:r>
      <w:r w:rsidR="4D5818F7" w:rsidRPr="01ED439A">
        <w:t>-</w:t>
      </w:r>
      <w:r w:rsidR="4A5DC80E" w:rsidRPr="01ED439A">
        <w:t xml:space="preserve">stress </w:t>
      </w:r>
      <w:r w:rsidR="1CD1B28D" w:rsidRPr="01ED439A">
        <w:t>roles</w:t>
      </w:r>
      <w:r w:rsidR="4A5DC80E" w:rsidRPr="01ED439A">
        <w:t xml:space="preserve">, </w:t>
      </w:r>
      <w:r w:rsidR="2334C1BB" w:rsidRPr="01ED439A">
        <w:t>pressure if oft</w:t>
      </w:r>
      <w:r w:rsidRPr="01ED439A">
        <w:t xml:space="preserve">en amplified by </w:t>
      </w:r>
      <w:r w:rsidR="16DE4848" w:rsidRPr="01ED439A">
        <w:t xml:space="preserve">always-on requirements and strategic </w:t>
      </w:r>
      <w:r w:rsidR="4FE8D15F" w:rsidRPr="01ED439A">
        <w:t>decision-making</w:t>
      </w:r>
      <w:r w:rsidR="16DE4848" w:rsidRPr="01ED439A">
        <w:t xml:space="preserve"> pressure, which in increases burnout risk</w:t>
      </w:r>
      <w:r w:rsidRPr="01ED439A">
        <w:t xml:space="preserve"> (Maslach and Leiter, 2016; Salvagioni et al., 2017). While</w:t>
      </w:r>
      <w:r w:rsidR="645ADD8D" w:rsidRPr="01ED439A">
        <w:t xml:space="preserve"> workplace health </w:t>
      </w:r>
      <w:r w:rsidRPr="01ED439A">
        <w:t xml:space="preserve">initiatives </w:t>
      </w:r>
      <w:r w:rsidR="2282EC81" w:rsidRPr="01ED439A">
        <w:t>h</w:t>
      </w:r>
      <w:r w:rsidR="2282EC81" w:rsidRPr="01ED439A">
        <w:rPr>
          <w:rFonts w:ascii="Aptos" w:eastAsia="Aptos" w:hAnsi="Aptos" w:cs="Aptos"/>
        </w:rPr>
        <w:t>ave been in existence for some time, they commonly include benefits such as gym memberships, mindfulness, or nutritional advice – but not nature-based practices that are restorative and highly cost-effective (</w:t>
      </w:r>
      <w:r w:rsidRPr="01ED439A">
        <w:t>Brown et al., 2014).</w:t>
      </w:r>
    </w:p>
    <w:p w14:paraId="3B5F4709" w14:textId="34A05FDB" w:rsidR="00251F2B" w:rsidRPr="00703179" w:rsidRDefault="00251F2B" w:rsidP="00122C7C">
      <w:pPr>
        <w:spacing w:line="360" w:lineRule="auto"/>
      </w:pPr>
    </w:p>
    <w:p w14:paraId="26377E22" w14:textId="091587C1" w:rsidR="00251F2B" w:rsidRPr="00703179" w:rsidRDefault="00251F2B" w:rsidP="00122C7C">
      <w:pPr>
        <w:spacing w:line="360" w:lineRule="auto"/>
      </w:pPr>
      <w:r w:rsidRPr="01ED439A">
        <w:t xml:space="preserve">Research into the “dose” of nature contact offers some guidance. Shanahan et al. (2016) found that </w:t>
      </w:r>
      <w:r w:rsidR="01664FA6" w:rsidRPr="01ED439A">
        <w:t xml:space="preserve">participants experiencing 2 hours of </w:t>
      </w:r>
      <w:r w:rsidRPr="01ED439A">
        <w:t xml:space="preserve">nature exposure per week </w:t>
      </w:r>
      <w:r w:rsidR="3F18C367" w:rsidRPr="01ED439A">
        <w:t>showed evidence of</w:t>
      </w:r>
      <w:r w:rsidRPr="01ED439A">
        <w:t xml:space="preserve"> improved health and wellbeing. </w:t>
      </w:r>
      <w:r w:rsidR="039C964D" w:rsidRPr="01ED439A">
        <w:t xml:space="preserve">However, </w:t>
      </w:r>
      <w:r w:rsidRPr="01ED439A">
        <w:t xml:space="preserve">studies </w:t>
      </w:r>
      <w:r w:rsidR="1D0BA0F8" w:rsidRPr="01ED439A">
        <w:t xml:space="preserve">such as this </w:t>
      </w:r>
      <w:r w:rsidRPr="01ED439A">
        <w:lastRenderedPageBreak/>
        <w:t>often do not distinguish between activity types</w:t>
      </w:r>
      <w:r w:rsidR="58C4F7E6" w:rsidRPr="01ED439A">
        <w:t xml:space="preserve">.  </w:t>
      </w:r>
      <w:r w:rsidRPr="01ED439A">
        <w:t xml:space="preserve">It remains unclear whether short, frequent walks in nature (e.g., 15–20 minutes daily) might </w:t>
      </w:r>
      <w:r w:rsidR="7313A59A" w:rsidRPr="01ED439A">
        <w:t>elicit similar</w:t>
      </w:r>
      <w:r w:rsidRPr="01ED439A">
        <w:t xml:space="preserve"> benefits to longer but less frequent outings</w:t>
      </w:r>
      <w:r w:rsidR="5879C704" w:rsidRPr="01ED439A">
        <w:t xml:space="preserve">. </w:t>
      </w:r>
      <w:r w:rsidRPr="01ED439A">
        <w:t xml:space="preserve"> (Hunter et al., 2019).</w:t>
      </w:r>
      <w:r w:rsidR="0A4CF1DA" w:rsidRPr="01ED439A">
        <w:t xml:space="preserve">  In terms of the research base, </w:t>
      </w:r>
      <w:r w:rsidRPr="01ED439A">
        <w:t xml:space="preserve">interventions are </w:t>
      </w:r>
      <w:r w:rsidR="14E4D8B0" w:rsidRPr="01ED439A">
        <w:t xml:space="preserve">often </w:t>
      </w:r>
      <w:r w:rsidRPr="01ED439A">
        <w:t xml:space="preserve">evaluated in the short term, with </w:t>
      </w:r>
      <w:r w:rsidR="31CD30CD" w:rsidRPr="01ED439A">
        <w:t xml:space="preserve">few </w:t>
      </w:r>
      <w:r w:rsidRPr="01ED439A">
        <w:t>follow</w:t>
      </w:r>
      <w:r w:rsidR="3C7E1DC0" w:rsidRPr="01ED439A">
        <w:t>ing u</w:t>
      </w:r>
      <w:r w:rsidRPr="01ED439A">
        <w:t>p to determine whether participants maintain</w:t>
      </w:r>
      <w:r w:rsidR="5D423DE7" w:rsidRPr="01ED439A">
        <w:t xml:space="preserve">ed </w:t>
      </w:r>
      <w:r w:rsidRPr="01ED439A">
        <w:t>nature</w:t>
      </w:r>
      <w:r w:rsidR="61865AE7" w:rsidRPr="01ED439A">
        <w:t xml:space="preserve"> connection activities</w:t>
      </w:r>
      <w:r w:rsidRPr="01ED439A">
        <w:t xml:space="preserve"> once formal programmes </w:t>
      </w:r>
      <w:r w:rsidR="5C0ED0B5" w:rsidRPr="01ED439A">
        <w:t xml:space="preserve">had </w:t>
      </w:r>
      <w:r w:rsidRPr="01ED439A">
        <w:t>end</w:t>
      </w:r>
      <w:r w:rsidR="010AFE3B" w:rsidRPr="01ED439A">
        <w:t>ed</w:t>
      </w:r>
      <w:r w:rsidRPr="01ED439A">
        <w:t xml:space="preserve"> (Richardson et al., 2016).</w:t>
      </w:r>
      <w:r>
        <w:t xml:space="preserve"> This is a critical gap, as the sustainability of health behaviours often determines their real-world impact.</w:t>
      </w:r>
    </w:p>
    <w:p w14:paraId="39EEAFF3" w14:textId="477E5277" w:rsidR="00251F2B" w:rsidRPr="00703179" w:rsidRDefault="00251F2B" w:rsidP="00122C7C">
      <w:pPr>
        <w:spacing w:line="360" w:lineRule="auto"/>
      </w:pPr>
      <w:r>
        <w:t xml:space="preserve">Cross-cultural evidence offers </w:t>
      </w:r>
      <w:r w:rsidR="000B1747">
        <w:t xml:space="preserve">further </w:t>
      </w:r>
      <w:r>
        <w:t xml:space="preserve">valuable context. In Japan, </w:t>
      </w:r>
      <w:r w:rsidRPr="01ED439A">
        <w:rPr>
          <w:i/>
          <w:iCs/>
        </w:rPr>
        <w:t>Shinrin-yoku</w:t>
      </w:r>
      <w:r>
        <w:t xml:space="preserve"> (forest bathing) is embedded in public health policy and supported by government-endorsed forest therapy trails (Park et al., 2010). </w:t>
      </w:r>
      <w:r w:rsidR="310571C5" w:rsidRPr="01ED439A">
        <w:t xml:space="preserve">In </w:t>
      </w:r>
      <w:r w:rsidRPr="01ED439A">
        <w:t xml:space="preserve">Scandinavia </w:t>
      </w:r>
      <w:r w:rsidRPr="01ED439A">
        <w:rPr>
          <w:i/>
          <w:iCs/>
        </w:rPr>
        <w:t>friluftsliv</w:t>
      </w:r>
      <w:r w:rsidR="000B1747" w:rsidRPr="01ED439A">
        <w:t xml:space="preserve"> </w:t>
      </w:r>
      <w:r w:rsidR="25F98DB9" w:rsidRPr="01ED439A">
        <w:t>- a</w:t>
      </w:r>
      <w:r w:rsidRPr="01ED439A">
        <w:t xml:space="preserve"> cultural philosophy of open-air living</w:t>
      </w:r>
      <w:r w:rsidR="5A5E9D21" w:rsidRPr="01ED439A">
        <w:t xml:space="preserve"> – is blended</w:t>
      </w:r>
      <w:r w:rsidR="000B1747" w:rsidRPr="01ED439A">
        <w:t xml:space="preserve"> </w:t>
      </w:r>
      <w:r w:rsidRPr="01ED439A">
        <w:t xml:space="preserve">into </w:t>
      </w:r>
      <w:r w:rsidR="1A520226" w:rsidRPr="01ED439A">
        <w:t xml:space="preserve">the </w:t>
      </w:r>
      <w:r w:rsidRPr="01ED439A">
        <w:t xml:space="preserve">education </w:t>
      </w:r>
      <w:r w:rsidR="62E799A0" w:rsidRPr="01ED439A">
        <w:t xml:space="preserve">syllabus </w:t>
      </w:r>
      <w:r w:rsidRPr="01ED439A">
        <w:t>and urban planning</w:t>
      </w:r>
      <w:r w:rsidR="233BA0AB" w:rsidRPr="01ED439A">
        <w:t xml:space="preserve">.  </w:t>
      </w:r>
      <w:r w:rsidRPr="01ED439A">
        <w:t xml:space="preserve">while in Australia, public health campaigns actively encourage outdoor activity as a core component of lifestyle (Maller et al., 2006). In contrast, </w:t>
      </w:r>
      <w:r w:rsidR="3EB22C4E" w:rsidRPr="01ED439A">
        <w:t>in</w:t>
      </w:r>
      <w:r w:rsidRPr="01ED439A">
        <w:t xml:space="preserve"> the UK and USA </w:t>
      </w:r>
      <w:r w:rsidR="758B1739" w:rsidRPr="01ED439A">
        <w:t xml:space="preserve">there is perceived to be a </w:t>
      </w:r>
      <w:r w:rsidRPr="01ED439A">
        <w:t xml:space="preserve">lack </w:t>
      </w:r>
      <w:r w:rsidR="4554AE6C" w:rsidRPr="01ED439A">
        <w:t xml:space="preserve">of </w:t>
      </w:r>
      <w:r w:rsidRPr="01ED439A">
        <w:t>systemic support for regular nature contact, leaving individuals to self-motivate despite competing demands (White et al., 2019).</w:t>
      </w:r>
    </w:p>
    <w:p w14:paraId="599C3628" w14:textId="00FA9D28" w:rsidR="00251F2B" w:rsidRPr="00703179" w:rsidRDefault="00251F2B" w:rsidP="00122C7C">
      <w:pPr>
        <w:spacing w:line="360" w:lineRule="auto"/>
        <w:rPr>
          <w:color w:val="FF0000"/>
        </w:rPr>
      </w:pPr>
    </w:p>
    <w:p w14:paraId="78564832" w14:textId="5012A162" w:rsidR="00251F2B" w:rsidRPr="00703179" w:rsidRDefault="63724C03" w:rsidP="00122C7C">
      <w:pPr>
        <w:spacing w:line="360" w:lineRule="auto"/>
      </w:pPr>
      <w:r w:rsidRPr="01ED439A">
        <w:t>W</w:t>
      </w:r>
      <w:r w:rsidR="00251F2B" w:rsidRPr="01ED439A">
        <w:t xml:space="preserve">alking in nature represents an accessible, adaptable, and sustainable intervention for busy parents. </w:t>
      </w:r>
      <w:r w:rsidR="4314D119" w:rsidRPr="01ED439A">
        <w:t xml:space="preserve">Ultimately, though, there is little </w:t>
      </w:r>
      <w:r w:rsidR="00251F2B" w:rsidRPr="01ED439A">
        <w:t>clarity on the optimal dose and frequency for measurable benefits</w:t>
      </w:r>
    </w:p>
    <w:p w14:paraId="3B9FAADA" w14:textId="61837DE2" w:rsidR="00251F2B" w:rsidRPr="00703179" w:rsidRDefault="00251F2B" w:rsidP="00122C7C">
      <w:pPr>
        <w:spacing w:line="360" w:lineRule="auto"/>
      </w:pPr>
    </w:p>
    <w:p w14:paraId="6899AF58" w14:textId="0C9DB959" w:rsidR="00251F2B" w:rsidRPr="00703179" w:rsidRDefault="00251F2B" w:rsidP="00122C7C">
      <w:pPr>
        <w:spacing w:line="360" w:lineRule="auto"/>
      </w:pPr>
    </w:p>
    <w:p w14:paraId="2955A641" w14:textId="03868D0D" w:rsidR="00251F2B" w:rsidRPr="00703179" w:rsidRDefault="00251F2B" w:rsidP="00122C7C">
      <w:pPr>
        <w:spacing w:line="360" w:lineRule="auto"/>
      </w:pPr>
      <w:r w:rsidRPr="01ED439A">
        <w:t>This study therefore aim</w:t>
      </w:r>
      <w:r w:rsidR="5B0DA33C" w:rsidRPr="01ED439A">
        <w:t xml:space="preserve">ed </w:t>
      </w:r>
      <w:r w:rsidRPr="01ED439A">
        <w:t>to:</w:t>
      </w:r>
    </w:p>
    <w:p w14:paraId="55D7DB1C" w14:textId="18B7D45E" w:rsidR="00251F2B" w:rsidRPr="00703179" w:rsidRDefault="00251F2B" w:rsidP="00122C7C">
      <w:pPr>
        <w:numPr>
          <w:ilvl w:val="0"/>
          <w:numId w:val="6"/>
        </w:numPr>
        <w:spacing w:line="360" w:lineRule="auto"/>
      </w:pPr>
      <w:r w:rsidRPr="01ED439A">
        <w:t>Quantify the impact of self-selected doses and frequencies of walking in nature on mood, anxiety, depression, and burnout risk in full-time working parents.</w:t>
      </w:r>
    </w:p>
    <w:p w14:paraId="588245CD" w14:textId="2814D566" w:rsidR="00251F2B" w:rsidRDefault="00251F2B" w:rsidP="00122C7C">
      <w:pPr>
        <w:numPr>
          <w:ilvl w:val="0"/>
          <w:numId w:val="6"/>
        </w:numPr>
        <w:spacing w:line="360" w:lineRule="auto"/>
      </w:pPr>
      <w:r w:rsidRPr="01ED439A">
        <w:t xml:space="preserve">Explore, through qualitative follow-up interviews, </w:t>
      </w:r>
      <w:r w:rsidR="2EBD86A0" w:rsidRPr="01ED439A">
        <w:t>how</w:t>
      </w:r>
      <w:r w:rsidRPr="01ED439A">
        <w:t xml:space="preserve"> behaviours are sustained over </w:t>
      </w:r>
      <w:r w:rsidR="378C223C" w:rsidRPr="01ED439A">
        <w:t xml:space="preserve">time </w:t>
      </w:r>
      <w:r w:rsidRPr="01ED439A">
        <w:t xml:space="preserve">and what long-term effects participants </w:t>
      </w:r>
      <w:r w:rsidR="28FB4AF5" w:rsidRPr="01ED439A">
        <w:t>observed.</w:t>
      </w:r>
    </w:p>
    <w:p w14:paraId="76201AE2" w14:textId="34271829" w:rsidR="00251F2B" w:rsidRDefault="00251F2B" w:rsidP="00122C7C">
      <w:pPr>
        <w:spacing w:line="360" w:lineRule="auto"/>
      </w:pPr>
      <w:r w:rsidRPr="00703179">
        <w:lastRenderedPageBreak/>
        <w:t>By focusing on a high-risk but under-researched population, this mixed-methods study addresse</w:t>
      </w:r>
      <w:r w:rsidR="005D16BE">
        <w:t>d</w:t>
      </w:r>
      <w:r w:rsidRPr="00703179">
        <w:t xml:space="preserve"> a clear gap in the literature and aim</w:t>
      </w:r>
      <w:r w:rsidR="005D16BE">
        <w:t>ed</w:t>
      </w:r>
      <w:r w:rsidRPr="00703179">
        <w:t xml:space="preserve"> to produce findings that are academically robust and practically relevant.</w:t>
      </w:r>
    </w:p>
    <w:p w14:paraId="44748062" w14:textId="7636699E" w:rsidR="00251F2B" w:rsidRPr="00665D3C" w:rsidRDefault="00251F2B" w:rsidP="00122C7C">
      <w:pPr>
        <w:spacing w:line="360" w:lineRule="auto"/>
        <w:rPr>
          <w:b/>
          <w:bCs/>
        </w:rPr>
      </w:pPr>
      <w:r w:rsidRPr="00665D3C">
        <w:rPr>
          <w:b/>
          <w:bCs/>
        </w:rPr>
        <w:t>Nature and Wellbeing: A Focus on Working Parents</w:t>
      </w:r>
    </w:p>
    <w:p w14:paraId="361787E4" w14:textId="02F8ED0D" w:rsidR="00251F2B" w:rsidRPr="00665D3C" w:rsidRDefault="00251F2B" w:rsidP="00122C7C">
      <w:pPr>
        <w:spacing w:line="360" w:lineRule="auto"/>
        <w:rPr>
          <w:color w:val="FF0000"/>
        </w:rPr>
      </w:pPr>
      <w:r>
        <w:t xml:space="preserve">The restorative potential of nature has been well established across a variety of populations, yet full-time working parents represent a subgroup whose needs and constraints make them both a priority for intervention and a notably underrepresented group in the research literature (Barton et al., 2016; van den Berg &amp; Beute, 2021). </w:t>
      </w:r>
    </w:p>
    <w:p w14:paraId="446DFB21" w14:textId="42E2AC61" w:rsidR="00251F2B" w:rsidRPr="00665D3C" w:rsidRDefault="39737AD2" w:rsidP="00122C7C">
      <w:pPr>
        <w:spacing w:line="360" w:lineRule="auto"/>
      </w:pPr>
      <w:r w:rsidRPr="01ED439A">
        <w:t>For working parents, t</w:t>
      </w:r>
      <w:r w:rsidR="00251F2B" w:rsidRPr="01ED439A">
        <w:t>he combination of professional obligations and childcare responsibilities creates a</w:t>
      </w:r>
      <w:r w:rsidR="574E3FFE" w:rsidRPr="01ED439A">
        <w:t xml:space="preserve">n interesting and oftening conflicting dynamic where parents are in need of </w:t>
      </w:r>
      <w:r w:rsidR="00251F2B" w:rsidRPr="01ED439A">
        <w:t>s</w:t>
      </w:r>
      <w:r w:rsidR="099B8EEF" w:rsidRPr="01ED439A">
        <w:t xml:space="preserve">elf care but have little time or opportunity to dedicated to it </w:t>
      </w:r>
      <w:r w:rsidR="00251F2B" w:rsidRPr="01ED439A">
        <w:t>(Crnic &amp; Low, 2002; Milkie et al., 2010). These pressures are amplified in dual-earner households, single-parent families, and in cases where workplace flexibility is limited (Nomaguchi &amp; Milkie, 2020).</w:t>
      </w:r>
    </w:p>
    <w:p w14:paraId="46F8627B" w14:textId="7429DF9B" w:rsidR="00251F2B" w:rsidRPr="00665D3C" w:rsidRDefault="00251F2B" w:rsidP="00122C7C">
      <w:pPr>
        <w:spacing w:line="360" w:lineRule="auto"/>
      </w:pPr>
      <w:r w:rsidRPr="01ED439A">
        <w:t xml:space="preserve">Studies show that working parents experience elevated stress levels compared to non-parents in similar occupational roles (Borelli et al., 2017). This stress often manifests </w:t>
      </w:r>
      <w:r w:rsidR="3E2444DE" w:rsidRPr="01ED439A">
        <w:t xml:space="preserve">itself </w:t>
      </w:r>
      <w:r w:rsidRPr="01ED439A">
        <w:t xml:space="preserve">as role overload, time scarcity, and diminished opportunities for restorative activities (Mattingly &amp; Sayer, 2006). Burnout is particularly </w:t>
      </w:r>
      <w:r w:rsidR="5DEF6708" w:rsidRPr="01ED439A">
        <w:t>troublesome</w:t>
      </w:r>
      <w:r w:rsidRPr="01ED439A">
        <w:t xml:space="preserve"> in this demographic because it may</w:t>
      </w:r>
      <w:r w:rsidR="3B8CB0DF" w:rsidRPr="01ED439A">
        <w:t xml:space="preserve"> simultaneously</w:t>
      </w:r>
      <w:r w:rsidRPr="01ED439A">
        <w:t xml:space="preserve"> compromise both work </w:t>
      </w:r>
      <w:r w:rsidR="0EF823EC" w:rsidRPr="01ED439A">
        <w:t xml:space="preserve">performance </w:t>
      </w:r>
      <w:r w:rsidRPr="01ED439A">
        <w:t>and family</w:t>
      </w:r>
      <w:r w:rsidR="5CAB59DB" w:rsidRPr="01ED439A">
        <w:t xml:space="preserve"> ‘’...</w:t>
      </w:r>
      <w:r w:rsidRPr="01ED439A">
        <w:t>thereby perpetuating a cycle of strain across multiple life domains</w:t>
      </w:r>
      <w:r w:rsidR="6D0CF2E1" w:rsidRPr="01ED439A">
        <w:t>’’</w:t>
      </w:r>
      <w:r w:rsidRPr="01ED439A">
        <w:t xml:space="preserve"> (Seidler et al., 2014).</w:t>
      </w:r>
    </w:p>
    <w:p w14:paraId="5095CB79" w14:textId="68660B1A" w:rsidR="00251F2B" w:rsidRPr="00665D3C" w:rsidRDefault="00251F2B" w:rsidP="00122C7C">
      <w:pPr>
        <w:spacing w:line="360" w:lineRule="auto"/>
      </w:pPr>
      <w:r w:rsidRPr="01ED439A">
        <w:t xml:space="preserve">Access to natural environments can </w:t>
      </w:r>
      <w:r w:rsidR="24ACA3CC" w:rsidRPr="01ED439A">
        <w:t>provide</w:t>
      </w:r>
      <w:r w:rsidR="6E3DAF71" w:rsidRPr="01ED439A">
        <w:t xml:space="preserve"> both physiological and pyschological</w:t>
      </w:r>
      <w:r w:rsidR="24ACA3CC" w:rsidRPr="01ED439A">
        <w:t xml:space="preserve"> relief to </w:t>
      </w:r>
      <w:r w:rsidRPr="01ED439A">
        <w:t>these pressures. Exposure to green space</w:t>
      </w:r>
      <w:r w:rsidR="0744071D" w:rsidRPr="01ED439A">
        <w:t>s</w:t>
      </w:r>
      <w:r w:rsidRPr="01ED439A">
        <w:t xml:space="preserve"> has been linked with lower cortisol levels (Ward Thompson et al., 2012), improved heart rate variability (Gladwell et al., 2016), and reductions in perceived stress (Hartig et al., 2014). Importantly, these benefits have been demonstrated in time-limited exposures</w:t>
      </w:r>
      <w:r w:rsidR="0A637D2C" w:rsidRPr="01ED439A">
        <w:t xml:space="preserve"> </w:t>
      </w:r>
      <w:r w:rsidR="3325C52C" w:rsidRPr="01ED439A">
        <w:t>(</w:t>
      </w:r>
      <w:r w:rsidRPr="01ED439A">
        <w:t>as little as 20–30 minutes</w:t>
      </w:r>
      <w:r w:rsidR="6CADEEA7" w:rsidRPr="01ED439A">
        <w:t xml:space="preserve">) </w:t>
      </w:r>
      <w:r w:rsidRPr="01ED439A">
        <w:t>suggesting that even brief</w:t>
      </w:r>
      <w:r w:rsidR="3D7FED4B" w:rsidRPr="01ED439A">
        <w:t xml:space="preserve"> exposure</w:t>
      </w:r>
      <w:r w:rsidRPr="01ED439A">
        <w:t xml:space="preserve"> could be </w:t>
      </w:r>
      <w:r w:rsidR="79048CFF" w:rsidRPr="01ED439A">
        <w:t>beneficial</w:t>
      </w:r>
      <w:r w:rsidRPr="01ED439A">
        <w:t xml:space="preserve"> for working parents with constrained schedules (Hunter et al., 2019).</w:t>
      </w:r>
    </w:p>
    <w:p w14:paraId="443A21BE" w14:textId="46EE3C31" w:rsidR="01ED439A" w:rsidRDefault="01ED439A" w:rsidP="00122C7C">
      <w:pPr>
        <w:spacing w:line="360" w:lineRule="auto"/>
        <w:rPr>
          <w:color w:val="FF0000"/>
        </w:rPr>
      </w:pPr>
    </w:p>
    <w:p w14:paraId="1DABC37D" w14:textId="77777777" w:rsidR="00251F2B" w:rsidRPr="00665D3C" w:rsidRDefault="00251F2B" w:rsidP="00122C7C">
      <w:pPr>
        <w:spacing w:line="360" w:lineRule="auto"/>
      </w:pPr>
      <w:r>
        <w:lastRenderedPageBreak/>
        <w:t>The dual-action benefit of walking in nature is particularly relevant: moderate-intensity physical activity has independently been shown to improve mood and reduce anxiety (Biddle &amp; Asare, 2011), while the natural setting enhances these effects through mechanisms proposed in Attention Restoration Theory (Kaplan &amp; Kaplan, 1989) and Stress Reduction Theory (Ulrich et al., 1991). These frameworks suggest that natural environments reduce mental fatigue and evoke positive affective states, supporting recovery from the cognitive and emotional demands of work and parenting.</w:t>
      </w:r>
    </w:p>
    <w:p w14:paraId="617766C7" w14:textId="2E2BD6A8" w:rsidR="00251F2B" w:rsidRPr="00665D3C" w:rsidRDefault="6330C699" w:rsidP="00122C7C">
      <w:pPr>
        <w:spacing w:line="360" w:lineRule="auto"/>
        <w:rPr>
          <w:b/>
          <w:bCs/>
        </w:rPr>
      </w:pPr>
      <w:r w:rsidRPr="02A6AE13">
        <w:rPr>
          <w:b/>
          <w:bCs/>
        </w:rPr>
        <w:t>Barriers and Equity Considerations</w:t>
      </w:r>
    </w:p>
    <w:p w14:paraId="66EA7A76" w14:textId="2B1C77B4" w:rsidR="00251F2B" w:rsidRPr="009E7148" w:rsidRDefault="0CB58E5E" w:rsidP="00122C7C">
      <w:pPr>
        <w:spacing w:line="360" w:lineRule="auto"/>
      </w:pPr>
      <w:r w:rsidRPr="02A6AE13">
        <w:t xml:space="preserve">There are certain barriers to consider for full-time working parents </w:t>
      </w:r>
      <w:r w:rsidR="4BDB726B" w:rsidRPr="02A6AE13">
        <w:t>which have the potential to be a significant barrier to increasing nature connection.  Research has show that obstacles such as lack of proximity to green spaces, safety concern</w:t>
      </w:r>
      <w:r w:rsidR="2175F4F9" w:rsidRPr="02A6AE13">
        <w:t xml:space="preserve">s (particularly for lone women), childcare commitments and seasonal weather </w:t>
      </w:r>
      <w:r w:rsidR="17F7BCA7" w:rsidRPr="02A6AE13">
        <w:t>constraints</w:t>
      </w:r>
      <w:r w:rsidR="2175F4F9" w:rsidRPr="02A6AE13">
        <w:t xml:space="preserve"> (Jennings et al, 2016; Richardson et al., 2021</w:t>
      </w:r>
      <w:r w:rsidR="262B6808" w:rsidRPr="02A6AE13">
        <w:t xml:space="preserve">).  There are also socio-economic considerations including access to unmanaged, truly natural green spaces, with lower income families much more likely to live in areas with </w:t>
      </w:r>
      <w:r w:rsidR="3FD44A14" w:rsidRPr="02A6AE13">
        <w:t>minimal access to rural and wild spaces (Rigolon, 2016).  In some urban areas in the United States of America and the United Kingdom, green space access can be very limited, ina</w:t>
      </w:r>
      <w:r w:rsidR="7E6E0210" w:rsidRPr="02A6AE13">
        <w:t>ccessible or poorly maintained (Wolch et al., 2014).</w:t>
      </w:r>
    </w:p>
    <w:p w14:paraId="14DE7F12" w14:textId="49CEC09F" w:rsidR="00251F2B" w:rsidRPr="009E7148" w:rsidRDefault="00251F2B" w:rsidP="00122C7C">
      <w:pPr>
        <w:spacing w:line="360" w:lineRule="auto"/>
        <w:rPr>
          <w:b/>
          <w:bCs/>
          <w:color w:val="FF0000"/>
        </w:rPr>
      </w:pPr>
    </w:p>
    <w:p w14:paraId="5CC5CF38" w14:textId="6455058A" w:rsidR="00251F2B" w:rsidRPr="009E7148" w:rsidRDefault="6330C699" w:rsidP="00122C7C">
      <w:pPr>
        <w:spacing w:line="360" w:lineRule="auto"/>
        <w:rPr>
          <w:b/>
          <w:bCs/>
        </w:rPr>
      </w:pPr>
      <w:r w:rsidRPr="02A6AE13">
        <w:rPr>
          <w:b/>
          <w:bCs/>
        </w:rPr>
        <w:t>Rationale and Identification of the Research Gap</w:t>
      </w:r>
    </w:p>
    <w:p w14:paraId="1466EB97" w14:textId="7B1D4240" w:rsidR="0F550659" w:rsidRDefault="0F550659" w:rsidP="00122C7C">
      <w:pPr>
        <w:spacing w:line="360" w:lineRule="auto"/>
      </w:pPr>
      <w:r w:rsidRPr="02A6AE13">
        <w:t>Given the stress and burnout risk for full time working parents and the well-known benefits of time in nature in, there is an opportunity for more studies examining how different d</w:t>
      </w:r>
      <w:r w:rsidR="3B8EAF27" w:rsidRPr="02A6AE13">
        <w:t>oses and frequencies of nature-based wallking interventions can be helpful.  Understanding both the acute benefits for parents as well as the sustainability and practicality of such interventions over time is critical in developing</w:t>
      </w:r>
      <w:r w:rsidR="35DE66FD" w:rsidRPr="02A6AE13">
        <w:t xml:space="preserve"> evidence-based recommendations.</w:t>
      </w:r>
    </w:p>
    <w:p w14:paraId="2BAB7F45" w14:textId="4502B5E6" w:rsidR="00251F2B" w:rsidRPr="009E7148" w:rsidRDefault="6330C699" w:rsidP="00122C7C">
      <w:pPr>
        <w:spacing w:line="360" w:lineRule="auto"/>
      </w:pPr>
      <w:r w:rsidRPr="02A6AE13">
        <w:t xml:space="preserve">While a robust body of literature </w:t>
      </w:r>
      <w:r w:rsidR="7CAE3F16" w:rsidRPr="02A6AE13">
        <w:t>provides us with evidence of</w:t>
      </w:r>
      <w:r w:rsidRPr="02A6AE13">
        <w:t xml:space="preserve"> the role of nature in enhancing mental health, there is a notable lack of </w:t>
      </w:r>
      <w:r w:rsidR="60982382" w:rsidRPr="02A6AE13">
        <w:t>guidance o</w:t>
      </w:r>
      <w:r w:rsidRPr="02A6AE13">
        <w:t xml:space="preserve">n how such interventions are prescribed, implemented, and evaluated for </w:t>
      </w:r>
      <w:r w:rsidR="23482D49" w:rsidRPr="02A6AE13">
        <w:t xml:space="preserve">full time working parents.  </w:t>
      </w:r>
      <w:r>
        <w:t xml:space="preserve">Existing </w:t>
      </w:r>
      <w:r>
        <w:lastRenderedPageBreak/>
        <w:t xml:space="preserve">studies often group participants into broad categories without disaggregating findings by the unique stress profiles and constraints of full-time working parents (Barton et al., 2016; Borelli et al., 2017). This aggregation </w:t>
      </w:r>
      <w:r w:rsidR="77195A45">
        <w:t xml:space="preserve">has the potential to </w:t>
      </w:r>
      <w:r>
        <w:t>obscure</w:t>
      </w:r>
      <w:r w:rsidR="330B9B86">
        <w:t xml:space="preserve"> </w:t>
      </w:r>
      <w:r>
        <w:t xml:space="preserve">important nuances in how interventions are experienced and sustained in </w:t>
      </w:r>
      <w:r w:rsidR="4765E3E2">
        <w:t>specific cohorts.</w:t>
      </w:r>
    </w:p>
    <w:p w14:paraId="4F1BCB2D" w14:textId="6953B6E7" w:rsidR="00251F2B" w:rsidRPr="009E7148" w:rsidRDefault="6330C699" w:rsidP="00122C7C">
      <w:pPr>
        <w:spacing w:line="360" w:lineRule="auto"/>
      </w:pPr>
      <w:r w:rsidRPr="02A6AE13">
        <w:t>The concept of a “nature dose”</w:t>
      </w:r>
      <w:r w:rsidR="5018483F" w:rsidRPr="02A6AE13">
        <w:t xml:space="preserve">, being </w:t>
      </w:r>
      <w:r w:rsidRPr="02A6AE13">
        <w:t>the frequency, duration, and intensity of exposure required to yield measurable psychological and physiological benefits</w:t>
      </w:r>
      <w:r w:rsidR="61A15566" w:rsidRPr="02A6AE13">
        <w:t xml:space="preserve">, </w:t>
      </w:r>
      <w:r w:rsidRPr="02A6AE13">
        <w:t>has gained traction in the literature</w:t>
      </w:r>
      <w:r w:rsidR="09063E0A" w:rsidRPr="02A6AE13">
        <w:t xml:space="preserve"> in recent years</w:t>
      </w:r>
      <w:r w:rsidRPr="02A6AE13">
        <w:t xml:space="preserve"> (Shanahan et al., 2016; White et al., 2019). However, </w:t>
      </w:r>
      <w:r w:rsidR="08D6E9E1" w:rsidRPr="02A6AE13">
        <w:t xml:space="preserve">we have discovered </w:t>
      </w:r>
      <w:r w:rsidRPr="02A6AE13">
        <w:t xml:space="preserve">few studies </w:t>
      </w:r>
      <w:r w:rsidR="7956F67C" w:rsidRPr="02A6AE13">
        <w:t xml:space="preserve">which </w:t>
      </w:r>
      <w:r w:rsidRPr="02A6AE13">
        <w:t>examine this relationship specifically for walking in nature, and even fewer focus on working parents. Without this knowledge, recommendations remain generic and risk being impractical for those whose availability for self-care is most limited.</w:t>
      </w:r>
    </w:p>
    <w:p w14:paraId="4556A850" w14:textId="475F570A" w:rsidR="00251F2B" w:rsidRPr="009E7148" w:rsidRDefault="6330C699" w:rsidP="00122C7C">
      <w:pPr>
        <w:spacing w:line="360" w:lineRule="auto"/>
      </w:pPr>
      <w:r>
        <w:t xml:space="preserve">Although stress reduction is a common outcome in green </w:t>
      </w:r>
      <w:r w:rsidR="7FCD05C3">
        <w:t>health</w:t>
      </w:r>
      <w:r>
        <w:t xml:space="preserve"> research, burnout </w:t>
      </w:r>
      <w:r w:rsidR="577D91A3">
        <w:t>specifically</w:t>
      </w:r>
      <w:r>
        <w:t xml:space="preserve"> has </w:t>
      </w:r>
      <w:r w:rsidR="3B07C698">
        <w:t xml:space="preserve">received much less focus in this context </w:t>
      </w:r>
      <w:r>
        <w:t xml:space="preserve">(van den Berg &amp; Beute, 2021). This </w:t>
      </w:r>
      <w:r w:rsidR="3052F9E7">
        <w:t xml:space="preserve">is a notable absence from the literature, since </w:t>
      </w:r>
      <w:r>
        <w:t>burnout encompasses not only emotional exhaustion but also depersonalisation and diminished personal accomplishment (Maslach et al., 2001)</w:t>
      </w:r>
      <w:r w:rsidR="56E6A28F">
        <w:t xml:space="preserve">.  </w:t>
      </w:r>
      <w:r>
        <w:t>For working parents, burnout can manifest across both professional and domestic spheres, compounding its impact.</w:t>
      </w:r>
    </w:p>
    <w:p w14:paraId="61BEA240" w14:textId="3F78B5F2" w:rsidR="37885DDF" w:rsidRDefault="37885DDF" w:rsidP="00122C7C">
      <w:pPr>
        <w:spacing w:line="360" w:lineRule="auto"/>
      </w:pPr>
      <w:r>
        <w:t>Global variations in attitudes towards green health are also worth noting. Practices like Shinrin-yoku and Friluftsliv (Park et al., 2010; Gelter, 2000) suggest that some cultures are more inclined to ado</w:t>
      </w:r>
      <w:r w:rsidR="6CA56B03">
        <w:t>pt nature connection behaviours.  Further the adoption of these practices in other countries has received limited study.</w:t>
      </w:r>
    </w:p>
    <w:p w14:paraId="4874524D" w14:textId="2D1C8DBF" w:rsidR="00251F2B" w:rsidRPr="009E7148" w:rsidRDefault="61E4217B" w:rsidP="00122C7C">
      <w:pPr>
        <w:spacing w:line="360" w:lineRule="auto"/>
      </w:pPr>
      <w:r>
        <w:t xml:space="preserve">There </w:t>
      </w:r>
      <w:r w:rsidR="62C14887">
        <w:t xml:space="preserve">is </w:t>
      </w:r>
      <w:r>
        <w:t>a</w:t>
      </w:r>
      <w:r w:rsidR="078C615A">
        <w:t xml:space="preserve">lso a </w:t>
      </w:r>
      <w:r>
        <w:t>gap in the literature regarding the</w:t>
      </w:r>
      <w:r w:rsidR="6330C699">
        <w:t xml:space="preserve"> long-term sustainability of nature-based walking. </w:t>
      </w:r>
      <w:r w:rsidR="1AED8CDE">
        <w:t xml:space="preserve"> S</w:t>
      </w:r>
      <w:r w:rsidR="6330C699">
        <w:t>tudies frequently show immediate improvements in mood and stress (Olafsdóttir et al., 2020; Hunter et al., 2019)</w:t>
      </w:r>
      <w:r w:rsidR="507F4D74">
        <w:t xml:space="preserve"> but </w:t>
      </w:r>
      <w:r w:rsidR="6330C699">
        <w:t xml:space="preserve">follow-up </w:t>
      </w:r>
      <w:r w:rsidR="5925F6D9">
        <w:t>studies are limited</w:t>
      </w:r>
      <w:r w:rsidR="6330C699">
        <w:t xml:space="preserve">. </w:t>
      </w:r>
      <w:r w:rsidR="0CB34323">
        <w:t xml:space="preserve"> Given the pressing demands of parenting, particularly very young children, it is important to study the factors which may affect long term engagement and maintenance of the interventions.</w:t>
      </w:r>
    </w:p>
    <w:p w14:paraId="64115E31" w14:textId="36A0A197" w:rsidR="00251F2B" w:rsidRPr="009E7148" w:rsidRDefault="6330C699" w:rsidP="00122C7C">
      <w:pPr>
        <w:spacing w:line="360" w:lineRule="auto"/>
      </w:pPr>
      <w:r>
        <w:t>Th</w:t>
      </w:r>
      <w:r w:rsidR="03B17EF4">
        <w:t xml:space="preserve">is study </w:t>
      </w:r>
      <w:r w:rsidR="12A49D3C">
        <w:t>intends to consider the gaps in the literature, focussing on</w:t>
      </w:r>
      <w:r>
        <w:t xml:space="preserve"> full-time working parents</w:t>
      </w:r>
      <w:r w:rsidR="7BDAB4A9">
        <w:t xml:space="preserve">, </w:t>
      </w:r>
      <w:r>
        <w:t xml:space="preserve">examining the relationship between the dose and frequency of walking in nature </w:t>
      </w:r>
      <w:r w:rsidR="1D9AA435">
        <w:t>and their impact on burnout and depression risk</w:t>
      </w:r>
      <w:r>
        <w:t>. By employing a mixed-</w:t>
      </w:r>
      <w:r>
        <w:lastRenderedPageBreak/>
        <w:t>methods design</w:t>
      </w:r>
      <w:r w:rsidR="712466CC">
        <w:t xml:space="preserve">, </w:t>
      </w:r>
      <w:r>
        <w:t xml:space="preserve">integrating quantitative pre- and post-intervention data with qualitative insights gathered </w:t>
      </w:r>
      <w:r w:rsidR="45743FDA">
        <w:t>18 months</w:t>
      </w:r>
      <w:r>
        <w:t xml:space="preserve"> later</w:t>
      </w:r>
      <w:r w:rsidR="34D14537">
        <w:t xml:space="preserve">, </w:t>
      </w:r>
      <w:r>
        <w:t xml:space="preserve">the </w:t>
      </w:r>
      <w:r w:rsidR="75C1EB71">
        <w:t xml:space="preserve">present </w:t>
      </w:r>
      <w:r>
        <w:t xml:space="preserve">study not only measures immediate </w:t>
      </w:r>
      <w:r w:rsidR="5FC3070B">
        <w:t>impact</w:t>
      </w:r>
      <w:r>
        <w:t xml:space="preserve"> but also explores the sustainability of nature-based walking. </w:t>
      </w:r>
      <w:r w:rsidR="109B31F0">
        <w:t xml:space="preserve"> </w:t>
      </w:r>
      <w:r w:rsidR="61FFA187">
        <w:t>T</w:t>
      </w:r>
      <w:r w:rsidR="109B31F0">
        <w:t>his approach</w:t>
      </w:r>
      <w:r>
        <w:t xml:space="preserve"> offers a</w:t>
      </w:r>
      <w:r w:rsidR="6F9F2ED5">
        <w:t xml:space="preserve"> </w:t>
      </w:r>
      <w:r w:rsidR="37ED5670">
        <w:t xml:space="preserve">more </w:t>
      </w:r>
      <w:r>
        <w:t xml:space="preserve">contextually grounded </w:t>
      </w:r>
      <w:r w:rsidR="5A120532">
        <w:t>insight for full-time parents and addresses</w:t>
      </w:r>
      <w:r>
        <w:t xml:space="preserve"> </w:t>
      </w:r>
      <w:r w:rsidR="79063899">
        <w:t>the need</w:t>
      </w:r>
      <w:r>
        <w:t xml:space="preserve"> for more population-specific research (Frumkin et al., 2017; White et al., 2019).</w:t>
      </w:r>
    </w:p>
    <w:p w14:paraId="09575997" w14:textId="77777777" w:rsidR="00251F2B" w:rsidRPr="00E15727" w:rsidRDefault="00251F2B" w:rsidP="00122C7C">
      <w:pPr>
        <w:spacing w:line="360" w:lineRule="auto"/>
        <w:rPr>
          <w:b/>
          <w:bCs/>
        </w:rPr>
      </w:pPr>
    </w:p>
    <w:p w14:paraId="7714BCE2" w14:textId="603159B3" w:rsidR="00251F2B" w:rsidRPr="00703179" w:rsidRDefault="6330C699" w:rsidP="00122C7C">
      <w:pPr>
        <w:spacing w:line="360" w:lineRule="auto"/>
        <w:rPr>
          <w:b/>
          <w:bCs/>
        </w:rPr>
      </w:pPr>
      <w:r w:rsidRPr="02A6AE13">
        <w:rPr>
          <w:b/>
          <w:bCs/>
        </w:rPr>
        <w:t>Aims, Objectives</w:t>
      </w:r>
      <w:r w:rsidR="53D91E83" w:rsidRPr="02A6AE13">
        <w:rPr>
          <w:b/>
          <w:bCs/>
        </w:rPr>
        <w:t xml:space="preserve"> </w:t>
      </w:r>
      <w:r w:rsidRPr="02A6AE13">
        <w:rPr>
          <w:b/>
          <w:bCs/>
        </w:rPr>
        <w:t>and Research Questions</w:t>
      </w:r>
    </w:p>
    <w:p w14:paraId="6F93D03C" w14:textId="5DE9542B" w:rsidR="6330C699" w:rsidRDefault="6330C699" w:rsidP="00122C7C">
      <w:pPr>
        <w:spacing w:line="360" w:lineRule="auto"/>
        <w:rPr>
          <w:b/>
          <w:bCs/>
        </w:rPr>
      </w:pPr>
      <w:r>
        <w:t xml:space="preserve">The primary aim of this study </w:t>
      </w:r>
      <w:r w:rsidR="32252469">
        <w:t>wa</w:t>
      </w:r>
      <w:r>
        <w:t xml:space="preserve">s to </w:t>
      </w:r>
      <w:r w:rsidR="753B3CAD">
        <w:t xml:space="preserve">explore </w:t>
      </w:r>
      <w:r>
        <w:t>walking in nature</w:t>
      </w:r>
      <w:r w:rsidR="1939C07A">
        <w:t xml:space="preserve"> and its effect on</w:t>
      </w:r>
      <w:r>
        <w:t xml:space="preserve"> mental wellbeing and burnout risk </w:t>
      </w:r>
      <w:r w:rsidR="705D93F7">
        <w:t>in</w:t>
      </w:r>
      <w:r>
        <w:t xml:space="preserve"> full-time working parents</w:t>
      </w:r>
      <w:r w:rsidR="271975FE">
        <w:t>.</w:t>
      </w:r>
    </w:p>
    <w:p w14:paraId="0E129712" w14:textId="30A77E14" w:rsidR="271975FE" w:rsidRDefault="271975FE" w:rsidP="00122C7C">
      <w:pPr>
        <w:spacing w:line="360" w:lineRule="auto"/>
      </w:pPr>
      <w:r>
        <w:t>The primary objectives for the study were:</w:t>
      </w:r>
    </w:p>
    <w:p w14:paraId="5AD6B004" w14:textId="0FD2D5DB" w:rsidR="00251F2B" w:rsidRPr="009E7148" w:rsidRDefault="271975FE" w:rsidP="00122C7C">
      <w:pPr>
        <w:pStyle w:val="ListParagraph"/>
        <w:numPr>
          <w:ilvl w:val="0"/>
          <w:numId w:val="1"/>
        </w:numPr>
        <w:spacing w:line="360" w:lineRule="auto"/>
      </w:pPr>
      <w:r>
        <w:t>Identify</w:t>
      </w:r>
      <w:r w:rsidR="6330C699">
        <w:t xml:space="preserve"> </w:t>
      </w:r>
      <w:r w:rsidR="3AE05C6B">
        <w:t>the acu</w:t>
      </w:r>
      <w:r w:rsidR="6330C699">
        <w:t xml:space="preserve">te </w:t>
      </w:r>
      <w:r w:rsidR="19A7F42E">
        <w:t>impact</w:t>
      </w:r>
      <w:r w:rsidR="6330C699">
        <w:t xml:space="preserve"> of walking in nature by measuring changes in validated scales for mood, anxiety, depression, and burnout risk before and after a self-directed walking intervention.</w:t>
      </w:r>
    </w:p>
    <w:p w14:paraId="792B756C" w14:textId="6696F22E" w:rsidR="00251F2B" w:rsidRPr="009E7148" w:rsidRDefault="6330C699" w:rsidP="00122C7C">
      <w:pPr>
        <w:pStyle w:val="ListParagraph"/>
        <w:numPr>
          <w:ilvl w:val="0"/>
          <w:numId w:val="1"/>
        </w:numPr>
        <w:spacing w:line="360" w:lineRule="auto"/>
      </w:pPr>
      <w:r>
        <w:t>Ex</w:t>
      </w:r>
      <w:r w:rsidR="4296D9E5">
        <w:t>plore any</w:t>
      </w:r>
      <w:r>
        <w:t xml:space="preserve"> relationship between the frequency and d</w:t>
      </w:r>
      <w:r w:rsidR="2C929401">
        <w:t>ose</w:t>
      </w:r>
      <w:r>
        <w:t xml:space="preserve"> of walking in nature and </w:t>
      </w:r>
      <w:r w:rsidR="0476FB6B">
        <w:t>their impact on</w:t>
      </w:r>
      <w:r>
        <w:t xml:space="preserve"> mental wellbeing and burnout risk scores.</w:t>
      </w:r>
    </w:p>
    <w:p w14:paraId="58E1F73E" w14:textId="0F7EF2B5" w:rsidR="3CAC4888" w:rsidRDefault="3CAC4888" w:rsidP="00122C7C">
      <w:pPr>
        <w:pStyle w:val="ListParagraph"/>
        <w:numPr>
          <w:ilvl w:val="0"/>
          <w:numId w:val="1"/>
        </w:numPr>
        <w:spacing w:line="360" w:lineRule="auto"/>
      </w:pPr>
      <w:r>
        <w:t xml:space="preserve">Follow up </w:t>
      </w:r>
      <w:r w:rsidR="11134D0E">
        <w:t xml:space="preserve">through </w:t>
      </w:r>
      <w:r w:rsidR="6330C699">
        <w:t xml:space="preserve">qualitative interviews </w:t>
      </w:r>
      <w:r w:rsidR="78B9FD7F">
        <w:t>to explore the lived experience of participants and any challenges in sustaining behaviours</w:t>
      </w:r>
    </w:p>
    <w:p w14:paraId="128D9523" w14:textId="1E0F11D6" w:rsidR="00251F2B" w:rsidRPr="009E7148" w:rsidRDefault="5402E778" w:rsidP="00122C7C">
      <w:pPr>
        <w:pStyle w:val="ListParagraph"/>
        <w:numPr>
          <w:ilvl w:val="0"/>
          <w:numId w:val="1"/>
        </w:numPr>
        <w:spacing w:line="360" w:lineRule="auto"/>
      </w:pPr>
      <w:r>
        <w:t>Identify areas where further research could c</w:t>
      </w:r>
      <w:r w:rsidR="6330C699">
        <w:t xml:space="preserve">ontribute to the development of practical recommendations for </w:t>
      </w:r>
      <w:r w:rsidR="793CA77D">
        <w:t>full time working parents</w:t>
      </w:r>
    </w:p>
    <w:p w14:paraId="601734CC" w14:textId="77777777" w:rsidR="00251F2B" w:rsidRPr="009E7148" w:rsidRDefault="00251F2B" w:rsidP="00122C7C">
      <w:pPr>
        <w:spacing w:line="360" w:lineRule="auto"/>
      </w:pPr>
      <w:r w:rsidRPr="009E7148">
        <w:t>In line with these objectives, the study addressed the following research questions:</w:t>
      </w:r>
    </w:p>
    <w:p w14:paraId="75514FF2" w14:textId="77777777" w:rsidR="00251F2B" w:rsidRPr="009E7148" w:rsidRDefault="00251F2B" w:rsidP="00122C7C">
      <w:pPr>
        <w:numPr>
          <w:ilvl w:val="0"/>
          <w:numId w:val="10"/>
        </w:numPr>
        <w:spacing w:line="360" w:lineRule="auto"/>
      </w:pPr>
      <w:r w:rsidRPr="009E7148">
        <w:t>What changes in mental wellbeing and burnout risk occur following a self-directed walking in nature intervention among full-time working parents?</w:t>
      </w:r>
    </w:p>
    <w:p w14:paraId="4B74EEF3" w14:textId="77777777" w:rsidR="00251F2B" w:rsidRPr="009E7148" w:rsidRDefault="00251F2B" w:rsidP="00122C7C">
      <w:pPr>
        <w:numPr>
          <w:ilvl w:val="0"/>
          <w:numId w:val="10"/>
        </w:numPr>
        <w:spacing w:line="360" w:lineRule="auto"/>
      </w:pPr>
      <w:r w:rsidRPr="009E7148">
        <w:t>How do variations in the frequency and duration of walking in nature relate to these changes?</w:t>
      </w:r>
    </w:p>
    <w:p w14:paraId="3B4E2CDE" w14:textId="16ACB991" w:rsidR="00251F2B" w:rsidRDefault="6330C699" w:rsidP="00122C7C">
      <w:pPr>
        <w:numPr>
          <w:ilvl w:val="0"/>
          <w:numId w:val="10"/>
        </w:numPr>
        <w:spacing w:line="360" w:lineRule="auto"/>
      </w:pPr>
      <w:r>
        <w:t xml:space="preserve">To what extent do participants continue walking in nature in the </w:t>
      </w:r>
      <w:r w:rsidR="65227854">
        <w:t>18 months</w:t>
      </w:r>
      <w:r>
        <w:t xml:space="preserve"> following the intervention, and what benefits or challenges do they report?</w:t>
      </w:r>
    </w:p>
    <w:p w14:paraId="74C660CB" w14:textId="1645DC3F" w:rsidR="02A6AE13" w:rsidRDefault="02A6AE13" w:rsidP="00122C7C">
      <w:pPr>
        <w:spacing w:line="360" w:lineRule="auto"/>
        <w:ind w:left="720"/>
      </w:pPr>
    </w:p>
    <w:p w14:paraId="411C0D73" w14:textId="77777777" w:rsidR="00251F2B" w:rsidRPr="00270AF2" w:rsidRDefault="00251F2B" w:rsidP="00122C7C">
      <w:pPr>
        <w:spacing w:line="360" w:lineRule="auto"/>
        <w:rPr>
          <w:b/>
          <w:bCs/>
        </w:rPr>
      </w:pPr>
      <w:r w:rsidRPr="00270AF2">
        <w:rPr>
          <w:b/>
          <w:bCs/>
        </w:rPr>
        <w:lastRenderedPageBreak/>
        <w:t>Methodological Overview</w:t>
      </w:r>
    </w:p>
    <w:p w14:paraId="6C3CD595" w14:textId="70BD431C" w:rsidR="00251F2B" w:rsidRPr="00270AF2" w:rsidRDefault="6330C699" w:rsidP="00122C7C">
      <w:pPr>
        <w:spacing w:line="360" w:lineRule="auto"/>
      </w:pPr>
      <w:r>
        <w:t>The present study adopted a mixed-methods desi</w:t>
      </w:r>
      <w:r w:rsidR="763C6AC6">
        <w:t>gn</w:t>
      </w:r>
      <w:r>
        <w:t xml:space="preserve">. This approach allowed for the </w:t>
      </w:r>
      <w:r w:rsidR="0AAA0CC8">
        <w:t>alignment</w:t>
      </w:r>
      <w:r>
        <w:t xml:space="preserve"> of </w:t>
      </w:r>
      <w:r w:rsidR="0AAA0CC8">
        <w:t xml:space="preserve">both </w:t>
      </w:r>
      <w:r>
        <w:t>quantitative and qualitative data, providing a richer understanding of the relationship between nature-based walking, mental wellbeing, and burnout risk in full-time working parents.</w:t>
      </w:r>
    </w:p>
    <w:p w14:paraId="0393E4D7" w14:textId="774739A7" w:rsidR="00251F2B" w:rsidRPr="00270AF2" w:rsidRDefault="6330C699" w:rsidP="00122C7C">
      <w:pPr>
        <w:spacing w:line="360" w:lineRule="auto"/>
      </w:pPr>
      <w:r>
        <w:t>Participants, all of whom were full-time working parents, completed an online questionnaire comprising validated scales to assess:</w:t>
      </w:r>
    </w:p>
    <w:p w14:paraId="5BBEB77D" w14:textId="77777777" w:rsidR="00251F2B" w:rsidRPr="00270AF2" w:rsidRDefault="00251F2B" w:rsidP="00122C7C">
      <w:pPr>
        <w:numPr>
          <w:ilvl w:val="0"/>
          <w:numId w:val="7"/>
        </w:numPr>
        <w:spacing w:after="40" w:line="360" w:lineRule="auto"/>
        <w:ind w:left="714" w:hanging="357"/>
      </w:pPr>
      <w:r w:rsidRPr="00270AF2">
        <w:t>Mood</w:t>
      </w:r>
    </w:p>
    <w:p w14:paraId="3E9216C5" w14:textId="77777777" w:rsidR="00251F2B" w:rsidRPr="00270AF2" w:rsidRDefault="00251F2B" w:rsidP="00122C7C">
      <w:pPr>
        <w:numPr>
          <w:ilvl w:val="0"/>
          <w:numId w:val="7"/>
        </w:numPr>
        <w:spacing w:after="40" w:line="360" w:lineRule="auto"/>
        <w:ind w:left="714" w:hanging="357"/>
      </w:pPr>
      <w:r w:rsidRPr="00270AF2">
        <w:t>Anxiety</w:t>
      </w:r>
    </w:p>
    <w:p w14:paraId="05804DAD" w14:textId="77777777" w:rsidR="00251F2B" w:rsidRPr="00270AF2" w:rsidRDefault="00251F2B" w:rsidP="00122C7C">
      <w:pPr>
        <w:numPr>
          <w:ilvl w:val="0"/>
          <w:numId w:val="7"/>
        </w:numPr>
        <w:spacing w:after="40" w:line="360" w:lineRule="auto"/>
        <w:ind w:left="714" w:hanging="357"/>
      </w:pPr>
      <w:r w:rsidRPr="00270AF2">
        <w:t>Depression</w:t>
      </w:r>
    </w:p>
    <w:p w14:paraId="26308B9D" w14:textId="77777777" w:rsidR="00251F2B" w:rsidRPr="00AE0BE2" w:rsidRDefault="6330C699" w:rsidP="00122C7C">
      <w:pPr>
        <w:numPr>
          <w:ilvl w:val="0"/>
          <w:numId w:val="7"/>
        </w:numPr>
        <w:spacing w:after="40" w:line="360" w:lineRule="auto"/>
        <w:ind w:left="714" w:hanging="357"/>
      </w:pPr>
      <w:r>
        <w:t>Burnout risk</w:t>
      </w:r>
    </w:p>
    <w:p w14:paraId="2496E3E3" w14:textId="33D3A8A5" w:rsidR="02A6AE13" w:rsidRDefault="02A6AE13" w:rsidP="00122C7C">
      <w:pPr>
        <w:spacing w:after="40" w:line="360" w:lineRule="auto"/>
        <w:ind w:left="714" w:hanging="357"/>
      </w:pPr>
    </w:p>
    <w:p w14:paraId="2F68CE7E" w14:textId="2CACCA8B" w:rsidR="00251F2B" w:rsidRPr="00AE0BE2" w:rsidRDefault="6330C699" w:rsidP="00122C7C">
      <w:pPr>
        <w:spacing w:line="360" w:lineRule="auto"/>
      </w:pPr>
      <w:r>
        <w:t xml:space="preserve">Following </w:t>
      </w:r>
      <w:r w:rsidR="18D5B4F8">
        <w:t xml:space="preserve">initial </w:t>
      </w:r>
      <w:r>
        <w:t xml:space="preserve">data collection, participants </w:t>
      </w:r>
      <w:r w:rsidR="6E842AAB">
        <w:t xml:space="preserve">proceeded to </w:t>
      </w:r>
      <w:r>
        <w:t>engaged</w:t>
      </w:r>
      <w:r w:rsidR="20A41CCB">
        <w:t xml:space="preserve"> </w:t>
      </w:r>
      <w:r>
        <w:t>in solo walking in nature</w:t>
      </w:r>
      <w:r w:rsidR="4C0AE408">
        <w:t>,</w:t>
      </w:r>
      <w:r>
        <w:t xml:space="preserve"> choosing their own frequency and duration of walks to reflect real-world feasibility. After the intervention period, participants completed the same questionnaire a second time. This design enabled the measurement of within-subject changes and the exploration of whether variations in dose (frequency and duration) </w:t>
      </w:r>
      <w:r w:rsidR="5DE2EFD7">
        <w:t>had any statistical impact on outcomes</w:t>
      </w:r>
      <w:r>
        <w:t>.</w:t>
      </w:r>
    </w:p>
    <w:p w14:paraId="2858868A" w14:textId="1A74D367" w:rsidR="00AE0BE2" w:rsidRDefault="6330C699" w:rsidP="00122C7C">
      <w:pPr>
        <w:spacing w:line="360" w:lineRule="auto"/>
      </w:pPr>
      <w:r>
        <w:t xml:space="preserve">A paired-samples t-test was conducted using SPSS to determine whether there were statistically significant changes in </w:t>
      </w:r>
      <w:r w:rsidR="2D3E8EC3">
        <w:t>questionnaire</w:t>
      </w:r>
      <w:r>
        <w:t xml:space="preserve"> scores.</w:t>
      </w:r>
    </w:p>
    <w:p w14:paraId="3A97EBEF" w14:textId="4F59B797" w:rsidR="00251F2B" w:rsidRPr="00270AF2" w:rsidRDefault="6330C699" w:rsidP="00122C7C">
      <w:pPr>
        <w:spacing w:line="360" w:lineRule="auto"/>
      </w:pPr>
      <w:r>
        <w:t xml:space="preserve">To complement the quantitative findings, a qualitative phase was conducted approximately </w:t>
      </w:r>
      <w:r w:rsidR="65227854">
        <w:t>18 months</w:t>
      </w:r>
      <w:r>
        <w:t xml:space="preserve"> after the initial intervention. Semi-structured interviews were held with three participants to explore:</w:t>
      </w:r>
    </w:p>
    <w:p w14:paraId="714306F7" w14:textId="77777777" w:rsidR="00251F2B" w:rsidRPr="00270AF2" w:rsidRDefault="00251F2B" w:rsidP="00122C7C">
      <w:pPr>
        <w:numPr>
          <w:ilvl w:val="0"/>
          <w:numId w:val="8"/>
        </w:numPr>
        <w:spacing w:line="360" w:lineRule="auto"/>
      </w:pPr>
      <w:r w:rsidRPr="00270AF2">
        <w:t>Whether they had continued to engage in walking in nature.</w:t>
      </w:r>
    </w:p>
    <w:p w14:paraId="336F1516" w14:textId="77777777" w:rsidR="00251F2B" w:rsidRPr="00270AF2" w:rsidRDefault="00251F2B" w:rsidP="00122C7C">
      <w:pPr>
        <w:numPr>
          <w:ilvl w:val="0"/>
          <w:numId w:val="8"/>
        </w:numPr>
        <w:spacing w:line="360" w:lineRule="auto"/>
      </w:pPr>
      <w:r w:rsidRPr="00270AF2">
        <w:t>Perceived long-term benefits and challenges associated with this practice.</w:t>
      </w:r>
    </w:p>
    <w:p w14:paraId="4788C170" w14:textId="77777777" w:rsidR="00251F2B" w:rsidRPr="00270AF2" w:rsidRDefault="00251F2B" w:rsidP="00122C7C">
      <w:pPr>
        <w:numPr>
          <w:ilvl w:val="0"/>
          <w:numId w:val="8"/>
        </w:numPr>
        <w:spacing w:line="360" w:lineRule="auto"/>
      </w:pPr>
      <w:r w:rsidRPr="00270AF2">
        <w:t>Broader reflections on the role of nature in their daily lives and mental health maintenance.</w:t>
      </w:r>
    </w:p>
    <w:p w14:paraId="6471B45C" w14:textId="096BA8A5" w:rsidR="00251F2B" w:rsidRPr="00270AF2" w:rsidRDefault="6330C699" w:rsidP="00122C7C">
      <w:pPr>
        <w:spacing w:line="360" w:lineRule="auto"/>
      </w:pPr>
      <w:r w:rsidRPr="02A6AE13">
        <w:lastRenderedPageBreak/>
        <w:t xml:space="preserve">Interviews were transcribed </w:t>
      </w:r>
      <w:r w:rsidR="45DF2F2B" w:rsidRPr="02A6AE13">
        <w:t>by Microsoft Teams</w:t>
      </w:r>
      <w:r w:rsidRPr="02A6AE13">
        <w:t xml:space="preserve"> and analysed thematically, allowing recurrent patterns</w:t>
      </w:r>
      <w:r w:rsidR="5A0DADFE" w:rsidRPr="02A6AE13">
        <w:t xml:space="preserve"> and</w:t>
      </w:r>
      <w:r w:rsidRPr="02A6AE13">
        <w:t xml:space="preserve"> unique experiences</w:t>
      </w:r>
      <w:r w:rsidR="3FC934C6" w:rsidRPr="02A6AE13">
        <w:t xml:space="preserve"> be reviewed</w:t>
      </w:r>
      <w:r w:rsidRPr="02A6AE13">
        <w:t>. The qualitative findings were used to provide context to the quantitative results, particularly in understanding sustainability of the behaviour and perceived relevance in participants’ ongoing lives.</w:t>
      </w:r>
    </w:p>
    <w:p w14:paraId="12E88E6F" w14:textId="05D4CAA2" w:rsidR="0040144E" w:rsidRDefault="6330C699" w:rsidP="00122C7C">
      <w:pPr>
        <w:spacing w:line="360" w:lineRule="auto"/>
      </w:pPr>
      <w:r w:rsidRPr="02A6AE13">
        <w:t xml:space="preserve">The integration of quantitative and qualitative approaches was </w:t>
      </w:r>
      <w:r w:rsidR="5FE963F9" w:rsidRPr="02A6AE13">
        <w:t xml:space="preserve">not initially designed but became any option due to circumstance.  The </w:t>
      </w:r>
      <w:r w:rsidR="66AB3CD0" w:rsidRPr="02A6AE13">
        <w:t>researcher's</w:t>
      </w:r>
      <w:r w:rsidR="5FE963F9" w:rsidRPr="02A6AE13">
        <w:t xml:space="preserve"> father was diagnosed with terminal cancer which delayed the analysis of the initial data.  O</w:t>
      </w:r>
      <w:r w:rsidR="5A2E117E" w:rsidRPr="02A6AE13">
        <w:t>nce analysis recommenced it was clear there was an opportunity for an element of longitudinal study to be introduced.  The introduction of the follow up interview</w:t>
      </w:r>
      <w:r w:rsidR="104DC226" w:rsidRPr="02A6AE13">
        <w:t>s gave a unique opportunity to i</w:t>
      </w:r>
      <w:r w:rsidRPr="02A6AE13">
        <w:t>lluminate the personal meaning and practical realities of sustaining nature-based walking over time</w:t>
      </w:r>
      <w:r w:rsidR="4CFCE182" w:rsidRPr="02A6AE13">
        <w:t xml:space="preserve"> for this cohort</w:t>
      </w:r>
      <w:r w:rsidRPr="02A6AE13">
        <w:t xml:space="preserve">. </w:t>
      </w:r>
    </w:p>
    <w:p w14:paraId="25D642E5" w14:textId="2F529FCB" w:rsidR="00AA4C44" w:rsidRPr="00251F2B" w:rsidRDefault="00251F2B" w:rsidP="00122C7C">
      <w:pPr>
        <w:spacing w:line="360" w:lineRule="auto"/>
        <w:rPr>
          <w:rFonts w:ascii="Aptos" w:eastAsia="Aptos" w:hAnsi="Aptos" w:cs="Aptos"/>
          <w:b/>
          <w:bCs/>
        </w:rPr>
      </w:pPr>
      <w:r>
        <w:rPr>
          <w:rFonts w:ascii="Aptos" w:eastAsia="Aptos" w:hAnsi="Aptos" w:cs="Aptos"/>
          <w:b/>
          <w:bCs/>
        </w:rPr>
        <w:br w:type="page"/>
      </w:r>
    </w:p>
    <w:p w14:paraId="61C381FB" w14:textId="13FD03B5" w:rsidR="00AA4C44" w:rsidRDefault="0F52D20D" w:rsidP="00122C7C">
      <w:pPr>
        <w:spacing w:line="360" w:lineRule="auto"/>
      </w:pPr>
      <w:r w:rsidRPr="1259BC21">
        <w:rPr>
          <w:rFonts w:ascii="Aptos" w:eastAsia="Aptos" w:hAnsi="Aptos" w:cs="Aptos"/>
          <w:b/>
          <w:bCs/>
        </w:rPr>
        <w:lastRenderedPageBreak/>
        <w:t>Literature Review</w:t>
      </w:r>
    </w:p>
    <w:p w14:paraId="6DBD9264" w14:textId="02164558" w:rsidR="00AA4C44" w:rsidRDefault="6DC4647D" w:rsidP="00122C7C">
      <w:pPr>
        <w:spacing w:line="360" w:lineRule="auto"/>
      </w:pPr>
      <w:r w:rsidRPr="02A6AE13">
        <w:rPr>
          <w:rFonts w:ascii="Aptos" w:eastAsia="Aptos" w:hAnsi="Aptos" w:cs="Aptos"/>
        </w:rPr>
        <w:t xml:space="preserve">This literature review </w:t>
      </w:r>
      <w:commentRangeStart w:id="0"/>
      <w:commentRangeStart w:id="1"/>
      <w:commentRangeStart w:id="2"/>
      <w:commentRangeStart w:id="3"/>
      <w:r w:rsidRPr="02A6AE13">
        <w:rPr>
          <w:rFonts w:ascii="Aptos" w:eastAsia="Aptos" w:hAnsi="Aptos" w:cs="Aptos"/>
        </w:rPr>
        <w:t>aim</w:t>
      </w:r>
      <w:commentRangeEnd w:id="0"/>
      <w:r w:rsidR="0F52D20D" w:rsidRPr="02A6AE13">
        <w:rPr>
          <w:rStyle w:val="CommentReference"/>
          <w:rFonts w:ascii="Aptos" w:eastAsia="Aptos" w:hAnsi="Aptos" w:cs="Aptos"/>
          <w:sz w:val="24"/>
          <w:szCs w:val="24"/>
        </w:rPr>
        <w:commentReference w:id="0"/>
      </w:r>
      <w:commentRangeEnd w:id="1"/>
      <w:r w:rsidR="0F52D20D" w:rsidRPr="02A6AE13">
        <w:rPr>
          <w:rStyle w:val="CommentReference"/>
          <w:rFonts w:ascii="Aptos" w:eastAsia="Aptos" w:hAnsi="Aptos" w:cs="Aptos"/>
          <w:sz w:val="24"/>
          <w:szCs w:val="24"/>
        </w:rPr>
        <w:commentReference w:id="1"/>
      </w:r>
      <w:commentRangeEnd w:id="2"/>
      <w:r w:rsidR="0F52D20D" w:rsidRPr="02A6AE13">
        <w:rPr>
          <w:rStyle w:val="CommentReference"/>
          <w:rFonts w:ascii="Aptos" w:eastAsia="Aptos" w:hAnsi="Aptos" w:cs="Aptos"/>
          <w:sz w:val="24"/>
          <w:szCs w:val="24"/>
        </w:rPr>
        <w:commentReference w:id="2"/>
      </w:r>
      <w:commentRangeEnd w:id="3"/>
      <w:r w:rsidR="0F52D20D" w:rsidRPr="02A6AE13">
        <w:rPr>
          <w:rStyle w:val="CommentReference"/>
          <w:rFonts w:ascii="Aptos" w:eastAsia="Aptos" w:hAnsi="Aptos" w:cs="Aptos"/>
          <w:sz w:val="24"/>
          <w:szCs w:val="24"/>
        </w:rPr>
        <w:commentReference w:id="3"/>
      </w:r>
      <w:r w:rsidR="23EE1DAA" w:rsidRPr="02A6AE13">
        <w:rPr>
          <w:rFonts w:ascii="Aptos" w:eastAsia="Aptos" w:hAnsi="Aptos" w:cs="Aptos"/>
        </w:rPr>
        <w:t xml:space="preserve">ed </w:t>
      </w:r>
      <w:r w:rsidR="7157AC24" w:rsidRPr="02A6AE13">
        <w:rPr>
          <w:rFonts w:ascii="Aptos" w:eastAsia="Aptos" w:hAnsi="Aptos" w:cs="Aptos"/>
        </w:rPr>
        <w:t>t</w:t>
      </w:r>
      <w:r w:rsidRPr="02A6AE13">
        <w:rPr>
          <w:rFonts w:ascii="Aptos" w:eastAsia="Aptos" w:hAnsi="Aptos" w:cs="Aptos"/>
        </w:rPr>
        <w:t xml:space="preserve">o critically examine the current literature on nature connection and its link to human health and wellbeing, with a particular emphasis on dose and frequency for adults with young children. To effectively provide the wider context for the current study, </w:t>
      </w:r>
      <w:r w:rsidR="2F8B9676" w:rsidRPr="02A6AE13">
        <w:rPr>
          <w:rFonts w:ascii="Aptos" w:eastAsia="Aptos" w:hAnsi="Aptos" w:cs="Aptos"/>
        </w:rPr>
        <w:t>we will consider the</w:t>
      </w:r>
      <w:r w:rsidRPr="02A6AE13">
        <w:rPr>
          <w:rFonts w:ascii="Aptos" w:eastAsia="Aptos" w:hAnsi="Aptos" w:cs="Aptos"/>
        </w:rPr>
        <w:t xml:space="preserve"> research around the mental health benefits of exposure to natural spaces before exploring walking in nature more specifically. Next, </w:t>
      </w:r>
      <w:r w:rsidR="6689149B" w:rsidRPr="02A6AE13">
        <w:rPr>
          <w:rFonts w:ascii="Aptos" w:eastAsia="Aptos" w:hAnsi="Aptos" w:cs="Aptos"/>
        </w:rPr>
        <w:t xml:space="preserve">we </w:t>
      </w:r>
      <w:r w:rsidRPr="02A6AE13">
        <w:rPr>
          <w:rFonts w:ascii="Aptos" w:eastAsia="Aptos" w:hAnsi="Aptos" w:cs="Aptos"/>
        </w:rPr>
        <w:t xml:space="preserve">will explore the literature around burnout prevention through nature connection before exploring working parents as a vulnerable population.  In reviewing the research base, </w:t>
      </w:r>
      <w:r w:rsidR="57E54A30" w:rsidRPr="02A6AE13">
        <w:rPr>
          <w:rFonts w:ascii="Aptos" w:eastAsia="Aptos" w:hAnsi="Aptos" w:cs="Aptos"/>
        </w:rPr>
        <w:t>the aim is to</w:t>
      </w:r>
      <w:r w:rsidRPr="02A6AE13">
        <w:rPr>
          <w:rFonts w:ascii="Aptos" w:eastAsia="Aptos" w:hAnsi="Aptos" w:cs="Aptos"/>
        </w:rPr>
        <w:t xml:space="preserve"> provide a critique of the methodologies employed and identify </w:t>
      </w:r>
      <w:r w:rsidR="15EEA61D" w:rsidRPr="02A6AE13">
        <w:rPr>
          <w:rFonts w:ascii="Aptos" w:eastAsia="Aptos" w:hAnsi="Aptos" w:cs="Aptos"/>
        </w:rPr>
        <w:t>gaps</w:t>
      </w:r>
      <w:r w:rsidRPr="02A6AE13">
        <w:rPr>
          <w:rFonts w:ascii="Aptos" w:eastAsia="Aptos" w:hAnsi="Aptos" w:cs="Aptos"/>
        </w:rPr>
        <w:t xml:space="preserve"> in the research for further exploration.  Finally, </w:t>
      </w:r>
      <w:r w:rsidR="53D19934" w:rsidRPr="02A6AE13">
        <w:rPr>
          <w:rFonts w:ascii="Aptos" w:eastAsia="Aptos" w:hAnsi="Aptos" w:cs="Aptos"/>
        </w:rPr>
        <w:t xml:space="preserve">this paper will </w:t>
      </w:r>
      <w:r w:rsidRPr="02A6AE13">
        <w:rPr>
          <w:rFonts w:ascii="Aptos" w:eastAsia="Aptos" w:hAnsi="Aptos" w:cs="Aptos"/>
        </w:rPr>
        <w:t>provide reference throughout to well established and widely accepted frameworks through which we can consider the research question of the current study.</w:t>
      </w:r>
    </w:p>
    <w:p w14:paraId="2A4B0055" w14:textId="2EA4737F" w:rsidR="00AA4C44" w:rsidRDefault="00AA4C44" w:rsidP="00122C7C">
      <w:pPr>
        <w:spacing w:line="360" w:lineRule="auto"/>
        <w:rPr>
          <w:rFonts w:ascii="Aptos" w:eastAsia="Aptos" w:hAnsi="Aptos" w:cs="Aptos"/>
        </w:rPr>
      </w:pPr>
    </w:p>
    <w:p w14:paraId="37CEF2E0" w14:textId="0939A6E5" w:rsidR="00AA4C44" w:rsidRDefault="6DC4647D" w:rsidP="00122C7C">
      <w:pPr>
        <w:spacing w:line="360" w:lineRule="auto"/>
      </w:pPr>
      <w:commentRangeStart w:id="4"/>
      <w:commentRangeStart w:id="5"/>
      <w:commentRangeStart w:id="6"/>
      <w:r w:rsidRPr="02A6AE13">
        <w:rPr>
          <w:rFonts w:ascii="Aptos" w:eastAsia="Aptos" w:hAnsi="Aptos" w:cs="Aptos"/>
          <w:strike/>
        </w:rPr>
        <w:t xml:space="preserve">Human wellbeing and mental burnout </w:t>
      </w:r>
      <w:r w:rsidR="72620288" w:rsidRPr="02A6AE13">
        <w:rPr>
          <w:rFonts w:ascii="Aptos" w:eastAsia="Aptos" w:hAnsi="Aptos" w:cs="Aptos"/>
          <w:strike/>
        </w:rPr>
        <w:t>are</w:t>
      </w:r>
      <w:r w:rsidRPr="02A6AE13">
        <w:rPr>
          <w:rFonts w:ascii="Aptos" w:eastAsia="Aptos" w:hAnsi="Aptos" w:cs="Aptos"/>
          <w:strike/>
        </w:rPr>
        <w:t xml:space="preserve"> an increasingly pressing concern in modern society, particularly among full-time working parents who often </w:t>
      </w:r>
      <w:bookmarkStart w:id="7" w:name="_Int_DBaHvkJ5"/>
      <w:r w:rsidRPr="02A6AE13">
        <w:rPr>
          <w:rFonts w:ascii="Aptos" w:eastAsia="Aptos" w:hAnsi="Aptos" w:cs="Aptos"/>
          <w:strike/>
        </w:rPr>
        <w:t>have to</w:t>
      </w:r>
      <w:bookmarkEnd w:id="7"/>
      <w:r w:rsidRPr="02A6AE13">
        <w:rPr>
          <w:rFonts w:ascii="Aptos" w:eastAsia="Aptos" w:hAnsi="Aptos" w:cs="Aptos"/>
          <w:strike/>
        </w:rPr>
        <w:t xml:space="preserve"> juggle the demands of work and family life simultaneously</w:t>
      </w:r>
      <w:commentRangeEnd w:id="4"/>
      <w:r w:rsidR="0F52D20D" w:rsidRPr="02A6AE13">
        <w:rPr>
          <w:rStyle w:val="CommentReference"/>
          <w:rFonts w:ascii="Aptos" w:eastAsia="Aptos" w:hAnsi="Aptos" w:cs="Aptos"/>
          <w:strike/>
          <w:sz w:val="24"/>
          <w:szCs w:val="24"/>
        </w:rPr>
        <w:commentReference w:id="4"/>
      </w:r>
      <w:commentRangeEnd w:id="5"/>
      <w:r w:rsidR="0F52D20D" w:rsidRPr="02A6AE13">
        <w:rPr>
          <w:rStyle w:val="CommentReference"/>
          <w:rFonts w:ascii="Aptos" w:eastAsia="Aptos" w:hAnsi="Aptos" w:cs="Aptos"/>
          <w:strike/>
          <w:sz w:val="24"/>
          <w:szCs w:val="24"/>
        </w:rPr>
        <w:commentReference w:id="5"/>
      </w:r>
      <w:commentRangeEnd w:id="6"/>
      <w:r w:rsidR="0F52D20D" w:rsidRPr="02A6AE13">
        <w:rPr>
          <w:rStyle w:val="CommentReference"/>
          <w:rFonts w:ascii="Aptos" w:eastAsia="Aptos" w:hAnsi="Aptos" w:cs="Aptos"/>
          <w:strike/>
          <w:sz w:val="24"/>
          <w:szCs w:val="24"/>
        </w:rPr>
        <w:commentReference w:id="6"/>
      </w:r>
      <w:r w:rsidRPr="02A6AE13">
        <w:rPr>
          <w:rFonts w:ascii="Aptos" w:eastAsia="Aptos" w:hAnsi="Aptos" w:cs="Aptos"/>
          <w:strike/>
        </w:rPr>
        <w:t>.</w:t>
      </w:r>
      <w:r w:rsidRPr="02A6AE13">
        <w:rPr>
          <w:rFonts w:ascii="Aptos" w:eastAsia="Aptos" w:hAnsi="Aptos" w:cs="Aptos"/>
        </w:rPr>
        <w:t xml:space="preserve"> </w:t>
      </w:r>
    </w:p>
    <w:p w14:paraId="7E2561C2" w14:textId="4682B894" w:rsidR="00AA4C44" w:rsidRDefault="1E3A5120" w:rsidP="00122C7C">
      <w:pPr>
        <w:spacing w:line="360" w:lineRule="auto"/>
        <w:rPr>
          <w:rFonts w:ascii="Aptos" w:eastAsia="Aptos" w:hAnsi="Aptos" w:cs="Aptos"/>
        </w:rPr>
      </w:pPr>
      <w:r w:rsidRPr="02A6AE13">
        <w:rPr>
          <w:rFonts w:ascii="Aptos" w:eastAsia="Aptos" w:hAnsi="Aptos" w:cs="Aptos"/>
        </w:rPr>
        <w:t>Burnout</w:t>
      </w:r>
      <w:r w:rsidR="5EC1B75D" w:rsidRPr="02A6AE13">
        <w:rPr>
          <w:rFonts w:ascii="Aptos" w:eastAsia="Aptos" w:hAnsi="Aptos" w:cs="Aptos"/>
        </w:rPr>
        <w:t xml:space="preserve"> </w:t>
      </w:r>
      <w:r w:rsidRPr="02A6AE13">
        <w:rPr>
          <w:rFonts w:ascii="Aptos" w:eastAsia="Aptos" w:hAnsi="Aptos" w:cs="Aptos"/>
        </w:rPr>
        <w:t>can be defined as chronic emotional exhaustion, depersonalization, and diminished view of personal accomplishment (Maslach et al., 2001).  Maslach further recognises that parents</w:t>
      </w:r>
      <w:r w:rsidR="7448D94C" w:rsidRPr="02A6AE13">
        <w:rPr>
          <w:rFonts w:ascii="Aptos" w:eastAsia="Aptos" w:hAnsi="Aptos" w:cs="Aptos"/>
        </w:rPr>
        <w:t xml:space="preserve"> may be at high risk of burnout, i</w:t>
      </w:r>
      <w:r w:rsidRPr="02A6AE13">
        <w:rPr>
          <w:rFonts w:ascii="Aptos" w:eastAsia="Aptos" w:hAnsi="Aptos" w:cs="Aptos"/>
        </w:rPr>
        <w:t xml:space="preserve">n large part due to the sustained daily pressures associated with parenthood (Maslach et al., 2001). </w:t>
      </w:r>
      <w:r w:rsidR="234C37AE" w:rsidRPr="02A6AE13">
        <w:rPr>
          <w:rFonts w:ascii="Aptos" w:eastAsia="Aptos" w:hAnsi="Aptos" w:cs="Aptos"/>
        </w:rPr>
        <w:t>World Health Organisation and multiple research studies identify an increasing prevalence of burnout and poor m</w:t>
      </w:r>
      <w:r w:rsidR="4AFC3917" w:rsidRPr="02A6AE13">
        <w:rPr>
          <w:rFonts w:ascii="Aptos" w:eastAsia="Aptos" w:hAnsi="Aptos" w:cs="Aptos"/>
        </w:rPr>
        <w:t>ental</w:t>
      </w:r>
      <w:r w:rsidR="77A7E504" w:rsidRPr="02A6AE13">
        <w:rPr>
          <w:rFonts w:ascii="Aptos" w:eastAsia="Aptos" w:hAnsi="Aptos" w:cs="Aptos"/>
        </w:rPr>
        <w:t xml:space="preserve"> wellbeing </w:t>
      </w:r>
      <w:r w:rsidR="55CFF635" w:rsidRPr="02A6AE13">
        <w:rPr>
          <w:rFonts w:ascii="Aptos" w:eastAsia="Aptos" w:hAnsi="Aptos" w:cs="Aptos"/>
        </w:rPr>
        <w:t xml:space="preserve">in </w:t>
      </w:r>
      <w:r w:rsidR="77A7E504" w:rsidRPr="02A6AE13">
        <w:rPr>
          <w:rFonts w:ascii="Aptos" w:eastAsia="Aptos" w:hAnsi="Aptos" w:cs="Aptos"/>
        </w:rPr>
        <w:t>full-time working parents</w:t>
      </w:r>
      <w:r w:rsidR="58C36335" w:rsidRPr="02A6AE13">
        <w:rPr>
          <w:rFonts w:ascii="Aptos" w:eastAsia="Aptos" w:hAnsi="Aptos" w:cs="Aptos"/>
        </w:rPr>
        <w:t>,</w:t>
      </w:r>
      <w:r w:rsidR="77A7E504" w:rsidRPr="02A6AE13">
        <w:rPr>
          <w:rFonts w:ascii="Aptos" w:eastAsia="Aptos" w:hAnsi="Aptos" w:cs="Aptos"/>
        </w:rPr>
        <w:t xml:space="preserve"> who often have to juggle the demands of work and family life simultaneously (World Health Organization, 2019; Maslach &amp; Leiter, 2016; Chung et al., 2020; Aumann et al., 2011). </w:t>
      </w:r>
      <w:r w:rsidR="68639444" w:rsidRPr="02A6AE13">
        <w:rPr>
          <w:rFonts w:ascii="Aptos" w:eastAsia="Aptos" w:hAnsi="Aptos" w:cs="Aptos"/>
        </w:rPr>
        <w:t xml:space="preserve"> </w:t>
      </w:r>
      <w:r w:rsidR="3EC8013E" w:rsidRPr="02A6AE13">
        <w:rPr>
          <w:rFonts w:ascii="Aptos" w:eastAsia="Aptos" w:hAnsi="Aptos" w:cs="Aptos"/>
        </w:rPr>
        <w:t>Wo</w:t>
      </w:r>
      <w:r w:rsidR="6DC4647D" w:rsidRPr="02A6AE13">
        <w:rPr>
          <w:rFonts w:ascii="Aptos" w:eastAsia="Aptos" w:hAnsi="Aptos" w:cs="Aptos"/>
        </w:rPr>
        <w:t xml:space="preserve">rk responsibilities, financial pressure, childcare </w:t>
      </w:r>
      <w:r w:rsidR="5E992464" w:rsidRPr="02A6AE13">
        <w:rPr>
          <w:rFonts w:ascii="Aptos" w:eastAsia="Aptos" w:hAnsi="Aptos" w:cs="Aptos"/>
        </w:rPr>
        <w:t>duties,</w:t>
      </w:r>
      <w:r w:rsidR="6DC4647D" w:rsidRPr="02A6AE13">
        <w:rPr>
          <w:rFonts w:ascii="Aptos" w:eastAsia="Aptos" w:hAnsi="Aptos" w:cs="Aptos"/>
        </w:rPr>
        <w:t xml:space="preserve"> and other parental commitments </w:t>
      </w:r>
      <w:r w:rsidR="22EDC516" w:rsidRPr="02A6AE13">
        <w:rPr>
          <w:rFonts w:ascii="Aptos" w:eastAsia="Aptos" w:hAnsi="Aptos" w:cs="Aptos"/>
        </w:rPr>
        <w:t>may</w:t>
      </w:r>
      <w:r w:rsidR="6DC4647D" w:rsidRPr="02A6AE13">
        <w:rPr>
          <w:rFonts w:ascii="Aptos" w:eastAsia="Aptos" w:hAnsi="Aptos" w:cs="Aptos"/>
        </w:rPr>
        <w:t xml:space="preserve"> lead to elevated stress levels, compromised mental health, and an increased risk of burnout (Gascon et al., 2018; van den Berg &amp; Beute, 2021).  </w:t>
      </w:r>
    </w:p>
    <w:p w14:paraId="043D2A1F" w14:textId="7F077A77" w:rsidR="00AA4C44" w:rsidRDefault="45F05826" w:rsidP="00122C7C">
      <w:pPr>
        <w:spacing w:line="360" w:lineRule="auto"/>
      </w:pPr>
      <w:r w:rsidRPr="02A6AE13">
        <w:rPr>
          <w:rFonts w:ascii="Aptos" w:eastAsia="Aptos" w:hAnsi="Aptos" w:cs="Aptos"/>
        </w:rPr>
        <w:t>Ti</w:t>
      </w:r>
      <w:r w:rsidR="6DC4647D" w:rsidRPr="02A6AE13">
        <w:rPr>
          <w:rFonts w:ascii="Aptos" w:eastAsia="Aptos" w:hAnsi="Aptos" w:cs="Aptos"/>
        </w:rPr>
        <w:t xml:space="preserve">me in green spaces can significantly contribute to enhanced mental </w:t>
      </w:r>
      <w:r w:rsidR="7438D2AA" w:rsidRPr="02A6AE13">
        <w:rPr>
          <w:rFonts w:ascii="Aptos" w:eastAsia="Aptos" w:hAnsi="Aptos" w:cs="Aptos"/>
        </w:rPr>
        <w:t xml:space="preserve">wellbeing and facilitate </w:t>
      </w:r>
      <w:r w:rsidR="6DC4647D" w:rsidRPr="02A6AE13">
        <w:rPr>
          <w:rFonts w:ascii="Aptos" w:eastAsia="Aptos" w:hAnsi="Aptos" w:cs="Aptos"/>
        </w:rPr>
        <w:t>stress relief</w:t>
      </w:r>
      <w:r w:rsidR="3D7C4684" w:rsidRPr="02A6AE13">
        <w:rPr>
          <w:rFonts w:ascii="Aptos" w:eastAsia="Aptos" w:hAnsi="Aptos" w:cs="Aptos"/>
        </w:rPr>
        <w:t xml:space="preserve"> </w:t>
      </w:r>
      <w:r w:rsidR="6DC4647D" w:rsidRPr="02A6AE13">
        <w:rPr>
          <w:rFonts w:ascii="Aptos" w:eastAsia="Aptos" w:hAnsi="Aptos" w:cs="Aptos"/>
        </w:rPr>
        <w:t xml:space="preserve">(Coventry et al., 2021; Gascon et al., 2018).  </w:t>
      </w:r>
      <w:r w:rsidR="32457F0B" w:rsidRPr="02A6AE13">
        <w:rPr>
          <w:rFonts w:ascii="Aptos" w:eastAsia="Aptos" w:hAnsi="Aptos" w:cs="Aptos"/>
        </w:rPr>
        <w:t>F</w:t>
      </w:r>
      <w:r w:rsidR="6DC4647D" w:rsidRPr="02A6AE13">
        <w:rPr>
          <w:rFonts w:ascii="Aptos" w:eastAsia="Aptos" w:hAnsi="Aptos" w:cs="Aptos"/>
        </w:rPr>
        <w:t>rameworks such as Attention Restoration Theory (ART) and Stress Reduction Theory (SRT)</w:t>
      </w:r>
      <w:r w:rsidR="71CDB27F" w:rsidRPr="02A6AE13">
        <w:rPr>
          <w:rFonts w:ascii="Aptos" w:eastAsia="Aptos" w:hAnsi="Aptos" w:cs="Aptos"/>
        </w:rPr>
        <w:t xml:space="preserve">, both </w:t>
      </w:r>
      <w:r w:rsidR="6DC4647D" w:rsidRPr="02A6AE13">
        <w:rPr>
          <w:rFonts w:ascii="Aptos" w:eastAsia="Aptos" w:hAnsi="Aptos" w:cs="Aptos"/>
        </w:rPr>
        <w:t xml:space="preserve">developed </w:t>
      </w:r>
      <w:r w:rsidR="6DC4647D" w:rsidRPr="02A6AE13">
        <w:rPr>
          <w:rFonts w:ascii="Aptos" w:eastAsia="Aptos" w:hAnsi="Aptos" w:cs="Aptos"/>
        </w:rPr>
        <w:lastRenderedPageBreak/>
        <w:t>more than three decades ago, proposed that the natural world can restore mood and wellbeing and replenish cognitive capacity (Kaplan &amp; Kaplan, 1989; Ulrich et al., 1991). These theories suggest that experiences in nature can improve mental wellbeing and help protect against the effects of burnout.  Further, multiple meta-analyses demonstrate</w:t>
      </w:r>
      <w:r w:rsidR="63672B26" w:rsidRPr="02A6AE13">
        <w:rPr>
          <w:rFonts w:ascii="Aptos" w:eastAsia="Aptos" w:hAnsi="Aptos" w:cs="Aptos"/>
        </w:rPr>
        <w:t>d</w:t>
      </w:r>
      <w:r w:rsidR="6DC4647D" w:rsidRPr="02A6AE13">
        <w:rPr>
          <w:rFonts w:ascii="Aptos" w:eastAsia="Aptos" w:hAnsi="Aptos" w:cs="Aptos"/>
        </w:rPr>
        <w:t xml:space="preserve"> that exposure to green spaces can reduce anxiety, improve </w:t>
      </w:r>
      <w:r w:rsidR="699D8FD3" w:rsidRPr="02A6AE13">
        <w:rPr>
          <w:rFonts w:ascii="Aptos" w:eastAsia="Aptos" w:hAnsi="Aptos" w:cs="Aptos"/>
        </w:rPr>
        <w:t>mood,</w:t>
      </w:r>
      <w:r w:rsidR="6DC4647D" w:rsidRPr="02A6AE13">
        <w:rPr>
          <w:rFonts w:ascii="Aptos" w:eastAsia="Aptos" w:hAnsi="Aptos" w:cs="Aptos"/>
        </w:rPr>
        <w:t xml:space="preserve"> and help remediate depressive symptoms (Roberts et al., 2019; Bray et al., 2022). </w:t>
      </w:r>
    </w:p>
    <w:p w14:paraId="3416A7EF" w14:textId="17BF7E12" w:rsidR="00745FDB" w:rsidRDefault="0B77B2C0" w:rsidP="00122C7C">
      <w:pPr>
        <w:spacing w:line="360" w:lineRule="auto"/>
        <w:rPr>
          <w:rFonts w:ascii="Aptos" w:eastAsia="Aptos" w:hAnsi="Aptos" w:cs="Aptos"/>
        </w:rPr>
      </w:pPr>
      <w:r w:rsidRPr="02A6AE13">
        <w:rPr>
          <w:rFonts w:ascii="Aptos" w:eastAsia="Aptos" w:hAnsi="Aptos" w:cs="Aptos"/>
        </w:rPr>
        <w:t>We know from the literature that time in nature is positive for human health</w:t>
      </w:r>
      <w:r w:rsidR="71719E7F" w:rsidRPr="02A6AE13">
        <w:rPr>
          <w:rFonts w:ascii="Aptos" w:eastAsia="Aptos" w:hAnsi="Aptos" w:cs="Aptos"/>
        </w:rPr>
        <w:t xml:space="preserve"> and there is additional evidence that physical activity in nature can amplify that impact (</w:t>
      </w:r>
      <w:r w:rsidR="6DC4647D" w:rsidRPr="02A6AE13">
        <w:rPr>
          <w:rFonts w:ascii="Aptos" w:eastAsia="Aptos" w:hAnsi="Aptos" w:cs="Aptos"/>
        </w:rPr>
        <w:t xml:space="preserve">Lopes et al., 2020; </w:t>
      </w:r>
      <w:bookmarkStart w:id="8" w:name="_Int_pnWd5HEX"/>
      <w:r w:rsidR="6DC4647D" w:rsidRPr="02A6AE13">
        <w:rPr>
          <w:rFonts w:ascii="Aptos" w:eastAsia="Aptos" w:hAnsi="Aptos" w:cs="Aptos"/>
        </w:rPr>
        <w:t>Olafsdóttir</w:t>
      </w:r>
      <w:bookmarkEnd w:id="8"/>
      <w:r w:rsidR="6DC4647D" w:rsidRPr="02A6AE13">
        <w:rPr>
          <w:rFonts w:ascii="Aptos" w:eastAsia="Aptos" w:hAnsi="Aptos" w:cs="Aptos"/>
        </w:rPr>
        <w:t xml:space="preserve"> et al., 2020)</w:t>
      </w:r>
      <w:bookmarkStart w:id="9" w:name="_Int_LvCxhRRR"/>
      <w:r w:rsidR="6DC4647D" w:rsidRPr="02A6AE13">
        <w:rPr>
          <w:rFonts w:ascii="Aptos" w:eastAsia="Aptos" w:hAnsi="Aptos" w:cs="Aptos"/>
        </w:rPr>
        <w:t xml:space="preserve">.  </w:t>
      </w:r>
      <w:r w:rsidR="7E05B0E1" w:rsidRPr="02A6AE13">
        <w:rPr>
          <w:rFonts w:ascii="Aptos" w:eastAsia="Aptos" w:hAnsi="Aptos" w:cs="Aptos"/>
        </w:rPr>
        <w:t>This represents an interesting insight</w:t>
      </w:r>
      <w:r w:rsidR="76FD89C2" w:rsidRPr="02A6AE13">
        <w:rPr>
          <w:rFonts w:ascii="Aptos" w:eastAsia="Aptos" w:hAnsi="Aptos" w:cs="Aptos"/>
        </w:rPr>
        <w:t>,</w:t>
      </w:r>
      <w:r w:rsidR="7E05B0E1" w:rsidRPr="02A6AE13">
        <w:rPr>
          <w:rFonts w:ascii="Aptos" w:eastAsia="Aptos" w:hAnsi="Aptos" w:cs="Aptos"/>
        </w:rPr>
        <w:t xml:space="preserve"> when considering the design of interventions for working parents.  </w:t>
      </w:r>
      <w:r w:rsidR="2A653034" w:rsidRPr="02A6AE13">
        <w:rPr>
          <w:rFonts w:ascii="Aptos" w:eastAsia="Aptos" w:hAnsi="Aptos" w:cs="Aptos"/>
        </w:rPr>
        <w:t>S</w:t>
      </w:r>
      <w:bookmarkEnd w:id="9"/>
      <w:r w:rsidR="6DC4647D" w:rsidRPr="02A6AE13">
        <w:rPr>
          <w:rFonts w:ascii="Aptos" w:eastAsia="Aptos" w:hAnsi="Aptos" w:cs="Aptos"/>
        </w:rPr>
        <w:t xml:space="preserve">ignificant gaps remain regarding the </w:t>
      </w:r>
      <w:r w:rsidR="0B023A04" w:rsidRPr="02A6AE13">
        <w:rPr>
          <w:rFonts w:ascii="Aptos" w:eastAsia="Aptos" w:hAnsi="Aptos" w:cs="Aptos"/>
        </w:rPr>
        <w:t xml:space="preserve">guidance we can offer in terms of </w:t>
      </w:r>
      <w:r w:rsidR="00BD1C19" w:rsidRPr="02A6AE13">
        <w:rPr>
          <w:rFonts w:ascii="Aptos" w:eastAsia="Aptos" w:hAnsi="Aptos" w:cs="Aptos"/>
        </w:rPr>
        <w:t>intensity</w:t>
      </w:r>
      <w:r w:rsidR="6DC4647D" w:rsidRPr="02A6AE13">
        <w:rPr>
          <w:rFonts w:ascii="Aptos" w:eastAsia="Aptos" w:hAnsi="Aptos" w:cs="Aptos"/>
        </w:rPr>
        <w:t xml:space="preserve"> </w:t>
      </w:r>
      <w:r w:rsidR="019EA872" w:rsidRPr="02A6AE13">
        <w:rPr>
          <w:rFonts w:ascii="Aptos" w:eastAsia="Aptos" w:hAnsi="Aptos" w:cs="Aptos"/>
        </w:rPr>
        <w:t xml:space="preserve">and </w:t>
      </w:r>
      <w:r w:rsidR="2E016131" w:rsidRPr="02A6AE13">
        <w:rPr>
          <w:rFonts w:ascii="Aptos" w:eastAsia="Aptos" w:hAnsi="Aptos" w:cs="Aptos"/>
        </w:rPr>
        <w:t xml:space="preserve">duration </w:t>
      </w:r>
      <w:r w:rsidR="6DC4647D" w:rsidRPr="02A6AE13">
        <w:rPr>
          <w:rFonts w:ascii="Aptos" w:eastAsia="Aptos" w:hAnsi="Aptos" w:cs="Aptos"/>
        </w:rPr>
        <w:t xml:space="preserve">of nature-based walking necessary </w:t>
      </w:r>
      <w:r w:rsidR="52F17205" w:rsidRPr="02A6AE13">
        <w:rPr>
          <w:rFonts w:ascii="Aptos" w:eastAsia="Aptos" w:hAnsi="Aptos" w:cs="Aptos"/>
        </w:rPr>
        <w:t>for positive health outcomes</w:t>
      </w:r>
      <w:r w:rsidR="6DC4647D" w:rsidRPr="02A6AE13">
        <w:rPr>
          <w:rFonts w:ascii="Aptos" w:eastAsia="Aptos" w:hAnsi="Aptos" w:cs="Aptos"/>
        </w:rPr>
        <w:t xml:space="preserve"> (van den Berg &amp; Beute, 2021; Shanahan et al., 2016).</w:t>
      </w:r>
    </w:p>
    <w:p w14:paraId="225B3EE0" w14:textId="0B30607F" w:rsidR="00745FDB" w:rsidRPr="00745FDB" w:rsidRDefault="34DFC47F" w:rsidP="00122C7C">
      <w:pPr>
        <w:spacing w:line="360" w:lineRule="auto"/>
      </w:pPr>
      <w:r w:rsidRPr="02A6AE13">
        <w:rPr>
          <w:rFonts w:ascii="Aptos" w:eastAsia="Aptos" w:hAnsi="Aptos" w:cs="Aptos"/>
        </w:rPr>
        <w:t>In terms of weaknesses in the t</w:t>
      </w:r>
      <w:r w:rsidR="7E4E540B" w:rsidRPr="02A6AE13">
        <w:rPr>
          <w:rFonts w:ascii="Aptos" w:eastAsia="Aptos" w:hAnsi="Aptos" w:cs="Aptos"/>
        </w:rPr>
        <w:t>he existing literature base</w:t>
      </w:r>
      <w:r w:rsidR="1D6FCCC8" w:rsidRPr="02A6AE13">
        <w:rPr>
          <w:rFonts w:ascii="Aptos" w:eastAsia="Aptos" w:hAnsi="Aptos" w:cs="Aptos"/>
        </w:rPr>
        <w:t xml:space="preserve"> there are a few notable limitations to consider.  T</w:t>
      </w:r>
      <w:r w:rsidR="7E4E540B" w:rsidRPr="02A6AE13">
        <w:rPr>
          <w:rFonts w:ascii="Aptos" w:eastAsia="Aptos" w:hAnsi="Aptos" w:cs="Aptos"/>
        </w:rPr>
        <w:t>ypically</w:t>
      </w:r>
      <w:r w:rsidR="78217307" w:rsidRPr="02A6AE13">
        <w:rPr>
          <w:rFonts w:ascii="Aptos" w:eastAsia="Aptos" w:hAnsi="Aptos" w:cs="Aptos"/>
        </w:rPr>
        <w:t>, peer reviewed</w:t>
      </w:r>
      <w:r w:rsidR="77A347B5" w:rsidRPr="02A6AE13">
        <w:rPr>
          <w:rFonts w:ascii="Aptos" w:eastAsia="Aptos" w:hAnsi="Aptos" w:cs="Aptos"/>
        </w:rPr>
        <w:t xml:space="preserve"> research to date has </w:t>
      </w:r>
      <w:r w:rsidR="7E4E540B" w:rsidRPr="02A6AE13">
        <w:rPr>
          <w:rFonts w:ascii="Aptos" w:eastAsia="Aptos" w:hAnsi="Aptos" w:cs="Aptos"/>
        </w:rPr>
        <w:t>employ</w:t>
      </w:r>
      <w:r w:rsidR="509C4A81" w:rsidRPr="02A6AE13">
        <w:rPr>
          <w:rFonts w:ascii="Aptos" w:eastAsia="Aptos" w:hAnsi="Aptos" w:cs="Aptos"/>
        </w:rPr>
        <w:t xml:space="preserve">ed </w:t>
      </w:r>
      <w:r w:rsidR="7E4E540B" w:rsidRPr="02A6AE13">
        <w:rPr>
          <w:rFonts w:ascii="Aptos" w:eastAsia="Aptos" w:hAnsi="Aptos" w:cs="Aptos"/>
        </w:rPr>
        <w:t xml:space="preserve">a cross-sectional design which limits the understanding of </w:t>
      </w:r>
      <w:r w:rsidR="1A93C5EA" w:rsidRPr="02A6AE13">
        <w:rPr>
          <w:rFonts w:ascii="Aptos" w:eastAsia="Aptos" w:hAnsi="Aptos" w:cs="Aptos"/>
        </w:rPr>
        <w:t>long-term</w:t>
      </w:r>
      <w:r w:rsidR="7E4E540B" w:rsidRPr="02A6AE13">
        <w:rPr>
          <w:rFonts w:ascii="Aptos" w:eastAsia="Aptos" w:hAnsi="Aptos" w:cs="Aptos"/>
        </w:rPr>
        <w:t xml:space="preserve"> behaviour change and impact </w:t>
      </w:r>
      <w:r w:rsidR="3D145C80">
        <w:t>(Bratman et al., 2019).</w:t>
      </w:r>
      <w:r w:rsidR="62A17425">
        <w:t xml:space="preserve"> </w:t>
      </w:r>
      <w:r w:rsidR="3D145C80">
        <w:t xml:space="preserve"> Self-selection bias is a</w:t>
      </w:r>
      <w:r w:rsidR="0C22A1A2">
        <w:t xml:space="preserve">lso a </w:t>
      </w:r>
      <w:r w:rsidR="3D145C80">
        <w:t xml:space="preserve">concern, as </w:t>
      </w:r>
      <w:r w:rsidR="4DEFEFF5">
        <w:t>participant</w:t>
      </w:r>
      <w:r w:rsidR="3D145C80">
        <w:t xml:space="preserve">s </w:t>
      </w:r>
      <w:r w:rsidR="78149DE1">
        <w:t>already spending a significant amount of time in nature</w:t>
      </w:r>
      <w:r w:rsidR="3D145C80">
        <w:t xml:space="preserve"> may already exhibit better baseline physical and mental healt</w:t>
      </w:r>
      <w:r w:rsidR="62E856B7">
        <w:t>h</w:t>
      </w:r>
      <w:r w:rsidR="3D145C80">
        <w:t xml:space="preserve"> (Lawton et al., 2017)</w:t>
      </w:r>
      <w:r w:rsidR="37AC1014">
        <w:t xml:space="preserve"> or be predisposed to speak positively of nature and </w:t>
      </w:r>
      <w:r w:rsidR="7F931427">
        <w:t>its</w:t>
      </w:r>
      <w:r w:rsidR="37AC1014">
        <w:t xml:space="preserve"> impact</w:t>
      </w:r>
      <w:r w:rsidR="3D145C80">
        <w:t xml:space="preserve">. </w:t>
      </w:r>
      <w:r w:rsidR="2E3E3E50">
        <w:t xml:space="preserve"> As we consider the definition of nature exposure, it’s clear that definitions vary considerably between studies</w:t>
      </w:r>
      <w:r w:rsidR="5A4F2FA3">
        <w:t>; with studies exploring everything from unplanned contact with urban green spaces to solo, immersive wilderness experiences.  Clearly this makes dir</w:t>
      </w:r>
      <w:r w:rsidR="5A698A83">
        <w:t>e</w:t>
      </w:r>
      <w:r w:rsidR="5A4F2FA3">
        <w:t xml:space="preserve">ct comparisons and meta-analysis more challenging </w:t>
      </w:r>
      <w:r w:rsidR="3D145C80">
        <w:t>(Hartig et al., 2014).</w:t>
      </w:r>
    </w:p>
    <w:p w14:paraId="5CE09E0E" w14:textId="252FC91A" w:rsidR="00745FDB" w:rsidRPr="00745FDB" w:rsidRDefault="3D145C80" w:rsidP="00122C7C">
      <w:pPr>
        <w:spacing w:line="360" w:lineRule="auto"/>
      </w:pPr>
      <w:r>
        <w:t>Shanahan (2016)</w:t>
      </w:r>
      <w:r w:rsidR="2A0A4515">
        <w:t xml:space="preserve"> noted that</w:t>
      </w:r>
      <w:r>
        <w:t xml:space="preserve"> </w:t>
      </w:r>
      <w:r w:rsidR="0A0F8E43">
        <w:t>mental health b</w:t>
      </w:r>
      <w:r>
        <w:t xml:space="preserve">enefits </w:t>
      </w:r>
      <w:r w:rsidR="142B64C2">
        <w:t xml:space="preserve">of time in nature </w:t>
      </w:r>
      <w:r w:rsidR="1488653C">
        <w:t>above</w:t>
      </w:r>
      <w:r w:rsidR="36AF0D56">
        <w:t xml:space="preserve"> two hour</w:t>
      </w:r>
      <w:r>
        <w:t>s per week</w:t>
      </w:r>
      <w:r w:rsidR="501417B3">
        <w:t xml:space="preserve"> begin to diminish.  </w:t>
      </w:r>
      <w:r w:rsidR="1EA10EE9">
        <w:t>I</w:t>
      </w:r>
      <w:r>
        <w:t xml:space="preserve">n certain clinical populations, such as individuals with severe depression or </w:t>
      </w:r>
      <w:r w:rsidR="34826C1D">
        <w:t>PTSD</w:t>
      </w:r>
      <w:r>
        <w:t xml:space="preserve">, nature contact alone may not </w:t>
      </w:r>
      <w:r w:rsidR="76C0FBBF">
        <w:t>elicit</w:t>
      </w:r>
      <w:r>
        <w:t xml:space="preserve"> improvements without the inclusion of tailored therapeu</w:t>
      </w:r>
      <w:r w:rsidR="1EDD4C9D">
        <w:t xml:space="preserve">tic support </w:t>
      </w:r>
      <w:r>
        <w:t xml:space="preserve">(Annerstedt and Währborg, 2011). </w:t>
      </w:r>
      <w:r w:rsidR="1928205D">
        <w:t>T</w:t>
      </w:r>
      <w:r>
        <w:t xml:space="preserve">he quality of the natural setting </w:t>
      </w:r>
      <w:r w:rsidR="7A482095">
        <w:t xml:space="preserve">can also </w:t>
      </w:r>
      <w:r>
        <w:t>play a pivotal role</w:t>
      </w:r>
      <w:r w:rsidR="145EB6AF">
        <w:t>.  For example, managed spaces (like playing fields or parks)</w:t>
      </w:r>
      <w:r>
        <w:t xml:space="preserve"> or polluted environments may fail to elicit restorative </w:t>
      </w:r>
      <w:r>
        <w:lastRenderedPageBreak/>
        <w:t xml:space="preserve">responses and </w:t>
      </w:r>
      <w:r w:rsidR="6441B21E">
        <w:t xml:space="preserve">in some cases can </w:t>
      </w:r>
      <w:r>
        <w:t>even heighten stress or discomfort (Mears et al., 2019).</w:t>
      </w:r>
    </w:p>
    <w:p w14:paraId="3D3621DE" w14:textId="29A34A22" w:rsidR="467D6142" w:rsidRDefault="467D6142" w:rsidP="00122C7C">
      <w:pPr>
        <w:spacing w:line="360" w:lineRule="auto"/>
      </w:pPr>
      <w:r>
        <w:t>Th</w:t>
      </w:r>
      <w:r w:rsidR="2F68C8F5">
        <w:t xml:space="preserve">ere are </w:t>
      </w:r>
      <w:r w:rsidR="3ADBC713">
        <w:t xml:space="preserve">some </w:t>
      </w:r>
      <w:r w:rsidR="2F68C8F5">
        <w:t>p</w:t>
      </w:r>
      <w:r w:rsidR="3D145C80">
        <w:t xml:space="preserve">otential negative </w:t>
      </w:r>
      <w:r w:rsidR="055E27B9">
        <w:t>associations with</w:t>
      </w:r>
      <w:r w:rsidR="3D145C80">
        <w:t xml:space="preserve"> </w:t>
      </w:r>
      <w:r w:rsidR="40A17609">
        <w:t>time in nature</w:t>
      </w:r>
      <w:r w:rsidR="737CBF41">
        <w:t xml:space="preserve"> which must be considered</w:t>
      </w:r>
      <w:r w:rsidR="1215E536">
        <w:t xml:space="preserve">. Whilst these are </w:t>
      </w:r>
      <w:r w:rsidR="36334063">
        <w:t>not</w:t>
      </w:r>
      <w:r w:rsidR="1215E536">
        <w:t xml:space="preserve"> </w:t>
      </w:r>
      <w:r w:rsidR="3D145C80">
        <w:t xml:space="preserve">frequently </w:t>
      </w:r>
      <w:r w:rsidR="6F1388AD">
        <w:t>cited,</w:t>
      </w:r>
      <w:r w:rsidR="1CD4E095">
        <w:t xml:space="preserve"> </w:t>
      </w:r>
      <w:r w:rsidR="21EE8165">
        <w:t xml:space="preserve">some participants have </w:t>
      </w:r>
      <w:r w:rsidR="04B95143">
        <w:t>c</w:t>
      </w:r>
      <w:r w:rsidR="3D145C80">
        <w:t>oncerns about personal safety, injury, or</w:t>
      </w:r>
      <w:r w:rsidR="08C21991">
        <w:t xml:space="preserve"> even</w:t>
      </w:r>
      <w:r w:rsidR="3D145C80">
        <w:t xml:space="preserve"> encounters with wildlife (Bixler and Floyd, 1997). </w:t>
      </w:r>
      <w:r w:rsidR="401D122E">
        <w:t>Societal factors</w:t>
      </w:r>
      <w:r w:rsidR="37F540AE">
        <w:t xml:space="preserve"> can</w:t>
      </w:r>
      <w:r w:rsidR="242051FD">
        <w:t xml:space="preserve"> also</w:t>
      </w:r>
      <w:r w:rsidR="37F540AE">
        <w:t xml:space="preserve"> influence how individuals perceive and respond to </w:t>
      </w:r>
      <w:r w:rsidR="4083C026">
        <w:t xml:space="preserve">time in </w:t>
      </w:r>
      <w:r w:rsidR="141FEBB0">
        <w:t>nature</w:t>
      </w:r>
      <w:r w:rsidR="27F8A155">
        <w:t>.  T</w:t>
      </w:r>
      <w:r w:rsidR="37F540AE">
        <w:t>hose with limited prior ex</w:t>
      </w:r>
      <w:r w:rsidR="707DC1BC">
        <w:t>perience in the outdoors</w:t>
      </w:r>
      <w:r w:rsidR="37F540AE">
        <w:t xml:space="preserve"> or a lack of </w:t>
      </w:r>
      <w:r w:rsidR="3BF8C42D">
        <w:t>familial</w:t>
      </w:r>
      <w:r w:rsidR="37F540AE">
        <w:t xml:space="preserve"> connection to </w:t>
      </w:r>
      <w:r w:rsidR="2439E150">
        <w:t>nature</w:t>
      </w:r>
      <w:r w:rsidR="525DCB68">
        <w:t xml:space="preserve"> for example may have increased discomfort or anxiety when asked to spend time in nature </w:t>
      </w:r>
      <w:r w:rsidR="37F540AE">
        <w:t xml:space="preserve">(Finlay et al., 2015). </w:t>
      </w:r>
      <w:r w:rsidR="7205155B">
        <w:t xml:space="preserve"> </w:t>
      </w:r>
      <w:r w:rsidR="46622C3C">
        <w:t>Additionally, e</w:t>
      </w:r>
      <w:r w:rsidR="3D145C80">
        <w:t>nvironmental factors such as pollen levels, air pollution, and extreme weather</w:t>
      </w:r>
      <w:r w:rsidR="1212E2D5">
        <w:t xml:space="preserve"> conditions</w:t>
      </w:r>
      <w:r w:rsidR="3D145C80">
        <w:t xml:space="preserve"> can limit access or exacerbate health problems for some individuals (Tamosiunas et al., 2014). </w:t>
      </w:r>
    </w:p>
    <w:p w14:paraId="794D28BE" w14:textId="07B890B6" w:rsidR="00AA4C44" w:rsidRDefault="0F52D20D" w:rsidP="00122C7C">
      <w:pPr>
        <w:spacing w:line="360" w:lineRule="auto"/>
        <w:rPr>
          <w:rFonts w:ascii="Aptos" w:eastAsia="Aptos" w:hAnsi="Aptos" w:cs="Aptos"/>
          <w:b/>
          <w:bCs/>
        </w:rPr>
      </w:pPr>
      <w:commentRangeStart w:id="10"/>
      <w:commentRangeStart w:id="11"/>
      <w:commentRangeStart w:id="12"/>
      <w:commentRangeStart w:id="13"/>
      <w:r w:rsidRPr="116224E6">
        <w:rPr>
          <w:rFonts w:ascii="Aptos" w:eastAsia="Aptos" w:hAnsi="Aptos" w:cs="Aptos"/>
          <w:b/>
          <w:bCs/>
        </w:rPr>
        <w:t>Mental health benefits of time in nature</w:t>
      </w:r>
      <w:commentRangeEnd w:id="10"/>
      <w:r>
        <w:rPr>
          <w:rStyle w:val="CommentReference"/>
          <w:rFonts w:ascii="Aptos" w:eastAsia="Aptos" w:hAnsi="Aptos" w:cs="Aptos"/>
          <w:b/>
          <w:bCs/>
          <w:sz w:val="24"/>
          <w:szCs w:val="24"/>
        </w:rPr>
        <w:commentReference w:id="10"/>
      </w:r>
      <w:commentRangeEnd w:id="11"/>
      <w:r w:rsidR="00A7655B">
        <w:rPr>
          <w:rStyle w:val="CommentReference"/>
          <w:rFonts w:ascii="Aptos" w:eastAsia="Aptos" w:hAnsi="Aptos" w:cs="Aptos"/>
          <w:b/>
          <w:bCs/>
          <w:sz w:val="24"/>
          <w:szCs w:val="24"/>
        </w:rPr>
        <w:commentReference w:id="11"/>
      </w:r>
      <w:commentRangeEnd w:id="12"/>
      <w:r w:rsidR="005A4CA4">
        <w:rPr>
          <w:rStyle w:val="CommentReference"/>
          <w:rFonts w:ascii="Aptos" w:eastAsia="Aptos" w:hAnsi="Aptos" w:cs="Aptos"/>
          <w:b/>
          <w:bCs/>
          <w:sz w:val="24"/>
          <w:szCs w:val="24"/>
        </w:rPr>
        <w:commentReference w:id="12"/>
      </w:r>
      <w:commentRangeEnd w:id="13"/>
      <w:r w:rsidR="00DD59C8">
        <w:rPr>
          <w:rStyle w:val="CommentReference"/>
          <w:rFonts w:ascii="Aptos" w:eastAsia="Aptos" w:hAnsi="Aptos" w:cs="Aptos"/>
          <w:b/>
          <w:bCs/>
          <w:sz w:val="24"/>
          <w:szCs w:val="24"/>
        </w:rPr>
        <w:commentReference w:id="13"/>
      </w:r>
    </w:p>
    <w:p w14:paraId="1E6C22A2" w14:textId="0DD3B4D6" w:rsidR="00AA4C44" w:rsidRDefault="0F52D20D" w:rsidP="00122C7C">
      <w:pPr>
        <w:spacing w:line="360" w:lineRule="auto"/>
      </w:pPr>
      <w:r w:rsidRPr="01ED439A">
        <w:rPr>
          <w:rFonts w:ascii="Aptos" w:eastAsia="Aptos" w:hAnsi="Aptos" w:cs="Aptos"/>
        </w:rPr>
        <w:t xml:space="preserve">Over the last twenty years we have seen a significant increase in the amount of research exploring the mental health and psychological benefits of time in nature. Indeed, various meta-analyses have demonstrated a positive correlation between time in green spaces and various mental health </w:t>
      </w:r>
      <w:r w:rsidR="6E9BBB8F" w:rsidRPr="01ED439A">
        <w:rPr>
          <w:rFonts w:ascii="Aptos" w:eastAsia="Aptos" w:hAnsi="Aptos" w:cs="Aptos"/>
        </w:rPr>
        <w:t>measures</w:t>
      </w:r>
      <w:r w:rsidRPr="01ED439A">
        <w:rPr>
          <w:rFonts w:ascii="Aptos" w:eastAsia="Aptos" w:hAnsi="Aptos" w:cs="Aptos"/>
        </w:rPr>
        <w:t>; including lower levels of stress, anxiety, and depression (Bratman et al., 2019; Twohig-Bennett &amp; Jones, 2018)</w:t>
      </w:r>
      <w:bookmarkStart w:id="14" w:name="_Int_NPs5uS6T"/>
      <w:r w:rsidRPr="01ED439A">
        <w:rPr>
          <w:rFonts w:ascii="Aptos" w:eastAsia="Aptos" w:hAnsi="Aptos" w:cs="Aptos"/>
        </w:rPr>
        <w:t xml:space="preserve">.  </w:t>
      </w:r>
      <w:bookmarkEnd w:id="14"/>
      <w:r w:rsidRPr="01ED439A">
        <w:rPr>
          <w:rFonts w:ascii="Aptos" w:eastAsia="Aptos" w:hAnsi="Aptos" w:cs="Aptos"/>
        </w:rPr>
        <w:t xml:space="preserve">The research demonstrates that the natural world has a remarkable capacity to support cognitive restoration, feelings of wellbeing and even a capacity to </w:t>
      </w:r>
      <w:r w:rsidR="30EAD25C" w:rsidRPr="01ED439A">
        <w:rPr>
          <w:rFonts w:ascii="Aptos" w:eastAsia="Aptos" w:hAnsi="Aptos" w:cs="Aptos"/>
        </w:rPr>
        <w:t>manage emotional changes and fluctuations more effectively</w:t>
      </w:r>
      <w:r w:rsidRPr="01ED439A">
        <w:rPr>
          <w:rFonts w:ascii="Aptos" w:eastAsia="Aptos" w:hAnsi="Aptos" w:cs="Aptos"/>
        </w:rPr>
        <w:t xml:space="preserve">. The two previously mentioned frameworks - Attention Restoration Theory (ART) and Stress Reduction Theory (SRT) - have been central to understanding the mechanisms underlying these effects for researchers. </w:t>
      </w:r>
    </w:p>
    <w:p w14:paraId="37AC5F71" w14:textId="4180C961" w:rsidR="00AA4C44" w:rsidRDefault="0F52D20D" w:rsidP="00122C7C">
      <w:pPr>
        <w:spacing w:line="360" w:lineRule="auto"/>
      </w:pPr>
      <w:r w:rsidRPr="1259BC21">
        <w:rPr>
          <w:rFonts w:ascii="Aptos" w:eastAsia="Aptos" w:hAnsi="Aptos" w:cs="Aptos"/>
        </w:rPr>
        <w:t xml:space="preserve">ART proposes that nature provides an environment rich in "soft fascinations," stimuli that gently capture our attention and allow our fatigued senses to replenish. This contrasts with urban environments, which often bombard individuals with stimuli 24/7 requiring directed attention and proving difficult to avoid or switch off (Kaplan &amp; Kaplan, 1989). SRT supports this perspective, suggesting that nature evokes ‘’positive affective responses and reduces physiological arousal linked to stress’’ (Ulrich et al., 1991). Physiological indicators such as reduced cortisol levels, lower heart rate, and improved </w:t>
      </w:r>
      <w:r w:rsidRPr="1259BC21">
        <w:rPr>
          <w:rFonts w:ascii="Aptos" w:eastAsia="Aptos" w:hAnsi="Aptos" w:cs="Aptos"/>
        </w:rPr>
        <w:lastRenderedPageBreak/>
        <w:t>heart rate variability have all been documented in participants exposed frequently to natural settings (Hunter et al., 2019).</w:t>
      </w:r>
    </w:p>
    <w:p w14:paraId="32D28120" w14:textId="67717303" w:rsidR="00AA4C44" w:rsidRDefault="6DC4647D" w:rsidP="00122C7C">
      <w:pPr>
        <w:spacing w:line="360" w:lineRule="auto"/>
        <w:rPr>
          <w:rFonts w:ascii="Aptos" w:eastAsia="Aptos" w:hAnsi="Aptos" w:cs="Aptos"/>
        </w:rPr>
      </w:pPr>
      <w:r w:rsidRPr="02A6AE13">
        <w:rPr>
          <w:rFonts w:ascii="Aptos" w:eastAsia="Aptos" w:hAnsi="Aptos" w:cs="Aptos"/>
        </w:rPr>
        <w:t>Interestingly, the literature suggests that exposure to green spaces is particularly helpful for populations suffering from chronic stress, such as full-time working parents. A systematic review by Frumkin et al. (2017) found that both passive (e.g., viewing nature) and active (e.g., walking, gardening) interactions with nature lead to improved affective states and reduced physiological stress. These benefits are not solely attributable to physical activity; studies have shown that even brief periods in nature (e.g., 10–20 minutes) can produce measurable psychological benefits (Hunter et al., 2019, Barton and Pretty, 2010)</w:t>
      </w:r>
      <w:bookmarkStart w:id="15" w:name="_Int_UN6QIeix"/>
      <w:r w:rsidRPr="02A6AE13">
        <w:rPr>
          <w:rFonts w:ascii="Aptos" w:eastAsia="Aptos" w:hAnsi="Aptos" w:cs="Aptos"/>
        </w:rPr>
        <w:t xml:space="preserve">.  </w:t>
      </w:r>
      <w:bookmarkStart w:id="16" w:name="_Int_dW7JPqZb"/>
      <w:bookmarkEnd w:id="15"/>
      <w:r w:rsidRPr="02A6AE13">
        <w:rPr>
          <w:rFonts w:ascii="Aptos" w:eastAsia="Aptos" w:hAnsi="Aptos" w:cs="Aptos"/>
        </w:rPr>
        <w:t>Dzhambov</w:t>
      </w:r>
      <w:bookmarkEnd w:id="16"/>
      <w:r w:rsidRPr="02A6AE13">
        <w:rPr>
          <w:rFonts w:ascii="Aptos" w:eastAsia="Aptos" w:hAnsi="Aptos" w:cs="Aptos"/>
        </w:rPr>
        <w:t xml:space="preserve"> et al. (2018) </w:t>
      </w:r>
      <w:r w:rsidR="1DFFAB85" w:rsidRPr="02A6AE13">
        <w:rPr>
          <w:rFonts w:ascii="Aptos" w:eastAsia="Aptos" w:hAnsi="Aptos" w:cs="Aptos"/>
        </w:rPr>
        <w:t>proposed</w:t>
      </w:r>
      <w:r w:rsidRPr="02A6AE13">
        <w:rPr>
          <w:rFonts w:ascii="Aptos" w:eastAsia="Aptos" w:hAnsi="Aptos" w:cs="Aptos"/>
        </w:rPr>
        <w:t xml:space="preserve"> that </w:t>
      </w:r>
      <w:r w:rsidR="2E1DC630" w:rsidRPr="02A6AE13">
        <w:rPr>
          <w:rFonts w:ascii="Aptos" w:eastAsia="Aptos" w:hAnsi="Aptos" w:cs="Aptos"/>
        </w:rPr>
        <w:t>people</w:t>
      </w:r>
      <w:r w:rsidRPr="02A6AE13">
        <w:rPr>
          <w:rFonts w:ascii="Aptos" w:eastAsia="Aptos" w:hAnsi="Aptos" w:cs="Aptos"/>
        </w:rPr>
        <w:t xml:space="preserve"> living closer to green spaces reported better overall mental health outcomes, suggesting that proximity and ease of access play vital roles in </w:t>
      </w:r>
      <w:r w:rsidR="7705B2F7" w:rsidRPr="02A6AE13">
        <w:rPr>
          <w:rFonts w:ascii="Aptos" w:eastAsia="Aptos" w:hAnsi="Aptos" w:cs="Aptos"/>
        </w:rPr>
        <w:t>unlocki</w:t>
      </w:r>
      <w:r w:rsidRPr="02A6AE13">
        <w:rPr>
          <w:rFonts w:ascii="Aptos" w:eastAsia="Aptos" w:hAnsi="Aptos" w:cs="Aptos"/>
        </w:rPr>
        <w:t xml:space="preserve">ng </w:t>
      </w:r>
      <w:r w:rsidR="7E342CAA" w:rsidRPr="02A6AE13">
        <w:rPr>
          <w:rFonts w:ascii="Aptos" w:eastAsia="Aptos" w:hAnsi="Aptos" w:cs="Aptos"/>
        </w:rPr>
        <w:t xml:space="preserve">health </w:t>
      </w:r>
      <w:r w:rsidRPr="02A6AE13">
        <w:rPr>
          <w:rFonts w:ascii="Aptos" w:eastAsia="Aptos" w:hAnsi="Aptos" w:cs="Aptos"/>
        </w:rPr>
        <w:t>benefits. This is particularly relevant for working parents who may face logistical constraints in accessing remote natural areas or who live in urban areas.</w:t>
      </w:r>
    </w:p>
    <w:p w14:paraId="41D5B4D0" w14:textId="68518FEC" w:rsidR="00AA4C44" w:rsidRDefault="6DC4647D" w:rsidP="00122C7C">
      <w:pPr>
        <w:spacing w:line="360" w:lineRule="auto"/>
      </w:pPr>
      <w:r w:rsidRPr="02A6AE13">
        <w:rPr>
          <w:rFonts w:ascii="Aptos" w:eastAsia="Aptos" w:hAnsi="Aptos" w:cs="Aptos"/>
        </w:rPr>
        <w:t xml:space="preserve">Despite the growing consensus on the mental health benefits of nature, there remains a lack of </w:t>
      </w:r>
      <w:r w:rsidR="49C1E6E6" w:rsidRPr="02A6AE13">
        <w:rPr>
          <w:rFonts w:ascii="Aptos" w:eastAsia="Aptos" w:hAnsi="Aptos" w:cs="Aptos"/>
        </w:rPr>
        <w:t>consensus</w:t>
      </w:r>
      <w:r w:rsidRPr="02A6AE13">
        <w:rPr>
          <w:rFonts w:ascii="Aptos" w:eastAsia="Aptos" w:hAnsi="Aptos" w:cs="Aptos"/>
        </w:rPr>
        <w:t xml:space="preserve"> regarding the optimum “dose” required to elicit meaningful</w:t>
      </w:r>
      <w:r w:rsidR="0DDD6367" w:rsidRPr="02A6AE13">
        <w:rPr>
          <w:rFonts w:ascii="Aptos" w:eastAsia="Aptos" w:hAnsi="Aptos" w:cs="Aptos"/>
        </w:rPr>
        <w:t xml:space="preserve"> health</w:t>
      </w:r>
      <w:r w:rsidRPr="02A6AE13">
        <w:rPr>
          <w:rFonts w:ascii="Aptos" w:eastAsia="Aptos" w:hAnsi="Aptos" w:cs="Aptos"/>
        </w:rPr>
        <w:t xml:space="preserve"> outcomes. Shanahan et al. (2016) proposed a dose–response framework, recommending at least 120 minutes per week in nature for measurable mental health benefits. Overall, whilst </w:t>
      </w:r>
      <w:r w:rsidR="447F48F7" w:rsidRPr="02A6AE13">
        <w:rPr>
          <w:rFonts w:ascii="Aptos" w:eastAsia="Aptos" w:hAnsi="Aptos" w:cs="Aptos"/>
        </w:rPr>
        <w:t>soli</w:t>
      </w:r>
      <w:r w:rsidRPr="02A6AE13">
        <w:rPr>
          <w:rFonts w:ascii="Aptos" w:eastAsia="Aptos" w:hAnsi="Aptos" w:cs="Aptos"/>
        </w:rPr>
        <w:t>d</w:t>
      </w:r>
      <w:r w:rsidR="26579FF5" w:rsidRPr="02A6AE13">
        <w:rPr>
          <w:rFonts w:ascii="Aptos" w:eastAsia="Aptos" w:hAnsi="Aptos" w:cs="Aptos"/>
        </w:rPr>
        <w:t xml:space="preserve"> and extensive</w:t>
      </w:r>
      <w:r w:rsidR="2CA13D0F" w:rsidRPr="02A6AE13">
        <w:rPr>
          <w:rFonts w:ascii="Aptos" w:eastAsia="Aptos" w:hAnsi="Aptos" w:cs="Aptos"/>
        </w:rPr>
        <w:t xml:space="preserve"> </w:t>
      </w:r>
      <w:r w:rsidRPr="02A6AE13">
        <w:rPr>
          <w:rFonts w:ascii="Aptos" w:eastAsia="Aptos" w:hAnsi="Aptos" w:cs="Aptos"/>
        </w:rPr>
        <w:t>research has been co</w:t>
      </w:r>
      <w:r w:rsidR="7261106F" w:rsidRPr="02A6AE13">
        <w:rPr>
          <w:rFonts w:ascii="Aptos" w:eastAsia="Aptos" w:hAnsi="Aptos" w:cs="Aptos"/>
        </w:rPr>
        <w:t>nducte</w:t>
      </w:r>
      <w:r w:rsidRPr="02A6AE13">
        <w:rPr>
          <w:rFonts w:ascii="Aptos" w:eastAsia="Aptos" w:hAnsi="Aptos" w:cs="Aptos"/>
        </w:rPr>
        <w:t>d, there appears to be a significant gap in our understanding of the timing and frequency of ‘’doses’’ of nature, particularly regarding how these interactions affect mental health outcomes in highly fatigued groups like busy working parents.</w:t>
      </w:r>
      <w:r w:rsidRPr="02A6AE13">
        <w:rPr>
          <w:rFonts w:ascii="Aptos" w:eastAsia="Aptos" w:hAnsi="Aptos" w:cs="Aptos"/>
          <w:color w:val="0E2841" w:themeColor="text2"/>
        </w:rPr>
        <w:t xml:space="preserve"> </w:t>
      </w:r>
    </w:p>
    <w:p w14:paraId="2E199D2B" w14:textId="04945FF2" w:rsidR="00AA4C44" w:rsidRDefault="0F52D20D" w:rsidP="00122C7C">
      <w:pPr>
        <w:spacing w:line="360" w:lineRule="auto"/>
      </w:pPr>
      <w:r w:rsidRPr="1259BC21">
        <w:rPr>
          <w:rFonts w:ascii="Aptos" w:eastAsia="Aptos" w:hAnsi="Aptos" w:cs="Aptos"/>
          <w:b/>
          <w:bCs/>
        </w:rPr>
        <w:t>Walking in Nature and Mental Health</w:t>
      </w:r>
    </w:p>
    <w:p w14:paraId="0456E074" w14:textId="2F5839FF" w:rsidR="00AA4C44" w:rsidRDefault="0F52D20D" w:rsidP="00122C7C">
      <w:pPr>
        <w:spacing w:line="360" w:lineRule="auto"/>
      </w:pPr>
      <w:r w:rsidRPr="1259BC21">
        <w:rPr>
          <w:rFonts w:ascii="Aptos" w:eastAsia="Aptos" w:hAnsi="Aptos" w:cs="Aptos"/>
        </w:rPr>
        <w:t xml:space="preserve">Walking in green spaces, on face value, combines two elements known to independently improve psychological health: moderate physical activity and nature exposure. Physical activity itself has long been recognized for its beneficial effects on mood, anxiety, and depression (Biddle &amp; Asare, 2011). When this activity occurs in a natural setting, the psychological gains </w:t>
      </w:r>
      <w:r w:rsidR="2EF75030" w:rsidRPr="1259BC21">
        <w:rPr>
          <w:rFonts w:ascii="Aptos" w:eastAsia="Aptos" w:hAnsi="Aptos" w:cs="Aptos"/>
        </w:rPr>
        <w:t>are</w:t>
      </w:r>
      <w:r w:rsidRPr="1259BC21">
        <w:rPr>
          <w:rFonts w:ascii="Aptos" w:eastAsia="Aptos" w:hAnsi="Aptos" w:cs="Aptos"/>
        </w:rPr>
        <w:t xml:space="preserve"> amplified, a phenomenon which has been referred to as "green exercise" (Pretty et al., 2005).</w:t>
      </w:r>
    </w:p>
    <w:p w14:paraId="611FC81B" w14:textId="6594B83D" w:rsidR="00AA4C44" w:rsidRDefault="6DC4647D" w:rsidP="00122C7C">
      <w:pPr>
        <w:spacing w:line="360" w:lineRule="auto"/>
        <w:rPr>
          <w:rFonts w:ascii="Aptos" w:eastAsia="Aptos" w:hAnsi="Aptos" w:cs="Aptos"/>
        </w:rPr>
      </w:pPr>
      <w:bookmarkStart w:id="17" w:name="_Int_0MMmqAq4"/>
      <w:r w:rsidRPr="02A6AE13">
        <w:rPr>
          <w:rFonts w:ascii="Aptos" w:eastAsia="Aptos" w:hAnsi="Aptos" w:cs="Aptos"/>
        </w:rPr>
        <w:lastRenderedPageBreak/>
        <w:t>Olafsdóttir</w:t>
      </w:r>
      <w:bookmarkEnd w:id="17"/>
      <w:r w:rsidRPr="02A6AE13">
        <w:rPr>
          <w:rFonts w:ascii="Aptos" w:eastAsia="Aptos" w:hAnsi="Aptos" w:cs="Aptos"/>
        </w:rPr>
        <w:t xml:space="preserve"> et al. (2020) conducted a randomized controlled trial showing that participants who </w:t>
      </w:r>
      <w:r w:rsidR="76ACBE6A" w:rsidRPr="02A6AE13">
        <w:rPr>
          <w:rFonts w:ascii="Aptos" w:eastAsia="Aptos" w:hAnsi="Aptos" w:cs="Aptos"/>
        </w:rPr>
        <w:t>complet</w:t>
      </w:r>
      <w:r w:rsidRPr="02A6AE13">
        <w:rPr>
          <w:rFonts w:ascii="Aptos" w:eastAsia="Aptos" w:hAnsi="Aptos" w:cs="Aptos"/>
        </w:rPr>
        <w:t>ed</w:t>
      </w:r>
      <w:r w:rsidR="2965E328" w:rsidRPr="02A6AE13">
        <w:rPr>
          <w:rFonts w:ascii="Aptos" w:eastAsia="Aptos" w:hAnsi="Aptos" w:cs="Aptos"/>
        </w:rPr>
        <w:t xml:space="preserve"> </w:t>
      </w:r>
      <w:r w:rsidRPr="02A6AE13">
        <w:rPr>
          <w:rFonts w:ascii="Aptos" w:eastAsia="Aptos" w:hAnsi="Aptos" w:cs="Aptos"/>
        </w:rPr>
        <w:t xml:space="preserve">walks </w:t>
      </w:r>
      <w:r w:rsidR="54FE255E" w:rsidRPr="02A6AE13">
        <w:rPr>
          <w:rFonts w:ascii="Aptos" w:eastAsia="Aptos" w:hAnsi="Aptos" w:cs="Aptos"/>
        </w:rPr>
        <w:t>in</w:t>
      </w:r>
      <w:r w:rsidRPr="02A6AE13">
        <w:rPr>
          <w:rFonts w:ascii="Aptos" w:eastAsia="Aptos" w:hAnsi="Aptos" w:cs="Aptos"/>
        </w:rPr>
        <w:t xml:space="preserve"> nature reported greater stress reduction and improved mood compared to those walking in built environments. Similarly, Bratman et al. (2015) observed that nature walks were associated with decreased rumination</w:t>
      </w:r>
      <w:r w:rsidR="526970E4" w:rsidRPr="02A6AE13">
        <w:rPr>
          <w:rFonts w:ascii="Aptos" w:eastAsia="Aptos" w:hAnsi="Aptos" w:cs="Aptos"/>
        </w:rPr>
        <w:t xml:space="preserve">, </w:t>
      </w:r>
      <w:r w:rsidRPr="02A6AE13">
        <w:rPr>
          <w:rFonts w:ascii="Aptos" w:eastAsia="Aptos" w:hAnsi="Aptos" w:cs="Aptos"/>
        </w:rPr>
        <w:t>a key marker of depression</w:t>
      </w:r>
      <w:r w:rsidR="7B151D0E" w:rsidRPr="02A6AE13">
        <w:rPr>
          <w:rFonts w:ascii="Aptos" w:eastAsia="Aptos" w:hAnsi="Aptos" w:cs="Aptos"/>
        </w:rPr>
        <w:t xml:space="preserve">, </w:t>
      </w:r>
      <w:r w:rsidRPr="02A6AE13">
        <w:rPr>
          <w:rFonts w:ascii="Aptos" w:eastAsia="Aptos" w:hAnsi="Aptos" w:cs="Aptos"/>
        </w:rPr>
        <w:t>a</w:t>
      </w:r>
      <w:r w:rsidR="01C683D7" w:rsidRPr="02A6AE13">
        <w:rPr>
          <w:rFonts w:ascii="Aptos" w:eastAsia="Aptos" w:hAnsi="Aptos" w:cs="Aptos"/>
        </w:rPr>
        <w:t>s well as</w:t>
      </w:r>
      <w:r w:rsidRPr="02A6AE13">
        <w:rPr>
          <w:rFonts w:ascii="Aptos" w:eastAsia="Aptos" w:hAnsi="Aptos" w:cs="Aptos"/>
        </w:rPr>
        <w:t xml:space="preserve"> decreased neural activity in the </w:t>
      </w:r>
      <w:bookmarkStart w:id="18" w:name="_Int_QpLbvdbo"/>
      <w:r w:rsidRPr="02A6AE13">
        <w:rPr>
          <w:rFonts w:ascii="Aptos" w:eastAsia="Aptos" w:hAnsi="Aptos" w:cs="Aptos"/>
        </w:rPr>
        <w:t>subgenual</w:t>
      </w:r>
      <w:bookmarkEnd w:id="18"/>
      <w:r w:rsidRPr="02A6AE13">
        <w:rPr>
          <w:rFonts w:ascii="Aptos" w:eastAsia="Aptos" w:hAnsi="Aptos" w:cs="Aptos"/>
        </w:rPr>
        <w:t xml:space="preserve"> prefrontal cortex</w:t>
      </w:r>
      <w:r w:rsidR="0061312F" w:rsidRPr="02A6AE13">
        <w:rPr>
          <w:rFonts w:ascii="Aptos" w:eastAsia="Aptos" w:hAnsi="Aptos" w:cs="Aptos"/>
        </w:rPr>
        <w:t xml:space="preserve"> - </w:t>
      </w:r>
      <w:r w:rsidRPr="02A6AE13">
        <w:rPr>
          <w:rFonts w:ascii="Aptos" w:eastAsia="Aptos" w:hAnsi="Aptos" w:cs="Aptos"/>
        </w:rPr>
        <w:t>a part of the limbic system which is known to plays a key role in emotion regulation.</w:t>
      </w:r>
    </w:p>
    <w:p w14:paraId="775E6282" w14:textId="6BD92808" w:rsidR="00C2736B" w:rsidRDefault="17AF3164" w:rsidP="00122C7C">
      <w:pPr>
        <w:spacing w:line="360" w:lineRule="auto"/>
      </w:pPr>
      <w:r>
        <w:t>T</w:t>
      </w:r>
      <w:r w:rsidR="3EAB7189">
        <w:t xml:space="preserve">he </w:t>
      </w:r>
      <w:r w:rsidR="6D44C00C">
        <w:t xml:space="preserve">complimentary </w:t>
      </w:r>
      <w:r w:rsidR="3EAB7189">
        <w:t xml:space="preserve">effects of physical activity and nature exposure are well-documented, </w:t>
      </w:r>
      <w:r w:rsidR="4834D76D">
        <w:t xml:space="preserve">but </w:t>
      </w:r>
      <w:r w:rsidR="3EAB7189">
        <w:t xml:space="preserve">evidence for green exercise is not </w:t>
      </w:r>
      <w:r w:rsidR="699A5BF2">
        <w:t xml:space="preserve">always </w:t>
      </w:r>
      <w:r w:rsidR="3EAB7189">
        <w:t xml:space="preserve">positive. </w:t>
      </w:r>
      <w:r w:rsidR="099F317C">
        <w:t>S</w:t>
      </w:r>
      <w:r w:rsidR="3EAB7189">
        <w:t xml:space="preserve">ome studies found that improvements in mood and cognitive function following walking in natural settings may be similar in magnitude to those achieved in built environments when the social or motivational context is strong (Rogerson et al., 2016). </w:t>
      </w:r>
      <w:r w:rsidR="22943897">
        <w:t>D</w:t>
      </w:r>
      <w:r w:rsidR="3EAB7189">
        <w:t>ifferences in environmental quality, personal safety perceptions, and even seasonal weather can influence whether walking in nature delivers measurable psychological gains (Flowers et al., 2016). These findings suggest that while green exercise holds promise, it should not be viewed as universally superior to other accessible forms of activity, particularly for individuals with limited access to high-quality green spaces.</w:t>
      </w:r>
    </w:p>
    <w:p w14:paraId="24EB837A" w14:textId="35866659" w:rsidR="00AA4C44" w:rsidRDefault="551E08DF" w:rsidP="00122C7C">
      <w:pPr>
        <w:spacing w:line="360" w:lineRule="auto"/>
      </w:pPr>
      <w:r w:rsidRPr="02A6AE13">
        <w:rPr>
          <w:rFonts w:ascii="Aptos" w:eastAsia="Aptos" w:hAnsi="Aptos" w:cs="Aptos"/>
        </w:rPr>
        <w:t xml:space="preserve">Despite these concerns, the research overall strongly points to </w:t>
      </w:r>
      <w:r w:rsidR="6DC4647D" w:rsidRPr="02A6AE13">
        <w:rPr>
          <w:rFonts w:ascii="Aptos" w:eastAsia="Aptos" w:hAnsi="Aptos" w:cs="Aptos"/>
        </w:rPr>
        <w:t>improve</w:t>
      </w:r>
      <w:r w:rsidR="44A86AC1" w:rsidRPr="02A6AE13">
        <w:rPr>
          <w:rFonts w:ascii="Aptos" w:eastAsia="Aptos" w:hAnsi="Aptos" w:cs="Aptos"/>
        </w:rPr>
        <w:t xml:space="preserve">ments in </w:t>
      </w:r>
      <w:r w:rsidR="6DC4647D" w:rsidRPr="02A6AE13">
        <w:rPr>
          <w:rFonts w:ascii="Aptos" w:eastAsia="Aptos" w:hAnsi="Aptos" w:cs="Aptos"/>
        </w:rPr>
        <w:t xml:space="preserve"> attention, cognitive </w:t>
      </w:r>
      <w:r w:rsidR="7DB679E0" w:rsidRPr="02A6AE13">
        <w:rPr>
          <w:rFonts w:ascii="Aptos" w:eastAsia="Aptos" w:hAnsi="Aptos" w:cs="Aptos"/>
        </w:rPr>
        <w:t>function,</w:t>
      </w:r>
      <w:r w:rsidR="6DC4647D" w:rsidRPr="02A6AE13">
        <w:rPr>
          <w:rFonts w:ascii="Aptos" w:eastAsia="Aptos" w:hAnsi="Aptos" w:cs="Aptos"/>
        </w:rPr>
        <w:t xml:space="preserve"> and feelings of vitality (Berman et al., 2008). These outcomes are especially relevant to full-time working parents, for whom cognitive, </w:t>
      </w:r>
      <w:r w:rsidR="18F92B14" w:rsidRPr="02A6AE13">
        <w:rPr>
          <w:rFonts w:ascii="Aptos" w:eastAsia="Aptos" w:hAnsi="Aptos" w:cs="Aptos"/>
        </w:rPr>
        <w:t>sensory,</w:t>
      </w:r>
      <w:r w:rsidR="6DC4647D" w:rsidRPr="02A6AE13">
        <w:rPr>
          <w:rFonts w:ascii="Aptos" w:eastAsia="Aptos" w:hAnsi="Aptos" w:cs="Aptos"/>
        </w:rPr>
        <w:t xml:space="preserve"> and emotional fatigue are common.</w:t>
      </w:r>
      <w:r w:rsidR="15769C60" w:rsidRPr="02A6AE13">
        <w:rPr>
          <w:rFonts w:ascii="Aptos" w:eastAsia="Aptos" w:hAnsi="Aptos" w:cs="Aptos"/>
        </w:rPr>
        <w:t xml:space="preserve">  </w:t>
      </w:r>
      <w:r w:rsidR="6DC4647D" w:rsidRPr="02A6AE13">
        <w:rPr>
          <w:rFonts w:ascii="Aptos" w:eastAsia="Aptos" w:hAnsi="Aptos" w:cs="Aptos"/>
        </w:rPr>
        <w:t xml:space="preserve">Barton and Pretty (2010) conducted a meta-analysis showing that even short doses of green exercise (as little as five minutes) could significantly improve mood and self-esteem. The benefits </w:t>
      </w:r>
      <w:bookmarkStart w:id="19" w:name="_Int_QKIMSh6t"/>
      <w:r w:rsidR="6DC4647D" w:rsidRPr="02A6AE13">
        <w:rPr>
          <w:rFonts w:ascii="Aptos" w:eastAsia="Aptos" w:hAnsi="Aptos" w:cs="Aptos"/>
        </w:rPr>
        <w:t>appeared to be</w:t>
      </w:r>
      <w:bookmarkEnd w:id="19"/>
      <w:r w:rsidR="6DC4647D" w:rsidRPr="02A6AE13">
        <w:rPr>
          <w:rFonts w:ascii="Aptos" w:eastAsia="Aptos" w:hAnsi="Aptos" w:cs="Aptos"/>
        </w:rPr>
        <w:t xml:space="preserve"> even greater when water (blue space) was also present, suggesting an interaction between visual and auditory environmental qualities.</w:t>
      </w:r>
    </w:p>
    <w:p w14:paraId="558C8215" w14:textId="01DFC9D8" w:rsidR="00AA4C44" w:rsidRDefault="78F92F5B" w:rsidP="00122C7C">
      <w:pPr>
        <w:spacing w:line="360" w:lineRule="auto"/>
        <w:rPr>
          <w:rFonts w:ascii="Aptos" w:eastAsia="Aptos" w:hAnsi="Aptos" w:cs="Aptos"/>
        </w:rPr>
      </w:pPr>
      <w:r w:rsidRPr="02A6AE13">
        <w:rPr>
          <w:rFonts w:ascii="Aptos" w:eastAsia="Aptos" w:hAnsi="Aptos" w:cs="Aptos"/>
        </w:rPr>
        <w:t>C</w:t>
      </w:r>
      <w:r w:rsidR="6E8C6E7E" w:rsidRPr="02A6AE13">
        <w:rPr>
          <w:rFonts w:ascii="Aptos" w:eastAsia="Aptos" w:hAnsi="Aptos" w:cs="Aptos"/>
        </w:rPr>
        <w:t>onsidering</w:t>
      </w:r>
      <w:r w:rsidR="6DC4647D" w:rsidRPr="02A6AE13">
        <w:rPr>
          <w:rFonts w:ascii="Aptos" w:eastAsia="Aptos" w:hAnsi="Aptos" w:cs="Aptos"/>
        </w:rPr>
        <w:t xml:space="preserve"> socio economic barriers to exercise</w:t>
      </w:r>
      <w:r w:rsidR="2059146F" w:rsidRPr="02A6AE13">
        <w:rPr>
          <w:rFonts w:ascii="Aptos" w:eastAsia="Aptos" w:hAnsi="Aptos" w:cs="Aptos"/>
        </w:rPr>
        <w:t xml:space="preserve"> in general</w:t>
      </w:r>
      <w:r w:rsidR="6DC4647D" w:rsidRPr="02A6AE13">
        <w:rPr>
          <w:rFonts w:ascii="Aptos" w:eastAsia="Aptos" w:hAnsi="Aptos" w:cs="Aptos"/>
        </w:rPr>
        <w:t xml:space="preserve">, the accessibility of walking </w:t>
      </w:r>
      <w:r w:rsidR="62FA6CFF" w:rsidRPr="02A6AE13">
        <w:rPr>
          <w:rFonts w:ascii="Aptos" w:eastAsia="Aptos" w:hAnsi="Aptos" w:cs="Aptos"/>
        </w:rPr>
        <w:t>make</w:t>
      </w:r>
      <w:r w:rsidR="6DC4647D" w:rsidRPr="02A6AE13">
        <w:rPr>
          <w:rFonts w:ascii="Aptos" w:eastAsia="Aptos" w:hAnsi="Aptos" w:cs="Aptos"/>
        </w:rPr>
        <w:t xml:space="preserve"> it a practical intervention for </w:t>
      </w:r>
      <w:r w:rsidR="28833AD4" w:rsidRPr="02A6AE13">
        <w:rPr>
          <w:rFonts w:ascii="Aptos" w:eastAsia="Aptos" w:hAnsi="Aptos" w:cs="Aptos"/>
        </w:rPr>
        <w:t>parents</w:t>
      </w:r>
      <w:r w:rsidR="6DC4647D" w:rsidRPr="02A6AE13">
        <w:rPr>
          <w:rFonts w:ascii="Aptos" w:eastAsia="Aptos" w:hAnsi="Aptos" w:cs="Aptos"/>
        </w:rPr>
        <w:t>. Walking requires minimal equipment</w:t>
      </w:r>
      <w:r w:rsidR="06B24EF5" w:rsidRPr="02A6AE13">
        <w:rPr>
          <w:rFonts w:ascii="Aptos" w:eastAsia="Aptos" w:hAnsi="Aptos" w:cs="Aptos"/>
        </w:rPr>
        <w:t xml:space="preserve"> or</w:t>
      </w:r>
      <w:r w:rsidR="6DC4647D" w:rsidRPr="02A6AE13">
        <w:rPr>
          <w:rFonts w:ascii="Aptos" w:eastAsia="Aptos" w:hAnsi="Aptos" w:cs="Aptos"/>
        </w:rPr>
        <w:t xml:space="preserve"> financial investment</w:t>
      </w:r>
      <w:r w:rsidR="2241C2CC" w:rsidRPr="02A6AE13">
        <w:rPr>
          <w:rFonts w:ascii="Aptos" w:eastAsia="Aptos" w:hAnsi="Aptos" w:cs="Aptos"/>
        </w:rPr>
        <w:t xml:space="preserve"> </w:t>
      </w:r>
      <w:r w:rsidR="6DC4647D" w:rsidRPr="02A6AE13">
        <w:rPr>
          <w:rFonts w:ascii="Aptos" w:eastAsia="Aptos" w:hAnsi="Aptos" w:cs="Aptos"/>
        </w:rPr>
        <w:t xml:space="preserve">making it one of the few wellbeing interventions which can be considered </w:t>
      </w:r>
      <w:r w:rsidR="3F61A11A" w:rsidRPr="02A6AE13">
        <w:rPr>
          <w:rFonts w:ascii="Aptos" w:eastAsia="Aptos" w:hAnsi="Aptos" w:cs="Aptos"/>
        </w:rPr>
        <w:t xml:space="preserve">truly </w:t>
      </w:r>
      <w:r w:rsidR="6DC4647D" w:rsidRPr="02A6AE13">
        <w:rPr>
          <w:rFonts w:ascii="Aptos" w:eastAsia="Aptos" w:hAnsi="Aptos" w:cs="Aptos"/>
        </w:rPr>
        <w:t xml:space="preserve">accessible across a wide range of socioeconomic groups. This is particularly significant for </w:t>
      </w:r>
      <w:r w:rsidR="4FC627EC" w:rsidRPr="02A6AE13">
        <w:rPr>
          <w:rFonts w:ascii="Aptos" w:eastAsia="Aptos" w:hAnsi="Aptos" w:cs="Aptos"/>
        </w:rPr>
        <w:t xml:space="preserve">full time </w:t>
      </w:r>
      <w:r w:rsidR="6DC4647D" w:rsidRPr="02A6AE13">
        <w:rPr>
          <w:rFonts w:ascii="Aptos" w:eastAsia="Aptos" w:hAnsi="Aptos" w:cs="Aptos"/>
        </w:rPr>
        <w:t xml:space="preserve">working parents, who may face financial, logistical </w:t>
      </w:r>
      <w:r w:rsidR="6DC4647D" w:rsidRPr="02A6AE13">
        <w:rPr>
          <w:rFonts w:ascii="Aptos" w:eastAsia="Aptos" w:hAnsi="Aptos" w:cs="Aptos"/>
        </w:rPr>
        <w:lastRenderedPageBreak/>
        <w:t>and time constraints that limit access to more structured or expensive wellness programs.</w:t>
      </w:r>
    </w:p>
    <w:p w14:paraId="3EF4D63E" w14:textId="3928DB42" w:rsidR="00AA4C44" w:rsidRDefault="7E586C8E" w:rsidP="00122C7C">
      <w:pPr>
        <w:spacing w:line="360" w:lineRule="auto"/>
      </w:pPr>
      <w:r w:rsidRPr="02A6AE13">
        <w:rPr>
          <w:rFonts w:ascii="Aptos" w:eastAsia="Aptos" w:hAnsi="Aptos" w:cs="Aptos"/>
        </w:rPr>
        <w:t xml:space="preserve">As discussed, </w:t>
      </w:r>
      <w:r w:rsidR="6DC4647D" w:rsidRPr="02A6AE13">
        <w:rPr>
          <w:rFonts w:ascii="Aptos" w:eastAsia="Aptos" w:hAnsi="Aptos" w:cs="Aptos"/>
        </w:rPr>
        <w:t xml:space="preserve">few studies explicitly quantify the dose of walking in nature required to achieve </w:t>
      </w:r>
      <w:r w:rsidR="141866C8" w:rsidRPr="02A6AE13">
        <w:rPr>
          <w:rFonts w:ascii="Aptos" w:eastAsia="Aptos" w:hAnsi="Aptos" w:cs="Aptos"/>
        </w:rPr>
        <w:t>positiv</w:t>
      </w:r>
      <w:r w:rsidR="6DC4647D" w:rsidRPr="02A6AE13">
        <w:rPr>
          <w:rFonts w:ascii="Aptos" w:eastAsia="Aptos" w:hAnsi="Aptos" w:cs="Aptos"/>
        </w:rPr>
        <w:t xml:space="preserve">e effects. Duration, frequency, and environmental quality all vary across studies, making it difficult to identify precise guidelines. Most research assumes a one-size-fits-all model, ignoring contextual factors such as parenting responsibilities, time constraints, and other baselines, all of which </w:t>
      </w:r>
      <w:r w:rsidR="7E57C8BC" w:rsidRPr="02A6AE13">
        <w:rPr>
          <w:rFonts w:ascii="Aptos" w:eastAsia="Aptos" w:hAnsi="Aptos" w:cs="Aptos"/>
        </w:rPr>
        <w:t xml:space="preserve">can impact </w:t>
      </w:r>
      <w:r w:rsidR="6DC4647D" w:rsidRPr="02A6AE13">
        <w:rPr>
          <w:rFonts w:ascii="Aptos" w:eastAsia="Aptos" w:hAnsi="Aptos" w:cs="Aptos"/>
        </w:rPr>
        <w:t>the effectiveness of such interventions.</w:t>
      </w:r>
    </w:p>
    <w:p w14:paraId="25B49FA1" w14:textId="41B24ED5" w:rsidR="00A7655B" w:rsidRPr="00A7655B" w:rsidRDefault="6DC4647D" w:rsidP="00122C7C">
      <w:pPr>
        <w:spacing w:line="360" w:lineRule="auto"/>
        <w:rPr>
          <w:rFonts w:ascii="Aptos" w:eastAsia="Aptos" w:hAnsi="Aptos" w:cs="Aptos"/>
        </w:rPr>
      </w:pPr>
      <w:r w:rsidRPr="02A6AE13">
        <w:rPr>
          <w:rFonts w:ascii="Aptos" w:eastAsia="Aptos" w:hAnsi="Aptos" w:cs="Aptos"/>
        </w:rPr>
        <w:t>Soga et al. (2021) found that nature-based physical activity was associated with higher subjective happiness and reduced depressive symptoms, but they also noted that the frequency of engagement played a critical role</w:t>
      </w:r>
      <w:r w:rsidRPr="02A6AE13">
        <w:rPr>
          <w:rFonts w:ascii="Aptos" w:eastAsia="Aptos" w:hAnsi="Aptos" w:cs="Aptos"/>
          <w:color w:val="0E2841" w:themeColor="text2"/>
        </w:rPr>
        <w:t xml:space="preserve">. </w:t>
      </w:r>
      <w:r w:rsidRPr="02A6AE13">
        <w:rPr>
          <w:rFonts w:ascii="Aptos" w:eastAsia="Aptos" w:hAnsi="Aptos" w:cs="Aptos"/>
        </w:rPr>
        <w:t xml:space="preserve">So, the question appears to be, what is the threshold dose at which the activity becomes </w:t>
      </w:r>
      <w:r w:rsidR="493C4FA6" w:rsidRPr="02A6AE13">
        <w:rPr>
          <w:rFonts w:ascii="Aptos" w:eastAsia="Aptos" w:hAnsi="Aptos" w:cs="Aptos"/>
        </w:rPr>
        <w:t xml:space="preserve">statistically </w:t>
      </w:r>
      <w:r w:rsidRPr="02A6AE13">
        <w:rPr>
          <w:rFonts w:ascii="Aptos" w:eastAsia="Aptos" w:hAnsi="Aptos" w:cs="Aptos"/>
        </w:rPr>
        <w:t>significant</w:t>
      </w:r>
      <w:bookmarkStart w:id="20" w:name="_Int_fP3jBREe"/>
      <w:r w:rsidRPr="02A6AE13">
        <w:rPr>
          <w:rFonts w:ascii="Aptos" w:eastAsia="Aptos" w:hAnsi="Aptos" w:cs="Aptos"/>
        </w:rPr>
        <w:t xml:space="preserve">? </w:t>
      </w:r>
      <w:r w:rsidR="03AF29B1" w:rsidRPr="02A6AE13">
        <w:rPr>
          <w:rFonts w:ascii="Aptos" w:eastAsia="Aptos" w:hAnsi="Aptos" w:cs="Aptos"/>
        </w:rPr>
        <w:t xml:space="preserve"> </w:t>
      </w:r>
      <w:bookmarkEnd w:id="20"/>
      <w:r w:rsidR="03AF29B1" w:rsidRPr="02A6AE13">
        <w:rPr>
          <w:rFonts w:ascii="Aptos" w:eastAsia="Aptos" w:hAnsi="Aptos" w:cs="Aptos"/>
        </w:rPr>
        <w:t xml:space="preserve">Hunter et al (2019) claim that </w:t>
      </w:r>
      <w:r w:rsidR="79580791" w:rsidRPr="02A6AE13">
        <w:rPr>
          <w:rFonts w:ascii="Aptos" w:eastAsia="Aptos" w:hAnsi="Aptos" w:cs="Aptos"/>
        </w:rPr>
        <w:t>‘’...</w:t>
      </w:r>
      <w:r w:rsidRPr="02A6AE13">
        <w:rPr>
          <w:rFonts w:ascii="Aptos" w:eastAsia="Aptos" w:hAnsi="Aptos" w:cs="Aptos"/>
        </w:rPr>
        <w:t xml:space="preserve">habitual </w:t>
      </w:r>
      <w:r w:rsidR="0F13F8DC" w:rsidRPr="02A6AE13">
        <w:rPr>
          <w:rFonts w:ascii="Aptos" w:eastAsia="Aptos" w:hAnsi="Aptos" w:cs="Aptos"/>
        </w:rPr>
        <w:t xml:space="preserve">engagement rather than </w:t>
      </w:r>
      <w:r w:rsidRPr="02A6AE13">
        <w:rPr>
          <w:rFonts w:ascii="Aptos" w:eastAsia="Aptos" w:hAnsi="Aptos" w:cs="Aptos"/>
        </w:rPr>
        <w:t>sporadic or novelty-driven participation</w:t>
      </w:r>
      <w:r w:rsidR="397DF277" w:rsidRPr="02A6AE13">
        <w:rPr>
          <w:rFonts w:ascii="Aptos" w:eastAsia="Aptos" w:hAnsi="Aptos" w:cs="Aptos"/>
        </w:rPr>
        <w:t>’’</w:t>
      </w:r>
      <w:r w:rsidRPr="02A6AE13">
        <w:rPr>
          <w:rFonts w:ascii="Aptos" w:eastAsia="Aptos" w:hAnsi="Aptos" w:cs="Aptos"/>
        </w:rPr>
        <w:t xml:space="preserve"> appears to foster more sustainable mental health improvements</w:t>
      </w:r>
      <w:r w:rsidR="06981AE5" w:rsidRPr="02A6AE13">
        <w:rPr>
          <w:rFonts w:ascii="Aptos" w:eastAsia="Aptos" w:hAnsi="Aptos" w:cs="Aptos"/>
        </w:rPr>
        <w:t>.</w:t>
      </w:r>
    </w:p>
    <w:p w14:paraId="326C1E93" w14:textId="0AA3DDA8" w:rsidR="00AA4C44" w:rsidRDefault="0F52D20D" w:rsidP="00122C7C">
      <w:pPr>
        <w:spacing w:line="360" w:lineRule="auto"/>
      </w:pPr>
      <w:r w:rsidRPr="1259BC21">
        <w:rPr>
          <w:rFonts w:ascii="Aptos" w:eastAsia="Aptos" w:hAnsi="Aptos" w:cs="Aptos"/>
          <w:b/>
          <w:bCs/>
        </w:rPr>
        <w:t>Burnout Prevention Through Nature Exposure</w:t>
      </w:r>
    </w:p>
    <w:p w14:paraId="69E0D273" w14:textId="153681CF" w:rsidR="00AA4C44" w:rsidRDefault="0F52D20D" w:rsidP="00122C7C">
      <w:pPr>
        <w:spacing w:line="360" w:lineRule="auto"/>
      </w:pPr>
      <w:r w:rsidRPr="1259BC21">
        <w:rPr>
          <w:rFonts w:ascii="Aptos" w:eastAsia="Aptos" w:hAnsi="Aptos" w:cs="Aptos"/>
        </w:rPr>
        <w:t xml:space="preserve">According to Danhof-Pont et al (2010) Burnout ‘’…is a stress state characterized by symptoms of mental exhaustion and physical fatigue, detachment from others, and feelings of diminished competence’’. Burnout is particularly prevalent among working parents due to the compounded pressures of career and parenthood. Symptoms such as chronic exhaustion, emotional detachment, and reduced professional efficacy are frequently reported (Maslach et al., 2001). Psychological interventions have traditionally focused on cognitive-behavioural approaches, mindfulness, and workplace modifications, yet these </w:t>
      </w:r>
      <w:r w:rsidR="11560A80" w:rsidRPr="1259BC21">
        <w:rPr>
          <w:rFonts w:ascii="Aptos" w:eastAsia="Aptos" w:hAnsi="Aptos" w:cs="Aptos"/>
        </w:rPr>
        <w:t>are not</w:t>
      </w:r>
      <w:r w:rsidRPr="1259BC21">
        <w:rPr>
          <w:rFonts w:ascii="Aptos" w:eastAsia="Aptos" w:hAnsi="Aptos" w:cs="Aptos"/>
        </w:rPr>
        <w:t xml:space="preserve"> always accessible to parents.</w:t>
      </w:r>
    </w:p>
    <w:p w14:paraId="59F36FA0" w14:textId="05ED5E8F" w:rsidR="00AA4C44" w:rsidRDefault="6DC4647D" w:rsidP="00122C7C">
      <w:pPr>
        <w:spacing w:line="360" w:lineRule="auto"/>
      </w:pPr>
      <w:r w:rsidRPr="02A6AE13">
        <w:rPr>
          <w:rFonts w:ascii="Aptos" w:eastAsia="Aptos" w:hAnsi="Aptos" w:cs="Aptos"/>
        </w:rPr>
        <w:t>Nature exposure presents a low-cost intervention with the potential for broad applicability. Kaplan (1995) argues that natural settings facilitate “directed attention recovery,” which is essential for mitigating cognitive fatigue - a key contributor to burnout. A study by Beute and de Kort (2014) reinforce</w:t>
      </w:r>
      <w:r w:rsidR="69C24D0A" w:rsidRPr="02A6AE13">
        <w:rPr>
          <w:rFonts w:ascii="Aptos" w:eastAsia="Aptos" w:hAnsi="Aptos" w:cs="Aptos"/>
        </w:rPr>
        <w:t>s</w:t>
      </w:r>
      <w:r w:rsidRPr="02A6AE13">
        <w:rPr>
          <w:rFonts w:ascii="Aptos" w:eastAsia="Aptos" w:hAnsi="Aptos" w:cs="Aptos"/>
        </w:rPr>
        <w:t xml:space="preserve"> this view</w:t>
      </w:r>
      <w:r w:rsidR="658F09CF" w:rsidRPr="02A6AE13">
        <w:rPr>
          <w:rFonts w:ascii="Aptos" w:eastAsia="Aptos" w:hAnsi="Aptos" w:cs="Aptos"/>
        </w:rPr>
        <w:t xml:space="preserve"> </w:t>
      </w:r>
      <w:r w:rsidRPr="02A6AE13">
        <w:rPr>
          <w:rFonts w:ascii="Aptos" w:eastAsia="Aptos" w:hAnsi="Aptos" w:cs="Aptos"/>
        </w:rPr>
        <w:t>that exposure to natural environments can improve attentional capacity and reduce mental fatigue.</w:t>
      </w:r>
    </w:p>
    <w:p w14:paraId="13DD1382" w14:textId="2A4F8269" w:rsidR="00914000" w:rsidRDefault="6DC4647D" w:rsidP="00122C7C">
      <w:pPr>
        <w:spacing w:line="360" w:lineRule="auto"/>
        <w:rPr>
          <w:rFonts w:ascii="Aptos" w:eastAsia="Aptos" w:hAnsi="Aptos" w:cs="Aptos"/>
        </w:rPr>
      </w:pPr>
      <w:bookmarkStart w:id="21" w:name="_Int_Z2RSn0iA"/>
      <w:r w:rsidRPr="02A6AE13">
        <w:rPr>
          <w:rFonts w:ascii="Aptos" w:eastAsia="Aptos" w:hAnsi="Aptos" w:cs="Aptos"/>
        </w:rPr>
        <w:lastRenderedPageBreak/>
        <w:t>Dzhambov</w:t>
      </w:r>
      <w:bookmarkEnd w:id="21"/>
      <w:r w:rsidRPr="02A6AE13">
        <w:rPr>
          <w:rFonts w:ascii="Aptos" w:eastAsia="Aptos" w:hAnsi="Aptos" w:cs="Aptos"/>
        </w:rPr>
        <w:t xml:space="preserve"> et al. (2019) </w:t>
      </w:r>
      <w:r w:rsidR="27722AEF" w:rsidRPr="02A6AE13">
        <w:rPr>
          <w:rFonts w:ascii="Aptos" w:eastAsia="Aptos" w:hAnsi="Aptos" w:cs="Aptos"/>
        </w:rPr>
        <w:t>foun</w:t>
      </w:r>
      <w:r w:rsidRPr="02A6AE13">
        <w:rPr>
          <w:rFonts w:ascii="Aptos" w:eastAsia="Aptos" w:hAnsi="Aptos" w:cs="Aptos"/>
        </w:rPr>
        <w:t xml:space="preserve">d that individuals exposed to green spaces had significantly lower salivary cortisol concentrations than those with limited nature access. </w:t>
      </w:r>
      <w:r w:rsidR="04D79D08">
        <w:t>E</w:t>
      </w:r>
      <w:r w:rsidR="4A300E6C">
        <w:t xml:space="preserve">mpirical evidence </w:t>
      </w:r>
      <w:r w:rsidR="0FF0075E">
        <w:t xml:space="preserve">for the impact of </w:t>
      </w:r>
      <w:r w:rsidR="1477AC22">
        <w:t>nature-based</w:t>
      </w:r>
      <w:r w:rsidR="0FF0075E">
        <w:t xml:space="preserve"> interventions on burnout </w:t>
      </w:r>
      <w:r w:rsidR="5223F69A">
        <w:t xml:space="preserve">specifically though, </w:t>
      </w:r>
      <w:r w:rsidR="0FF0075E">
        <w:t>are</w:t>
      </w:r>
      <w:r w:rsidR="4A300E6C">
        <w:t xml:space="preserve"> limited and</w:t>
      </w:r>
      <w:r w:rsidR="0CC937EE">
        <w:t xml:space="preserve"> largely</w:t>
      </w:r>
      <w:r w:rsidR="4A300E6C">
        <w:t xml:space="preserve"> </w:t>
      </w:r>
      <w:r w:rsidR="236E4316">
        <w:t>i</w:t>
      </w:r>
      <w:r w:rsidR="4A300E6C">
        <w:t xml:space="preserve">nconclusive. Some studies indicate that </w:t>
      </w:r>
      <w:r w:rsidR="5B2A0575">
        <w:t>any improvements in mood and wellbeing factors do</w:t>
      </w:r>
      <w:r w:rsidR="4A300E6C">
        <w:t xml:space="preserve"> not translate into significant reductions in burnout indicators when other workplace or lifestyle stressors remain un</w:t>
      </w:r>
      <w:r w:rsidR="1545701C">
        <w:t>change</w:t>
      </w:r>
      <w:r w:rsidR="4A300E6C">
        <w:t xml:space="preserve">d (Haluza et al., 2014). </w:t>
      </w:r>
      <w:r w:rsidR="233C21EB">
        <w:t>C</w:t>
      </w:r>
      <w:r w:rsidR="4A300E6C">
        <w:t>ertain occupationswith rigid schedules or high emotional demands may limit the feasibility of regular nature contact, potentially reducing its protective impact (Korpela et al., 2017). These caveats underscore the importance of integrating nature exposure into a broader, multi-component approach to burnout prevention.</w:t>
      </w:r>
    </w:p>
    <w:p w14:paraId="2006E10B" w14:textId="728CB36B" w:rsidR="00AA4C44" w:rsidRDefault="6DC4647D" w:rsidP="00122C7C">
      <w:pPr>
        <w:spacing w:line="360" w:lineRule="auto"/>
        <w:rPr>
          <w:rFonts w:ascii="Aptos" w:eastAsia="Aptos" w:hAnsi="Aptos" w:cs="Aptos"/>
        </w:rPr>
      </w:pPr>
      <w:r w:rsidRPr="02A6AE13">
        <w:rPr>
          <w:rFonts w:ascii="Aptos" w:eastAsia="Aptos" w:hAnsi="Aptos" w:cs="Aptos"/>
        </w:rPr>
        <w:t xml:space="preserve">Interestingly for busy working parents, nature-based interventions have offered promising results in </w:t>
      </w:r>
      <w:r w:rsidR="3959AD1F" w:rsidRPr="02A6AE13">
        <w:rPr>
          <w:rFonts w:ascii="Aptos" w:eastAsia="Aptos" w:hAnsi="Aptos" w:cs="Aptos"/>
        </w:rPr>
        <w:t>corporate</w:t>
      </w:r>
      <w:r w:rsidRPr="02A6AE13">
        <w:rPr>
          <w:rFonts w:ascii="Aptos" w:eastAsia="Aptos" w:hAnsi="Aptos" w:cs="Aptos"/>
        </w:rPr>
        <w:t xml:space="preserve"> settings. Brown et al. (2014)</w:t>
      </w:r>
      <w:r w:rsidR="569C6A42" w:rsidRPr="02A6AE13">
        <w:rPr>
          <w:rFonts w:ascii="Aptos" w:eastAsia="Aptos" w:hAnsi="Aptos" w:cs="Aptos"/>
        </w:rPr>
        <w:t>, for example,</w:t>
      </w:r>
      <w:r w:rsidRPr="02A6AE13">
        <w:rPr>
          <w:rFonts w:ascii="Aptos" w:eastAsia="Aptos" w:hAnsi="Aptos" w:cs="Aptos"/>
        </w:rPr>
        <w:t xml:space="preserve"> found that regular walking meetings in green spaces were associated with improved employee wellbeing and job satisfaction. </w:t>
      </w:r>
      <w:r w:rsidR="5C17A28D" w:rsidRPr="02A6AE13">
        <w:rPr>
          <w:rFonts w:ascii="Aptos" w:eastAsia="Aptos" w:hAnsi="Aptos" w:cs="Aptos"/>
        </w:rPr>
        <w:t>A</w:t>
      </w:r>
      <w:r w:rsidRPr="02A6AE13">
        <w:rPr>
          <w:rFonts w:ascii="Aptos" w:eastAsia="Aptos" w:hAnsi="Aptos" w:cs="Aptos"/>
        </w:rPr>
        <w:t xml:space="preserve"> similar study by Korpela and Kinnunen (2011)</w:t>
      </w:r>
      <w:r w:rsidR="4812BF3F" w:rsidRPr="02A6AE13">
        <w:rPr>
          <w:rFonts w:ascii="Aptos" w:eastAsia="Aptos" w:hAnsi="Aptos" w:cs="Aptos"/>
        </w:rPr>
        <w:t>, f</w:t>
      </w:r>
      <w:r w:rsidR="3FFABB89" w:rsidRPr="02A6AE13">
        <w:rPr>
          <w:rFonts w:ascii="Aptos" w:eastAsia="Aptos" w:hAnsi="Aptos" w:cs="Aptos"/>
        </w:rPr>
        <w:t xml:space="preserve">ound </w:t>
      </w:r>
      <w:r w:rsidRPr="02A6AE13">
        <w:rPr>
          <w:rFonts w:ascii="Aptos" w:eastAsia="Aptos" w:hAnsi="Aptos" w:cs="Aptos"/>
        </w:rPr>
        <w:t xml:space="preserve">that employees who visited local natural spaces during work breaks, reported lower emotional exhaustion and greater workplace engagement. </w:t>
      </w:r>
    </w:p>
    <w:p w14:paraId="49EFBCF1" w14:textId="3B62FB50" w:rsidR="00AA4C44" w:rsidRDefault="6DC4647D" w:rsidP="00122C7C">
      <w:pPr>
        <w:spacing w:line="360" w:lineRule="auto"/>
      </w:pPr>
      <w:r w:rsidRPr="02A6AE13">
        <w:rPr>
          <w:rFonts w:ascii="Aptos" w:eastAsia="Aptos" w:hAnsi="Aptos" w:cs="Aptos"/>
        </w:rPr>
        <w:t xml:space="preserve">A meta-analysis by Zhang et al. (2021) found that nature </w:t>
      </w:r>
      <w:r w:rsidR="175D41F7" w:rsidRPr="02A6AE13">
        <w:rPr>
          <w:rFonts w:ascii="Aptos" w:eastAsia="Aptos" w:hAnsi="Aptos" w:cs="Aptos"/>
        </w:rPr>
        <w:t>connection and interventions were</w:t>
      </w:r>
      <w:r w:rsidRPr="02A6AE13">
        <w:rPr>
          <w:rFonts w:ascii="Aptos" w:eastAsia="Aptos" w:hAnsi="Aptos" w:cs="Aptos"/>
        </w:rPr>
        <w:t xml:space="preserve"> linked to significant improvements in psychological resilience and reductions in burnout markers across various occupations. Interestingly, the literature rarely considers gender differences with burnout. Women</w:t>
      </w:r>
      <w:r w:rsidR="0E0E9B5A" w:rsidRPr="02A6AE13">
        <w:rPr>
          <w:rFonts w:ascii="Aptos" w:eastAsia="Aptos" w:hAnsi="Aptos" w:cs="Aptos"/>
        </w:rPr>
        <w:t xml:space="preserve"> though </w:t>
      </w:r>
      <w:r w:rsidRPr="02A6AE13">
        <w:rPr>
          <w:rFonts w:ascii="Aptos" w:eastAsia="Aptos" w:hAnsi="Aptos" w:cs="Aptos"/>
        </w:rPr>
        <w:t xml:space="preserve">are more likely to experience emotional exhaustion due to disproportionate domestic and caregiving responsibilities (van der Lippe et al., 2011). </w:t>
      </w:r>
      <w:r w:rsidR="4811B3E6" w:rsidRPr="02A6AE13">
        <w:rPr>
          <w:rFonts w:ascii="Aptos" w:eastAsia="Aptos" w:hAnsi="Aptos" w:cs="Aptos"/>
        </w:rPr>
        <w:t>S</w:t>
      </w:r>
      <w:r w:rsidRPr="02A6AE13">
        <w:rPr>
          <w:rFonts w:ascii="Aptos" w:eastAsia="Aptos" w:hAnsi="Aptos" w:cs="Aptos"/>
        </w:rPr>
        <w:t xml:space="preserve">tudies rarely separate participants by gender, nor do they explore how nature interventions might differentially affect mothers and fathers. </w:t>
      </w:r>
    </w:p>
    <w:p w14:paraId="6A9F8497" w14:textId="670FF825" w:rsidR="00AA4C44" w:rsidRDefault="0F52D20D" w:rsidP="00122C7C">
      <w:pPr>
        <w:spacing w:line="360" w:lineRule="auto"/>
      </w:pPr>
      <w:r w:rsidRPr="1259BC21">
        <w:rPr>
          <w:rFonts w:ascii="Aptos" w:eastAsia="Aptos" w:hAnsi="Aptos" w:cs="Aptos"/>
        </w:rPr>
        <w:t>Understanding how and to what extent walking in nature might remediate burnout in parents remains a critical and unexplored area of research. This presents a compelling opportunity for future postgraduate research to examine targeted interventions that are not only evidence-based but also demographically relevant.</w:t>
      </w:r>
    </w:p>
    <w:p w14:paraId="35559DFF" w14:textId="5F1B6A05" w:rsidR="00AA4C44" w:rsidRDefault="6DC4647D" w:rsidP="00122C7C">
      <w:pPr>
        <w:spacing w:line="360" w:lineRule="auto"/>
        <w:rPr>
          <w:rFonts w:ascii="Aptos" w:eastAsia="Aptos" w:hAnsi="Aptos" w:cs="Aptos"/>
          <w:b/>
          <w:bCs/>
        </w:rPr>
      </w:pPr>
      <w:r w:rsidRPr="02A6AE13">
        <w:rPr>
          <w:rFonts w:ascii="Aptos" w:eastAsia="Aptos" w:hAnsi="Aptos" w:cs="Aptos"/>
          <w:b/>
          <w:bCs/>
        </w:rPr>
        <w:t>Working Parents: A Vulnerable Population</w:t>
      </w:r>
    </w:p>
    <w:p w14:paraId="35B344E3" w14:textId="03E7AFE3" w:rsidR="00AA4C44" w:rsidRDefault="42F6AB17" w:rsidP="00122C7C">
      <w:pPr>
        <w:spacing w:line="360" w:lineRule="auto"/>
      </w:pPr>
      <w:r w:rsidRPr="02A6AE13">
        <w:rPr>
          <w:rFonts w:ascii="Aptos" w:eastAsia="Aptos" w:hAnsi="Aptos" w:cs="Aptos"/>
        </w:rPr>
        <w:lastRenderedPageBreak/>
        <w:t>P</w:t>
      </w:r>
      <w:r w:rsidR="6DC4647D" w:rsidRPr="02A6AE13">
        <w:rPr>
          <w:rFonts w:ascii="Aptos" w:eastAsia="Aptos" w:hAnsi="Aptos" w:cs="Aptos"/>
        </w:rPr>
        <w:t xml:space="preserve">arents frequently experience stress </w:t>
      </w:r>
      <w:r w:rsidR="701B892C" w:rsidRPr="02A6AE13">
        <w:rPr>
          <w:rFonts w:ascii="Aptos" w:eastAsia="Aptos" w:hAnsi="Aptos" w:cs="Aptos"/>
        </w:rPr>
        <w:t>linked to</w:t>
      </w:r>
      <w:r w:rsidR="6DC4647D" w:rsidRPr="02A6AE13">
        <w:rPr>
          <w:rFonts w:ascii="Aptos" w:eastAsia="Aptos" w:hAnsi="Aptos" w:cs="Aptos"/>
        </w:rPr>
        <w:t xml:space="preserve"> the </w:t>
      </w:r>
      <w:r w:rsidR="41185D6B" w:rsidRPr="02A6AE13">
        <w:rPr>
          <w:rFonts w:ascii="Aptos" w:eastAsia="Aptos" w:hAnsi="Aptos" w:cs="Aptos"/>
        </w:rPr>
        <w:t>conflicting</w:t>
      </w:r>
      <w:r w:rsidR="6DC4647D" w:rsidRPr="02A6AE13">
        <w:rPr>
          <w:rFonts w:ascii="Aptos" w:eastAsia="Aptos" w:hAnsi="Aptos" w:cs="Aptos"/>
        </w:rPr>
        <w:t xml:space="preserve"> demands of professional responsibilities and parenthood. The effects of these stressors are</w:t>
      </w:r>
      <w:r w:rsidR="46A0B60C" w:rsidRPr="02A6AE13">
        <w:rPr>
          <w:rFonts w:ascii="Aptos" w:eastAsia="Aptos" w:hAnsi="Aptos" w:cs="Aptos"/>
        </w:rPr>
        <w:t xml:space="preserve"> believed to be</w:t>
      </w:r>
      <w:r w:rsidR="6DC4647D" w:rsidRPr="02A6AE13">
        <w:rPr>
          <w:rFonts w:ascii="Aptos" w:eastAsia="Aptos" w:hAnsi="Aptos" w:cs="Aptos"/>
        </w:rPr>
        <w:t xml:space="preserve"> </w:t>
      </w:r>
      <w:r w:rsidR="29FB4366" w:rsidRPr="02A6AE13">
        <w:rPr>
          <w:rFonts w:ascii="Aptos" w:eastAsia="Aptos" w:hAnsi="Aptos" w:cs="Aptos"/>
        </w:rPr>
        <w:t>amplified</w:t>
      </w:r>
      <w:r w:rsidR="6DC4647D" w:rsidRPr="02A6AE13">
        <w:rPr>
          <w:rFonts w:ascii="Aptos" w:eastAsia="Aptos" w:hAnsi="Aptos" w:cs="Aptos"/>
        </w:rPr>
        <w:t xml:space="preserve"> by gender differences</w:t>
      </w:r>
      <w:r w:rsidR="12B99802" w:rsidRPr="02A6AE13">
        <w:rPr>
          <w:rFonts w:ascii="Aptos" w:eastAsia="Aptos" w:hAnsi="Aptos" w:cs="Aptos"/>
        </w:rPr>
        <w:t xml:space="preserve">; </w:t>
      </w:r>
      <w:r w:rsidR="6DC4647D" w:rsidRPr="02A6AE13">
        <w:rPr>
          <w:rFonts w:ascii="Aptos" w:eastAsia="Aptos" w:hAnsi="Aptos" w:cs="Aptos"/>
        </w:rPr>
        <w:t>with mothers often bearing a disproportionate share of domestic activity</w:t>
      </w:r>
      <w:r w:rsidR="7624F69D" w:rsidRPr="02A6AE13">
        <w:rPr>
          <w:rFonts w:ascii="Aptos" w:eastAsia="Aptos" w:hAnsi="Aptos" w:cs="Aptos"/>
        </w:rPr>
        <w:t xml:space="preserve"> in Western society</w:t>
      </w:r>
      <w:r w:rsidR="6DC4647D" w:rsidRPr="02A6AE13">
        <w:rPr>
          <w:rFonts w:ascii="Aptos" w:eastAsia="Aptos" w:hAnsi="Aptos" w:cs="Aptos"/>
        </w:rPr>
        <w:t>, contributing to heightened burnout rates (van der Lippe et al., 2011)</w:t>
      </w:r>
      <w:bookmarkStart w:id="22" w:name="_Int_yvSS9Vh0"/>
      <w:r w:rsidR="6DC4647D" w:rsidRPr="02A6AE13">
        <w:rPr>
          <w:rFonts w:ascii="Aptos" w:eastAsia="Aptos" w:hAnsi="Aptos" w:cs="Aptos"/>
        </w:rPr>
        <w:t xml:space="preserve">.  </w:t>
      </w:r>
      <w:bookmarkEnd w:id="22"/>
      <w:r w:rsidR="6DC4647D" w:rsidRPr="02A6AE13">
        <w:rPr>
          <w:rFonts w:ascii="Aptos" w:eastAsia="Aptos" w:hAnsi="Aptos" w:cs="Aptos"/>
        </w:rPr>
        <w:t>Studies</w:t>
      </w:r>
      <w:r w:rsidR="3F0A3204" w:rsidRPr="02A6AE13">
        <w:rPr>
          <w:rFonts w:ascii="Aptos" w:eastAsia="Aptos" w:hAnsi="Aptos" w:cs="Aptos"/>
        </w:rPr>
        <w:t xml:space="preserve"> have</w:t>
      </w:r>
      <w:r w:rsidR="6DC4647D" w:rsidRPr="02A6AE13">
        <w:rPr>
          <w:rFonts w:ascii="Aptos" w:eastAsia="Aptos" w:hAnsi="Aptos" w:cs="Aptos"/>
        </w:rPr>
        <w:t xml:space="preserve"> suggest</w:t>
      </w:r>
      <w:r w:rsidR="4E68CCD3" w:rsidRPr="02A6AE13">
        <w:rPr>
          <w:rFonts w:ascii="Aptos" w:eastAsia="Aptos" w:hAnsi="Aptos" w:cs="Aptos"/>
        </w:rPr>
        <w:t>ed</w:t>
      </w:r>
      <w:r w:rsidR="6DC4647D" w:rsidRPr="02A6AE13">
        <w:rPr>
          <w:rFonts w:ascii="Aptos" w:eastAsia="Aptos" w:hAnsi="Aptos" w:cs="Aptos"/>
        </w:rPr>
        <w:t xml:space="preserve"> that parenting </w:t>
      </w:r>
      <w:r w:rsidR="0D1C4103" w:rsidRPr="02A6AE13">
        <w:rPr>
          <w:rFonts w:ascii="Aptos" w:eastAsia="Aptos" w:hAnsi="Aptos" w:cs="Aptos"/>
        </w:rPr>
        <w:t>pressures</w:t>
      </w:r>
      <w:r w:rsidR="6DC4647D" w:rsidRPr="02A6AE13">
        <w:rPr>
          <w:rFonts w:ascii="Aptos" w:eastAsia="Aptos" w:hAnsi="Aptos" w:cs="Aptos"/>
        </w:rPr>
        <w:t xml:space="preserve"> can exacerbate general strain and reduce the </w:t>
      </w:r>
      <w:r w:rsidR="1655827B" w:rsidRPr="02A6AE13">
        <w:rPr>
          <w:rFonts w:ascii="Aptos" w:eastAsia="Aptos" w:hAnsi="Aptos" w:cs="Aptos"/>
        </w:rPr>
        <w:t>impact</w:t>
      </w:r>
      <w:r w:rsidR="6DC4647D" w:rsidRPr="02A6AE13">
        <w:rPr>
          <w:rFonts w:ascii="Aptos" w:eastAsia="Aptos" w:hAnsi="Aptos" w:cs="Aptos"/>
        </w:rPr>
        <w:t xml:space="preserve"> of common mental health interventions if not adequately addressed (Crnic &amp; Low, 2002). Further, working parents often face logistical barriers that limit participation in traditional mental health or wellbeing programs. These include rigid work hours, lack of affordable childcare, commuting stress, and guilt around prioritizing personal wellness over time with children.</w:t>
      </w:r>
      <w:r w:rsidR="1F6EC7E2" w:rsidRPr="02A6AE13">
        <w:rPr>
          <w:rFonts w:ascii="Aptos" w:eastAsia="Aptos" w:hAnsi="Aptos" w:cs="Aptos"/>
        </w:rPr>
        <w:t xml:space="preserve"> </w:t>
      </w:r>
      <w:r w:rsidR="6DC4647D" w:rsidRPr="02A6AE13">
        <w:rPr>
          <w:rFonts w:ascii="Aptos" w:eastAsia="Aptos" w:hAnsi="Aptos" w:cs="Aptos"/>
        </w:rPr>
        <w:t>Consequently, interventions that are low-cost, flexible, and easy to integrate into daily routines and around time with family, such as walking in local natural environments, may be particularly suitable for this population (Richardson et al., 2016)</w:t>
      </w:r>
      <w:bookmarkStart w:id="23" w:name="_Int_gmGBH1rI"/>
      <w:r w:rsidR="6DC4647D" w:rsidRPr="02A6AE13">
        <w:rPr>
          <w:rFonts w:ascii="Aptos" w:eastAsia="Aptos" w:hAnsi="Aptos" w:cs="Aptos"/>
        </w:rPr>
        <w:t xml:space="preserve">.  </w:t>
      </w:r>
      <w:bookmarkEnd w:id="23"/>
      <w:r w:rsidR="6DC4647D" w:rsidRPr="02A6AE13">
        <w:rPr>
          <w:rFonts w:ascii="Aptos" w:eastAsia="Aptos" w:hAnsi="Aptos" w:cs="Aptos"/>
        </w:rPr>
        <w:t>The impact of parenting-related stress is often overlooked in broader discussions of occupational burnout. Yet, for working parents, stress does not end at the workplace. Evenings and weekends, times typically available for rest and recovery</w:t>
      </w:r>
      <w:r w:rsidR="662B3EB7" w:rsidRPr="02A6AE13">
        <w:rPr>
          <w:rFonts w:ascii="Aptos" w:eastAsia="Aptos" w:hAnsi="Aptos" w:cs="Aptos"/>
        </w:rPr>
        <w:t xml:space="preserve"> to non-parents</w:t>
      </w:r>
      <w:r w:rsidR="6DC4647D" w:rsidRPr="02A6AE13">
        <w:rPr>
          <w:rFonts w:ascii="Aptos" w:eastAsia="Aptos" w:hAnsi="Aptos" w:cs="Aptos"/>
        </w:rPr>
        <w:t xml:space="preserve">, are instead consumed by household responsibilities and childcare tasks. These "second shifts" can exacerbate fatigue and reduce the efficacy of conventional mental health interventions (Hochschild &amp; </w:t>
      </w:r>
      <w:bookmarkStart w:id="24" w:name="_Int_1kN2J1rs"/>
      <w:r w:rsidR="6DC4647D" w:rsidRPr="02A6AE13">
        <w:rPr>
          <w:rFonts w:ascii="Aptos" w:eastAsia="Aptos" w:hAnsi="Aptos" w:cs="Aptos"/>
        </w:rPr>
        <w:t>Machung</w:t>
      </w:r>
      <w:bookmarkEnd w:id="24"/>
      <w:r w:rsidR="6DC4647D" w:rsidRPr="02A6AE13">
        <w:rPr>
          <w:rFonts w:ascii="Aptos" w:eastAsia="Aptos" w:hAnsi="Aptos" w:cs="Aptos"/>
        </w:rPr>
        <w:t>, 2012)</w:t>
      </w:r>
      <w:bookmarkStart w:id="25" w:name="_Int_WshMHSt1"/>
      <w:r w:rsidR="6DC4647D" w:rsidRPr="02A6AE13">
        <w:rPr>
          <w:rFonts w:ascii="Aptos" w:eastAsia="Aptos" w:hAnsi="Aptos" w:cs="Aptos"/>
        </w:rPr>
        <w:t xml:space="preserve">.  </w:t>
      </w:r>
      <w:bookmarkEnd w:id="25"/>
      <w:r w:rsidR="6DC4647D" w:rsidRPr="02A6AE13">
        <w:rPr>
          <w:rFonts w:ascii="Aptos" w:eastAsia="Aptos" w:hAnsi="Aptos" w:cs="Aptos"/>
        </w:rPr>
        <w:t xml:space="preserve">Again, in this context, the portability and low cost of nature-based walking become particularly salient. These interventions require minimal planning, are often free or </w:t>
      </w:r>
      <w:bookmarkStart w:id="26" w:name="_Int_KI4AZ3X6"/>
      <w:r w:rsidR="6DC4647D" w:rsidRPr="02A6AE13">
        <w:rPr>
          <w:rFonts w:ascii="Aptos" w:eastAsia="Aptos" w:hAnsi="Aptos" w:cs="Aptos"/>
        </w:rPr>
        <w:t>very low</w:t>
      </w:r>
      <w:bookmarkEnd w:id="26"/>
      <w:r w:rsidR="6DC4647D" w:rsidRPr="02A6AE13">
        <w:rPr>
          <w:rFonts w:ascii="Aptos" w:eastAsia="Aptos" w:hAnsi="Aptos" w:cs="Aptos"/>
        </w:rPr>
        <w:t xml:space="preserve"> cost, and can be easily integrated into daily routines (e.g., walking during lunch breaks or with children after school) as well as modelling positive health behaviours to their children. However, research must account for variables such as access to green space, perceived safety, and seasonal or weather-related barriers that could affect working parents' ability to consistently engage with nature.</w:t>
      </w:r>
    </w:p>
    <w:p w14:paraId="797F11A2" w14:textId="557EFE47" w:rsidR="00AA4C44" w:rsidRDefault="6DC4647D" w:rsidP="00122C7C">
      <w:pPr>
        <w:spacing w:line="360" w:lineRule="auto"/>
        <w:rPr>
          <w:rFonts w:ascii="Aptos" w:eastAsia="Aptos" w:hAnsi="Aptos" w:cs="Aptos"/>
        </w:rPr>
      </w:pPr>
      <w:r w:rsidRPr="02A6AE13">
        <w:rPr>
          <w:rFonts w:ascii="Aptos" w:eastAsia="Aptos" w:hAnsi="Aptos" w:cs="Aptos"/>
        </w:rPr>
        <w:t>As such, access inequities are a critical consideration for research of this nature. Parents in urban or low socio-economic areas may have limited access to safe, well-maintained green spaces or limited access to transportation links to green spaces. Socioeconomic status, ethnicity, and neighbourhood quality all influence one's proximity to and use of natural environments (</w:t>
      </w:r>
      <w:bookmarkStart w:id="27" w:name="_Int_rkBqK8nG"/>
      <w:r w:rsidRPr="02A6AE13">
        <w:rPr>
          <w:rFonts w:ascii="Aptos" w:eastAsia="Aptos" w:hAnsi="Aptos" w:cs="Aptos"/>
        </w:rPr>
        <w:t>Rigolon</w:t>
      </w:r>
      <w:bookmarkEnd w:id="27"/>
      <w:r w:rsidRPr="02A6AE13">
        <w:rPr>
          <w:rFonts w:ascii="Aptos" w:eastAsia="Aptos" w:hAnsi="Aptos" w:cs="Aptos"/>
        </w:rPr>
        <w:t xml:space="preserve">, 2016). Without addressing these </w:t>
      </w:r>
      <w:r w:rsidRPr="02A6AE13">
        <w:rPr>
          <w:rFonts w:ascii="Aptos" w:eastAsia="Aptos" w:hAnsi="Aptos" w:cs="Aptos"/>
        </w:rPr>
        <w:lastRenderedPageBreak/>
        <w:t>systemic barriers, nature-based interventions risk reinforcing existing health disparities rather than alleviating them.</w:t>
      </w:r>
    </w:p>
    <w:p w14:paraId="24835AEC" w14:textId="51DB6F1E" w:rsidR="00AA4C44" w:rsidRDefault="0142F026" w:rsidP="00122C7C">
      <w:pPr>
        <w:spacing w:line="360" w:lineRule="auto"/>
        <w:rPr>
          <w:rFonts w:ascii="Aptos" w:eastAsia="Aptos" w:hAnsi="Aptos" w:cs="Aptos"/>
        </w:rPr>
      </w:pPr>
      <w:r w:rsidRPr="02A6AE13">
        <w:rPr>
          <w:rFonts w:ascii="Aptos" w:eastAsia="Aptos" w:hAnsi="Aptos" w:cs="Aptos"/>
        </w:rPr>
        <w:t xml:space="preserve">In contexts where childcare responsibilities or long working hours dominate, opportunities for sustained or restorative time in nature can be scarce, limiting the potential impact of interventions such as walking in natural environments (Armstrong, 2000).  </w:t>
      </w:r>
      <w:r w:rsidR="6DC4647D" w:rsidRPr="02A6AE13">
        <w:rPr>
          <w:rFonts w:ascii="Aptos" w:eastAsia="Aptos" w:hAnsi="Aptos" w:cs="Aptos"/>
        </w:rPr>
        <w:t>Lastly, the framing of walking in nature as a</w:t>
      </w:r>
      <w:r w:rsidR="31CE9624" w:rsidRPr="02A6AE13">
        <w:rPr>
          <w:rFonts w:ascii="Aptos" w:eastAsia="Aptos" w:hAnsi="Aptos" w:cs="Aptos"/>
        </w:rPr>
        <w:t xml:space="preserve"> possible wellbeing</w:t>
      </w:r>
      <w:r w:rsidR="6DC4647D" w:rsidRPr="02A6AE13">
        <w:rPr>
          <w:rFonts w:ascii="Aptos" w:eastAsia="Aptos" w:hAnsi="Aptos" w:cs="Aptos"/>
        </w:rPr>
        <w:t xml:space="preserve"> intervention must consider </w:t>
      </w:r>
      <w:r w:rsidR="02614821" w:rsidRPr="02A6AE13">
        <w:rPr>
          <w:rFonts w:ascii="Aptos" w:eastAsia="Aptos" w:hAnsi="Aptos" w:cs="Aptos"/>
        </w:rPr>
        <w:t xml:space="preserve">the construct of </w:t>
      </w:r>
      <w:r w:rsidR="6DC4647D" w:rsidRPr="02A6AE13">
        <w:rPr>
          <w:rFonts w:ascii="Aptos" w:eastAsia="Aptos" w:hAnsi="Aptos" w:cs="Aptos"/>
        </w:rPr>
        <w:t xml:space="preserve">parental guilt. Parents may feel selfish or indulgent for taking time to walk alone rather than spending that time with their children. If the walking is not alone, for example, </w:t>
      </w:r>
      <w:r w:rsidR="6A18996C" w:rsidRPr="02A6AE13">
        <w:rPr>
          <w:rFonts w:ascii="Aptos" w:eastAsia="Aptos" w:hAnsi="Aptos" w:cs="Aptos"/>
        </w:rPr>
        <w:t>the question arises whether</w:t>
      </w:r>
      <w:r w:rsidR="6DC4647D" w:rsidRPr="02A6AE13">
        <w:rPr>
          <w:rFonts w:ascii="Aptos" w:eastAsia="Aptos" w:hAnsi="Aptos" w:cs="Aptos"/>
        </w:rPr>
        <w:t xml:space="preserve"> there </w:t>
      </w:r>
      <w:r w:rsidR="0F03D2D9" w:rsidRPr="02A6AE13">
        <w:rPr>
          <w:rFonts w:ascii="Aptos" w:eastAsia="Aptos" w:hAnsi="Aptos" w:cs="Aptos"/>
        </w:rPr>
        <w:t xml:space="preserve">is still a </w:t>
      </w:r>
      <w:r w:rsidR="6DC4647D" w:rsidRPr="02A6AE13">
        <w:rPr>
          <w:rFonts w:ascii="Aptos" w:eastAsia="Aptos" w:hAnsi="Aptos" w:cs="Aptos"/>
        </w:rPr>
        <w:t xml:space="preserve">rejuvenating impact </w:t>
      </w:r>
      <w:r w:rsidR="5EC81895" w:rsidRPr="02A6AE13">
        <w:rPr>
          <w:rFonts w:ascii="Aptos" w:eastAsia="Aptos" w:hAnsi="Aptos" w:cs="Aptos"/>
        </w:rPr>
        <w:t>.  Unfortunately, the literature is limited in this space.  It is obvious that f</w:t>
      </w:r>
      <w:r w:rsidR="6DC4647D" w:rsidRPr="02A6AE13">
        <w:rPr>
          <w:rFonts w:ascii="Aptos" w:eastAsia="Aptos" w:hAnsi="Aptos" w:cs="Aptos"/>
        </w:rPr>
        <w:t>amily-inclusive nature</w:t>
      </w:r>
      <w:r w:rsidR="59E747B4" w:rsidRPr="02A6AE13">
        <w:rPr>
          <w:rFonts w:ascii="Aptos" w:eastAsia="Aptos" w:hAnsi="Aptos" w:cs="Aptos"/>
        </w:rPr>
        <w:t xml:space="preserve"> </w:t>
      </w:r>
      <w:r w:rsidR="6DC4647D" w:rsidRPr="02A6AE13">
        <w:rPr>
          <w:rFonts w:ascii="Aptos" w:eastAsia="Aptos" w:hAnsi="Aptos" w:cs="Aptos"/>
        </w:rPr>
        <w:t>walking strategies</w:t>
      </w:r>
      <w:r w:rsidR="2AE9CEAA" w:rsidRPr="02A6AE13">
        <w:rPr>
          <w:rFonts w:ascii="Aptos" w:eastAsia="Aptos" w:hAnsi="Aptos" w:cs="Aptos"/>
        </w:rPr>
        <w:t xml:space="preserve"> </w:t>
      </w:r>
      <w:r w:rsidR="6DC4647D" w:rsidRPr="02A6AE13">
        <w:rPr>
          <w:rFonts w:ascii="Aptos" w:eastAsia="Aptos" w:hAnsi="Aptos" w:cs="Aptos"/>
        </w:rPr>
        <w:t xml:space="preserve">may be more feasible approaches to delivering mental health benefits to this group </w:t>
      </w:r>
      <w:r w:rsidR="304873FE" w:rsidRPr="02A6AE13">
        <w:rPr>
          <w:rFonts w:ascii="Aptos" w:eastAsia="Aptos" w:hAnsi="Aptos" w:cs="Aptos"/>
        </w:rPr>
        <w:t xml:space="preserve">but the health impact of those strategies is less well known </w:t>
      </w:r>
      <w:r w:rsidR="6DC4647D" w:rsidRPr="02A6AE13">
        <w:rPr>
          <w:rFonts w:ascii="Aptos" w:eastAsia="Aptos" w:hAnsi="Aptos" w:cs="Aptos"/>
        </w:rPr>
        <w:t>(Sachs et al., 2024).</w:t>
      </w:r>
    </w:p>
    <w:p w14:paraId="0F772668" w14:textId="5D9A9656" w:rsidR="02A6AE13" w:rsidRDefault="02A6AE13" w:rsidP="00122C7C">
      <w:pPr>
        <w:spacing w:line="360" w:lineRule="auto"/>
        <w:rPr>
          <w:rFonts w:ascii="Aptos" w:eastAsia="Aptos" w:hAnsi="Aptos" w:cs="Aptos"/>
          <w:color w:val="0E2841" w:themeColor="text2"/>
        </w:rPr>
      </w:pPr>
    </w:p>
    <w:p w14:paraId="0748FB43" w14:textId="71C1B58A" w:rsidR="00AA4C44" w:rsidRDefault="0F52D20D" w:rsidP="00122C7C">
      <w:pPr>
        <w:spacing w:line="360" w:lineRule="auto"/>
      </w:pPr>
      <w:r w:rsidRPr="1259BC21">
        <w:rPr>
          <w:rFonts w:ascii="Aptos" w:eastAsia="Aptos" w:hAnsi="Aptos" w:cs="Aptos"/>
          <w:b/>
          <w:bCs/>
        </w:rPr>
        <w:t>Methodological Critique and Gaps in the Literature</w:t>
      </w:r>
    </w:p>
    <w:p w14:paraId="00AF0D99" w14:textId="0B77ED80" w:rsidR="00AA4C44" w:rsidRDefault="6DC4647D" w:rsidP="00122C7C">
      <w:pPr>
        <w:spacing w:line="360" w:lineRule="auto"/>
      </w:pPr>
      <w:r w:rsidRPr="02A6AE13">
        <w:rPr>
          <w:rFonts w:ascii="Aptos" w:eastAsia="Aptos" w:hAnsi="Aptos" w:cs="Aptos"/>
        </w:rPr>
        <w:t xml:space="preserve">Although the literature supports the mental health benefits of nature exposure, it is clear there are </w:t>
      </w:r>
      <w:r w:rsidR="5466733E" w:rsidRPr="02A6AE13">
        <w:rPr>
          <w:rFonts w:ascii="Aptos" w:eastAsia="Aptos" w:hAnsi="Aptos" w:cs="Aptos"/>
        </w:rPr>
        <w:t xml:space="preserve">some </w:t>
      </w:r>
      <w:r w:rsidRPr="02A6AE13">
        <w:rPr>
          <w:rFonts w:ascii="Aptos" w:eastAsia="Aptos" w:hAnsi="Aptos" w:cs="Aptos"/>
        </w:rPr>
        <w:t xml:space="preserve">limitations. </w:t>
      </w:r>
      <w:r w:rsidR="6BAE487F" w:rsidRPr="02A6AE13">
        <w:rPr>
          <w:rFonts w:ascii="Aptos" w:eastAsia="Aptos" w:hAnsi="Aptos" w:cs="Aptos"/>
        </w:rPr>
        <w:t>Very few</w:t>
      </w:r>
      <w:r w:rsidRPr="02A6AE13">
        <w:rPr>
          <w:rFonts w:ascii="Aptos" w:eastAsia="Aptos" w:hAnsi="Aptos" w:cs="Aptos"/>
        </w:rPr>
        <w:t xml:space="preserve"> studies </w:t>
      </w:r>
      <w:r w:rsidR="6CDBD728" w:rsidRPr="02A6AE13">
        <w:rPr>
          <w:rFonts w:ascii="Aptos" w:eastAsia="Aptos" w:hAnsi="Aptos" w:cs="Aptos"/>
        </w:rPr>
        <w:t>separate</w:t>
      </w:r>
      <w:r w:rsidRPr="02A6AE13">
        <w:rPr>
          <w:rFonts w:ascii="Aptos" w:eastAsia="Aptos" w:hAnsi="Aptos" w:cs="Aptos"/>
        </w:rPr>
        <w:t xml:space="preserve"> data by employment or parental status, making it difficult to isolate effects specific to full-time working parents. The heterogeneity of intervention designs, varying in length, intensity, setting, and outcome measures, also impedes meta-analytic comparisons and the establishment of standardized recommendations.</w:t>
      </w:r>
    </w:p>
    <w:p w14:paraId="1CD69E3B" w14:textId="0F1804CC" w:rsidR="00AA4C44" w:rsidRDefault="0131D820" w:rsidP="00122C7C">
      <w:pPr>
        <w:spacing w:line="360" w:lineRule="auto"/>
      </w:pPr>
      <w:r w:rsidRPr="02A6AE13">
        <w:rPr>
          <w:rFonts w:ascii="Aptos" w:eastAsia="Aptos" w:hAnsi="Aptos" w:cs="Aptos"/>
        </w:rPr>
        <w:t>There are several e</w:t>
      </w:r>
      <w:r w:rsidR="6DC4647D" w:rsidRPr="02A6AE13">
        <w:rPr>
          <w:rFonts w:ascii="Aptos" w:eastAsia="Aptos" w:hAnsi="Aptos" w:cs="Aptos"/>
        </w:rPr>
        <w:t>merging methodologies</w:t>
      </w:r>
      <w:r w:rsidR="3F48F754" w:rsidRPr="02A6AE13">
        <w:rPr>
          <w:rFonts w:ascii="Aptos" w:eastAsia="Aptos" w:hAnsi="Aptos" w:cs="Aptos"/>
        </w:rPr>
        <w:t>,</w:t>
      </w:r>
      <w:r w:rsidR="6DC4647D" w:rsidRPr="02A6AE13">
        <w:rPr>
          <w:rFonts w:ascii="Aptos" w:eastAsia="Aptos" w:hAnsi="Aptos" w:cs="Aptos"/>
        </w:rPr>
        <w:t xml:space="preserve"> such as </w:t>
      </w:r>
      <w:r w:rsidR="0F66E97C" w:rsidRPr="02A6AE13">
        <w:rPr>
          <w:rFonts w:ascii="Aptos" w:eastAsia="Aptos" w:hAnsi="Aptos" w:cs="Aptos"/>
        </w:rPr>
        <w:t>E</w:t>
      </w:r>
      <w:r w:rsidR="6DC4647D" w:rsidRPr="02A6AE13">
        <w:rPr>
          <w:rFonts w:ascii="Aptos" w:eastAsia="Aptos" w:hAnsi="Aptos" w:cs="Aptos"/>
        </w:rPr>
        <w:t xml:space="preserve">cological </w:t>
      </w:r>
      <w:r w:rsidR="6317178E" w:rsidRPr="02A6AE13">
        <w:rPr>
          <w:rFonts w:ascii="Aptos" w:eastAsia="Aptos" w:hAnsi="Aptos" w:cs="Aptos"/>
        </w:rPr>
        <w:t>M</w:t>
      </w:r>
      <w:r w:rsidR="6DC4647D" w:rsidRPr="02A6AE13">
        <w:rPr>
          <w:rFonts w:ascii="Aptos" w:eastAsia="Aptos" w:hAnsi="Aptos" w:cs="Aptos"/>
        </w:rPr>
        <w:t xml:space="preserve">omentary </w:t>
      </w:r>
      <w:r w:rsidR="44BFE72A" w:rsidRPr="02A6AE13">
        <w:rPr>
          <w:rFonts w:ascii="Aptos" w:eastAsia="Aptos" w:hAnsi="Aptos" w:cs="Aptos"/>
        </w:rPr>
        <w:t>A</w:t>
      </w:r>
      <w:r w:rsidR="6DC4647D" w:rsidRPr="02A6AE13">
        <w:rPr>
          <w:rFonts w:ascii="Aptos" w:eastAsia="Aptos" w:hAnsi="Aptos" w:cs="Aptos"/>
        </w:rPr>
        <w:t>ssessment (EMA), salivary cortisol sampling and wearable biometric monitoring (e.g., heart rate variability)</w:t>
      </w:r>
      <w:r w:rsidR="7B656A4F" w:rsidRPr="02A6AE13">
        <w:rPr>
          <w:rFonts w:ascii="Aptos" w:eastAsia="Aptos" w:hAnsi="Aptos" w:cs="Aptos"/>
        </w:rPr>
        <w:t xml:space="preserve"> which have </w:t>
      </w:r>
      <w:r w:rsidR="11159E84" w:rsidRPr="02A6AE13">
        <w:rPr>
          <w:rFonts w:ascii="Aptos" w:eastAsia="Aptos" w:hAnsi="Aptos" w:cs="Aptos"/>
        </w:rPr>
        <w:t xml:space="preserve">so far </w:t>
      </w:r>
      <w:r w:rsidR="666673C7" w:rsidRPr="02A6AE13">
        <w:rPr>
          <w:rFonts w:ascii="Aptos" w:eastAsia="Aptos" w:hAnsi="Aptos" w:cs="Aptos"/>
        </w:rPr>
        <w:t xml:space="preserve">been </w:t>
      </w:r>
      <w:r w:rsidR="6DC4647D" w:rsidRPr="02A6AE13">
        <w:rPr>
          <w:rFonts w:ascii="Aptos" w:eastAsia="Aptos" w:hAnsi="Aptos" w:cs="Aptos"/>
        </w:rPr>
        <w:t xml:space="preserve">underutilized in the study of </w:t>
      </w:r>
      <w:r w:rsidR="5B14F3FE" w:rsidRPr="02A6AE13">
        <w:rPr>
          <w:rFonts w:ascii="Aptos" w:eastAsia="Aptos" w:hAnsi="Aptos" w:cs="Aptos"/>
        </w:rPr>
        <w:t>green health</w:t>
      </w:r>
      <w:r w:rsidR="2CEF5E04" w:rsidRPr="02A6AE13">
        <w:rPr>
          <w:rFonts w:ascii="Aptos" w:eastAsia="Aptos" w:hAnsi="Aptos" w:cs="Aptos"/>
        </w:rPr>
        <w:t>.  It is clear that these</w:t>
      </w:r>
      <w:r w:rsidR="6DC4647D" w:rsidRPr="02A6AE13">
        <w:rPr>
          <w:rFonts w:ascii="Aptos" w:eastAsia="Aptos" w:hAnsi="Aptos" w:cs="Aptos"/>
        </w:rPr>
        <w:t xml:space="preserve"> could offer more granular insights into the psychological and physiological impacts</w:t>
      </w:r>
      <w:r w:rsidR="6BC0786F" w:rsidRPr="02A6AE13">
        <w:rPr>
          <w:rFonts w:ascii="Aptos" w:eastAsia="Aptos" w:hAnsi="Aptos" w:cs="Aptos"/>
        </w:rPr>
        <w:t xml:space="preserve"> of nature based interventions</w:t>
      </w:r>
      <w:r w:rsidR="6DC4647D" w:rsidRPr="02A6AE13">
        <w:rPr>
          <w:rFonts w:ascii="Aptos" w:eastAsia="Aptos" w:hAnsi="Aptos" w:cs="Aptos"/>
        </w:rPr>
        <w:t xml:space="preserve"> (</w:t>
      </w:r>
      <w:bookmarkStart w:id="28" w:name="_Int_EybUHxjQ"/>
      <w:r w:rsidR="6DC4647D" w:rsidRPr="02A6AE13">
        <w:rPr>
          <w:rFonts w:ascii="Aptos" w:eastAsia="Aptos" w:hAnsi="Aptos" w:cs="Aptos"/>
        </w:rPr>
        <w:t>Dzhambov</w:t>
      </w:r>
      <w:bookmarkEnd w:id="28"/>
      <w:r w:rsidR="6DC4647D" w:rsidRPr="02A6AE13">
        <w:rPr>
          <w:rFonts w:ascii="Aptos" w:eastAsia="Aptos" w:hAnsi="Aptos" w:cs="Aptos"/>
        </w:rPr>
        <w:t xml:space="preserve"> et al., 2022).</w:t>
      </w:r>
      <w:r w:rsidR="552BCCBD" w:rsidRPr="02A6AE13">
        <w:rPr>
          <w:rFonts w:ascii="Aptos" w:eastAsia="Aptos" w:hAnsi="Aptos" w:cs="Aptos"/>
        </w:rPr>
        <w:t xml:space="preserve"> </w:t>
      </w:r>
      <w:r w:rsidR="0DD130F0">
        <w:t xml:space="preserve"> </w:t>
      </w:r>
      <w:r w:rsidR="49ADCDEE">
        <w:t>There are, of course, many</w:t>
      </w:r>
      <w:r w:rsidR="0DD130F0">
        <w:t xml:space="preserve"> studies in this field </w:t>
      </w:r>
      <w:r w:rsidR="48240C50">
        <w:t xml:space="preserve">which </w:t>
      </w:r>
      <w:r w:rsidR="002E4872">
        <w:t>have d</w:t>
      </w:r>
      <w:r w:rsidR="0DD130F0">
        <w:t>emonstrate</w:t>
      </w:r>
      <w:r w:rsidR="6AFE0EAC">
        <w:t>d</w:t>
      </w:r>
      <w:r w:rsidR="76530D1E">
        <w:t xml:space="preserve"> strong methodologies.  </w:t>
      </w:r>
      <w:r w:rsidR="0DD130F0">
        <w:t xml:space="preserve">For instance, </w:t>
      </w:r>
      <w:r w:rsidR="1B33A7EC">
        <w:t xml:space="preserve">the </w:t>
      </w:r>
      <w:r w:rsidR="0DD130F0">
        <w:t xml:space="preserve">large-scale longitudinal </w:t>
      </w:r>
      <w:r w:rsidR="082CE558">
        <w:t>format</w:t>
      </w:r>
      <w:r w:rsidR="0DD130F0">
        <w:t xml:space="preserve"> used by White et al. (2019) and Houlden et al. (2019)</w:t>
      </w:r>
      <w:r w:rsidR="7D4C10EA">
        <w:t xml:space="preserve">, both of which </w:t>
      </w:r>
      <w:r w:rsidR="0DD130F0">
        <w:t xml:space="preserve">provided more robust causal inferences by tracking participants’ mental health over time and controlling for socio-demographic </w:t>
      </w:r>
      <w:r w:rsidR="4BD81E6D">
        <w:t>effect</w:t>
      </w:r>
      <w:r w:rsidR="0DD130F0">
        <w:t xml:space="preserve">s. </w:t>
      </w:r>
      <w:r w:rsidR="10287683">
        <w:t xml:space="preserve">In </w:t>
      </w:r>
      <w:r w:rsidR="10287683">
        <w:lastRenderedPageBreak/>
        <w:t>contrast</w:t>
      </w:r>
      <w:r w:rsidR="0DD130F0">
        <w:t xml:space="preserve">, </w:t>
      </w:r>
      <w:r w:rsidR="59E9C709">
        <w:t>many</w:t>
      </w:r>
      <w:r w:rsidR="0DD130F0">
        <w:t xml:space="preserve"> small</w:t>
      </w:r>
      <w:r w:rsidR="18A14D40">
        <w:t>er</w:t>
      </w:r>
      <w:r w:rsidR="0DD130F0">
        <w:t>-scale studies that</w:t>
      </w:r>
      <w:r w:rsidR="367E5F91">
        <w:t xml:space="preserve"> </w:t>
      </w:r>
      <w:r w:rsidR="0DD130F0">
        <w:t xml:space="preserve">may overstate the generalisability of their findings due to limited sample sizes or context-specific variables (Beute and de Kort, 2014). </w:t>
      </w:r>
    </w:p>
    <w:p w14:paraId="13505887" w14:textId="4D4738C6" w:rsidR="00AA4C44" w:rsidRDefault="6DC4647D" w:rsidP="00122C7C">
      <w:pPr>
        <w:spacing w:line="360" w:lineRule="auto"/>
        <w:rPr>
          <w:rFonts w:ascii="Aptos" w:eastAsia="Aptos" w:hAnsi="Aptos" w:cs="Aptos"/>
        </w:rPr>
      </w:pPr>
      <w:r w:rsidRPr="02A6AE13">
        <w:rPr>
          <w:rFonts w:ascii="Aptos" w:eastAsia="Aptos" w:hAnsi="Aptos" w:cs="Aptos"/>
        </w:rPr>
        <w:t xml:space="preserve">A notable gap in the literature concerns the concept of “dose” in nature-based interventions. </w:t>
      </w:r>
      <w:r w:rsidR="4BA9B5EC" w:rsidRPr="02A6AE13">
        <w:rPr>
          <w:rFonts w:ascii="Aptos" w:eastAsia="Aptos" w:hAnsi="Aptos" w:cs="Aptos"/>
        </w:rPr>
        <w:t>T</w:t>
      </w:r>
      <w:r w:rsidRPr="02A6AE13">
        <w:rPr>
          <w:rFonts w:ascii="Aptos" w:eastAsia="Aptos" w:hAnsi="Aptos" w:cs="Aptos"/>
        </w:rPr>
        <w:t>he interplay between dose, activity type, and population subgroup remains underexplored. There a</w:t>
      </w:r>
      <w:r w:rsidR="20F1C0EC" w:rsidRPr="02A6AE13">
        <w:rPr>
          <w:rFonts w:ascii="Aptos" w:eastAsia="Aptos" w:hAnsi="Aptos" w:cs="Aptos"/>
        </w:rPr>
        <w:t xml:space="preserve">ppears to be a </w:t>
      </w:r>
      <w:r w:rsidRPr="02A6AE13">
        <w:rPr>
          <w:rFonts w:ascii="Aptos" w:eastAsia="Aptos" w:hAnsi="Aptos" w:cs="Aptos"/>
        </w:rPr>
        <w:t xml:space="preserve">need for research that </w:t>
      </w:r>
      <w:r w:rsidR="50737EE8" w:rsidRPr="02A6AE13">
        <w:rPr>
          <w:rFonts w:ascii="Aptos" w:eastAsia="Aptos" w:hAnsi="Aptos" w:cs="Aptos"/>
        </w:rPr>
        <w:t>measures the impact of</w:t>
      </w:r>
      <w:r w:rsidRPr="02A6AE13">
        <w:rPr>
          <w:rFonts w:ascii="Aptos" w:eastAsia="Aptos" w:hAnsi="Aptos" w:cs="Aptos"/>
        </w:rPr>
        <w:t xml:space="preserve"> </w:t>
      </w:r>
      <w:r w:rsidR="6D6E1506" w:rsidRPr="02A6AE13">
        <w:rPr>
          <w:rFonts w:ascii="Aptos" w:eastAsia="Aptos" w:hAnsi="Aptos" w:cs="Aptos"/>
        </w:rPr>
        <w:t>s</w:t>
      </w:r>
      <w:r w:rsidRPr="02A6AE13">
        <w:rPr>
          <w:rFonts w:ascii="Aptos" w:eastAsia="Aptos" w:hAnsi="Aptos" w:cs="Aptos"/>
        </w:rPr>
        <w:t>horter, more frequent doses (such as 10-min</w:t>
      </w:r>
      <w:r w:rsidR="27417498" w:rsidRPr="02A6AE13">
        <w:rPr>
          <w:rFonts w:ascii="Aptos" w:eastAsia="Aptos" w:hAnsi="Aptos" w:cs="Aptos"/>
        </w:rPr>
        <w:t>s per day</w:t>
      </w:r>
      <w:r w:rsidRPr="02A6AE13">
        <w:rPr>
          <w:rFonts w:ascii="Aptos" w:eastAsia="Aptos" w:hAnsi="Aptos" w:cs="Aptos"/>
        </w:rPr>
        <w:t xml:space="preserve">) </w:t>
      </w:r>
      <w:r w:rsidR="6666099B" w:rsidRPr="02A6AE13">
        <w:rPr>
          <w:rFonts w:ascii="Aptos" w:eastAsia="Aptos" w:hAnsi="Aptos" w:cs="Aptos"/>
        </w:rPr>
        <w:t xml:space="preserve">of nature to assed whether they </w:t>
      </w:r>
      <w:r w:rsidRPr="02A6AE13">
        <w:rPr>
          <w:rFonts w:ascii="Aptos" w:eastAsia="Aptos" w:hAnsi="Aptos" w:cs="Aptos"/>
        </w:rPr>
        <w:t>offer comparable or superior benefits to longer, less frequent exposures, especially among time-poor populations like full-time working parents.</w:t>
      </w:r>
    </w:p>
    <w:p w14:paraId="0ABD3598" w14:textId="5ED722AD" w:rsidR="00AA4C44" w:rsidRDefault="21519B11" w:rsidP="00122C7C">
      <w:pPr>
        <w:spacing w:line="360" w:lineRule="auto"/>
        <w:rPr>
          <w:rFonts w:ascii="Aptos" w:eastAsia="Aptos" w:hAnsi="Aptos" w:cs="Aptos"/>
        </w:rPr>
      </w:pPr>
      <w:r w:rsidRPr="02A6AE13">
        <w:rPr>
          <w:rFonts w:ascii="Aptos" w:eastAsia="Aptos" w:hAnsi="Aptos" w:cs="Aptos"/>
        </w:rPr>
        <w:t>E</w:t>
      </w:r>
      <w:r w:rsidR="6DC4647D" w:rsidRPr="02A6AE13">
        <w:rPr>
          <w:rFonts w:ascii="Aptos" w:eastAsia="Aptos" w:hAnsi="Aptos" w:cs="Aptos"/>
        </w:rPr>
        <w:t>nvironmental variables</w:t>
      </w:r>
      <w:r w:rsidR="69A2C856" w:rsidRPr="02A6AE13">
        <w:rPr>
          <w:rFonts w:ascii="Aptos" w:eastAsia="Aptos" w:hAnsi="Aptos" w:cs="Aptos"/>
        </w:rPr>
        <w:t xml:space="preserve">, </w:t>
      </w:r>
      <w:r w:rsidR="6DC4647D" w:rsidRPr="02A6AE13">
        <w:rPr>
          <w:rFonts w:ascii="Aptos" w:eastAsia="Aptos" w:hAnsi="Aptos" w:cs="Aptos"/>
        </w:rPr>
        <w:t>such as biodiversity, air quality, noise levels, and green space type or quality are rarely standardized or accounted for</w:t>
      </w:r>
      <w:r w:rsidR="2F6DAAEB" w:rsidRPr="02A6AE13">
        <w:rPr>
          <w:rFonts w:ascii="Aptos" w:eastAsia="Aptos" w:hAnsi="Aptos" w:cs="Aptos"/>
        </w:rPr>
        <w:t xml:space="preserve"> in the literature base</w:t>
      </w:r>
      <w:r w:rsidR="6DC4647D" w:rsidRPr="02A6AE13">
        <w:rPr>
          <w:rFonts w:ascii="Aptos" w:eastAsia="Aptos" w:hAnsi="Aptos" w:cs="Aptos"/>
        </w:rPr>
        <w:t xml:space="preserve">. Yet, </w:t>
      </w:r>
      <w:r w:rsidR="341E7171" w:rsidRPr="02A6AE13">
        <w:rPr>
          <w:rFonts w:ascii="Aptos" w:eastAsia="Aptos" w:hAnsi="Aptos" w:cs="Aptos"/>
        </w:rPr>
        <w:t xml:space="preserve">as we have seen, </w:t>
      </w:r>
      <w:r w:rsidR="6DC4647D" w:rsidRPr="02A6AE13">
        <w:rPr>
          <w:rFonts w:ascii="Aptos" w:eastAsia="Aptos" w:hAnsi="Aptos" w:cs="Aptos"/>
        </w:rPr>
        <w:t>these factors can significantly modulate the restorative quality of a natural environment (Marselle et al., 2021). The failure to control for such variables limits the comparability of studies as well as the ability to draw out programmatic recommendations for mental health practitioners and healthcare professionals.</w:t>
      </w:r>
    </w:p>
    <w:p w14:paraId="5565287D" w14:textId="1BB791E5" w:rsidR="00AA4C44" w:rsidRDefault="670A663C" w:rsidP="00122C7C">
      <w:pPr>
        <w:spacing w:line="360" w:lineRule="auto"/>
      </w:pPr>
      <w:r w:rsidRPr="02A6AE13">
        <w:rPr>
          <w:rFonts w:ascii="Aptos" w:eastAsia="Aptos" w:hAnsi="Aptos" w:cs="Aptos"/>
        </w:rPr>
        <w:t xml:space="preserve">There is minimal evidence in the literature of </w:t>
      </w:r>
      <w:r w:rsidR="6DC4647D" w:rsidRPr="02A6AE13">
        <w:rPr>
          <w:rFonts w:ascii="Aptos" w:eastAsia="Aptos" w:hAnsi="Aptos" w:cs="Aptos"/>
        </w:rPr>
        <w:t xml:space="preserve">the </w:t>
      </w:r>
      <w:r w:rsidR="1CC5E2AE" w:rsidRPr="02A6AE13">
        <w:rPr>
          <w:rFonts w:ascii="Aptos" w:eastAsia="Aptos" w:hAnsi="Aptos" w:cs="Aptos"/>
        </w:rPr>
        <w:t>longer-term</w:t>
      </w:r>
      <w:r w:rsidR="6DC4647D" w:rsidRPr="02A6AE13">
        <w:rPr>
          <w:rFonts w:ascii="Aptos" w:eastAsia="Aptos" w:hAnsi="Aptos" w:cs="Aptos"/>
        </w:rPr>
        <w:t xml:space="preserve"> sustainability of mental health </w:t>
      </w:r>
      <w:r w:rsidR="506569F6" w:rsidRPr="02A6AE13">
        <w:rPr>
          <w:rFonts w:ascii="Aptos" w:eastAsia="Aptos" w:hAnsi="Aptos" w:cs="Aptos"/>
        </w:rPr>
        <w:t>benefit</w:t>
      </w:r>
      <w:r w:rsidR="6DC4647D" w:rsidRPr="02A6AE13">
        <w:rPr>
          <w:rFonts w:ascii="Aptos" w:eastAsia="Aptos" w:hAnsi="Aptos" w:cs="Aptos"/>
        </w:rPr>
        <w:t>s from nature-based walking. While many studies demonstrate short-term benefits, few track outcomes beyond several weeks or months. This is a significant limitation for burnout-related research, where symptom trajectories can be long-lasting and relapse common</w:t>
      </w:r>
      <w:bookmarkStart w:id="29" w:name="_Int_D3HWZ76k"/>
      <w:r w:rsidR="6DC4647D" w:rsidRPr="02A6AE13">
        <w:rPr>
          <w:rFonts w:ascii="Aptos" w:eastAsia="Aptos" w:hAnsi="Aptos" w:cs="Aptos"/>
        </w:rPr>
        <w:t xml:space="preserve">.  </w:t>
      </w:r>
      <w:bookmarkEnd w:id="29"/>
      <w:r w:rsidR="6DC4647D" w:rsidRPr="02A6AE13">
        <w:rPr>
          <w:rFonts w:ascii="Aptos" w:eastAsia="Aptos" w:hAnsi="Aptos" w:cs="Aptos"/>
        </w:rPr>
        <w:t xml:space="preserve">This points to the potential for PhD </w:t>
      </w:r>
      <w:r w:rsidR="15716D01" w:rsidRPr="02A6AE13">
        <w:rPr>
          <w:rFonts w:ascii="Aptos" w:eastAsia="Aptos" w:hAnsi="Aptos" w:cs="Aptos"/>
        </w:rPr>
        <w:t xml:space="preserve">level </w:t>
      </w:r>
      <w:r w:rsidR="6DC4647D" w:rsidRPr="02A6AE13">
        <w:rPr>
          <w:rFonts w:ascii="Aptos" w:eastAsia="Aptos" w:hAnsi="Aptos" w:cs="Aptos"/>
        </w:rPr>
        <w:t xml:space="preserve">research conducted over multiple years whereby </w:t>
      </w:r>
      <w:r w:rsidR="14DBEDAD" w:rsidRPr="02A6AE13">
        <w:rPr>
          <w:rFonts w:ascii="Aptos" w:eastAsia="Aptos" w:hAnsi="Aptos" w:cs="Aptos"/>
        </w:rPr>
        <w:t>long-term</w:t>
      </w:r>
      <w:r w:rsidR="6DC4647D" w:rsidRPr="02A6AE13">
        <w:rPr>
          <w:rFonts w:ascii="Aptos" w:eastAsia="Aptos" w:hAnsi="Aptos" w:cs="Aptos"/>
        </w:rPr>
        <w:t xml:space="preserve"> impact is more deeply studied.</w:t>
      </w:r>
    </w:p>
    <w:p w14:paraId="5639E4D4" w14:textId="36DDCE07" w:rsidR="00AA4C44" w:rsidRDefault="319E1399" w:rsidP="00122C7C">
      <w:pPr>
        <w:spacing w:line="360" w:lineRule="auto"/>
        <w:rPr>
          <w:rFonts w:ascii="Aptos" w:eastAsia="Aptos" w:hAnsi="Aptos" w:cs="Aptos"/>
        </w:rPr>
      </w:pPr>
      <w:r w:rsidRPr="02A6AE13">
        <w:rPr>
          <w:rFonts w:ascii="Aptos" w:eastAsia="Aptos" w:hAnsi="Aptos" w:cs="Aptos"/>
        </w:rPr>
        <w:t xml:space="preserve">Lastly, </w:t>
      </w:r>
      <w:r w:rsidR="0C94CA72" w:rsidRPr="02A6AE13">
        <w:rPr>
          <w:rFonts w:ascii="Aptos" w:eastAsia="Aptos" w:hAnsi="Aptos" w:cs="Aptos"/>
        </w:rPr>
        <w:t>most of</w:t>
      </w:r>
      <w:r w:rsidRPr="02A6AE13">
        <w:rPr>
          <w:rFonts w:ascii="Aptos" w:eastAsia="Aptos" w:hAnsi="Aptos" w:cs="Aptos"/>
        </w:rPr>
        <w:t xml:space="preserve"> the c</w:t>
      </w:r>
      <w:r w:rsidR="6DC4647D" w:rsidRPr="02A6AE13">
        <w:rPr>
          <w:rFonts w:ascii="Aptos" w:eastAsia="Aptos" w:hAnsi="Aptos" w:cs="Aptos"/>
        </w:rPr>
        <w:t xml:space="preserve">urrent </w:t>
      </w:r>
      <w:r w:rsidR="21447B51" w:rsidRPr="02A6AE13">
        <w:rPr>
          <w:rFonts w:ascii="Aptos" w:eastAsia="Aptos" w:hAnsi="Aptos" w:cs="Aptos"/>
        </w:rPr>
        <w:t xml:space="preserve">literature </w:t>
      </w:r>
      <w:r w:rsidR="6DC4647D" w:rsidRPr="02A6AE13">
        <w:rPr>
          <w:rFonts w:ascii="Aptos" w:eastAsia="Aptos" w:hAnsi="Aptos" w:cs="Aptos"/>
        </w:rPr>
        <w:t>is concentrated in Western countries, creating questions about cultural applicability and ecological validity. Cultural attitudes toward nature, physical activity, and mental health vary widely, and interventions that are effective in one context may not generalize to others. Future research must incorporate diverse populations and consider how socioeconomic, geographic, and cultural factors shape engagement with nature and subsequent wellbeing outcomes.</w:t>
      </w:r>
    </w:p>
    <w:p w14:paraId="236DAF8E" w14:textId="0E622199" w:rsidR="6DC827DC" w:rsidRDefault="6DC827DC" w:rsidP="00122C7C">
      <w:pPr>
        <w:spacing w:line="360" w:lineRule="auto"/>
      </w:pPr>
      <w:r>
        <w:t>Variability in study designs, inconsistent definitions of “nature exposure,” and reliance on self-reported measures mean that</w:t>
      </w:r>
      <w:r w:rsidR="2A433C7B">
        <w:t>’’...</w:t>
      </w:r>
      <w:r>
        <w:t>effect sizes and causal pathways are not always clear</w:t>
      </w:r>
      <w:r w:rsidR="78F2D4D0">
        <w:t>’’</w:t>
      </w:r>
      <w:r>
        <w:t xml:space="preserve"> (Frumkin et al., 2017; Hunter et al., 2019). Furthermore, the </w:t>
      </w:r>
      <w:r>
        <w:lastRenderedPageBreak/>
        <w:t>predominance of cross-sectional studies limits the ability to determine long-term impacts, while population-specific variables</w:t>
      </w:r>
      <w:r w:rsidR="625E747D">
        <w:t xml:space="preserve">, </w:t>
      </w:r>
      <w:r>
        <w:t>such as cultural attitudes toward outdoor activity, accessibility of green space, and pre-existing mental health status</w:t>
      </w:r>
      <w:r w:rsidR="6DEFFC60">
        <w:t xml:space="preserve">, </w:t>
      </w:r>
      <w:r>
        <w:t xml:space="preserve">are often underexplored (van den Berg et al., 2016; Keniger et al., 2013). At the same time, a </w:t>
      </w:r>
      <w:r w:rsidR="2A4B4C1D">
        <w:t xml:space="preserve">smaller </w:t>
      </w:r>
      <w:r>
        <w:t xml:space="preserve">subset of high-quality longitudinal and experimental studies provides a more robust foundation (Shanahan et al., 2016; Olafsdóttir et al., 2020), indicating that the field is capable of producing rigorous and generalisable evidence when methodological best practices are applied. </w:t>
      </w:r>
    </w:p>
    <w:p w14:paraId="1C099EE0" w14:textId="1574352A" w:rsidR="00AA4C44" w:rsidRDefault="6DC4647D" w:rsidP="00122C7C">
      <w:pPr>
        <w:spacing w:line="360" w:lineRule="auto"/>
        <w:rPr>
          <w:rFonts w:ascii="Aptos" w:eastAsia="Aptos" w:hAnsi="Aptos" w:cs="Aptos"/>
        </w:rPr>
      </w:pPr>
      <w:r w:rsidRPr="02A6AE13">
        <w:rPr>
          <w:rFonts w:ascii="Aptos" w:eastAsia="Aptos" w:hAnsi="Aptos" w:cs="Aptos"/>
        </w:rPr>
        <w:t xml:space="preserve">The literature reviewed in this dissertation </w:t>
      </w:r>
      <w:r w:rsidR="29C18684" w:rsidRPr="02A6AE13">
        <w:rPr>
          <w:rFonts w:ascii="Aptos" w:eastAsia="Aptos" w:hAnsi="Aptos" w:cs="Aptos"/>
        </w:rPr>
        <w:t>demonstrates a strong</w:t>
      </w:r>
      <w:r w:rsidRPr="02A6AE13">
        <w:rPr>
          <w:rFonts w:ascii="Aptos" w:eastAsia="Aptos" w:hAnsi="Aptos" w:cs="Aptos"/>
        </w:rPr>
        <w:t xml:space="preserve"> </w:t>
      </w:r>
      <w:r w:rsidR="49F8A684" w:rsidRPr="02A6AE13">
        <w:rPr>
          <w:rFonts w:ascii="Aptos" w:eastAsia="Aptos" w:hAnsi="Aptos" w:cs="Aptos"/>
        </w:rPr>
        <w:t>link</w:t>
      </w:r>
      <w:r w:rsidRPr="02A6AE13">
        <w:rPr>
          <w:rFonts w:ascii="Aptos" w:eastAsia="Aptos" w:hAnsi="Aptos" w:cs="Aptos"/>
        </w:rPr>
        <w:t xml:space="preserve"> between exposure to green spaces and improved mental wellbeing, particularly </w:t>
      </w:r>
      <w:r w:rsidR="4DA4DFA6" w:rsidRPr="02A6AE13">
        <w:rPr>
          <w:rFonts w:ascii="Aptos" w:eastAsia="Aptos" w:hAnsi="Aptos" w:cs="Aptos"/>
        </w:rPr>
        <w:t>for studies assessing walking interventions</w:t>
      </w:r>
      <w:r w:rsidRPr="02A6AE13">
        <w:rPr>
          <w:rFonts w:ascii="Aptos" w:eastAsia="Aptos" w:hAnsi="Aptos" w:cs="Aptos"/>
        </w:rPr>
        <w:t xml:space="preserve">. </w:t>
      </w:r>
      <w:r w:rsidR="5DB49720" w:rsidRPr="02A6AE13">
        <w:rPr>
          <w:rFonts w:ascii="Aptos" w:eastAsia="Aptos" w:hAnsi="Aptos" w:cs="Aptos"/>
        </w:rPr>
        <w:t xml:space="preserve">The </w:t>
      </w:r>
      <w:r w:rsidRPr="02A6AE13">
        <w:rPr>
          <w:rFonts w:ascii="Aptos" w:eastAsia="Aptos" w:hAnsi="Aptos" w:cs="Aptos"/>
        </w:rPr>
        <w:t>combination of moderate physical activity and exposure to</w:t>
      </w:r>
      <w:r w:rsidR="7F59BA8F" w:rsidRPr="02A6AE13">
        <w:rPr>
          <w:rFonts w:ascii="Aptos" w:eastAsia="Aptos" w:hAnsi="Aptos" w:cs="Aptos"/>
        </w:rPr>
        <w:t xml:space="preserve"> nature </w:t>
      </w:r>
      <w:r w:rsidRPr="02A6AE13">
        <w:rPr>
          <w:rFonts w:ascii="Aptos" w:eastAsia="Aptos" w:hAnsi="Aptos" w:cs="Aptos"/>
        </w:rPr>
        <w:t>produces synergistic psychological benefits, ranging from stress reduction to improved cognitive function and mood regulation.</w:t>
      </w:r>
      <w:r w:rsidR="4E56B1D4" w:rsidRPr="02A6AE13">
        <w:rPr>
          <w:rFonts w:ascii="Aptos" w:eastAsia="Aptos" w:hAnsi="Aptos" w:cs="Aptos"/>
        </w:rPr>
        <w:t xml:space="preserve">  </w:t>
      </w:r>
      <w:r w:rsidRPr="02A6AE13">
        <w:rPr>
          <w:rFonts w:ascii="Aptos" w:eastAsia="Aptos" w:hAnsi="Aptos" w:cs="Aptos"/>
        </w:rPr>
        <w:t xml:space="preserve">These outcomes are especially significant for full-time working parents, who represent a chronically stressed and often underserved population in mental health research. This demographic experiences unique and layered sources of psychological burden, including occupational pressures, parenthood responsibilities, and limited time for recovery or self-care. </w:t>
      </w:r>
    </w:p>
    <w:p w14:paraId="2D089922" w14:textId="36E81D1C" w:rsidR="00AA4C44" w:rsidRDefault="6FCE71C8" w:rsidP="00122C7C">
      <w:pPr>
        <w:spacing w:line="360" w:lineRule="auto"/>
        <w:rPr>
          <w:rFonts w:ascii="Aptos" w:eastAsia="Aptos" w:hAnsi="Aptos" w:cs="Aptos"/>
        </w:rPr>
      </w:pPr>
      <w:r w:rsidRPr="02A6AE13">
        <w:rPr>
          <w:rFonts w:ascii="Aptos" w:eastAsia="Aptos" w:hAnsi="Aptos" w:cs="Aptos"/>
        </w:rPr>
        <w:t>In summary, p</w:t>
      </w:r>
      <w:r w:rsidR="2E2BF0E3" w:rsidRPr="02A6AE13">
        <w:rPr>
          <w:rFonts w:ascii="Aptos" w:eastAsia="Aptos" w:hAnsi="Aptos" w:cs="Aptos"/>
        </w:rPr>
        <w:t xml:space="preserve">arents are being </w:t>
      </w:r>
      <w:r w:rsidR="70713132" w:rsidRPr="02A6AE13">
        <w:rPr>
          <w:rFonts w:ascii="Aptos" w:eastAsia="Aptos" w:hAnsi="Aptos" w:cs="Aptos"/>
        </w:rPr>
        <w:t>hit</w:t>
      </w:r>
      <w:r w:rsidR="2E2BF0E3" w:rsidRPr="02A6AE13">
        <w:rPr>
          <w:rFonts w:ascii="Aptos" w:eastAsia="Aptos" w:hAnsi="Aptos" w:cs="Aptos"/>
        </w:rPr>
        <w:t xml:space="preserve"> by</w:t>
      </w:r>
      <w:r w:rsidR="7311E866" w:rsidRPr="02A6AE13">
        <w:rPr>
          <w:rFonts w:ascii="Aptos" w:eastAsia="Aptos" w:hAnsi="Aptos" w:cs="Aptos"/>
        </w:rPr>
        <w:t xml:space="preserve"> a growing social crisis.  Modern 2</w:t>
      </w:r>
      <w:r w:rsidR="24B98E80" w:rsidRPr="02A6AE13">
        <w:rPr>
          <w:rFonts w:ascii="Aptos" w:eastAsia="Aptos" w:hAnsi="Aptos" w:cs="Aptos"/>
        </w:rPr>
        <w:t>4</w:t>
      </w:r>
      <w:r w:rsidR="7311E866" w:rsidRPr="02A6AE13">
        <w:rPr>
          <w:rFonts w:ascii="Aptos" w:eastAsia="Aptos" w:hAnsi="Aptos" w:cs="Aptos"/>
        </w:rPr>
        <w:t>/7 digital communications and work expectations collide devastatingly with poor sleep and reduced energy due to parental responsibilities</w:t>
      </w:r>
      <w:r w:rsidR="48808312" w:rsidRPr="02A6AE13">
        <w:rPr>
          <w:rFonts w:ascii="Aptos" w:eastAsia="Aptos" w:hAnsi="Aptos" w:cs="Aptos"/>
        </w:rPr>
        <w:t xml:space="preserve">.  </w:t>
      </w:r>
      <w:r w:rsidR="0ED231D6" w:rsidRPr="02A6AE13">
        <w:rPr>
          <w:rFonts w:ascii="Aptos" w:eastAsia="Aptos" w:hAnsi="Aptos" w:cs="Aptos"/>
        </w:rPr>
        <w:t xml:space="preserve">A </w:t>
      </w:r>
      <w:r w:rsidR="7E886A8C" w:rsidRPr="02A6AE13">
        <w:rPr>
          <w:rFonts w:ascii="Aptos" w:eastAsia="Aptos" w:hAnsi="Aptos" w:cs="Aptos"/>
        </w:rPr>
        <w:t xml:space="preserve">promising </w:t>
      </w:r>
      <w:r w:rsidR="0ED231D6" w:rsidRPr="02A6AE13">
        <w:rPr>
          <w:rFonts w:ascii="Aptos" w:eastAsia="Aptos" w:hAnsi="Aptos" w:cs="Aptos"/>
        </w:rPr>
        <w:t xml:space="preserve">recent study by </w:t>
      </w:r>
      <w:r w:rsidR="2E2BF0E3" w:rsidRPr="02A6AE13">
        <w:rPr>
          <w:rFonts w:ascii="Aptos" w:eastAsia="Aptos" w:hAnsi="Aptos" w:cs="Aptos"/>
        </w:rPr>
        <w:t>Bayot et al. (2024) demonstrated that an 8-week mindfulness and compassion-based group program effectively reduced parental burnout among participants.</w:t>
      </w:r>
      <w:r w:rsidR="3ECE6D99" w:rsidRPr="02A6AE13">
        <w:rPr>
          <w:rFonts w:ascii="Aptos" w:eastAsia="Aptos" w:hAnsi="Aptos" w:cs="Aptos"/>
        </w:rPr>
        <w:t xml:space="preserve">  </w:t>
      </w:r>
      <w:r w:rsidR="6DC4647D" w:rsidRPr="02A6AE13">
        <w:rPr>
          <w:rFonts w:ascii="Aptos" w:eastAsia="Aptos" w:hAnsi="Aptos" w:cs="Aptos"/>
        </w:rPr>
        <w:t>The literature implies that nature-based walking interventions offer a</w:t>
      </w:r>
      <w:r w:rsidR="001661F7" w:rsidRPr="02A6AE13">
        <w:rPr>
          <w:rFonts w:ascii="Aptos" w:eastAsia="Aptos" w:hAnsi="Aptos" w:cs="Aptos"/>
        </w:rPr>
        <w:t xml:space="preserve"> similarly</w:t>
      </w:r>
      <w:r w:rsidR="6DC4647D" w:rsidRPr="02A6AE13">
        <w:rPr>
          <w:rFonts w:ascii="Aptos" w:eastAsia="Aptos" w:hAnsi="Aptos" w:cs="Aptos"/>
        </w:rPr>
        <w:t xml:space="preserve"> promising solution. They are flexible, scalable, low-cost, and potentially self-sustaining. Yet despite their promise, current research fails to provide precise recommendations concerning optimal frequency, duration, and contextual parameters of such interventions - especially for working parents. Additionally, critical gaps remain regarding accessibility, environmental quality, gender-specific experiences, and long-term adherence.</w:t>
      </w:r>
    </w:p>
    <w:p w14:paraId="2C87EFCF" w14:textId="1E214E03" w:rsidR="00AA4C44" w:rsidRDefault="0F52D20D" w:rsidP="00122C7C">
      <w:pPr>
        <w:spacing w:line="360" w:lineRule="auto"/>
      </w:pPr>
      <w:r w:rsidRPr="1259BC21">
        <w:rPr>
          <w:rFonts w:ascii="Aptos" w:eastAsia="Aptos" w:hAnsi="Aptos" w:cs="Aptos"/>
        </w:rPr>
        <w:t>To advance this field and move toward practical, inclusive solutions for parents, future research must:</w:t>
      </w:r>
    </w:p>
    <w:p w14:paraId="60F6F6C5" w14:textId="4F5BB101" w:rsidR="00AA4C44" w:rsidRDefault="0F52D20D" w:rsidP="00122C7C">
      <w:pPr>
        <w:pStyle w:val="ListParagraph"/>
        <w:numPr>
          <w:ilvl w:val="0"/>
          <w:numId w:val="4"/>
        </w:numPr>
        <w:spacing w:after="0" w:line="360" w:lineRule="auto"/>
        <w:rPr>
          <w:rFonts w:ascii="Aptos" w:eastAsia="Aptos" w:hAnsi="Aptos" w:cs="Aptos"/>
        </w:rPr>
      </w:pPr>
      <w:r w:rsidRPr="1259BC21">
        <w:rPr>
          <w:rFonts w:ascii="Aptos" w:eastAsia="Aptos" w:hAnsi="Aptos" w:cs="Aptos"/>
          <w:b/>
          <w:bCs/>
        </w:rPr>
        <w:lastRenderedPageBreak/>
        <w:t>Further examine the dose–response relationship</w:t>
      </w:r>
      <w:r w:rsidRPr="1259BC21">
        <w:rPr>
          <w:rFonts w:ascii="Aptos" w:eastAsia="Aptos" w:hAnsi="Aptos" w:cs="Aptos"/>
        </w:rPr>
        <w:t xml:space="preserve"> between walking in nature and psychological outcomes.</w:t>
      </w:r>
    </w:p>
    <w:p w14:paraId="53984ED1" w14:textId="29F3FBCF" w:rsidR="00AA4C44" w:rsidRDefault="0F52D20D" w:rsidP="00122C7C">
      <w:pPr>
        <w:pStyle w:val="ListParagraph"/>
        <w:numPr>
          <w:ilvl w:val="0"/>
          <w:numId w:val="4"/>
        </w:numPr>
        <w:spacing w:after="0" w:line="360" w:lineRule="auto"/>
        <w:rPr>
          <w:rFonts w:ascii="Aptos" w:eastAsia="Aptos" w:hAnsi="Aptos" w:cs="Aptos"/>
        </w:rPr>
      </w:pPr>
      <w:r w:rsidRPr="1259BC21">
        <w:rPr>
          <w:rFonts w:ascii="Aptos" w:eastAsia="Aptos" w:hAnsi="Aptos" w:cs="Aptos"/>
          <w:b/>
          <w:bCs/>
        </w:rPr>
        <w:t>Tailor interventions to the needs of full-time working parents</w:t>
      </w:r>
      <w:r w:rsidRPr="1259BC21">
        <w:rPr>
          <w:rFonts w:ascii="Aptos" w:eastAsia="Aptos" w:hAnsi="Aptos" w:cs="Aptos"/>
        </w:rPr>
        <w:t>, accounting for time, accessibility, and parenting roles.</w:t>
      </w:r>
    </w:p>
    <w:p w14:paraId="43D76261" w14:textId="7A381A05" w:rsidR="00AA4C44" w:rsidRDefault="0F52D20D" w:rsidP="00122C7C">
      <w:pPr>
        <w:pStyle w:val="ListParagraph"/>
        <w:numPr>
          <w:ilvl w:val="0"/>
          <w:numId w:val="4"/>
        </w:numPr>
        <w:spacing w:after="0" w:line="360" w:lineRule="auto"/>
        <w:rPr>
          <w:rFonts w:ascii="Aptos" w:eastAsia="Aptos" w:hAnsi="Aptos" w:cs="Aptos"/>
        </w:rPr>
      </w:pPr>
      <w:r w:rsidRPr="1259BC21">
        <w:rPr>
          <w:rFonts w:ascii="Aptos" w:eastAsia="Aptos" w:hAnsi="Aptos" w:cs="Aptos"/>
          <w:b/>
          <w:bCs/>
        </w:rPr>
        <w:t>Incorporate objective physiological and ecological evidence metrics</w:t>
      </w:r>
      <w:r w:rsidRPr="1259BC21">
        <w:rPr>
          <w:rFonts w:ascii="Aptos" w:eastAsia="Aptos" w:hAnsi="Aptos" w:cs="Aptos"/>
        </w:rPr>
        <w:t>, including wearable biometrics and environmental quality data.</w:t>
      </w:r>
    </w:p>
    <w:p w14:paraId="3067B196" w14:textId="30EB05C9" w:rsidR="00AA4C44" w:rsidRDefault="6DC4647D" w:rsidP="00122C7C">
      <w:pPr>
        <w:pStyle w:val="ListParagraph"/>
        <w:numPr>
          <w:ilvl w:val="0"/>
          <w:numId w:val="4"/>
        </w:numPr>
        <w:spacing w:after="0" w:line="360" w:lineRule="auto"/>
        <w:rPr>
          <w:rFonts w:ascii="Aptos" w:eastAsia="Aptos" w:hAnsi="Aptos" w:cs="Aptos"/>
        </w:rPr>
      </w:pPr>
      <w:r w:rsidRPr="02A6AE13">
        <w:rPr>
          <w:rFonts w:ascii="Aptos" w:eastAsia="Aptos" w:hAnsi="Aptos" w:cs="Aptos"/>
          <w:b/>
          <w:bCs/>
        </w:rPr>
        <w:t>Adopt longitudinal designs</w:t>
      </w:r>
      <w:r w:rsidRPr="02A6AE13">
        <w:rPr>
          <w:rFonts w:ascii="Aptos" w:eastAsia="Aptos" w:hAnsi="Aptos" w:cs="Aptos"/>
        </w:rPr>
        <w:t xml:space="preserve"> to assess the mental health benefits over a sustained period</w:t>
      </w:r>
      <w:r w:rsidR="0AA13C70" w:rsidRPr="02A6AE13">
        <w:rPr>
          <w:rFonts w:ascii="Aptos" w:eastAsia="Aptos" w:hAnsi="Aptos" w:cs="Aptos"/>
        </w:rPr>
        <w:t xml:space="preserve"> of time</w:t>
      </w:r>
      <w:r w:rsidRPr="02A6AE13">
        <w:rPr>
          <w:rFonts w:ascii="Aptos" w:eastAsia="Aptos" w:hAnsi="Aptos" w:cs="Aptos"/>
        </w:rPr>
        <w:t>.</w:t>
      </w:r>
    </w:p>
    <w:p w14:paraId="0A361007" w14:textId="45DE5721" w:rsidR="00AA4C44" w:rsidRDefault="6DC4647D" w:rsidP="00122C7C">
      <w:pPr>
        <w:spacing w:line="360" w:lineRule="auto"/>
        <w:rPr>
          <w:rFonts w:ascii="Aptos" w:eastAsia="Aptos" w:hAnsi="Aptos" w:cs="Aptos"/>
        </w:rPr>
      </w:pPr>
      <w:r w:rsidRPr="02A6AE13">
        <w:rPr>
          <w:rFonts w:ascii="Aptos" w:eastAsia="Aptos" w:hAnsi="Aptos" w:cs="Aptos"/>
          <w:color w:val="0E2841" w:themeColor="text2"/>
        </w:rPr>
        <w:t xml:space="preserve"> </w:t>
      </w:r>
    </w:p>
    <w:p w14:paraId="1C652671" w14:textId="575EF482" w:rsidR="00AA4C44" w:rsidRDefault="0F52D20D" w:rsidP="00122C7C">
      <w:pPr>
        <w:spacing w:line="360" w:lineRule="auto"/>
      </w:pPr>
      <w:r w:rsidRPr="1259BC21">
        <w:rPr>
          <w:rFonts w:ascii="Aptos" w:eastAsia="Aptos" w:hAnsi="Aptos" w:cs="Aptos"/>
          <w:color w:val="0E2841" w:themeColor="text2"/>
        </w:rPr>
        <w:t xml:space="preserve"> </w:t>
      </w:r>
    </w:p>
    <w:p w14:paraId="613E96AF" w14:textId="3D3FAB3B" w:rsidR="0065723F" w:rsidRDefault="0F52D20D" w:rsidP="00122C7C">
      <w:pPr>
        <w:spacing w:line="360" w:lineRule="auto"/>
        <w:rPr>
          <w:rFonts w:ascii="Aptos" w:eastAsia="Aptos" w:hAnsi="Aptos" w:cs="Aptos"/>
          <w:color w:val="0E2841" w:themeColor="text2"/>
        </w:rPr>
      </w:pPr>
      <w:r w:rsidRPr="1259BC21">
        <w:rPr>
          <w:rFonts w:ascii="Aptos" w:eastAsia="Aptos" w:hAnsi="Aptos" w:cs="Aptos"/>
          <w:color w:val="0E2841" w:themeColor="text2"/>
        </w:rPr>
        <w:t xml:space="preserve"> </w:t>
      </w:r>
    </w:p>
    <w:p w14:paraId="2DAD35AF" w14:textId="77777777" w:rsidR="005C57FC" w:rsidRDefault="005C57FC" w:rsidP="00122C7C">
      <w:pPr>
        <w:spacing w:line="360" w:lineRule="auto"/>
        <w:rPr>
          <w:rFonts w:ascii="Aptos" w:eastAsia="Aptos" w:hAnsi="Aptos" w:cs="Aptos"/>
          <w:color w:val="0E2841" w:themeColor="text2"/>
        </w:rPr>
      </w:pPr>
    </w:p>
    <w:p w14:paraId="1AFC411B" w14:textId="77777777" w:rsidR="00EE6FEC" w:rsidRDefault="00251F2B" w:rsidP="00122C7C">
      <w:pPr>
        <w:spacing w:line="360" w:lineRule="auto"/>
        <w:rPr>
          <w:b/>
          <w:bCs/>
        </w:rPr>
      </w:pPr>
      <w:r>
        <w:br w:type="page"/>
      </w:r>
      <w:r w:rsidR="3CCADC81" w:rsidRPr="02A6AE13">
        <w:rPr>
          <w:b/>
          <w:bCs/>
        </w:rPr>
        <w:lastRenderedPageBreak/>
        <w:t>METHODOLOGY</w:t>
      </w:r>
    </w:p>
    <w:p w14:paraId="5A5A69C5" w14:textId="77777777" w:rsidR="00EE6FEC" w:rsidRPr="007F46B8" w:rsidRDefault="3CCADC81" w:rsidP="00122C7C">
      <w:pPr>
        <w:spacing w:line="360" w:lineRule="auto"/>
        <w:rPr>
          <w:b/>
          <w:bCs/>
        </w:rPr>
      </w:pPr>
      <w:r w:rsidRPr="02A6AE13">
        <w:rPr>
          <w:b/>
          <w:bCs/>
        </w:rPr>
        <w:t>Philosophical Foundations</w:t>
      </w:r>
    </w:p>
    <w:p w14:paraId="599896E9" w14:textId="77777777" w:rsidR="00EE6FEC" w:rsidRPr="000C0735" w:rsidRDefault="3CCADC81" w:rsidP="00122C7C">
      <w:pPr>
        <w:spacing w:line="360" w:lineRule="auto"/>
      </w:pPr>
      <w:r>
        <w:t>Mixed-methods research is underpinned by the philosophical stance of pragmatism, which prioritises the research question over allegiance to a single paradigm (Tashakkori and Teddlie, 2010). Pragmatism embraces the coexistence of both positivist (quantitative) and constructivist (qualitative) assumptions, enabling the collection of numeric trends and personal narratives that together form a more complete understanding of the phenomenon. This flexibility is essential in applied health and wellbeing research, where complex human experiences rarely fit within a single epistemological frame (Biesta, 2010).</w:t>
      </w:r>
    </w:p>
    <w:p w14:paraId="7FDD7585" w14:textId="77777777" w:rsidR="00EE6FEC" w:rsidRPr="001C0B5B" w:rsidRDefault="3CCADC81" w:rsidP="00122C7C">
      <w:pPr>
        <w:spacing w:line="360" w:lineRule="auto"/>
        <w:rPr>
          <w:b/>
          <w:bCs/>
        </w:rPr>
      </w:pPr>
      <w:r w:rsidRPr="02A6AE13">
        <w:rPr>
          <w:b/>
          <w:bCs/>
        </w:rPr>
        <w:t>Research Design and Justification</w:t>
      </w:r>
    </w:p>
    <w:p w14:paraId="0AC61F2A" w14:textId="03C16464" w:rsidR="00EE6FEC" w:rsidRPr="001C0B5B" w:rsidRDefault="3CCADC81" w:rsidP="00122C7C">
      <w:pPr>
        <w:spacing w:line="360" w:lineRule="auto"/>
      </w:pPr>
      <w:r>
        <w:t>This study adopted a sequential</w:t>
      </w:r>
      <w:r w:rsidR="1B8A3251">
        <w:t xml:space="preserve"> </w:t>
      </w:r>
      <w:r>
        <w:t>mixed-methods design (Creswell &amp; Plano Clark, 2018), which combined quantitative and qualitative phases to examine the effects of walking in nature on the mental wellbeing and burnout risk of full-time working parents. T</w:t>
      </w:r>
      <w:r w:rsidR="4FA030DB">
        <w:t>his approach</w:t>
      </w:r>
      <w:r>
        <w:t xml:space="preserve"> </w:t>
      </w:r>
      <w:r w:rsidR="4FA030DB">
        <w:t xml:space="preserve">allowed for the </w:t>
      </w:r>
      <w:r>
        <w:t>statistical evidence of change to be established before exploring participant perspectives in greater depth.</w:t>
      </w:r>
      <w:r w:rsidR="5F51C3F4">
        <w:t xml:space="preserve">  </w:t>
      </w:r>
      <w:r>
        <w:t>Similar approaches have been successfully used in nature–wellbeing studies, where quantitative measures capture psychological or physiological shifts and qualitative narratives explain the underlying processes and constraints (Richardson et al., 2023; Shanahan et al., 2019).</w:t>
      </w:r>
    </w:p>
    <w:p w14:paraId="56D2A70B" w14:textId="4449A346" w:rsidR="00F31CF9" w:rsidRPr="001C0B5B" w:rsidRDefault="3CCADC81" w:rsidP="00122C7C">
      <w:pPr>
        <w:spacing w:line="360" w:lineRule="auto"/>
      </w:pPr>
      <w:r>
        <w:t>The</w:t>
      </w:r>
      <w:r w:rsidR="0CB733EF">
        <w:t xml:space="preserve"> study</w:t>
      </w:r>
      <w:r>
        <w:t xml:space="preserve"> design capitalised on an unplanned opportunity for longitudinal follow-up. Approximately 18 months after the study period, qualitative interviews were conducted with a subsample to assess whether participants had maintained their walking practices, perceived ongoing benefits, and encountered barriers to continued engagement. This extended time frame allowed for insight into the sustainability of behavioural change - a dimension often lacking in nature–based intervention research (White et al., 2021).</w:t>
      </w:r>
      <w:r w:rsidR="65C77563">
        <w:t xml:space="preserve">  Longitudinal mixed-methods designs are particularly powerful for understanding not only initial intervention effects but also the durability of those effects over time (Caruana et al., 2015).</w:t>
      </w:r>
    </w:p>
    <w:p w14:paraId="3EAC8B77" w14:textId="5FB7C59F" w:rsidR="00EE6FEC" w:rsidRDefault="6704B7B6" w:rsidP="00122C7C">
      <w:pPr>
        <w:spacing w:line="360" w:lineRule="auto"/>
      </w:pPr>
      <w:r>
        <w:lastRenderedPageBreak/>
        <w:t xml:space="preserve">The </w:t>
      </w:r>
      <w:r w:rsidR="5537E2FB">
        <w:t>researcher</w:t>
      </w:r>
      <w:r>
        <w:t xml:space="preserve"> intentionally allowed participants to cho</w:t>
      </w:r>
      <w:r w:rsidR="25C228DC">
        <w:t>o</w:t>
      </w:r>
      <w:r>
        <w:t xml:space="preserve">se their own dose and frequency of walks in nature.  </w:t>
      </w:r>
      <w:r w:rsidR="3CCADC81">
        <w:t>Th</w:t>
      </w:r>
      <w:r w:rsidR="6F43E4BE">
        <w:t>is</w:t>
      </w:r>
      <w:r w:rsidR="3CCADC81">
        <w:t xml:space="preserve"> </w:t>
      </w:r>
      <w:r w:rsidR="3AB29654">
        <w:t>ensur</w:t>
      </w:r>
      <w:r w:rsidR="0199B152">
        <w:t>ed</w:t>
      </w:r>
      <w:r w:rsidR="3AB29654">
        <w:t xml:space="preserve"> findings </w:t>
      </w:r>
      <w:r w:rsidR="3B4EFCF9">
        <w:t>we</w:t>
      </w:r>
      <w:r w:rsidR="3AB29654">
        <w:t>re more transferable to everyday life</w:t>
      </w:r>
      <w:r w:rsidR="3CCADC81">
        <w:t xml:space="preserve"> (Shamay-Tsoory &amp; Mendelsohn, 2019). </w:t>
      </w:r>
      <w:r w:rsidR="246C1D2A">
        <w:t xml:space="preserve"> The researcher took the view that, w</w:t>
      </w:r>
      <w:r w:rsidR="3AB29654">
        <w:t>hile this lack of standardisation introduces variability in dose</w:t>
      </w:r>
      <w:r w:rsidR="3C6A4963">
        <w:t>,</w:t>
      </w:r>
      <w:r w:rsidR="4D5703B6">
        <w:t xml:space="preserve"> it </w:t>
      </w:r>
      <w:r w:rsidR="17ACC63D">
        <w:t>ultimately</w:t>
      </w:r>
      <w:r w:rsidR="4D5703B6">
        <w:t xml:space="preserve"> </w:t>
      </w:r>
      <w:r w:rsidR="3CCADC81">
        <w:t>reflect</w:t>
      </w:r>
      <w:r w:rsidR="7E825DE6">
        <w:t xml:space="preserve">ed </w:t>
      </w:r>
      <w:r w:rsidR="3CCADC81">
        <w:t xml:space="preserve">the variability present in real-world </w:t>
      </w:r>
      <w:r w:rsidR="1E03CA6A">
        <w:t>parenting and ensure better retention of participants through the study period (since th</w:t>
      </w:r>
      <w:r w:rsidR="75B9402F">
        <w:t>ere was no pre-requisite number of walks to be completed)</w:t>
      </w:r>
      <w:r w:rsidR="5F319F05">
        <w:t>.  S</w:t>
      </w:r>
      <w:r w:rsidR="3CCADC81">
        <w:t>elf-directed interventions have been recommended in prior studies to understand naturally occurring engagement patterns and to capture dose–response variability (Hartig et al., 2014; Korpela et al., 2017).</w:t>
      </w:r>
      <w:r w:rsidR="3AB29654">
        <w:t xml:space="preserve">  </w:t>
      </w:r>
    </w:p>
    <w:p w14:paraId="361E89BE" w14:textId="7E27C31B" w:rsidR="00EE6FEC" w:rsidRDefault="3CCADC81" w:rsidP="00122C7C">
      <w:pPr>
        <w:spacing w:line="360" w:lineRule="auto"/>
      </w:pPr>
      <w:r>
        <w:t>Wellbeing outcomes from nature exposure are multi-faceted, involving physiological, psychological, and social processes (Twohig-Bennett and Jones, 2018). Quantitative methods can demonstrate whether change occurs and the magnitude of that change, but they cannot easily explain how or why those changes take place, or why they may differ between individuals. Qualitative methods</w:t>
      </w:r>
      <w:r w:rsidR="0CCBE6B3">
        <w:t xml:space="preserve"> can </w:t>
      </w:r>
      <w:r>
        <w:t>captur</w:t>
      </w:r>
      <w:r w:rsidR="3F3E1F88">
        <w:t>e</w:t>
      </w:r>
      <w:r>
        <w:t xml:space="preserve"> subjective meaning and context but can</w:t>
      </w:r>
      <w:r w:rsidR="63281BD8">
        <w:t>’t</w:t>
      </w:r>
      <w:r>
        <w:t xml:space="preserve"> establish the presence of statistically significant trends. </w:t>
      </w:r>
    </w:p>
    <w:p w14:paraId="4D1AD9B6" w14:textId="45C006D6" w:rsidR="00EE6FEC" w:rsidRDefault="3CCADC81" w:rsidP="00122C7C">
      <w:pPr>
        <w:spacing w:line="360" w:lineRule="auto"/>
      </w:pPr>
      <w:r>
        <w:t>For example, a participant may show a measurable reduction in burnout scores but still describe persistent fatigue and lack of motivation during an interview. Such divergence between strands offers valuable insight into the complexity of wellbeing change and can inform more effective, context-sensitive interventions (Greene, 2007).</w:t>
      </w:r>
    </w:p>
    <w:p w14:paraId="385C6E33" w14:textId="78CBA9FB" w:rsidR="02A6AE13" w:rsidRDefault="02A6AE13" w:rsidP="00122C7C">
      <w:pPr>
        <w:spacing w:line="360" w:lineRule="auto"/>
        <w:rPr>
          <w:b/>
          <w:bCs/>
        </w:rPr>
      </w:pPr>
    </w:p>
    <w:p w14:paraId="1A1F0512" w14:textId="57338542" w:rsidR="00EE6FEC" w:rsidRDefault="3CCADC81" w:rsidP="00122C7C">
      <w:pPr>
        <w:spacing w:line="360" w:lineRule="auto"/>
      </w:pPr>
      <w:r w:rsidRPr="02A6AE13">
        <w:rPr>
          <w:b/>
          <w:bCs/>
        </w:rPr>
        <w:t>Figure 1</w:t>
      </w:r>
      <w:r>
        <w:t xml:space="preserve"> illustrates the conceptual model underpinning th</w:t>
      </w:r>
      <w:r w:rsidR="00E04202">
        <w:t>e present</w:t>
      </w:r>
      <w:r>
        <w:t xml:space="preserve"> study, showing the </w:t>
      </w:r>
      <w:r w:rsidR="00E04202">
        <w:t>proposed</w:t>
      </w:r>
      <w:r>
        <w:t xml:space="preserve"> relationships between walking in nature (dose/frequency), mental wellbeing, burnout risk, and potential moderating factors.</w:t>
      </w:r>
    </w:p>
    <w:p w14:paraId="519CF3DB" w14:textId="77777777" w:rsidR="00F31CF9" w:rsidRDefault="00F31CF9" w:rsidP="00122C7C">
      <w:pPr>
        <w:spacing w:line="360" w:lineRule="auto"/>
      </w:pPr>
    </w:p>
    <w:p w14:paraId="068E1880" w14:textId="77777777" w:rsidR="00F31CF9" w:rsidRDefault="00F31CF9" w:rsidP="00122C7C">
      <w:pPr>
        <w:spacing w:line="360" w:lineRule="auto"/>
      </w:pPr>
    </w:p>
    <w:p w14:paraId="3F2C3D2C" w14:textId="1A9FA556" w:rsidR="00EE6FEC" w:rsidRPr="007303D0" w:rsidRDefault="00EE6FEC" w:rsidP="00122C7C">
      <w:pPr>
        <w:spacing w:line="360" w:lineRule="auto"/>
      </w:pPr>
      <w:r>
        <w:br w:type="page"/>
      </w:r>
    </w:p>
    <w:p w14:paraId="331230DF" w14:textId="23AF1BAB" w:rsidR="00EE6FEC" w:rsidRDefault="3CCADC81" w:rsidP="00122C7C">
      <w:pPr>
        <w:spacing w:line="360" w:lineRule="auto"/>
        <w:rPr>
          <w:i/>
          <w:iCs/>
        </w:rPr>
      </w:pPr>
      <w:r w:rsidRPr="02A6AE13">
        <w:rPr>
          <w:b/>
          <w:bCs/>
          <w:i/>
          <w:iCs/>
        </w:rPr>
        <w:lastRenderedPageBreak/>
        <w:t>Figure 1</w:t>
      </w:r>
      <w:r w:rsidRPr="02A6AE13">
        <w:rPr>
          <w:i/>
          <w:iCs/>
        </w:rPr>
        <w:t xml:space="preserve"> – Conceptual model for walking in nature</w:t>
      </w:r>
    </w:p>
    <w:p w14:paraId="73FF5CDC" w14:textId="71D29A28" w:rsidR="0079394A" w:rsidRPr="007303D0" w:rsidRDefault="0079394A" w:rsidP="00122C7C">
      <w:pPr>
        <w:spacing w:line="360" w:lineRule="auto"/>
        <w:rPr>
          <w:i/>
          <w:iCs/>
        </w:rPr>
      </w:pPr>
      <w:r>
        <w:rPr>
          <w:i/>
          <w:iCs/>
          <w:noProof/>
        </w:rPr>
        <mc:AlternateContent>
          <mc:Choice Requires="wps">
            <w:drawing>
              <wp:anchor distT="0" distB="0" distL="114300" distR="114300" simplePos="0" relativeHeight="251658241" behindDoc="0" locked="0" layoutInCell="1" allowOverlap="1" wp14:anchorId="6D204F3B" wp14:editId="54E26B6F">
                <wp:simplePos x="0" y="0"/>
                <wp:positionH relativeFrom="column">
                  <wp:posOffset>1633220</wp:posOffset>
                </wp:positionH>
                <wp:positionV relativeFrom="paragraph">
                  <wp:posOffset>325796</wp:posOffset>
                </wp:positionV>
                <wp:extent cx="2062264" cy="875138"/>
                <wp:effectExtent l="0" t="0" r="14605" b="20320"/>
                <wp:wrapNone/>
                <wp:docPr id="936446905" name="Rectangle: Rounded Corners 1"/>
                <wp:cNvGraphicFramePr/>
                <a:graphic xmlns:a="http://schemas.openxmlformats.org/drawingml/2006/main">
                  <a:graphicData uri="http://schemas.microsoft.com/office/word/2010/wordprocessingShape">
                    <wps:wsp>
                      <wps:cNvSpPr/>
                      <wps:spPr>
                        <a:xfrm>
                          <a:off x="0" y="0"/>
                          <a:ext cx="2062264" cy="875138"/>
                        </a:xfrm>
                        <a:prstGeom prst="roundRect">
                          <a:avLst/>
                        </a:prstGeom>
                        <a:noFill/>
                      </wps:spPr>
                      <wps:style>
                        <a:lnRef idx="1">
                          <a:schemeClr val="dk1"/>
                        </a:lnRef>
                        <a:fillRef idx="2">
                          <a:schemeClr val="dk1"/>
                        </a:fillRef>
                        <a:effectRef idx="1">
                          <a:schemeClr val="dk1"/>
                        </a:effectRef>
                        <a:fontRef idx="minor">
                          <a:schemeClr val="dk1"/>
                        </a:fontRef>
                      </wps:style>
                      <wps:txbx>
                        <w:txbxContent>
                          <w:p w14:paraId="36065E13" w14:textId="207D45E6" w:rsidR="00506F70" w:rsidRPr="0079394A" w:rsidRDefault="0079394A" w:rsidP="0079394A">
                            <w:pPr>
                              <w:shd w:val="clear" w:color="auto" w:fill="D1D1D1" w:themeFill="background2" w:themeFillShade="E6"/>
                              <w:spacing w:after="0" w:line="240" w:lineRule="auto"/>
                              <w:jc w:val="center"/>
                              <w:rPr>
                                <w:b/>
                                <w:bCs/>
                                <w:i/>
                                <w:iCs/>
                                <w:sz w:val="20"/>
                                <w:szCs w:val="20"/>
                              </w:rPr>
                            </w:pPr>
                            <w:r w:rsidRPr="0079394A">
                              <w:rPr>
                                <w:b/>
                                <w:bCs/>
                                <w:i/>
                                <w:iCs/>
                                <w:sz w:val="20"/>
                                <w:szCs w:val="20"/>
                              </w:rPr>
                              <w:t>Moderators:</w:t>
                            </w:r>
                          </w:p>
                          <w:p w14:paraId="1F78CAD6" w14:textId="10F969A1" w:rsidR="0079394A" w:rsidRPr="0079394A" w:rsidRDefault="0079394A" w:rsidP="0079394A">
                            <w:pPr>
                              <w:shd w:val="clear" w:color="auto" w:fill="D1D1D1" w:themeFill="background2" w:themeFillShade="E6"/>
                              <w:spacing w:after="0" w:line="240" w:lineRule="auto"/>
                              <w:jc w:val="center"/>
                              <w:rPr>
                                <w:sz w:val="20"/>
                                <w:szCs w:val="20"/>
                              </w:rPr>
                            </w:pPr>
                            <w:r w:rsidRPr="0079394A">
                              <w:rPr>
                                <w:sz w:val="20"/>
                                <w:szCs w:val="20"/>
                              </w:rPr>
                              <w:t>Access</w:t>
                            </w:r>
                          </w:p>
                          <w:p w14:paraId="3EDAAF45" w14:textId="7C98E6A8" w:rsidR="0079394A" w:rsidRPr="0079394A" w:rsidRDefault="0079394A" w:rsidP="0079394A">
                            <w:pPr>
                              <w:shd w:val="clear" w:color="auto" w:fill="D1D1D1" w:themeFill="background2" w:themeFillShade="E6"/>
                              <w:spacing w:after="0" w:line="240" w:lineRule="auto"/>
                              <w:jc w:val="center"/>
                              <w:rPr>
                                <w:sz w:val="20"/>
                                <w:szCs w:val="20"/>
                              </w:rPr>
                            </w:pPr>
                            <w:r w:rsidRPr="0079394A">
                              <w:rPr>
                                <w:sz w:val="20"/>
                                <w:szCs w:val="20"/>
                              </w:rPr>
                              <w:t>Culture</w:t>
                            </w:r>
                          </w:p>
                          <w:p w14:paraId="6F9CDFA6" w14:textId="2D1B8683" w:rsidR="0079394A" w:rsidRPr="0079394A" w:rsidRDefault="0079394A" w:rsidP="0079394A">
                            <w:pPr>
                              <w:shd w:val="clear" w:color="auto" w:fill="D1D1D1" w:themeFill="background2" w:themeFillShade="E6"/>
                              <w:spacing w:after="0" w:line="240" w:lineRule="auto"/>
                              <w:jc w:val="center"/>
                              <w:rPr>
                                <w:sz w:val="20"/>
                                <w:szCs w:val="20"/>
                              </w:rPr>
                            </w:pPr>
                            <w:r w:rsidRPr="0079394A">
                              <w:rPr>
                                <w:sz w:val="20"/>
                                <w:szCs w:val="20"/>
                              </w:rPr>
                              <w:t>Socioeconomic Status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204F3B" id="Rectangle: Rounded Corners 1" o:spid="_x0000_s1026" style="position:absolute;margin-left:128.6pt;margin-top:25.65pt;width:162.4pt;height:68.9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" filled="f" strokecolor="black [3200]" strokeweight=".5pt">
                <v:stroke joinstyle="miter"/>
                <v:textbox>
                  <w:txbxContent>
                    <w:p w14:paraId="36065E13" w14:textId="207D45E6" w:rsidR="00506F70" w:rsidRPr="0079394A" w:rsidRDefault="0079394A" w:rsidP="0079394A">
                      <w:pPr>
                        <w:shd w:val="clear" w:color="auto" w:fill="D1D1D1" w:themeFill="background2" w:themeFillShade="E6"/>
                        <w:spacing w:after="0" w:line="240" w:lineRule="auto"/>
                        <w:jc w:val="center"/>
                        <w:rPr>
                          <w:b/>
                          <w:bCs/>
                          <w:i/>
                          <w:iCs/>
                          <w:sz w:val="20"/>
                          <w:szCs w:val="20"/>
                        </w:rPr>
                      </w:pPr>
                      <w:r w:rsidRPr="0079394A">
                        <w:rPr>
                          <w:b/>
                          <w:bCs/>
                          <w:i/>
                          <w:iCs/>
                          <w:sz w:val="20"/>
                          <w:szCs w:val="20"/>
                        </w:rPr>
                        <w:t>Moderators:</w:t>
                      </w:r>
                    </w:p>
                    <w:p w14:paraId="1F78CAD6" w14:textId="10F969A1" w:rsidR="0079394A" w:rsidRPr="0079394A" w:rsidRDefault="0079394A" w:rsidP="0079394A">
                      <w:pPr>
                        <w:shd w:val="clear" w:color="auto" w:fill="D1D1D1" w:themeFill="background2" w:themeFillShade="E6"/>
                        <w:spacing w:after="0" w:line="240" w:lineRule="auto"/>
                        <w:jc w:val="center"/>
                        <w:rPr>
                          <w:sz w:val="20"/>
                          <w:szCs w:val="20"/>
                        </w:rPr>
                      </w:pPr>
                      <w:r w:rsidRPr="0079394A">
                        <w:rPr>
                          <w:sz w:val="20"/>
                          <w:szCs w:val="20"/>
                        </w:rPr>
                        <w:t>Access</w:t>
                      </w:r>
                    </w:p>
                    <w:p w14:paraId="3EDAAF45" w14:textId="7C98E6A8" w:rsidR="0079394A" w:rsidRPr="0079394A" w:rsidRDefault="0079394A" w:rsidP="0079394A">
                      <w:pPr>
                        <w:shd w:val="clear" w:color="auto" w:fill="D1D1D1" w:themeFill="background2" w:themeFillShade="E6"/>
                        <w:spacing w:after="0" w:line="240" w:lineRule="auto"/>
                        <w:jc w:val="center"/>
                        <w:rPr>
                          <w:sz w:val="20"/>
                          <w:szCs w:val="20"/>
                        </w:rPr>
                      </w:pPr>
                      <w:r w:rsidRPr="0079394A">
                        <w:rPr>
                          <w:sz w:val="20"/>
                          <w:szCs w:val="20"/>
                        </w:rPr>
                        <w:t>Culture</w:t>
                      </w:r>
                    </w:p>
                    <w:p w14:paraId="6F9CDFA6" w14:textId="2D1B8683" w:rsidR="0079394A" w:rsidRPr="0079394A" w:rsidRDefault="0079394A" w:rsidP="0079394A">
                      <w:pPr>
                        <w:shd w:val="clear" w:color="auto" w:fill="D1D1D1" w:themeFill="background2" w:themeFillShade="E6"/>
                        <w:spacing w:after="0" w:line="240" w:lineRule="auto"/>
                        <w:jc w:val="center"/>
                        <w:rPr>
                          <w:sz w:val="20"/>
                          <w:szCs w:val="20"/>
                        </w:rPr>
                      </w:pPr>
                      <w:r w:rsidRPr="0079394A">
                        <w:rPr>
                          <w:sz w:val="20"/>
                          <w:szCs w:val="20"/>
                        </w:rPr>
                        <w:t>Socioeconomic Status</w:t>
                      </w:r>
                    </w:p>
                  </w:txbxContent>
                </v:textbox>
              </v:roundrect>
            </w:pict>
          </mc:Fallback>
        </mc:AlternateContent>
      </w:r>
    </w:p>
    <w:p w14:paraId="499EAC7A" w14:textId="48EBC268" w:rsidR="02A6AE13" w:rsidRDefault="02A6AE13" w:rsidP="00122C7C">
      <w:pPr>
        <w:spacing w:line="360" w:lineRule="auto"/>
        <w:rPr>
          <w:i/>
          <w:iCs/>
        </w:rPr>
      </w:pPr>
    </w:p>
    <w:p w14:paraId="4CF3AF11" w14:textId="3EA57BC0" w:rsidR="02A6AE13" w:rsidRDefault="0079394A" w:rsidP="00122C7C">
      <w:pPr>
        <w:spacing w:line="360" w:lineRule="auto"/>
        <w:rPr>
          <w:i/>
          <w:iCs/>
        </w:rPr>
      </w:pPr>
      <w:r>
        <w:rPr>
          <w:i/>
          <w:iCs/>
          <w:noProof/>
        </w:rPr>
        <mc:AlternateContent>
          <mc:Choice Requires="wps">
            <w:drawing>
              <wp:anchor distT="0" distB="0" distL="114300" distR="114300" simplePos="0" relativeHeight="251658243" behindDoc="0" locked="0" layoutInCell="1" allowOverlap="1" wp14:anchorId="7848C433" wp14:editId="289436CC">
                <wp:simplePos x="0" y="0"/>
                <wp:positionH relativeFrom="column">
                  <wp:posOffset>3919774</wp:posOffset>
                </wp:positionH>
                <wp:positionV relativeFrom="paragraph">
                  <wp:posOffset>253297</wp:posOffset>
                </wp:positionV>
                <wp:extent cx="1232170" cy="1297021"/>
                <wp:effectExtent l="0" t="0" r="25400" b="17780"/>
                <wp:wrapNone/>
                <wp:docPr id="652931034" name="Rectangle: Rounded Corners 1"/>
                <wp:cNvGraphicFramePr/>
                <a:graphic xmlns:a="http://schemas.openxmlformats.org/drawingml/2006/main">
                  <a:graphicData uri="http://schemas.microsoft.com/office/word/2010/wordprocessingShape">
                    <wps:wsp>
                      <wps:cNvSpPr/>
                      <wps:spPr>
                        <a:xfrm>
                          <a:off x="0" y="0"/>
                          <a:ext cx="1232170" cy="1297021"/>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DBD3F44" w14:textId="2EAC052A" w:rsidR="0079394A" w:rsidRDefault="0079394A" w:rsidP="0079394A">
                            <w:pPr>
                              <w:jc w:val="center"/>
                            </w:pPr>
                            <w:r>
                              <w:t>Improved Mental 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848C433" id="_x0000_s1027" style="position:absolute;margin-left:308.65pt;margin-top:19.95pt;width:97pt;height:102.15pt;z-index:251658243;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" fillcolor="#156082 [3204]" strokecolor="#030e13 [484]" strokeweight="1pt">
                <v:stroke joinstyle="miter"/>
                <v:textbox>
                  <w:txbxContent>
                    <w:p w14:paraId="1DBD3F44" w14:textId="2EAC052A" w:rsidR="0079394A" w:rsidRDefault="0079394A" w:rsidP="0079394A">
                      <w:pPr>
                        <w:jc w:val="center"/>
                      </w:pPr>
                      <w:r>
                        <w:t>Improved Mental Wellbeing</w:t>
                      </w:r>
                    </w:p>
                  </w:txbxContent>
                </v:textbox>
              </v:roundrect>
            </w:pict>
          </mc:Fallback>
        </mc:AlternateContent>
      </w:r>
    </w:p>
    <w:p w14:paraId="2E98B4FD" w14:textId="5458AB63" w:rsidR="02A6AE13" w:rsidRDefault="0079394A" w:rsidP="00122C7C">
      <w:pPr>
        <w:spacing w:line="360" w:lineRule="auto"/>
        <w:rPr>
          <w:i/>
          <w:iCs/>
        </w:rPr>
      </w:pPr>
      <w:r>
        <w:rPr>
          <w:i/>
          <w:iCs/>
          <w:noProof/>
        </w:rPr>
        <mc:AlternateContent>
          <mc:Choice Requires="wps">
            <w:drawing>
              <wp:anchor distT="0" distB="0" distL="114300" distR="114300" simplePos="0" relativeHeight="251658242" behindDoc="0" locked="0" layoutInCell="1" allowOverlap="1" wp14:anchorId="68B3E79A" wp14:editId="57EA674C">
                <wp:simplePos x="0" y="0"/>
                <wp:positionH relativeFrom="column">
                  <wp:posOffset>2626468</wp:posOffset>
                </wp:positionH>
                <wp:positionV relativeFrom="paragraph">
                  <wp:posOffset>102951</wp:posOffset>
                </wp:positionV>
                <wp:extent cx="0" cy="681396"/>
                <wp:effectExtent l="0" t="0" r="38100" b="23495"/>
                <wp:wrapNone/>
                <wp:docPr id="1136189987" name="Straight Connector 3"/>
                <wp:cNvGraphicFramePr/>
                <a:graphic xmlns:a="http://schemas.openxmlformats.org/drawingml/2006/main">
                  <a:graphicData uri="http://schemas.microsoft.com/office/word/2010/wordprocessingShape">
                    <wps:wsp>
                      <wps:cNvCnPr/>
                      <wps:spPr>
                        <a:xfrm>
                          <a:off x="0" y="0"/>
                          <a:ext cx="0" cy="681396"/>
                        </a:xfrm>
                        <a:prstGeom prst="line">
                          <a:avLst/>
                        </a:prstGeom>
                        <a:ln w="19050" cap="flat" cmpd="sng" algn="ctr">
                          <a:solidFill>
                            <a:schemeClr val="dk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3BA38E72" id="Straight Connector 3" o:spid="_x0000_s1026" style="position:absolute;z-index:251658242;visibility:visible;mso-wrap-style:square;mso-wrap-distance-left:9pt;mso-wrap-distance-top:0;mso-wrap-distance-right:9pt;mso-wrap-distance-bottom:0;mso-position-horizontal:absolute;mso-position-horizontal-relative:text;mso-position-vertical:absolute;mso-position-vertical-relative:text" from="206.8pt,8.1pt" to="206.8pt,6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" strokecolor="black [3200]" strokeweight="1.5pt">
                <v:stroke dashstyle="dash"/>
              </v:line>
            </w:pict>
          </mc:Fallback>
        </mc:AlternateContent>
      </w:r>
    </w:p>
    <w:p w14:paraId="7ADDB6BF" w14:textId="1C5CD994" w:rsidR="02A6AE13" w:rsidRDefault="0079394A" w:rsidP="00122C7C">
      <w:pPr>
        <w:spacing w:line="360" w:lineRule="auto"/>
        <w:rPr>
          <w:i/>
          <w:iCs/>
        </w:rPr>
      </w:pPr>
      <w:r>
        <w:rPr>
          <w:i/>
          <w:iCs/>
          <w:noProof/>
        </w:rPr>
        <mc:AlternateContent>
          <mc:Choice Requires="wps">
            <w:drawing>
              <wp:anchor distT="0" distB="0" distL="114300" distR="114300" simplePos="0" relativeHeight="251658245" behindDoc="0" locked="0" layoutInCell="1" allowOverlap="1" wp14:anchorId="1C0CEF57" wp14:editId="38C80CF0">
                <wp:simplePos x="0" y="0"/>
                <wp:positionH relativeFrom="column">
                  <wp:posOffset>1477861</wp:posOffset>
                </wp:positionH>
                <wp:positionV relativeFrom="paragraph">
                  <wp:posOffset>143699</wp:posOffset>
                </wp:positionV>
                <wp:extent cx="2438670" cy="505838"/>
                <wp:effectExtent l="0" t="57150" r="19050" b="27940"/>
                <wp:wrapNone/>
                <wp:docPr id="1031769901" name="Straight Arrow Connector 2"/>
                <wp:cNvGraphicFramePr/>
                <a:graphic xmlns:a="http://schemas.openxmlformats.org/drawingml/2006/main">
                  <a:graphicData uri="http://schemas.microsoft.com/office/word/2010/wordprocessingShape">
                    <wps:wsp>
                      <wps:cNvCnPr/>
                      <wps:spPr>
                        <a:xfrm flipV="1">
                          <a:off x="0" y="0"/>
                          <a:ext cx="2438670" cy="505838"/>
                        </a:xfrm>
                        <a:prstGeom prst="straightConnector1">
                          <a:avLst/>
                        </a:prstGeom>
                        <a:ln w="19050" cap="flat" cmpd="sng" algn="ctr">
                          <a:solidFill>
                            <a:schemeClr val="accent2"/>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type w14:anchorId="637278F1" id="_x0000_t32" coordsize="21600,21600" o:spt="32" o:oned="t" path="m,l21600,21600e" filled="f">
                <v:path arrowok="t" fillok="f" o:connecttype="none"/>
                <o:lock v:ext="edit" shapetype="t"/>
              </v:shapetype>
              <v:shape id="Straight Arrow Connector 2" o:spid="_x0000_s1026" type="#_x0000_t32" style="position:absolute;margin-left:116.35pt;margin-top:11.3pt;width:192pt;height:39.85pt;flip:y;z-index:25165824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" strokecolor="#e97132 [3205]" strokeweight="1.5pt">
                <v:stroke endarrow="open"/>
              </v:shape>
            </w:pict>
          </mc:Fallback>
        </mc:AlternateContent>
      </w:r>
      <w:r>
        <w:rPr>
          <w:i/>
          <w:iCs/>
          <w:noProof/>
        </w:rPr>
        <mc:AlternateContent>
          <mc:Choice Requires="wps">
            <w:drawing>
              <wp:anchor distT="0" distB="0" distL="114300" distR="114300" simplePos="0" relativeHeight="251658240" behindDoc="0" locked="0" layoutInCell="1" allowOverlap="1" wp14:anchorId="07FC20A4" wp14:editId="7D3E67E9">
                <wp:simplePos x="0" y="0"/>
                <wp:positionH relativeFrom="column">
                  <wp:posOffset>174625</wp:posOffset>
                </wp:positionH>
                <wp:positionV relativeFrom="paragraph">
                  <wp:posOffset>104383</wp:posOffset>
                </wp:positionV>
                <wp:extent cx="1232170" cy="1297021"/>
                <wp:effectExtent l="0" t="0" r="25400" b="17780"/>
                <wp:wrapNone/>
                <wp:docPr id="1423556925" name="Rectangle: Rounded Corners 1"/>
                <wp:cNvGraphicFramePr/>
                <a:graphic xmlns:a="http://schemas.openxmlformats.org/drawingml/2006/main">
                  <a:graphicData uri="http://schemas.microsoft.com/office/word/2010/wordprocessingShape">
                    <wps:wsp>
                      <wps:cNvSpPr/>
                      <wps:spPr>
                        <a:xfrm>
                          <a:off x="0" y="0"/>
                          <a:ext cx="1232170" cy="1297021"/>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CF9389B" w14:textId="304DF5AF" w:rsidR="00506F70" w:rsidRDefault="00506F70" w:rsidP="0079394A">
                            <w:pPr>
                              <w:jc w:val="center"/>
                            </w:pPr>
                            <w:r>
                              <w:t>Walking in Nature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7FC20A4" id="_x0000_s1028" style="position:absolute;margin-left:13.75pt;margin-top:8.2pt;width:97pt;height:102.15pt;z-index:2516582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" fillcolor="#156082 [3204]" strokecolor="#030e13 [484]" strokeweight="1pt">
                <v:stroke joinstyle="miter"/>
                <v:textbox>
                  <w:txbxContent>
                    <w:p w14:paraId="1CF9389B" w14:textId="304DF5AF" w:rsidR="00506F70" w:rsidRDefault="00506F70" w:rsidP="0079394A">
                      <w:pPr>
                        <w:jc w:val="center"/>
                      </w:pPr>
                      <w:r>
                        <w:t>Walking in Nature</w:t>
                      </w:r>
                    </w:p>
                  </w:txbxContent>
                </v:textbox>
              </v:roundrect>
            </w:pict>
          </mc:Fallback>
        </mc:AlternateContent>
      </w:r>
    </w:p>
    <w:p w14:paraId="7B93CFB3" w14:textId="4AEFED93" w:rsidR="02A6AE13" w:rsidRDefault="02A6AE13" w:rsidP="00122C7C">
      <w:pPr>
        <w:spacing w:line="360" w:lineRule="auto"/>
        <w:rPr>
          <w:i/>
          <w:iCs/>
        </w:rPr>
      </w:pPr>
    </w:p>
    <w:p w14:paraId="577EC823" w14:textId="3113B6B1" w:rsidR="02A6AE13" w:rsidRDefault="0079394A" w:rsidP="00122C7C">
      <w:pPr>
        <w:spacing w:line="360" w:lineRule="auto"/>
        <w:rPr>
          <w:i/>
          <w:iCs/>
        </w:rPr>
      </w:pPr>
      <w:r>
        <w:rPr>
          <w:i/>
          <w:iCs/>
          <w:noProof/>
        </w:rPr>
        <mc:AlternateContent>
          <mc:Choice Requires="wps">
            <w:drawing>
              <wp:anchor distT="0" distB="0" distL="114300" distR="114300" simplePos="0" relativeHeight="251658246" behindDoc="0" locked="0" layoutInCell="1" allowOverlap="1" wp14:anchorId="45D380B1" wp14:editId="53DFBE61">
                <wp:simplePos x="0" y="0"/>
                <wp:positionH relativeFrom="column">
                  <wp:posOffset>1478604</wp:posOffset>
                </wp:positionH>
                <wp:positionV relativeFrom="paragraph">
                  <wp:posOffset>24603</wp:posOffset>
                </wp:positionV>
                <wp:extent cx="2438400" cy="700391"/>
                <wp:effectExtent l="0" t="0" r="57150" b="81280"/>
                <wp:wrapNone/>
                <wp:docPr id="338544421" name="Straight Arrow Connector 2"/>
                <wp:cNvGraphicFramePr/>
                <a:graphic xmlns:a="http://schemas.openxmlformats.org/drawingml/2006/main">
                  <a:graphicData uri="http://schemas.microsoft.com/office/word/2010/wordprocessingShape">
                    <wps:wsp>
                      <wps:cNvCnPr/>
                      <wps:spPr>
                        <a:xfrm>
                          <a:off x="0" y="0"/>
                          <a:ext cx="2438400" cy="700391"/>
                        </a:xfrm>
                        <a:prstGeom prst="straightConnector1">
                          <a:avLst/>
                        </a:prstGeom>
                        <a:ln w="19050" cap="flat" cmpd="sng" algn="ctr">
                          <a:solidFill>
                            <a:schemeClr val="accent3"/>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DC8A8A" id="Straight Arrow Connector 2" o:spid="_x0000_s1026" type="#_x0000_t32" style="position:absolute;margin-left:116.45pt;margin-top:1.95pt;width:192pt;height:55.1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" strokecolor="#196b24 [3206]" strokeweight="1.5pt">
                <v:stroke endarrow="open"/>
              </v:shape>
            </w:pict>
          </mc:Fallback>
        </mc:AlternateContent>
      </w:r>
      <w:r>
        <w:rPr>
          <w:i/>
          <w:iCs/>
          <w:noProof/>
        </w:rPr>
        <mc:AlternateContent>
          <mc:Choice Requires="wps">
            <w:drawing>
              <wp:anchor distT="0" distB="0" distL="114300" distR="114300" simplePos="0" relativeHeight="251658244" behindDoc="0" locked="0" layoutInCell="1" allowOverlap="1" wp14:anchorId="23AFFB75" wp14:editId="412D4ABE">
                <wp:simplePos x="0" y="0"/>
                <wp:positionH relativeFrom="column">
                  <wp:posOffset>3952348</wp:posOffset>
                </wp:positionH>
                <wp:positionV relativeFrom="paragraph">
                  <wp:posOffset>176530</wp:posOffset>
                </wp:positionV>
                <wp:extent cx="1232170" cy="1297021"/>
                <wp:effectExtent l="0" t="0" r="25400" b="17780"/>
                <wp:wrapNone/>
                <wp:docPr id="1332602468" name="Rectangle: Rounded Corners 1"/>
                <wp:cNvGraphicFramePr/>
                <a:graphic xmlns:a="http://schemas.openxmlformats.org/drawingml/2006/main">
                  <a:graphicData uri="http://schemas.microsoft.com/office/word/2010/wordprocessingShape">
                    <wps:wsp>
                      <wps:cNvSpPr/>
                      <wps:spPr>
                        <a:xfrm>
                          <a:off x="0" y="0"/>
                          <a:ext cx="1232170" cy="1297021"/>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04BE1C1" w14:textId="67AF0CFA" w:rsidR="0079394A" w:rsidRDefault="0079394A" w:rsidP="0079394A">
                            <w:pPr>
                              <w:jc w:val="center"/>
                            </w:pPr>
                            <w:r>
                              <w:t>Reduced Burnout Risk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3AFFB75" id="_x0000_s1029" style="position:absolute;margin-left:311.2pt;margin-top:13.9pt;width:97pt;height:102.15pt;z-index:2516582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" fillcolor="#156082 [3204]" strokecolor="#030e13 [484]" strokeweight="1pt">
                <v:stroke joinstyle="miter"/>
                <v:textbox>
                  <w:txbxContent>
                    <w:p w14:paraId="604BE1C1" w14:textId="67AF0CFA" w:rsidR="0079394A" w:rsidRDefault="0079394A" w:rsidP="0079394A">
                      <w:pPr>
                        <w:jc w:val="center"/>
                      </w:pPr>
                      <w:r>
                        <w:t>Reduced Burnout Risk</w:t>
                      </w:r>
                    </w:p>
                  </w:txbxContent>
                </v:textbox>
              </v:roundrect>
            </w:pict>
          </mc:Fallback>
        </mc:AlternateContent>
      </w:r>
    </w:p>
    <w:p w14:paraId="5BE9B0BA" w14:textId="77777777" w:rsidR="00EE6FEC" w:rsidRDefault="00EE6FEC" w:rsidP="00122C7C">
      <w:pPr>
        <w:spacing w:line="360" w:lineRule="auto"/>
      </w:pPr>
    </w:p>
    <w:p w14:paraId="2F2DC7FB" w14:textId="5689BCD4" w:rsidR="00EE6FEC" w:rsidRDefault="00EE6FEC" w:rsidP="00122C7C">
      <w:pPr>
        <w:spacing w:line="360" w:lineRule="auto"/>
        <w:jc w:val="center"/>
        <w:rPr>
          <w:noProof/>
        </w:rPr>
      </w:pPr>
    </w:p>
    <w:p w14:paraId="00E4386E" w14:textId="77777777" w:rsidR="0079394A" w:rsidRDefault="0079394A" w:rsidP="00122C7C">
      <w:pPr>
        <w:spacing w:line="360" w:lineRule="auto"/>
        <w:jc w:val="center"/>
        <w:rPr>
          <w:noProof/>
        </w:rPr>
      </w:pPr>
    </w:p>
    <w:p w14:paraId="528F9A10" w14:textId="77777777" w:rsidR="0079394A" w:rsidRDefault="0079394A" w:rsidP="00122C7C">
      <w:pPr>
        <w:spacing w:line="360" w:lineRule="auto"/>
        <w:jc w:val="center"/>
      </w:pPr>
    </w:p>
    <w:p w14:paraId="398D2285" w14:textId="5C60C65F" w:rsidR="00EE6FEC" w:rsidRPr="00AC7C43" w:rsidRDefault="3CCADC81" w:rsidP="00122C7C">
      <w:pPr>
        <w:spacing w:line="360" w:lineRule="auto"/>
      </w:pPr>
      <w:r>
        <w:t xml:space="preserve">The structure, sequencing, and integration points of the two phases are illustrated in </w:t>
      </w:r>
      <w:r w:rsidRPr="02A6AE13">
        <w:rPr>
          <w:b/>
          <w:bCs/>
        </w:rPr>
        <w:t>Figure 2</w:t>
      </w:r>
      <w:r>
        <w:t>, which visually summarises the methodological flow from participant recruitment, baseline data collection, and nature walking intervention through to follow-up surveys, interviews, and final data synthesis.</w:t>
      </w:r>
    </w:p>
    <w:p w14:paraId="2E953467" w14:textId="77777777" w:rsidR="00AC7C43" w:rsidRDefault="00AC7C43" w:rsidP="00122C7C">
      <w:pPr>
        <w:spacing w:line="360" w:lineRule="auto"/>
        <w:rPr>
          <w:b/>
          <w:bCs/>
          <w:i/>
          <w:iCs/>
        </w:rPr>
      </w:pPr>
    </w:p>
    <w:p w14:paraId="2A367742" w14:textId="77777777" w:rsidR="00AC7C43" w:rsidRDefault="00AC7C43" w:rsidP="00122C7C">
      <w:pPr>
        <w:spacing w:line="360" w:lineRule="auto"/>
        <w:rPr>
          <w:b/>
          <w:bCs/>
          <w:i/>
          <w:iCs/>
        </w:rPr>
      </w:pPr>
    </w:p>
    <w:p w14:paraId="747D4E38" w14:textId="77777777" w:rsidR="00AC7C43" w:rsidRDefault="00AC7C43" w:rsidP="00122C7C">
      <w:pPr>
        <w:spacing w:line="360" w:lineRule="auto"/>
        <w:rPr>
          <w:b/>
          <w:bCs/>
          <w:i/>
          <w:iCs/>
        </w:rPr>
      </w:pPr>
    </w:p>
    <w:p w14:paraId="4698428F" w14:textId="77777777" w:rsidR="00AC7C43" w:rsidRDefault="00AC7C43" w:rsidP="00122C7C">
      <w:pPr>
        <w:spacing w:line="360" w:lineRule="auto"/>
        <w:rPr>
          <w:b/>
          <w:bCs/>
          <w:i/>
          <w:iCs/>
        </w:rPr>
      </w:pPr>
    </w:p>
    <w:p w14:paraId="219F91DC" w14:textId="77777777" w:rsidR="00AC7C43" w:rsidRDefault="00AC7C43" w:rsidP="00122C7C">
      <w:pPr>
        <w:spacing w:line="360" w:lineRule="auto"/>
        <w:rPr>
          <w:b/>
          <w:bCs/>
          <w:i/>
          <w:iCs/>
        </w:rPr>
      </w:pPr>
    </w:p>
    <w:p w14:paraId="2659A7FF" w14:textId="77777777" w:rsidR="00AC7C43" w:rsidRDefault="00AC7C43" w:rsidP="00122C7C">
      <w:pPr>
        <w:spacing w:line="360" w:lineRule="auto"/>
        <w:rPr>
          <w:b/>
          <w:bCs/>
          <w:i/>
          <w:iCs/>
        </w:rPr>
      </w:pPr>
    </w:p>
    <w:p w14:paraId="7165BD6C" w14:textId="77777777" w:rsidR="00AC7C43" w:rsidRDefault="00AC7C43" w:rsidP="00122C7C">
      <w:pPr>
        <w:spacing w:line="360" w:lineRule="auto"/>
        <w:rPr>
          <w:b/>
          <w:bCs/>
          <w:i/>
          <w:iCs/>
        </w:rPr>
      </w:pPr>
    </w:p>
    <w:p w14:paraId="70D4612D" w14:textId="77777777" w:rsidR="00AC7C43" w:rsidRDefault="00AC7C43" w:rsidP="00122C7C">
      <w:pPr>
        <w:spacing w:line="360" w:lineRule="auto"/>
        <w:rPr>
          <w:b/>
          <w:bCs/>
          <w:i/>
          <w:iCs/>
        </w:rPr>
      </w:pPr>
    </w:p>
    <w:p w14:paraId="767212A4" w14:textId="180C8A8D" w:rsidR="00EE6FEC" w:rsidRDefault="3CCADC81" w:rsidP="00122C7C">
      <w:pPr>
        <w:spacing w:line="360" w:lineRule="auto"/>
        <w:rPr>
          <w:i/>
          <w:iCs/>
        </w:rPr>
      </w:pPr>
      <w:r w:rsidRPr="02A6AE13">
        <w:rPr>
          <w:b/>
          <w:bCs/>
          <w:i/>
          <w:iCs/>
        </w:rPr>
        <w:lastRenderedPageBreak/>
        <w:t>Figure 2</w:t>
      </w:r>
      <w:r w:rsidRPr="02A6AE13">
        <w:rPr>
          <w:i/>
          <w:iCs/>
        </w:rPr>
        <w:t xml:space="preserve"> – Study structure and sequencing</w:t>
      </w:r>
    </w:p>
    <w:p w14:paraId="3AEAF81C" w14:textId="77777777" w:rsidR="00E04202" w:rsidRPr="007303D0" w:rsidRDefault="00E04202" w:rsidP="00122C7C">
      <w:pPr>
        <w:spacing w:line="360" w:lineRule="auto"/>
        <w:rPr>
          <w:i/>
          <w:iCs/>
        </w:rPr>
      </w:pPr>
    </w:p>
    <w:p w14:paraId="114224FA" w14:textId="77777777" w:rsidR="00EE6FEC" w:rsidRDefault="3CCADC81" w:rsidP="00122C7C">
      <w:pPr>
        <w:spacing w:line="360" w:lineRule="auto"/>
        <w:jc w:val="center"/>
      </w:pPr>
      <w:r>
        <w:rPr>
          <w:noProof/>
        </w:rPr>
        <w:drawing>
          <wp:inline distT="0" distB="0" distL="0" distR="0" wp14:anchorId="16397015" wp14:editId="17564F45">
            <wp:extent cx="2841213" cy="4563072"/>
            <wp:effectExtent l="0" t="0" r="0" b="9525"/>
            <wp:docPr id="1823299091"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299091" name="Picture 1" descr="A diagram of a flowchart&#10;&#10;AI-generated content may be incorrect."/>
                    <pic:cNvPicPr/>
                  </pic:nvPicPr>
                  <pic:blipFill>
                    <a:blip r:embed="rId15"/>
                    <a:stretch>
                      <a:fillRect/>
                    </a:stretch>
                  </pic:blipFill>
                  <pic:spPr>
                    <a:xfrm>
                      <a:off x="0" y="0"/>
                      <a:ext cx="2841213" cy="4563072"/>
                    </a:xfrm>
                    <a:prstGeom prst="rect">
                      <a:avLst/>
                    </a:prstGeom>
                  </pic:spPr>
                </pic:pic>
              </a:graphicData>
            </a:graphic>
          </wp:inline>
        </w:drawing>
      </w:r>
    </w:p>
    <w:p w14:paraId="319146FD" w14:textId="77777777" w:rsidR="00EE6FEC" w:rsidRDefault="00EE6FEC" w:rsidP="00122C7C">
      <w:pPr>
        <w:spacing w:line="360" w:lineRule="auto"/>
      </w:pPr>
    </w:p>
    <w:p w14:paraId="2D5D2C48" w14:textId="4C7EF5CF" w:rsidR="00EE6FEC" w:rsidRPr="007F46B8" w:rsidRDefault="3CCADC81" w:rsidP="00122C7C">
      <w:pPr>
        <w:spacing w:line="360" w:lineRule="auto"/>
        <w:rPr>
          <w:b/>
          <w:bCs/>
        </w:rPr>
      </w:pPr>
      <w:r w:rsidRPr="02A6AE13">
        <w:rPr>
          <w:b/>
          <w:bCs/>
        </w:rPr>
        <w:t xml:space="preserve">Why </w:t>
      </w:r>
      <w:r w:rsidR="00CE3919">
        <w:rPr>
          <w:b/>
          <w:bCs/>
        </w:rPr>
        <w:t>w</w:t>
      </w:r>
      <w:r w:rsidRPr="02A6AE13">
        <w:rPr>
          <w:b/>
          <w:bCs/>
        </w:rPr>
        <w:t xml:space="preserve">alking in </w:t>
      </w:r>
      <w:r w:rsidR="00CE3919">
        <w:rPr>
          <w:b/>
          <w:bCs/>
        </w:rPr>
        <w:t>n</w:t>
      </w:r>
      <w:r w:rsidRPr="02A6AE13">
        <w:rPr>
          <w:b/>
          <w:bCs/>
        </w:rPr>
        <w:t>ature vs other nature connection experiences?</w:t>
      </w:r>
    </w:p>
    <w:p w14:paraId="185A558D" w14:textId="2BE365C6" w:rsidR="00EE6FEC" w:rsidRDefault="00FF479E" w:rsidP="00122C7C">
      <w:pPr>
        <w:spacing w:line="360" w:lineRule="auto"/>
      </w:pPr>
      <w:r>
        <w:t xml:space="preserve">A walking intervention </w:t>
      </w:r>
      <w:r w:rsidR="3CCADC81">
        <w:t>was chosen due to its accessibility, low cost, and evidence-based benefits for mental health (Marselle et al., 2021). Self-Determination Theory (Deci and Ryan, 2000) supports the role of autonomy</w:t>
      </w:r>
      <w:r w:rsidR="4A68617B">
        <w:t xml:space="preserve"> - </w:t>
      </w:r>
      <w:r w:rsidR="3CCADC81">
        <w:t>allowing participants to self-direct their walking.</w:t>
      </w:r>
      <w:r w:rsidR="00E241B4">
        <w:t xml:space="preserve">  </w:t>
      </w:r>
      <w:r w:rsidR="3CCADC81">
        <w:t xml:space="preserve">Walking was selected over other </w:t>
      </w:r>
      <w:r w:rsidR="00E241B4">
        <w:t xml:space="preserve">nature connection </w:t>
      </w:r>
      <w:r w:rsidR="3CCADC81">
        <w:t>experiences (e.g., camping, forest bathing, meditation) because it does not require specialist equipment, guidance or other costs and can be integrated</w:t>
      </w:r>
      <w:r w:rsidR="00E241B4">
        <w:t xml:space="preserve"> more easily</w:t>
      </w:r>
      <w:r w:rsidR="3CCADC81">
        <w:t xml:space="preserve"> into daily</w:t>
      </w:r>
      <w:r w:rsidR="00E241B4">
        <w:t xml:space="preserve"> parenting </w:t>
      </w:r>
      <w:r w:rsidR="3CCADC81">
        <w:t xml:space="preserve"> routines. </w:t>
      </w:r>
      <w:r w:rsidR="00E241B4">
        <w:t>(</w:t>
      </w:r>
      <w:r w:rsidR="3CCADC81">
        <w:t>Chaudhury and Banerjee, 2020).</w:t>
      </w:r>
    </w:p>
    <w:p w14:paraId="2D4E9740" w14:textId="77777777" w:rsidR="00184AC6" w:rsidRDefault="00184AC6" w:rsidP="00122C7C">
      <w:pPr>
        <w:spacing w:line="360" w:lineRule="auto"/>
      </w:pPr>
    </w:p>
    <w:p w14:paraId="41D9D3F1" w14:textId="77777777" w:rsidR="00EE6FEC" w:rsidRPr="001C0B5B" w:rsidRDefault="3CCADC81" w:rsidP="00122C7C">
      <w:pPr>
        <w:spacing w:line="360" w:lineRule="auto"/>
        <w:rPr>
          <w:b/>
          <w:bCs/>
        </w:rPr>
      </w:pPr>
      <w:r w:rsidRPr="02A6AE13">
        <w:rPr>
          <w:b/>
          <w:bCs/>
        </w:rPr>
        <w:lastRenderedPageBreak/>
        <w:t>Participants and Sampling Strategy</w:t>
      </w:r>
    </w:p>
    <w:p w14:paraId="5CA4916D" w14:textId="77777777" w:rsidR="00EE6FEC" w:rsidRPr="0030750B" w:rsidRDefault="3CCADC81" w:rsidP="00122C7C">
      <w:pPr>
        <w:spacing w:line="360" w:lineRule="auto"/>
      </w:pPr>
      <w:r>
        <w:t xml:space="preserve">A total of </w:t>
      </w:r>
      <w:r w:rsidRPr="02A6AE13">
        <w:rPr>
          <w:b/>
          <w:bCs/>
        </w:rPr>
        <w:t>31 participants</w:t>
      </w:r>
      <w:r>
        <w:t xml:space="preserve"> (20 male, 11 female) took part in the study. The average age was 46 years (Median = 46; Range: 32–56), with an average of two children under 16 living in the household (Range: 1–5). All participants worked full-time in high-stress roles requiring more than 40 hours per week, satisfying the inclusion criterion of “full-time working parent.”</w:t>
      </w:r>
    </w:p>
    <w:p w14:paraId="62424F80" w14:textId="7CF61718" w:rsidR="00EE6FEC" w:rsidRPr="006F708A" w:rsidRDefault="3CCADC81" w:rsidP="00122C7C">
      <w:pPr>
        <w:spacing w:line="360" w:lineRule="auto"/>
      </w:pPr>
      <w:r w:rsidRPr="006F708A">
        <w:t>Inclusion criteria were</w:t>
      </w:r>
      <w:r w:rsidR="00184AC6" w:rsidRPr="006F708A">
        <w:t xml:space="preserve"> that the participants had to be</w:t>
      </w:r>
      <w:r w:rsidR="009135C8" w:rsidRPr="006F708A">
        <w:t xml:space="preserve"> l</w:t>
      </w:r>
      <w:r w:rsidRPr="006F708A">
        <w:t>iving with at least one child under 16 on a full-time basis</w:t>
      </w:r>
      <w:r w:rsidR="009135C8" w:rsidRPr="006F708A">
        <w:t xml:space="preserve"> and w</w:t>
      </w:r>
      <w:r w:rsidRPr="006F708A">
        <w:t>orking at least 40 hours per week in a professional role.</w:t>
      </w:r>
    </w:p>
    <w:p w14:paraId="24F0D0C5" w14:textId="09AB84D7" w:rsidR="00EE6FEC" w:rsidRPr="001C0B5B" w:rsidRDefault="3CCADC81" w:rsidP="00122C7C">
      <w:pPr>
        <w:spacing w:line="360" w:lineRule="auto"/>
      </w:pPr>
      <w:r w:rsidRPr="006F708A">
        <w:t>Exclusion criteria included any known severe mental health conditions that could make participation unsafe</w:t>
      </w:r>
      <w:r>
        <w:t xml:space="preserve"> or triggering, and lack of access to any form of natural environment within reasonable distance from </w:t>
      </w:r>
      <w:r w:rsidR="00C235DF">
        <w:t>the h</w:t>
      </w:r>
      <w:r>
        <w:t>ome or workplace.</w:t>
      </w:r>
    </w:p>
    <w:p w14:paraId="4585E54A" w14:textId="5F57CC7D" w:rsidR="00EE6FEC" w:rsidRPr="009A5670" w:rsidRDefault="3CCADC81" w:rsidP="00122C7C">
      <w:pPr>
        <w:spacing w:line="360" w:lineRule="auto"/>
      </w:pPr>
      <w:r>
        <w:t>Three participants were randomly selected from the original sample to take part in the qualitative follow-up interviews</w:t>
      </w:r>
      <w:r w:rsidR="2BC77977">
        <w:t>.</w:t>
      </w:r>
    </w:p>
    <w:p w14:paraId="3CBA2BEA" w14:textId="77777777" w:rsidR="00EE6FEC" w:rsidRPr="009A5670" w:rsidRDefault="3CCADC81" w:rsidP="00122C7C">
      <w:pPr>
        <w:spacing w:line="360" w:lineRule="auto"/>
        <w:rPr>
          <w:b/>
          <w:bCs/>
        </w:rPr>
      </w:pPr>
      <w:r w:rsidRPr="02A6AE13">
        <w:rPr>
          <w:b/>
          <w:bCs/>
        </w:rPr>
        <w:t>Recruitment Strategy</w:t>
      </w:r>
    </w:p>
    <w:p w14:paraId="08B74BFC" w14:textId="749F9AA3" w:rsidR="002149E0" w:rsidRDefault="3CCADC81" w:rsidP="00122C7C">
      <w:pPr>
        <w:spacing w:line="360" w:lineRule="auto"/>
      </w:pPr>
      <w:r>
        <w:t xml:space="preserve">Recruitment took place between March and May 2021 via convenience sampling on social media platforms - primarily Facebook, Whatsapp and LinkedIn. Posts were shared to both professional and personal networks, including groups focused on wellbeing, outdoor activities, and parenting. </w:t>
      </w:r>
      <w:r w:rsidR="455CBE2E">
        <w:t xml:space="preserve"> This convenience sampling approach was chosen for its efficiency in reaching a specific population subgroup that is otherwise challenging to recruit in large numbers (Etikan et al., 2016).</w:t>
      </w:r>
    </w:p>
    <w:p w14:paraId="4D33764A" w14:textId="2E40D850" w:rsidR="00EE6FEC" w:rsidRPr="009A5670" w:rsidRDefault="3CCADC81" w:rsidP="00122C7C">
      <w:pPr>
        <w:spacing w:line="360" w:lineRule="auto"/>
      </w:pPr>
      <w:r>
        <w:t>The posts were written in accessible language and contained:</w:t>
      </w:r>
    </w:p>
    <w:p w14:paraId="4A4DDD42" w14:textId="77777777" w:rsidR="00EE6FEC" w:rsidRPr="009A5670" w:rsidRDefault="3CCADC81" w:rsidP="00122C7C">
      <w:pPr>
        <w:numPr>
          <w:ilvl w:val="0"/>
          <w:numId w:val="15"/>
        </w:numPr>
        <w:spacing w:line="360" w:lineRule="auto"/>
      </w:pPr>
      <w:r>
        <w:t>A brief description of the study purpose (“exploring the impact of walking in nature on mental health and wellbeing in working parents”).</w:t>
      </w:r>
    </w:p>
    <w:p w14:paraId="282E07CB" w14:textId="77777777" w:rsidR="00EE6FEC" w:rsidRPr="009A5670" w:rsidRDefault="3CCADC81" w:rsidP="00122C7C">
      <w:pPr>
        <w:numPr>
          <w:ilvl w:val="0"/>
          <w:numId w:val="15"/>
        </w:numPr>
        <w:spacing w:line="360" w:lineRule="auto"/>
      </w:pPr>
      <w:r>
        <w:t>Eligibility criteria.</w:t>
      </w:r>
    </w:p>
    <w:p w14:paraId="08EDAFEC" w14:textId="77777777" w:rsidR="00EE6FEC" w:rsidRPr="009A5670" w:rsidRDefault="3CCADC81" w:rsidP="00122C7C">
      <w:pPr>
        <w:numPr>
          <w:ilvl w:val="0"/>
          <w:numId w:val="15"/>
        </w:numPr>
        <w:spacing w:line="360" w:lineRule="auto"/>
      </w:pPr>
      <w:r>
        <w:t>An outline of participant commitments (two online surveys, self-directed walking intervention, optional follow-up interview).</w:t>
      </w:r>
    </w:p>
    <w:p w14:paraId="2182948D" w14:textId="77777777" w:rsidR="00EE6FEC" w:rsidRPr="009A5670" w:rsidRDefault="3CCADC81" w:rsidP="00122C7C">
      <w:pPr>
        <w:numPr>
          <w:ilvl w:val="0"/>
          <w:numId w:val="15"/>
        </w:numPr>
        <w:spacing w:line="360" w:lineRule="auto"/>
      </w:pPr>
      <w:r>
        <w:t>A secure link to the information sheet and consent form.</w:t>
      </w:r>
    </w:p>
    <w:p w14:paraId="2989B852" w14:textId="77777777" w:rsidR="00EE6FEC" w:rsidRDefault="3CCADC81" w:rsidP="00122C7C">
      <w:pPr>
        <w:spacing w:line="360" w:lineRule="auto"/>
      </w:pPr>
      <w:r>
        <w:lastRenderedPageBreak/>
        <w:t>While this method increased efficiency, it was subject to self-selection bias - participants with pre-existing interest in nature or physical activity may have been more likely to respond (Etikan et al., 2016).</w:t>
      </w:r>
    </w:p>
    <w:p w14:paraId="12CB838E" w14:textId="77777777" w:rsidR="00EE6FEC" w:rsidRPr="007F46B8" w:rsidRDefault="3CCADC81" w:rsidP="00122C7C">
      <w:pPr>
        <w:spacing w:line="360" w:lineRule="auto"/>
        <w:rPr>
          <w:b/>
          <w:bCs/>
        </w:rPr>
      </w:pPr>
      <w:r w:rsidRPr="02A6AE13">
        <w:rPr>
          <w:b/>
          <w:bCs/>
        </w:rPr>
        <w:t>Participant Retention and Attrition</w:t>
      </w:r>
    </w:p>
    <w:p w14:paraId="2482A6BE" w14:textId="41138A0C" w:rsidR="00EE6FEC" w:rsidRPr="007F46B8" w:rsidRDefault="3CCADC81" w:rsidP="00122C7C">
      <w:pPr>
        <w:spacing w:line="360" w:lineRule="auto"/>
      </w:pPr>
      <w:r>
        <w:t xml:space="preserve">Retention was a challenge: fewer than half of those who began the study completed </w:t>
      </w:r>
      <w:r w:rsidR="00A47FE4">
        <w:t xml:space="preserve">the final </w:t>
      </w:r>
      <w:r>
        <w:t>survey. Attrition rates are common in self-directed, unsupervised interventions (Eysenbach, 2005), particularly when targeting busy populations. Factors potentially contributing to drop-out included competing time demands, lack of motivation, seasonal/weather changes, and shifting pandemic-related restrictions on movement.</w:t>
      </w:r>
    </w:p>
    <w:p w14:paraId="43439DCA" w14:textId="77777777" w:rsidR="00EE6FEC" w:rsidRPr="007F46B8" w:rsidRDefault="3CCADC81" w:rsidP="00122C7C">
      <w:pPr>
        <w:spacing w:line="360" w:lineRule="auto"/>
      </w:pPr>
      <w:r>
        <w:t>To mitigate attrition, the study used:</w:t>
      </w:r>
    </w:p>
    <w:p w14:paraId="14093543" w14:textId="77777777" w:rsidR="00EE6FEC" w:rsidRPr="00CE4EBE" w:rsidRDefault="3CCADC81" w:rsidP="00122C7C">
      <w:pPr>
        <w:numPr>
          <w:ilvl w:val="0"/>
          <w:numId w:val="17"/>
        </w:numPr>
        <w:spacing w:line="360" w:lineRule="auto"/>
      </w:pPr>
      <w:r>
        <w:t>Reminder emails at mid-point and two weeks before the follow-up survey.</w:t>
      </w:r>
    </w:p>
    <w:p w14:paraId="404D0DE0" w14:textId="77777777" w:rsidR="00EE6FEC" w:rsidRPr="007F46B8" w:rsidRDefault="3CCADC81" w:rsidP="00122C7C">
      <w:pPr>
        <w:numPr>
          <w:ilvl w:val="0"/>
          <w:numId w:val="17"/>
        </w:numPr>
        <w:spacing w:line="360" w:lineRule="auto"/>
      </w:pPr>
      <w:r>
        <w:t>A flexible timeframe for survey completion.</w:t>
      </w:r>
    </w:p>
    <w:p w14:paraId="27EF7671" w14:textId="5BA762C5" w:rsidR="00EE6FEC" w:rsidRPr="009A5670" w:rsidRDefault="3CCADC81" w:rsidP="00122C7C">
      <w:pPr>
        <w:numPr>
          <w:ilvl w:val="0"/>
          <w:numId w:val="17"/>
        </w:numPr>
        <w:spacing w:line="360" w:lineRule="auto"/>
      </w:pPr>
      <w:r>
        <w:t xml:space="preserve">Short, </w:t>
      </w:r>
      <w:r w:rsidR="0EFF9442">
        <w:t xml:space="preserve">mobile-device </w:t>
      </w:r>
      <w:r>
        <w:t>friendly survey design to reduce perceived burden (avg completion time of 7 mins 32 secs)</w:t>
      </w:r>
    </w:p>
    <w:p w14:paraId="289F8792" w14:textId="77777777" w:rsidR="00EE6FEC" w:rsidRPr="00EE160D" w:rsidRDefault="3CCADC81" w:rsidP="00122C7C">
      <w:pPr>
        <w:spacing w:line="360" w:lineRule="auto"/>
        <w:rPr>
          <w:b/>
          <w:bCs/>
        </w:rPr>
      </w:pPr>
      <w:r w:rsidRPr="00EE160D">
        <w:rPr>
          <w:b/>
          <w:bCs/>
        </w:rPr>
        <w:t>Instruments and Measures</w:t>
      </w:r>
    </w:p>
    <w:p w14:paraId="0B20C090" w14:textId="480C5B1A" w:rsidR="00EE6FEC" w:rsidRDefault="3CCADC81" w:rsidP="00122C7C">
      <w:pPr>
        <w:spacing w:line="360" w:lineRule="auto"/>
      </w:pPr>
      <w:r>
        <w:t xml:space="preserve">The study </w:t>
      </w:r>
      <w:r w:rsidR="00EE160D">
        <w:t>combined</w:t>
      </w:r>
      <w:r>
        <w:t xml:space="preserve"> four validated instruments to measure mental wellbeing, mood, anxiety, depression, and burnout risk by way of a Microsoft Forms online survey. The validated instruments used are shown in </w:t>
      </w:r>
      <w:r w:rsidRPr="00EE160D">
        <w:rPr>
          <w:b/>
          <w:bCs/>
        </w:rPr>
        <w:t>Figure 3</w:t>
      </w:r>
      <w:r>
        <w:t xml:space="preserve"> below.</w:t>
      </w:r>
    </w:p>
    <w:p w14:paraId="02880399" w14:textId="77777777" w:rsidR="00EE6FEC" w:rsidRDefault="3CCADC81" w:rsidP="00122C7C">
      <w:pPr>
        <w:spacing w:line="360" w:lineRule="auto"/>
        <w:rPr>
          <w:i/>
          <w:iCs/>
        </w:rPr>
      </w:pPr>
      <w:r w:rsidRPr="00EE160D">
        <w:rPr>
          <w:b/>
          <w:bCs/>
          <w:i/>
          <w:iCs/>
        </w:rPr>
        <w:t>Figure 3</w:t>
      </w:r>
      <w:r w:rsidRPr="02A6AE13">
        <w:rPr>
          <w:i/>
          <w:iCs/>
        </w:rPr>
        <w:t xml:space="preserve"> – Validated instruments used for this research</w:t>
      </w:r>
    </w:p>
    <w:tbl>
      <w:tblPr>
        <w:tblStyle w:val="TableGrid"/>
        <w:tblW w:w="0" w:type="auto"/>
        <w:tblLook w:val="04A0" w:firstRow="1" w:lastRow="0" w:firstColumn="1" w:lastColumn="0" w:noHBand="0" w:noVBand="1"/>
      </w:tblPr>
      <w:tblGrid>
        <w:gridCol w:w="4508"/>
        <w:gridCol w:w="4508"/>
      </w:tblGrid>
      <w:tr w:rsidR="00EE6FEC" w14:paraId="4B084C3F" w14:textId="77777777" w:rsidTr="02A6AE13">
        <w:tc>
          <w:tcPr>
            <w:tcW w:w="4508" w:type="dxa"/>
          </w:tcPr>
          <w:p w14:paraId="36FEA94C" w14:textId="77777777" w:rsidR="00EE6FEC" w:rsidRDefault="3CCADC81" w:rsidP="00122C7C">
            <w:pPr>
              <w:spacing w:line="360" w:lineRule="auto"/>
              <w:rPr>
                <w:i/>
                <w:iCs/>
              </w:rPr>
            </w:pPr>
            <w:r w:rsidRPr="02A6AE13">
              <w:rPr>
                <w:b/>
                <w:bCs/>
              </w:rPr>
              <w:t>Beck Depression Inventory-II (BDI-II)</w:t>
            </w:r>
          </w:p>
        </w:tc>
        <w:tc>
          <w:tcPr>
            <w:tcW w:w="4508" w:type="dxa"/>
          </w:tcPr>
          <w:p w14:paraId="62B1A299" w14:textId="77777777" w:rsidR="00EE6FEC" w:rsidRPr="001C0B5B" w:rsidRDefault="3CCADC81" w:rsidP="00122C7C">
            <w:pPr>
              <w:spacing w:line="360" w:lineRule="auto"/>
            </w:pPr>
            <w:r>
              <w:t>Modified with approval from the University of Wales Trinity Saint David to remove the item relating to suicidal thoughts for ethical reasons (Beck et al., 1996).</w:t>
            </w:r>
          </w:p>
          <w:p w14:paraId="53B7BE31" w14:textId="77777777" w:rsidR="00EE6FEC" w:rsidRDefault="00EE6FEC" w:rsidP="00122C7C">
            <w:pPr>
              <w:spacing w:line="360" w:lineRule="auto"/>
              <w:rPr>
                <w:i/>
                <w:iCs/>
              </w:rPr>
            </w:pPr>
          </w:p>
        </w:tc>
      </w:tr>
      <w:tr w:rsidR="00EE6FEC" w14:paraId="4FF49990" w14:textId="77777777" w:rsidTr="02A6AE13">
        <w:tc>
          <w:tcPr>
            <w:tcW w:w="4508" w:type="dxa"/>
          </w:tcPr>
          <w:p w14:paraId="1861DCB0" w14:textId="77777777" w:rsidR="00EE6FEC" w:rsidRDefault="3CCADC81" w:rsidP="00122C7C">
            <w:pPr>
              <w:spacing w:line="360" w:lineRule="auto"/>
              <w:rPr>
                <w:i/>
                <w:iCs/>
              </w:rPr>
            </w:pPr>
            <w:r w:rsidRPr="02A6AE13">
              <w:rPr>
                <w:b/>
                <w:bCs/>
              </w:rPr>
              <w:t>Modified Maslach Burnout Inventory (MBI) for Parents</w:t>
            </w:r>
          </w:p>
        </w:tc>
        <w:tc>
          <w:tcPr>
            <w:tcW w:w="4508" w:type="dxa"/>
          </w:tcPr>
          <w:p w14:paraId="7D5C1092" w14:textId="77777777" w:rsidR="00EE6FEC" w:rsidRPr="00CE4EBE" w:rsidRDefault="3CCADC81" w:rsidP="00122C7C">
            <w:pPr>
              <w:spacing w:line="360" w:lineRule="auto"/>
            </w:pPr>
            <w:r>
              <w:t xml:space="preserve">Assessing emotional exhaustion, depersonalisation, and reduced personal </w:t>
            </w:r>
            <w:r>
              <w:lastRenderedPageBreak/>
              <w:t>accomplishment in the context of parenting (Maslach &amp; Jackson, 1981)</w:t>
            </w:r>
          </w:p>
        </w:tc>
      </w:tr>
      <w:tr w:rsidR="00EE6FEC" w14:paraId="6A9A8BC6" w14:textId="77777777" w:rsidTr="02A6AE13">
        <w:tc>
          <w:tcPr>
            <w:tcW w:w="4508" w:type="dxa"/>
          </w:tcPr>
          <w:p w14:paraId="75B41222" w14:textId="77777777" w:rsidR="00EE6FEC" w:rsidRDefault="3CCADC81" w:rsidP="00122C7C">
            <w:pPr>
              <w:spacing w:line="360" w:lineRule="auto"/>
              <w:rPr>
                <w:i/>
                <w:iCs/>
              </w:rPr>
            </w:pPr>
            <w:r w:rsidRPr="02A6AE13">
              <w:rPr>
                <w:b/>
                <w:bCs/>
              </w:rPr>
              <w:t>Short Warwick–Edinburgh Mental Wellbeing Scale (SWEMWBS)</w:t>
            </w:r>
          </w:p>
        </w:tc>
        <w:tc>
          <w:tcPr>
            <w:tcW w:w="4508" w:type="dxa"/>
          </w:tcPr>
          <w:p w14:paraId="1828A6FA" w14:textId="77777777" w:rsidR="00EE6FEC" w:rsidRPr="00252C4A" w:rsidRDefault="3CCADC81" w:rsidP="00122C7C">
            <w:pPr>
              <w:spacing w:line="360" w:lineRule="auto"/>
            </w:pPr>
            <w:r>
              <w:t>Measuring positive mental health (Stewart-Brown et al., 2009)</w:t>
            </w:r>
          </w:p>
        </w:tc>
      </w:tr>
      <w:tr w:rsidR="00EE6FEC" w14:paraId="295269CE" w14:textId="77777777" w:rsidTr="02A6AE13">
        <w:tc>
          <w:tcPr>
            <w:tcW w:w="4508" w:type="dxa"/>
          </w:tcPr>
          <w:p w14:paraId="45F12BA8" w14:textId="77777777" w:rsidR="00EE6FEC" w:rsidRDefault="3CCADC81" w:rsidP="00122C7C">
            <w:pPr>
              <w:spacing w:line="360" w:lineRule="auto"/>
              <w:rPr>
                <w:i/>
                <w:iCs/>
              </w:rPr>
            </w:pPr>
            <w:r w:rsidRPr="02A6AE13">
              <w:rPr>
                <w:b/>
                <w:bCs/>
              </w:rPr>
              <w:t>Office for National Statistics Subjective Wellbeing Measures (ONS4)</w:t>
            </w:r>
          </w:p>
        </w:tc>
        <w:tc>
          <w:tcPr>
            <w:tcW w:w="4508" w:type="dxa"/>
          </w:tcPr>
          <w:p w14:paraId="5024A81E" w14:textId="77777777" w:rsidR="00EE6FEC" w:rsidRDefault="3CCADC81" w:rsidP="00122C7C">
            <w:pPr>
              <w:spacing w:line="360" w:lineRule="auto"/>
              <w:rPr>
                <w:i/>
                <w:iCs/>
              </w:rPr>
            </w:pPr>
            <w:r>
              <w:t>Assessing life satisfaction, feelings of worthwhileness, happiness, and anxiety. (ONS, 2018)</w:t>
            </w:r>
          </w:p>
        </w:tc>
      </w:tr>
    </w:tbl>
    <w:p w14:paraId="59B1D4AF" w14:textId="77777777" w:rsidR="00EE6FEC" w:rsidRPr="00CE4EBE" w:rsidRDefault="00EE6FEC" w:rsidP="00122C7C">
      <w:pPr>
        <w:spacing w:line="360" w:lineRule="auto"/>
        <w:rPr>
          <w:i/>
          <w:iCs/>
        </w:rPr>
      </w:pPr>
    </w:p>
    <w:p w14:paraId="1639170B" w14:textId="77777777" w:rsidR="00EE6FEC" w:rsidRDefault="3CCADC81" w:rsidP="00122C7C">
      <w:pPr>
        <w:spacing w:line="360" w:lineRule="auto"/>
      </w:pPr>
      <w:r>
        <w:t>The selection of multiple validated tools ensured both breadth and depth of psychological measurement, enabling triangulation of wellbeing and burnout constructs (Creswell &amp; Plano Clark, 2018).</w:t>
      </w:r>
    </w:p>
    <w:p w14:paraId="2E77DD65" w14:textId="156A4383" w:rsidR="00EE6FEC" w:rsidRPr="00CE4EBE" w:rsidRDefault="3CCADC81" w:rsidP="00122C7C">
      <w:pPr>
        <w:spacing w:line="360" w:lineRule="auto"/>
      </w:pPr>
      <w:r>
        <w:t xml:space="preserve">The Beck Depression Inventory-II (BDI-II) is a 21-item self-report questionnaire developed to assess the severity of depressive symptoms (Beck et al., 1996). Each item is scored on a 4-point ordinal scale (0–3) </w:t>
      </w:r>
      <w:r w:rsidR="00535EEE">
        <w:t>with total</w:t>
      </w:r>
      <w:r>
        <w:t xml:space="preserve"> higher scores indicat</w:t>
      </w:r>
      <w:r w:rsidR="00535EEE">
        <w:t xml:space="preserve">ing </w:t>
      </w:r>
      <w:r>
        <w:t xml:space="preserve">greater severity of </w:t>
      </w:r>
      <w:r w:rsidR="00535EEE">
        <w:t>depression.</w:t>
      </w:r>
      <w:r w:rsidR="00806163">
        <w:t xml:space="preserve">  For ethical reasons, the</w:t>
      </w:r>
      <w:r>
        <w:t xml:space="preserve"> item relating to suicidal ideation was removed following the British Psychological Society’s (2014) guidance for non-clinical research. This </w:t>
      </w:r>
      <w:r w:rsidR="00927896">
        <w:t>change</w:t>
      </w:r>
      <w:r>
        <w:t xml:space="preserve"> was approved by the University Ethics Committee and aimed to safeguard participants from unnecessary distress. Previous research suggests that removing this item has minimal impact on the scale’s overall internal consistency</w:t>
      </w:r>
      <w:r w:rsidR="00927896">
        <w:t xml:space="preserve"> </w:t>
      </w:r>
      <w:r>
        <w:t>(Dozois et al., 1998).</w:t>
      </w:r>
      <w:r w:rsidR="0011370B">
        <w:t xml:space="preserve"> </w:t>
      </w:r>
      <w:r>
        <w:t xml:space="preserve">Given the removal of </w:t>
      </w:r>
      <w:r w:rsidR="00802DDA">
        <w:t>this item</w:t>
      </w:r>
      <w:r>
        <w:t xml:space="preserve">, the remaining 20 </w:t>
      </w:r>
      <w:r w:rsidR="00802DDA">
        <w:t>items</w:t>
      </w:r>
      <w:r>
        <w:t xml:space="preserve"> were summed to produce a 20-item total score ranging from 0 to 60, with higher scores indicating greater depressive symptom burden. </w:t>
      </w:r>
      <w:r w:rsidR="00802DDA">
        <w:t>This</w:t>
      </w:r>
      <w:r>
        <w:t xml:space="preserve"> modification alters the total score range and the researcher’s objective was to assess within-person change rather than assign categorical severity, the standard BDI-II severity bands (validated for the 21-item form) were not applied. All analyses therefore treated the BDI-II as a continuous outcome (pre–post paired t-tests), and results are reported as means, standard deviations, mean differences with 95% confidence intervals, and effect sizes.</w:t>
      </w:r>
      <w:r w:rsidR="0011370B">
        <w:t xml:space="preserve"> </w:t>
      </w:r>
      <w:r>
        <w:t xml:space="preserve">The BDI-II has strong convergent validity with other depression measures such as the Hamilton Depression Rating Scale (r = 0.71–0.89; Beck et al., 1996) and demonstrates good discriminant validity, distinguishing between depressive and non-depressive states. Its </w:t>
      </w:r>
      <w:r>
        <w:lastRenderedPageBreak/>
        <w:t>widespread use in both clinical and occupational health research makes it an appropriate choice for assessing mental health in working parents.</w:t>
      </w:r>
    </w:p>
    <w:p w14:paraId="028A6E7D" w14:textId="77DA0F31" w:rsidR="00EE6FEC" w:rsidRPr="007F46B8" w:rsidRDefault="3CCADC81" w:rsidP="00122C7C">
      <w:pPr>
        <w:spacing w:line="360" w:lineRule="auto"/>
      </w:pPr>
      <w:r>
        <w:t>The Maslach Burnout Inventory (MBI) is considered the gold standard for measuring burnout, assessing three dimensions: emotional exhaustion, depersonalisation, and reduced personal accomplishment (Maslach and Jackson, 1981). While the original tool is designed for occupational contexts, the MBI-P adaptation modifies item wording to reflect the parenting role (e.g., “I feel emotionally drained from my work” becomes “I feel emotionally drained from my parenting”), following protocols validated in parental burnout research (Roskam et al., 2018).</w:t>
      </w:r>
      <w:r w:rsidR="0011370B">
        <w:t xml:space="preserve"> </w:t>
      </w:r>
      <w:r>
        <w:t>The scale consists of 22 items rated on a 7-point Likert scale from 0 (“never”) to 6 (“every day”). Higher scores on emotional exhaustion and depersonalisation subscales and lower scores on personal accomplishment indicate higher burnout risk. In parental contexts, internal consistency is typically high (α = 0.84–0.89 for emotional exhaustion; α = 0.70–0.78 for depersonalisation; α = 0.72–0.76 for personal accomplishment; Roskam et al., 2018).</w:t>
      </w:r>
      <w:r w:rsidR="0011370B">
        <w:t xml:space="preserve"> </w:t>
      </w:r>
      <w:r>
        <w:t>The decision to include a burnout measure tailored to parenting reflects a growing recognition that burnout is not confined to professional roles and that parenting stressors have unique characteristics requiring specific assessment tools (Mikolajczak et al., 2019).</w:t>
      </w:r>
    </w:p>
    <w:p w14:paraId="13BD712D" w14:textId="77777777" w:rsidR="00EE6FEC" w:rsidRPr="00D4030A" w:rsidRDefault="3CCADC81" w:rsidP="00122C7C">
      <w:pPr>
        <w:spacing w:line="360" w:lineRule="auto"/>
      </w:pPr>
      <w:r>
        <w:t>The SWEMWBS is a seven-item scale designed to measure positive aspects of mental health, such as optimism, clear thinking, and feeling close to others (Stewart-Brown et al., 2009). Items are rated on a 5-point scale (1 = “none of the time” to 5 = “all of the time”), with raw scores converted to metric scores to enable comparison across studies. Higher scores indicate greater mental wellbeing.</w:t>
      </w:r>
    </w:p>
    <w:p w14:paraId="65AB94ED" w14:textId="0D9A5E8A" w:rsidR="00EE6FEC" w:rsidRPr="00D4030A" w:rsidRDefault="3CCADC81" w:rsidP="00122C7C">
      <w:pPr>
        <w:spacing w:line="360" w:lineRule="auto"/>
      </w:pPr>
      <w:r>
        <w:t>The SWEMWBS was selected for t</w:t>
      </w:r>
      <w:r w:rsidR="0EFF9442">
        <w:t>wo primary</w:t>
      </w:r>
      <w:r>
        <w:t xml:space="preserve"> reasons:</w:t>
      </w:r>
    </w:p>
    <w:p w14:paraId="1B206596" w14:textId="77777777" w:rsidR="00EE6FEC" w:rsidRPr="00D4030A" w:rsidRDefault="3CCADC81" w:rsidP="00122C7C">
      <w:pPr>
        <w:numPr>
          <w:ilvl w:val="0"/>
          <w:numId w:val="18"/>
        </w:numPr>
        <w:spacing w:line="360" w:lineRule="auto"/>
      </w:pPr>
      <w:r>
        <w:t>It focuses on positive functioning rather than the absence of distress, aligning with WHO’s definition of mental health as a state of wellbeing (WHO, 2004).</w:t>
      </w:r>
    </w:p>
    <w:p w14:paraId="44E5F5F9" w14:textId="77777777" w:rsidR="00EE6FEC" w:rsidRDefault="3CCADC81" w:rsidP="00122C7C">
      <w:pPr>
        <w:numPr>
          <w:ilvl w:val="0"/>
          <w:numId w:val="18"/>
        </w:numPr>
        <w:spacing w:line="360" w:lineRule="auto"/>
      </w:pPr>
      <w:r>
        <w:t>It has high internal consistency (α = 0.84–0.89; Ng Fat et al., 2017) and proven sensitivity to change in intervention studies (Maheswaran et al., 2012).</w:t>
      </w:r>
    </w:p>
    <w:p w14:paraId="451A3111" w14:textId="77777777" w:rsidR="00EE6FEC" w:rsidRPr="007F46B8" w:rsidRDefault="3CCADC81" w:rsidP="00122C7C">
      <w:pPr>
        <w:spacing w:line="360" w:lineRule="auto"/>
      </w:pPr>
      <w:r>
        <w:lastRenderedPageBreak/>
        <w:t>SWEMWBS was scored by summing the 7 items (1–5) and converting raw totals to the recommended Rasch-derived metric score (Stewart-Brown et al., 2009; Warwick Medical School, 2015). Pre–post comparisons used paired-samples t-tests on the metric scores.</w:t>
      </w:r>
    </w:p>
    <w:p w14:paraId="18D92A53" w14:textId="3DF2C379" w:rsidR="00EE6FEC" w:rsidRPr="00CE41F5" w:rsidRDefault="3CCADC81" w:rsidP="00122C7C">
      <w:pPr>
        <w:spacing w:line="360" w:lineRule="auto"/>
      </w:pPr>
      <w:r>
        <w:t>The ONS4 comprises four single-item questions assessing life satisfaction, feelings of worthwhileness, happiness, and anxiety (Office for National Statistics, 2018). Responses are scored on an 11-point scale (0 = “not at all” to 10 = “completely”), providing an easily interpretable metric.  Although brief, the ONS4 is widely used in UK national surveys and has been validated against longer wellbeing scales, demonstrating adequate test–retest reliability and concurrent validity (ONS, 2018). Its inclusion allowed for benchmarking against national wellbeing norms, adding contextual value to the findings</w:t>
      </w:r>
      <w:r w:rsidR="47CA5F64">
        <w:t xml:space="preserve"> in the United Kingdom.</w:t>
      </w:r>
    </w:p>
    <w:p w14:paraId="5E398120" w14:textId="77777777" w:rsidR="00EE6FEC" w:rsidRDefault="3CCADC81" w:rsidP="00122C7C">
      <w:pPr>
        <w:spacing w:line="360" w:lineRule="auto"/>
        <w:rPr>
          <w:b/>
          <w:bCs/>
        </w:rPr>
      </w:pPr>
      <w:r w:rsidRPr="02A6AE13">
        <w:rPr>
          <w:b/>
          <w:bCs/>
        </w:rPr>
        <w:t>Procedure and Intervention</w:t>
      </w:r>
    </w:p>
    <w:p w14:paraId="5F1B93B2" w14:textId="77777777" w:rsidR="00EE6FEC" w:rsidRPr="00CE41F5" w:rsidRDefault="3CCADC81" w:rsidP="00122C7C">
      <w:pPr>
        <w:spacing w:line="360" w:lineRule="auto"/>
      </w:pPr>
      <w:r>
        <w:t>The study was conducted in two principal phases: a quantitative phase to measure pre–post changes in wellbeing and burnout, followed by a qualitative phase to explore participant experiences in greater depth. The sequential design ensured that the qualitative component was directly informed by the quantitative findings (Creswell and Plano Clark, 2018).</w:t>
      </w:r>
    </w:p>
    <w:p w14:paraId="3FFE0328" w14:textId="77777777" w:rsidR="00EE6FEC" w:rsidRPr="001C0B5B" w:rsidRDefault="3CCADC81" w:rsidP="00122C7C">
      <w:pPr>
        <w:spacing w:line="360" w:lineRule="auto"/>
      </w:pPr>
      <w:r w:rsidRPr="02A6AE13">
        <w:rPr>
          <w:b/>
          <w:bCs/>
        </w:rPr>
        <w:t>Quantitative phase</w:t>
      </w:r>
      <w:r>
        <w:t xml:space="preserve"> - Participants completed Survey 1</w:t>
      </w:r>
      <w:r w:rsidRPr="02A6AE13">
        <w:rPr>
          <w:b/>
          <w:bCs/>
        </w:rPr>
        <w:t xml:space="preserve"> </w:t>
      </w:r>
      <w:r>
        <w:t>online via a secure Microsoft Forms platform provided by the University of Wales Trinity St David, which included the four validated instruments and demographic questions. They were then instructed to engage in solo walking in nature for a self-determined duration and frequency over the study timeframe.</w:t>
      </w:r>
    </w:p>
    <w:p w14:paraId="0ECBFA2A" w14:textId="77777777" w:rsidR="00EE6FEC" w:rsidRPr="00CE41F5" w:rsidRDefault="3CCADC81" w:rsidP="00122C7C">
      <w:pPr>
        <w:spacing w:line="360" w:lineRule="auto"/>
      </w:pPr>
      <w:r>
        <w:t>Participants were given up to 150 days to complete the intervention and the follow-up survey (Survey 2). The average interval between surveys was 118 days (Median = 124; Range: 69–152).</w:t>
      </w:r>
    </w:p>
    <w:p w14:paraId="4248CE90" w14:textId="77777777" w:rsidR="00EE6FEC" w:rsidRPr="001C0B5B" w:rsidRDefault="3CCADC81" w:rsidP="00122C7C">
      <w:pPr>
        <w:spacing w:line="360" w:lineRule="auto"/>
      </w:pPr>
      <w:r>
        <w:t>Across the intervention period:</w:t>
      </w:r>
    </w:p>
    <w:p w14:paraId="7E2931B7" w14:textId="77777777" w:rsidR="00EE6FEC" w:rsidRPr="001C0B5B" w:rsidRDefault="3CCADC81" w:rsidP="00122C7C">
      <w:pPr>
        <w:numPr>
          <w:ilvl w:val="0"/>
          <w:numId w:val="12"/>
        </w:numPr>
        <w:spacing w:line="360" w:lineRule="auto"/>
      </w:pPr>
      <w:r w:rsidRPr="02A6AE13">
        <w:rPr>
          <w:b/>
          <w:bCs/>
        </w:rPr>
        <w:t>Average walk duration</w:t>
      </w:r>
      <w:r>
        <w:t>: 46 minutes (Median = 44; Range: 20–120).</w:t>
      </w:r>
    </w:p>
    <w:p w14:paraId="0D653DA8" w14:textId="77777777" w:rsidR="00EE6FEC" w:rsidRPr="001C0B5B" w:rsidRDefault="3CCADC81" w:rsidP="00122C7C">
      <w:pPr>
        <w:numPr>
          <w:ilvl w:val="0"/>
          <w:numId w:val="12"/>
        </w:numPr>
        <w:spacing w:line="360" w:lineRule="auto"/>
      </w:pPr>
      <w:r w:rsidRPr="02A6AE13">
        <w:rPr>
          <w:b/>
          <w:bCs/>
        </w:rPr>
        <w:t>Average number of walks</w:t>
      </w:r>
      <w:r>
        <w:t>: 33 (Median = 27; Range: 3–95).</w:t>
      </w:r>
    </w:p>
    <w:p w14:paraId="7FFB1963" w14:textId="77777777" w:rsidR="00EE6FEC" w:rsidRPr="001C0B5B" w:rsidRDefault="3CCADC81" w:rsidP="00122C7C">
      <w:pPr>
        <w:spacing w:line="360" w:lineRule="auto"/>
      </w:pPr>
      <w:r>
        <w:lastRenderedPageBreak/>
        <w:t>No restrictions were placed on location, frequency, or duration. This self-directed approach aligns with recommendations in the literature for ecologically valid nature–health studies (Hartig et al., 2014; Korpela et al., 2017), especially for time-pressured populations such as working parents.</w:t>
      </w:r>
    </w:p>
    <w:p w14:paraId="5F09F67B" w14:textId="7FB0AB17" w:rsidR="00EE6FEC" w:rsidRPr="00CE41F5" w:rsidRDefault="3CCADC81" w:rsidP="00122C7C">
      <w:pPr>
        <w:spacing w:line="360" w:lineRule="auto"/>
      </w:pPr>
      <w:r w:rsidRPr="02A6AE13">
        <w:rPr>
          <w:b/>
          <w:bCs/>
        </w:rPr>
        <w:t>Qualitative phase</w:t>
      </w:r>
      <w:r>
        <w:t xml:space="preserve"> - Approximately 18 months  after the end of the study, </w:t>
      </w:r>
      <w:r w:rsidR="47CA5F64">
        <w:t>three</w:t>
      </w:r>
      <w:r>
        <w:t xml:space="preserve"> participants were randomly selected from the participant group and interviewed via Microsoft Teams. Semi-structured interviews lasted between 20–30 minutes, were recorded with consent, and transcribed. The interviews explored whether participants had maintained their walking routines, what benefits or drawbacks they perceived, and any barriers that influenced continued engagement.</w:t>
      </w:r>
      <w:r w:rsidR="2C03836F">
        <w:t xml:space="preserve"> Transcripts were checked for accuracy and anonymised, with identifiers replaced by participant codes. This process aligned with recommendations for qualitative data integrity and participant confidentiality (Saunders et al., 2015).</w:t>
      </w:r>
    </w:p>
    <w:p w14:paraId="260B656D" w14:textId="77777777" w:rsidR="00EE6FEC" w:rsidRPr="007F46B8" w:rsidRDefault="3CCADC81" w:rsidP="00122C7C">
      <w:pPr>
        <w:spacing w:line="360" w:lineRule="auto"/>
      </w:pPr>
      <w:r>
        <w:t>Baseline data collection was completed asynchronously online to allow flexibility, an important consideration given the target group’s time constraints (Chaudhury and Banerjee, 2020).</w:t>
      </w:r>
    </w:p>
    <w:p w14:paraId="1E3ECC95" w14:textId="77777777" w:rsidR="00EE6FEC" w:rsidRPr="007F46B8" w:rsidRDefault="3CCADC81" w:rsidP="00122C7C">
      <w:pPr>
        <w:spacing w:line="360" w:lineRule="auto"/>
        <w:rPr>
          <w:b/>
          <w:bCs/>
        </w:rPr>
      </w:pPr>
      <w:r w:rsidRPr="02A6AE13">
        <w:rPr>
          <w:b/>
          <w:bCs/>
        </w:rPr>
        <w:t>Intervention Design and Rationale</w:t>
      </w:r>
    </w:p>
    <w:p w14:paraId="6A3B3CA1" w14:textId="77777777" w:rsidR="00EE6FEC" w:rsidRPr="00CD448F" w:rsidRDefault="3CCADC81" w:rsidP="00122C7C">
      <w:pPr>
        <w:spacing w:line="360" w:lineRule="auto"/>
      </w:pPr>
      <w:r>
        <w:t>After completing the baseline survey, participants were instructed to engage in self-directed solo walking in nature for a period of up to 150 days. No minimum frequency or duration was prescribed; participants were free to determine how often, how long, and where they walked. This autonomous intervention model was adopted for three reasons:</w:t>
      </w:r>
    </w:p>
    <w:p w14:paraId="7D91D7C8" w14:textId="7A3D1D2D" w:rsidR="00EE6FEC" w:rsidRPr="007F46B8" w:rsidRDefault="3CCADC81" w:rsidP="00122C7C">
      <w:pPr>
        <w:numPr>
          <w:ilvl w:val="0"/>
          <w:numId w:val="20"/>
        </w:numPr>
        <w:spacing w:line="360" w:lineRule="auto"/>
      </w:pPr>
      <w:r w:rsidRPr="02A6AE13">
        <w:rPr>
          <w:b/>
          <w:bCs/>
        </w:rPr>
        <w:t>Ecological validity</w:t>
      </w:r>
      <w:r>
        <w:t xml:space="preserve"> – Self-directed interventions reflect the variability and autonomy of real-world behaviour, particularly in populations with limited discretionary time (Hartig et al., 2014</w:t>
      </w:r>
      <w:r w:rsidR="47CA5F64">
        <w:t>, Korpela et al., 2017</w:t>
      </w:r>
      <w:r>
        <w:t>).</w:t>
      </w:r>
    </w:p>
    <w:p w14:paraId="5F10180E" w14:textId="77777777" w:rsidR="00EE6FEC" w:rsidRPr="007F46B8" w:rsidRDefault="3CCADC81" w:rsidP="00122C7C">
      <w:pPr>
        <w:numPr>
          <w:ilvl w:val="0"/>
          <w:numId w:val="20"/>
        </w:numPr>
        <w:spacing w:line="360" w:lineRule="auto"/>
      </w:pPr>
      <w:r w:rsidRPr="02A6AE13">
        <w:rPr>
          <w:b/>
          <w:bCs/>
        </w:rPr>
        <w:t>Behavioural sustainability</w:t>
      </w:r>
      <w:r>
        <w:t xml:space="preserve"> – According to Self-Determination Theory (Deci and Ryan, 2000), autonomy enhances intrinsic motivation, making behaviours more likely to persist after formal intervention ends.</w:t>
      </w:r>
    </w:p>
    <w:p w14:paraId="0777A96E" w14:textId="77777777" w:rsidR="00EE6FEC" w:rsidRPr="007F46B8" w:rsidRDefault="3CCADC81" w:rsidP="00122C7C">
      <w:pPr>
        <w:numPr>
          <w:ilvl w:val="0"/>
          <w:numId w:val="20"/>
        </w:numPr>
        <w:spacing w:line="360" w:lineRule="auto"/>
      </w:pPr>
      <w:r w:rsidRPr="02A6AE13">
        <w:rPr>
          <w:b/>
          <w:bCs/>
        </w:rPr>
        <w:lastRenderedPageBreak/>
        <w:t>Dose–response exploration</w:t>
      </w:r>
      <w:r>
        <w:t xml:space="preserve"> – Allowing variation enabled post hoc analysis of how differing walking frequencies and durations might relate to outcomes (Shanahan et al., 2019).</w:t>
      </w:r>
    </w:p>
    <w:p w14:paraId="14AB9A5C" w14:textId="77777777" w:rsidR="00EE6FEC" w:rsidRPr="007F46B8" w:rsidRDefault="3CCADC81" w:rsidP="00122C7C">
      <w:pPr>
        <w:spacing w:line="360" w:lineRule="auto"/>
      </w:pPr>
      <w:r>
        <w:t>Participants were given examples of what might constitute a suitable “nature walk” (e.g., local parks, woodlands, coastal paths) but were advised to avoid urban high-traffic areas where noise and pollution could diminish potential restorative benefits (Gidlow et al., 2016).</w:t>
      </w:r>
    </w:p>
    <w:p w14:paraId="164D7425" w14:textId="77777777" w:rsidR="00EE6FEC" w:rsidRPr="007F46B8" w:rsidRDefault="3CCADC81" w:rsidP="00122C7C">
      <w:pPr>
        <w:spacing w:line="360" w:lineRule="auto"/>
        <w:rPr>
          <w:b/>
          <w:bCs/>
        </w:rPr>
      </w:pPr>
      <w:r w:rsidRPr="02A6AE13">
        <w:rPr>
          <w:b/>
          <w:bCs/>
        </w:rPr>
        <w:t>Walking Period and Monitoring</w:t>
      </w:r>
    </w:p>
    <w:p w14:paraId="346D762D" w14:textId="788C450A" w:rsidR="00EE6FEC" w:rsidRPr="00CD448F" w:rsidRDefault="3CCADC81" w:rsidP="00122C7C">
      <w:pPr>
        <w:spacing w:line="360" w:lineRule="auto"/>
      </w:pPr>
      <w:r>
        <w:t xml:space="preserve">The intervention period length was capped at ~150 days to balance feasibility and adequate exposure. The average completion interval between baseline and follow-up surveys was </w:t>
      </w:r>
      <w:r w:rsidRPr="02A6AE13">
        <w:rPr>
          <w:b/>
          <w:bCs/>
        </w:rPr>
        <w:t>118 days</w:t>
      </w:r>
      <w:r>
        <w:t xml:space="preserve"> (median = 124; range: 69–152 days). Participants reported walking frequency and average duration in Survey 2 after keeping a log of their walks and the</w:t>
      </w:r>
      <w:r w:rsidR="009F5DB6">
        <w:t xml:space="preserve"> </w:t>
      </w:r>
      <w:r>
        <w:t>duration using an Excel log sheet provided by the researcher.</w:t>
      </w:r>
    </w:p>
    <w:p w14:paraId="665B61CE" w14:textId="76189BF1" w:rsidR="00EE6FEC" w:rsidRPr="007F46B8" w:rsidRDefault="3CCADC81" w:rsidP="00122C7C">
      <w:pPr>
        <w:spacing w:line="360" w:lineRule="auto"/>
      </w:pPr>
      <w:r>
        <w:t xml:space="preserve">While GPS </w:t>
      </w:r>
      <w:r w:rsidR="004E21BB">
        <w:t>or Step</w:t>
      </w:r>
      <w:r>
        <w:t xml:space="preserve"> </w:t>
      </w:r>
      <w:r w:rsidR="004E21BB">
        <w:t>T</w:t>
      </w:r>
      <w:r>
        <w:t xml:space="preserve">racking can </w:t>
      </w:r>
      <w:r w:rsidR="004E21BB">
        <w:t>provide more reliable walking data</w:t>
      </w:r>
      <w:r>
        <w:t>, it was deemed impractical in this study due to budget constraints and privacy concerns. Self-report measures, while vulnerable to recall bias, are widely used in similar intervention contexts (Rogerson et al., 2020).</w:t>
      </w:r>
    </w:p>
    <w:p w14:paraId="1B1A76C2" w14:textId="77777777" w:rsidR="00EE6FEC" w:rsidRPr="001C0B5B" w:rsidRDefault="3CCADC81" w:rsidP="00122C7C">
      <w:pPr>
        <w:spacing w:line="360" w:lineRule="auto"/>
        <w:rPr>
          <w:b/>
          <w:bCs/>
        </w:rPr>
      </w:pPr>
      <w:r w:rsidRPr="02A6AE13">
        <w:rPr>
          <w:b/>
          <w:bCs/>
        </w:rPr>
        <w:t>Data Analysis</w:t>
      </w:r>
    </w:p>
    <w:p w14:paraId="614AA9DF" w14:textId="77777777" w:rsidR="00EE6FEC" w:rsidRPr="00A57C6A" w:rsidRDefault="3CCADC81" w:rsidP="00122C7C">
      <w:pPr>
        <w:spacing w:line="360" w:lineRule="auto"/>
      </w:pPr>
      <w:r w:rsidRPr="02A6AE13">
        <w:rPr>
          <w:b/>
          <w:bCs/>
        </w:rPr>
        <w:t>Quantitative analysis</w:t>
      </w:r>
      <w:r>
        <w:t xml:space="preserve"> — Analyses were conducted in IBM SPSS Statistics v29.0.1.0 (171). Pre–post changes were evaluated with paired-samples t-tests run separately for each outcome, selected for their suitability when comparing two related measurements on the same participants (Field, 2018).</w:t>
      </w:r>
    </w:p>
    <w:p w14:paraId="0863AF19" w14:textId="77777777" w:rsidR="00EE6FEC" w:rsidRPr="00A57C6A" w:rsidRDefault="3CCADC81" w:rsidP="00122C7C">
      <w:pPr>
        <w:spacing w:line="360" w:lineRule="auto"/>
      </w:pPr>
      <w:r>
        <w:t>Prior to inference, assumptions were examined for each outcome:</w:t>
      </w:r>
    </w:p>
    <w:p w14:paraId="6FE17D3F" w14:textId="2899B0F1" w:rsidR="00EE6FEC" w:rsidRPr="00A57C6A" w:rsidRDefault="3CCADC81" w:rsidP="00122C7C">
      <w:pPr>
        <w:numPr>
          <w:ilvl w:val="0"/>
          <w:numId w:val="27"/>
        </w:numPr>
        <w:spacing w:line="360" w:lineRule="auto"/>
      </w:pPr>
      <w:r>
        <w:t>Normality of difference scores was assessed using Shapiro–Wilk tests</w:t>
      </w:r>
    </w:p>
    <w:p w14:paraId="2361CF63" w14:textId="3FFA0018" w:rsidR="00EE6FEC" w:rsidRPr="00A57C6A" w:rsidRDefault="3CCADC81" w:rsidP="00122C7C">
      <w:pPr>
        <w:numPr>
          <w:ilvl w:val="0"/>
          <w:numId w:val="27"/>
        </w:numPr>
        <w:spacing w:line="360" w:lineRule="auto"/>
      </w:pPr>
      <w:r>
        <w:t>Non-parametric sensitivity analyses (Wilcoxon signed-rank tests) were planned where normality was materially violated; however, primary t-test assumptions were met for all analyses.</w:t>
      </w:r>
    </w:p>
    <w:p w14:paraId="7B46735F" w14:textId="77777777" w:rsidR="00EE6FEC" w:rsidRPr="00A57C6A" w:rsidRDefault="3CCADC81" w:rsidP="00122C7C">
      <w:pPr>
        <w:spacing w:line="360" w:lineRule="auto"/>
      </w:pPr>
      <w:r>
        <w:t>Separate paired t-tests were conducted for:</w:t>
      </w:r>
    </w:p>
    <w:p w14:paraId="58C50151" w14:textId="77777777" w:rsidR="00EE6FEC" w:rsidRPr="00A57C6A" w:rsidRDefault="3CCADC81" w:rsidP="00122C7C">
      <w:pPr>
        <w:numPr>
          <w:ilvl w:val="0"/>
          <w:numId w:val="28"/>
        </w:numPr>
        <w:spacing w:line="360" w:lineRule="auto"/>
      </w:pPr>
      <w:r w:rsidRPr="02A6AE13">
        <w:rPr>
          <w:b/>
          <w:bCs/>
        </w:rPr>
        <w:lastRenderedPageBreak/>
        <w:t>BDI-II</w:t>
      </w:r>
      <w:r>
        <w:t xml:space="preserve"> – testing for depression severity</w:t>
      </w:r>
    </w:p>
    <w:p w14:paraId="18D0595E" w14:textId="77777777" w:rsidR="00EE6FEC" w:rsidRPr="00A57C6A" w:rsidRDefault="3CCADC81" w:rsidP="00122C7C">
      <w:pPr>
        <w:numPr>
          <w:ilvl w:val="0"/>
          <w:numId w:val="28"/>
        </w:numPr>
        <w:spacing w:line="360" w:lineRule="auto"/>
      </w:pPr>
      <w:r w:rsidRPr="02A6AE13">
        <w:rPr>
          <w:b/>
          <w:bCs/>
        </w:rPr>
        <w:t>MBI-P</w:t>
      </w:r>
      <w:r>
        <w:t xml:space="preserve">  – testing for burnout risk</w:t>
      </w:r>
    </w:p>
    <w:p w14:paraId="0C0135EE" w14:textId="77777777" w:rsidR="00EE6FEC" w:rsidRPr="00A57C6A" w:rsidRDefault="3CCADC81" w:rsidP="00122C7C">
      <w:pPr>
        <w:numPr>
          <w:ilvl w:val="0"/>
          <w:numId w:val="28"/>
        </w:numPr>
        <w:spacing w:line="360" w:lineRule="auto"/>
      </w:pPr>
      <w:r w:rsidRPr="02A6AE13">
        <w:rPr>
          <w:b/>
          <w:bCs/>
        </w:rPr>
        <w:t>SWEMWBS</w:t>
      </w:r>
      <w:r>
        <w:t xml:space="preserve"> – testing for mental wellbeing</w:t>
      </w:r>
    </w:p>
    <w:p w14:paraId="257EA994" w14:textId="77777777" w:rsidR="00EE6FEC" w:rsidRPr="00A57C6A" w:rsidRDefault="3CCADC81" w:rsidP="00122C7C">
      <w:pPr>
        <w:numPr>
          <w:ilvl w:val="0"/>
          <w:numId w:val="28"/>
        </w:numPr>
        <w:spacing w:line="360" w:lineRule="auto"/>
      </w:pPr>
      <w:r w:rsidRPr="02A6AE13">
        <w:rPr>
          <w:b/>
          <w:bCs/>
        </w:rPr>
        <w:t>ONS4</w:t>
      </w:r>
      <w:r>
        <w:t xml:space="preserve"> – testing for subjective wellbeing</w:t>
      </w:r>
    </w:p>
    <w:p w14:paraId="31B543C9" w14:textId="2A44ADB8" w:rsidR="00EE6FEC" w:rsidRPr="00A57C6A" w:rsidRDefault="3CCADC81" w:rsidP="00122C7C">
      <w:pPr>
        <w:spacing w:line="360" w:lineRule="auto"/>
      </w:pPr>
      <w:r>
        <w:t>For each test, effect sizes were reported as Cohen’s d for paired designs and interpreted using conventional benchmarks (small ≈ 0.20, medium ≈ 0.50, large ≈ 0.80; Cohen, 1988). Reporting effect sizes alongside p-values follows recommendations to evaluate practical significance in addition to statistical significance (Lakens, 2013).</w:t>
      </w:r>
    </w:p>
    <w:p w14:paraId="11F65315" w14:textId="77777777" w:rsidR="00EE6FEC" w:rsidRPr="007F46B8" w:rsidRDefault="3CCADC81" w:rsidP="00122C7C">
      <w:pPr>
        <w:spacing w:line="360" w:lineRule="auto"/>
        <w:rPr>
          <w:b/>
          <w:bCs/>
        </w:rPr>
      </w:pPr>
      <w:r w:rsidRPr="02A6AE13">
        <w:rPr>
          <w:b/>
          <w:bCs/>
        </w:rPr>
        <w:t>Dose–Response Exploration</w:t>
      </w:r>
    </w:p>
    <w:p w14:paraId="31DE1709" w14:textId="77777777" w:rsidR="00EE6FEC" w:rsidRPr="001C0B5B" w:rsidRDefault="3CCADC81" w:rsidP="00122C7C">
      <w:pPr>
        <w:spacing w:line="360" w:lineRule="auto"/>
      </w:pPr>
      <w:r>
        <w:t>Descriptive statistics for walking frequency and duration were examined. Exploratory Pearson correlations tested relationships between walking “dose” (number and duration of walks) and change scores on wellbeing measures. This analysis was hypothesis-generating rather than confirmatory, given the modest sample size and variability in self-reported walking patterns (Rogerson et al., 2020).</w:t>
      </w:r>
    </w:p>
    <w:p w14:paraId="302675E8" w14:textId="77777777" w:rsidR="00EE6FEC" w:rsidRPr="001C0B5B" w:rsidRDefault="3CCADC81" w:rsidP="00122C7C">
      <w:pPr>
        <w:spacing w:line="360" w:lineRule="auto"/>
      </w:pPr>
      <w:r w:rsidRPr="02A6AE13">
        <w:rPr>
          <w:b/>
          <w:bCs/>
        </w:rPr>
        <w:t>Qualitative analysis</w:t>
      </w:r>
      <w:r>
        <w:t xml:space="preserve"> — Braun and Clarke’s (2006) six-phase thematic analysis framework was employed:</w:t>
      </w:r>
    </w:p>
    <w:p w14:paraId="4E86239E" w14:textId="77777777" w:rsidR="00EE6FEC" w:rsidRPr="007F46B8" w:rsidRDefault="3CCADC81" w:rsidP="00122C7C">
      <w:pPr>
        <w:numPr>
          <w:ilvl w:val="0"/>
          <w:numId w:val="23"/>
        </w:numPr>
        <w:spacing w:line="360" w:lineRule="auto"/>
      </w:pPr>
      <w:r w:rsidRPr="02A6AE13">
        <w:rPr>
          <w:b/>
          <w:bCs/>
        </w:rPr>
        <w:t>Familiarisation</w:t>
      </w:r>
      <w:r>
        <w:t xml:space="preserve"> – reading and re-reading transcripts, noting initial impressions.</w:t>
      </w:r>
    </w:p>
    <w:p w14:paraId="0B11322D" w14:textId="77777777" w:rsidR="00EE6FEC" w:rsidRPr="007F46B8" w:rsidRDefault="3CCADC81" w:rsidP="00122C7C">
      <w:pPr>
        <w:numPr>
          <w:ilvl w:val="0"/>
          <w:numId w:val="23"/>
        </w:numPr>
        <w:spacing w:line="360" w:lineRule="auto"/>
      </w:pPr>
      <w:r w:rsidRPr="02A6AE13">
        <w:rPr>
          <w:b/>
          <w:bCs/>
        </w:rPr>
        <w:t>Generating initial codes</w:t>
      </w:r>
      <w:r>
        <w:t xml:space="preserve"> – systematically coding meaningful segments of text across the dataset.</w:t>
      </w:r>
    </w:p>
    <w:p w14:paraId="2DBEB0A8" w14:textId="77777777" w:rsidR="00EE6FEC" w:rsidRPr="007F46B8" w:rsidRDefault="3CCADC81" w:rsidP="00122C7C">
      <w:pPr>
        <w:numPr>
          <w:ilvl w:val="0"/>
          <w:numId w:val="23"/>
        </w:numPr>
        <w:spacing w:line="360" w:lineRule="auto"/>
      </w:pPr>
      <w:r w:rsidRPr="02A6AE13">
        <w:rPr>
          <w:b/>
          <w:bCs/>
        </w:rPr>
        <w:t>Searching for themes</w:t>
      </w:r>
      <w:r>
        <w:t xml:space="preserve"> – collating codes into potential themes and subthemes.</w:t>
      </w:r>
    </w:p>
    <w:p w14:paraId="078BDB60" w14:textId="77777777" w:rsidR="00EE6FEC" w:rsidRPr="007F46B8" w:rsidRDefault="3CCADC81" w:rsidP="00122C7C">
      <w:pPr>
        <w:numPr>
          <w:ilvl w:val="0"/>
          <w:numId w:val="23"/>
        </w:numPr>
        <w:spacing w:line="360" w:lineRule="auto"/>
      </w:pPr>
      <w:r w:rsidRPr="02A6AE13">
        <w:rPr>
          <w:b/>
          <w:bCs/>
        </w:rPr>
        <w:t>Reviewing themes</w:t>
      </w:r>
      <w:r>
        <w:t xml:space="preserve"> – checking coherence of themes in relation to coded extracts and the full dataset.</w:t>
      </w:r>
    </w:p>
    <w:p w14:paraId="1B6BAA26" w14:textId="77777777" w:rsidR="00EE6FEC" w:rsidRPr="007F46B8" w:rsidRDefault="3CCADC81" w:rsidP="00122C7C">
      <w:pPr>
        <w:numPr>
          <w:ilvl w:val="0"/>
          <w:numId w:val="23"/>
        </w:numPr>
        <w:spacing w:line="360" w:lineRule="auto"/>
      </w:pPr>
      <w:r w:rsidRPr="02A6AE13">
        <w:rPr>
          <w:b/>
          <w:bCs/>
        </w:rPr>
        <w:t>Defining and naming themes</w:t>
      </w:r>
      <w:r>
        <w:t xml:space="preserve"> – refining thematic scope and selecting representative quotations.</w:t>
      </w:r>
    </w:p>
    <w:p w14:paraId="0C6B3718" w14:textId="77777777" w:rsidR="00EE6FEC" w:rsidRPr="007F46B8" w:rsidRDefault="3CCADC81" w:rsidP="00122C7C">
      <w:pPr>
        <w:numPr>
          <w:ilvl w:val="0"/>
          <w:numId w:val="23"/>
        </w:numPr>
        <w:spacing w:line="360" w:lineRule="auto"/>
      </w:pPr>
      <w:r w:rsidRPr="02A6AE13">
        <w:rPr>
          <w:b/>
          <w:bCs/>
        </w:rPr>
        <w:t>Producing the report</w:t>
      </w:r>
      <w:r>
        <w:t xml:space="preserve"> – integrating themes into the final interpretation alongside quantitative findings.</w:t>
      </w:r>
    </w:p>
    <w:p w14:paraId="4CB7D356" w14:textId="77777777" w:rsidR="00EE6FEC" w:rsidRDefault="3CCADC81" w:rsidP="00122C7C">
      <w:pPr>
        <w:spacing w:line="360" w:lineRule="auto"/>
      </w:pPr>
      <w:r>
        <w:lastRenderedPageBreak/>
        <w:t>An inductive approach was used to ensure themes were grounded in participant narratives rather than being imposed by the researcher’s preconceptions (Thomas, 2006). Nevertheless, analysis was theory-informed, drawing on established frameworks such as Attention Restoration Theory (Kaplan and Kaplan, 1989) and Self-Determination Theory (Deci and Ryan, 2000) when interpreting themes.</w:t>
      </w:r>
    </w:p>
    <w:p w14:paraId="2A281B5D" w14:textId="77777777" w:rsidR="00EE6FEC" w:rsidRPr="007F46B8" w:rsidRDefault="3CCADC81" w:rsidP="00122C7C">
      <w:pPr>
        <w:spacing w:line="360" w:lineRule="auto"/>
        <w:rPr>
          <w:b/>
          <w:bCs/>
        </w:rPr>
      </w:pPr>
      <w:r w:rsidRPr="02A6AE13">
        <w:rPr>
          <w:b/>
          <w:bCs/>
        </w:rPr>
        <w:t>Reflexivity and Positionality</w:t>
      </w:r>
    </w:p>
    <w:p w14:paraId="5FAE7CC0" w14:textId="77777777" w:rsidR="00EE6FEC" w:rsidRPr="009A1BF0" w:rsidRDefault="3CCADC81" w:rsidP="00122C7C">
      <w:pPr>
        <w:spacing w:line="360" w:lineRule="auto"/>
      </w:pPr>
      <w:r>
        <w:t>Reflexivity is a central component of high-quality research, particularly in studies involving qualitative elements where the researcher is both the instrument of data collection and the primary interpreter of meaning (Finlay, 2020). In mixed-methods designs, reflexivity is equally critical, as researcher values and assumptions can influence not only data interpretation but also the selection of measures, sequencing of methods, and integration of findings (McLeod, 2024).</w:t>
      </w:r>
    </w:p>
    <w:p w14:paraId="43F4B3E8" w14:textId="77777777" w:rsidR="00EE6FEC" w:rsidRPr="009A1BF0" w:rsidRDefault="3CCADC81" w:rsidP="00122C7C">
      <w:pPr>
        <w:spacing w:line="360" w:lineRule="auto"/>
      </w:pPr>
      <w:r>
        <w:t>In this study, reflexivity was approached as a continuous, multi-layered process rather than a discrete stage, aligning with the guidance of Lincoln and Guba (1985) and the AMEE Guide to Reflexivity (Rowe, 2022). The reflexive process was structured into four interrelated dimensions: personal, interpersonal, methodological, and contextual reflexivity.</w:t>
      </w:r>
    </w:p>
    <w:p w14:paraId="1CCEAB4C" w14:textId="587C6F13" w:rsidR="00EE6FEC" w:rsidRPr="009A1BF0" w:rsidRDefault="3CCADC81" w:rsidP="00122C7C">
      <w:pPr>
        <w:spacing w:line="360" w:lineRule="auto"/>
      </w:pPr>
      <w:r w:rsidRPr="02A6AE13">
        <w:rPr>
          <w:b/>
          <w:bCs/>
        </w:rPr>
        <w:t>Personal Reflexivity</w:t>
      </w:r>
      <w:r w:rsidR="1D91D8B5" w:rsidRPr="02A6AE13">
        <w:rPr>
          <w:b/>
          <w:bCs/>
        </w:rPr>
        <w:t xml:space="preserve"> - </w:t>
      </w:r>
      <w:r>
        <w:t xml:space="preserve">Personal reflexivity concerns how the researcher’s own experiences, beliefs, and identity may influence the research process (Pillow, 2003). As both a working parent and an academic with a professional interest in the restorative effects of nature, </w:t>
      </w:r>
      <w:r w:rsidR="1D91D8B5">
        <w:t xml:space="preserve">the researcher </w:t>
      </w:r>
      <w:r>
        <w:t>brought a degree of insider perspective to the study. This positionality offered benefits, such as enhanced rapport with participants who perceived a shared understanding of their time pressures and stressors (Dwyer and Buckle, 2009).</w:t>
      </w:r>
    </w:p>
    <w:p w14:paraId="3F8E540F" w14:textId="00A7378B" w:rsidR="00EE6FEC" w:rsidRPr="009A1BF0" w:rsidRDefault="3CCADC81" w:rsidP="00122C7C">
      <w:pPr>
        <w:spacing w:line="360" w:lineRule="auto"/>
      </w:pPr>
      <w:r>
        <w:t>However, it also carried the risk of confirmation bias, whereby</w:t>
      </w:r>
      <w:r w:rsidR="1D91D8B5">
        <w:t xml:space="preserve"> the researcher</w:t>
      </w:r>
      <w:r>
        <w:t xml:space="preserve"> might unconsciously seek evidence that supports the hypothesised benefits of walking in nature. To counter this, </w:t>
      </w:r>
      <w:r w:rsidR="1D91D8B5">
        <w:t>the researcher</w:t>
      </w:r>
      <w:r>
        <w:t xml:space="preserve"> adopted a critical reflexive stance, actively noting in research journal</w:t>
      </w:r>
      <w:r w:rsidR="1D91D8B5">
        <w:t>s</w:t>
      </w:r>
      <w:r>
        <w:t xml:space="preserve"> instances where interpretations might be influenced by prior expectations. For example, during thematic coding, </w:t>
      </w:r>
      <w:r w:rsidR="1D91D8B5">
        <w:t>the researcher</w:t>
      </w:r>
      <w:r>
        <w:t xml:space="preserve"> explicitly s</w:t>
      </w:r>
      <w:r w:rsidR="1D91D8B5">
        <w:t>earched</w:t>
      </w:r>
      <w:r>
        <w:t xml:space="preserve"> </w:t>
      </w:r>
      <w:r w:rsidR="1D91D8B5">
        <w:lastRenderedPageBreak/>
        <w:t>for</w:t>
      </w:r>
      <w:r>
        <w:t xml:space="preserve"> </w:t>
      </w:r>
      <w:r w:rsidR="1D91D8B5">
        <w:t>any ‘’</w:t>
      </w:r>
      <w:r>
        <w:t>negative</w:t>
      </w:r>
      <w:r w:rsidR="1D91D8B5">
        <w:t>’’</w:t>
      </w:r>
      <w:r>
        <w:t xml:space="preserve"> cases</w:t>
      </w:r>
      <w:r w:rsidR="1D91D8B5">
        <w:t xml:space="preserve"> where </w:t>
      </w:r>
      <w:r>
        <w:t xml:space="preserve">participant accounts </w:t>
      </w:r>
      <w:r w:rsidR="1D91D8B5">
        <w:t xml:space="preserve">might have </w:t>
      </w:r>
      <w:r>
        <w:t>challenged or contradicted the dominant narrative of benefit (Patton, 2015).</w:t>
      </w:r>
    </w:p>
    <w:p w14:paraId="50DAB669" w14:textId="5E629FC2" w:rsidR="00EE6FEC" w:rsidRPr="009A1BF0" w:rsidRDefault="3CCADC81" w:rsidP="00122C7C">
      <w:pPr>
        <w:spacing w:line="360" w:lineRule="auto"/>
        <w:rPr>
          <w:b/>
          <w:bCs/>
        </w:rPr>
      </w:pPr>
      <w:r w:rsidRPr="02A6AE13">
        <w:rPr>
          <w:b/>
          <w:bCs/>
        </w:rPr>
        <w:t>Interpersonal Reflexivity</w:t>
      </w:r>
      <w:r w:rsidR="1D91D8B5" w:rsidRPr="02A6AE13">
        <w:rPr>
          <w:b/>
          <w:bCs/>
        </w:rPr>
        <w:t xml:space="preserve"> - </w:t>
      </w:r>
      <w:r>
        <w:t xml:space="preserve">Interpersonal reflexivity involves reflecting on the dynamics between researcher and participants and how these shape the data produced (Berger, 2015). During interviews, </w:t>
      </w:r>
      <w:r w:rsidR="330E6440">
        <w:t>the researcher</w:t>
      </w:r>
      <w:r>
        <w:t xml:space="preserve"> was conscious of how </w:t>
      </w:r>
      <w:r w:rsidR="330E6440">
        <w:t>their</w:t>
      </w:r>
      <w:r>
        <w:t xml:space="preserve"> identity as both a peer (a fellow working parent) and a researcher might influence disclosure. Some participants may have felt more comfortable sharing struggles due to perceived empathy; others might have been inclined to present themselves in a positive light to avoid perceived judgement.</w:t>
      </w:r>
    </w:p>
    <w:p w14:paraId="1C78BA07" w14:textId="325688CD" w:rsidR="00EE6FEC" w:rsidRPr="007F46B8" w:rsidRDefault="3CCADC81" w:rsidP="00122C7C">
      <w:pPr>
        <w:spacing w:line="360" w:lineRule="auto"/>
      </w:pPr>
      <w:r w:rsidRPr="02A6AE13">
        <w:rPr>
          <w:b/>
          <w:bCs/>
        </w:rPr>
        <w:t>Methodological Reflexivity</w:t>
      </w:r>
      <w:r w:rsidR="22A5D944">
        <w:t xml:space="preserve"> - </w:t>
      </w:r>
      <w:r>
        <w:t>Methodological reflexivity refers to critical consideration of the research design and analytical decisions (Malterud, 2001). One notable design choice was the self-directed intervention format. While this maximised ecological validity, it introduced considerable variability in walking “dose” and environmental conditions, potentially complicating interpretation of dose–response relationships.</w:t>
      </w:r>
    </w:p>
    <w:p w14:paraId="017A7328" w14:textId="27F408BD" w:rsidR="00EE6FEC" w:rsidRPr="006067DB" w:rsidRDefault="3CCADC81" w:rsidP="00122C7C">
      <w:pPr>
        <w:spacing w:line="360" w:lineRule="auto"/>
        <w:rPr>
          <w:b/>
          <w:bCs/>
        </w:rPr>
      </w:pPr>
      <w:r w:rsidRPr="02A6AE13">
        <w:rPr>
          <w:b/>
          <w:bCs/>
        </w:rPr>
        <w:t>Contextual Reflexivity</w:t>
      </w:r>
      <w:r w:rsidR="22A5D944" w:rsidRPr="02A6AE13">
        <w:rPr>
          <w:b/>
          <w:bCs/>
        </w:rPr>
        <w:t xml:space="preserve"> - </w:t>
      </w:r>
      <w:r>
        <w:t>Contextual reflexivity entails recognising how wider socio-cultural and temporal contexts shape the research setting, participant experiences, and data interpretation (Guillemin and Gillam, 2004). The study was conducted in the aftermath of the COVID-19 pandemic, during which many participants had experienced significant disruptions to work, childcare, and leisure routines. These contextual factors likely influenced both baseline levels of wellbeing and engagement with the walking intervention.</w:t>
      </w:r>
    </w:p>
    <w:p w14:paraId="51381F07" w14:textId="7ABDD558" w:rsidR="00EE6FEC" w:rsidRPr="00783C97" w:rsidRDefault="006F707D" w:rsidP="00122C7C">
      <w:pPr>
        <w:spacing w:line="360" w:lineRule="auto"/>
      </w:pPr>
      <w:r>
        <w:t>Some c</w:t>
      </w:r>
      <w:r w:rsidR="3CCADC81">
        <w:t xml:space="preserve">ross-cultural considerations </w:t>
      </w:r>
      <w:r>
        <w:t xml:space="preserve">may </w:t>
      </w:r>
      <w:r w:rsidR="3CCADC81">
        <w:t xml:space="preserve">also </w:t>
      </w:r>
      <w:r>
        <w:t xml:space="preserve">have </w:t>
      </w:r>
      <w:r w:rsidR="3CCADC81">
        <w:t>played a role. Participants from different countries may have varied in their cultural norms around nature engagement and work–life balance (Neuvonen et al., 2018; Park et al., 2010). While the sample size precluded formal cross-cultural analysis, awareness of these differences informed the interpretation of both quantitative and qualitative findings, avoiding overly universal claims.</w:t>
      </w:r>
    </w:p>
    <w:p w14:paraId="710B2D5A" w14:textId="77777777" w:rsidR="00EE6FEC" w:rsidRPr="001C0B5B" w:rsidRDefault="3CCADC81" w:rsidP="00122C7C">
      <w:pPr>
        <w:spacing w:line="360" w:lineRule="auto"/>
        <w:rPr>
          <w:b/>
          <w:bCs/>
        </w:rPr>
      </w:pPr>
      <w:r w:rsidRPr="02A6AE13">
        <w:rPr>
          <w:b/>
          <w:bCs/>
        </w:rPr>
        <w:t>Ethical Considerations</w:t>
      </w:r>
    </w:p>
    <w:p w14:paraId="54D7BF6B" w14:textId="77777777" w:rsidR="00EE6FEC" w:rsidRPr="006A571B" w:rsidRDefault="3CCADC81" w:rsidP="00122C7C">
      <w:pPr>
        <w:spacing w:line="360" w:lineRule="auto"/>
      </w:pPr>
      <w:r>
        <w:lastRenderedPageBreak/>
        <w:t>Ethical approval was obtained from the University of Wales Trinity Saint David Ethics Committee. All participants provided written informed consent before participation.</w:t>
      </w:r>
    </w:p>
    <w:p w14:paraId="73D75119" w14:textId="77777777" w:rsidR="00EE6FEC" w:rsidRPr="006A571B" w:rsidRDefault="3CCADC81" w:rsidP="00122C7C">
      <w:pPr>
        <w:spacing w:line="360" w:lineRule="auto"/>
      </w:pPr>
      <w:r>
        <w:t>To preserve anonymity, participant names were replaced with unique IDs, and only date of birth (not names) was recorded in datasets. Interview transcripts and survey data were stored securely, accessible only to the researcher.</w:t>
      </w:r>
    </w:p>
    <w:p w14:paraId="264F1522" w14:textId="77777777" w:rsidR="00EE6FEC" w:rsidRDefault="3CCADC81" w:rsidP="00122C7C">
      <w:pPr>
        <w:spacing w:line="360" w:lineRule="auto"/>
        <w:rPr>
          <w:b/>
          <w:bCs/>
        </w:rPr>
      </w:pPr>
      <w:r>
        <w:t>The modification of the BDI-II to exclude the suicidal ideation item was a precautionary ethical measure, in line with guidance from the British Psychological Society, ensuring participants were not exposed to potentially distressing material without clinical support available (British Psychological Society, 2014).  Finally, all data was handled in line with General Data Protection Regulation (GDPR) and the UK Data Protection Act 2018.</w:t>
      </w:r>
      <w:r w:rsidRPr="02A6AE13">
        <w:rPr>
          <w:b/>
          <w:bCs/>
        </w:rPr>
        <w:t xml:space="preserve"> </w:t>
      </w:r>
    </w:p>
    <w:p w14:paraId="42EA864E" w14:textId="77777777" w:rsidR="00EE6FEC" w:rsidRPr="007F46B8" w:rsidRDefault="3CCADC81" w:rsidP="00122C7C">
      <w:pPr>
        <w:spacing w:line="360" w:lineRule="auto"/>
        <w:rPr>
          <w:b/>
          <w:bCs/>
        </w:rPr>
      </w:pPr>
      <w:r w:rsidRPr="02A6AE13">
        <w:rPr>
          <w:b/>
          <w:bCs/>
        </w:rPr>
        <w:t>Right to Withdraw</w:t>
      </w:r>
    </w:p>
    <w:p w14:paraId="3A2F26B8" w14:textId="77777777" w:rsidR="00EE6FEC" w:rsidRPr="007F46B8" w:rsidRDefault="3CCADC81" w:rsidP="00122C7C">
      <w:pPr>
        <w:spacing w:line="360" w:lineRule="auto"/>
      </w:pPr>
      <w:r>
        <w:t>Participants were informed that they could withdraw from the study at any point without penalty, and without the need to provide a reason. In the case of withdrawal, any identifiable data collected up to that point were to be securely deleted. This right remained active until data analysis commenced, in accordance with ethical norms for qualitative and quantitative research (Israel and Hay, 2006).</w:t>
      </w:r>
    </w:p>
    <w:p w14:paraId="3DED2627" w14:textId="77777777" w:rsidR="00EE6FEC" w:rsidRPr="007F46B8" w:rsidRDefault="3CCADC81" w:rsidP="00122C7C">
      <w:pPr>
        <w:spacing w:line="360" w:lineRule="auto"/>
        <w:rPr>
          <w:b/>
          <w:bCs/>
        </w:rPr>
      </w:pPr>
      <w:r w:rsidRPr="02A6AE13">
        <w:rPr>
          <w:b/>
          <w:bCs/>
        </w:rPr>
        <w:t>Minimising Harm and Managing Distress</w:t>
      </w:r>
    </w:p>
    <w:p w14:paraId="4DDD80AE" w14:textId="77777777" w:rsidR="00EE6FEC" w:rsidRPr="006A571B" w:rsidRDefault="3CCADC81" w:rsidP="00122C7C">
      <w:pPr>
        <w:spacing w:line="360" w:lineRule="auto"/>
      </w:pPr>
      <w:r>
        <w:t>Given the sensitive nature of mental wellbeing assessment, precautions were taken to minimise participant distress. Specifically, the suicidal ideation item from the BDI-II was removed, as the study did not include provision for immediate clinical intervention. This decision was informed by the BPS (2014) guidance on safeguarding participants in non-clinical contexts.</w:t>
      </w:r>
    </w:p>
    <w:p w14:paraId="459E7D3C" w14:textId="77777777" w:rsidR="00EE6FEC" w:rsidRPr="006A571B" w:rsidRDefault="3CCADC81" w:rsidP="00122C7C">
      <w:pPr>
        <w:spacing w:line="360" w:lineRule="auto"/>
      </w:pPr>
      <w:r>
        <w:t>Participants were also provided with links to mental health resources (e.g., NHS Every Mind Matters, Samaritans) at the end of each survey and in the PIS. This ensured that, should the research content prompt reflection or discomfort, participants could access appropriate support (Barnett et al., 2007).</w:t>
      </w:r>
    </w:p>
    <w:p w14:paraId="6C374175" w14:textId="77777777" w:rsidR="00EE6FEC" w:rsidRPr="007F46B8" w:rsidRDefault="3CCADC81" w:rsidP="00122C7C">
      <w:pPr>
        <w:spacing w:line="360" w:lineRule="auto"/>
        <w:rPr>
          <w:b/>
          <w:bCs/>
        </w:rPr>
      </w:pPr>
      <w:r w:rsidRPr="02A6AE13">
        <w:rPr>
          <w:b/>
          <w:bCs/>
        </w:rPr>
        <w:t>Confidentiality and Anonymity</w:t>
      </w:r>
    </w:p>
    <w:p w14:paraId="1ED71D77" w14:textId="77777777" w:rsidR="00EE6FEC" w:rsidRPr="006A571B" w:rsidRDefault="3CCADC81" w:rsidP="00122C7C">
      <w:pPr>
        <w:spacing w:line="360" w:lineRule="auto"/>
      </w:pPr>
      <w:r>
        <w:lastRenderedPageBreak/>
        <w:t>Participant anonymity was maintained by assigning each individual a unique numeric ID code. In survey datasets, only non-identifiable demographic variables (e.g., age, gender, country) were retained. In interview transcripts, all names and location identifiers were redacted.</w:t>
      </w:r>
    </w:p>
    <w:p w14:paraId="3D9230BA" w14:textId="5CDD3F4A" w:rsidR="00EE6FEC" w:rsidRPr="006A571B" w:rsidRDefault="3CCADC81" w:rsidP="00122C7C">
      <w:pPr>
        <w:spacing w:line="360" w:lineRule="auto"/>
      </w:pPr>
      <w:r>
        <w:t xml:space="preserve">Data were stored on encrypted, password-protected devices, with backups kept in secure university cloud storage. Access was limited to the principal researcher. </w:t>
      </w:r>
    </w:p>
    <w:p w14:paraId="2C6428E3" w14:textId="77777777" w:rsidR="00EE6FEC" w:rsidRPr="007F46B8" w:rsidRDefault="3CCADC81" w:rsidP="00122C7C">
      <w:pPr>
        <w:spacing w:line="360" w:lineRule="auto"/>
        <w:rPr>
          <w:b/>
          <w:bCs/>
        </w:rPr>
      </w:pPr>
      <w:r w:rsidRPr="02A6AE13">
        <w:rPr>
          <w:b/>
          <w:bCs/>
        </w:rPr>
        <w:t>Data Protection and GDPR Compliance</w:t>
      </w:r>
    </w:p>
    <w:p w14:paraId="5F013F8E" w14:textId="4B37CFAD" w:rsidR="00EE6FEC" w:rsidRPr="007F46B8" w:rsidRDefault="3CCADC81" w:rsidP="00122C7C">
      <w:pPr>
        <w:spacing w:line="360" w:lineRule="auto"/>
      </w:pPr>
      <w:r>
        <w:t>The study complied fully with GDPR (Regulation EU 2016/679), which governs the collection, storage, and processing of personal data within the European Union and the UK.</w:t>
      </w:r>
      <w:r w:rsidR="007F2B82">
        <w:t xml:space="preserve"> </w:t>
      </w:r>
      <w:r>
        <w:t>Participants were also informed of their data subject rights under GDPR, including the right to access their data, request correction, and request deletion.</w:t>
      </w:r>
    </w:p>
    <w:p w14:paraId="2C19FD7D" w14:textId="77777777" w:rsidR="00EE6FEC" w:rsidRPr="001C0B5B" w:rsidRDefault="3CCADC81" w:rsidP="00122C7C">
      <w:pPr>
        <w:spacing w:line="360" w:lineRule="auto"/>
        <w:rPr>
          <w:b/>
          <w:bCs/>
        </w:rPr>
      </w:pPr>
      <w:r w:rsidRPr="02A6AE13">
        <w:rPr>
          <w:b/>
          <w:bCs/>
        </w:rPr>
        <w:t>Limitations of Methodology</w:t>
      </w:r>
    </w:p>
    <w:p w14:paraId="7C1E7F12" w14:textId="77777777" w:rsidR="00EE6FEC" w:rsidRPr="001C0B5B" w:rsidRDefault="3CCADC81" w:rsidP="00122C7C">
      <w:pPr>
        <w:spacing w:line="360" w:lineRule="auto"/>
      </w:pPr>
      <w:r>
        <w:t>Several methodological limitations should be acknowledged:</w:t>
      </w:r>
    </w:p>
    <w:p w14:paraId="38FDCD80" w14:textId="77777777" w:rsidR="00EE6FEC" w:rsidRPr="001C0B5B" w:rsidRDefault="3CCADC81" w:rsidP="00122C7C">
      <w:pPr>
        <w:numPr>
          <w:ilvl w:val="0"/>
          <w:numId w:val="13"/>
        </w:numPr>
        <w:spacing w:line="360" w:lineRule="auto"/>
      </w:pPr>
      <w:r w:rsidRPr="02A6AE13">
        <w:rPr>
          <w:b/>
          <w:bCs/>
        </w:rPr>
        <w:t>Attrition</w:t>
      </w:r>
      <w:r>
        <w:t xml:space="preserve"> — Less than half of participants who began Survey 1 completed Survey 2, reducing statistical power and impact.</w:t>
      </w:r>
    </w:p>
    <w:p w14:paraId="7BC179FE" w14:textId="77777777" w:rsidR="00EE6FEC" w:rsidRPr="001C0B5B" w:rsidRDefault="3CCADC81" w:rsidP="00122C7C">
      <w:pPr>
        <w:numPr>
          <w:ilvl w:val="0"/>
          <w:numId w:val="13"/>
        </w:numPr>
        <w:spacing w:line="360" w:lineRule="auto"/>
      </w:pPr>
      <w:r w:rsidRPr="02A6AE13">
        <w:rPr>
          <w:b/>
          <w:bCs/>
        </w:rPr>
        <w:t>Self-selection bias</w:t>
      </w:r>
      <w:r>
        <w:t xml:space="preserve"> — Recruitment via the researcher’s professional network (mainly fitness and outdoor industries) may have attracted individuals already favourably disposed toward physical activity and outdoor environments.</w:t>
      </w:r>
    </w:p>
    <w:p w14:paraId="487204F3" w14:textId="77777777" w:rsidR="00EE6FEC" w:rsidRPr="001C0B5B" w:rsidRDefault="3CCADC81" w:rsidP="00122C7C">
      <w:pPr>
        <w:numPr>
          <w:ilvl w:val="0"/>
          <w:numId w:val="13"/>
        </w:numPr>
        <w:spacing w:line="360" w:lineRule="auto"/>
      </w:pPr>
      <w:r w:rsidRPr="02A6AE13">
        <w:rPr>
          <w:b/>
          <w:bCs/>
        </w:rPr>
        <w:t>Socioeconomic and geographical bias</w:t>
      </w:r>
      <w:r>
        <w:t xml:space="preserve"> — Most participants were of higher socioeconomic status and lived in suburban or rural locations with easier access to nature, limiting generalisability to urban or lower-income populations.</w:t>
      </w:r>
    </w:p>
    <w:p w14:paraId="5934CBE5" w14:textId="77777777" w:rsidR="00EE6FEC" w:rsidRPr="001C0B5B" w:rsidRDefault="3CCADC81" w:rsidP="00122C7C">
      <w:pPr>
        <w:numPr>
          <w:ilvl w:val="0"/>
          <w:numId w:val="13"/>
        </w:numPr>
        <w:spacing w:line="360" w:lineRule="auto"/>
      </w:pPr>
      <w:r w:rsidRPr="02A6AE13">
        <w:rPr>
          <w:b/>
          <w:bCs/>
        </w:rPr>
        <w:t>Cultural representation</w:t>
      </w:r>
      <w:r>
        <w:t xml:space="preserve"> — Although international participants were included, numbers were too small to enable meaningful cross-cultural comparison.</w:t>
      </w:r>
    </w:p>
    <w:p w14:paraId="597F066D" w14:textId="77777777" w:rsidR="00EE6FEC" w:rsidRDefault="3CCADC81" w:rsidP="00122C7C">
      <w:pPr>
        <w:spacing w:line="360" w:lineRule="auto"/>
      </w:pPr>
      <w:r>
        <w:t>Future research could address these issues by employing random sampling, recruiting from a broader range of socioeconomic backgrounds, and controlling for baseline attitudes towards nature and exercise.</w:t>
      </w:r>
    </w:p>
    <w:p w14:paraId="6452BFA0" w14:textId="77777777" w:rsidR="00724213" w:rsidRDefault="00EE6FEC" w:rsidP="00122C7C">
      <w:pPr>
        <w:spacing w:line="360" w:lineRule="auto"/>
        <w:rPr>
          <w:b/>
          <w:bCs/>
        </w:rPr>
      </w:pPr>
      <w:r>
        <w:br w:type="page"/>
      </w:r>
      <w:r w:rsidR="00B53622">
        <w:rPr>
          <w:b/>
          <w:bCs/>
        </w:rPr>
        <w:lastRenderedPageBreak/>
        <w:t>RESULTS</w:t>
      </w:r>
    </w:p>
    <w:p w14:paraId="177ABE08" w14:textId="6626DFB5" w:rsidR="00730F2D" w:rsidRDefault="099CC0F3" w:rsidP="00730F2D">
      <w:pPr>
        <w:spacing w:line="360" w:lineRule="auto"/>
        <w:rPr>
          <w:rFonts w:asciiTheme="majorHAnsi" w:eastAsia="Aptos" w:hAnsiTheme="majorHAnsi" w:cs="Aptos"/>
        </w:rPr>
      </w:pPr>
      <w:r w:rsidRPr="2357DC9D">
        <w:rPr>
          <w:rFonts w:ascii="Aptos" w:eastAsia="Aptos" w:hAnsi="Aptos" w:cs="Aptos"/>
        </w:rPr>
        <w:t xml:space="preserve">Thirty-one full-time working parents provided complete pre–post data (N = 31). Mean age was 45.58 (SD = 5.95). The mean interval between baseline and follow-up was </w:t>
      </w:r>
      <w:r w:rsidRPr="004003E1">
        <w:rPr>
          <w:rFonts w:asciiTheme="majorHAnsi" w:eastAsia="Aptos" w:hAnsiTheme="majorHAnsi" w:cs="Aptos"/>
        </w:rPr>
        <w:t>117.77 days (SD = 24.70; range 69–152)</w:t>
      </w:r>
      <w:r w:rsidR="00730F2D">
        <w:rPr>
          <w:rFonts w:asciiTheme="majorHAnsi" w:eastAsia="Aptos" w:hAnsiTheme="majorHAnsi" w:cs="Aptos"/>
        </w:rPr>
        <w:t xml:space="preserve"> </w:t>
      </w:r>
    </w:p>
    <w:tbl>
      <w:tblPr>
        <w:tblW w:w="9356" w:type="dxa"/>
        <w:tblInd w:w="10" w:type="dxa"/>
        <w:tblLayout w:type="fixed"/>
        <w:tblCellMar>
          <w:left w:w="10" w:type="dxa"/>
          <w:right w:w="10" w:type="dxa"/>
        </w:tblCellMar>
        <w:tblLook w:val="0000" w:firstRow="0" w:lastRow="0" w:firstColumn="0" w:lastColumn="0" w:noHBand="0" w:noVBand="0"/>
      </w:tblPr>
      <w:tblGrid>
        <w:gridCol w:w="1802"/>
        <w:gridCol w:w="1156"/>
        <w:gridCol w:w="1156"/>
        <w:gridCol w:w="1156"/>
        <w:gridCol w:w="1156"/>
        <w:gridCol w:w="1513"/>
        <w:gridCol w:w="1417"/>
      </w:tblGrid>
      <w:tr w:rsidR="00730F2D" w:rsidRPr="004003E1" w14:paraId="5DE6E213" w14:textId="77777777" w:rsidTr="00804E4C">
        <w:tblPrEx>
          <w:tblCellMar>
            <w:top w:w="0" w:type="dxa"/>
            <w:bottom w:w="0" w:type="dxa"/>
          </w:tblCellMar>
        </w:tblPrEx>
        <w:tc>
          <w:tcPr>
            <w:tcW w:w="9356" w:type="dxa"/>
            <w:gridSpan w:val="7"/>
            <w:shd w:val="clear" w:color="auto" w:fill="FFFFFF"/>
            <w:vAlign w:val="center"/>
          </w:tcPr>
          <w:p w14:paraId="137E4344" w14:textId="77777777" w:rsidR="00730F2D" w:rsidRPr="004003E1" w:rsidRDefault="00730F2D" w:rsidP="00730F2D">
            <w:pPr>
              <w:spacing w:before="5" w:after="30"/>
              <w:ind w:right="40"/>
              <w:rPr>
                <w:rFonts w:asciiTheme="majorHAnsi" w:eastAsia="Arial" w:hAnsiTheme="majorHAnsi" w:cs="Arial"/>
                <w:b/>
                <w:color w:val="010205"/>
              </w:rPr>
            </w:pPr>
          </w:p>
          <w:p w14:paraId="6DE74FA2" w14:textId="77777777" w:rsidR="00730F2D" w:rsidRPr="004003E1" w:rsidRDefault="00730F2D" w:rsidP="00804E4C">
            <w:pPr>
              <w:spacing w:before="5" w:after="30"/>
              <w:ind w:left="30" w:right="40"/>
              <w:rPr>
                <w:rFonts w:asciiTheme="majorHAnsi" w:hAnsiTheme="majorHAnsi"/>
              </w:rPr>
            </w:pPr>
            <w:r>
              <w:rPr>
                <w:rFonts w:asciiTheme="majorHAnsi" w:eastAsia="Arial" w:hAnsiTheme="majorHAnsi" w:cs="Arial"/>
                <w:b/>
                <w:color w:val="010205"/>
              </w:rPr>
              <w:t xml:space="preserve">Table 1 - </w:t>
            </w:r>
            <w:r w:rsidRPr="004003E1">
              <w:rPr>
                <w:rFonts w:asciiTheme="majorHAnsi" w:eastAsia="Arial" w:hAnsiTheme="majorHAnsi" w:cs="Arial"/>
                <w:b/>
                <w:color w:val="010205"/>
              </w:rPr>
              <w:t>Descriptive Statistics</w:t>
            </w:r>
          </w:p>
        </w:tc>
      </w:tr>
      <w:tr w:rsidR="00730F2D" w:rsidRPr="004003E1" w14:paraId="67E4CAA8" w14:textId="77777777" w:rsidTr="00804E4C">
        <w:tblPrEx>
          <w:tblCellMar>
            <w:top w:w="0" w:type="dxa"/>
            <w:bottom w:w="0" w:type="dxa"/>
          </w:tblCellMar>
        </w:tblPrEx>
        <w:tc>
          <w:tcPr>
            <w:tcW w:w="1802" w:type="dxa"/>
            <w:vMerge w:val="restart"/>
            <w:tcBorders>
              <w:top w:val="none" w:sz="1" w:space="0" w:color="152935"/>
              <w:left w:val="none" w:sz="1" w:space="0" w:color="152935"/>
              <w:right w:val="none" w:sz="1" w:space="0" w:color="152935"/>
            </w:tcBorders>
            <w:shd w:val="clear" w:color="auto" w:fill="FFFFFF"/>
            <w:vAlign w:val="bottom"/>
          </w:tcPr>
          <w:p w14:paraId="7D7BE637" w14:textId="77777777" w:rsidR="00730F2D" w:rsidRPr="004003E1" w:rsidRDefault="00730F2D" w:rsidP="00804E4C">
            <w:pPr>
              <w:spacing w:before="15" w:after="5"/>
              <w:ind w:left="30" w:right="40"/>
              <w:rPr>
                <w:rFonts w:asciiTheme="majorHAnsi" w:hAnsiTheme="majorHAnsi"/>
              </w:rPr>
            </w:pPr>
          </w:p>
        </w:tc>
        <w:tc>
          <w:tcPr>
            <w:tcW w:w="1156" w:type="dxa"/>
            <w:tcBorders>
              <w:top w:val="none" w:sz="1" w:space="0" w:color="152935"/>
              <w:left w:val="none" w:sz="1" w:space="0" w:color="152935"/>
              <w:bottom w:val="none" w:sz="1" w:space="0" w:color="AEAEAE"/>
              <w:right w:val="none" w:sz="1" w:space="0" w:color="AEAEAE"/>
            </w:tcBorders>
            <w:shd w:val="clear" w:color="auto" w:fill="FFFFFF"/>
            <w:vAlign w:val="bottom"/>
          </w:tcPr>
          <w:p w14:paraId="153BBABA" w14:textId="77777777" w:rsidR="00730F2D" w:rsidRPr="004003E1" w:rsidRDefault="00730F2D" w:rsidP="00804E4C">
            <w:pPr>
              <w:spacing w:before="10" w:after="10"/>
              <w:ind w:left="30" w:right="40"/>
              <w:jc w:val="center"/>
              <w:rPr>
                <w:rFonts w:asciiTheme="majorHAnsi" w:hAnsiTheme="majorHAnsi"/>
              </w:rPr>
            </w:pPr>
            <w:r w:rsidRPr="004003E1">
              <w:rPr>
                <w:rFonts w:asciiTheme="majorHAnsi" w:eastAsia="Arial" w:hAnsiTheme="majorHAnsi" w:cs="Arial"/>
                <w:color w:val="264A60"/>
              </w:rPr>
              <w:t>N</w:t>
            </w:r>
          </w:p>
        </w:tc>
        <w:tc>
          <w:tcPr>
            <w:tcW w:w="1156" w:type="dxa"/>
            <w:tcBorders>
              <w:top w:val="none" w:sz="1" w:space="0" w:color="152935"/>
              <w:left w:val="single" w:sz="1" w:space="0" w:color="E0E0E0"/>
              <w:bottom w:val="none" w:sz="1" w:space="0" w:color="AEAEAE"/>
              <w:right w:val="none" w:sz="1" w:space="0" w:color="AEAEAE"/>
            </w:tcBorders>
            <w:shd w:val="clear" w:color="auto" w:fill="FFFFFF"/>
            <w:vAlign w:val="bottom"/>
          </w:tcPr>
          <w:p w14:paraId="2F773708" w14:textId="77777777" w:rsidR="00730F2D" w:rsidRPr="004003E1" w:rsidRDefault="00730F2D" w:rsidP="00804E4C">
            <w:pPr>
              <w:spacing w:before="10" w:after="10"/>
              <w:ind w:left="30" w:right="40"/>
              <w:jc w:val="center"/>
              <w:rPr>
                <w:rFonts w:asciiTheme="majorHAnsi" w:hAnsiTheme="majorHAnsi"/>
              </w:rPr>
            </w:pPr>
            <w:r w:rsidRPr="004003E1">
              <w:rPr>
                <w:rFonts w:asciiTheme="majorHAnsi" w:eastAsia="Arial" w:hAnsiTheme="majorHAnsi" w:cs="Arial"/>
                <w:color w:val="264A60"/>
              </w:rPr>
              <w:t>Minimum</w:t>
            </w:r>
          </w:p>
        </w:tc>
        <w:tc>
          <w:tcPr>
            <w:tcW w:w="1156" w:type="dxa"/>
            <w:tcBorders>
              <w:top w:val="none" w:sz="1" w:space="0" w:color="152935"/>
              <w:left w:val="single" w:sz="1" w:space="0" w:color="E0E0E0"/>
              <w:bottom w:val="none" w:sz="1" w:space="0" w:color="AEAEAE"/>
              <w:right w:val="none" w:sz="1" w:space="0" w:color="AEAEAE"/>
            </w:tcBorders>
            <w:shd w:val="clear" w:color="auto" w:fill="FFFFFF"/>
            <w:vAlign w:val="bottom"/>
          </w:tcPr>
          <w:p w14:paraId="0B86EFFF" w14:textId="77777777" w:rsidR="00730F2D" w:rsidRPr="004003E1" w:rsidRDefault="00730F2D" w:rsidP="00804E4C">
            <w:pPr>
              <w:spacing w:before="10" w:after="10"/>
              <w:ind w:left="30" w:right="40"/>
              <w:jc w:val="center"/>
              <w:rPr>
                <w:rFonts w:asciiTheme="majorHAnsi" w:hAnsiTheme="majorHAnsi"/>
              </w:rPr>
            </w:pPr>
            <w:r w:rsidRPr="004003E1">
              <w:rPr>
                <w:rFonts w:asciiTheme="majorHAnsi" w:eastAsia="Arial" w:hAnsiTheme="majorHAnsi" w:cs="Arial"/>
                <w:color w:val="264A60"/>
              </w:rPr>
              <w:t>Maximum</w:t>
            </w:r>
          </w:p>
        </w:tc>
        <w:tc>
          <w:tcPr>
            <w:tcW w:w="1156" w:type="dxa"/>
            <w:tcBorders>
              <w:top w:val="none" w:sz="1" w:space="0" w:color="152935"/>
              <w:left w:val="single" w:sz="1" w:space="0" w:color="E0E0E0"/>
              <w:bottom w:val="none" w:sz="1" w:space="0" w:color="AEAEAE"/>
              <w:right w:val="none" w:sz="1" w:space="0" w:color="AEAEAE"/>
            </w:tcBorders>
            <w:shd w:val="clear" w:color="auto" w:fill="FFFFFF"/>
            <w:vAlign w:val="bottom"/>
          </w:tcPr>
          <w:p w14:paraId="52B1C50E" w14:textId="77777777" w:rsidR="00730F2D" w:rsidRPr="004003E1" w:rsidRDefault="00730F2D" w:rsidP="00804E4C">
            <w:pPr>
              <w:spacing w:before="10" w:after="10"/>
              <w:ind w:left="30" w:right="40"/>
              <w:jc w:val="center"/>
              <w:rPr>
                <w:rFonts w:asciiTheme="majorHAnsi" w:hAnsiTheme="majorHAnsi"/>
              </w:rPr>
            </w:pPr>
            <w:r w:rsidRPr="004003E1">
              <w:rPr>
                <w:rFonts w:asciiTheme="majorHAnsi" w:eastAsia="Arial" w:hAnsiTheme="majorHAnsi" w:cs="Arial"/>
                <w:color w:val="264A60"/>
              </w:rPr>
              <w:t>Mean</w:t>
            </w:r>
          </w:p>
        </w:tc>
        <w:tc>
          <w:tcPr>
            <w:tcW w:w="1513" w:type="dxa"/>
            <w:tcBorders>
              <w:top w:val="none" w:sz="1" w:space="0" w:color="152935"/>
              <w:left w:val="single" w:sz="1" w:space="0" w:color="E0E0E0"/>
              <w:bottom w:val="none" w:sz="1" w:space="0" w:color="AEAEAE"/>
              <w:right w:val="none" w:sz="1" w:space="0" w:color="AEAEAE"/>
            </w:tcBorders>
            <w:shd w:val="clear" w:color="auto" w:fill="FFFFFF"/>
            <w:vAlign w:val="bottom"/>
          </w:tcPr>
          <w:p w14:paraId="08E18581" w14:textId="77777777" w:rsidR="00730F2D" w:rsidRPr="004003E1" w:rsidRDefault="00730F2D" w:rsidP="00804E4C">
            <w:pPr>
              <w:spacing w:before="10" w:after="10"/>
              <w:ind w:left="30" w:right="40"/>
              <w:jc w:val="center"/>
              <w:rPr>
                <w:rFonts w:asciiTheme="majorHAnsi" w:hAnsiTheme="majorHAnsi"/>
              </w:rPr>
            </w:pPr>
            <w:r w:rsidRPr="004003E1">
              <w:rPr>
                <w:rFonts w:asciiTheme="majorHAnsi" w:eastAsia="Arial" w:hAnsiTheme="majorHAnsi" w:cs="Arial"/>
                <w:color w:val="264A60"/>
              </w:rPr>
              <w:t>Std. Deviation</w:t>
            </w:r>
          </w:p>
        </w:tc>
        <w:tc>
          <w:tcPr>
            <w:tcW w:w="1417" w:type="dxa"/>
            <w:tcBorders>
              <w:top w:val="none" w:sz="1" w:space="0" w:color="152935"/>
              <w:left w:val="single" w:sz="1" w:space="0" w:color="E0E0E0"/>
              <w:bottom w:val="none" w:sz="1" w:space="0" w:color="AEAEAE"/>
              <w:right w:val="none" w:sz="1" w:space="0" w:color="152935"/>
            </w:tcBorders>
            <w:shd w:val="clear" w:color="auto" w:fill="FFFFFF"/>
            <w:vAlign w:val="bottom"/>
          </w:tcPr>
          <w:p w14:paraId="4ECB4A0E" w14:textId="77777777" w:rsidR="00730F2D" w:rsidRPr="004003E1" w:rsidRDefault="00730F2D" w:rsidP="00804E4C">
            <w:pPr>
              <w:spacing w:before="10" w:after="10"/>
              <w:ind w:left="30" w:right="40"/>
              <w:jc w:val="center"/>
              <w:rPr>
                <w:rFonts w:asciiTheme="majorHAnsi" w:hAnsiTheme="majorHAnsi"/>
              </w:rPr>
            </w:pPr>
            <w:r w:rsidRPr="004003E1">
              <w:rPr>
                <w:rFonts w:asciiTheme="majorHAnsi" w:eastAsia="Arial" w:hAnsiTheme="majorHAnsi" w:cs="Arial"/>
                <w:color w:val="264A60"/>
              </w:rPr>
              <w:t>Skewness</w:t>
            </w:r>
          </w:p>
        </w:tc>
      </w:tr>
      <w:tr w:rsidR="00730F2D" w:rsidRPr="004003E1" w14:paraId="0EE34B95" w14:textId="77777777" w:rsidTr="00804E4C">
        <w:tblPrEx>
          <w:tblCellMar>
            <w:top w:w="0" w:type="dxa"/>
            <w:bottom w:w="0" w:type="dxa"/>
          </w:tblCellMar>
        </w:tblPrEx>
        <w:tc>
          <w:tcPr>
            <w:tcW w:w="1802" w:type="dxa"/>
            <w:vMerge/>
            <w:tcBorders>
              <w:top w:val="none" w:sz="1" w:space="0" w:color="152935"/>
              <w:left w:val="none" w:sz="1" w:space="0" w:color="152935"/>
              <w:right w:val="none" w:sz="1" w:space="0" w:color="152935"/>
            </w:tcBorders>
          </w:tcPr>
          <w:p w14:paraId="4F3F8B7D" w14:textId="77777777" w:rsidR="00730F2D" w:rsidRPr="004003E1" w:rsidRDefault="00730F2D" w:rsidP="00804E4C">
            <w:pPr>
              <w:rPr>
                <w:rFonts w:asciiTheme="majorHAnsi" w:hAnsiTheme="majorHAnsi"/>
              </w:rPr>
            </w:pPr>
          </w:p>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53D708EF" w14:textId="77777777" w:rsidR="00730F2D" w:rsidRPr="004003E1" w:rsidRDefault="00730F2D" w:rsidP="00804E4C">
            <w:pPr>
              <w:spacing w:before="10" w:after="10"/>
              <w:ind w:left="30" w:right="40"/>
              <w:jc w:val="center"/>
              <w:rPr>
                <w:rFonts w:asciiTheme="majorHAnsi" w:hAnsiTheme="majorHAnsi"/>
              </w:rPr>
            </w:pPr>
            <w:r w:rsidRPr="004003E1">
              <w:rPr>
                <w:rFonts w:asciiTheme="majorHAnsi" w:eastAsia="Arial" w:hAnsiTheme="majorHAnsi" w:cs="Arial"/>
                <w:color w:val="264A60"/>
              </w:rPr>
              <w:t>Statistic</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7B7EA072" w14:textId="77777777" w:rsidR="00730F2D" w:rsidRPr="004003E1" w:rsidRDefault="00730F2D" w:rsidP="00804E4C">
            <w:pPr>
              <w:spacing w:before="10" w:after="10"/>
              <w:ind w:left="30" w:right="40"/>
              <w:jc w:val="center"/>
              <w:rPr>
                <w:rFonts w:asciiTheme="majorHAnsi" w:hAnsiTheme="majorHAnsi"/>
              </w:rPr>
            </w:pPr>
            <w:r w:rsidRPr="004003E1">
              <w:rPr>
                <w:rFonts w:asciiTheme="majorHAnsi" w:eastAsia="Arial" w:hAnsiTheme="majorHAnsi" w:cs="Arial"/>
                <w:color w:val="264A60"/>
              </w:rPr>
              <w:t>Statistic</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43DE3DA2" w14:textId="77777777" w:rsidR="00730F2D" w:rsidRPr="004003E1" w:rsidRDefault="00730F2D" w:rsidP="00804E4C">
            <w:pPr>
              <w:spacing w:before="10" w:after="10"/>
              <w:ind w:left="30" w:right="40"/>
              <w:jc w:val="center"/>
              <w:rPr>
                <w:rFonts w:asciiTheme="majorHAnsi" w:hAnsiTheme="majorHAnsi"/>
              </w:rPr>
            </w:pPr>
            <w:r w:rsidRPr="004003E1">
              <w:rPr>
                <w:rFonts w:asciiTheme="majorHAnsi" w:eastAsia="Arial" w:hAnsiTheme="majorHAnsi" w:cs="Arial"/>
                <w:color w:val="264A60"/>
              </w:rPr>
              <w:t>Statistic</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3FEF5262" w14:textId="77777777" w:rsidR="00730F2D" w:rsidRPr="004003E1" w:rsidRDefault="00730F2D" w:rsidP="00804E4C">
            <w:pPr>
              <w:spacing w:before="10" w:after="10"/>
              <w:ind w:left="30" w:right="40"/>
              <w:jc w:val="center"/>
              <w:rPr>
                <w:rFonts w:asciiTheme="majorHAnsi" w:hAnsiTheme="majorHAnsi"/>
              </w:rPr>
            </w:pPr>
            <w:r w:rsidRPr="004003E1">
              <w:rPr>
                <w:rFonts w:asciiTheme="majorHAnsi" w:eastAsia="Arial" w:hAnsiTheme="majorHAnsi" w:cs="Arial"/>
                <w:color w:val="264A60"/>
              </w:rPr>
              <w:t>Statistic</w:t>
            </w:r>
          </w:p>
        </w:tc>
        <w:tc>
          <w:tcPr>
            <w:tcW w:w="1513" w:type="dxa"/>
            <w:tcBorders>
              <w:top w:val="none" w:sz="1" w:space="0" w:color="AEAEAE"/>
              <w:left w:val="single" w:sz="1" w:space="0" w:color="E0E0E0"/>
              <w:bottom w:val="single" w:sz="1" w:space="0" w:color="152935"/>
              <w:right w:val="none" w:sz="1" w:space="0" w:color="AEAEAE"/>
            </w:tcBorders>
            <w:shd w:val="clear" w:color="auto" w:fill="FFFFFF"/>
            <w:vAlign w:val="bottom"/>
          </w:tcPr>
          <w:p w14:paraId="5B384DF8" w14:textId="77777777" w:rsidR="00730F2D" w:rsidRPr="004003E1" w:rsidRDefault="00730F2D" w:rsidP="00804E4C">
            <w:pPr>
              <w:spacing w:before="10" w:after="10"/>
              <w:ind w:left="30" w:right="40"/>
              <w:jc w:val="center"/>
              <w:rPr>
                <w:rFonts w:asciiTheme="majorHAnsi" w:hAnsiTheme="majorHAnsi"/>
              </w:rPr>
            </w:pPr>
            <w:r w:rsidRPr="004003E1">
              <w:rPr>
                <w:rFonts w:asciiTheme="majorHAnsi" w:eastAsia="Arial" w:hAnsiTheme="majorHAnsi" w:cs="Arial"/>
                <w:color w:val="264A60"/>
              </w:rPr>
              <w:t>Statistic</w:t>
            </w:r>
          </w:p>
        </w:tc>
        <w:tc>
          <w:tcPr>
            <w:tcW w:w="1417" w:type="dxa"/>
            <w:tcBorders>
              <w:top w:val="none" w:sz="1" w:space="0" w:color="AEAEAE"/>
              <w:left w:val="single" w:sz="1" w:space="0" w:color="E0E0E0"/>
              <w:bottom w:val="single" w:sz="1" w:space="0" w:color="152935"/>
              <w:right w:val="none" w:sz="1" w:space="0" w:color="152935"/>
            </w:tcBorders>
            <w:shd w:val="clear" w:color="auto" w:fill="FFFFFF"/>
            <w:vAlign w:val="bottom"/>
          </w:tcPr>
          <w:p w14:paraId="1A14112B" w14:textId="77777777" w:rsidR="00730F2D" w:rsidRPr="004003E1" w:rsidRDefault="00730F2D" w:rsidP="00804E4C">
            <w:pPr>
              <w:spacing w:before="10" w:after="10"/>
              <w:ind w:left="30" w:right="40"/>
              <w:jc w:val="center"/>
              <w:rPr>
                <w:rFonts w:asciiTheme="majorHAnsi" w:hAnsiTheme="majorHAnsi"/>
              </w:rPr>
            </w:pPr>
            <w:r w:rsidRPr="004003E1">
              <w:rPr>
                <w:rFonts w:asciiTheme="majorHAnsi" w:eastAsia="Arial" w:hAnsiTheme="majorHAnsi" w:cs="Arial"/>
                <w:color w:val="264A60"/>
              </w:rPr>
              <w:t>Statistic</w:t>
            </w:r>
          </w:p>
        </w:tc>
      </w:tr>
      <w:tr w:rsidR="00730F2D" w:rsidRPr="004003E1" w14:paraId="626565BC" w14:textId="77777777" w:rsidTr="00804E4C">
        <w:tblPrEx>
          <w:tblCellMar>
            <w:top w:w="0" w:type="dxa"/>
            <w:bottom w:w="0" w:type="dxa"/>
          </w:tblCellMar>
        </w:tblPrEx>
        <w:tc>
          <w:tcPr>
            <w:tcW w:w="1802" w:type="dxa"/>
            <w:tcBorders>
              <w:top w:val="single" w:sz="1" w:space="0" w:color="152935"/>
              <w:left w:val="none" w:sz="1" w:space="0" w:color="152935"/>
              <w:bottom w:val="single" w:sz="1" w:space="0" w:color="AEAEAE"/>
              <w:right w:val="none" w:sz="1" w:space="0" w:color="152935"/>
            </w:tcBorders>
            <w:shd w:val="clear" w:color="auto" w:fill="E0E0E0"/>
          </w:tcPr>
          <w:p w14:paraId="40D74601" w14:textId="77777777" w:rsidR="00730F2D" w:rsidRPr="004003E1" w:rsidRDefault="00730F2D" w:rsidP="00804E4C">
            <w:pPr>
              <w:spacing w:before="15" w:after="10"/>
              <w:ind w:left="30" w:right="40"/>
              <w:rPr>
                <w:rFonts w:asciiTheme="majorHAnsi" w:hAnsiTheme="majorHAnsi"/>
              </w:rPr>
            </w:pPr>
            <w:r w:rsidRPr="004003E1">
              <w:rPr>
                <w:rFonts w:asciiTheme="majorHAnsi" w:eastAsia="Arial" w:hAnsiTheme="majorHAnsi" w:cs="Arial"/>
                <w:color w:val="264A60"/>
              </w:rPr>
              <w:t>DaysBetween</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1DA57B04" w14:textId="77777777" w:rsidR="00730F2D" w:rsidRPr="004003E1" w:rsidRDefault="00730F2D" w:rsidP="00804E4C">
            <w:pPr>
              <w:spacing w:before="15" w:after="10"/>
              <w:ind w:left="30" w:right="40"/>
              <w:jc w:val="right"/>
              <w:rPr>
                <w:rFonts w:asciiTheme="majorHAnsi" w:hAnsiTheme="majorHAnsi"/>
              </w:rPr>
            </w:pPr>
            <w:r w:rsidRPr="004003E1">
              <w:rPr>
                <w:rFonts w:asciiTheme="majorHAnsi" w:eastAsia="Arial" w:hAnsiTheme="majorHAnsi" w:cs="Arial"/>
                <w:color w:val="010205"/>
              </w:rPr>
              <w:t>31</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706D1C72" w14:textId="77777777" w:rsidR="00730F2D" w:rsidRPr="004003E1" w:rsidRDefault="00730F2D" w:rsidP="00804E4C">
            <w:pPr>
              <w:spacing w:before="15" w:after="10"/>
              <w:ind w:left="30" w:right="40"/>
              <w:jc w:val="right"/>
              <w:rPr>
                <w:rFonts w:asciiTheme="majorHAnsi" w:hAnsiTheme="majorHAnsi"/>
              </w:rPr>
            </w:pPr>
            <w:r w:rsidRPr="004003E1">
              <w:rPr>
                <w:rFonts w:asciiTheme="majorHAnsi" w:eastAsia="Arial" w:hAnsiTheme="majorHAnsi" w:cs="Arial"/>
                <w:color w:val="010205"/>
              </w:rPr>
              <w:t>69</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24E93302" w14:textId="77777777" w:rsidR="00730F2D" w:rsidRPr="004003E1" w:rsidRDefault="00730F2D" w:rsidP="00804E4C">
            <w:pPr>
              <w:spacing w:before="15" w:after="10"/>
              <w:ind w:left="30" w:right="40"/>
              <w:jc w:val="right"/>
              <w:rPr>
                <w:rFonts w:asciiTheme="majorHAnsi" w:hAnsiTheme="majorHAnsi"/>
              </w:rPr>
            </w:pPr>
            <w:r w:rsidRPr="004003E1">
              <w:rPr>
                <w:rFonts w:asciiTheme="majorHAnsi" w:eastAsia="Arial" w:hAnsiTheme="majorHAnsi" w:cs="Arial"/>
                <w:color w:val="010205"/>
              </w:rPr>
              <w:t>152</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2156954B" w14:textId="77777777" w:rsidR="00730F2D" w:rsidRPr="004003E1" w:rsidRDefault="00730F2D" w:rsidP="00804E4C">
            <w:pPr>
              <w:spacing w:before="15" w:after="10"/>
              <w:ind w:left="30" w:right="40"/>
              <w:jc w:val="right"/>
              <w:rPr>
                <w:rFonts w:asciiTheme="majorHAnsi" w:hAnsiTheme="majorHAnsi"/>
              </w:rPr>
            </w:pPr>
            <w:r w:rsidRPr="004003E1">
              <w:rPr>
                <w:rFonts w:asciiTheme="majorHAnsi" w:eastAsia="Arial" w:hAnsiTheme="majorHAnsi" w:cs="Arial"/>
                <w:color w:val="010205"/>
              </w:rPr>
              <w:t>117.77</w:t>
            </w:r>
          </w:p>
        </w:tc>
        <w:tc>
          <w:tcPr>
            <w:tcW w:w="1513" w:type="dxa"/>
            <w:tcBorders>
              <w:top w:val="single" w:sz="1" w:space="0" w:color="152935"/>
              <w:left w:val="single" w:sz="1" w:space="0" w:color="E0E0E0"/>
              <w:bottom w:val="single" w:sz="1" w:space="0" w:color="AEAEAE"/>
              <w:right w:val="none" w:sz="1" w:space="0" w:color="AEAEAE"/>
            </w:tcBorders>
            <w:shd w:val="clear" w:color="auto" w:fill="F9F9FB"/>
          </w:tcPr>
          <w:p w14:paraId="11AA0F41" w14:textId="77777777" w:rsidR="00730F2D" w:rsidRPr="004003E1" w:rsidRDefault="00730F2D" w:rsidP="00804E4C">
            <w:pPr>
              <w:spacing w:before="15" w:after="10"/>
              <w:ind w:left="30" w:right="40"/>
              <w:jc w:val="right"/>
              <w:rPr>
                <w:rFonts w:asciiTheme="majorHAnsi" w:hAnsiTheme="majorHAnsi"/>
              </w:rPr>
            </w:pPr>
            <w:r w:rsidRPr="004003E1">
              <w:rPr>
                <w:rFonts w:asciiTheme="majorHAnsi" w:eastAsia="Arial" w:hAnsiTheme="majorHAnsi" w:cs="Arial"/>
                <w:color w:val="010205"/>
              </w:rPr>
              <w:t>24.699</w:t>
            </w:r>
          </w:p>
        </w:tc>
        <w:tc>
          <w:tcPr>
            <w:tcW w:w="1417" w:type="dxa"/>
            <w:tcBorders>
              <w:top w:val="single" w:sz="1" w:space="0" w:color="152935"/>
              <w:left w:val="single" w:sz="1" w:space="0" w:color="E0E0E0"/>
              <w:bottom w:val="single" w:sz="1" w:space="0" w:color="AEAEAE"/>
              <w:right w:val="none" w:sz="1" w:space="0" w:color="152935"/>
            </w:tcBorders>
            <w:shd w:val="clear" w:color="auto" w:fill="F9F9FB"/>
          </w:tcPr>
          <w:p w14:paraId="4417DC26" w14:textId="77777777" w:rsidR="00730F2D" w:rsidRPr="004003E1" w:rsidRDefault="00730F2D" w:rsidP="00804E4C">
            <w:pPr>
              <w:spacing w:before="15" w:after="10"/>
              <w:ind w:left="30" w:right="40"/>
              <w:jc w:val="right"/>
              <w:rPr>
                <w:rFonts w:asciiTheme="majorHAnsi" w:hAnsiTheme="majorHAnsi"/>
              </w:rPr>
            </w:pPr>
            <w:r w:rsidRPr="004003E1">
              <w:rPr>
                <w:rFonts w:asciiTheme="majorHAnsi" w:eastAsia="Arial" w:hAnsiTheme="majorHAnsi" w:cs="Arial"/>
                <w:color w:val="010205"/>
              </w:rPr>
              <w:t>-.603</w:t>
            </w:r>
          </w:p>
        </w:tc>
      </w:tr>
      <w:tr w:rsidR="00730F2D" w:rsidRPr="004003E1" w14:paraId="4170B197" w14:textId="77777777" w:rsidTr="00804E4C">
        <w:tblPrEx>
          <w:tblCellMar>
            <w:top w:w="0" w:type="dxa"/>
            <w:bottom w:w="0" w:type="dxa"/>
          </w:tblCellMar>
        </w:tblPrEx>
        <w:tc>
          <w:tcPr>
            <w:tcW w:w="1802" w:type="dxa"/>
            <w:tcBorders>
              <w:top w:val="single" w:sz="1" w:space="0" w:color="AEAEAE"/>
              <w:left w:val="none" w:sz="1" w:space="0" w:color="152935"/>
              <w:bottom w:val="single" w:sz="1" w:space="0" w:color="AEAEAE"/>
              <w:right w:val="none" w:sz="1" w:space="0" w:color="152935"/>
            </w:tcBorders>
            <w:shd w:val="clear" w:color="auto" w:fill="E0E0E0"/>
          </w:tcPr>
          <w:p w14:paraId="66FCC585" w14:textId="77777777" w:rsidR="00730F2D" w:rsidRPr="004003E1" w:rsidRDefault="00730F2D" w:rsidP="00804E4C">
            <w:pPr>
              <w:spacing w:before="15" w:after="10"/>
              <w:ind w:left="30" w:right="40"/>
              <w:rPr>
                <w:rFonts w:asciiTheme="majorHAnsi" w:hAnsiTheme="majorHAnsi"/>
              </w:rPr>
            </w:pPr>
            <w:r w:rsidRPr="004003E1">
              <w:rPr>
                <w:rFonts w:asciiTheme="majorHAnsi" w:eastAsia="Arial" w:hAnsiTheme="majorHAnsi" w:cs="Arial"/>
                <w:color w:val="264A60"/>
              </w:rPr>
              <w:t>TotalWalks</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A32728F" w14:textId="77777777" w:rsidR="00730F2D" w:rsidRPr="004003E1" w:rsidRDefault="00730F2D" w:rsidP="00804E4C">
            <w:pPr>
              <w:spacing w:before="15" w:after="10"/>
              <w:ind w:left="30" w:right="40"/>
              <w:jc w:val="right"/>
              <w:rPr>
                <w:rFonts w:asciiTheme="majorHAnsi" w:hAnsiTheme="majorHAnsi"/>
              </w:rPr>
            </w:pPr>
            <w:r w:rsidRPr="004003E1">
              <w:rPr>
                <w:rFonts w:asciiTheme="majorHAnsi" w:eastAsia="Arial" w:hAnsiTheme="majorHAnsi" w:cs="Arial"/>
                <w:color w:val="010205"/>
              </w:rPr>
              <w:t>31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C61995C" w14:textId="77777777" w:rsidR="00730F2D" w:rsidRPr="004003E1" w:rsidRDefault="00730F2D" w:rsidP="00804E4C">
            <w:pPr>
              <w:spacing w:before="15" w:after="10"/>
              <w:ind w:left="30" w:right="40"/>
              <w:jc w:val="right"/>
              <w:rPr>
                <w:rFonts w:asciiTheme="majorHAnsi" w:hAnsiTheme="majorHAnsi"/>
              </w:rPr>
            </w:pPr>
            <w:r w:rsidRPr="004003E1">
              <w:rPr>
                <w:rFonts w:asciiTheme="majorHAnsi" w:eastAsia="Arial" w:hAnsiTheme="majorHAnsi" w:cs="Arial"/>
                <w:color w:val="010205"/>
              </w:rPr>
              <w:t>3</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7454E37" w14:textId="77777777" w:rsidR="00730F2D" w:rsidRPr="004003E1" w:rsidRDefault="00730F2D" w:rsidP="00804E4C">
            <w:pPr>
              <w:spacing w:before="15" w:after="10"/>
              <w:ind w:left="30" w:right="40"/>
              <w:jc w:val="right"/>
              <w:rPr>
                <w:rFonts w:asciiTheme="majorHAnsi" w:hAnsiTheme="majorHAnsi"/>
              </w:rPr>
            </w:pPr>
            <w:r w:rsidRPr="004003E1">
              <w:rPr>
                <w:rFonts w:asciiTheme="majorHAnsi" w:eastAsia="Arial" w:hAnsiTheme="majorHAnsi" w:cs="Arial"/>
                <w:color w:val="010205"/>
              </w:rPr>
              <w:t>95</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8D66E1F" w14:textId="77777777" w:rsidR="00730F2D" w:rsidRPr="004003E1" w:rsidRDefault="00730F2D" w:rsidP="00804E4C">
            <w:pPr>
              <w:spacing w:before="15" w:after="10"/>
              <w:ind w:left="30" w:right="40"/>
              <w:jc w:val="right"/>
              <w:rPr>
                <w:rFonts w:asciiTheme="majorHAnsi" w:hAnsiTheme="majorHAnsi"/>
              </w:rPr>
            </w:pPr>
            <w:r w:rsidRPr="004003E1">
              <w:rPr>
                <w:rFonts w:asciiTheme="majorHAnsi" w:eastAsia="Arial" w:hAnsiTheme="majorHAnsi" w:cs="Arial"/>
                <w:color w:val="010205"/>
              </w:rPr>
              <w:t>33.32</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754B6271" w14:textId="77777777" w:rsidR="00730F2D" w:rsidRPr="004003E1" w:rsidRDefault="00730F2D" w:rsidP="00804E4C">
            <w:pPr>
              <w:spacing w:before="15" w:after="10"/>
              <w:ind w:left="30" w:right="40"/>
              <w:jc w:val="right"/>
              <w:rPr>
                <w:rFonts w:asciiTheme="majorHAnsi" w:hAnsiTheme="majorHAnsi"/>
              </w:rPr>
            </w:pPr>
            <w:r w:rsidRPr="004003E1">
              <w:rPr>
                <w:rFonts w:asciiTheme="majorHAnsi" w:eastAsia="Arial" w:hAnsiTheme="majorHAnsi" w:cs="Arial"/>
                <w:color w:val="010205"/>
              </w:rPr>
              <w:t>24.883</w:t>
            </w:r>
          </w:p>
        </w:tc>
        <w:tc>
          <w:tcPr>
            <w:tcW w:w="1417" w:type="dxa"/>
            <w:tcBorders>
              <w:top w:val="single" w:sz="1" w:space="0" w:color="AEAEAE"/>
              <w:left w:val="single" w:sz="1" w:space="0" w:color="E0E0E0"/>
              <w:bottom w:val="single" w:sz="1" w:space="0" w:color="AEAEAE"/>
              <w:right w:val="none" w:sz="1" w:space="0" w:color="152935"/>
            </w:tcBorders>
            <w:shd w:val="clear" w:color="auto" w:fill="F9F9FB"/>
          </w:tcPr>
          <w:p w14:paraId="680C7851" w14:textId="77777777" w:rsidR="00730F2D" w:rsidRPr="004003E1" w:rsidRDefault="00730F2D" w:rsidP="00804E4C">
            <w:pPr>
              <w:spacing w:before="15" w:after="10"/>
              <w:ind w:left="30" w:right="40"/>
              <w:jc w:val="right"/>
              <w:rPr>
                <w:rFonts w:asciiTheme="majorHAnsi" w:hAnsiTheme="majorHAnsi"/>
              </w:rPr>
            </w:pPr>
            <w:r w:rsidRPr="004003E1">
              <w:rPr>
                <w:rFonts w:asciiTheme="majorHAnsi" w:eastAsia="Arial" w:hAnsiTheme="majorHAnsi" w:cs="Arial"/>
                <w:color w:val="010205"/>
              </w:rPr>
              <w:t>1.034</w:t>
            </w:r>
          </w:p>
        </w:tc>
      </w:tr>
      <w:tr w:rsidR="00730F2D" w14:paraId="2D9953C6" w14:textId="77777777" w:rsidTr="00804E4C">
        <w:tblPrEx>
          <w:tblCellMar>
            <w:top w:w="0" w:type="dxa"/>
            <w:bottom w:w="0" w:type="dxa"/>
          </w:tblCellMar>
        </w:tblPrEx>
        <w:tc>
          <w:tcPr>
            <w:tcW w:w="1802" w:type="dxa"/>
            <w:tcBorders>
              <w:top w:val="single" w:sz="1" w:space="0" w:color="AEAEAE"/>
              <w:left w:val="none" w:sz="1" w:space="0" w:color="152935"/>
              <w:bottom w:val="single" w:sz="1" w:space="0" w:color="AEAEAE"/>
              <w:right w:val="none" w:sz="1" w:space="0" w:color="152935"/>
            </w:tcBorders>
            <w:shd w:val="clear" w:color="auto" w:fill="E0E0E0"/>
          </w:tcPr>
          <w:p w14:paraId="1B59B27E" w14:textId="77777777" w:rsidR="00730F2D" w:rsidRDefault="00730F2D" w:rsidP="00804E4C">
            <w:pPr>
              <w:spacing w:before="15" w:after="10"/>
              <w:ind w:left="30" w:right="40"/>
            </w:pPr>
            <w:r>
              <w:rPr>
                <w:rFonts w:ascii="Arial" w:eastAsia="Arial" w:hAnsi="Arial" w:cs="Arial"/>
                <w:color w:val="264A60"/>
              </w:rPr>
              <w:t>AVGDuration</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B214DEF" w14:textId="77777777" w:rsidR="00730F2D" w:rsidRDefault="00730F2D" w:rsidP="00804E4C">
            <w:pPr>
              <w:spacing w:before="15" w:after="10"/>
              <w:ind w:left="30" w:right="40"/>
              <w:jc w:val="right"/>
            </w:pPr>
            <w:r>
              <w:rPr>
                <w:rFonts w:ascii="Arial" w:eastAsia="Arial" w:hAnsi="Arial" w:cs="Arial"/>
                <w:color w:val="010205"/>
              </w:rPr>
              <w:t>31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7B7B293" w14:textId="77777777" w:rsidR="00730F2D" w:rsidRDefault="00730F2D" w:rsidP="00804E4C">
            <w:pPr>
              <w:spacing w:before="15" w:after="10"/>
              <w:ind w:left="30" w:right="40"/>
              <w:jc w:val="right"/>
            </w:pPr>
            <w:r>
              <w:rPr>
                <w:rFonts w:ascii="Arial" w:eastAsia="Arial" w:hAnsi="Arial" w:cs="Arial"/>
                <w:color w:val="010205"/>
              </w:rPr>
              <w:t>20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D4A88B1" w14:textId="77777777" w:rsidR="00730F2D" w:rsidRDefault="00730F2D" w:rsidP="00804E4C">
            <w:pPr>
              <w:spacing w:before="15" w:after="10"/>
              <w:ind w:left="30" w:right="40"/>
              <w:jc w:val="right"/>
            </w:pPr>
            <w:r>
              <w:rPr>
                <w:rFonts w:ascii="Arial" w:eastAsia="Arial" w:hAnsi="Arial" w:cs="Arial"/>
                <w:color w:val="010205"/>
              </w:rPr>
              <w:t>120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F6ADF98" w14:textId="77777777" w:rsidR="00730F2D" w:rsidRDefault="00730F2D" w:rsidP="00804E4C">
            <w:pPr>
              <w:spacing w:before="15" w:after="10"/>
              <w:ind w:left="30" w:right="40"/>
              <w:jc w:val="right"/>
            </w:pPr>
            <w:r>
              <w:rPr>
                <w:rFonts w:ascii="Arial" w:eastAsia="Arial" w:hAnsi="Arial" w:cs="Arial"/>
                <w:color w:val="010205"/>
              </w:rPr>
              <w:t>45.61</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02109646" w14:textId="77777777" w:rsidR="00730F2D" w:rsidRDefault="00730F2D" w:rsidP="00804E4C">
            <w:pPr>
              <w:spacing w:before="15" w:after="10"/>
              <w:ind w:left="30" w:right="40"/>
              <w:jc w:val="right"/>
            </w:pPr>
            <w:r>
              <w:rPr>
                <w:rFonts w:ascii="Arial" w:eastAsia="Arial" w:hAnsi="Arial" w:cs="Arial"/>
                <w:color w:val="010205"/>
              </w:rPr>
              <w:t>19.590</w:t>
            </w:r>
          </w:p>
        </w:tc>
        <w:tc>
          <w:tcPr>
            <w:tcW w:w="1417" w:type="dxa"/>
            <w:tcBorders>
              <w:top w:val="single" w:sz="1" w:space="0" w:color="AEAEAE"/>
              <w:left w:val="single" w:sz="1" w:space="0" w:color="E0E0E0"/>
              <w:bottom w:val="single" w:sz="1" w:space="0" w:color="AEAEAE"/>
              <w:right w:val="none" w:sz="1" w:space="0" w:color="152935"/>
            </w:tcBorders>
            <w:shd w:val="clear" w:color="auto" w:fill="F9F9FB"/>
          </w:tcPr>
          <w:p w14:paraId="5161BCEB" w14:textId="77777777" w:rsidR="00730F2D" w:rsidRDefault="00730F2D" w:rsidP="00804E4C">
            <w:pPr>
              <w:spacing w:before="15" w:after="10"/>
              <w:ind w:left="30" w:right="40"/>
              <w:jc w:val="right"/>
            </w:pPr>
            <w:r>
              <w:rPr>
                <w:rFonts w:ascii="Arial" w:eastAsia="Arial" w:hAnsi="Arial" w:cs="Arial"/>
                <w:color w:val="010205"/>
              </w:rPr>
              <w:t>2.003</w:t>
            </w:r>
          </w:p>
        </w:tc>
      </w:tr>
      <w:tr w:rsidR="00730F2D" w14:paraId="0AC9BE25" w14:textId="77777777" w:rsidTr="00804E4C">
        <w:tblPrEx>
          <w:tblCellMar>
            <w:top w:w="0" w:type="dxa"/>
            <w:bottom w:w="0" w:type="dxa"/>
          </w:tblCellMar>
        </w:tblPrEx>
        <w:tc>
          <w:tcPr>
            <w:tcW w:w="1802" w:type="dxa"/>
            <w:tcBorders>
              <w:top w:val="single" w:sz="1" w:space="0" w:color="AEAEAE"/>
              <w:left w:val="none" w:sz="1" w:space="0" w:color="152935"/>
              <w:bottom w:val="single" w:sz="1" w:space="0" w:color="AEAEAE"/>
              <w:right w:val="none" w:sz="1" w:space="0" w:color="152935"/>
            </w:tcBorders>
            <w:shd w:val="clear" w:color="auto" w:fill="E0E0E0"/>
          </w:tcPr>
          <w:p w14:paraId="6E2F9996" w14:textId="77777777" w:rsidR="00730F2D" w:rsidRDefault="00730F2D" w:rsidP="00804E4C">
            <w:pPr>
              <w:spacing w:before="15" w:after="10"/>
              <w:ind w:left="30" w:right="40"/>
            </w:pPr>
            <w:r>
              <w:rPr>
                <w:rFonts w:ascii="Arial" w:eastAsia="Arial" w:hAnsi="Arial" w:cs="Arial"/>
                <w:color w:val="264A60"/>
              </w:rPr>
              <w:t>AGE</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323F459" w14:textId="77777777" w:rsidR="00730F2D" w:rsidRDefault="00730F2D" w:rsidP="00804E4C">
            <w:pPr>
              <w:spacing w:before="15" w:after="10"/>
              <w:ind w:left="30" w:right="40"/>
              <w:jc w:val="right"/>
            </w:pPr>
            <w:r>
              <w:rPr>
                <w:rFonts w:ascii="Arial" w:eastAsia="Arial" w:hAnsi="Arial" w:cs="Arial"/>
                <w:color w:val="010205"/>
              </w:rPr>
              <w:t>31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561C0B2" w14:textId="77777777" w:rsidR="00730F2D" w:rsidRDefault="00730F2D" w:rsidP="00804E4C">
            <w:pPr>
              <w:spacing w:before="15" w:after="10"/>
              <w:ind w:left="30" w:right="40"/>
              <w:jc w:val="right"/>
            </w:pPr>
            <w:r>
              <w:rPr>
                <w:rFonts w:ascii="Arial" w:eastAsia="Arial" w:hAnsi="Arial" w:cs="Arial"/>
                <w:color w:val="010205"/>
              </w:rPr>
              <w:t>32</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22A0F49" w14:textId="77777777" w:rsidR="00730F2D" w:rsidRDefault="00730F2D" w:rsidP="00804E4C">
            <w:pPr>
              <w:spacing w:before="15" w:after="10"/>
              <w:ind w:left="30" w:right="40"/>
              <w:jc w:val="right"/>
            </w:pPr>
            <w:r>
              <w:rPr>
                <w:rFonts w:ascii="Arial" w:eastAsia="Arial" w:hAnsi="Arial" w:cs="Arial"/>
                <w:color w:val="010205"/>
              </w:rPr>
              <w:t>56</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29913D8" w14:textId="77777777" w:rsidR="00730F2D" w:rsidRDefault="00730F2D" w:rsidP="00804E4C">
            <w:pPr>
              <w:spacing w:before="15" w:after="10"/>
              <w:ind w:left="30" w:right="40"/>
              <w:jc w:val="right"/>
            </w:pPr>
            <w:r>
              <w:rPr>
                <w:rFonts w:ascii="Arial" w:eastAsia="Arial" w:hAnsi="Arial" w:cs="Arial"/>
                <w:color w:val="010205"/>
              </w:rPr>
              <w:t>45.58</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759B4BBD" w14:textId="77777777" w:rsidR="00730F2D" w:rsidRDefault="00730F2D" w:rsidP="00804E4C">
            <w:pPr>
              <w:spacing w:before="15" w:after="10"/>
              <w:ind w:left="30" w:right="40"/>
              <w:jc w:val="right"/>
            </w:pPr>
            <w:r>
              <w:rPr>
                <w:rFonts w:ascii="Arial" w:eastAsia="Arial" w:hAnsi="Arial" w:cs="Arial"/>
                <w:color w:val="010205"/>
              </w:rPr>
              <w:t>5.949</w:t>
            </w:r>
          </w:p>
        </w:tc>
        <w:tc>
          <w:tcPr>
            <w:tcW w:w="1417" w:type="dxa"/>
            <w:tcBorders>
              <w:top w:val="single" w:sz="1" w:space="0" w:color="AEAEAE"/>
              <w:left w:val="single" w:sz="1" w:space="0" w:color="E0E0E0"/>
              <w:bottom w:val="single" w:sz="1" w:space="0" w:color="AEAEAE"/>
              <w:right w:val="none" w:sz="1" w:space="0" w:color="152935"/>
            </w:tcBorders>
            <w:shd w:val="clear" w:color="auto" w:fill="F9F9FB"/>
          </w:tcPr>
          <w:p w14:paraId="61B57EAE" w14:textId="77777777" w:rsidR="00730F2D" w:rsidRDefault="00730F2D" w:rsidP="00804E4C">
            <w:pPr>
              <w:spacing w:before="15" w:after="10"/>
              <w:ind w:left="30" w:right="40"/>
              <w:jc w:val="right"/>
            </w:pPr>
            <w:r>
              <w:rPr>
                <w:rFonts w:ascii="Arial" w:eastAsia="Arial" w:hAnsi="Arial" w:cs="Arial"/>
                <w:color w:val="010205"/>
              </w:rPr>
              <w:t>-.501</w:t>
            </w:r>
          </w:p>
        </w:tc>
      </w:tr>
    </w:tbl>
    <w:p w14:paraId="510DA4F6" w14:textId="77777777" w:rsidR="00730F2D" w:rsidRPr="004003E1" w:rsidRDefault="00730F2D" w:rsidP="2357DC9D">
      <w:pPr>
        <w:spacing w:line="360" w:lineRule="auto"/>
        <w:rPr>
          <w:rFonts w:asciiTheme="majorHAnsi" w:hAnsiTheme="majorHAnsi"/>
        </w:rPr>
      </w:pPr>
    </w:p>
    <w:p w14:paraId="669C1FA7" w14:textId="334AA780" w:rsidR="0018082A" w:rsidRPr="004003E1" w:rsidRDefault="099CC0F3" w:rsidP="2357DC9D">
      <w:pPr>
        <w:spacing w:line="360" w:lineRule="auto"/>
        <w:rPr>
          <w:rFonts w:asciiTheme="majorHAnsi" w:hAnsiTheme="majorHAnsi"/>
        </w:rPr>
      </w:pPr>
      <w:r w:rsidRPr="004003E1">
        <w:rPr>
          <w:rFonts w:asciiTheme="majorHAnsi" w:eastAsia="Aptos" w:hAnsiTheme="majorHAnsi" w:cs="Aptos"/>
        </w:rPr>
        <w:t>Walking exposure during the observation window was:</w:t>
      </w:r>
    </w:p>
    <w:p w14:paraId="4D38EC21" w14:textId="6B17916F" w:rsidR="0018082A" w:rsidRPr="004003E1" w:rsidRDefault="099CC0F3" w:rsidP="2357DC9D">
      <w:pPr>
        <w:pStyle w:val="ListParagraph"/>
        <w:numPr>
          <w:ilvl w:val="0"/>
          <w:numId w:val="34"/>
        </w:numPr>
        <w:spacing w:after="0" w:line="360" w:lineRule="auto"/>
        <w:rPr>
          <w:rFonts w:asciiTheme="majorHAnsi" w:eastAsia="Aptos" w:hAnsiTheme="majorHAnsi" w:cs="Aptos"/>
        </w:rPr>
      </w:pPr>
      <w:r w:rsidRPr="004003E1">
        <w:rPr>
          <w:rFonts w:asciiTheme="majorHAnsi" w:eastAsia="Aptos" w:hAnsiTheme="majorHAnsi" w:cs="Aptos"/>
        </w:rPr>
        <w:t>Walks per week: M = 1.99, SD = 1.59</w:t>
      </w:r>
    </w:p>
    <w:p w14:paraId="06E6B2C2" w14:textId="7997358C" w:rsidR="0018082A" w:rsidRPr="004003E1" w:rsidRDefault="099CC0F3" w:rsidP="2357DC9D">
      <w:pPr>
        <w:pStyle w:val="ListParagraph"/>
        <w:numPr>
          <w:ilvl w:val="0"/>
          <w:numId w:val="34"/>
        </w:numPr>
        <w:spacing w:after="0" w:line="360" w:lineRule="auto"/>
        <w:rPr>
          <w:rFonts w:asciiTheme="majorHAnsi" w:eastAsia="Aptos" w:hAnsiTheme="majorHAnsi" w:cs="Aptos"/>
        </w:rPr>
      </w:pPr>
      <w:r w:rsidRPr="004003E1">
        <w:rPr>
          <w:rFonts w:asciiTheme="majorHAnsi" w:eastAsia="Aptos" w:hAnsiTheme="majorHAnsi" w:cs="Aptos"/>
        </w:rPr>
        <w:t>Minutes per week: M = 86.63, SD = 74.57</w:t>
      </w:r>
    </w:p>
    <w:p w14:paraId="04EE992D" w14:textId="3D757491" w:rsidR="004003E1" w:rsidRPr="004003E1" w:rsidRDefault="099CC0F3" w:rsidP="004003E1">
      <w:pPr>
        <w:pStyle w:val="ListParagraph"/>
        <w:numPr>
          <w:ilvl w:val="0"/>
          <w:numId w:val="34"/>
        </w:numPr>
        <w:spacing w:after="0" w:line="360" w:lineRule="auto"/>
        <w:rPr>
          <w:rFonts w:asciiTheme="majorHAnsi" w:eastAsia="Aptos" w:hAnsiTheme="majorHAnsi" w:cs="Aptos"/>
        </w:rPr>
      </w:pPr>
      <w:r w:rsidRPr="004003E1">
        <w:rPr>
          <w:rFonts w:asciiTheme="majorHAnsi" w:eastAsia="Aptos" w:hAnsiTheme="majorHAnsi" w:cs="Aptos"/>
        </w:rPr>
        <w:t>Average minutes per walk: M = 45.61, SD = 19.59</w:t>
      </w:r>
    </w:p>
    <w:p w14:paraId="2C0DA1FD" w14:textId="77777777" w:rsidR="004003E1" w:rsidRDefault="004003E1" w:rsidP="2357DC9D">
      <w:pPr>
        <w:spacing w:line="360" w:lineRule="auto"/>
        <w:rPr>
          <w:rFonts w:ascii="Aptos" w:eastAsia="Aptos" w:hAnsi="Aptos" w:cs="Aptos"/>
        </w:rPr>
      </w:pPr>
    </w:p>
    <w:p w14:paraId="2A2B81B2" w14:textId="6C34437A" w:rsidR="0018082A" w:rsidRPr="0065723F" w:rsidRDefault="099CC0F3" w:rsidP="2357DC9D">
      <w:pPr>
        <w:spacing w:line="360" w:lineRule="auto"/>
      </w:pPr>
      <w:r w:rsidRPr="2357DC9D">
        <w:rPr>
          <w:rFonts w:ascii="Aptos" w:eastAsia="Aptos" w:hAnsi="Aptos" w:cs="Aptos"/>
        </w:rPr>
        <w:t>Shapiro–Wilk tests on post–pre difference scores indicated approximate normality for BDI-II (</w:t>
      </w:r>
      <w:r w:rsidRPr="2357DC9D">
        <w:rPr>
          <w:rFonts w:ascii="Aptos" w:eastAsia="Aptos" w:hAnsi="Aptos" w:cs="Aptos"/>
          <w:i/>
          <w:iCs/>
        </w:rPr>
        <w:t>p</w:t>
      </w:r>
      <w:r w:rsidRPr="2357DC9D">
        <w:rPr>
          <w:rFonts w:ascii="Aptos" w:eastAsia="Aptos" w:hAnsi="Aptos" w:cs="Aptos"/>
        </w:rPr>
        <w:t xml:space="preserve"> = .887), MBI-EE (</w:t>
      </w:r>
      <w:r w:rsidRPr="2357DC9D">
        <w:rPr>
          <w:rFonts w:ascii="Aptos" w:eastAsia="Aptos" w:hAnsi="Aptos" w:cs="Aptos"/>
          <w:i/>
          <w:iCs/>
        </w:rPr>
        <w:t>p</w:t>
      </w:r>
      <w:r w:rsidRPr="2357DC9D">
        <w:rPr>
          <w:rFonts w:ascii="Aptos" w:eastAsia="Aptos" w:hAnsi="Aptos" w:cs="Aptos"/>
        </w:rPr>
        <w:t xml:space="preserve"> = .693), MBI-DP (</w:t>
      </w:r>
      <w:r w:rsidRPr="2357DC9D">
        <w:rPr>
          <w:rFonts w:ascii="Aptos" w:eastAsia="Aptos" w:hAnsi="Aptos" w:cs="Aptos"/>
          <w:i/>
          <w:iCs/>
        </w:rPr>
        <w:t>p</w:t>
      </w:r>
      <w:r w:rsidRPr="2357DC9D">
        <w:rPr>
          <w:rFonts w:ascii="Aptos" w:eastAsia="Aptos" w:hAnsi="Aptos" w:cs="Aptos"/>
        </w:rPr>
        <w:t xml:space="preserve"> = .132) and ONS Anxiety (</w:t>
      </w:r>
      <w:r w:rsidRPr="2357DC9D">
        <w:rPr>
          <w:rFonts w:ascii="Aptos" w:eastAsia="Aptos" w:hAnsi="Aptos" w:cs="Aptos"/>
          <w:i/>
          <w:iCs/>
        </w:rPr>
        <w:t>p</w:t>
      </w:r>
      <w:r w:rsidRPr="2357DC9D">
        <w:rPr>
          <w:rFonts w:ascii="Aptos" w:eastAsia="Aptos" w:hAnsi="Aptos" w:cs="Aptos"/>
        </w:rPr>
        <w:t xml:space="preserve"> = .656). Non-normal distributions were observed for MBI-PA (</w:t>
      </w:r>
      <w:r w:rsidRPr="2357DC9D">
        <w:rPr>
          <w:rFonts w:ascii="Aptos" w:eastAsia="Aptos" w:hAnsi="Aptos" w:cs="Aptos"/>
          <w:i/>
          <w:iCs/>
        </w:rPr>
        <w:t>p</w:t>
      </w:r>
      <w:r w:rsidRPr="2357DC9D">
        <w:rPr>
          <w:rFonts w:ascii="Aptos" w:eastAsia="Aptos" w:hAnsi="Aptos" w:cs="Aptos"/>
        </w:rPr>
        <w:t xml:space="preserve"> = .015), SWEMWBS (</w:t>
      </w:r>
      <w:r w:rsidRPr="2357DC9D">
        <w:rPr>
          <w:rFonts w:ascii="Aptos" w:eastAsia="Aptos" w:hAnsi="Aptos" w:cs="Aptos"/>
          <w:i/>
          <w:iCs/>
        </w:rPr>
        <w:t>p</w:t>
      </w:r>
      <w:r w:rsidRPr="2357DC9D">
        <w:rPr>
          <w:rFonts w:ascii="Aptos" w:eastAsia="Aptos" w:hAnsi="Aptos" w:cs="Aptos"/>
        </w:rPr>
        <w:t xml:space="preserve"> &lt; .001), ONS Satisfaction (</w:t>
      </w:r>
      <w:r w:rsidRPr="2357DC9D">
        <w:rPr>
          <w:rFonts w:ascii="Aptos" w:eastAsia="Aptos" w:hAnsi="Aptos" w:cs="Aptos"/>
          <w:i/>
          <w:iCs/>
        </w:rPr>
        <w:t>p</w:t>
      </w:r>
      <w:r w:rsidRPr="2357DC9D">
        <w:rPr>
          <w:rFonts w:ascii="Aptos" w:eastAsia="Aptos" w:hAnsi="Aptos" w:cs="Aptos"/>
        </w:rPr>
        <w:t xml:space="preserve"> &lt; .001), ONS Worthwhile (</w:t>
      </w:r>
      <w:r w:rsidRPr="2357DC9D">
        <w:rPr>
          <w:rFonts w:ascii="Aptos" w:eastAsia="Aptos" w:hAnsi="Aptos" w:cs="Aptos"/>
          <w:i/>
          <w:iCs/>
        </w:rPr>
        <w:t>p</w:t>
      </w:r>
      <w:r w:rsidRPr="2357DC9D">
        <w:rPr>
          <w:rFonts w:ascii="Aptos" w:eastAsia="Aptos" w:hAnsi="Aptos" w:cs="Aptos"/>
        </w:rPr>
        <w:t xml:space="preserve"> &lt; .001), and ONS Happiness (</w:t>
      </w:r>
      <w:r w:rsidRPr="2357DC9D">
        <w:rPr>
          <w:rFonts w:ascii="Aptos" w:eastAsia="Aptos" w:hAnsi="Aptos" w:cs="Aptos"/>
          <w:i/>
          <w:iCs/>
        </w:rPr>
        <w:t>p</w:t>
      </w:r>
      <w:r w:rsidRPr="2357DC9D">
        <w:rPr>
          <w:rFonts w:ascii="Aptos" w:eastAsia="Aptos" w:hAnsi="Aptos" w:cs="Aptos"/>
        </w:rPr>
        <w:t xml:space="preserve"> = .018). Boxplots and stem-and-leaf plots showed skew/heavy tails but no pervasive extreme outliers.</w:t>
      </w:r>
    </w:p>
    <w:p w14:paraId="08F3E099" w14:textId="6B4E6210" w:rsidR="0018082A" w:rsidRPr="0065723F" w:rsidRDefault="12039644" w:rsidP="2357DC9D">
      <w:pPr>
        <w:spacing w:line="360" w:lineRule="auto"/>
        <w:rPr>
          <w:rFonts w:ascii="Aptos" w:eastAsia="Aptos" w:hAnsi="Aptos" w:cs="Aptos"/>
        </w:rPr>
      </w:pPr>
      <w:r w:rsidRPr="2357DC9D">
        <w:rPr>
          <w:rFonts w:ascii="Aptos" w:eastAsia="Aptos" w:hAnsi="Aptos" w:cs="Aptos"/>
        </w:rPr>
        <w:t>Paired T-Tests were completed to examine pre and post differences across all questionnaire variables.  Results were as follows:</w:t>
      </w:r>
    </w:p>
    <w:p w14:paraId="7CE54102" w14:textId="6EB4B018" w:rsidR="0018082A" w:rsidRPr="0065723F" w:rsidRDefault="099CC0F3" w:rsidP="2357DC9D">
      <w:pPr>
        <w:pStyle w:val="ListParagraph"/>
        <w:numPr>
          <w:ilvl w:val="0"/>
          <w:numId w:val="33"/>
        </w:numPr>
        <w:spacing w:after="0" w:line="360" w:lineRule="auto"/>
        <w:rPr>
          <w:rFonts w:ascii="Aptos" w:eastAsia="Aptos" w:hAnsi="Aptos" w:cs="Aptos"/>
        </w:rPr>
      </w:pPr>
      <w:r w:rsidRPr="2357DC9D">
        <w:rPr>
          <w:rFonts w:ascii="Aptos" w:eastAsia="Aptos" w:hAnsi="Aptos" w:cs="Aptos"/>
          <w:b/>
          <w:bCs/>
        </w:rPr>
        <w:t>Depression (BDI-II)</w:t>
      </w:r>
      <w:r w:rsidR="589E39F5" w:rsidRPr="2357DC9D">
        <w:rPr>
          <w:rFonts w:ascii="Aptos" w:eastAsia="Aptos" w:hAnsi="Aptos" w:cs="Aptos"/>
          <w:b/>
          <w:bCs/>
        </w:rPr>
        <w:t xml:space="preserve"> -</w:t>
      </w:r>
      <w:r w:rsidRPr="2357DC9D">
        <w:rPr>
          <w:rFonts w:ascii="Aptos" w:eastAsia="Aptos" w:hAnsi="Aptos" w:cs="Aptos"/>
        </w:rPr>
        <w:t xml:space="preserve"> Decreased from 13.29 (SD = 8.72) to 6.55 (SD = 7.06); mean difference = +6.74, 95% CI [4.48, 9.00], </w:t>
      </w:r>
      <w:r w:rsidRPr="2357DC9D">
        <w:rPr>
          <w:rFonts w:ascii="Aptos" w:eastAsia="Aptos" w:hAnsi="Aptos" w:cs="Aptos"/>
          <w:i/>
          <w:iCs/>
        </w:rPr>
        <w:t>t</w:t>
      </w:r>
      <w:r w:rsidRPr="2357DC9D">
        <w:rPr>
          <w:rFonts w:ascii="Aptos" w:eastAsia="Aptos" w:hAnsi="Aptos" w:cs="Aptos"/>
        </w:rPr>
        <w:t xml:space="preserve">(30) = 6.09, </w:t>
      </w:r>
      <w:r w:rsidRPr="2357DC9D">
        <w:rPr>
          <w:rFonts w:ascii="Aptos" w:eastAsia="Aptos" w:hAnsi="Aptos" w:cs="Aptos"/>
          <w:i/>
          <w:iCs/>
        </w:rPr>
        <w:t>p</w:t>
      </w:r>
      <w:r w:rsidRPr="2357DC9D">
        <w:rPr>
          <w:rFonts w:ascii="Aptos" w:eastAsia="Aptos" w:hAnsi="Aptos" w:cs="Aptos"/>
        </w:rPr>
        <w:t xml:space="preserve"> &lt; .001</w:t>
      </w:r>
    </w:p>
    <w:p w14:paraId="136D2201" w14:textId="61B5FFF5" w:rsidR="0018082A" w:rsidRPr="0065723F" w:rsidRDefault="099CC0F3" w:rsidP="00730F2D">
      <w:pPr>
        <w:pStyle w:val="ListParagraph"/>
        <w:numPr>
          <w:ilvl w:val="0"/>
          <w:numId w:val="33"/>
        </w:numPr>
        <w:spacing w:after="0" w:line="360" w:lineRule="auto"/>
        <w:rPr>
          <w:rFonts w:ascii="Aptos" w:eastAsia="Aptos" w:hAnsi="Aptos" w:cs="Aptos"/>
        </w:rPr>
      </w:pPr>
      <w:r w:rsidRPr="2357DC9D">
        <w:rPr>
          <w:rFonts w:ascii="Aptos" w:eastAsia="Aptos" w:hAnsi="Aptos" w:cs="Aptos"/>
          <w:b/>
          <w:bCs/>
        </w:rPr>
        <w:t>Emotional Exhaustion (MBI-EE)</w:t>
      </w:r>
      <w:r w:rsidR="6E9A1A1D" w:rsidRPr="2357DC9D">
        <w:rPr>
          <w:rFonts w:ascii="Aptos" w:eastAsia="Aptos" w:hAnsi="Aptos" w:cs="Aptos"/>
          <w:b/>
          <w:bCs/>
        </w:rPr>
        <w:t xml:space="preserve"> - </w:t>
      </w:r>
      <w:r w:rsidRPr="2357DC9D">
        <w:rPr>
          <w:rFonts w:ascii="Aptos" w:eastAsia="Aptos" w:hAnsi="Aptos" w:cs="Aptos"/>
        </w:rPr>
        <w:t xml:space="preserve">Decreased from 26.84 (SD = 9.42) to 19.97 (SD = 10.03); mean difference = +6.87, 95% CI [3.20, 10.54], </w:t>
      </w:r>
      <w:r w:rsidRPr="2357DC9D">
        <w:rPr>
          <w:rFonts w:ascii="Aptos" w:eastAsia="Aptos" w:hAnsi="Aptos" w:cs="Aptos"/>
          <w:i/>
          <w:iCs/>
        </w:rPr>
        <w:t>t</w:t>
      </w:r>
      <w:r w:rsidRPr="2357DC9D">
        <w:rPr>
          <w:rFonts w:ascii="Aptos" w:eastAsia="Aptos" w:hAnsi="Aptos" w:cs="Aptos"/>
        </w:rPr>
        <w:t xml:space="preserve">(30) = 3.83, </w:t>
      </w:r>
      <w:r w:rsidRPr="2357DC9D">
        <w:rPr>
          <w:rFonts w:ascii="Aptos" w:eastAsia="Aptos" w:hAnsi="Aptos" w:cs="Aptos"/>
          <w:i/>
          <w:iCs/>
        </w:rPr>
        <w:t>p</w:t>
      </w:r>
      <w:r w:rsidRPr="2357DC9D">
        <w:rPr>
          <w:rFonts w:ascii="Aptos" w:eastAsia="Aptos" w:hAnsi="Aptos" w:cs="Aptos"/>
        </w:rPr>
        <w:t xml:space="preserve"> &lt; .00</w:t>
      </w:r>
      <w:r w:rsidR="00730F2D">
        <w:rPr>
          <w:rFonts w:ascii="Aptos" w:eastAsia="Aptos" w:hAnsi="Aptos" w:cs="Aptos"/>
        </w:rPr>
        <w:t>1</w:t>
      </w:r>
    </w:p>
    <w:p w14:paraId="17577198" w14:textId="1E29400F" w:rsidR="0018082A" w:rsidRPr="0065723F" w:rsidRDefault="099CC0F3" w:rsidP="2357DC9D">
      <w:pPr>
        <w:pStyle w:val="ListParagraph"/>
        <w:numPr>
          <w:ilvl w:val="0"/>
          <w:numId w:val="33"/>
        </w:numPr>
        <w:spacing w:after="0" w:line="360" w:lineRule="auto"/>
        <w:rPr>
          <w:rFonts w:ascii="Aptos" w:eastAsia="Aptos" w:hAnsi="Aptos" w:cs="Aptos"/>
        </w:rPr>
      </w:pPr>
      <w:r w:rsidRPr="2357DC9D">
        <w:rPr>
          <w:rFonts w:ascii="Aptos" w:eastAsia="Aptos" w:hAnsi="Aptos" w:cs="Aptos"/>
          <w:b/>
          <w:bCs/>
        </w:rPr>
        <w:lastRenderedPageBreak/>
        <w:t>Depersonalisation (MBI-DP)</w:t>
      </w:r>
      <w:r w:rsidR="0D070DE1" w:rsidRPr="2357DC9D">
        <w:rPr>
          <w:rFonts w:ascii="Aptos" w:eastAsia="Aptos" w:hAnsi="Aptos" w:cs="Aptos"/>
          <w:b/>
          <w:bCs/>
        </w:rPr>
        <w:t xml:space="preserve"> - </w:t>
      </w:r>
      <w:r w:rsidRPr="2357DC9D">
        <w:rPr>
          <w:rFonts w:ascii="Aptos" w:eastAsia="Aptos" w:hAnsi="Aptos" w:cs="Aptos"/>
        </w:rPr>
        <w:t xml:space="preserve">Decreased from 8.97 (SD = 5.46) to 7.19 (SD = 6.18); mean difference = +1.77, 95% CI [−0.05, 3.60], </w:t>
      </w:r>
      <w:r w:rsidRPr="2357DC9D">
        <w:rPr>
          <w:rFonts w:ascii="Aptos" w:eastAsia="Aptos" w:hAnsi="Aptos" w:cs="Aptos"/>
          <w:i/>
          <w:iCs/>
        </w:rPr>
        <w:t>t</w:t>
      </w:r>
      <w:r w:rsidRPr="2357DC9D">
        <w:rPr>
          <w:rFonts w:ascii="Aptos" w:eastAsia="Aptos" w:hAnsi="Aptos" w:cs="Aptos"/>
        </w:rPr>
        <w:t xml:space="preserve">(30) = 1.99, </w:t>
      </w:r>
      <w:r w:rsidRPr="2357DC9D">
        <w:rPr>
          <w:rFonts w:ascii="Aptos" w:eastAsia="Aptos" w:hAnsi="Aptos" w:cs="Aptos"/>
          <w:i/>
          <w:iCs/>
        </w:rPr>
        <w:t>p</w:t>
      </w:r>
      <w:r w:rsidRPr="2357DC9D">
        <w:rPr>
          <w:rFonts w:ascii="Aptos" w:eastAsia="Aptos" w:hAnsi="Aptos" w:cs="Aptos"/>
        </w:rPr>
        <w:t xml:space="preserve"> = .056</w:t>
      </w:r>
    </w:p>
    <w:p w14:paraId="4FE2C65D" w14:textId="4735E6BF" w:rsidR="0018082A" w:rsidRPr="0065723F" w:rsidRDefault="099CC0F3" w:rsidP="2357DC9D">
      <w:pPr>
        <w:pStyle w:val="ListParagraph"/>
        <w:numPr>
          <w:ilvl w:val="0"/>
          <w:numId w:val="33"/>
        </w:numPr>
        <w:spacing w:after="0" w:line="360" w:lineRule="auto"/>
        <w:rPr>
          <w:rFonts w:ascii="Aptos" w:eastAsia="Aptos" w:hAnsi="Aptos" w:cs="Aptos"/>
          <w:i/>
          <w:iCs/>
        </w:rPr>
      </w:pPr>
      <w:r w:rsidRPr="2357DC9D">
        <w:rPr>
          <w:rFonts w:ascii="Aptos" w:eastAsia="Aptos" w:hAnsi="Aptos" w:cs="Aptos"/>
          <w:b/>
          <w:bCs/>
        </w:rPr>
        <w:t>Personal Accomplishment (MBI-PA)</w:t>
      </w:r>
      <w:r w:rsidR="789B96BD" w:rsidRPr="2357DC9D">
        <w:rPr>
          <w:rFonts w:ascii="Aptos" w:eastAsia="Aptos" w:hAnsi="Aptos" w:cs="Aptos"/>
          <w:b/>
          <w:bCs/>
        </w:rPr>
        <w:t xml:space="preserve"> - </w:t>
      </w:r>
      <w:r w:rsidRPr="2357DC9D">
        <w:rPr>
          <w:rFonts w:ascii="Aptos" w:eastAsia="Aptos" w:hAnsi="Aptos" w:cs="Aptos"/>
        </w:rPr>
        <w:t xml:space="preserve">Decreased from 24.58 (SD = 7.16) to 21.06 (SD = 8.02); mean difference = +3.52, 95% CI [1.03, 6.00], </w:t>
      </w:r>
      <w:r w:rsidRPr="2357DC9D">
        <w:rPr>
          <w:rFonts w:ascii="Aptos" w:eastAsia="Aptos" w:hAnsi="Aptos" w:cs="Aptos"/>
          <w:i/>
          <w:iCs/>
        </w:rPr>
        <w:t>t</w:t>
      </w:r>
      <w:r w:rsidRPr="2357DC9D">
        <w:rPr>
          <w:rFonts w:ascii="Aptos" w:eastAsia="Aptos" w:hAnsi="Aptos" w:cs="Aptos"/>
        </w:rPr>
        <w:t xml:space="preserve">(30) = 2.89, </w:t>
      </w:r>
      <w:r w:rsidRPr="2357DC9D">
        <w:rPr>
          <w:rFonts w:ascii="Aptos" w:eastAsia="Aptos" w:hAnsi="Aptos" w:cs="Aptos"/>
          <w:i/>
          <w:iCs/>
        </w:rPr>
        <w:t>p</w:t>
      </w:r>
      <w:r w:rsidRPr="2357DC9D">
        <w:rPr>
          <w:rFonts w:ascii="Aptos" w:eastAsia="Aptos" w:hAnsi="Aptos" w:cs="Aptos"/>
        </w:rPr>
        <w:t xml:space="preserve"> = .007</w:t>
      </w:r>
      <w:r w:rsidR="00730F2D">
        <w:rPr>
          <w:rFonts w:ascii="Aptos" w:eastAsia="Aptos" w:hAnsi="Aptos" w:cs="Aptos"/>
        </w:rPr>
        <w:t xml:space="preserve"> </w:t>
      </w:r>
      <w:r w:rsidRPr="2357DC9D">
        <w:rPr>
          <w:rFonts w:ascii="Aptos" w:eastAsia="Aptos" w:hAnsi="Aptos" w:cs="Aptos"/>
          <w:i/>
          <w:iCs/>
        </w:rPr>
        <w:t>(</w:t>
      </w:r>
      <w:r w:rsidR="3926F3C2" w:rsidRPr="2357DC9D">
        <w:rPr>
          <w:rFonts w:ascii="Aptos" w:eastAsia="Aptos" w:hAnsi="Aptos" w:cs="Aptos"/>
          <w:i/>
          <w:iCs/>
        </w:rPr>
        <w:t xml:space="preserve">Note - </w:t>
      </w:r>
      <w:r w:rsidRPr="2357DC9D">
        <w:rPr>
          <w:rFonts w:ascii="Aptos" w:eastAsia="Aptos" w:hAnsi="Aptos" w:cs="Aptos"/>
          <w:i/>
          <w:iCs/>
        </w:rPr>
        <w:t>Higher PA is better; the positive pre–post difference indicates a decline.)</w:t>
      </w:r>
    </w:p>
    <w:p w14:paraId="5EE6A218" w14:textId="0ED9625B" w:rsidR="0018082A" w:rsidRPr="0065723F" w:rsidRDefault="099CC0F3" w:rsidP="2357DC9D">
      <w:pPr>
        <w:pStyle w:val="ListParagraph"/>
        <w:numPr>
          <w:ilvl w:val="0"/>
          <w:numId w:val="33"/>
        </w:numPr>
        <w:spacing w:after="0" w:line="360" w:lineRule="auto"/>
        <w:rPr>
          <w:rFonts w:ascii="Aptos" w:eastAsia="Aptos" w:hAnsi="Aptos" w:cs="Aptos"/>
        </w:rPr>
      </w:pPr>
      <w:r w:rsidRPr="2357DC9D">
        <w:rPr>
          <w:rFonts w:ascii="Aptos" w:eastAsia="Aptos" w:hAnsi="Aptos" w:cs="Aptos"/>
          <w:b/>
          <w:bCs/>
        </w:rPr>
        <w:t>Mental wellbeing (SWEMWBS)</w:t>
      </w:r>
      <w:r w:rsidR="65C21FBC" w:rsidRPr="2357DC9D">
        <w:rPr>
          <w:rFonts w:ascii="Aptos" w:eastAsia="Aptos" w:hAnsi="Aptos" w:cs="Aptos"/>
          <w:b/>
          <w:bCs/>
        </w:rPr>
        <w:t xml:space="preserve"> - </w:t>
      </w:r>
      <w:r w:rsidRPr="2357DC9D">
        <w:rPr>
          <w:rFonts w:ascii="Aptos" w:eastAsia="Aptos" w:hAnsi="Aptos" w:cs="Aptos"/>
        </w:rPr>
        <w:t xml:space="preserve">Increased from 23.32 (SD = 3.77) to 25.48 (SD = 6.24); mean difference = −2.16, 95% CI [−4.62, 0.30], </w:t>
      </w:r>
      <w:r w:rsidRPr="2357DC9D">
        <w:rPr>
          <w:rFonts w:ascii="Aptos" w:eastAsia="Aptos" w:hAnsi="Aptos" w:cs="Aptos"/>
          <w:i/>
          <w:iCs/>
        </w:rPr>
        <w:t>t</w:t>
      </w:r>
      <w:r w:rsidRPr="2357DC9D">
        <w:rPr>
          <w:rFonts w:ascii="Aptos" w:eastAsia="Aptos" w:hAnsi="Aptos" w:cs="Aptos"/>
        </w:rPr>
        <w:t xml:space="preserve">(30) = −1.79, </w:t>
      </w:r>
      <w:r w:rsidRPr="2357DC9D">
        <w:rPr>
          <w:rFonts w:ascii="Aptos" w:eastAsia="Aptos" w:hAnsi="Aptos" w:cs="Aptos"/>
          <w:i/>
          <w:iCs/>
        </w:rPr>
        <w:t>p</w:t>
      </w:r>
      <w:r w:rsidRPr="2357DC9D">
        <w:rPr>
          <w:rFonts w:ascii="Aptos" w:eastAsia="Aptos" w:hAnsi="Aptos" w:cs="Aptos"/>
        </w:rPr>
        <w:t xml:space="preserve"> = .083</w:t>
      </w:r>
    </w:p>
    <w:p w14:paraId="13883E20" w14:textId="36798BC4" w:rsidR="0018082A" w:rsidRPr="0065723F" w:rsidRDefault="099CC0F3" w:rsidP="2357DC9D">
      <w:pPr>
        <w:pStyle w:val="ListParagraph"/>
        <w:numPr>
          <w:ilvl w:val="0"/>
          <w:numId w:val="33"/>
        </w:numPr>
        <w:spacing w:after="0" w:line="360" w:lineRule="auto"/>
        <w:rPr>
          <w:rFonts w:ascii="Aptos" w:eastAsia="Aptos" w:hAnsi="Aptos" w:cs="Aptos"/>
        </w:rPr>
      </w:pPr>
      <w:r w:rsidRPr="2357DC9D">
        <w:rPr>
          <w:rFonts w:ascii="Aptos" w:eastAsia="Aptos" w:hAnsi="Aptos" w:cs="Aptos"/>
          <w:b/>
          <w:bCs/>
        </w:rPr>
        <w:t>ONS items</w:t>
      </w:r>
      <w:r w:rsidRPr="2357DC9D">
        <w:rPr>
          <w:rFonts w:ascii="Aptos" w:eastAsia="Aptos" w:hAnsi="Aptos" w:cs="Aptos"/>
        </w:rPr>
        <w:t xml:space="preserve"> . Satisfaction: </w:t>
      </w:r>
      <w:r w:rsidRPr="2357DC9D">
        <w:rPr>
          <w:rFonts w:ascii="Aptos" w:eastAsia="Aptos" w:hAnsi="Aptos" w:cs="Aptos"/>
          <w:i/>
          <w:iCs/>
        </w:rPr>
        <w:t>t</w:t>
      </w:r>
      <w:r w:rsidRPr="2357DC9D">
        <w:rPr>
          <w:rFonts w:ascii="Aptos" w:eastAsia="Aptos" w:hAnsi="Aptos" w:cs="Aptos"/>
        </w:rPr>
        <w:t xml:space="preserve">(30) = −0.95, </w:t>
      </w:r>
      <w:r w:rsidRPr="2357DC9D">
        <w:rPr>
          <w:rFonts w:ascii="Aptos" w:eastAsia="Aptos" w:hAnsi="Aptos" w:cs="Aptos"/>
          <w:i/>
          <w:iCs/>
        </w:rPr>
        <w:t>p</w:t>
      </w:r>
      <w:r w:rsidRPr="2357DC9D">
        <w:rPr>
          <w:rFonts w:ascii="Aptos" w:eastAsia="Aptos" w:hAnsi="Aptos" w:cs="Aptos"/>
        </w:rPr>
        <w:t xml:space="preserve"> = .352; Worthwhile: </w:t>
      </w:r>
      <w:r w:rsidRPr="2357DC9D">
        <w:rPr>
          <w:rFonts w:ascii="Aptos" w:eastAsia="Aptos" w:hAnsi="Aptos" w:cs="Aptos"/>
          <w:i/>
          <w:iCs/>
        </w:rPr>
        <w:t>t</w:t>
      </w:r>
      <w:r w:rsidRPr="2357DC9D">
        <w:rPr>
          <w:rFonts w:ascii="Aptos" w:eastAsia="Aptos" w:hAnsi="Aptos" w:cs="Aptos"/>
        </w:rPr>
        <w:t xml:space="preserve">(30) = −1.61, </w:t>
      </w:r>
      <w:r w:rsidRPr="2357DC9D">
        <w:rPr>
          <w:rFonts w:ascii="Aptos" w:eastAsia="Aptos" w:hAnsi="Aptos" w:cs="Aptos"/>
          <w:i/>
          <w:iCs/>
        </w:rPr>
        <w:t>p</w:t>
      </w:r>
      <w:r w:rsidRPr="2357DC9D">
        <w:rPr>
          <w:rFonts w:ascii="Aptos" w:eastAsia="Aptos" w:hAnsi="Aptos" w:cs="Aptos"/>
        </w:rPr>
        <w:t xml:space="preserve"> = .118; Happiness: </w:t>
      </w:r>
      <w:r w:rsidRPr="2357DC9D">
        <w:rPr>
          <w:rFonts w:ascii="Aptos" w:eastAsia="Aptos" w:hAnsi="Aptos" w:cs="Aptos"/>
          <w:i/>
          <w:iCs/>
        </w:rPr>
        <w:t>t</w:t>
      </w:r>
      <w:r w:rsidRPr="2357DC9D">
        <w:rPr>
          <w:rFonts w:ascii="Aptos" w:eastAsia="Aptos" w:hAnsi="Aptos" w:cs="Aptos"/>
        </w:rPr>
        <w:t xml:space="preserve">(30) = 0.73, </w:t>
      </w:r>
      <w:r w:rsidRPr="2357DC9D">
        <w:rPr>
          <w:rFonts w:ascii="Aptos" w:eastAsia="Aptos" w:hAnsi="Aptos" w:cs="Aptos"/>
          <w:i/>
          <w:iCs/>
        </w:rPr>
        <w:t>p</w:t>
      </w:r>
      <w:r w:rsidRPr="2357DC9D">
        <w:rPr>
          <w:rFonts w:ascii="Aptos" w:eastAsia="Aptos" w:hAnsi="Aptos" w:cs="Aptos"/>
        </w:rPr>
        <w:t xml:space="preserve"> = .472; Anxiety: </w:t>
      </w:r>
      <w:r w:rsidRPr="2357DC9D">
        <w:rPr>
          <w:rFonts w:ascii="Aptos" w:eastAsia="Aptos" w:hAnsi="Aptos" w:cs="Aptos"/>
          <w:i/>
          <w:iCs/>
        </w:rPr>
        <w:t>t</w:t>
      </w:r>
      <w:r w:rsidRPr="2357DC9D">
        <w:rPr>
          <w:rFonts w:ascii="Aptos" w:eastAsia="Aptos" w:hAnsi="Aptos" w:cs="Aptos"/>
        </w:rPr>
        <w:t xml:space="preserve">(30) = 1.68, </w:t>
      </w:r>
      <w:r w:rsidRPr="2357DC9D">
        <w:rPr>
          <w:rFonts w:ascii="Aptos" w:eastAsia="Aptos" w:hAnsi="Aptos" w:cs="Aptos"/>
          <w:i/>
          <w:iCs/>
        </w:rPr>
        <w:t>p</w:t>
      </w:r>
      <w:r w:rsidRPr="2357DC9D">
        <w:rPr>
          <w:rFonts w:ascii="Aptos" w:eastAsia="Aptos" w:hAnsi="Aptos" w:cs="Aptos"/>
        </w:rPr>
        <w:t xml:space="preserve"> = .103</w:t>
      </w:r>
    </w:p>
    <w:tbl>
      <w:tblPr>
        <w:tblW w:w="9356" w:type="dxa"/>
        <w:tblInd w:w="10" w:type="dxa"/>
        <w:tblLayout w:type="fixed"/>
        <w:tblCellMar>
          <w:left w:w="10" w:type="dxa"/>
          <w:right w:w="10" w:type="dxa"/>
        </w:tblCellMar>
        <w:tblLook w:val="0000" w:firstRow="0" w:lastRow="0" w:firstColumn="0" w:lastColumn="0" w:noHBand="0" w:noVBand="0"/>
      </w:tblPr>
      <w:tblGrid>
        <w:gridCol w:w="9356"/>
      </w:tblGrid>
      <w:tr w:rsidR="00730F2D" w:rsidRPr="004003E1" w14:paraId="7774A118" w14:textId="77777777" w:rsidTr="00804E4C">
        <w:tblPrEx>
          <w:tblCellMar>
            <w:top w:w="0" w:type="dxa"/>
            <w:bottom w:w="0" w:type="dxa"/>
          </w:tblCellMar>
        </w:tblPrEx>
        <w:tc>
          <w:tcPr>
            <w:tcW w:w="9356" w:type="dxa"/>
            <w:shd w:val="clear" w:color="auto" w:fill="FFFFFF"/>
            <w:vAlign w:val="center"/>
          </w:tcPr>
          <w:p w14:paraId="0B497865" w14:textId="77777777" w:rsidR="00730F2D" w:rsidRDefault="00730F2D" w:rsidP="00804E4C">
            <w:pPr>
              <w:spacing w:before="5" w:after="30"/>
              <w:ind w:left="30" w:right="40"/>
              <w:rPr>
                <w:rFonts w:asciiTheme="majorHAnsi" w:eastAsia="Arial" w:hAnsiTheme="majorHAnsi" w:cs="Arial"/>
                <w:b/>
                <w:color w:val="010205"/>
              </w:rPr>
            </w:pPr>
          </w:p>
          <w:p w14:paraId="2C41E82C" w14:textId="5B917B60" w:rsidR="00730F2D" w:rsidRPr="004003E1" w:rsidRDefault="00730F2D" w:rsidP="00804E4C">
            <w:pPr>
              <w:spacing w:before="5" w:after="30"/>
              <w:ind w:left="30" w:right="40"/>
              <w:rPr>
                <w:rFonts w:asciiTheme="majorHAnsi" w:hAnsiTheme="majorHAnsi"/>
              </w:rPr>
            </w:pPr>
            <w:r>
              <w:rPr>
                <w:rFonts w:asciiTheme="majorHAnsi" w:eastAsia="Arial" w:hAnsiTheme="majorHAnsi" w:cs="Arial"/>
                <w:b/>
                <w:color w:val="010205"/>
              </w:rPr>
              <w:t>Table 2 - Paired Samples Statistics</w:t>
            </w:r>
          </w:p>
        </w:tc>
      </w:tr>
    </w:tbl>
    <w:p w14:paraId="2E52116A" w14:textId="4BD6EDD5" w:rsidR="0018082A" w:rsidRPr="00730F2D" w:rsidRDefault="0018082A" w:rsidP="00730F2D">
      <w:pPr>
        <w:spacing w:after="0" w:line="360" w:lineRule="auto"/>
        <w:rPr>
          <w:rFonts w:ascii="Aptos" w:eastAsia="Aptos" w:hAnsi="Aptos" w:cs="Aptos"/>
        </w:rPr>
      </w:pPr>
    </w:p>
    <w:tbl>
      <w:tblPr>
        <w:tblW w:w="0" w:type="auto"/>
        <w:tblInd w:w="10" w:type="dxa"/>
        <w:tblLayout w:type="fixed"/>
        <w:tblCellMar>
          <w:left w:w="10" w:type="dxa"/>
          <w:right w:w="10" w:type="dxa"/>
        </w:tblCellMar>
        <w:tblLook w:val="0000" w:firstRow="0" w:lastRow="0" w:firstColumn="0" w:lastColumn="0" w:noHBand="0" w:noVBand="0"/>
      </w:tblPr>
      <w:tblGrid>
        <w:gridCol w:w="833"/>
        <w:gridCol w:w="2227"/>
        <w:gridCol w:w="1156"/>
        <w:gridCol w:w="1156"/>
        <w:gridCol w:w="1513"/>
        <w:gridCol w:w="1666"/>
      </w:tblGrid>
      <w:tr w:rsidR="00730F2D" w14:paraId="314F93B0" w14:textId="77777777" w:rsidTr="00804E4C">
        <w:tblPrEx>
          <w:tblCellMar>
            <w:top w:w="0" w:type="dxa"/>
            <w:bottom w:w="0" w:type="dxa"/>
          </w:tblCellMar>
        </w:tblPrEx>
        <w:tc>
          <w:tcPr>
            <w:tcW w:w="3060" w:type="dxa"/>
            <w:gridSpan w:val="2"/>
            <w:tcBorders>
              <w:top w:val="none" w:sz="1" w:space="0" w:color="152935"/>
              <w:left w:val="none" w:sz="1" w:space="0" w:color="152935"/>
              <w:bottom w:val="single" w:sz="1" w:space="0" w:color="152935"/>
            </w:tcBorders>
            <w:shd w:val="clear" w:color="auto" w:fill="FFFFFF"/>
            <w:vAlign w:val="bottom"/>
          </w:tcPr>
          <w:p w14:paraId="66EE142F" w14:textId="77777777" w:rsidR="00730F2D" w:rsidRDefault="00730F2D" w:rsidP="00804E4C">
            <w:pPr>
              <w:spacing w:before="15" w:after="5"/>
              <w:ind w:left="30" w:right="40"/>
            </w:pPr>
          </w:p>
        </w:tc>
        <w:tc>
          <w:tcPr>
            <w:tcW w:w="1156" w:type="dxa"/>
            <w:tcBorders>
              <w:top w:val="none" w:sz="1" w:space="0" w:color="152935"/>
              <w:left w:val="none" w:sz="1" w:space="0" w:color="152935"/>
              <w:bottom w:val="single" w:sz="1" w:space="0" w:color="152935"/>
              <w:right w:val="none" w:sz="1" w:space="0" w:color="AEAEAE"/>
            </w:tcBorders>
            <w:shd w:val="clear" w:color="auto" w:fill="FFFFFF"/>
            <w:vAlign w:val="bottom"/>
          </w:tcPr>
          <w:p w14:paraId="56893DD1" w14:textId="77777777" w:rsidR="00730F2D" w:rsidRDefault="00730F2D" w:rsidP="00804E4C">
            <w:pPr>
              <w:spacing w:before="10" w:after="10"/>
              <w:ind w:left="30" w:right="40"/>
              <w:jc w:val="center"/>
            </w:pPr>
            <w:r>
              <w:rPr>
                <w:rFonts w:ascii="Arial" w:eastAsia="Arial" w:hAnsi="Arial" w:cs="Arial"/>
                <w:color w:val="264A60"/>
              </w:rPr>
              <w:t>Mean</w:t>
            </w:r>
          </w:p>
        </w:tc>
        <w:tc>
          <w:tcPr>
            <w:tcW w:w="1156" w:type="dxa"/>
            <w:tcBorders>
              <w:top w:val="none" w:sz="1" w:space="0" w:color="152935"/>
              <w:left w:val="single" w:sz="1" w:space="0" w:color="E0E0E0"/>
              <w:bottom w:val="single" w:sz="1" w:space="0" w:color="152935"/>
              <w:right w:val="none" w:sz="1" w:space="0" w:color="AEAEAE"/>
            </w:tcBorders>
            <w:shd w:val="clear" w:color="auto" w:fill="FFFFFF"/>
            <w:vAlign w:val="bottom"/>
          </w:tcPr>
          <w:p w14:paraId="6A156698" w14:textId="77777777" w:rsidR="00730F2D" w:rsidRDefault="00730F2D" w:rsidP="00804E4C">
            <w:pPr>
              <w:spacing w:before="10" w:after="10"/>
              <w:ind w:left="30" w:right="40"/>
              <w:jc w:val="center"/>
            </w:pPr>
            <w:r>
              <w:rPr>
                <w:rFonts w:ascii="Arial" w:eastAsia="Arial" w:hAnsi="Arial" w:cs="Arial"/>
                <w:color w:val="264A60"/>
              </w:rPr>
              <w:t>N</w:t>
            </w:r>
          </w:p>
        </w:tc>
        <w:tc>
          <w:tcPr>
            <w:tcW w:w="1513" w:type="dxa"/>
            <w:tcBorders>
              <w:top w:val="none" w:sz="1" w:space="0" w:color="152935"/>
              <w:left w:val="single" w:sz="1" w:space="0" w:color="E0E0E0"/>
              <w:bottom w:val="single" w:sz="1" w:space="0" w:color="152935"/>
              <w:right w:val="none" w:sz="1" w:space="0" w:color="AEAEAE"/>
            </w:tcBorders>
            <w:shd w:val="clear" w:color="auto" w:fill="FFFFFF"/>
            <w:vAlign w:val="bottom"/>
          </w:tcPr>
          <w:p w14:paraId="520DD618" w14:textId="77777777" w:rsidR="00730F2D" w:rsidRDefault="00730F2D" w:rsidP="00804E4C">
            <w:pPr>
              <w:spacing w:before="10" w:after="10"/>
              <w:ind w:left="30" w:right="40"/>
              <w:jc w:val="center"/>
            </w:pPr>
            <w:r>
              <w:rPr>
                <w:rFonts w:ascii="Arial" w:eastAsia="Arial" w:hAnsi="Arial" w:cs="Arial"/>
                <w:color w:val="264A60"/>
              </w:rPr>
              <w:t>Std. Deviation</w:t>
            </w:r>
          </w:p>
        </w:tc>
        <w:tc>
          <w:tcPr>
            <w:tcW w:w="1666" w:type="dxa"/>
            <w:tcBorders>
              <w:top w:val="none" w:sz="1" w:space="0" w:color="152935"/>
              <w:left w:val="single" w:sz="1" w:space="0" w:color="E0E0E0"/>
              <w:bottom w:val="single" w:sz="1" w:space="0" w:color="152935"/>
              <w:right w:val="none" w:sz="1" w:space="0" w:color="152935"/>
            </w:tcBorders>
            <w:shd w:val="clear" w:color="auto" w:fill="FFFFFF"/>
            <w:vAlign w:val="bottom"/>
          </w:tcPr>
          <w:p w14:paraId="77DB40BD" w14:textId="77777777" w:rsidR="00730F2D" w:rsidRDefault="00730F2D" w:rsidP="00804E4C">
            <w:pPr>
              <w:spacing w:before="10" w:after="10"/>
              <w:ind w:left="30" w:right="40"/>
              <w:jc w:val="center"/>
            </w:pPr>
            <w:r>
              <w:rPr>
                <w:rFonts w:ascii="Arial" w:eastAsia="Arial" w:hAnsi="Arial" w:cs="Arial"/>
                <w:color w:val="264A60"/>
              </w:rPr>
              <w:t>Std. Error Mean</w:t>
            </w:r>
          </w:p>
        </w:tc>
      </w:tr>
      <w:tr w:rsidR="00730F2D" w14:paraId="7A6BAB33" w14:textId="77777777" w:rsidTr="00804E4C">
        <w:tblPrEx>
          <w:tblCellMar>
            <w:top w:w="0" w:type="dxa"/>
            <w:bottom w:w="0" w:type="dxa"/>
          </w:tblCellMar>
        </w:tblPrEx>
        <w:tc>
          <w:tcPr>
            <w:tcW w:w="833" w:type="dxa"/>
            <w:vMerge w:val="restart"/>
            <w:tcBorders>
              <w:top w:val="single" w:sz="1" w:space="0" w:color="152935"/>
              <w:left w:val="none" w:sz="1" w:space="0" w:color="152935"/>
              <w:bottom w:val="single" w:sz="1" w:space="0" w:color="AEAEAE"/>
              <w:right w:val="none" w:sz="1" w:space="0" w:color="AEAEAE"/>
            </w:tcBorders>
            <w:shd w:val="clear" w:color="auto" w:fill="E0E0E0"/>
          </w:tcPr>
          <w:p w14:paraId="54E198AF" w14:textId="77777777" w:rsidR="00730F2D" w:rsidRDefault="00730F2D" w:rsidP="00804E4C">
            <w:pPr>
              <w:spacing w:before="15" w:after="10"/>
              <w:ind w:left="30" w:right="40"/>
            </w:pPr>
            <w:r>
              <w:rPr>
                <w:rFonts w:ascii="Arial" w:eastAsia="Arial" w:hAnsi="Arial" w:cs="Arial"/>
                <w:color w:val="264A60"/>
              </w:rPr>
              <w:t>Pair 1</w:t>
            </w:r>
          </w:p>
        </w:tc>
        <w:tc>
          <w:tcPr>
            <w:tcW w:w="2227" w:type="dxa"/>
            <w:tcBorders>
              <w:top w:val="single" w:sz="1" w:space="0" w:color="152935"/>
              <w:left w:val="none" w:sz="1" w:space="0" w:color="AEAEAE"/>
              <w:bottom w:val="single" w:sz="1" w:space="0" w:color="AEAEAE"/>
              <w:right w:val="none" w:sz="1" w:space="0" w:color="152935"/>
            </w:tcBorders>
            <w:shd w:val="clear" w:color="auto" w:fill="E0E0E0"/>
          </w:tcPr>
          <w:p w14:paraId="6DAB51EE" w14:textId="77777777" w:rsidR="00730F2D" w:rsidRDefault="00730F2D" w:rsidP="00804E4C">
            <w:pPr>
              <w:spacing w:before="15" w:after="10"/>
              <w:ind w:left="30" w:right="40"/>
            </w:pPr>
            <w:r>
              <w:rPr>
                <w:rFonts w:ascii="Arial" w:eastAsia="Arial" w:hAnsi="Arial" w:cs="Arial"/>
                <w:color w:val="264A60"/>
              </w:rPr>
              <w:t>BDI_PRE</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607307ED" w14:textId="77777777" w:rsidR="00730F2D" w:rsidRDefault="00730F2D" w:rsidP="00804E4C">
            <w:pPr>
              <w:spacing w:before="15" w:after="10"/>
              <w:ind w:left="30" w:right="40"/>
              <w:jc w:val="right"/>
            </w:pPr>
            <w:r>
              <w:rPr>
                <w:rFonts w:ascii="Arial" w:eastAsia="Arial" w:hAnsi="Arial" w:cs="Arial"/>
                <w:color w:val="010205"/>
              </w:rPr>
              <w:t>13.29</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380401AA" w14:textId="77777777" w:rsidR="00730F2D" w:rsidRDefault="00730F2D" w:rsidP="00804E4C">
            <w:pPr>
              <w:spacing w:before="15" w:after="10"/>
              <w:ind w:left="30" w:right="40"/>
              <w:jc w:val="right"/>
            </w:pPr>
            <w:r>
              <w:rPr>
                <w:rFonts w:ascii="Arial" w:eastAsia="Arial" w:hAnsi="Arial" w:cs="Arial"/>
                <w:color w:val="010205"/>
              </w:rPr>
              <w:t>31</w:t>
            </w:r>
          </w:p>
        </w:tc>
        <w:tc>
          <w:tcPr>
            <w:tcW w:w="1513" w:type="dxa"/>
            <w:tcBorders>
              <w:top w:val="single" w:sz="1" w:space="0" w:color="152935"/>
              <w:left w:val="single" w:sz="1" w:space="0" w:color="E0E0E0"/>
              <w:bottom w:val="single" w:sz="1" w:space="0" w:color="AEAEAE"/>
              <w:right w:val="none" w:sz="1" w:space="0" w:color="AEAEAE"/>
            </w:tcBorders>
            <w:shd w:val="clear" w:color="auto" w:fill="F9F9FB"/>
          </w:tcPr>
          <w:p w14:paraId="0CC0A62F" w14:textId="77777777" w:rsidR="00730F2D" w:rsidRDefault="00730F2D" w:rsidP="00804E4C">
            <w:pPr>
              <w:spacing w:before="15" w:after="10"/>
              <w:ind w:left="30" w:right="40"/>
              <w:jc w:val="right"/>
            </w:pPr>
            <w:r>
              <w:rPr>
                <w:rFonts w:ascii="Arial" w:eastAsia="Arial" w:hAnsi="Arial" w:cs="Arial"/>
                <w:color w:val="010205"/>
              </w:rPr>
              <w:t>8.719</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55B4213B" w14:textId="77777777" w:rsidR="00730F2D" w:rsidRDefault="00730F2D" w:rsidP="00804E4C">
            <w:pPr>
              <w:spacing w:before="15" w:after="10"/>
              <w:ind w:left="30" w:right="40"/>
              <w:jc w:val="right"/>
            </w:pPr>
            <w:r>
              <w:rPr>
                <w:rFonts w:ascii="Arial" w:eastAsia="Arial" w:hAnsi="Arial" w:cs="Arial"/>
                <w:color w:val="010205"/>
              </w:rPr>
              <w:t>1.566</w:t>
            </w:r>
          </w:p>
        </w:tc>
      </w:tr>
      <w:tr w:rsidR="00730F2D" w14:paraId="3B70A448" w14:textId="77777777" w:rsidTr="00804E4C">
        <w:tblPrEx>
          <w:tblCellMar>
            <w:top w:w="0" w:type="dxa"/>
            <w:bottom w:w="0" w:type="dxa"/>
          </w:tblCellMar>
        </w:tblPrEx>
        <w:tc>
          <w:tcPr>
            <w:tcW w:w="833" w:type="dxa"/>
            <w:vMerge/>
            <w:tcBorders>
              <w:top w:val="single" w:sz="1" w:space="0" w:color="152935"/>
              <w:left w:val="none" w:sz="1" w:space="0" w:color="152935"/>
              <w:bottom w:val="single" w:sz="1" w:space="0" w:color="AEAEAE"/>
              <w:right w:val="none" w:sz="1" w:space="0" w:color="AEAEAE"/>
            </w:tcBorders>
          </w:tcPr>
          <w:p w14:paraId="0F93AA68" w14:textId="77777777" w:rsidR="00730F2D" w:rsidRDefault="00730F2D" w:rsidP="00804E4C"/>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2EFD1A65" w14:textId="77777777" w:rsidR="00730F2D" w:rsidRDefault="00730F2D" w:rsidP="00804E4C">
            <w:pPr>
              <w:spacing w:before="15" w:after="10"/>
              <w:ind w:left="30" w:right="40"/>
            </w:pPr>
            <w:r>
              <w:rPr>
                <w:rFonts w:ascii="Arial" w:eastAsia="Arial" w:hAnsi="Arial" w:cs="Arial"/>
                <w:color w:val="264A60"/>
              </w:rPr>
              <w:t>BDI_POST</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EEA5A86" w14:textId="77777777" w:rsidR="00730F2D" w:rsidRDefault="00730F2D" w:rsidP="00804E4C">
            <w:pPr>
              <w:spacing w:before="15" w:after="10"/>
              <w:ind w:left="30" w:right="40"/>
              <w:jc w:val="right"/>
            </w:pPr>
            <w:r>
              <w:rPr>
                <w:rFonts w:ascii="Arial" w:eastAsia="Arial" w:hAnsi="Arial" w:cs="Arial"/>
                <w:color w:val="010205"/>
              </w:rPr>
              <w:t>6.55</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F9FAB9C" w14:textId="77777777" w:rsidR="00730F2D" w:rsidRDefault="00730F2D" w:rsidP="00804E4C">
            <w:pPr>
              <w:spacing w:before="15" w:after="10"/>
              <w:ind w:left="30" w:right="40"/>
              <w:jc w:val="right"/>
            </w:pPr>
            <w:r>
              <w:rPr>
                <w:rFonts w:ascii="Arial" w:eastAsia="Arial" w:hAnsi="Arial" w:cs="Arial"/>
                <w:color w:val="010205"/>
              </w:rPr>
              <w:t>31</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6B874CD8" w14:textId="77777777" w:rsidR="00730F2D" w:rsidRDefault="00730F2D" w:rsidP="00804E4C">
            <w:pPr>
              <w:spacing w:before="15" w:after="10"/>
              <w:ind w:left="30" w:right="40"/>
              <w:jc w:val="right"/>
            </w:pPr>
            <w:r>
              <w:rPr>
                <w:rFonts w:ascii="Arial" w:eastAsia="Arial" w:hAnsi="Arial" w:cs="Arial"/>
                <w:color w:val="010205"/>
              </w:rPr>
              <w:t>7.056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09BFE1E" w14:textId="77777777" w:rsidR="00730F2D" w:rsidRDefault="00730F2D" w:rsidP="00804E4C">
            <w:pPr>
              <w:spacing w:before="15" w:after="10"/>
              <w:ind w:left="30" w:right="40"/>
              <w:jc w:val="right"/>
            </w:pPr>
            <w:r>
              <w:rPr>
                <w:rFonts w:ascii="Arial" w:eastAsia="Arial" w:hAnsi="Arial" w:cs="Arial"/>
                <w:color w:val="010205"/>
              </w:rPr>
              <w:t>1.267</w:t>
            </w:r>
          </w:p>
        </w:tc>
      </w:tr>
      <w:tr w:rsidR="00730F2D" w14:paraId="57D25996" w14:textId="77777777" w:rsidTr="00804E4C">
        <w:tblPrEx>
          <w:tblCellMar>
            <w:top w:w="0" w:type="dxa"/>
            <w:bottom w:w="0" w:type="dxa"/>
          </w:tblCellMar>
        </w:tblPrEx>
        <w:tc>
          <w:tcPr>
            <w:tcW w:w="833" w:type="dxa"/>
            <w:vMerge w:val="restart"/>
            <w:tcBorders>
              <w:top w:val="single" w:sz="1" w:space="0" w:color="AEAEAE"/>
              <w:left w:val="none" w:sz="1" w:space="0" w:color="152935"/>
              <w:bottom w:val="single" w:sz="1" w:space="0" w:color="AEAEAE"/>
              <w:right w:val="none" w:sz="1" w:space="0" w:color="AEAEAE"/>
            </w:tcBorders>
            <w:shd w:val="clear" w:color="auto" w:fill="E0E0E0"/>
          </w:tcPr>
          <w:p w14:paraId="6B5B40C2" w14:textId="77777777" w:rsidR="00730F2D" w:rsidRDefault="00730F2D" w:rsidP="00804E4C">
            <w:pPr>
              <w:spacing w:before="15" w:after="10"/>
              <w:ind w:left="30" w:right="40"/>
            </w:pPr>
            <w:r>
              <w:rPr>
                <w:rFonts w:ascii="Arial" w:eastAsia="Arial" w:hAnsi="Arial" w:cs="Arial"/>
                <w:color w:val="264A60"/>
              </w:rPr>
              <w:t>Pair 2</w:t>
            </w:r>
          </w:p>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26D0542E" w14:textId="77777777" w:rsidR="00730F2D" w:rsidRDefault="00730F2D" w:rsidP="00804E4C">
            <w:pPr>
              <w:spacing w:before="15" w:after="10"/>
              <w:ind w:left="30" w:right="40"/>
            </w:pPr>
            <w:r>
              <w:rPr>
                <w:rFonts w:ascii="Arial" w:eastAsia="Arial" w:hAnsi="Arial" w:cs="Arial"/>
                <w:color w:val="264A60"/>
              </w:rPr>
              <w:t>MBI_EE_PRE</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213A2C60" w14:textId="77777777" w:rsidR="00730F2D" w:rsidRDefault="00730F2D" w:rsidP="00804E4C">
            <w:pPr>
              <w:spacing w:before="15" w:after="10"/>
              <w:ind w:left="30" w:right="40"/>
              <w:jc w:val="right"/>
            </w:pPr>
            <w:r>
              <w:rPr>
                <w:rFonts w:ascii="Arial" w:eastAsia="Arial" w:hAnsi="Arial" w:cs="Arial"/>
                <w:color w:val="010205"/>
              </w:rPr>
              <w:t>26.84</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FC5132D" w14:textId="77777777" w:rsidR="00730F2D" w:rsidRDefault="00730F2D" w:rsidP="00804E4C">
            <w:pPr>
              <w:spacing w:before="15" w:after="10"/>
              <w:ind w:left="30" w:right="40"/>
              <w:jc w:val="right"/>
            </w:pPr>
            <w:r>
              <w:rPr>
                <w:rFonts w:ascii="Arial" w:eastAsia="Arial" w:hAnsi="Arial" w:cs="Arial"/>
                <w:color w:val="010205"/>
              </w:rPr>
              <w:t>31</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567D76F2" w14:textId="77777777" w:rsidR="00730F2D" w:rsidRDefault="00730F2D" w:rsidP="00804E4C">
            <w:pPr>
              <w:spacing w:before="15" w:after="10"/>
              <w:ind w:left="30" w:right="40"/>
              <w:jc w:val="right"/>
            </w:pPr>
            <w:r>
              <w:rPr>
                <w:rFonts w:ascii="Arial" w:eastAsia="Arial" w:hAnsi="Arial" w:cs="Arial"/>
                <w:color w:val="010205"/>
              </w:rPr>
              <w:t>9.420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648F456" w14:textId="77777777" w:rsidR="00730F2D" w:rsidRDefault="00730F2D" w:rsidP="00804E4C">
            <w:pPr>
              <w:spacing w:before="15" w:after="10"/>
              <w:ind w:left="30" w:right="40"/>
              <w:jc w:val="right"/>
            </w:pPr>
            <w:r>
              <w:rPr>
                <w:rFonts w:ascii="Arial" w:eastAsia="Arial" w:hAnsi="Arial" w:cs="Arial"/>
                <w:color w:val="010205"/>
              </w:rPr>
              <w:t>1.692</w:t>
            </w:r>
          </w:p>
        </w:tc>
      </w:tr>
      <w:tr w:rsidR="00730F2D" w14:paraId="0F8812D2" w14:textId="77777777" w:rsidTr="00804E4C">
        <w:tblPrEx>
          <w:tblCellMar>
            <w:top w:w="0" w:type="dxa"/>
            <w:bottom w:w="0" w:type="dxa"/>
          </w:tblCellMar>
        </w:tblPrEx>
        <w:tc>
          <w:tcPr>
            <w:tcW w:w="833" w:type="dxa"/>
            <w:vMerge/>
            <w:tcBorders>
              <w:top w:val="single" w:sz="1" w:space="0" w:color="AEAEAE"/>
              <w:left w:val="none" w:sz="1" w:space="0" w:color="152935"/>
              <w:bottom w:val="single" w:sz="1" w:space="0" w:color="AEAEAE"/>
              <w:right w:val="none" w:sz="1" w:space="0" w:color="AEAEAE"/>
            </w:tcBorders>
          </w:tcPr>
          <w:p w14:paraId="3BC3C13C" w14:textId="77777777" w:rsidR="00730F2D" w:rsidRDefault="00730F2D" w:rsidP="00804E4C"/>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5FD8EA4B" w14:textId="77777777" w:rsidR="00730F2D" w:rsidRDefault="00730F2D" w:rsidP="00804E4C">
            <w:pPr>
              <w:spacing w:before="15" w:after="10"/>
              <w:ind w:left="30" w:right="40"/>
            </w:pPr>
            <w:r>
              <w:rPr>
                <w:rFonts w:ascii="Arial" w:eastAsia="Arial" w:hAnsi="Arial" w:cs="Arial"/>
                <w:color w:val="264A60"/>
              </w:rPr>
              <w:t>MBI_EE_POST</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FA134BC" w14:textId="77777777" w:rsidR="00730F2D" w:rsidRDefault="00730F2D" w:rsidP="00804E4C">
            <w:pPr>
              <w:spacing w:before="15" w:after="10"/>
              <w:ind w:left="30" w:right="40"/>
              <w:jc w:val="right"/>
            </w:pPr>
            <w:r>
              <w:rPr>
                <w:rFonts w:ascii="Arial" w:eastAsia="Arial" w:hAnsi="Arial" w:cs="Arial"/>
                <w:color w:val="010205"/>
              </w:rPr>
              <w:t>19.97</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670E2F2" w14:textId="77777777" w:rsidR="00730F2D" w:rsidRDefault="00730F2D" w:rsidP="00804E4C">
            <w:pPr>
              <w:spacing w:before="15" w:after="10"/>
              <w:ind w:left="30" w:right="40"/>
              <w:jc w:val="right"/>
            </w:pPr>
            <w:r>
              <w:rPr>
                <w:rFonts w:ascii="Arial" w:eastAsia="Arial" w:hAnsi="Arial" w:cs="Arial"/>
                <w:color w:val="010205"/>
              </w:rPr>
              <w:t>31</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33BF1ECE" w14:textId="77777777" w:rsidR="00730F2D" w:rsidRDefault="00730F2D" w:rsidP="00804E4C">
            <w:pPr>
              <w:spacing w:before="15" w:after="10"/>
              <w:ind w:left="30" w:right="40"/>
              <w:jc w:val="right"/>
            </w:pPr>
            <w:r>
              <w:rPr>
                <w:rFonts w:ascii="Arial" w:eastAsia="Arial" w:hAnsi="Arial" w:cs="Arial"/>
                <w:color w:val="010205"/>
              </w:rPr>
              <w:t>10.025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60D83DA" w14:textId="77777777" w:rsidR="00730F2D" w:rsidRDefault="00730F2D" w:rsidP="00804E4C">
            <w:pPr>
              <w:spacing w:before="15" w:after="10"/>
              <w:ind w:left="30" w:right="40"/>
              <w:jc w:val="right"/>
            </w:pPr>
            <w:r>
              <w:rPr>
                <w:rFonts w:ascii="Arial" w:eastAsia="Arial" w:hAnsi="Arial" w:cs="Arial"/>
                <w:color w:val="010205"/>
              </w:rPr>
              <w:t>1.801</w:t>
            </w:r>
          </w:p>
        </w:tc>
      </w:tr>
      <w:tr w:rsidR="00730F2D" w14:paraId="6F87AE1F" w14:textId="77777777" w:rsidTr="00804E4C">
        <w:tblPrEx>
          <w:tblCellMar>
            <w:top w:w="0" w:type="dxa"/>
            <w:bottom w:w="0" w:type="dxa"/>
          </w:tblCellMar>
        </w:tblPrEx>
        <w:tc>
          <w:tcPr>
            <w:tcW w:w="833" w:type="dxa"/>
            <w:vMerge w:val="restart"/>
            <w:tcBorders>
              <w:top w:val="single" w:sz="1" w:space="0" w:color="AEAEAE"/>
              <w:left w:val="none" w:sz="1" w:space="0" w:color="152935"/>
              <w:bottom w:val="single" w:sz="1" w:space="0" w:color="AEAEAE"/>
              <w:right w:val="none" w:sz="1" w:space="0" w:color="AEAEAE"/>
            </w:tcBorders>
            <w:shd w:val="clear" w:color="auto" w:fill="E0E0E0"/>
          </w:tcPr>
          <w:p w14:paraId="7246C6D9" w14:textId="77777777" w:rsidR="00730F2D" w:rsidRDefault="00730F2D" w:rsidP="00804E4C">
            <w:pPr>
              <w:spacing w:before="15" w:after="10"/>
              <w:ind w:left="30" w:right="40"/>
            </w:pPr>
            <w:r>
              <w:rPr>
                <w:rFonts w:ascii="Arial" w:eastAsia="Arial" w:hAnsi="Arial" w:cs="Arial"/>
                <w:color w:val="264A60"/>
              </w:rPr>
              <w:t>Pair 3</w:t>
            </w:r>
          </w:p>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20475464" w14:textId="77777777" w:rsidR="00730F2D" w:rsidRDefault="00730F2D" w:rsidP="00804E4C">
            <w:pPr>
              <w:spacing w:before="15" w:after="10"/>
              <w:ind w:left="30" w:right="40"/>
            </w:pPr>
            <w:r>
              <w:rPr>
                <w:rFonts w:ascii="Arial" w:eastAsia="Arial" w:hAnsi="Arial" w:cs="Arial"/>
                <w:color w:val="264A60"/>
              </w:rPr>
              <w:t>MBI_DP_PRE</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B7D46FC" w14:textId="77777777" w:rsidR="00730F2D" w:rsidRDefault="00730F2D" w:rsidP="00804E4C">
            <w:pPr>
              <w:spacing w:before="15" w:after="10"/>
              <w:ind w:left="30" w:right="40"/>
              <w:jc w:val="right"/>
            </w:pPr>
            <w:r>
              <w:rPr>
                <w:rFonts w:ascii="Arial" w:eastAsia="Arial" w:hAnsi="Arial" w:cs="Arial"/>
                <w:color w:val="010205"/>
              </w:rPr>
              <w:t>8.97</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0191667" w14:textId="77777777" w:rsidR="00730F2D" w:rsidRDefault="00730F2D" w:rsidP="00804E4C">
            <w:pPr>
              <w:spacing w:before="15" w:after="10"/>
              <w:ind w:left="30" w:right="40"/>
              <w:jc w:val="right"/>
            </w:pPr>
            <w:r>
              <w:rPr>
                <w:rFonts w:ascii="Arial" w:eastAsia="Arial" w:hAnsi="Arial" w:cs="Arial"/>
                <w:color w:val="010205"/>
              </w:rPr>
              <w:t>31</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1D7D33C7" w14:textId="77777777" w:rsidR="00730F2D" w:rsidRDefault="00730F2D" w:rsidP="00804E4C">
            <w:pPr>
              <w:spacing w:before="15" w:after="10"/>
              <w:ind w:left="30" w:right="40"/>
              <w:jc w:val="right"/>
            </w:pPr>
            <w:r>
              <w:rPr>
                <w:rFonts w:ascii="Arial" w:eastAsia="Arial" w:hAnsi="Arial" w:cs="Arial"/>
                <w:color w:val="010205"/>
              </w:rPr>
              <w:t>5.462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7382245" w14:textId="77777777" w:rsidR="00730F2D" w:rsidRDefault="00730F2D" w:rsidP="00804E4C">
            <w:pPr>
              <w:spacing w:before="15" w:after="10"/>
              <w:ind w:left="30" w:right="40"/>
              <w:jc w:val="right"/>
            </w:pPr>
            <w:r>
              <w:rPr>
                <w:rFonts w:ascii="Arial" w:eastAsia="Arial" w:hAnsi="Arial" w:cs="Arial"/>
                <w:color w:val="010205"/>
              </w:rPr>
              <w:t>.981</w:t>
            </w:r>
          </w:p>
        </w:tc>
      </w:tr>
      <w:tr w:rsidR="00730F2D" w14:paraId="3EB3A44C" w14:textId="77777777" w:rsidTr="00804E4C">
        <w:tblPrEx>
          <w:tblCellMar>
            <w:top w:w="0" w:type="dxa"/>
            <w:bottom w:w="0" w:type="dxa"/>
          </w:tblCellMar>
        </w:tblPrEx>
        <w:tc>
          <w:tcPr>
            <w:tcW w:w="833" w:type="dxa"/>
            <w:vMerge/>
            <w:tcBorders>
              <w:top w:val="single" w:sz="1" w:space="0" w:color="AEAEAE"/>
              <w:left w:val="none" w:sz="1" w:space="0" w:color="152935"/>
              <w:bottom w:val="single" w:sz="1" w:space="0" w:color="AEAEAE"/>
              <w:right w:val="none" w:sz="1" w:space="0" w:color="AEAEAE"/>
            </w:tcBorders>
          </w:tcPr>
          <w:p w14:paraId="432FBB2C" w14:textId="77777777" w:rsidR="00730F2D" w:rsidRDefault="00730F2D" w:rsidP="00804E4C"/>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192C4DA5" w14:textId="77777777" w:rsidR="00730F2D" w:rsidRDefault="00730F2D" w:rsidP="00804E4C">
            <w:pPr>
              <w:spacing w:before="15" w:after="10"/>
              <w:ind w:left="30" w:right="40"/>
            </w:pPr>
            <w:r>
              <w:rPr>
                <w:rFonts w:ascii="Arial" w:eastAsia="Arial" w:hAnsi="Arial" w:cs="Arial"/>
                <w:color w:val="264A60"/>
              </w:rPr>
              <w:t>MBI_DP_POST</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3AB716E" w14:textId="77777777" w:rsidR="00730F2D" w:rsidRDefault="00730F2D" w:rsidP="00804E4C">
            <w:pPr>
              <w:spacing w:before="15" w:after="10"/>
              <w:ind w:left="30" w:right="40"/>
              <w:jc w:val="right"/>
            </w:pPr>
            <w:r>
              <w:rPr>
                <w:rFonts w:ascii="Arial" w:eastAsia="Arial" w:hAnsi="Arial" w:cs="Arial"/>
                <w:color w:val="010205"/>
              </w:rPr>
              <w:t>7.19</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32B7587" w14:textId="77777777" w:rsidR="00730F2D" w:rsidRDefault="00730F2D" w:rsidP="00804E4C">
            <w:pPr>
              <w:spacing w:before="15" w:after="10"/>
              <w:ind w:left="30" w:right="40"/>
              <w:jc w:val="right"/>
            </w:pPr>
            <w:r>
              <w:rPr>
                <w:rFonts w:ascii="Arial" w:eastAsia="Arial" w:hAnsi="Arial" w:cs="Arial"/>
                <w:color w:val="010205"/>
              </w:rPr>
              <w:t>31</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6548C3D0" w14:textId="77777777" w:rsidR="00730F2D" w:rsidRDefault="00730F2D" w:rsidP="00804E4C">
            <w:pPr>
              <w:spacing w:before="15" w:after="10"/>
              <w:ind w:left="30" w:right="40"/>
              <w:jc w:val="right"/>
            </w:pPr>
            <w:r>
              <w:rPr>
                <w:rFonts w:ascii="Arial" w:eastAsia="Arial" w:hAnsi="Arial" w:cs="Arial"/>
                <w:color w:val="010205"/>
              </w:rPr>
              <w:t>6.177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38CE17F" w14:textId="77777777" w:rsidR="00730F2D" w:rsidRDefault="00730F2D" w:rsidP="00804E4C">
            <w:pPr>
              <w:spacing w:before="15" w:after="10"/>
              <w:ind w:left="30" w:right="40"/>
              <w:jc w:val="right"/>
            </w:pPr>
            <w:r>
              <w:rPr>
                <w:rFonts w:ascii="Arial" w:eastAsia="Arial" w:hAnsi="Arial" w:cs="Arial"/>
                <w:color w:val="010205"/>
              </w:rPr>
              <w:t>1.110</w:t>
            </w:r>
          </w:p>
        </w:tc>
      </w:tr>
      <w:tr w:rsidR="00730F2D" w14:paraId="45145374" w14:textId="77777777" w:rsidTr="00804E4C">
        <w:tblPrEx>
          <w:tblCellMar>
            <w:top w:w="0" w:type="dxa"/>
            <w:bottom w:w="0" w:type="dxa"/>
          </w:tblCellMar>
        </w:tblPrEx>
        <w:tc>
          <w:tcPr>
            <w:tcW w:w="833" w:type="dxa"/>
            <w:vMerge w:val="restart"/>
            <w:tcBorders>
              <w:top w:val="single" w:sz="1" w:space="0" w:color="AEAEAE"/>
              <w:left w:val="none" w:sz="1" w:space="0" w:color="152935"/>
              <w:bottom w:val="single" w:sz="1" w:space="0" w:color="AEAEAE"/>
              <w:right w:val="none" w:sz="1" w:space="0" w:color="AEAEAE"/>
            </w:tcBorders>
            <w:shd w:val="clear" w:color="auto" w:fill="E0E0E0"/>
          </w:tcPr>
          <w:p w14:paraId="0CB2C550" w14:textId="77777777" w:rsidR="00730F2D" w:rsidRDefault="00730F2D" w:rsidP="00804E4C">
            <w:pPr>
              <w:spacing w:before="15" w:after="10"/>
              <w:ind w:left="30" w:right="40"/>
            </w:pPr>
            <w:r>
              <w:rPr>
                <w:rFonts w:ascii="Arial" w:eastAsia="Arial" w:hAnsi="Arial" w:cs="Arial"/>
                <w:color w:val="264A60"/>
              </w:rPr>
              <w:t>Pair 4</w:t>
            </w:r>
          </w:p>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41484F66" w14:textId="77777777" w:rsidR="00730F2D" w:rsidRDefault="00730F2D" w:rsidP="00804E4C">
            <w:pPr>
              <w:spacing w:before="15" w:after="10"/>
              <w:ind w:left="30" w:right="40"/>
            </w:pPr>
            <w:r>
              <w:rPr>
                <w:rFonts w:ascii="Arial" w:eastAsia="Arial" w:hAnsi="Arial" w:cs="Arial"/>
                <w:color w:val="264A60"/>
              </w:rPr>
              <w:t>MBI_PA_PRE</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E1AE4E2" w14:textId="77777777" w:rsidR="00730F2D" w:rsidRDefault="00730F2D" w:rsidP="00804E4C">
            <w:pPr>
              <w:spacing w:before="15" w:after="10"/>
              <w:ind w:left="30" w:right="40"/>
              <w:jc w:val="right"/>
            </w:pPr>
            <w:r>
              <w:rPr>
                <w:rFonts w:ascii="Arial" w:eastAsia="Arial" w:hAnsi="Arial" w:cs="Arial"/>
                <w:color w:val="010205"/>
              </w:rPr>
              <w:t>24.58</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8CB6A00" w14:textId="77777777" w:rsidR="00730F2D" w:rsidRDefault="00730F2D" w:rsidP="00804E4C">
            <w:pPr>
              <w:spacing w:before="15" w:after="10"/>
              <w:ind w:left="30" w:right="40"/>
              <w:jc w:val="right"/>
            </w:pPr>
            <w:r>
              <w:rPr>
                <w:rFonts w:ascii="Arial" w:eastAsia="Arial" w:hAnsi="Arial" w:cs="Arial"/>
                <w:color w:val="010205"/>
              </w:rPr>
              <w:t>31</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6EAE48CE" w14:textId="77777777" w:rsidR="00730F2D" w:rsidRDefault="00730F2D" w:rsidP="00804E4C">
            <w:pPr>
              <w:spacing w:before="15" w:after="10"/>
              <w:ind w:left="30" w:right="40"/>
              <w:jc w:val="right"/>
            </w:pPr>
            <w:r>
              <w:rPr>
                <w:rFonts w:ascii="Arial" w:eastAsia="Arial" w:hAnsi="Arial" w:cs="Arial"/>
                <w:color w:val="010205"/>
              </w:rPr>
              <w:t>7.159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F2BF9A1" w14:textId="77777777" w:rsidR="00730F2D" w:rsidRDefault="00730F2D" w:rsidP="00804E4C">
            <w:pPr>
              <w:spacing w:before="15" w:after="10"/>
              <w:ind w:left="30" w:right="40"/>
              <w:jc w:val="right"/>
            </w:pPr>
            <w:r>
              <w:rPr>
                <w:rFonts w:ascii="Arial" w:eastAsia="Arial" w:hAnsi="Arial" w:cs="Arial"/>
                <w:color w:val="010205"/>
              </w:rPr>
              <w:t>1.286</w:t>
            </w:r>
          </w:p>
        </w:tc>
      </w:tr>
      <w:tr w:rsidR="00730F2D" w14:paraId="5E30F3E7" w14:textId="77777777" w:rsidTr="00804E4C">
        <w:tblPrEx>
          <w:tblCellMar>
            <w:top w:w="0" w:type="dxa"/>
            <w:bottom w:w="0" w:type="dxa"/>
          </w:tblCellMar>
        </w:tblPrEx>
        <w:tc>
          <w:tcPr>
            <w:tcW w:w="833" w:type="dxa"/>
            <w:vMerge/>
            <w:tcBorders>
              <w:top w:val="single" w:sz="1" w:space="0" w:color="AEAEAE"/>
              <w:left w:val="none" w:sz="1" w:space="0" w:color="152935"/>
              <w:bottom w:val="single" w:sz="1" w:space="0" w:color="AEAEAE"/>
              <w:right w:val="none" w:sz="1" w:space="0" w:color="AEAEAE"/>
            </w:tcBorders>
          </w:tcPr>
          <w:p w14:paraId="37D26B4C" w14:textId="77777777" w:rsidR="00730F2D" w:rsidRDefault="00730F2D" w:rsidP="00804E4C"/>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1E6B1A81" w14:textId="77777777" w:rsidR="00730F2D" w:rsidRDefault="00730F2D" w:rsidP="00804E4C">
            <w:pPr>
              <w:spacing w:before="15" w:after="10"/>
              <w:ind w:left="30" w:right="40"/>
            </w:pPr>
            <w:r>
              <w:rPr>
                <w:rFonts w:ascii="Arial" w:eastAsia="Arial" w:hAnsi="Arial" w:cs="Arial"/>
                <w:color w:val="264A60"/>
              </w:rPr>
              <w:t>MBI_PA_POST</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DE47CD1" w14:textId="77777777" w:rsidR="00730F2D" w:rsidRDefault="00730F2D" w:rsidP="00804E4C">
            <w:pPr>
              <w:spacing w:before="15" w:after="10"/>
              <w:ind w:left="30" w:right="40"/>
              <w:jc w:val="right"/>
            </w:pPr>
            <w:r>
              <w:rPr>
                <w:rFonts w:ascii="Arial" w:eastAsia="Arial" w:hAnsi="Arial" w:cs="Arial"/>
                <w:color w:val="010205"/>
              </w:rPr>
              <w:t>21.06</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1950903" w14:textId="77777777" w:rsidR="00730F2D" w:rsidRDefault="00730F2D" w:rsidP="00804E4C">
            <w:pPr>
              <w:spacing w:before="15" w:after="10"/>
              <w:ind w:left="30" w:right="40"/>
              <w:jc w:val="right"/>
            </w:pPr>
            <w:r>
              <w:rPr>
                <w:rFonts w:ascii="Arial" w:eastAsia="Arial" w:hAnsi="Arial" w:cs="Arial"/>
                <w:color w:val="010205"/>
              </w:rPr>
              <w:t>31</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1D877C94" w14:textId="77777777" w:rsidR="00730F2D" w:rsidRDefault="00730F2D" w:rsidP="00804E4C">
            <w:pPr>
              <w:spacing w:before="15" w:after="10"/>
              <w:ind w:left="30" w:right="40"/>
              <w:jc w:val="right"/>
            </w:pPr>
            <w:r>
              <w:rPr>
                <w:rFonts w:ascii="Arial" w:eastAsia="Arial" w:hAnsi="Arial" w:cs="Arial"/>
                <w:color w:val="010205"/>
              </w:rPr>
              <w:t>8.021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1C2EDFD" w14:textId="77777777" w:rsidR="00730F2D" w:rsidRDefault="00730F2D" w:rsidP="00804E4C">
            <w:pPr>
              <w:spacing w:before="15" w:after="10"/>
              <w:ind w:left="30" w:right="40"/>
              <w:jc w:val="right"/>
            </w:pPr>
            <w:r>
              <w:rPr>
                <w:rFonts w:ascii="Arial" w:eastAsia="Arial" w:hAnsi="Arial" w:cs="Arial"/>
                <w:color w:val="010205"/>
              </w:rPr>
              <w:t>1.441</w:t>
            </w:r>
          </w:p>
        </w:tc>
      </w:tr>
      <w:tr w:rsidR="00730F2D" w14:paraId="65499298" w14:textId="77777777" w:rsidTr="00804E4C">
        <w:tblPrEx>
          <w:tblCellMar>
            <w:top w:w="0" w:type="dxa"/>
            <w:bottom w:w="0" w:type="dxa"/>
          </w:tblCellMar>
        </w:tblPrEx>
        <w:tc>
          <w:tcPr>
            <w:tcW w:w="833" w:type="dxa"/>
            <w:vMerge w:val="restart"/>
            <w:tcBorders>
              <w:top w:val="single" w:sz="1" w:space="0" w:color="AEAEAE"/>
              <w:left w:val="none" w:sz="1" w:space="0" w:color="152935"/>
              <w:bottom w:val="single" w:sz="1" w:space="0" w:color="AEAEAE"/>
              <w:right w:val="none" w:sz="1" w:space="0" w:color="AEAEAE"/>
            </w:tcBorders>
            <w:shd w:val="clear" w:color="auto" w:fill="E0E0E0"/>
          </w:tcPr>
          <w:p w14:paraId="1709BB77" w14:textId="77777777" w:rsidR="00730F2D" w:rsidRDefault="00730F2D" w:rsidP="00804E4C">
            <w:pPr>
              <w:spacing w:before="15" w:after="10"/>
              <w:ind w:left="30" w:right="40"/>
            </w:pPr>
            <w:r>
              <w:rPr>
                <w:rFonts w:ascii="Arial" w:eastAsia="Arial" w:hAnsi="Arial" w:cs="Arial"/>
                <w:color w:val="264A60"/>
              </w:rPr>
              <w:t>Pair 5</w:t>
            </w:r>
          </w:p>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6B696FD6" w14:textId="77777777" w:rsidR="00730F2D" w:rsidRDefault="00730F2D" w:rsidP="00804E4C">
            <w:pPr>
              <w:spacing w:before="15" w:after="10"/>
              <w:ind w:left="30" w:right="40"/>
            </w:pPr>
            <w:r>
              <w:rPr>
                <w:rFonts w:ascii="Arial" w:eastAsia="Arial" w:hAnsi="Arial" w:cs="Arial"/>
                <w:color w:val="264A60"/>
              </w:rPr>
              <w:t>SWEM_PRE</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6F45A01" w14:textId="77777777" w:rsidR="00730F2D" w:rsidRDefault="00730F2D" w:rsidP="00804E4C">
            <w:pPr>
              <w:spacing w:before="15" w:after="10"/>
              <w:ind w:left="30" w:right="40"/>
              <w:jc w:val="right"/>
            </w:pPr>
            <w:r>
              <w:rPr>
                <w:rFonts w:ascii="Arial" w:eastAsia="Arial" w:hAnsi="Arial" w:cs="Arial"/>
                <w:color w:val="010205"/>
              </w:rPr>
              <w:t>23.32</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72DBC8B" w14:textId="77777777" w:rsidR="00730F2D" w:rsidRDefault="00730F2D" w:rsidP="00804E4C">
            <w:pPr>
              <w:spacing w:before="15" w:after="10"/>
              <w:ind w:left="30" w:right="40"/>
              <w:jc w:val="right"/>
            </w:pPr>
            <w:r>
              <w:rPr>
                <w:rFonts w:ascii="Arial" w:eastAsia="Arial" w:hAnsi="Arial" w:cs="Arial"/>
                <w:color w:val="010205"/>
              </w:rPr>
              <w:t>31</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20A6F4B8" w14:textId="77777777" w:rsidR="00730F2D" w:rsidRDefault="00730F2D" w:rsidP="00804E4C">
            <w:pPr>
              <w:spacing w:before="15" w:after="10"/>
              <w:ind w:left="30" w:right="40"/>
              <w:jc w:val="right"/>
            </w:pPr>
            <w:r>
              <w:rPr>
                <w:rFonts w:ascii="Arial" w:eastAsia="Arial" w:hAnsi="Arial" w:cs="Arial"/>
                <w:color w:val="010205"/>
              </w:rPr>
              <w:t>3.772</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006F09D" w14:textId="77777777" w:rsidR="00730F2D" w:rsidRDefault="00730F2D" w:rsidP="00804E4C">
            <w:pPr>
              <w:spacing w:before="15" w:after="10"/>
              <w:ind w:left="30" w:right="40"/>
              <w:jc w:val="right"/>
            </w:pPr>
            <w:r>
              <w:rPr>
                <w:rFonts w:ascii="Arial" w:eastAsia="Arial" w:hAnsi="Arial" w:cs="Arial"/>
                <w:color w:val="010205"/>
              </w:rPr>
              <w:t>.677</w:t>
            </w:r>
          </w:p>
        </w:tc>
      </w:tr>
      <w:tr w:rsidR="00730F2D" w14:paraId="47A38CCC" w14:textId="77777777" w:rsidTr="00804E4C">
        <w:tblPrEx>
          <w:tblCellMar>
            <w:top w:w="0" w:type="dxa"/>
            <w:bottom w:w="0" w:type="dxa"/>
          </w:tblCellMar>
        </w:tblPrEx>
        <w:tc>
          <w:tcPr>
            <w:tcW w:w="833" w:type="dxa"/>
            <w:vMerge/>
            <w:tcBorders>
              <w:top w:val="single" w:sz="1" w:space="0" w:color="AEAEAE"/>
              <w:left w:val="none" w:sz="1" w:space="0" w:color="152935"/>
              <w:bottom w:val="single" w:sz="1" w:space="0" w:color="AEAEAE"/>
              <w:right w:val="none" w:sz="1" w:space="0" w:color="AEAEAE"/>
            </w:tcBorders>
          </w:tcPr>
          <w:p w14:paraId="5289D012" w14:textId="77777777" w:rsidR="00730F2D" w:rsidRDefault="00730F2D" w:rsidP="00804E4C"/>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0C00303D" w14:textId="77777777" w:rsidR="00730F2D" w:rsidRDefault="00730F2D" w:rsidP="00804E4C">
            <w:pPr>
              <w:spacing w:before="15" w:after="10"/>
              <w:ind w:left="30" w:right="40"/>
            </w:pPr>
            <w:r>
              <w:rPr>
                <w:rFonts w:ascii="Arial" w:eastAsia="Arial" w:hAnsi="Arial" w:cs="Arial"/>
                <w:color w:val="264A60"/>
              </w:rPr>
              <w:t>SWEM_POST</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E4744A3" w14:textId="77777777" w:rsidR="00730F2D" w:rsidRDefault="00730F2D" w:rsidP="00804E4C">
            <w:pPr>
              <w:spacing w:before="15" w:after="10"/>
              <w:ind w:left="30" w:right="40"/>
              <w:jc w:val="right"/>
            </w:pPr>
            <w:r>
              <w:rPr>
                <w:rFonts w:ascii="Arial" w:eastAsia="Arial" w:hAnsi="Arial" w:cs="Arial"/>
                <w:color w:val="010205"/>
              </w:rPr>
              <w:t>25.48</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F210F10" w14:textId="77777777" w:rsidR="00730F2D" w:rsidRDefault="00730F2D" w:rsidP="00804E4C">
            <w:pPr>
              <w:spacing w:before="15" w:after="10"/>
              <w:ind w:left="30" w:right="40"/>
              <w:jc w:val="right"/>
            </w:pPr>
            <w:r>
              <w:rPr>
                <w:rFonts w:ascii="Arial" w:eastAsia="Arial" w:hAnsi="Arial" w:cs="Arial"/>
                <w:color w:val="010205"/>
              </w:rPr>
              <w:t>31</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024B9762" w14:textId="77777777" w:rsidR="00730F2D" w:rsidRDefault="00730F2D" w:rsidP="00804E4C">
            <w:pPr>
              <w:spacing w:before="15" w:after="10"/>
              <w:ind w:left="30" w:right="40"/>
              <w:jc w:val="right"/>
            </w:pPr>
            <w:r>
              <w:rPr>
                <w:rFonts w:ascii="Arial" w:eastAsia="Arial" w:hAnsi="Arial" w:cs="Arial"/>
                <w:color w:val="010205"/>
              </w:rPr>
              <w:t>6.239</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28FB316B" w14:textId="77777777" w:rsidR="00730F2D" w:rsidRDefault="00730F2D" w:rsidP="00804E4C">
            <w:pPr>
              <w:spacing w:before="15" w:after="10"/>
              <w:ind w:left="30" w:right="40"/>
              <w:jc w:val="right"/>
            </w:pPr>
            <w:r>
              <w:rPr>
                <w:rFonts w:ascii="Arial" w:eastAsia="Arial" w:hAnsi="Arial" w:cs="Arial"/>
                <w:color w:val="010205"/>
              </w:rPr>
              <w:t>1.121</w:t>
            </w:r>
          </w:p>
        </w:tc>
      </w:tr>
      <w:tr w:rsidR="00730F2D" w14:paraId="35F06A97" w14:textId="77777777" w:rsidTr="00804E4C">
        <w:tblPrEx>
          <w:tblCellMar>
            <w:top w:w="0" w:type="dxa"/>
            <w:bottom w:w="0" w:type="dxa"/>
          </w:tblCellMar>
        </w:tblPrEx>
        <w:tc>
          <w:tcPr>
            <w:tcW w:w="833" w:type="dxa"/>
            <w:vMerge w:val="restart"/>
            <w:tcBorders>
              <w:top w:val="single" w:sz="1" w:space="0" w:color="AEAEAE"/>
              <w:left w:val="none" w:sz="1" w:space="0" w:color="152935"/>
              <w:bottom w:val="single" w:sz="1" w:space="0" w:color="AEAEAE"/>
              <w:right w:val="none" w:sz="1" w:space="0" w:color="AEAEAE"/>
            </w:tcBorders>
            <w:shd w:val="clear" w:color="auto" w:fill="E0E0E0"/>
          </w:tcPr>
          <w:p w14:paraId="685D3E0E" w14:textId="77777777" w:rsidR="00730F2D" w:rsidRDefault="00730F2D" w:rsidP="00804E4C">
            <w:pPr>
              <w:spacing w:before="15" w:after="10"/>
              <w:ind w:left="30" w:right="40"/>
            </w:pPr>
            <w:r>
              <w:rPr>
                <w:rFonts w:ascii="Arial" w:eastAsia="Arial" w:hAnsi="Arial" w:cs="Arial"/>
                <w:color w:val="264A60"/>
              </w:rPr>
              <w:t>Pair 6</w:t>
            </w:r>
          </w:p>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5C229805" w14:textId="77777777" w:rsidR="00730F2D" w:rsidRDefault="00730F2D" w:rsidP="00804E4C">
            <w:pPr>
              <w:spacing w:before="15" w:after="10"/>
              <w:ind w:left="30" w:right="40"/>
            </w:pPr>
            <w:r>
              <w:rPr>
                <w:rFonts w:ascii="Arial" w:eastAsia="Arial" w:hAnsi="Arial" w:cs="Arial"/>
                <w:color w:val="264A60"/>
              </w:rPr>
              <w:t>ONS_SATIS_PRE</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62ED81A" w14:textId="77777777" w:rsidR="00730F2D" w:rsidRDefault="00730F2D" w:rsidP="00804E4C">
            <w:pPr>
              <w:spacing w:before="15" w:after="10"/>
              <w:ind w:left="30" w:right="40"/>
              <w:jc w:val="right"/>
            </w:pPr>
            <w:r>
              <w:rPr>
                <w:rFonts w:ascii="Arial" w:eastAsia="Arial" w:hAnsi="Arial" w:cs="Arial"/>
                <w:color w:val="010205"/>
              </w:rPr>
              <w:t>7.03</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E252095" w14:textId="77777777" w:rsidR="00730F2D" w:rsidRDefault="00730F2D" w:rsidP="00804E4C">
            <w:pPr>
              <w:spacing w:before="15" w:after="10"/>
              <w:ind w:left="30" w:right="40"/>
              <w:jc w:val="right"/>
            </w:pPr>
            <w:r>
              <w:rPr>
                <w:rFonts w:ascii="Arial" w:eastAsia="Arial" w:hAnsi="Arial" w:cs="Arial"/>
                <w:color w:val="010205"/>
              </w:rPr>
              <w:t>31</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315FC461" w14:textId="77777777" w:rsidR="00730F2D" w:rsidRDefault="00730F2D" w:rsidP="00804E4C">
            <w:pPr>
              <w:spacing w:before="15" w:after="10"/>
              <w:ind w:left="30" w:right="40"/>
              <w:jc w:val="right"/>
            </w:pPr>
            <w:r>
              <w:rPr>
                <w:rFonts w:ascii="Arial" w:eastAsia="Arial" w:hAnsi="Arial" w:cs="Arial"/>
                <w:color w:val="010205"/>
              </w:rPr>
              <w:t>1.643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1FD8552" w14:textId="77777777" w:rsidR="00730F2D" w:rsidRDefault="00730F2D" w:rsidP="00804E4C">
            <w:pPr>
              <w:spacing w:before="15" w:after="10"/>
              <w:ind w:left="30" w:right="40"/>
              <w:jc w:val="right"/>
            </w:pPr>
            <w:r>
              <w:rPr>
                <w:rFonts w:ascii="Arial" w:eastAsia="Arial" w:hAnsi="Arial" w:cs="Arial"/>
                <w:color w:val="010205"/>
              </w:rPr>
              <w:t>.295</w:t>
            </w:r>
          </w:p>
        </w:tc>
      </w:tr>
      <w:tr w:rsidR="00730F2D" w14:paraId="49F2E9EB" w14:textId="77777777" w:rsidTr="00804E4C">
        <w:tblPrEx>
          <w:tblCellMar>
            <w:top w:w="0" w:type="dxa"/>
            <w:bottom w:w="0" w:type="dxa"/>
          </w:tblCellMar>
        </w:tblPrEx>
        <w:tc>
          <w:tcPr>
            <w:tcW w:w="833" w:type="dxa"/>
            <w:vMerge/>
            <w:tcBorders>
              <w:top w:val="single" w:sz="1" w:space="0" w:color="AEAEAE"/>
              <w:left w:val="none" w:sz="1" w:space="0" w:color="152935"/>
              <w:bottom w:val="single" w:sz="1" w:space="0" w:color="AEAEAE"/>
              <w:right w:val="none" w:sz="1" w:space="0" w:color="AEAEAE"/>
            </w:tcBorders>
          </w:tcPr>
          <w:p w14:paraId="6335E77D" w14:textId="77777777" w:rsidR="00730F2D" w:rsidRDefault="00730F2D" w:rsidP="00804E4C"/>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25FE8EF0" w14:textId="77777777" w:rsidR="00730F2D" w:rsidRDefault="00730F2D" w:rsidP="00804E4C">
            <w:pPr>
              <w:spacing w:before="15" w:after="10"/>
              <w:ind w:left="30" w:right="40"/>
            </w:pPr>
            <w:r>
              <w:rPr>
                <w:rFonts w:ascii="Arial" w:eastAsia="Arial" w:hAnsi="Arial" w:cs="Arial"/>
                <w:color w:val="264A60"/>
              </w:rPr>
              <w:t>ONS_SATIS_POST</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1BE4F93" w14:textId="77777777" w:rsidR="00730F2D" w:rsidRDefault="00730F2D" w:rsidP="00804E4C">
            <w:pPr>
              <w:spacing w:before="15" w:after="10"/>
              <w:ind w:left="30" w:right="40"/>
              <w:jc w:val="right"/>
            </w:pPr>
            <w:r>
              <w:rPr>
                <w:rFonts w:ascii="Arial" w:eastAsia="Arial" w:hAnsi="Arial" w:cs="Arial"/>
                <w:color w:val="010205"/>
              </w:rPr>
              <w:t>7.39</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CFF91B1" w14:textId="77777777" w:rsidR="00730F2D" w:rsidRDefault="00730F2D" w:rsidP="00804E4C">
            <w:pPr>
              <w:spacing w:before="15" w:after="10"/>
              <w:ind w:left="30" w:right="40"/>
              <w:jc w:val="right"/>
            </w:pPr>
            <w:r>
              <w:rPr>
                <w:rFonts w:ascii="Arial" w:eastAsia="Arial" w:hAnsi="Arial" w:cs="Arial"/>
                <w:color w:val="010205"/>
              </w:rPr>
              <w:t>31</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23852498" w14:textId="77777777" w:rsidR="00730F2D" w:rsidRDefault="00730F2D" w:rsidP="00804E4C">
            <w:pPr>
              <w:spacing w:before="15" w:after="10"/>
              <w:ind w:left="30" w:right="40"/>
              <w:jc w:val="right"/>
            </w:pPr>
            <w:r>
              <w:rPr>
                <w:rFonts w:ascii="Arial" w:eastAsia="Arial" w:hAnsi="Arial" w:cs="Arial"/>
                <w:color w:val="010205"/>
              </w:rPr>
              <w:t>2.028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5D9A745" w14:textId="77777777" w:rsidR="00730F2D" w:rsidRDefault="00730F2D" w:rsidP="00804E4C">
            <w:pPr>
              <w:spacing w:before="15" w:after="10"/>
              <w:ind w:left="30" w:right="40"/>
              <w:jc w:val="right"/>
            </w:pPr>
            <w:r>
              <w:rPr>
                <w:rFonts w:ascii="Arial" w:eastAsia="Arial" w:hAnsi="Arial" w:cs="Arial"/>
                <w:color w:val="010205"/>
              </w:rPr>
              <w:t>.364</w:t>
            </w:r>
          </w:p>
        </w:tc>
      </w:tr>
      <w:tr w:rsidR="00730F2D" w14:paraId="4D2C200F" w14:textId="77777777" w:rsidTr="00804E4C">
        <w:tblPrEx>
          <w:tblCellMar>
            <w:top w:w="0" w:type="dxa"/>
            <w:bottom w:w="0" w:type="dxa"/>
          </w:tblCellMar>
        </w:tblPrEx>
        <w:tc>
          <w:tcPr>
            <w:tcW w:w="833" w:type="dxa"/>
            <w:vMerge w:val="restart"/>
            <w:tcBorders>
              <w:top w:val="single" w:sz="1" w:space="0" w:color="AEAEAE"/>
              <w:left w:val="none" w:sz="1" w:space="0" w:color="152935"/>
              <w:bottom w:val="single" w:sz="1" w:space="0" w:color="AEAEAE"/>
              <w:right w:val="none" w:sz="1" w:space="0" w:color="AEAEAE"/>
            </w:tcBorders>
            <w:shd w:val="clear" w:color="auto" w:fill="E0E0E0"/>
          </w:tcPr>
          <w:p w14:paraId="0704ACC6" w14:textId="77777777" w:rsidR="00730F2D" w:rsidRDefault="00730F2D" w:rsidP="00804E4C">
            <w:pPr>
              <w:spacing w:before="15" w:after="10"/>
              <w:ind w:left="30" w:right="40"/>
            </w:pPr>
            <w:r>
              <w:rPr>
                <w:rFonts w:ascii="Arial" w:eastAsia="Arial" w:hAnsi="Arial" w:cs="Arial"/>
                <w:color w:val="264A60"/>
              </w:rPr>
              <w:t>Pair 7</w:t>
            </w:r>
          </w:p>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5964D795" w14:textId="77777777" w:rsidR="00730F2D" w:rsidRDefault="00730F2D" w:rsidP="00804E4C">
            <w:pPr>
              <w:spacing w:before="15" w:after="10"/>
              <w:ind w:left="30" w:right="40"/>
            </w:pPr>
            <w:r>
              <w:rPr>
                <w:rFonts w:ascii="Arial" w:eastAsia="Arial" w:hAnsi="Arial" w:cs="Arial"/>
                <w:color w:val="264A60"/>
              </w:rPr>
              <w:t>ONS_WORTH_PRE</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CAF5D0D" w14:textId="77777777" w:rsidR="00730F2D" w:rsidRDefault="00730F2D" w:rsidP="00804E4C">
            <w:pPr>
              <w:spacing w:before="15" w:after="10"/>
              <w:ind w:left="30" w:right="40"/>
              <w:jc w:val="right"/>
            </w:pPr>
            <w:r>
              <w:rPr>
                <w:rFonts w:ascii="Arial" w:eastAsia="Arial" w:hAnsi="Arial" w:cs="Arial"/>
                <w:color w:val="010205"/>
              </w:rPr>
              <w:t>7.45</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E91811B" w14:textId="77777777" w:rsidR="00730F2D" w:rsidRDefault="00730F2D" w:rsidP="00804E4C">
            <w:pPr>
              <w:spacing w:before="15" w:after="10"/>
              <w:ind w:left="30" w:right="40"/>
              <w:jc w:val="right"/>
            </w:pPr>
            <w:r>
              <w:rPr>
                <w:rFonts w:ascii="Arial" w:eastAsia="Arial" w:hAnsi="Arial" w:cs="Arial"/>
                <w:color w:val="010205"/>
              </w:rPr>
              <w:t>31</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6F12CA4A" w14:textId="77777777" w:rsidR="00730F2D" w:rsidRDefault="00730F2D" w:rsidP="00804E4C">
            <w:pPr>
              <w:spacing w:before="15" w:after="10"/>
              <w:ind w:left="30" w:right="40"/>
              <w:jc w:val="right"/>
            </w:pPr>
            <w:r>
              <w:rPr>
                <w:rFonts w:ascii="Arial" w:eastAsia="Arial" w:hAnsi="Arial" w:cs="Arial"/>
                <w:color w:val="010205"/>
              </w:rPr>
              <w:t>2.063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EE75EC9" w14:textId="77777777" w:rsidR="00730F2D" w:rsidRDefault="00730F2D" w:rsidP="00804E4C">
            <w:pPr>
              <w:spacing w:before="15" w:after="10"/>
              <w:ind w:left="30" w:right="40"/>
              <w:jc w:val="right"/>
            </w:pPr>
            <w:r>
              <w:rPr>
                <w:rFonts w:ascii="Arial" w:eastAsia="Arial" w:hAnsi="Arial" w:cs="Arial"/>
                <w:color w:val="010205"/>
              </w:rPr>
              <w:t>.371</w:t>
            </w:r>
          </w:p>
        </w:tc>
      </w:tr>
      <w:tr w:rsidR="00730F2D" w14:paraId="270F6839" w14:textId="77777777" w:rsidTr="00804E4C">
        <w:tblPrEx>
          <w:tblCellMar>
            <w:top w:w="0" w:type="dxa"/>
            <w:bottom w:w="0" w:type="dxa"/>
          </w:tblCellMar>
        </w:tblPrEx>
        <w:tc>
          <w:tcPr>
            <w:tcW w:w="833" w:type="dxa"/>
            <w:vMerge/>
            <w:tcBorders>
              <w:top w:val="single" w:sz="1" w:space="0" w:color="AEAEAE"/>
              <w:left w:val="none" w:sz="1" w:space="0" w:color="152935"/>
              <w:bottom w:val="single" w:sz="1" w:space="0" w:color="AEAEAE"/>
              <w:right w:val="none" w:sz="1" w:space="0" w:color="AEAEAE"/>
            </w:tcBorders>
          </w:tcPr>
          <w:p w14:paraId="30D6AD87" w14:textId="77777777" w:rsidR="00730F2D" w:rsidRDefault="00730F2D" w:rsidP="00804E4C"/>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36CBD1DC" w14:textId="77777777" w:rsidR="00730F2D" w:rsidRDefault="00730F2D" w:rsidP="00804E4C">
            <w:pPr>
              <w:spacing w:before="15" w:after="10"/>
              <w:ind w:left="30" w:right="40"/>
            </w:pPr>
            <w:r>
              <w:rPr>
                <w:rFonts w:ascii="Arial" w:eastAsia="Arial" w:hAnsi="Arial" w:cs="Arial"/>
                <w:color w:val="264A60"/>
              </w:rPr>
              <w:t>ONS_WORTH_POST</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43EB924" w14:textId="77777777" w:rsidR="00730F2D" w:rsidRDefault="00730F2D" w:rsidP="00804E4C">
            <w:pPr>
              <w:spacing w:before="15" w:after="10"/>
              <w:ind w:left="30" w:right="40"/>
              <w:jc w:val="right"/>
            </w:pPr>
            <w:r>
              <w:rPr>
                <w:rFonts w:ascii="Arial" w:eastAsia="Arial" w:hAnsi="Arial" w:cs="Arial"/>
                <w:color w:val="010205"/>
              </w:rPr>
              <w:t>8.10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5517A36" w14:textId="77777777" w:rsidR="00730F2D" w:rsidRDefault="00730F2D" w:rsidP="00804E4C">
            <w:pPr>
              <w:spacing w:before="15" w:after="10"/>
              <w:ind w:left="30" w:right="40"/>
              <w:jc w:val="right"/>
            </w:pPr>
            <w:r>
              <w:rPr>
                <w:rFonts w:ascii="Arial" w:eastAsia="Arial" w:hAnsi="Arial" w:cs="Arial"/>
                <w:color w:val="010205"/>
              </w:rPr>
              <w:t>31</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11CA452F" w14:textId="77777777" w:rsidR="00730F2D" w:rsidRDefault="00730F2D" w:rsidP="00804E4C">
            <w:pPr>
              <w:spacing w:before="15" w:after="10"/>
              <w:ind w:left="30" w:right="40"/>
              <w:jc w:val="right"/>
            </w:pPr>
            <w:r>
              <w:rPr>
                <w:rFonts w:ascii="Arial" w:eastAsia="Arial" w:hAnsi="Arial" w:cs="Arial"/>
                <w:color w:val="010205"/>
              </w:rPr>
              <w:t>2.181</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7CCCE34" w14:textId="77777777" w:rsidR="00730F2D" w:rsidRDefault="00730F2D" w:rsidP="00804E4C">
            <w:pPr>
              <w:spacing w:before="15" w:after="10"/>
              <w:ind w:left="30" w:right="40"/>
              <w:jc w:val="right"/>
            </w:pPr>
            <w:r>
              <w:rPr>
                <w:rFonts w:ascii="Arial" w:eastAsia="Arial" w:hAnsi="Arial" w:cs="Arial"/>
                <w:color w:val="010205"/>
              </w:rPr>
              <w:t>.392</w:t>
            </w:r>
          </w:p>
        </w:tc>
      </w:tr>
      <w:tr w:rsidR="00730F2D" w14:paraId="39751BE4" w14:textId="77777777" w:rsidTr="00804E4C">
        <w:tblPrEx>
          <w:tblCellMar>
            <w:top w:w="0" w:type="dxa"/>
            <w:bottom w:w="0" w:type="dxa"/>
          </w:tblCellMar>
        </w:tblPrEx>
        <w:tc>
          <w:tcPr>
            <w:tcW w:w="833" w:type="dxa"/>
            <w:vMerge w:val="restart"/>
            <w:tcBorders>
              <w:top w:val="single" w:sz="1" w:space="0" w:color="AEAEAE"/>
              <w:left w:val="none" w:sz="1" w:space="0" w:color="152935"/>
              <w:bottom w:val="single" w:sz="1" w:space="0" w:color="AEAEAE"/>
              <w:right w:val="none" w:sz="1" w:space="0" w:color="AEAEAE"/>
            </w:tcBorders>
            <w:shd w:val="clear" w:color="auto" w:fill="E0E0E0"/>
          </w:tcPr>
          <w:p w14:paraId="151E298D" w14:textId="77777777" w:rsidR="00730F2D" w:rsidRDefault="00730F2D" w:rsidP="00804E4C">
            <w:pPr>
              <w:spacing w:before="15" w:after="10"/>
              <w:ind w:left="30" w:right="40"/>
            </w:pPr>
            <w:r>
              <w:rPr>
                <w:rFonts w:ascii="Arial" w:eastAsia="Arial" w:hAnsi="Arial" w:cs="Arial"/>
                <w:color w:val="264A60"/>
              </w:rPr>
              <w:t>Pair 8</w:t>
            </w:r>
          </w:p>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412CCDB4" w14:textId="77777777" w:rsidR="00730F2D" w:rsidRDefault="00730F2D" w:rsidP="00804E4C">
            <w:pPr>
              <w:spacing w:before="15" w:after="10"/>
              <w:ind w:left="30" w:right="40"/>
            </w:pPr>
            <w:r>
              <w:rPr>
                <w:rFonts w:ascii="Arial" w:eastAsia="Arial" w:hAnsi="Arial" w:cs="Arial"/>
                <w:color w:val="264A60"/>
              </w:rPr>
              <w:t>ONS_HAP_PRE</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EDC572B" w14:textId="77777777" w:rsidR="00730F2D" w:rsidRDefault="00730F2D" w:rsidP="00804E4C">
            <w:pPr>
              <w:spacing w:before="15" w:after="10"/>
              <w:ind w:left="30" w:right="40"/>
              <w:jc w:val="right"/>
            </w:pPr>
            <w:r>
              <w:rPr>
                <w:rFonts w:ascii="Arial" w:eastAsia="Arial" w:hAnsi="Arial" w:cs="Arial"/>
                <w:color w:val="010205"/>
              </w:rPr>
              <w:t>7.03</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608F23A" w14:textId="77777777" w:rsidR="00730F2D" w:rsidRDefault="00730F2D" w:rsidP="00804E4C">
            <w:pPr>
              <w:spacing w:before="15" w:after="10"/>
              <w:ind w:left="30" w:right="40"/>
              <w:jc w:val="right"/>
            </w:pPr>
            <w:r>
              <w:rPr>
                <w:rFonts w:ascii="Arial" w:eastAsia="Arial" w:hAnsi="Arial" w:cs="Arial"/>
                <w:color w:val="010205"/>
              </w:rPr>
              <w:t>31</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70415A3B" w14:textId="77777777" w:rsidR="00730F2D" w:rsidRDefault="00730F2D" w:rsidP="00804E4C">
            <w:pPr>
              <w:spacing w:before="15" w:after="10"/>
              <w:ind w:left="30" w:right="40"/>
              <w:jc w:val="right"/>
            </w:pPr>
            <w:r>
              <w:rPr>
                <w:rFonts w:ascii="Arial" w:eastAsia="Arial" w:hAnsi="Arial" w:cs="Arial"/>
                <w:color w:val="010205"/>
              </w:rPr>
              <w:t>2.008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62F8E5C" w14:textId="77777777" w:rsidR="00730F2D" w:rsidRDefault="00730F2D" w:rsidP="00804E4C">
            <w:pPr>
              <w:spacing w:before="15" w:after="10"/>
              <w:ind w:left="30" w:right="40"/>
              <w:jc w:val="right"/>
            </w:pPr>
            <w:r>
              <w:rPr>
                <w:rFonts w:ascii="Arial" w:eastAsia="Arial" w:hAnsi="Arial" w:cs="Arial"/>
                <w:color w:val="010205"/>
              </w:rPr>
              <w:t>.361</w:t>
            </w:r>
          </w:p>
        </w:tc>
      </w:tr>
      <w:tr w:rsidR="00730F2D" w14:paraId="29B8C30C" w14:textId="77777777" w:rsidTr="00804E4C">
        <w:tblPrEx>
          <w:tblCellMar>
            <w:top w:w="0" w:type="dxa"/>
            <w:bottom w:w="0" w:type="dxa"/>
          </w:tblCellMar>
        </w:tblPrEx>
        <w:tc>
          <w:tcPr>
            <w:tcW w:w="833" w:type="dxa"/>
            <w:vMerge/>
            <w:tcBorders>
              <w:top w:val="single" w:sz="1" w:space="0" w:color="AEAEAE"/>
              <w:left w:val="none" w:sz="1" w:space="0" w:color="152935"/>
              <w:bottom w:val="single" w:sz="1" w:space="0" w:color="AEAEAE"/>
              <w:right w:val="none" w:sz="1" w:space="0" w:color="AEAEAE"/>
            </w:tcBorders>
          </w:tcPr>
          <w:p w14:paraId="5CBBC3B5" w14:textId="77777777" w:rsidR="00730F2D" w:rsidRDefault="00730F2D" w:rsidP="00804E4C"/>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2A4FD457" w14:textId="77777777" w:rsidR="00730F2D" w:rsidRDefault="00730F2D" w:rsidP="00804E4C">
            <w:pPr>
              <w:spacing w:before="15" w:after="10"/>
              <w:ind w:left="30" w:right="40"/>
            </w:pPr>
            <w:r>
              <w:rPr>
                <w:rFonts w:ascii="Arial" w:eastAsia="Arial" w:hAnsi="Arial" w:cs="Arial"/>
                <w:color w:val="264A60"/>
              </w:rPr>
              <w:t>ONS_HAP_POST</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5391E26C" w14:textId="77777777" w:rsidR="00730F2D" w:rsidRDefault="00730F2D" w:rsidP="00804E4C">
            <w:pPr>
              <w:spacing w:before="15" w:after="10"/>
              <w:ind w:left="30" w:right="40"/>
              <w:jc w:val="right"/>
            </w:pPr>
            <w:r>
              <w:rPr>
                <w:rFonts w:ascii="Arial" w:eastAsia="Arial" w:hAnsi="Arial" w:cs="Arial"/>
                <w:color w:val="010205"/>
              </w:rPr>
              <w:t>6.68</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1EA83AC1" w14:textId="77777777" w:rsidR="00730F2D" w:rsidRDefault="00730F2D" w:rsidP="00804E4C">
            <w:pPr>
              <w:spacing w:before="15" w:after="10"/>
              <w:ind w:left="30" w:right="40"/>
              <w:jc w:val="right"/>
            </w:pPr>
            <w:r>
              <w:rPr>
                <w:rFonts w:ascii="Arial" w:eastAsia="Arial" w:hAnsi="Arial" w:cs="Arial"/>
                <w:color w:val="010205"/>
              </w:rPr>
              <w:t>31</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36E2B8B5" w14:textId="77777777" w:rsidR="00730F2D" w:rsidRDefault="00730F2D" w:rsidP="00804E4C">
            <w:pPr>
              <w:spacing w:before="15" w:after="10"/>
              <w:ind w:left="30" w:right="40"/>
              <w:jc w:val="right"/>
            </w:pPr>
            <w:r>
              <w:rPr>
                <w:rFonts w:ascii="Arial" w:eastAsia="Arial" w:hAnsi="Arial" w:cs="Arial"/>
                <w:color w:val="010205"/>
              </w:rPr>
              <w:t>2.786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32D4D33E" w14:textId="77777777" w:rsidR="00730F2D" w:rsidRDefault="00730F2D" w:rsidP="00804E4C">
            <w:pPr>
              <w:spacing w:before="15" w:after="10"/>
              <w:ind w:left="30" w:right="40"/>
              <w:jc w:val="right"/>
            </w:pPr>
            <w:r>
              <w:rPr>
                <w:rFonts w:ascii="Arial" w:eastAsia="Arial" w:hAnsi="Arial" w:cs="Arial"/>
                <w:color w:val="010205"/>
              </w:rPr>
              <w:t>.500</w:t>
            </w:r>
          </w:p>
        </w:tc>
      </w:tr>
      <w:tr w:rsidR="00730F2D" w14:paraId="54917471" w14:textId="77777777" w:rsidTr="00804E4C">
        <w:tblPrEx>
          <w:tblCellMar>
            <w:top w:w="0" w:type="dxa"/>
            <w:bottom w:w="0" w:type="dxa"/>
          </w:tblCellMar>
        </w:tblPrEx>
        <w:tc>
          <w:tcPr>
            <w:tcW w:w="833" w:type="dxa"/>
            <w:vMerge w:val="restart"/>
            <w:tcBorders>
              <w:top w:val="single" w:sz="1" w:space="0" w:color="AEAEAE"/>
              <w:left w:val="none" w:sz="1" w:space="0" w:color="152935"/>
              <w:bottom w:val="single" w:sz="1" w:space="0" w:color="152935"/>
              <w:right w:val="none" w:sz="1" w:space="0" w:color="AEAEAE"/>
            </w:tcBorders>
            <w:shd w:val="clear" w:color="auto" w:fill="E0E0E0"/>
          </w:tcPr>
          <w:p w14:paraId="301F6ED0" w14:textId="77777777" w:rsidR="00730F2D" w:rsidRDefault="00730F2D" w:rsidP="00804E4C">
            <w:pPr>
              <w:spacing w:before="15" w:after="10"/>
              <w:ind w:left="30" w:right="40"/>
            </w:pPr>
            <w:r>
              <w:rPr>
                <w:rFonts w:ascii="Arial" w:eastAsia="Arial" w:hAnsi="Arial" w:cs="Arial"/>
                <w:color w:val="264A60"/>
              </w:rPr>
              <w:t>Pair 9</w:t>
            </w:r>
          </w:p>
        </w:tc>
        <w:tc>
          <w:tcPr>
            <w:tcW w:w="2227" w:type="dxa"/>
            <w:tcBorders>
              <w:top w:val="single" w:sz="1" w:space="0" w:color="AEAEAE"/>
              <w:left w:val="none" w:sz="1" w:space="0" w:color="AEAEAE"/>
              <w:bottom w:val="single" w:sz="1" w:space="0" w:color="AEAEAE"/>
              <w:right w:val="none" w:sz="1" w:space="0" w:color="152935"/>
            </w:tcBorders>
            <w:shd w:val="clear" w:color="auto" w:fill="E0E0E0"/>
          </w:tcPr>
          <w:p w14:paraId="40EAF808" w14:textId="77777777" w:rsidR="00730F2D" w:rsidRDefault="00730F2D" w:rsidP="00804E4C">
            <w:pPr>
              <w:spacing w:before="15" w:after="10"/>
              <w:ind w:left="30" w:right="40"/>
            </w:pPr>
            <w:r>
              <w:rPr>
                <w:rFonts w:ascii="Arial" w:eastAsia="Arial" w:hAnsi="Arial" w:cs="Arial"/>
                <w:color w:val="264A60"/>
              </w:rPr>
              <w:t>ONS_ANX_PRE</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13A15EA" w14:textId="77777777" w:rsidR="00730F2D" w:rsidRDefault="00730F2D" w:rsidP="00804E4C">
            <w:pPr>
              <w:spacing w:before="15" w:after="10"/>
              <w:ind w:left="30" w:right="40"/>
              <w:jc w:val="right"/>
            </w:pPr>
            <w:r>
              <w:rPr>
                <w:rFonts w:ascii="Arial" w:eastAsia="Arial" w:hAnsi="Arial" w:cs="Arial"/>
                <w:color w:val="010205"/>
              </w:rPr>
              <w:t>4.52</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C675EA9" w14:textId="77777777" w:rsidR="00730F2D" w:rsidRDefault="00730F2D" w:rsidP="00804E4C">
            <w:pPr>
              <w:spacing w:before="15" w:after="10"/>
              <w:ind w:left="30" w:right="40"/>
              <w:jc w:val="right"/>
            </w:pPr>
            <w:r>
              <w:rPr>
                <w:rFonts w:ascii="Arial" w:eastAsia="Arial" w:hAnsi="Arial" w:cs="Arial"/>
                <w:color w:val="010205"/>
              </w:rPr>
              <w:t>31</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24A7837D" w14:textId="77777777" w:rsidR="00730F2D" w:rsidRDefault="00730F2D" w:rsidP="00804E4C">
            <w:pPr>
              <w:spacing w:before="15" w:after="10"/>
              <w:ind w:left="30" w:right="40"/>
              <w:jc w:val="right"/>
            </w:pPr>
            <w:r>
              <w:rPr>
                <w:rFonts w:ascii="Arial" w:eastAsia="Arial" w:hAnsi="Arial" w:cs="Arial"/>
                <w:color w:val="010205"/>
              </w:rPr>
              <w:t>2.657</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96C2342" w14:textId="77777777" w:rsidR="00730F2D" w:rsidRDefault="00730F2D" w:rsidP="00804E4C">
            <w:pPr>
              <w:spacing w:before="15" w:after="10"/>
              <w:ind w:left="30" w:right="40"/>
              <w:jc w:val="right"/>
            </w:pPr>
            <w:r>
              <w:rPr>
                <w:rFonts w:ascii="Arial" w:eastAsia="Arial" w:hAnsi="Arial" w:cs="Arial"/>
                <w:color w:val="010205"/>
              </w:rPr>
              <w:t>.477</w:t>
            </w:r>
          </w:p>
        </w:tc>
      </w:tr>
      <w:tr w:rsidR="00730F2D" w14:paraId="171CE0F0" w14:textId="77777777" w:rsidTr="00804E4C">
        <w:tblPrEx>
          <w:tblCellMar>
            <w:top w:w="0" w:type="dxa"/>
            <w:bottom w:w="0" w:type="dxa"/>
          </w:tblCellMar>
        </w:tblPrEx>
        <w:tc>
          <w:tcPr>
            <w:tcW w:w="833" w:type="dxa"/>
            <w:vMerge/>
            <w:tcBorders>
              <w:top w:val="single" w:sz="1" w:space="0" w:color="AEAEAE"/>
              <w:left w:val="none" w:sz="1" w:space="0" w:color="152935"/>
              <w:bottom w:val="single" w:sz="1" w:space="0" w:color="152935"/>
              <w:right w:val="none" w:sz="1" w:space="0" w:color="AEAEAE"/>
            </w:tcBorders>
          </w:tcPr>
          <w:p w14:paraId="6B2CE83E" w14:textId="77777777" w:rsidR="00730F2D" w:rsidRDefault="00730F2D" w:rsidP="00804E4C"/>
        </w:tc>
        <w:tc>
          <w:tcPr>
            <w:tcW w:w="2227" w:type="dxa"/>
            <w:tcBorders>
              <w:top w:val="single" w:sz="1" w:space="0" w:color="AEAEAE"/>
              <w:left w:val="none" w:sz="1" w:space="0" w:color="AEAEAE"/>
              <w:bottom w:val="single" w:sz="1" w:space="0" w:color="152935"/>
              <w:right w:val="none" w:sz="1" w:space="0" w:color="152935"/>
            </w:tcBorders>
            <w:shd w:val="clear" w:color="auto" w:fill="E0E0E0"/>
          </w:tcPr>
          <w:p w14:paraId="34D68085" w14:textId="77777777" w:rsidR="00730F2D" w:rsidRDefault="00730F2D" w:rsidP="00804E4C">
            <w:pPr>
              <w:spacing w:before="15" w:after="10"/>
              <w:ind w:left="30" w:right="40"/>
            </w:pPr>
            <w:r>
              <w:rPr>
                <w:rFonts w:ascii="Arial" w:eastAsia="Arial" w:hAnsi="Arial" w:cs="Arial"/>
                <w:color w:val="264A60"/>
              </w:rPr>
              <w:t>ONS_ANX_POST</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240D3AAC" w14:textId="77777777" w:rsidR="00730F2D" w:rsidRDefault="00730F2D" w:rsidP="00804E4C">
            <w:pPr>
              <w:spacing w:before="15" w:after="10"/>
              <w:ind w:left="30" w:right="40"/>
              <w:jc w:val="right"/>
            </w:pPr>
            <w:r>
              <w:rPr>
                <w:rFonts w:ascii="Arial" w:eastAsia="Arial" w:hAnsi="Arial" w:cs="Arial"/>
                <w:color w:val="010205"/>
              </w:rPr>
              <w:t>3.58</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2A908F7C" w14:textId="77777777" w:rsidR="00730F2D" w:rsidRDefault="00730F2D" w:rsidP="00804E4C">
            <w:pPr>
              <w:spacing w:before="15" w:after="10"/>
              <w:ind w:left="30" w:right="40"/>
              <w:jc w:val="right"/>
            </w:pPr>
            <w:r>
              <w:rPr>
                <w:rFonts w:ascii="Arial" w:eastAsia="Arial" w:hAnsi="Arial" w:cs="Arial"/>
                <w:color w:val="010205"/>
              </w:rPr>
              <w:t>31</w:t>
            </w:r>
          </w:p>
        </w:tc>
        <w:tc>
          <w:tcPr>
            <w:tcW w:w="1513" w:type="dxa"/>
            <w:tcBorders>
              <w:top w:val="single" w:sz="1" w:space="0" w:color="AEAEAE"/>
              <w:left w:val="single" w:sz="1" w:space="0" w:color="E0E0E0"/>
              <w:bottom w:val="single" w:sz="1" w:space="0" w:color="152935"/>
              <w:right w:val="none" w:sz="1" w:space="0" w:color="AEAEAE"/>
            </w:tcBorders>
            <w:shd w:val="clear" w:color="auto" w:fill="F9F9FB"/>
          </w:tcPr>
          <w:p w14:paraId="06DD47F7" w14:textId="77777777" w:rsidR="00730F2D" w:rsidRDefault="00730F2D" w:rsidP="00804E4C">
            <w:pPr>
              <w:spacing w:before="15" w:after="10"/>
              <w:ind w:left="30" w:right="40"/>
              <w:jc w:val="right"/>
            </w:pPr>
            <w:r>
              <w:rPr>
                <w:rFonts w:ascii="Arial" w:eastAsia="Arial" w:hAnsi="Arial" w:cs="Arial"/>
                <w:color w:val="010205"/>
              </w:rPr>
              <w:t>2.826</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721E7FE1" w14:textId="77777777" w:rsidR="00730F2D" w:rsidRDefault="00730F2D" w:rsidP="00804E4C">
            <w:pPr>
              <w:spacing w:before="15" w:after="10"/>
              <w:ind w:left="30" w:right="40"/>
              <w:jc w:val="right"/>
            </w:pPr>
            <w:r>
              <w:rPr>
                <w:rFonts w:ascii="Arial" w:eastAsia="Arial" w:hAnsi="Arial" w:cs="Arial"/>
                <w:color w:val="010205"/>
              </w:rPr>
              <w:t>.508</w:t>
            </w:r>
          </w:p>
        </w:tc>
      </w:tr>
    </w:tbl>
    <w:p w14:paraId="28D3F86C" w14:textId="77777777" w:rsidR="00730F2D" w:rsidRDefault="00730F2D" w:rsidP="2357DC9D">
      <w:pPr>
        <w:pStyle w:val="ListParagraph"/>
        <w:spacing w:after="0" w:line="360" w:lineRule="auto"/>
        <w:rPr>
          <w:rFonts w:ascii="Aptos" w:eastAsia="Aptos" w:hAnsi="Aptos" w:cs="Aptos"/>
        </w:rPr>
      </w:pPr>
    </w:p>
    <w:p w14:paraId="23311514" w14:textId="77777777" w:rsidR="00730F2D" w:rsidRDefault="00730F2D" w:rsidP="00730F2D">
      <w:pPr>
        <w:spacing w:before="5" w:after="30"/>
        <w:ind w:left="30" w:right="40"/>
        <w:rPr>
          <w:rFonts w:asciiTheme="majorHAnsi" w:eastAsia="Arial" w:hAnsiTheme="majorHAnsi" w:cs="Arial"/>
          <w:b/>
          <w:color w:val="010205"/>
        </w:rPr>
      </w:pPr>
    </w:p>
    <w:p w14:paraId="08EE0624" w14:textId="5D3142FA" w:rsidR="00730F2D" w:rsidRPr="00730F2D" w:rsidRDefault="00730F2D" w:rsidP="00730F2D">
      <w:pPr>
        <w:spacing w:after="0" w:line="360" w:lineRule="auto"/>
        <w:rPr>
          <w:rFonts w:ascii="Aptos" w:eastAsia="Aptos" w:hAnsi="Aptos" w:cs="Aptos"/>
        </w:rPr>
      </w:pPr>
      <w:r w:rsidRPr="00730F2D">
        <w:rPr>
          <w:rFonts w:asciiTheme="majorHAnsi" w:eastAsia="Arial" w:hAnsiTheme="majorHAnsi" w:cs="Arial"/>
          <w:b/>
          <w:color w:val="010205"/>
        </w:rPr>
        <w:lastRenderedPageBreak/>
        <w:t xml:space="preserve">Table </w:t>
      </w:r>
      <w:r>
        <w:rPr>
          <w:rFonts w:asciiTheme="majorHAnsi" w:eastAsia="Arial" w:hAnsiTheme="majorHAnsi" w:cs="Arial"/>
          <w:b/>
          <w:color w:val="010205"/>
        </w:rPr>
        <w:t>3</w:t>
      </w:r>
      <w:r w:rsidRPr="00730F2D">
        <w:rPr>
          <w:rFonts w:asciiTheme="majorHAnsi" w:eastAsia="Arial" w:hAnsiTheme="majorHAnsi" w:cs="Arial"/>
          <w:b/>
          <w:color w:val="010205"/>
        </w:rPr>
        <w:t xml:space="preserve"> - Paired Samples </w:t>
      </w:r>
      <w:r>
        <w:rPr>
          <w:rFonts w:asciiTheme="majorHAnsi" w:eastAsia="Arial" w:hAnsiTheme="majorHAnsi" w:cs="Arial"/>
          <w:b/>
          <w:color w:val="010205"/>
        </w:rPr>
        <w:t xml:space="preserve">Test </w:t>
      </w:r>
      <w:r>
        <w:rPr>
          <w:rFonts w:ascii="Arial" w:eastAsia="Arial" w:hAnsi="Arial" w:cs="Arial"/>
          <w:b/>
          <w:color w:val="010205"/>
          <w:szCs w:val="22"/>
        </w:rPr>
        <w:t xml:space="preserve">– 95%CI </w:t>
      </w:r>
      <w:r>
        <w:rPr>
          <w:rFonts w:ascii="Arial" w:eastAsia="Arial" w:hAnsi="Arial" w:cs="Arial"/>
          <w:b/>
          <w:color w:val="010205"/>
          <w:szCs w:val="22"/>
        </w:rPr>
        <w:t>Lower</w:t>
      </w:r>
    </w:p>
    <w:tbl>
      <w:tblPr>
        <w:tblW w:w="0" w:type="auto"/>
        <w:tblInd w:w="10" w:type="dxa"/>
        <w:tblLayout w:type="fixed"/>
        <w:tblCellMar>
          <w:left w:w="10" w:type="dxa"/>
          <w:right w:w="10" w:type="dxa"/>
        </w:tblCellMar>
        <w:tblLook w:val="0000" w:firstRow="0" w:lastRow="0" w:firstColumn="0" w:lastColumn="0" w:noHBand="0" w:noVBand="0"/>
      </w:tblPr>
      <w:tblGrid>
        <w:gridCol w:w="833"/>
        <w:gridCol w:w="2788"/>
        <w:gridCol w:w="1156"/>
        <w:gridCol w:w="1513"/>
        <w:gridCol w:w="1666"/>
        <w:gridCol w:w="1666"/>
      </w:tblGrid>
      <w:tr w:rsidR="00730F2D" w14:paraId="6CB20F0D" w14:textId="77777777" w:rsidTr="00804E4C">
        <w:tblPrEx>
          <w:tblCellMar>
            <w:top w:w="0" w:type="dxa"/>
            <w:bottom w:w="0" w:type="dxa"/>
          </w:tblCellMar>
        </w:tblPrEx>
        <w:tc>
          <w:tcPr>
            <w:tcW w:w="3621" w:type="dxa"/>
            <w:gridSpan w:val="2"/>
            <w:vMerge w:val="restart"/>
            <w:tcBorders>
              <w:top w:val="none" w:sz="1" w:space="0" w:color="152935"/>
              <w:left w:val="none" w:sz="1" w:space="0" w:color="152935"/>
            </w:tcBorders>
            <w:shd w:val="clear" w:color="auto" w:fill="FFFFFF"/>
            <w:vAlign w:val="bottom"/>
          </w:tcPr>
          <w:p w14:paraId="386FDE5C" w14:textId="77777777" w:rsidR="00730F2D" w:rsidRDefault="00730F2D" w:rsidP="00804E4C">
            <w:pPr>
              <w:spacing w:before="15" w:after="5"/>
              <w:ind w:left="30" w:right="40"/>
            </w:pPr>
          </w:p>
        </w:tc>
        <w:tc>
          <w:tcPr>
            <w:tcW w:w="6001" w:type="dxa"/>
            <w:gridSpan w:val="4"/>
            <w:tcBorders>
              <w:top w:val="none" w:sz="1" w:space="0" w:color="152935"/>
              <w:left w:val="none" w:sz="1" w:space="0" w:color="152935"/>
              <w:bottom w:val="none" w:sz="1" w:space="0" w:color="AEAEAE"/>
              <w:right w:val="none" w:sz="1" w:space="0" w:color="152935"/>
            </w:tcBorders>
            <w:shd w:val="clear" w:color="auto" w:fill="FFFFFF"/>
            <w:vAlign w:val="bottom"/>
          </w:tcPr>
          <w:p w14:paraId="36B22E96" w14:textId="77777777" w:rsidR="00730F2D" w:rsidRDefault="00730F2D" w:rsidP="00804E4C">
            <w:pPr>
              <w:spacing w:before="10" w:after="10"/>
              <w:ind w:left="30" w:right="40"/>
              <w:jc w:val="center"/>
            </w:pPr>
            <w:r>
              <w:rPr>
                <w:rFonts w:ascii="Arial" w:eastAsia="Arial" w:hAnsi="Arial" w:cs="Arial"/>
                <w:color w:val="264A60"/>
              </w:rPr>
              <w:t>Paired Differences</w:t>
            </w:r>
          </w:p>
        </w:tc>
      </w:tr>
      <w:tr w:rsidR="00730F2D" w14:paraId="5C803BCB" w14:textId="77777777" w:rsidTr="00804E4C">
        <w:tblPrEx>
          <w:tblCellMar>
            <w:top w:w="0" w:type="dxa"/>
            <w:bottom w:w="0" w:type="dxa"/>
          </w:tblCellMar>
        </w:tblPrEx>
        <w:tc>
          <w:tcPr>
            <w:tcW w:w="3621" w:type="dxa"/>
            <w:gridSpan w:val="2"/>
            <w:vMerge/>
            <w:tcBorders>
              <w:top w:val="none" w:sz="1" w:space="0" w:color="152935"/>
              <w:left w:val="none" w:sz="1" w:space="0" w:color="152935"/>
            </w:tcBorders>
          </w:tcPr>
          <w:p w14:paraId="05F84868" w14:textId="77777777" w:rsidR="00730F2D" w:rsidRDefault="00730F2D" w:rsidP="00804E4C"/>
        </w:tc>
        <w:tc>
          <w:tcPr>
            <w:tcW w:w="1156" w:type="dxa"/>
            <w:vMerge w:val="restart"/>
            <w:tcBorders>
              <w:top w:val="none" w:sz="1" w:space="0" w:color="AEAEAE"/>
              <w:left w:val="none" w:sz="1" w:space="0" w:color="152935"/>
              <w:bottom w:val="none" w:sz="1" w:space="0" w:color="AEAEAE"/>
              <w:right w:val="none" w:sz="1" w:space="0" w:color="AEAEAE"/>
            </w:tcBorders>
            <w:shd w:val="clear" w:color="auto" w:fill="FFFFFF"/>
            <w:vAlign w:val="bottom"/>
          </w:tcPr>
          <w:p w14:paraId="20FE79CD" w14:textId="77777777" w:rsidR="00730F2D" w:rsidRDefault="00730F2D" w:rsidP="00804E4C">
            <w:pPr>
              <w:spacing w:before="10" w:after="10"/>
              <w:ind w:left="30" w:right="40"/>
              <w:jc w:val="center"/>
            </w:pPr>
            <w:r>
              <w:rPr>
                <w:rFonts w:ascii="Arial" w:eastAsia="Arial" w:hAnsi="Arial" w:cs="Arial"/>
                <w:color w:val="264A60"/>
              </w:rPr>
              <w:t>Mean</w:t>
            </w:r>
          </w:p>
        </w:tc>
        <w:tc>
          <w:tcPr>
            <w:tcW w:w="1513" w:type="dxa"/>
            <w:vMerge w:val="restart"/>
            <w:tcBorders>
              <w:top w:val="none" w:sz="1" w:space="0" w:color="AEAEAE"/>
              <w:left w:val="single" w:sz="1" w:space="0" w:color="E0E0E0"/>
              <w:bottom w:val="none" w:sz="1" w:space="0" w:color="AEAEAE"/>
              <w:right w:val="none" w:sz="1" w:space="0" w:color="AEAEAE"/>
            </w:tcBorders>
            <w:shd w:val="clear" w:color="auto" w:fill="FFFFFF"/>
            <w:vAlign w:val="bottom"/>
          </w:tcPr>
          <w:p w14:paraId="5D9373E7" w14:textId="77777777" w:rsidR="00730F2D" w:rsidRDefault="00730F2D" w:rsidP="00804E4C">
            <w:pPr>
              <w:spacing w:before="10" w:after="10"/>
              <w:ind w:left="30" w:right="40"/>
              <w:jc w:val="center"/>
            </w:pPr>
            <w:r>
              <w:rPr>
                <w:rFonts w:ascii="Arial" w:eastAsia="Arial" w:hAnsi="Arial" w:cs="Arial"/>
                <w:color w:val="264A60"/>
              </w:rPr>
              <w:t>Std. Deviation</w:t>
            </w:r>
          </w:p>
        </w:tc>
        <w:tc>
          <w:tcPr>
            <w:tcW w:w="1666" w:type="dxa"/>
            <w:vMerge w:val="restart"/>
            <w:tcBorders>
              <w:top w:val="none" w:sz="1" w:space="0" w:color="AEAEAE"/>
              <w:left w:val="single" w:sz="1" w:space="0" w:color="E0E0E0"/>
              <w:bottom w:val="none" w:sz="1" w:space="0" w:color="AEAEAE"/>
              <w:right w:val="none" w:sz="1" w:space="0" w:color="AEAEAE"/>
            </w:tcBorders>
            <w:shd w:val="clear" w:color="auto" w:fill="FFFFFF"/>
            <w:vAlign w:val="bottom"/>
          </w:tcPr>
          <w:p w14:paraId="7CD25B3A" w14:textId="77777777" w:rsidR="00730F2D" w:rsidRDefault="00730F2D" w:rsidP="00804E4C">
            <w:pPr>
              <w:spacing w:before="10" w:after="10"/>
              <w:ind w:left="30" w:right="40"/>
              <w:jc w:val="center"/>
            </w:pPr>
            <w:r>
              <w:rPr>
                <w:rFonts w:ascii="Arial" w:eastAsia="Arial" w:hAnsi="Arial" w:cs="Arial"/>
                <w:color w:val="264A60"/>
              </w:rPr>
              <w:t>Std. Error Mean</w:t>
            </w:r>
          </w:p>
        </w:tc>
        <w:tc>
          <w:tcPr>
            <w:tcW w:w="1666" w:type="dxa"/>
            <w:tcBorders>
              <w:top w:val="none" w:sz="1" w:space="0" w:color="AEAEAE"/>
              <w:left w:val="single" w:sz="1" w:space="0" w:color="E0E0E0"/>
              <w:bottom w:val="none" w:sz="1" w:space="0" w:color="AEAEAE"/>
              <w:right w:val="none" w:sz="1" w:space="0" w:color="152935"/>
            </w:tcBorders>
            <w:shd w:val="clear" w:color="auto" w:fill="FFFFFF"/>
            <w:vAlign w:val="bottom"/>
          </w:tcPr>
          <w:p w14:paraId="2D02B902" w14:textId="77777777" w:rsidR="00730F2D" w:rsidRDefault="00730F2D" w:rsidP="00804E4C">
            <w:pPr>
              <w:spacing w:before="10" w:after="10"/>
              <w:ind w:left="30" w:right="40"/>
              <w:jc w:val="center"/>
            </w:pPr>
            <w:r>
              <w:rPr>
                <w:rFonts w:ascii="Arial" w:eastAsia="Arial" w:hAnsi="Arial" w:cs="Arial"/>
                <w:color w:val="264A60"/>
              </w:rPr>
              <w:t>95% Confidence Interval of the Difference</w:t>
            </w:r>
          </w:p>
        </w:tc>
      </w:tr>
      <w:tr w:rsidR="00730F2D" w14:paraId="42B887EB" w14:textId="77777777" w:rsidTr="00804E4C">
        <w:tblPrEx>
          <w:tblCellMar>
            <w:top w:w="0" w:type="dxa"/>
            <w:bottom w:w="0" w:type="dxa"/>
          </w:tblCellMar>
        </w:tblPrEx>
        <w:tc>
          <w:tcPr>
            <w:tcW w:w="3621" w:type="dxa"/>
            <w:gridSpan w:val="2"/>
            <w:vMerge/>
            <w:tcBorders>
              <w:top w:val="none" w:sz="1" w:space="0" w:color="152935"/>
              <w:left w:val="none" w:sz="1" w:space="0" w:color="152935"/>
            </w:tcBorders>
          </w:tcPr>
          <w:p w14:paraId="3E82D22F" w14:textId="77777777" w:rsidR="00730F2D" w:rsidRDefault="00730F2D" w:rsidP="00804E4C"/>
        </w:tc>
        <w:tc>
          <w:tcPr>
            <w:tcW w:w="1156" w:type="dxa"/>
            <w:vMerge/>
            <w:tcBorders>
              <w:top w:val="none" w:sz="1" w:space="0" w:color="AEAEAE"/>
              <w:left w:val="none" w:sz="1" w:space="0" w:color="152935"/>
              <w:bottom w:val="none" w:sz="1" w:space="0" w:color="AEAEAE"/>
              <w:right w:val="none" w:sz="1" w:space="0" w:color="AEAEAE"/>
            </w:tcBorders>
          </w:tcPr>
          <w:p w14:paraId="3BC61D15" w14:textId="77777777" w:rsidR="00730F2D" w:rsidRDefault="00730F2D" w:rsidP="00804E4C"/>
        </w:tc>
        <w:tc>
          <w:tcPr>
            <w:tcW w:w="1513" w:type="dxa"/>
            <w:vMerge/>
            <w:tcBorders>
              <w:top w:val="none" w:sz="1" w:space="0" w:color="AEAEAE"/>
              <w:left w:val="single" w:sz="1" w:space="0" w:color="E0E0E0"/>
              <w:bottom w:val="none" w:sz="1" w:space="0" w:color="AEAEAE"/>
              <w:right w:val="none" w:sz="1" w:space="0" w:color="AEAEAE"/>
            </w:tcBorders>
          </w:tcPr>
          <w:p w14:paraId="3A567776" w14:textId="77777777" w:rsidR="00730F2D" w:rsidRDefault="00730F2D" w:rsidP="00804E4C"/>
        </w:tc>
        <w:tc>
          <w:tcPr>
            <w:tcW w:w="1666" w:type="dxa"/>
            <w:vMerge/>
            <w:tcBorders>
              <w:top w:val="none" w:sz="1" w:space="0" w:color="AEAEAE"/>
              <w:left w:val="single" w:sz="1" w:space="0" w:color="E0E0E0"/>
              <w:bottom w:val="none" w:sz="1" w:space="0" w:color="AEAEAE"/>
              <w:right w:val="none" w:sz="1" w:space="0" w:color="AEAEAE"/>
            </w:tcBorders>
          </w:tcPr>
          <w:p w14:paraId="2231B2A0" w14:textId="77777777" w:rsidR="00730F2D" w:rsidRDefault="00730F2D" w:rsidP="00804E4C"/>
        </w:tc>
        <w:tc>
          <w:tcPr>
            <w:tcW w:w="1666" w:type="dxa"/>
            <w:tcBorders>
              <w:top w:val="none" w:sz="1" w:space="0" w:color="AEAEAE"/>
              <w:left w:val="single" w:sz="1" w:space="0" w:color="E0E0E0"/>
              <w:bottom w:val="single" w:sz="1" w:space="0" w:color="152935"/>
              <w:right w:val="none" w:sz="1" w:space="0" w:color="152935"/>
            </w:tcBorders>
            <w:shd w:val="clear" w:color="auto" w:fill="FFFFFF"/>
            <w:vAlign w:val="bottom"/>
          </w:tcPr>
          <w:p w14:paraId="679E65E9" w14:textId="77777777" w:rsidR="00730F2D" w:rsidRDefault="00730F2D" w:rsidP="00804E4C">
            <w:pPr>
              <w:spacing w:before="10" w:after="10"/>
              <w:ind w:left="30" w:right="40"/>
              <w:jc w:val="center"/>
            </w:pPr>
            <w:r>
              <w:rPr>
                <w:rFonts w:ascii="Arial" w:eastAsia="Arial" w:hAnsi="Arial" w:cs="Arial"/>
                <w:color w:val="264A60"/>
              </w:rPr>
              <w:t>Lower</w:t>
            </w:r>
          </w:p>
        </w:tc>
      </w:tr>
      <w:tr w:rsidR="00730F2D" w14:paraId="00FBE012" w14:textId="77777777" w:rsidTr="00804E4C">
        <w:tblPrEx>
          <w:tblCellMar>
            <w:top w:w="0" w:type="dxa"/>
            <w:bottom w:w="0" w:type="dxa"/>
          </w:tblCellMar>
        </w:tblPrEx>
        <w:tc>
          <w:tcPr>
            <w:tcW w:w="833" w:type="dxa"/>
            <w:tcBorders>
              <w:top w:val="single" w:sz="1" w:space="0" w:color="152935"/>
              <w:left w:val="none" w:sz="1" w:space="0" w:color="152935"/>
              <w:bottom w:val="single" w:sz="1" w:space="0" w:color="AEAEAE"/>
              <w:right w:val="none" w:sz="1" w:space="0" w:color="AEAEAE"/>
            </w:tcBorders>
            <w:shd w:val="clear" w:color="auto" w:fill="E0E0E0"/>
          </w:tcPr>
          <w:p w14:paraId="3C4307E8" w14:textId="77777777" w:rsidR="00730F2D" w:rsidRDefault="00730F2D" w:rsidP="00804E4C">
            <w:pPr>
              <w:spacing w:before="15" w:after="10"/>
              <w:ind w:left="30" w:right="40"/>
            </w:pPr>
            <w:r>
              <w:rPr>
                <w:rFonts w:ascii="Arial" w:eastAsia="Arial" w:hAnsi="Arial" w:cs="Arial"/>
                <w:color w:val="264A60"/>
              </w:rPr>
              <w:t>Pair 1</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72931855" w14:textId="77777777" w:rsidR="00730F2D" w:rsidRDefault="00730F2D" w:rsidP="00804E4C">
            <w:pPr>
              <w:spacing w:before="15" w:after="10"/>
              <w:ind w:left="30" w:right="40"/>
            </w:pPr>
            <w:r>
              <w:rPr>
                <w:rFonts w:ascii="Arial" w:eastAsia="Arial" w:hAnsi="Arial" w:cs="Arial"/>
                <w:color w:val="264A60"/>
              </w:rPr>
              <w:t>BDI_PRE - BDI_POST</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101978E8" w14:textId="77777777" w:rsidR="00730F2D" w:rsidRDefault="00730F2D" w:rsidP="00804E4C">
            <w:pPr>
              <w:spacing w:before="15" w:after="10"/>
              <w:ind w:left="30" w:right="40"/>
              <w:jc w:val="right"/>
            </w:pPr>
            <w:r>
              <w:rPr>
                <w:rFonts w:ascii="Arial" w:eastAsia="Arial" w:hAnsi="Arial" w:cs="Arial"/>
                <w:color w:val="010205"/>
              </w:rPr>
              <w:t>6.742</w:t>
            </w:r>
          </w:p>
        </w:tc>
        <w:tc>
          <w:tcPr>
            <w:tcW w:w="1513" w:type="dxa"/>
            <w:tcBorders>
              <w:top w:val="single" w:sz="1" w:space="0" w:color="152935"/>
              <w:left w:val="single" w:sz="1" w:space="0" w:color="E0E0E0"/>
              <w:bottom w:val="single" w:sz="1" w:space="0" w:color="AEAEAE"/>
              <w:right w:val="none" w:sz="1" w:space="0" w:color="AEAEAE"/>
            </w:tcBorders>
            <w:shd w:val="clear" w:color="auto" w:fill="F9F9FB"/>
          </w:tcPr>
          <w:p w14:paraId="3C4011DB" w14:textId="77777777" w:rsidR="00730F2D" w:rsidRDefault="00730F2D" w:rsidP="00804E4C">
            <w:pPr>
              <w:spacing w:before="15" w:after="10"/>
              <w:ind w:left="30" w:right="40"/>
              <w:jc w:val="right"/>
            </w:pPr>
            <w:r>
              <w:rPr>
                <w:rFonts w:ascii="Arial" w:eastAsia="Arial" w:hAnsi="Arial" w:cs="Arial"/>
                <w:color w:val="010205"/>
              </w:rPr>
              <w:t>6.164</w:t>
            </w:r>
          </w:p>
        </w:tc>
        <w:tc>
          <w:tcPr>
            <w:tcW w:w="1666" w:type="dxa"/>
            <w:tcBorders>
              <w:top w:val="single" w:sz="1" w:space="0" w:color="152935"/>
              <w:left w:val="single" w:sz="1" w:space="0" w:color="E0E0E0"/>
              <w:bottom w:val="single" w:sz="1" w:space="0" w:color="AEAEAE"/>
              <w:right w:val="none" w:sz="1" w:space="0" w:color="AEAEAE"/>
            </w:tcBorders>
            <w:shd w:val="clear" w:color="auto" w:fill="F9F9FB"/>
          </w:tcPr>
          <w:p w14:paraId="00F9D388" w14:textId="77777777" w:rsidR="00730F2D" w:rsidRDefault="00730F2D" w:rsidP="00804E4C">
            <w:pPr>
              <w:spacing w:before="15" w:after="10"/>
              <w:ind w:left="30" w:right="40"/>
              <w:jc w:val="right"/>
            </w:pPr>
            <w:r>
              <w:rPr>
                <w:rFonts w:ascii="Arial" w:eastAsia="Arial" w:hAnsi="Arial" w:cs="Arial"/>
                <w:color w:val="010205"/>
              </w:rPr>
              <w:t>1.107</w:t>
            </w:r>
          </w:p>
        </w:tc>
        <w:tc>
          <w:tcPr>
            <w:tcW w:w="1666" w:type="dxa"/>
            <w:tcBorders>
              <w:top w:val="single" w:sz="1" w:space="0" w:color="152935"/>
              <w:left w:val="single" w:sz="1" w:space="0" w:color="E0E0E0"/>
              <w:bottom w:val="single" w:sz="1" w:space="0" w:color="AEAEAE"/>
              <w:right w:val="none" w:sz="1" w:space="0" w:color="152935"/>
            </w:tcBorders>
            <w:shd w:val="clear" w:color="auto" w:fill="F9F9FB"/>
          </w:tcPr>
          <w:p w14:paraId="0B34BB23" w14:textId="77777777" w:rsidR="00730F2D" w:rsidRDefault="00730F2D" w:rsidP="00804E4C">
            <w:pPr>
              <w:spacing w:before="15" w:after="10"/>
              <w:ind w:left="30" w:right="40"/>
              <w:jc w:val="right"/>
            </w:pPr>
            <w:r>
              <w:rPr>
                <w:rFonts w:ascii="Arial" w:eastAsia="Arial" w:hAnsi="Arial" w:cs="Arial"/>
                <w:color w:val="010205"/>
              </w:rPr>
              <w:t>4.481</w:t>
            </w:r>
          </w:p>
        </w:tc>
      </w:tr>
      <w:tr w:rsidR="00730F2D" w14:paraId="69584830" w14:textId="77777777" w:rsidTr="00804E4C">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59CFD3EA" w14:textId="77777777" w:rsidR="00730F2D" w:rsidRDefault="00730F2D" w:rsidP="00804E4C">
            <w:pPr>
              <w:spacing w:before="15" w:after="10"/>
              <w:ind w:left="30" w:right="40"/>
            </w:pPr>
            <w:r>
              <w:rPr>
                <w:rFonts w:ascii="Arial" w:eastAsia="Arial" w:hAnsi="Arial" w:cs="Arial"/>
                <w:color w:val="264A60"/>
              </w:rPr>
              <w:t>Pair 2</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5019124" w14:textId="77777777" w:rsidR="00730F2D" w:rsidRPr="004C35CC" w:rsidRDefault="00730F2D" w:rsidP="00804E4C">
            <w:pPr>
              <w:spacing w:before="15" w:after="10"/>
              <w:ind w:left="30" w:right="40"/>
              <w:rPr>
                <w:lang w:val="es-ES"/>
              </w:rPr>
            </w:pPr>
            <w:r w:rsidRPr="004C35CC">
              <w:rPr>
                <w:rFonts w:ascii="Arial" w:eastAsia="Arial" w:hAnsi="Arial" w:cs="Arial"/>
                <w:color w:val="264A60"/>
                <w:lang w:val="es-ES"/>
              </w:rPr>
              <w:t>MBI_EE_PRE - MBI_EE_POST</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829C03B" w14:textId="77777777" w:rsidR="00730F2D" w:rsidRDefault="00730F2D" w:rsidP="00804E4C">
            <w:pPr>
              <w:spacing w:before="15" w:after="10"/>
              <w:ind w:left="30" w:right="40"/>
              <w:jc w:val="right"/>
            </w:pPr>
            <w:r>
              <w:rPr>
                <w:rFonts w:ascii="Arial" w:eastAsia="Arial" w:hAnsi="Arial" w:cs="Arial"/>
                <w:color w:val="010205"/>
              </w:rPr>
              <w:t>6.871</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74C09370" w14:textId="77777777" w:rsidR="00730F2D" w:rsidRDefault="00730F2D" w:rsidP="00804E4C">
            <w:pPr>
              <w:spacing w:before="15" w:after="10"/>
              <w:ind w:left="30" w:right="40"/>
              <w:jc w:val="right"/>
            </w:pPr>
            <w:r>
              <w:rPr>
                <w:rFonts w:ascii="Arial" w:eastAsia="Arial" w:hAnsi="Arial" w:cs="Arial"/>
                <w:color w:val="010205"/>
              </w:rPr>
              <w:t>9.999</w:t>
            </w:r>
          </w:p>
        </w:tc>
        <w:tc>
          <w:tcPr>
            <w:tcW w:w="1666" w:type="dxa"/>
            <w:tcBorders>
              <w:top w:val="single" w:sz="1" w:space="0" w:color="AEAEAE"/>
              <w:left w:val="single" w:sz="1" w:space="0" w:color="E0E0E0"/>
              <w:bottom w:val="single" w:sz="1" w:space="0" w:color="AEAEAE"/>
              <w:right w:val="none" w:sz="1" w:space="0" w:color="AEAEAE"/>
            </w:tcBorders>
            <w:shd w:val="clear" w:color="auto" w:fill="F9F9FB"/>
          </w:tcPr>
          <w:p w14:paraId="1AE52135" w14:textId="77777777" w:rsidR="00730F2D" w:rsidRDefault="00730F2D" w:rsidP="00804E4C">
            <w:pPr>
              <w:spacing w:before="15" w:after="10"/>
              <w:ind w:left="30" w:right="40"/>
              <w:jc w:val="right"/>
            </w:pPr>
            <w:r>
              <w:rPr>
                <w:rFonts w:ascii="Arial" w:eastAsia="Arial" w:hAnsi="Arial" w:cs="Arial"/>
                <w:color w:val="010205"/>
              </w:rPr>
              <w:t>1.796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337A8EC" w14:textId="77777777" w:rsidR="00730F2D" w:rsidRDefault="00730F2D" w:rsidP="00804E4C">
            <w:pPr>
              <w:spacing w:before="15" w:after="10"/>
              <w:ind w:left="30" w:right="40"/>
              <w:jc w:val="right"/>
            </w:pPr>
            <w:r>
              <w:rPr>
                <w:rFonts w:ascii="Arial" w:eastAsia="Arial" w:hAnsi="Arial" w:cs="Arial"/>
                <w:color w:val="010205"/>
              </w:rPr>
              <w:t>3.203</w:t>
            </w:r>
          </w:p>
        </w:tc>
      </w:tr>
      <w:tr w:rsidR="00730F2D" w14:paraId="46566F9F" w14:textId="77777777" w:rsidTr="00804E4C">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7AD64D33" w14:textId="77777777" w:rsidR="00730F2D" w:rsidRDefault="00730F2D" w:rsidP="00804E4C">
            <w:pPr>
              <w:spacing w:before="15" w:after="10"/>
              <w:ind w:left="30" w:right="40"/>
            </w:pPr>
            <w:r>
              <w:rPr>
                <w:rFonts w:ascii="Arial" w:eastAsia="Arial" w:hAnsi="Arial" w:cs="Arial"/>
                <w:color w:val="264A60"/>
              </w:rPr>
              <w:t>Pair 3</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A5C8FB9" w14:textId="77777777" w:rsidR="00730F2D" w:rsidRDefault="00730F2D" w:rsidP="00804E4C">
            <w:pPr>
              <w:spacing w:before="15" w:after="10"/>
              <w:ind w:left="30" w:right="40"/>
            </w:pPr>
            <w:r>
              <w:rPr>
                <w:rFonts w:ascii="Arial" w:eastAsia="Arial" w:hAnsi="Arial" w:cs="Arial"/>
                <w:color w:val="264A60"/>
              </w:rPr>
              <w:t>MBI_DP_PRE - MBI_DP_POST</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C0258CB" w14:textId="77777777" w:rsidR="00730F2D" w:rsidRDefault="00730F2D" w:rsidP="00804E4C">
            <w:pPr>
              <w:spacing w:before="15" w:after="10"/>
              <w:ind w:left="30" w:right="40"/>
              <w:jc w:val="right"/>
            </w:pPr>
            <w:r>
              <w:rPr>
                <w:rFonts w:ascii="Arial" w:eastAsia="Arial" w:hAnsi="Arial" w:cs="Arial"/>
                <w:color w:val="010205"/>
              </w:rPr>
              <w:t>1.774</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21151A25" w14:textId="77777777" w:rsidR="00730F2D" w:rsidRDefault="00730F2D" w:rsidP="00804E4C">
            <w:pPr>
              <w:spacing w:before="15" w:after="10"/>
              <w:ind w:left="30" w:right="40"/>
              <w:jc w:val="right"/>
            </w:pPr>
            <w:r>
              <w:rPr>
                <w:rFonts w:ascii="Arial" w:eastAsia="Arial" w:hAnsi="Arial" w:cs="Arial"/>
                <w:color w:val="010205"/>
              </w:rPr>
              <w:t>4.971</w:t>
            </w:r>
          </w:p>
        </w:tc>
        <w:tc>
          <w:tcPr>
            <w:tcW w:w="1666" w:type="dxa"/>
            <w:tcBorders>
              <w:top w:val="single" w:sz="1" w:space="0" w:color="AEAEAE"/>
              <w:left w:val="single" w:sz="1" w:space="0" w:color="E0E0E0"/>
              <w:bottom w:val="single" w:sz="1" w:space="0" w:color="AEAEAE"/>
              <w:right w:val="none" w:sz="1" w:space="0" w:color="AEAEAE"/>
            </w:tcBorders>
            <w:shd w:val="clear" w:color="auto" w:fill="F9F9FB"/>
          </w:tcPr>
          <w:p w14:paraId="4198D256" w14:textId="77777777" w:rsidR="00730F2D" w:rsidRDefault="00730F2D" w:rsidP="00804E4C">
            <w:pPr>
              <w:spacing w:before="15" w:after="10"/>
              <w:ind w:left="30" w:right="40"/>
              <w:jc w:val="right"/>
            </w:pPr>
            <w:r>
              <w:rPr>
                <w:rFonts w:ascii="Arial" w:eastAsia="Arial" w:hAnsi="Arial" w:cs="Arial"/>
                <w:color w:val="010205"/>
              </w:rPr>
              <w:t>.893</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EC9FF5E" w14:textId="77777777" w:rsidR="00730F2D" w:rsidRDefault="00730F2D" w:rsidP="00804E4C">
            <w:pPr>
              <w:spacing w:before="15" w:after="10"/>
              <w:ind w:left="30" w:right="40"/>
              <w:jc w:val="right"/>
            </w:pPr>
            <w:r>
              <w:rPr>
                <w:rFonts w:ascii="Arial" w:eastAsia="Arial" w:hAnsi="Arial" w:cs="Arial"/>
                <w:color w:val="010205"/>
              </w:rPr>
              <w:t>-.049</w:t>
            </w:r>
          </w:p>
        </w:tc>
      </w:tr>
      <w:tr w:rsidR="00730F2D" w14:paraId="7BA052D2" w14:textId="77777777" w:rsidTr="00804E4C">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7D05029F" w14:textId="77777777" w:rsidR="00730F2D" w:rsidRDefault="00730F2D" w:rsidP="00804E4C">
            <w:pPr>
              <w:spacing w:before="15" w:after="10"/>
              <w:ind w:left="30" w:right="40"/>
            </w:pPr>
            <w:r>
              <w:rPr>
                <w:rFonts w:ascii="Arial" w:eastAsia="Arial" w:hAnsi="Arial" w:cs="Arial"/>
                <w:color w:val="264A60"/>
              </w:rPr>
              <w:t>Pair 4</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4428220" w14:textId="77777777" w:rsidR="00730F2D" w:rsidRDefault="00730F2D" w:rsidP="00804E4C">
            <w:pPr>
              <w:spacing w:before="15" w:after="10"/>
              <w:ind w:left="30" w:right="40"/>
            </w:pPr>
            <w:r>
              <w:rPr>
                <w:rFonts w:ascii="Arial" w:eastAsia="Arial" w:hAnsi="Arial" w:cs="Arial"/>
                <w:color w:val="264A60"/>
              </w:rPr>
              <w:t>MBI_PA_PRE - MBI_PA_POST</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4686E2E9" w14:textId="77777777" w:rsidR="00730F2D" w:rsidRDefault="00730F2D" w:rsidP="00804E4C">
            <w:pPr>
              <w:spacing w:before="15" w:after="10"/>
              <w:ind w:left="30" w:right="40"/>
              <w:jc w:val="right"/>
            </w:pPr>
            <w:r>
              <w:rPr>
                <w:rFonts w:ascii="Arial" w:eastAsia="Arial" w:hAnsi="Arial" w:cs="Arial"/>
                <w:color w:val="010205"/>
              </w:rPr>
              <w:t>3.516</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3FBBE3F4" w14:textId="77777777" w:rsidR="00730F2D" w:rsidRDefault="00730F2D" w:rsidP="00804E4C">
            <w:pPr>
              <w:spacing w:before="15" w:after="10"/>
              <w:ind w:left="30" w:right="40"/>
              <w:jc w:val="right"/>
            </w:pPr>
            <w:r>
              <w:rPr>
                <w:rFonts w:ascii="Arial" w:eastAsia="Arial" w:hAnsi="Arial" w:cs="Arial"/>
                <w:color w:val="010205"/>
              </w:rPr>
              <w:t>6.772</w:t>
            </w:r>
          </w:p>
        </w:tc>
        <w:tc>
          <w:tcPr>
            <w:tcW w:w="1666" w:type="dxa"/>
            <w:tcBorders>
              <w:top w:val="single" w:sz="1" w:space="0" w:color="AEAEAE"/>
              <w:left w:val="single" w:sz="1" w:space="0" w:color="E0E0E0"/>
              <w:bottom w:val="single" w:sz="1" w:space="0" w:color="AEAEAE"/>
              <w:right w:val="none" w:sz="1" w:space="0" w:color="AEAEAE"/>
            </w:tcBorders>
            <w:shd w:val="clear" w:color="auto" w:fill="F9F9FB"/>
          </w:tcPr>
          <w:p w14:paraId="2624E348" w14:textId="77777777" w:rsidR="00730F2D" w:rsidRDefault="00730F2D" w:rsidP="00804E4C">
            <w:pPr>
              <w:spacing w:before="15" w:after="10"/>
              <w:ind w:left="30" w:right="40"/>
              <w:jc w:val="right"/>
            </w:pPr>
            <w:r>
              <w:rPr>
                <w:rFonts w:ascii="Arial" w:eastAsia="Arial" w:hAnsi="Arial" w:cs="Arial"/>
                <w:color w:val="010205"/>
              </w:rPr>
              <w:t>1.216</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02FFA40" w14:textId="77777777" w:rsidR="00730F2D" w:rsidRDefault="00730F2D" w:rsidP="00804E4C">
            <w:pPr>
              <w:spacing w:before="15" w:after="10"/>
              <w:ind w:left="30" w:right="40"/>
              <w:jc w:val="right"/>
            </w:pPr>
            <w:r>
              <w:rPr>
                <w:rFonts w:ascii="Arial" w:eastAsia="Arial" w:hAnsi="Arial" w:cs="Arial"/>
                <w:color w:val="010205"/>
              </w:rPr>
              <w:t>1.032</w:t>
            </w:r>
          </w:p>
        </w:tc>
      </w:tr>
      <w:tr w:rsidR="00730F2D" w14:paraId="71E7198F" w14:textId="77777777" w:rsidTr="00804E4C">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50963FF1" w14:textId="77777777" w:rsidR="00730F2D" w:rsidRDefault="00730F2D" w:rsidP="00804E4C">
            <w:pPr>
              <w:spacing w:before="15" w:after="10"/>
              <w:ind w:left="30" w:right="40"/>
            </w:pPr>
            <w:r>
              <w:rPr>
                <w:rFonts w:ascii="Arial" w:eastAsia="Arial" w:hAnsi="Arial" w:cs="Arial"/>
                <w:color w:val="264A60"/>
              </w:rPr>
              <w:t>Pair 5</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F1FF1EB" w14:textId="77777777" w:rsidR="00730F2D" w:rsidRDefault="00730F2D" w:rsidP="00804E4C">
            <w:pPr>
              <w:spacing w:before="15" w:after="10"/>
              <w:ind w:left="30" w:right="40"/>
            </w:pPr>
            <w:r>
              <w:rPr>
                <w:rFonts w:ascii="Arial" w:eastAsia="Arial" w:hAnsi="Arial" w:cs="Arial"/>
                <w:color w:val="264A60"/>
              </w:rPr>
              <w:t>SWEM_PRE - SWEM_POST</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7909763" w14:textId="77777777" w:rsidR="00730F2D" w:rsidRDefault="00730F2D" w:rsidP="00804E4C">
            <w:pPr>
              <w:spacing w:before="15" w:after="10"/>
              <w:ind w:left="30" w:right="40"/>
              <w:jc w:val="right"/>
            </w:pPr>
            <w:r>
              <w:rPr>
                <w:rFonts w:ascii="Arial" w:eastAsia="Arial" w:hAnsi="Arial" w:cs="Arial"/>
                <w:color w:val="010205"/>
              </w:rPr>
              <w:t>-2.161</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010CBB10" w14:textId="77777777" w:rsidR="00730F2D" w:rsidRDefault="00730F2D" w:rsidP="00804E4C">
            <w:pPr>
              <w:spacing w:before="15" w:after="10"/>
              <w:ind w:left="30" w:right="40"/>
              <w:jc w:val="right"/>
            </w:pPr>
            <w:r>
              <w:rPr>
                <w:rFonts w:ascii="Arial" w:eastAsia="Arial" w:hAnsi="Arial" w:cs="Arial"/>
                <w:color w:val="010205"/>
              </w:rPr>
              <w:t>6.709</w:t>
            </w:r>
          </w:p>
        </w:tc>
        <w:tc>
          <w:tcPr>
            <w:tcW w:w="1666" w:type="dxa"/>
            <w:tcBorders>
              <w:top w:val="single" w:sz="1" w:space="0" w:color="AEAEAE"/>
              <w:left w:val="single" w:sz="1" w:space="0" w:color="E0E0E0"/>
              <w:bottom w:val="single" w:sz="1" w:space="0" w:color="AEAEAE"/>
              <w:right w:val="none" w:sz="1" w:space="0" w:color="AEAEAE"/>
            </w:tcBorders>
            <w:shd w:val="clear" w:color="auto" w:fill="F9F9FB"/>
          </w:tcPr>
          <w:p w14:paraId="6070FF4C" w14:textId="77777777" w:rsidR="00730F2D" w:rsidRDefault="00730F2D" w:rsidP="00804E4C">
            <w:pPr>
              <w:spacing w:before="15" w:after="10"/>
              <w:ind w:left="30" w:right="40"/>
              <w:jc w:val="right"/>
            </w:pPr>
            <w:r>
              <w:rPr>
                <w:rFonts w:ascii="Arial" w:eastAsia="Arial" w:hAnsi="Arial" w:cs="Arial"/>
                <w:color w:val="010205"/>
              </w:rPr>
              <w:t>1.205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69FEE013" w14:textId="77777777" w:rsidR="00730F2D" w:rsidRDefault="00730F2D" w:rsidP="00804E4C">
            <w:pPr>
              <w:spacing w:before="15" w:after="10"/>
              <w:ind w:left="30" w:right="40"/>
              <w:jc w:val="right"/>
            </w:pPr>
            <w:r>
              <w:rPr>
                <w:rFonts w:ascii="Arial" w:eastAsia="Arial" w:hAnsi="Arial" w:cs="Arial"/>
                <w:color w:val="010205"/>
              </w:rPr>
              <w:t>-4.622</w:t>
            </w:r>
          </w:p>
        </w:tc>
      </w:tr>
      <w:tr w:rsidR="00730F2D" w14:paraId="44A613E7" w14:textId="77777777" w:rsidTr="00804E4C">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49CC68ED" w14:textId="77777777" w:rsidR="00730F2D" w:rsidRDefault="00730F2D" w:rsidP="00804E4C">
            <w:pPr>
              <w:spacing w:before="15" w:after="10"/>
              <w:ind w:left="30" w:right="40"/>
            </w:pPr>
            <w:r>
              <w:rPr>
                <w:rFonts w:ascii="Arial" w:eastAsia="Arial" w:hAnsi="Arial" w:cs="Arial"/>
                <w:color w:val="264A60"/>
              </w:rPr>
              <w:t>Pair 6</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41E22E2E" w14:textId="77777777" w:rsidR="00730F2D" w:rsidRDefault="00730F2D" w:rsidP="00804E4C">
            <w:pPr>
              <w:spacing w:before="15" w:after="10"/>
              <w:ind w:left="30" w:right="40"/>
            </w:pPr>
            <w:r>
              <w:rPr>
                <w:rFonts w:ascii="Arial" w:eastAsia="Arial" w:hAnsi="Arial" w:cs="Arial"/>
                <w:color w:val="264A60"/>
              </w:rPr>
              <w:t>ONS_SATIS_PRE - ONS_SATIS_POST</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1D126BA3" w14:textId="77777777" w:rsidR="00730F2D" w:rsidRDefault="00730F2D" w:rsidP="00804E4C">
            <w:pPr>
              <w:spacing w:before="15" w:after="10"/>
              <w:ind w:left="30" w:right="40"/>
              <w:jc w:val="right"/>
            </w:pPr>
            <w:r>
              <w:rPr>
                <w:rFonts w:ascii="Arial" w:eastAsia="Arial" w:hAnsi="Arial" w:cs="Arial"/>
                <w:color w:val="010205"/>
              </w:rPr>
              <w:t>-.355</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66B80648" w14:textId="77777777" w:rsidR="00730F2D" w:rsidRDefault="00730F2D" w:rsidP="00804E4C">
            <w:pPr>
              <w:spacing w:before="15" w:after="10"/>
              <w:ind w:left="30" w:right="40"/>
              <w:jc w:val="right"/>
            </w:pPr>
            <w:r>
              <w:rPr>
                <w:rFonts w:ascii="Arial" w:eastAsia="Arial" w:hAnsi="Arial" w:cs="Arial"/>
                <w:color w:val="010205"/>
              </w:rPr>
              <w:t>2.090</w:t>
            </w:r>
          </w:p>
        </w:tc>
        <w:tc>
          <w:tcPr>
            <w:tcW w:w="1666" w:type="dxa"/>
            <w:tcBorders>
              <w:top w:val="single" w:sz="1" w:space="0" w:color="AEAEAE"/>
              <w:left w:val="single" w:sz="1" w:space="0" w:color="E0E0E0"/>
              <w:bottom w:val="single" w:sz="1" w:space="0" w:color="AEAEAE"/>
              <w:right w:val="none" w:sz="1" w:space="0" w:color="AEAEAE"/>
            </w:tcBorders>
            <w:shd w:val="clear" w:color="auto" w:fill="F9F9FB"/>
          </w:tcPr>
          <w:p w14:paraId="3CD5EF98" w14:textId="77777777" w:rsidR="00730F2D" w:rsidRDefault="00730F2D" w:rsidP="00804E4C">
            <w:pPr>
              <w:spacing w:before="15" w:after="10"/>
              <w:ind w:left="30" w:right="40"/>
              <w:jc w:val="right"/>
            </w:pPr>
            <w:r>
              <w:rPr>
                <w:rFonts w:ascii="Arial" w:eastAsia="Arial" w:hAnsi="Arial" w:cs="Arial"/>
                <w:color w:val="010205"/>
              </w:rPr>
              <w:t>.375</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76556239" w14:textId="77777777" w:rsidR="00730F2D" w:rsidRDefault="00730F2D" w:rsidP="00804E4C">
            <w:pPr>
              <w:spacing w:before="15" w:after="10"/>
              <w:ind w:left="30" w:right="40"/>
              <w:jc w:val="right"/>
            </w:pPr>
            <w:r>
              <w:rPr>
                <w:rFonts w:ascii="Arial" w:eastAsia="Arial" w:hAnsi="Arial" w:cs="Arial"/>
                <w:color w:val="010205"/>
              </w:rPr>
              <w:t>-1.122</w:t>
            </w:r>
          </w:p>
        </w:tc>
      </w:tr>
      <w:tr w:rsidR="00730F2D" w14:paraId="778EC61F" w14:textId="77777777" w:rsidTr="00804E4C">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32564DAD" w14:textId="77777777" w:rsidR="00730F2D" w:rsidRDefault="00730F2D" w:rsidP="00804E4C">
            <w:pPr>
              <w:spacing w:before="15" w:after="10"/>
              <w:ind w:left="30" w:right="40"/>
            </w:pPr>
            <w:r>
              <w:rPr>
                <w:rFonts w:ascii="Arial" w:eastAsia="Arial" w:hAnsi="Arial" w:cs="Arial"/>
                <w:color w:val="264A60"/>
              </w:rPr>
              <w:t>Pair 7</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3EEA7A3" w14:textId="77777777" w:rsidR="00730F2D" w:rsidRDefault="00730F2D" w:rsidP="00804E4C">
            <w:pPr>
              <w:spacing w:before="15" w:after="10"/>
              <w:ind w:left="30" w:right="40"/>
            </w:pPr>
            <w:r>
              <w:rPr>
                <w:rFonts w:ascii="Arial" w:eastAsia="Arial" w:hAnsi="Arial" w:cs="Arial"/>
                <w:color w:val="264A60"/>
              </w:rPr>
              <w:t>ONS_WORTH_PRE - ONS_WORTH_POST</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65A1DE1F" w14:textId="77777777" w:rsidR="00730F2D" w:rsidRDefault="00730F2D" w:rsidP="00804E4C">
            <w:pPr>
              <w:spacing w:before="15" w:after="10"/>
              <w:ind w:left="30" w:right="40"/>
              <w:jc w:val="right"/>
            </w:pPr>
            <w:r>
              <w:rPr>
                <w:rFonts w:ascii="Arial" w:eastAsia="Arial" w:hAnsi="Arial" w:cs="Arial"/>
                <w:color w:val="010205"/>
              </w:rPr>
              <w:t>-.645</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0DD33729" w14:textId="77777777" w:rsidR="00730F2D" w:rsidRDefault="00730F2D" w:rsidP="00804E4C">
            <w:pPr>
              <w:spacing w:before="15" w:after="10"/>
              <w:ind w:left="30" w:right="40"/>
              <w:jc w:val="right"/>
            </w:pPr>
            <w:r>
              <w:rPr>
                <w:rFonts w:ascii="Arial" w:eastAsia="Arial" w:hAnsi="Arial" w:cs="Arial"/>
                <w:color w:val="010205"/>
              </w:rPr>
              <w:t>2.229</w:t>
            </w:r>
          </w:p>
        </w:tc>
        <w:tc>
          <w:tcPr>
            <w:tcW w:w="1666" w:type="dxa"/>
            <w:tcBorders>
              <w:top w:val="single" w:sz="1" w:space="0" w:color="AEAEAE"/>
              <w:left w:val="single" w:sz="1" w:space="0" w:color="E0E0E0"/>
              <w:bottom w:val="single" w:sz="1" w:space="0" w:color="AEAEAE"/>
              <w:right w:val="none" w:sz="1" w:space="0" w:color="AEAEAE"/>
            </w:tcBorders>
            <w:shd w:val="clear" w:color="auto" w:fill="F9F9FB"/>
          </w:tcPr>
          <w:p w14:paraId="7AF7E8F2" w14:textId="77777777" w:rsidR="00730F2D" w:rsidRDefault="00730F2D" w:rsidP="00804E4C">
            <w:pPr>
              <w:spacing w:before="15" w:after="10"/>
              <w:ind w:left="30" w:right="40"/>
              <w:jc w:val="right"/>
            </w:pPr>
            <w:r>
              <w:rPr>
                <w:rFonts w:ascii="Arial" w:eastAsia="Arial" w:hAnsi="Arial" w:cs="Arial"/>
                <w:color w:val="010205"/>
              </w:rPr>
              <w:t>.400</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13B08FF1" w14:textId="77777777" w:rsidR="00730F2D" w:rsidRDefault="00730F2D" w:rsidP="00804E4C">
            <w:pPr>
              <w:spacing w:before="15" w:after="10"/>
              <w:ind w:left="30" w:right="40"/>
              <w:jc w:val="right"/>
            </w:pPr>
            <w:r>
              <w:rPr>
                <w:rFonts w:ascii="Arial" w:eastAsia="Arial" w:hAnsi="Arial" w:cs="Arial"/>
                <w:color w:val="010205"/>
              </w:rPr>
              <w:t>-1.463</w:t>
            </w:r>
          </w:p>
        </w:tc>
      </w:tr>
      <w:tr w:rsidR="00730F2D" w14:paraId="0E712468" w14:textId="77777777" w:rsidTr="00804E4C">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3B538E98" w14:textId="77777777" w:rsidR="00730F2D" w:rsidRDefault="00730F2D" w:rsidP="00804E4C">
            <w:pPr>
              <w:spacing w:before="15" w:after="10"/>
              <w:ind w:left="30" w:right="40"/>
            </w:pPr>
            <w:r>
              <w:rPr>
                <w:rFonts w:ascii="Arial" w:eastAsia="Arial" w:hAnsi="Arial" w:cs="Arial"/>
                <w:color w:val="264A60"/>
              </w:rPr>
              <w:t>Pair 8</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F923676" w14:textId="77777777" w:rsidR="00730F2D" w:rsidRPr="004C35CC" w:rsidRDefault="00730F2D" w:rsidP="00804E4C">
            <w:pPr>
              <w:spacing w:before="15" w:after="10"/>
              <w:ind w:left="30" w:right="40"/>
              <w:rPr>
                <w:lang w:val="nl-NL"/>
              </w:rPr>
            </w:pPr>
            <w:r w:rsidRPr="004C35CC">
              <w:rPr>
                <w:rFonts w:ascii="Arial" w:eastAsia="Arial" w:hAnsi="Arial" w:cs="Arial"/>
                <w:color w:val="264A60"/>
                <w:lang w:val="nl-NL"/>
              </w:rPr>
              <w:t>ONS_HAP_PRE - ONS_HAP_POST</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77400D27" w14:textId="77777777" w:rsidR="00730F2D" w:rsidRDefault="00730F2D" w:rsidP="00804E4C">
            <w:pPr>
              <w:spacing w:before="15" w:after="10"/>
              <w:ind w:left="30" w:right="40"/>
              <w:jc w:val="right"/>
            </w:pPr>
            <w:r>
              <w:rPr>
                <w:rFonts w:ascii="Arial" w:eastAsia="Arial" w:hAnsi="Arial" w:cs="Arial"/>
                <w:color w:val="010205"/>
              </w:rPr>
              <w:t>.355</w:t>
            </w:r>
          </w:p>
        </w:tc>
        <w:tc>
          <w:tcPr>
            <w:tcW w:w="1513" w:type="dxa"/>
            <w:tcBorders>
              <w:top w:val="single" w:sz="1" w:space="0" w:color="AEAEAE"/>
              <w:left w:val="single" w:sz="1" w:space="0" w:color="E0E0E0"/>
              <w:bottom w:val="single" w:sz="1" w:space="0" w:color="AEAEAE"/>
              <w:right w:val="none" w:sz="1" w:space="0" w:color="AEAEAE"/>
            </w:tcBorders>
            <w:shd w:val="clear" w:color="auto" w:fill="F9F9FB"/>
          </w:tcPr>
          <w:p w14:paraId="6F458B86" w14:textId="77777777" w:rsidR="00730F2D" w:rsidRDefault="00730F2D" w:rsidP="00804E4C">
            <w:pPr>
              <w:spacing w:before="15" w:after="10"/>
              <w:ind w:left="30" w:right="40"/>
              <w:jc w:val="right"/>
            </w:pPr>
            <w:r>
              <w:rPr>
                <w:rFonts w:ascii="Arial" w:eastAsia="Arial" w:hAnsi="Arial" w:cs="Arial"/>
                <w:color w:val="010205"/>
              </w:rPr>
              <w:t>2.715</w:t>
            </w:r>
          </w:p>
        </w:tc>
        <w:tc>
          <w:tcPr>
            <w:tcW w:w="1666" w:type="dxa"/>
            <w:tcBorders>
              <w:top w:val="single" w:sz="1" w:space="0" w:color="AEAEAE"/>
              <w:left w:val="single" w:sz="1" w:space="0" w:color="E0E0E0"/>
              <w:bottom w:val="single" w:sz="1" w:space="0" w:color="AEAEAE"/>
              <w:right w:val="none" w:sz="1" w:space="0" w:color="AEAEAE"/>
            </w:tcBorders>
            <w:shd w:val="clear" w:color="auto" w:fill="F9F9FB"/>
          </w:tcPr>
          <w:p w14:paraId="5A068558" w14:textId="77777777" w:rsidR="00730F2D" w:rsidRDefault="00730F2D" w:rsidP="00804E4C">
            <w:pPr>
              <w:spacing w:before="15" w:after="10"/>
              <w:ind w:left="30" w:right="40"/>
              <w:jc w:val="right"/>
            </w:pPr>
            <w:r>
              <w:rPr>
                <w:rFonts w:ascii="Arial" w:eastAsia="Arial" w:hAnsi="Arial" w:cs="Arial"/>
                <w:color w:val="010205"/>
              </w:rPr>
              <w:t>.488</w:t>
            </w:r>
          </w:p>
        </w:tc>
        <w:tc>
          <w:tcPr>
            <w:tcW w:w="1666" w:type="dxa"/>
            <w:tcBorders>
              <w:top w:val="single" w:sz="1" w:space="0" w:color="AEAEAE"/>
              <w:left w:val="single" w:sz="1" w:space="0" w:color="E0E0E0"/>
              <w:bottom w:val="single" w:sz="1" w:space="0" w:color="AEAEAE"/>
              <w:right w:val="none" w:sz="1" w:space="0" w:color="152935"/>
            </w:tcBorders>
            <w:shd w:val="clear" w:color="auto" w:fill="F9F9FB"/>
          </w:tcPr>
          <w:p w14:paraId="47366FF0" w14:textId="77777777" w:rsidR="00730F2D" w:rsidRDefault="00730F2D" w:rsidP="00804E4C">
            <w:pPr>
              <w:spacing w:before="15" w:after="10"/>
              <w:ind w:left="30" w:right="40"/>
              <w:jc w:val="right"/>
            </w:pPr>
            <w:r>
              <w:rPr>
                <w:rFonts w:ascii="Arial" w:eastAsia="Arial" w:hAnsi="Arial" w:cs="Arial"/>
                <w:color w:val="010205"/>
              </w:rPr>
              <w:t>-.641</w:t>
            </w:r>
          </w:p>
        </w:tc>
      </w:tr>
      <w:tr w:rsidR="00730F2D" w14:paraId="0D24AB9A" w14:textId="77777777" w:rsidTr="00804E4C">
        <w:tblPrEx>
          <w:tblCellMar>
            <w:top w:w="0" w:type="dxa"/>
            <w:bottom w:w="0" w:type="dxa"/>
          </w:tblCellMar>
        </w:tblPrEx>
        <w:tc>
          <w:tcPr>
            <w:tcW w:w="833" w:type="dxa"/>
            <w:tcBorders>
              <w:top w:val="single" w:sz="1" w:space="0" w:color="AEAEAE"/>
              <w:left w:val="none" w:sz="1" w:space="0" w:color="152935"/>
              <w:bottom w:val="single" w:sz="1" w:space="0" w:color="152935"/>
              <w:right w:val="none" w:sz="1" w:space="0" w:color="AEAEAE"/>
            </w:tcBorders>
            <w:shd w:val="clear" w:color="auto" w:fill="E0E0E0"/>
          </w:tcPr>
          <w:p w14:paraId="258E5192" w14:textId="77777777" w:rsidR="00730F2D" w:rsidRDefault="00730F2D" w:rsidP="00804E4C">
            <w:pPr>
              <w:spacing w:before="15" w:after="10"/>
              <w:ind w:left="30" w:right="40"/>
            </w:pPr>
            <w:r>
              <w:rPr>
                <w:rFonts w:ascii="Arial" w:eastAsia="Arial" w:hAnsi="Arial" w:cs="Arial"/>
                <w:color w:val="264A60"/>
              </w:rPr>
              <w:t>Pair 9</w:t>
            </w:r>
          </w:p>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5FDC12D2" w14:textId="77777777" w:rsidR="00730F2D" w:rsidRPr="004C35CC" w:rsidRDefault="00730F2D" w:rsidP="00804E4C">
            <w:pPr>
              <w:spacing w:before="15" w:after="10"/>
              <w:ind w:left="30" w:right="40"/>
              <w:rPr>
                <w:lang w:val="nl-NL"/>
              </w:rPr>
            </w:pPr>
            <w:r w:rsidRPr="004C35CC">
              <w:rPr>
                <w:rFonts w:ascii="Arial" w:eastAsia="Arial" w:hAnsi="Arial" w:cs="Arial"/>
                <w:color w:val="264A60"/>
                <w:lang w:val="nl-NL"/>
              </w:rPr>
              <w:t>ONS_ANX_PRE - ONS_ANX_POST</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18CAF8C1" w14:textId="77777777" w:rsidR="00730F2D" w:rsidRDefault="00730F2D" w:rsidP="00804E4C">
            <w:pPr>
              <w:spacing w:before="15" w:after="10"/>
              <w:ind w:left="30" w:right="40"/>
              <w:jc w:val="right"/>
            </w:pPr>
            <w:r>
              <w:rPr>
                <w:rFonts w:ascii="Arial" w:eastAsia="Arial" w:hAnsi="Arial" w:cs="Arial"/>
                <w:color w:val="010205"/>
              </w:rPr>
              <w:t>.935</w:t>
            </w:r>
          </w:p>
        </w:tc>
        <w:tc>
          <w:tcPr>
            <w:tcW w:w="1513" w:type="dxa"/>
            <w:tcBorders>
              <w:top w:val="single" w:sz="1" w:space="0" w:color="AEAEAE"/>
              <w:left w:val="single" w:sz="1" w:space="0" w:color="E0E0E0"/>
              <w:bottom w:val="single" w:sz="1" w:space="0" w:color="152935"/>
              <w:right w:val="none" w:sz="1" w:space="0" w:color="AEAEAE"/>
            </w:tcBorders>
            <w:shd w:val="clear" w:color="auto" w:fill="F9F9FB"/>
          </w:tcPr>
          <w:p w14:paraId="3DB5BE42" w14:textId="77777777" w:rsidR="00730F2D" w:rsidRDefault="00730F2D" w:rsidP="00804E4C">
            <w:pPr>
              <w:spacing w:before="15" w:after="10"/>
              <w:ind w:left="30" w:right="40"/>
              <w:jc w:val="right"/>
            </w:pPr>
            <w:r>
              <w:rPr>
                <w:rFonts w:ascii="Arial" w:eastAsia="Arial" w:hAnsi="Arial" w:cs="Arial"/>
                <w:color w:val="010205"/>
              </w:rPr>
              <w:t>3.098</w:t>
            </w:r>
          </w:p>
        </w:tc>
        <w:tc>
          <w:tcPr>
            <w:tcW w:w="1666" w:type="dxa"/>
            <w:tcBorders>
              <w:top w:val="single" w:sz="1" w:space="0" w:color="AEAEAE"/>
              <w:left w:val="single" w:sz="1" w:space="0" w:color="E0E0E0"/>
              <w:bottom w:val="single" w:sz="1" w:space="0" w:color="152935"/>
              <w:right w:val="none" w:sz="1" w:space="0" w:color="AEAEAE"/>
            </w:tcBorders>
            <w:shd w:val="clear" w:color="auto" w:fill="F9F9FB"/>
          </w:tcPr>
          <w:p w14:paraId="0050C206" w14:textId="77777777" w:rsidR="00730F2D" w:rsidRDefault="00730F2D" w:rsidP="00804E4C">
            <w:pPr>
              <w:spacing w:before="15" w:after="10"/>
              <w:ind w:left="30" w:right="40"/>
              <w:jc w:val="right"/>
            </w:pPr>
            <w:r>
              <w:rPr>
                <w:rFonts w:ascii="Arial" w:eastAsia="Arial" w:hAnsi="Arial" w:cs="Arial"/>
                <w:color w:val="010205"/>
              </w:rPr>
              <w:t>.556</w:t>
            </w:r>
          </w:p>
        </w:tc>
        <w:tc>
          <w:tcPr>
            <w:tcW w:w="1666" w:type="dxa"/>
            <w:tcBorders>
              <w:top w:val="single" w:sz="1" w:space="0" w:color="AEAEAE"/>
              <w:left w:val="single" w:sz="1" w:space="0" w:color="E0E0E0"/>
              <w:bottom w:val="single" w:sz="1" w:space="0" w:color="152935"/>
              <w:right w:val="none" w:sz="1" w:space="0" w:color="152935"/>
            </w:tcBorders>
            <w:shd w:val="clear" w:color="auto" w:fill="F9F9FB"/>
          </w:tcPr>
          <w:p w14:paraId="352FFDB4" w14:textId="77777777" w:rsidR="00730F2D" w:rsidRDefault="00730F2D" w:rsidP="00804E4C">
            <w:pPr>
              <w:spacing w:before="15" w:after="10"/>
              <w:ind w:left="30" w:right="40"/>
              <w:jc w:val="right"/>
            </w:pPr>
            <w:r>
              <w:rPr>
                <w:rFonts w:ascii="Arial" w:eastAsia="Arial" w:hAnsi="Arial" w:cs="Arial"/>
                <w:color w:val="010205"/>
              </w:rPr>
              <w:t>-.201</w:t>
            </w:r>
          </w:p>
        </w:tc>
      </w:tr>
    </w:tbl>
    <w:p w14:paraId="52D7E034" w14:textId="77777777" w:rsidR="00730F2D" w:rsidRDefault="00730F2D" w:rsidP="00730F2D"/>
    <w:tbl>
      <w:tblPr>
        <w:tblW w:w="0" w:type="auto"/>
        <w:tblInd w:w="10" w:type="dxa"/>
        <w:tblLayout w:type="fixed"/>
        <w:tblCellMar>
          <w:left w:w="10" w:type="dxa"/>
          <w:right w:w="10" w:type="dxa"/>
        </w:tblCellMar>
        <w:tblLook w:val="0000" w:firstRow="0" w:lastRow="0" w:firstColumn="0" w:lastColumn="0" w:noHBand="0" w:noVBand="0"/>
      </w:tblPr>
      <w:tblGrid>
        <w:gridCol w:w="833"/>
        <w:gridCol w:w="2788"/>
        <w:gridCol w:w="1666"/>
        <w:gridCol w:w="1156"/>
        <w:gridCol w:w="1156"/>
        <w:gridCol w:w="1411"/>
      </w:tblGrid>
      <w:tr w:rsidR="00730F2D" w14:paraId="0C35DEC0" w14:textId="77777777" w:rsidTr="00804E4C">
        <w:tblPrEx>
          <w:tblCellMar>
            <w:top w:w="0" w:type="dxa"/>
            <w:bottom w:w="0" w:type="dxa"/>
          </w:tblCellMar>
        </w:tblPrEx>
        <w:tc>
          <w:tcPr>
            <w:tcW w:w="9010" w:type="dxa"/>
            <w:gridSpan w:val="6"/>
            <w:shd w:val="clear" w:color="auto" w:fill="FFFFFF"/>
            <w:vAlign w:val="center"/>
          </w:tcPr>
          <w:p w14:paraId="3EC0F9A4" w14:textId="6193B4C8" w:rsidR="00730F2D" w:rsidRDefault="00730F2D" w:rsidP="00730F2D">
            <w:pPr>
              <w:spacing w:before="5" w:after="30"/>
              <w:ind w:left="30" w:right="40"/>
            </w:pPr>
            <w:r>
              <w:rPr>
                <w:rFonts w:ascii="Arial" w:eastAsia="Arial" w:hAnsi="Arial" w:cs="Arial"/>
                <w:b/>
                <w:color w:val="010205"/>
                <w:szCs w:val="22"/>
              </w:rPr>
              <w:t xml:space="preserve">Table 4 - </w:t>
            </w:r>
            <w:r w:rsidRPr="00730F2D">
              <w:rPr>
                <w:rFonts w:ascii="Arial" w:eastAsia="Arial" w:hAnsi="Arial" w:cs="Arial"/>
                <w:b/>
                <w:color w:val="010205"/>
                <w:szCs w:val="22"/>
              </w:rPr>
              <w:t>Paired Samples Test</w:t>
            </w:r>
            <w:r>
              <w:rPr>
                <w:rFonts w:ascii="Arial" w:eastAsia="Arial" w:hAnsi="Arial" w:cs="Arial"/>
                <w:b/>
                <w:color w:val="010205"/>
                <w:szCs w:val="22"/>
              </w:rPr>
              <w:t xml:space="preserve"> – 95%CI Upper</w:t>
            </w:r>
          </w:p>
        </w:tc>
      </w:tr>
      <w:tr w:rsidR="00730F2D" w14:paraId="7BAB4D20" w14:textId="77777777" w:rsidTr="00804E4C">
        <w:tblPrEx>
          <w:tblCellMar>
            <w:top w:w="0" w:type="dxa"/>
            <w:bottom w:w="0" w:type="dxa"/>
          </w:tblCellMar>
        </w:tblPrEx>
        <w:tc>
          <w:tcPr>
            <w:tcW w:w="3621" w:type="dxa"/>
            <w:gridSpan w:val="2"/>
            <w:vMerge w:val="restart"/>
            <w:tcBorders>
              <w:top w:val="none" w:sz="1" w:space="0" w:color="152935"/>
              <w:left w:val="none" w:sz="1" w:space="0" w:color="152935"/>
            </w:tcBorders>
            <w:shd w:val="clear" w:color="auto" w:fill="FFFFFF"/>
            <w:vAlign w:val="bottom"/>
          </w:tcPr>
          <w:p w14:paraId="09AF1AE2" w14:textId="77777777" w:rsidR="00730F2D" w:rsidRDefault="00730F2D" w:rsidP="00804E4C">
            <w:pPr>
              <w:spacing w:before="15" w:after="5"/>
              <w:ind w:left="30" w:right="40"/>
            </w:pPr>
            <w:bookmarkStart w:id="30" w:name="_Hlk208608579"/>
          </w:p>
        </w:tc>
        <w:tc>
          <w:tcPr>
            <w:tcW w:w="1666" w:type="dxa"/>
            <w:tcBorders>
              <w:top w:val="none" w:sz="1" w:space="0" w:color="152935"/>
              <w:left w:val="none" w:sz="1" w:space="0" w:color="152935"/>
              <w:bottom w:val="none" w:sz="1" w:space="0" w:color="AEAEAE"/>
              <w:right w:val="none" w:sz="1" w:space="0" w:color="AEAEAE"/>
            </w:tcBorders>
            <w:shd w:val="clear" w:color="auto" w:fill="FFFFFF"/>
            <w:vAlign w:val="bottom"/>
          </w:tcPr>
          <w:p w14:paraId="1DA70D3F" w14:textId="77777777" w:rsidR="00730F2D" w:rsidRDefault="00730F2D" w:rsidP="00804E4C">
            <w:pPr>
              <w:jc w:val="center"/>
            </w:pPr>
            <w:r>
              <w:rPr>
                <w:rFonts w:ascii="Arial" w:eastAsia="Arial" w:hAnsi="Arial" w:cs="Arial"/>
                <w:color w:val="264A60"/>
              </w:rPr>
              <w:t>Paired Differences</w:t>
            </w:r>
          </w:p>
        </w:tc>
        <w:tc>
          <w:tcPr>
            <w:tcW w:w="1156" w:type="dxa"/>
            <w:vMerge w:val="restart"/>
            <w:tcBorders>
              <w:top w:val="none" w:sz="1" w:space="0" w:color="152935"/>
              <w:left w:val="single" w:sz="1" w:space="0" w:color="E0E0E0"/>
              <w:bottom w:val="none" w:sz="1" w:space="0" w:color="AEAEAE"/>
              <w:right w:val="none" w:sz="1" w:space="0" w:color="AEAEAE"/>
            </w:tcBorders>
            <w:shd w:val="clear" w:color="auto" w:fill="FFFFFF"/>
            <w:vAlign w:val="bottom"/>
          </w:tcPr>
          <w:p w14:paraId="2CB3E5C2" w14:textId="77777777" w:rsidR="00730F2D" w:rsidRDefault="00730F2D" w:rsidP="00804E4C">
            <w:pPr>
              <w:spacing w:before="10" w:after="10"/>
              <w:ind w:left="30" w:right="40"/>
              <w:jc w:val="center"/>
            </w:pPr>
            <w:r>
              <w:rPr>
                <w:rFonts w:ascii="Arial" w:eastAsia="Arial" w:hAnsi="Arial" w:cs="Arial"/>
                <w:color w:val="264A60"/>
              </w:rPr>
              <w:t>t</w:t>
            </w:r>
          </w:p>
        </w:tc>
        <w:tc>
          <w:tcPr>
            <w:tcW w:w="1156" w:type="dxa"/>
            <w:vMerge w:val="restart"/>
            <w:tcBorders>
              <w:top w:val="none" w:sz="1" w:space="0" w:color="152935"/>
              <w:left w:val="single" w:sz="1" w:space="0" w:color="E0E0E0"/>
              <w:bottom w:val="none" w:sz="1" w:space="0" w:color="AEAEAE"/>
              <w:right w:val="none" w:sz="1" w:space="0" w:color="AEAEAE"/>
            </w:tcBorders>
            <w:shd w:val="clear" w:color="auto" w:fill="FFFFFF"/>
            <w:vAlign w:val="bottom"/>
          </w:tcPr>
          <w:p w14:paraId="0C81FBFA" w14:textId="77777777" w:rsidR="00730F2D" w:rsidRDefault="00730F2D" w:rsidP="00804E4C">
            <w:pPr>
              <w:spacing w:before="10" w:after="10"/>
              <w:ind w:left="30" w:right="40"/>
              <w:jc w:val="center"/>
            </w:pPr>
            <w:r>
              <w:rPr>
                <w:rFonts w:ascii="Arial" w:eastAsia="Arial" w:hAnsi="Arial" w:cs="Arial"/>
                <w:color w:val="264A60"/>
              </w:rPr>
              <w:t>df</w:t>
            </w:r>
          </w:p>
        </w:tc>
        <w:tc>
          <w:tcPr>
            <w:tcW w:w="1411" w:type="dxa"/>
            <w:tcBorders>
              <w:top w:val="none" w:sz="1" w:space="0" w:color="152935"/>
              <w:left w:val="single" w:sz="1" w:space="0" w:color="E0E0E0"/>
              <w:bottom w:val="none" w:sz="1" w:space="0" w:color="AEAEAE"/>
              <w:right w:val="none" w:sz="1" w:space="0" w:color="152935"/>
            </w:tcBorders>
            <w:shd w:val="clear" w:color="auto" w:fill="FFFFFF"/>
            <w:vAlign w:val="bottom"/>
          </w:tcPr>
          <w:p w14:paraId="71AC57A5" w14:textId="77777777" w:rsidR="00730F2D" w:rsidRDefault="00730F2D" w:rsidP="00804E4C">
            <w:pPr>
              <w:spacing w:before="10" w:after="10"/>
              <w:ind w:left="30" w:right="40"/>
              <w:jc w:val="center"/>
            </w:pPr>
            <w:r>
              <w:rPr>
                <w:rFonts w:ascii="Arial" w:eastAsia="Arial" w:hAnsi="Arial" w:cs="Arial"/>
                <w:color w:val="264A60"/>
              </w:rPr>
              <w:t>Significance</w:t>
            </w:r>
          </w:p>
        </w:tc>
      </w:tr>
      <w:tr w:rsidR="00730F2D" w14:paraId="45363FE7" w14:textId="77777777" w:rsidTr="00804E4C">
        <w:tblPrEx>
          <w:tblCellMar>
            <w:top w:w="0" w:type="dxa"/>
            <w:bottom w:w="0" w:type="dxa"/>
          </w:tblCellMar>
        </w:tblPrEx>
        <w:tc>
          <w:tcPr>
            <w:tcW w:w="3621" w:type="dxa"/>
            <w:gridSpan w:val="2"/>
            <w:vMerge/>
            <w:tcBorders>
              <w:top w:val="none" w:sz="1" w:space="0" w:color="152935"/>
              <w:left w:val="none" w:sz="1" w:space="0" w:color="152935"/>
            </w:tcBorders>
          </w:tcPr>
          <w:p w14:paraId="75BAABF3" w14:textId="77777777" w:rsidR="00730F2D" w:rsidRDefault="00730F2D" w:rsidP="00804E4C"/>
        </w:tc>
        <w:tc>
          <w:tcPr>
            <w:tcW w:w="1666" w:type="dxa"/>
            <w:tcBorders>
              <w:top w:val="none" w:sz="1" w:space="0" w:color="AEAEAE"/>
              <w:left w:val="none" w:sz="1" w:space="0" w:color="152935"/>
              <w:bottom w:val="none" w:sz="1" w:space="0" w:color="AEAEAE"/>
              <w:right w:val="none" w:sz="1" w:space="0" w:color="AEAEAE"/>
            </w:tcBorders>
            <w:shd w:val="clear" w:color="auto" w:fill="FFFFFF"/>
            <w:vAlign w:val="bottom"/>
          </w:tcPr>
          <w:p w14:paraId="156375B4" w14:textId="77777777" w:rsidR="00730F2D" w:rsidRDefault="00730F2D" w:rsidP="00804E4C">
            <w:pPr>
              <w:jc w:val="center"/>
            </w:pPr>
            <w:r>
              <w:rPr>
                <w:rFonts w:ascii="Arial" w:eastAsia="Arial" w:hAnsi="Arial" w:cs="Arial"/>
                <w:color w:val="264A60"/>
              </w:rPr>
              <w:t>95% Confidence Interval of the Difference</w:t>
            </w:r>
          </w:p>
        </w:tc>
        <w:tc>
          <w:tcPr>
            <w:tcW w:w="1156" w:type="dxa"/>
            <w:vMerge/>
            <w:tcBorders>
              <w:top w:val="none" w:sz="1" w:space="0" w:color="152935"/>
              <w:left w:val="single" w:sz="1" w:space="0" w:color="E0E0E0"/>
              <w:bottom w:val="none" w:sz="1" w:space="0" w:color="AEAEAE"/>
              <w:right w:val="none" w:sz="1" w:space="0" w:color="AEAEAE"/>
            </w:tcBorders>
          </w:tcPr>
          <w:p w14:paraId="23A72793" w14:textId="77777777" w:rsidR="00730F2D" w:rsidRDefault="00730F2D" w:rsidP="00804E4C"/>
        </w:tc>
        <w:tc>
          <w:tcPr>
            <w:tcW w:w="1156" w:type="dxa"/>
            <w:vMerge/>
            <w:tcBorders>
              <w:top w:val="none" w:sz="1" w:space="0" w:color="152935"/>
              <w:left w:val="single" w:sz="1" w:space="0" w:color="E0E0E0"/>
              <w:bottom w:val="none" w:sz="1" w:space="0" w:color="AEAEAE"/>
              <w:right w:val="none" w:sz="1" w:space="0" w:color="AEAEAE"/>
            </w:tcBorders>
          </w:tcPr>
          <w:p w14:paraId="5EA5FA2F" w14:textId="77777777" w:rsidR="00730F2D" w:rsidRDefault="00730F2D" w:rsidP="00804E4C"/>
        </w:tc>
        <w:tc>
          <w:tcPr>
            <w:tcW w:w="1411" w:type="dxa"/>
            <w:vMerge w:val="restart"/>
            <w:tcBorders>
              <w:top w:val="none" w:sz="1" w:space="0" w:color="AEAEAE"/>
              <w:left w:val="single" w:sz="1" w:space="0" w:color="E0E0E0"/>
              <w:bottom w:val="none" w:sz="1" w:space="0" w:color="AEAEAE"/>
              <w:right w:val="none" w:sz="1" w:space="0" w:color="152935"/>
            </w:tcBorders>
            <w:shd w:val="clear" w:color="auto" w:fill="FFFFFF"/>
            <w:vAlign w:val="bottom"/>
          </w:tcPr>
          <w:p w14:paraId="207BB75D" w14:textId="77777777" w:rsidR="00730F2D" w:rsidRDefault="00730F2D" w:rsidP="00804E4C">
            <w:pPr>
              <w:spacing w:before="10" w:after="10"/>
              <w:ind w:left="30" w:right="40"/>
              <w:jc w:val="center"/>
            </w:pPr>
            <w:r>
              <w:rPr>
                <w:rFonts w:ascii="Arial" w:eastAsia="Arial" w:hAnsi="Arial" w:cs="Arial"/>
                <w:color w:val="264A60"/>
              </w:rPr>
              <w:t>One-Sided p</w:t>
            </w:r>
          </w:p>
        </w:tc>
      </w:tr>
      <w:tr w:rsidR="00730F2D" w14:paraId="512CDC08" w14:textId="77777777" w:rsidTr="00804E4C">
        <w:tblPrEx>
          <w:tblCellMar>
            <w:top w:w="0" w:type="dxa"/>
            <w:bottom w:w="0" w:type="dxa"/>
          </w:tblCellMar>
        </w:tblPrEx>
        <w:tc>
          <w:tcPr>
            <w:tcW w:w="3621" w:type="dxa"/>
            <w:gridSpan w:val="2"/>
            <w:vMerge/>
            <w:tcBorders>
              <w:top w:val="none" w:sz="1" w:space="0" w:color="152935"/>
              <w:left w:val="none" w:sz="1" w:space="0" w:color="152935"/>
            </w:tcBorders>
          </w:tcPr>
          <w:p w14:paraId="4D3E67F2" w14:textId="77777777" w:rsidR="00730F2D" w:rsidRDefault="00730F2D" w:rsidP="00804E4C"/>
        </w:tc>
        <w:tc>
          <w:tcPr>
            <w:tcW w:w="1666" w:type="dxa"/>
            <w:tcBorders>
              <w:top w:val="none" w:sz="1" w:space="0" w:color="AEAEAE"/>
              <w:left w:val="none" w:sz="1" w:space="0" w:color="152935"/>
              <w:bottom w:val="single" w:sz="1" w:space="0" w:color="152935"/>
              <w:right w:val="none" w:sz="1" w:space="0" w:color="AEAEAE"/>
            </w:tcBorders>
            <w:shd w:val="clear" w:color="auto" w:fill="FFFFFF"/>
            <w:vAlign w:val="bottom"/>
          </w:tcPr>
          <w:p w14:paraId="6E267F62" w14:textId="77777777" w:rsidR="00730F2D" w:rsidRDefault="00730F2D" w:rsidP="00804E4C">
            <w:pPr>
              <w:spacing w:before="10" w:after="10"/>
              <w:ind w:left="30" w:right="40"/>
              <w:jc w:val="center"/>
            </w:pPr>
            <w:r>
              <w:rPr>
                <w:rFonts w:ascii="Arial" w:eastAsia="Arial" w:hAnsi="Arial" w:cs="Arial"/>
                <w:color w:val="264A60"/>
              </w:rPr>
              <w:t>Upper</w:t>
            </w:r>
          </w:p>
        </w:tc>
        <w:tc>
          <w:tcPr>
            <w:tcW w:w="1156" w:type="dxa"/>
            <w:vMerge/>
            <w:tcBorders>
              <w:top w:val="none" w:sz="1" w:space="0" w:color="152935"/>
              <w:left w:val="single" w:sz="1" w:space="0" w:color="E0E0E0"/>
              <w:bottom w:val="none" w:sz="1" w:space="0" w:color="AEAEAE"/>
              <w:right w:val="none" w:sz="1" w:space="0" w:color="AEAEAE"/>
            </w:tcBorders>
          </w:tcPr>
          <w:p w14:paraId="55F1D5F3" w14:textId="77777777" w:rsidR="00730F2D" w:rsidRDefault="00730F2D" w:rsidP="00804E4C"/>
        </w:tc>
        <w:tc>
          <w:tcPr>
            <w:tcW w:w="1156" w:type="dxa"/>
            <w:vMerge/>
            <w:tcBorders>
              <w:top w:val="none" w:sz="1" w:space="0" w:color="152935"/>
              <w:left w:val="single" w:sz="1" w:space="0" w:color="E0E0E0"/>
              <w:bottom w:val="none" w:sz="1" w:space="0" w:color="AEAEAE"/>
              <w:right w:val="none" w:sz="1" w:space="0" w:color="AEAEAE"/>
            </w:tcBorders>
          </w:tcPr>
          <w:p w14:paraId="39A9B527" w14:textId="77777777" w:rsidR="00730F2D" w:rsidRDefault="00730F2D" w:rsidP="00804E4C"/>
        </w:tc>
        <w:tc>
          <w:tcPr>
            <w:tcW w:w="1411" w:type="dxa"/>
            <w:vMerge/>
            <w:tcBorders>
              <w:top w:val="none" w:sz="1" w:space="0" w:color="AEAEAE"/>
              <w:left w:val="single" w:sz="1" w:space="0" w:color="E0E0E0"/>
              <w:bottom w:val="none" w:sz="1" w:space="0" w:color="AEAEAE"/>
              <w:right w:val="none" w:sz="1" w:space="0" w:color="152935"/>
            </w:tcBorders>
          </w:tcPr>
          <w:p w14:paraId="3E9765E5" w14:textId="77777777" w:rsidR="00730F2D" w:rsidRDefault="00730F2D" w:rsidP="00804E4C"/>
        </w:tc>
      </w:tr>
      <w:tr w:rsidR="00730F2D" w14:paraId="64F5AE7E" w14:textId="77777777" w:rsidTr="00804E4C">
        <w:tblPrEx>
          <w:tblCellMar>
            <w:top w:w="0" w:type="dxa"/>
            <w:bottom w:w="0" w:type="dxa"/>
          </w:tblCellMar>
        </w:tblPrEx>
        <w:tc>
          <w:tcPr>
            <w:tcW w:w="833" w:type="dxa"/>
            <w:tcBorders>
              <w:top w:val="single" w:sz="1" w:space="0" w:color="152935"/>
              <w:left w:val="none" w:sz="1" w:space="0" w:color="152935"/>
              <w:bottom w:val="single" w:sz="1" w:space="0" w:color="AEAEAE"/>
              <w:right w:val="none" w:sz="1" w:space="0" w:color="AEAEAE"/>
            </w:tcBorders>
            <w:shd w:val="clear" w:color="auto" w:fill="E0E0E0"/>
          </w:tcPr>
          <w:p w14:paraId="4101F094" w14:textId="77777777" w:rsidR="00730F2D" w:rsidRDefault="00730F2D" w:rsidP="00804E4C">
            <w:pPr>
              <w:spacing w:before="15" w:after="10"/>
              <w:ind w:left="30" w:right="40"/>
            </w:pPr>
            <w:r>
              <w:rPr>
                <w:rFonts w:ascii="Arial" w:eastAsia="Arial" w:hAnsi="Arial" w:cs="Arial"/>
                <w:color w:val="264A60"/>
              </w:rPr>
              <w:t>Pair 1</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02773729" w14:textId="77777777" w:rsidR="00730F2D" w:rsidRDefault="00730F2D" w:rsidP="00804E4C">
            <w:pPr>
              <w:spacing w:before="15" w:after="10"/>
              <w:ind w:left="30" w:right="40"/>
            </w:pPr>
            <w:r>
              <w:rPr>
                <w:rFonts w:ascii="Arial" w:eastAsia="Arial" w:hAnsi="Arial" w:cs="Arial"/>
                <w:color w:val="264A60"/>
              </w:rPr>
              <w:t>BDI_PRE - BDI_POST</w:t>
            </w:r>
          </w:p>
        </w:tc>
        <w:tc>
          <w:tcPr>
            <w:tcW w:w="1666" w:type="dxa"/>
            <w:tcBorders>
              <w:top w:val="single" w:sz="1" w:space="0" w:color="152935"/>
              <w:left w:val="none" w:sz="1" w:space="0" w:color="152935"/>
              <w:bottom w:val="single" w:sz="1" w:space="0" w:color="AEAEAE"/>
              <w:right w:val="none" w:sz="1" w:space="0" w:color="AEAEAE"/>
            </w:tcBorders>
            <w:shd w:val="clear" w:color="auto" w:fill="F9F9FB"/>
          </w:tcPr>
          <w:p w14:paraId="328BC7C2" w14:textId="77777777" w:rsidR="00730F2D" w:rsidRDefault="00730F2D" w:rsidP="00804E4C">
            <w:pPr>
              <w:spacing w:before="15" w:after="10"/>
              <w:ind w:left="30" w:right="40"/>
              <w:jc w:val="right"/>
            </w:pPr>
            <w:r>
              <w:rPr>
                <w:rFonts w:ascii="Arial" w:eastAsia="Arial" w:hAnsi="Arial" w:cs="Arial"/>
                <w:color w:val="010205"/>
              </w:rPr>
              <w:t>9.003</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377B293B" w14:textId="77777777" w:rsidR="00730F2D" w:rsidRDefault="00730F2D" w:rsidP="00804E4C">
            <w:pPr>
              <w:spacing w:before="15" w:after="10"/>
              <w:ind w:left="30" w:right="40"/>
              <w:jc w:val="right"/>
            </w:pPr>
            <w:r>
              <w:rPr>
                <w:rFonts w:ascii="Arial" w:eastAsia="Arial" w:hAnsi="Arial" w:cs="Arial"/>
                <w:color w:val="010205"/>
              </w:rPr>
              <w:t>6.090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0AE99F6B" w14:textId="77777777" w:rsidR="00730F2D" w:rsidRDefault="00730F2D" w:rsidP="00804E4C">
            <w:pPr>
              <w:spacing w:before="15" w:after="10"/>
              <w:ind w:left="30" w:right="40"/>
              <w:jc w:val="right"/>
            </w:pPr>
            <w:r>
              <w:rPr>
                <w:rFonts w:ascii="Arial" w:eastAsia="Arial" w:hAnsi="Arial" w:cs="Arial"/>
                <w:color w:val="010205"/>
              </w:rPr>
              <w:t>30</w:t>
            </w:r>
          </w:p>
        </w:tc>
        <w:tc>
          <w:tcPr>
            <w:tcW w:w="1411" w:type="dxa"/>
            <w:tcBorders>
              <w:top w:val="single" w:sz="1" w:space="0" w:color="152935"/>
              <w:left w:val="single" w:sz="1" w:space="0" w:color="E0E0E0"/>
              <w:bottom w:val="single" w:sz="1" w:space="0" w:color="AEAEAE"/>
              <w:right w:val="none" w:sz="1" w:space="0" w:color="152935"/>
            </w:tcBorders>
            <w:shd w:val="clear" w:color="auto" w:fill="F9F9FB"/>
          </w:tcPr>
          <w:p w14:paraId="3F957D53" w14:textId="77777777" w:rsidR="00730F2D" w:rsidRDefault="00730F2D" w:rsidP="00804E4C">
            <w:pPr>
              <w:spacing w:before="15" w:after="10"/>
              <w:ind w:left="30" w:right="40"/>
              <w:jc w:val="right"/>
            </w:pPr>
            <w:r>
              <w:rPr>
                <w:rFonts w:ascii="Arial" w:eastAsia="Arial" w:hAnsi="Arial" w:cs="Arial"/>
                <w:color w:val="010205"/>
              </w:rPr>
              <w:t>&lt;.001</w:t>
            </w:r>
          </w:p>
        </w:tc>
      </w:tr>
      <w:tr w:rsidR="00730F2D" w14:paraId="77EE20E5" w14:textId="77777777" w:rsidTr="00804E4C">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403413B5" w14:textId="77777777" w:rsidR="00730F2D" w:rsidRDefault="00730F2D" w:rsidP="00804E4C">
            <w:pPr>
              <w:spacing w:before="15" w:after="10"/>
              <w:ind w:left="30" w:right="40"/>
            </w:pPr>
            <w:r>
              <w:rPr>
                <w:rFonts w:ascii="Arial" w:eastAsia="Arial" w:hAnsi="Arial" w:cs="Arial"/>
                <w:color w:val="264A60"/>
              </w:rPr>
              <w:t>Pair 2</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8E4CADE" w14:textId="77777777" w:rsidR="00730F2D" w:rsidRPr="004C35CC" w:rsidRDefault="00730F2D" w:rsidP="00804E4C">
            <w:pPr>
              <w:spacing w:before="15" w:after="10"/>
              <w:ind w:left="30" w:right="40"/>
              <w:rPr>
                <w:lang w:val="es-ES"/>
              </w:rPr>
            </w:pPr>
            <w:r w:rsidRPr="004C35CC">
              <w:rPr>
                <w:rFonts w:ascii="Arial" w:eastAsia="Arial" w:hAnsi="Arial" w:cs="Arial"/>
                <w:color w:val="264A60"/>
                <w:lang w:val="es-ES"/>
              </w:rPr>
              <w:t>MBI_EE_PRE - MBI_EE_POST</w:t>
            </w:r>
          </w:p>
        </w:tc>
        <w:tc>
          <w:tcPr>
            <w:tcW w:w="1666" w:type="dxa"/>
            <w:tcBorders>
              <w:top w:val="single" w:sz="1" w:space="0" w:color="AEAEAE"/>
              <w:left w:val="none" w:sz="1" w:space="0" w:color="152935"/>
              <w:bottom w:val="single" w:sz="1" w:space="0" w:color="AEAEAE"/>
              <w:right w:val="none" w:sz="1" w:space="0" w:color="AEAEAE"/>
            </w:tcBorders>
            <w:shd w:val="clear" w:color="auto" w:fill="F9F9FB"/>
          </w:tcPr>
          <w:p w14:paraId="6C475E65" w14:textId="77777777" w:rsidR="00730F2D" w:rsidRDefault="00730F2D" w:rsidP="00804E4C">
            <w:pPr>
              <w:spacing w:before="15" w:after="10"/>
              <w:ind w:left="30" w:right="40"/>
              <w:jc w:val="right"/>
            </w:pPr>
            <w:r>
              <w:rPr>
                <w:rFonts w:ascii="Arial" w:eastAsia="Arial" w:hAnsi="Arial" w:cs="Arial"/>
                <w:color w:val="010205"/>
              </w:rPr>
              <w:t>10.539</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8FD27EE" w14:textId="77777777" w:rsidR="00730F2D" w:rsidRDefault="00730F2D" w:rsidP="00804E4C">
            <w:pPr>
              <w:spacing w:before="15" w:after="10"/>
              <w:ind w:left="30" w:right="40"/>
              <w:jc w:val="right"/>
            </w:pPr>
            <w:r>
              <w:rPr>
                <w:rFonts w:ascii="Arial" w:eastAsia="Arial" w:hAnsi="Arial" w:cs="Arial"/>
                <w:color w:val="010205"/>
              </w:rPr>
              <w:t>3.826</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2F183D7" w14:textId="77777777" w:rsidR="00730F2D" w:rsidRDefault="00730F2D" w:rsidP="00804E4C">
            <w:pPr>
              <w:spacing w:before="15" w:after="10"/>
              <w:ind w:left="30" w:right="40"/>
              <w:jc w:val="right"/>
            </w:pPr>
            <w:r>
              <w:rPr>
                <w:rFonts w:ascii="Arial" w:eastAsia="Arial" w:hAnsi="Arial" w:cs="Arial"/>
                <w:color w:val="010205"/>
              </w:rPr>
              <w:t>30</w:t>
            </w:r>
          </w:p>
        </w:tc>
        <w:tc>
          <w:tcPr>
            <w:tcW w:w="1411" w:type="dxa"/>
            <w:tcBorders>
              <w:top w:val="single" w:sz="1" w:space="0" w:color="AEAEAE"/>
              <w:left w:val="single" w:sz="1" w:space="0" w:color="E0E0E0"/>
              <w:bottom w:val="single" w:sz="1" w:space="0" w:color="AEAEAE"/>
              <w:right w:val="none" w:sz="1" w:space="0" w:color="152935"/>
            </w:tcBorders>
            <w:shd w:val="clear" w:color="auto" w:fill="F9F9FB"/>
          </w:tcPr>
          <w:p w14:paraId="365BB9A8" w14:textId="77777777" w:rsidR="00730F2D" w:rsidRDefault="00730F2D" w:rsidP="00804E4C">
            <w:pPr>
              <w:spacing w:before="15" w:after="10"/>
              <w:ind w:left="30" w:right="40"/>
              <w:jc w:val="right"/>
            </w:pPr>
            <w:r>
              <w:rPr>
                <w:rFonts w:ascii="Arial" w:eastAsia="Arial" w:hAnsi="Arial" w:cs="Arial"/>
                <w:color w:val="010205"/>
              </w:rPr>
              <w:t>&lt;.001</w:t>
            </w:r>
          </w:p>
        </w:tc>
      </w:tr>
      <w:tr w:rsidR="00730F2D" w14:paraId="4C7CAB16" w14:textId="77777777" w:rsidTr="00804E4C">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0570DA3F" w14:textId="77777777" w:rsidR="00730F2D" w:rsidRDefault="00730F2D" w:rsidP="00804E4C">
            <w:pPr>
              <w:spacing w:before="15" w:after="10"/>
              <w:ind w:left="30" w:right="40"/>
            </w:pPr>
            <w:r>
              <w:rPr>
                <w:rFonts w:ascii="Arial" w:eastAsia="Arial" w:hAnsi="Arial" w:cs="Arial"/>
                <w:color w:val="264A60"/>
              </w:rPr>
              <w:t>Pair 3</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55714979" w14:textId="77777777" w:rsidR="00730F2D" w:rsidRDefault="00730F2D" w:rsidP="00804E4C">
            <w:pPr>
              <w:spacing w:before="15" w:after="10"/>
              <w:ind w:left="30" w:right="40"/>
            </w:pPr>
            <w:r>
              <w:rPr>
                <w:rFonts w:ascii="Arial" w:eastAsia="Arial" w:hAnsi="Arial" w:cs="Arial"/>
                <w:color w:val="264A60"/>
              </w:rPr>
              <w:t>MBI_DP_PRE - MBI_DP_POST</w:t>
            </w:r>
          </w:p>
        </w:tc>
        <w:tc>
          <w:tcPr>
            <w:tcW w:w="1666" w:type="dxa"/>
            <w:tcBorders>
              <w:top w:val="single" w:sz="1" w:space="0" w:color="AEAEAE"/>
              <w:left w:val="none" w:sz="1" w:space="0" w:color="152935"/>
              <w:bottom w:val="single" w:sz="1" w:space="0" w:color="AEAEAE"/>
              <w:right w:val="none" w:sz="1" w:space="0" w:color="AEAEAE"/>
            </w:tcBorders>
            <w:shd w:val="clear" w:color="auto" w:fill="F9F9FB"/>
          </w:tcPr>
          <w:p w14:paraId="761C95B3" w14:textId="77777777" w:rsidR="00730F2D" w:rsidRDefault="00730F2D" w:rsidP="00804E4C">
            <w:pPr>
              <w:spacing w:before="15" w:after="10"/>
              <w:ind w:left="30" w:right="40"/>
              <w:jc w:val="right"/>
            </w:pPr>
            <w:r>
              <w:rPr>
                <w:rFonts w:ascii="Arial" w:eastAsia="Arial" w:hAnsi="Arial" w:cs="Arial"/>
                <w:color w:val="010205"/>
              </w:rPr>
              <w:t>3.598</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1A7DFB3" w14:textId="77777777" w:rsidR="00730F2D" w:rsidRDefault="00730F2D" w:rsidP="00804E4C">
            <w:pPr>
              <w:spacing w:before="15" w:after="10"/>
              <w:ind w:left="30" w:right="40"/>
              <w:jc w:val="right"/>
            </w:pPr>
            <w:r>
              <w:rPr>
                <w:rFonts w:ascii="Arial" w:eastAsia="Arial" w:hAnsi="Arial" w:cs="Arial"/>
                <w:color w:val="010205"/>
              </w:rPr>
              <w:t>1.987</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03DB09D" w14:textId="77777777" w:rsidR="00730F2D" w:rsidRDefault="00730F2D" w:rsidP="00804E4C">
            <w:pPr>
              <w:spacing w:before="15" w:after="10"/>
              <w:ind w:left="30" w:right="40"/>
              <w:jc w:val="right"/>
            </w:pPr>
            <w:r>
              <w:rPr>
                <w:rFonts w:ascii="Arial" w:eastAsia="Arial" w:hAnsi="Arial" w:cs="Arial"/>
                <w:color w:val="010205"/>
              </w:rPr>
              <w:t>30</w:t>
            </w:r>
          </w:p>
        </w:tc>
        <w:tc>
          <w:tcPr>
            <w:tcW w:w="1411" w:type="dxa"/>
            <w:tcBorders>
              <w:top w:val="single" w:sz="1" w:space="0" w:color="AEAEAE"/>
              <w:left w:val="single" w:sz="1" w:space="0" w:color="E0E0E0"/>
              <w:bottom w:val="single" w:sz="1" w:space="0" w:color="AEAEAE"/>
              <w:right w:val="none" w:sz="1" w:space="0" w:color="152935"/>
            </w:tcBorders>
            <w:shd w:val="clear" w:color="auto" w:fill="F9F9FB"/>
          </w:tcPr>
          <w:p w14:paraId="39AD6807" w14:textId="77777777" w:rsidR="00730F2D" w:rsidRDefault="00730F2D" w:rsidP="00804E4C">
            <w:pPr>
              <w:spacing w:before="15" w:after="10"/>
              <w:ind w:left="30" w:right="40"/>
              <w:jc w:val="right"/>
            </w:pPr>
            <w:r>
              <w:rPr>
                <w:rFonts w:ascii="Arial" w:eastAsia="Arial" w:hAnsi="Arial" w:cs="Arial"/>
                <w:color w:val="010205"/>
              </w:rPr>
              <w:t>.028</w:t>
            </w:r>
          </w:p>
        </w:tc>
      </w:tr>
      <w:tr w:rsidR="00730F2D" w14:paraId="5AEB1DE1" w14:textId="77777777" w:rsidTr="00804E4C">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65BC3CF6" w14:textId="77777777" w:rsidR="00730F2D" w:rsidRDefault="00730F2D" w:rsidP="00804E4C">
            <w:pPr>
              <w:spacing w:before="15" w:after="10"/>
              <w:ind w:left="30" w:right="40"/>
            </w:pPr>
            <w:r>
              <w:rPr>
                <w:rFonts w:ascii="Arial" w:eastAsia="Arial" w:hAnsi="Arial" w:cs="Arial"/>
                <w:color w:val="264A60"/>
              </w:rPr>
              <w:t>Pair 4</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17B9EA2" w14:textId="77777777" w:rsidR="00730F2D" w:rsidRDefault="00730F2D" w:rsidP="00804E4C">
            <w:pPr>
              <w:spacing w:before="15" w:after="10"/>
              <w:ind w:left="30" w:right="40"/>
            </w:pPr>
            <w:r>
              <w:rPr>
                <w:rFonts w:ascii="Arial" w:eastAsia="Arial" w:hAnsi="Arial" w:cs="Arial"/>
                <w:color w:val="264A60"/>
              </w:rPr>
              <w:t>MBI_PA_PRE - MBI_PA_POST</w:t>
            </w:r>
          </w:p>
        </w:tc>
        <w:tc>
          <w:tcPr>
            <w:tcW w:w="1666" w:type="dxa"/>
            <w:tcBorders>
              <w:top w:val="single" w:sz="1" w:space="0" w:color="AEAEAE"/>
              <w:left w:val="none" w:sz="1" w:space="0" w:color="152935"/>
              <w:bottom w:val="single" w:sz="1" w:space="0" w:color="AEAEAE"/>
              <w:right w:val="none" w:sz="1" w:space="0" w:color="AEAEAE"/>
            </w:tcBorders>
            <w:shd w:val="clear" w:color="auto" w:fill="F9F9FB"/>
          </w:tcPr>
          <w:p w14:paraId="7E816A97" w14:textId="77777777" w:rsidR="00730F2D" w:rsidRDefault="00730F2D" w:rsidP="00804E4C">
            <w:pPr>
              <w:spacing w:before="15" w:after="10"/>
              <w:ind w:left="30" w:right="40"/>
              <w:jc w:val="right"/>
            </w:pPr>
            <w:r>
              <w:rPr>
                <w:rFonts w:ascii="Arial" w:eastAsia="Arial" w:hAnsi="Arial" w:cs="Arial"/>
                <w:color w:val="010205"/>
              </w:rPr>
              <w:t>6.000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5E31679" w14:textId="77777777" w:rsidR="00730F2D" w:rsidRDefault="00730F2D" w:rsidP="00804E4C">
            <w:pPr>
              <w:spacing w:before="15" w:after="10"/>
              <w:ind w:left="30" w:right="40"/>
              <w:jc w:val="right"/>
            </w:pPr>
            <w:r>
              <w:rPr>
                <w:rFonts w:ascii="Arial" w:eastAsia="Arial" w:hAnsi="Arial" w:cs="Arial"/>
                <w:color w:val="010205"/>
              </w:rPr>
              <w:t>2.891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3E1E976" w14:textId="77777777" w:rsidR="00730F2D" w:rsidRDefault="00730F2D" w:rsidP="00804E4C">
            <w:pPr>
              <w:spacing w:before="15" w:after="10"/>
              <w:ind w:left="30" w:right="40"/>
              <w:jc w:val="right"/>
            </w:pPr>
            <w:r>
              <w:rPr>
                <w:rFonts w:ascii="Arial" w:eastAsia="Arial" w:hAnsi="Arial" w:cs="Arial"/>
                <w:color w:val="010205"/>
              </w:rPr>
              <w:t>30</w:t>
            </w:r>
          </w:p>
        </w:tc>
        <w:tc>
          <w:tcPr>
            <w:tcW w:w="1411" w:type="dxa"/>
            <w:tcBorders>
              <w:top w:val="single" w:sz="1" w:space="0" w:color="AEAEAE"/>
              <w:left w:val="single" w:sz="1" w:space="0" w:color="E0E0E0"/>
              <w:bottom w:val="single" w:sz="1" w:space="0" w:color="AEAEAE"/>
              <w:right w:val="none" w:sz="1" w:space="0" w:color="152935"/>
            </w:tcBorders>
            <w:shd w:val="clear" w:color="auto" w:fill="F9F9FB"/>
          </w:tcPr>
          <w:p w14:paraId="7CC634F9" w14:textId="77777777" w:rsidR="00730F2D" w:rsidRDefault="00730F2D" w:rsidP="00804E4C">
            <w:pPr>
              <w:spacing w:before="15" w:after="10"/>
              <w:ind w:left="30" w:right="40"/>
              <w:jc w:val="right"/>
            </w:pPr>
            <w:r>
              <w:rPr>
                <w:rFonts w:ascii="Arial" w:eastAsia="Arial" w:hAnsi="Arial" w:cs="Arial"/>
                <w:color w:val="010205"/>
              </w:rPr>
              <w:t>.004</w:t>
            </w:r>
          </w:p>
        </w:tc>
      </w:tr>
      <w:tr w:rsidR="00730F2D" w14:paraId="60E40A3B" w14:textId="77777777" w:rsidTr="00804E4C">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08E63076" w14:textId="77777777" w:rsidR="00730F2D" w:rsidRDefault="00730F2D" w:rsidP="00804E4C">
            <w:pPr>
              <w:spacing w:before="15" w:after="10"/>
              <w:ind w:left="30" w:right="40"/>
            </w:pPr>
            <w:r>
              <w:rPr>
                <w:rFonts w:ascii="Arial" w:eastAsia="Arial" w:hAnsi="Arial" w:cs="Arial"/>
                <w:color w:val="264A60"/>
              </w:rPr>
              <w:lastRenderedPageBreak/>
              <w:t>Pair 5</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01DDCBAE" w14:textId="77777777" w:rsidR="00730F2D" w:rsidRDefault="00730F2D" w:rsidP="00804E4C">
            <w:pPr>
              <w:spacing w:before="15" w:after="10"/>
              <w:ind w:left="30" w:right="40"/>
            </w:pPr>
            <w:r>
              <w:rPr>
                <w:rFonts w:ascii="Arial" w:eastAsia="Arial" w:hAnsi="Arial" w:cs="Arial"/>
                <w:color w:val="264A60"/>
              </w:rPr>
              <w:t>SWEM_PRE - SWEM_POST</w:t>
            </w:r>
          </w:p>
        </w:tc>
        <w:tc>
          <w:tcPr>
            <w:tcW w:w="1666" w:type="dxa"/>
            <w:tcBorders>
              <w:top w:val="single" w:sz="1" w:space="0" w:color="AEAEAE"/>
              <w:left w:val="none" w:sz="1" w:space="0" w:color="152935"/>
              <w:bottom w:val="single" w:sz="1" w:space="0" w:color="AEAEAE"/>
              <w:right w:val="none" w:sz="1" w:space="0" w:color="AEAEAE"/>
            </w:tcBorders>
            <w:shd w:val="clear" w:color="auto" w:fill="F9F9FB"/>
          </w:tcPr>
          <w:p w14:paraId="34DB7727" w14:textId="77777777" w:rsidR="00730F2D" w:rsidRDefault="00730F2D" w:rsidP="00804E4C">
            <w:pPr>
              <w:spacing w:before="15" w:after="10"/>
              <w:ind w:left="30" w:right="40"/>
              <w:jc w:val="right"/>
            </w:pPr>
            <w:r>
              <w:rPr>
                <w:rFonts w:ascii="Arial" w:eastAsia="Arial" w:hAnsi="Arial" w:cs="Arial"/>
                <w:color w:val="010205"/>
              </w:rPr>
              <w:t>.299</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276DBB3" w14:textId="77777777" w:rsidR="00730F2D" w:rsidRDefault="00730F2D" w:rsidP="00804E4C">
            <w:pPr>
              <w:spacing w:before="15" w:after="10"/>
              <w:ind w:left="30" w:right="40"/>
              <w:jc w:val="right"/>
            </w:pPr>
            <w:r>
              <w:rPr>
                <w:rFonts w:ascii="Arial" w:eastAsia="Arial" w:hAnsi="Arial" w:cs="Arial"/>
                <w:color w:val="010205"/>
              </w:rPr>
              <w:t>-1.794</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4D74C48" w14:textId="77777777" w:rsidR="00730F2D" w:rsidRDefault="00730F2D" w:rsidP="00804E4C">
            <w:pPr>
              <w:spacing w:before="15" w:after="10"/>
              <w:ind w:left="30" w:right="40"/>
              <w:jc w:val="right"/>
            </w:pPr>
            <w:r>
              <w:rPr>
                <w:rFonts w:ascii="Arial" w:eastAsia="Arial" w:hAnsi="Arial" w:cs="Arial"/>
                <w:color w:val="010205"/>
              </w:rPr>
              <w:t>30</w:t>
            </w:r>
          </w:p>
        </w:tc>
        <w:tc>
          <w:tcPr>
            <w:tcW w:w="1411" w:type="dxa"/>
            <w:tcBorders>
              <w:top w:val="single" w:sz="1" w:space="0" w:color="AEAEAE"/>
              <w:left w:val="single" w:sz="1" w:space="0" w:color="E0E0E0"/>
              <w:bottom w:val="single" w:sz="1" w:space="0" w:color="AEAEAE"/>
              <w:right w:val="none" w:sz="1" w:space="0" w:color="152935"/>
            </w:tcBorders>
            <w:shd w:val="clear" w:color="auto" w:fill="F9F9FB"/>
          </w:tcPr>
          <w:p w14:paraId="529608FF" w14:textId="77777777" w:rsidR="00730F2D" w:rsidRDefault="00730F2D" w:rsidP="00804E4C">
            <w:pPr>
              <w:spacing w:before="15" w:after="10"/>
              <w:ind w:left="30" w:right="40"/>
              <w:jc w:val="right"/>
            </w:pPr>
            <w:r>
              <w:rPr>
                <w:rFonts w:ascii="Arial" w:eastAsia="Arial" w:hAnsi="Arial" w:cs="Arial"/>
                <w:color w:val="010205"/>
              </w:rPr>
              <w:t>.041</w:t>
            </w:r>
          </w:p>
        </w:tc>
      </w:tr>
      <w:tr w:rsidR="00730F2D" w14:paraId="6AD44C30" w14:textId="77777777" w:rsidTr="00804E4C">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27697358" w14:textId="77777777" w:rsidR="00730F2D" w:rsidRDefault="00730F2D" w:rsidP="00804E4C">
            <w:pPr>
              <w:spacing w:before="15" w:after="10"/>
              <w:ind w:left="30" w:right="40"/>
            </w:pPr>
            <w:r>
              <w:rPr>
                <w:rFonts w:ascii="Arial" w:eastAsia="Arial" w:hAnsi="Arial" w:cs="Arial"/>
                <w:color w:val="264A60"/>
              </w:rPr>
              <w:t>Pair 6</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37ABEC1" w14:textId="77777777" w:rsidR="00730F2D" w:rsidRDefault="00730F2D" w:rsidP="00804E4C">
            <w:pPr>
              <w:spacing w:before="15" w:after="10"/>
              <w:ind w:left="30" w:right="40"/>
            </w:pPr>
            <w:r>
              <w:rPr>
                <w:rFonts w:ascii="Arial" w:eastAsia="Arial" w:hAnsi="Arial" w:cs="Arial"/>
                <w:color w:val="264A60"/>
              </w:rPr>
              <w:t>ONS_SATIS_PRE - ONS_SATIS_POST</w:t>
            </w:r>
          </w:p>
        </w:tc>
        <w:tc>
          <w:tcPr>
            <w:tcW w:w="1666" w:type="dxa"/>
            <w:tcBorders>
              <w:top w:val="single" w:sz="1" w:space="0" w:color="AEAEAE"/>
              <w:left w:val="none" w:sz="1" w:space="0" w:color="152935"/>
              <w:bottom w:val="single" w:sz="1" w:space="0" w:color="AEAEAE"/>
              <w:right w:val="none" w:sz="1" w:space="0" w:color="AEAEAE"/>
            </w:tcBorders>
            <w:shd w:val="clear" w:color="auto" w:fill="F9F9FB"/>
          </w:tcPr>
          <w:p w14:paraId="66F4A609" w14:textId="77777777" w:rsidR="00730F2D" w:rsidRDefault="00730F2D" w:rsidP="00804E4C">
            <w:pPr>
              <w:spacing w:before="15" w:after="10"/>
              <w:ind w:left="30" w:right="40"/>
              <w:jc w:val="right"/>
            </w:pPr>
            <w:r>
              <w:rPr>
                <w:rFonts w:ascii="Arial" w:eastAsia="Arial" w:hAnsi="Arial" w:cs="Arial"/>
                <w:color w:val="010205"/>
              </w:rPr>
              <w:t>.412</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292A2C0" w14:textId="77777777" w:rsidR="00730F2D" w:rsidRDefault="00730F2D" w:rsidP="00804E4C">
            <w:pPr>
              <w:spacing w:before="15" w:after="10"/>
              <w:ind w:left="30" w:right="40"/>
              <w:jc w:val="right"/>
            </w:pPr>
            <w:r>
              <w:rPr>
                <w:rFonts w:ascii="Arial" w:eastAsia="Arial" w:hAnsi="Arial" w:cs="Arial"/>
                <w:color w:val="010205"/>
              </w:rPr>
              <w:t>-.945</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E7A86C6" w14:textId="77777777" w:rsidR="00730F2D" w:rsidRDefault="00730F2D" w:rsidP="00804E4C">
            <w:pPr>
              <w:spacing w:before="15" w:after="10"/>
              <w:ind w:left="30" w:right="40"/>
              <w:jc w:val="right"/>
            </w:pPr>
            <w:r>
              <w:rPr>
                <w:rFonts w:ascii="Arial" w:eastAsia="Arial" w:hAnsi="Arial" w:cs="Arial"/>
                <w:color w:val="010205"/>
              </w:rPr>
              <w:t>30</w:t>
            </w:r>
          </w:p>
        </w:tc>
        <w:tc>
          <w:tcPr>
            <w:tcW w:w="1411" w:type="dxa"/>
            <w:tcBorders>
              <w:top w:val="single" w:sz="1" w:space="0" w:color="AEAEAE"/>
              <w:left w:val="single" w:sz="1" w:space="0" w:color="E0E0E0"/>
              <w:bottom w:val="single" w:sz="1" w:space="0" w:color="AEAEAE"/>
              <w:right w:val="none" w:sz="1" w:space="0" w:color="152935"/>
            </w:tcBorders>
            <w:shd w:val="clear" w:color="auto" w:fill="F9F9FB"/>
          </w:tcPr>
          <w:p w14:paraId="1D9150C5" w14:textId="77777777" w:rsidR="00730F2D" w:rsidRDefault="00730F2D" w:rsidP="00804E4C">
            <w:pPr>
              <w:spacing w:before="15" w:after="10"/>
              <w:ind w:left="30" w:right="40"/>
              <w:jc w:val="right"/>
            </w:pPr>
            <w:r>
              <w:rPr>
                <w:rFonts w:ascii="Arial" w:eastAsia="Arial" w:hAnsi="Arial" w:cs="Arial"/>
                <w:color w:val="010205"/>
              </w:rPr>
              <w:t>.176</w:t>
            </w:r>
          </w:p>
        </w:tc>
      </w:tr>
      <w:tr w:rsidR="00730F2D" w14:paraId="3F97C673" w14:textId="77777777" w:rsidTr="00804E4C">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6D7BB73C" w14:textId="77777777" w:rsidR="00730F2D" w:rsidRDefault="00730F2D" w:rsidP="00804E4C">
            <w:pPr>
              <w:spacing w:before="15" w:after="10"/>
              <w:ind w:left="30" w:right="40"/>
            </w:pPr>
            <w:r>
              <w:rPr>
                <w:rFonts w:ascii="Arial" w:eastAsia="Arial" w:hAnsi="Arial" w:cs="Arial"/>
                <w:color w:val="264A60"/>
              </w:rPr>
              <w:t>Pair 7</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E3164EB" w14:textId="77777777" w:rsidR="00730F2D" w:rsidRDefault="00730F2D" w:rsidP="00804E4C">
            <w:pPr>
              <w:spacing w:before="15" w:after="10"/>
              <w:ind w:left="30" w:right="40"/>
            </w:pPr>
            <w:r>
              <w:rPr>
                <w:rFonts w:ascii="Arial" w:eastAsia="Arial" w:hAnsi="Arial" w:cs="Arial"/>
                <w:color w:val="264A60"/>
              </w:rPr>
              <w:t>ONS_WORTH_PRE - ONS_WORTH_POST</w:t>
            </w:r>
          </w:p>
        </w:tc>
        <w:tc>
          <w:tcPr>
            <w:tcW w:w="1666" w:type="dxa"/>
            <w:tcBorders>
              <w:top w:val="single" w:sz="1" w:space="0" w:color="AEAEAE"/>
              <w:left w:val="none" w:sz="1" w:space="0" w:color="152935"/>
              <w:bottom w:val="single" w:sz="1" w:space="0" w:color="AEAEAE"/>
              <w:right w:val="none" w:sz="1" w:space="0" w:color="AEAEAE"/>
            </w:tcBorders>
            <w:shd w:val="clear" w:color="auto" w:fill="F9F9FB"/>
          </w:tcPr>
          <w:p w14:paraId="07F96969" w14:textId="77777777" w:rsidR="00730F2D" w:rsidRDefault="00730F2D" w:rsidP="00804E4C">
            <w:pPr>
              <w:spacing w:before="15" w:after="10"/>
              <w:ind w:left="30" w:right="40"/>
              <w:jc w:val="right"/>
            </w:pPr>
            <w:r>
              <w:rPr>
                <w:rFonts w:ascii="Arial" w:eastAsia="Arial" w:hAnsi="Arial" w:cs="Arial"/>
                <w:color w:val="010205"/>
              </w:rPr>
              <w:t>.173</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64D930D" w14:textId="77777777" w:rsidR="00730F2D" w:rsidRDefault="00730F2D" w:rsidP="00804E4C">
            <w:pPr>
              <w:spacing w:before="15" w:after="10"/>
              <w:ind w:left="30" w:right="40"/>
              <w:jc w:val="right"/>
            </w:pPr>
            <w:r>
              <w:rPr>
                <w:rFonts w:ascii="Arial" w:eastAsia="Arial" w:hAnsi="Arial" w:cs="Arial"/>
                <w:color w:val="010205"/>
              </w:rPr>
              <w:t>-1.611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690F0C26" w14:textId="77777777" w:rsidR="00730F2D" w:rsidRDefault="00730F2D" w:rsidP="00804E4C">
            <w:pPr>
              <w:spacing w:before="15" w:after="10"/>
              <w:ind w:left="30" w:right="40"/>
              <w:jc w:val="right"/>
            </w:pPr>
            <w:r>
              <w:rPr>
                <w:rFonts w:ascii="Arial" w:eastAsia="Arial" w:hAnsi="Arial" w:cs="Arial"/>
                <w:color w:val="010205"/>
              </w:rPr>
              <w:t>30</w:t>
            </w:r>
          </w:p>
        </w:tc>
        <w:tc>
          <w:tcPr>
            <w:tcW w:w="1411" w:type="dxa"/>
            <w:tcBorders>
              <w:top w:val="single" w:sz="1" w:space="0" w:color="AEAEAE"/>
              <w:left w:val="single" w:sz="1" w:space="0" w:color="E0E0E0"/>
              <w:bottom w:val="single" w:sz="1" w:space="0" w:color="AEAEAE"/>
              <w:right w:val="none" w:sz="1" w:space="0" w:color="152935"/>
            </w:tcBorders>
            <w:shd w:val="clear" w:color="auto" w:fill="F9F9FB"/>
          </w:tcPr>
          <w:p w14:paraId="0151F104" w14:textId="77777777" w:rsidR="00730F2D" w:rsidRDefault="00730F2D" w:rsidP="00804E4C">
            <w:pPr>
              <w:spacing w:before="15" w:after="10"/>
              <w:ind w:left="30" w:right="40"/>
              <w:jc w:val="right"/>
            </w:pPr>
            <w:r>
              <w:rPr>
                <w:rFonts w:ascii="Arial" w:eastAsia="Arial" w:hAnsi="Arial" w:cs="Arial"/>
                <w:color w:val="010205"/>
              </w:rPr>
              <w:t>.059</w:t>
            </w:r>
          </w:p>
        </w:tc>
      </w:tr>
      <w:tr w:rsidR="00730F2D" w14:paraId="0BD7DC9D" w14:textId="77777777" w:rsidTr="00804E4C">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3CA4F2C2" w14:textId="77777777" w:rsidR="00730F2D" w:rsidRDefault="00730F2D" w:rsidP="00804E4C">
            <w:pPr>
              <w:spacing w:before="15" w:after="10"/>
              <w:ind w:left="30" w:right="40"/>
            </w:pPr>
            <w:r>
              <w:rPr>
                <w:rFonts w:ascii="Arial" w:eastAsia="Arial" w:hAnsi="Arial" w:cs="Arial"/>
                <w:color w:val="264A60"/>
              </w:rPr>
              <w:t>Pair 8</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F01DEA3" w14:textId="77777777" w:rsidR="00730F2D" w:rsidRPr="004C35CC" w:rsidRDefault="00730F2D" w:rsidP="00804E4C">
            <w:pPr>
              <w:spacing w:before="15" w:after="10"/>
              <w:ind w:left="30" w:right="40"/>
              <w:rPr>
                <w:lang w:val="nl-NL"/>
              </w:rPr>
            </w:pPr>
            <w:r w:rsidRPr="004C35CC">
              <w:rPr>
                <w:rFonts w:ascii="Arial" w:eastAsia="Arial" w:hAnsi="Arial" w:cs="Arial"/>
                <w:color w:val="264A60"/>
                <w:lang w:val="nl-NL"/>
              </w:rPr>
              <w:t>ONS_HAP_PRE - ONS_HAP_POST</w:t>
            </w:r>
          </w:p>
        </w:tc>
        <w:tc>
          <w:tcPr>
            <w:tcW w:w="1666" w:type="dxa"/>
            <w:tcBorders>
              <w:top w:val="single" w:sz="1" w:space="0" w:color="AEAEAE"/>
              <w:left w:val="none" w:sz="1" w:space="0" w:color="152935"/>
              <w:bottom w:val="single" w:sz="1" w:space="0" w:color="AEAEAE"/>
              <w:right w:val="none" w:sz="1" w:space="0" w:color="AEAEAE"/>
            </w:tcBorders>
            <w:shd w:val="clear" w:color="auto" w:fill="F9F9FB"/>
          </w:tcPr>
          <w:p w14:paraId="25C6C4BF" w14:textId="77777777" w:rsidR="00730F2D" w:rsidRDefault="00730F2D" w:rsidP="00804E4C">
            <w:pPr>
              <w:spacing w:before="15" w:after="10"/>
              <w:ind w:left="30" w:right="40"/>
              <w:jc w:val="right"/>
            </w:pPr>
            <w:r>
              <w:rPr>
                <w:rFonts w:ascii="Arial" w:eastAsia="Arial" w:hAnsi="Arial" w:cs="Arial"/>
                <w:color w:val="010205"/>
              </w:rPr>
              <w:t>1.351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55768956" w14:textId="77777777" w:rsidR="00730F2D" w:rsidRDefault="00730F2D" w:rsidP="00804E4C">
            <w:pPr>
              <w:spacing w:before="15" w:after="10"/>
              <w:ind w:left="30" w:right="40"/>
              <w:jc w:val="right"/>
            </w:pPr>
            <w:r>
              <w:rPr>
                <w:rFonts w:ascii="Arial" w:eastAsia="Arial" w:hAnsi="Arial" w:cs="Arial"/>
                <w:color w:val="010205"/>
              </w:rPr>
              <w:t>.728</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F7F79B1" w14:textId="77777777" w:rsidR="00730F2D" w:rsidRDefault="00730F2D" w:rsidP="00804E4C">
            <w:pPr>
              <w:spacing w:before="15" w:after="10"/>
              <w:ind w:left="30" w:right="40"/>
              <w:jc w:val="right"/>
            </w:pPr>
            <w:r>
              <w:rPr>
                <w:rFonts w:ascii="Arial" w:eastAsia="Arial" w:hAnsi="Arial" w:cs="Arial"/>
                <w:color w:val="010205"/>
              </w:rPr>
              <w:t>30</w:t>
            </w:r>
          </w:p>
        </w:tc>
        <w:tc>
          <w:tcPr>
            <w:tcW w:w="1411" w:type="dxa"/>
            <w:tcBorders>
              <w:top w:val="single" w:sz="1" w:space="0" w:color="AEAEAE"/>
              <w:left w:val="single" w:sz="1" w:space="0" w:color="E0E0E0"/>
              <w:bottom w:val="single" w:sz="1" w:space="0" w:color="AEAEAE"/>
              <w:right w:val="none" w:sz="1" w:space="0" w:color="152935"/>
            </w:tcBorders>
            <w:shd w:val="clear" w:color="auto" w:fill="F9F9FB"/>
          </w:tcPr>
          <w:p w14:paraId="186C3FCA" w14:textId="77777777" w:rsidR="00730F2D" w:rsidRDefault="00730F2D" w:rsidP="00804E4C">
            <w:pPr>
              <w:spacing w:before="15" w:after="10"/>
              <w:ind w:left="30" w:right="40"/>
              <w:jc w:val="right"/>
            </w:pPr>
            <w:r>
              <w:rPr>
                <w:rFonts w:ascii="Arial" w:eastAsia="Arial" w:hAnsi="Arial" w:cs="Arial"/>
                <w:color w:val="010205"/>
              </w:rPr>
              <w:t>.236</w:t>
            </w:r>
          </w:p>
        </w:tc>
      </w:tr>
      <w:tr w:rsidR="00730F2D" w14:paraId="0EBE92ED" w14:textId="77777777" w:rsidTr="00804E4C">
        <w:tblPrEx>
          <w:tblCellMar>
            <w:top w:w="0" w:type="dxa"/>
            <w:bottom w:w="0" w:type="dxa"/>
          </w:tblCellMar>
        </w:tblPrEx>
        <w:tc>
          <w:tcPr>
            <w:tcW w:w="833" w:type="dxa"/>
            <w:tcBorders>
              <w:top w:val="single" w:sz="1" w:space="0" w:color="AEAEAE"/>
              <w:left w:val="none" w:sz="1" w:space="0" w:color="152935"/>
              <w:bottom w:val="single" w:sz="1" w:space="0" w:color="152935"/>
              <w:right w:val="none" w:sz="1" w:space="0" w:color="AEAEAE"/>
            </w:tcBorders>
            <w:shd w:val="clear" w:color="auto" w:fill="E0E0E0"/>
          </w:tcPr>
          <w:p w14:paraId="7337174C" w14:textId="77777777" w:rsidR="00730F2D" w:rsidRDefault="00730F2D" w:rsidP="00804E4C">
            <w:pPr>
              <w:spacing w:before="15" w:after="10"/>
              <w:ind w:left="30" w:right="40"/>
            </w:pPr>
            <w:r>
              <w:rPr>
                <w:rFonts w:ascii="Arial" w:eastAsia="Arial" w:hAnsi="Arial" w:cs="Arial"/>
                <w:color w:val="264A60"/>
              </w:rPr>
              <w:t>Pair 9</w:t>
            </w:r>
          </w:p>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2385BB84" w14:textId="77777777" w:rsidR="00730F2D" w:rsidRPr="004C35CC" w:rsidRDefault="00730F2D" w:rsidP="00804E4C">
            <w:pPr>
              <w:spacing w:before="15" w:after="10"/>
              <w:ind w:left="30" w:right="40"/>
              <w:rPr>
                <w:lang w:val="nl-NL"/>
              </w:rPr>
            </w:pPr>
            <w:r w:rsidRPr="004C35CC">
              <w:rPr>
                <w:rFonts w:ascii="Arial" w:eastAsia="Arial" w:hAnsi="Arial" w:cs="Arial"/>
                <w:color w:val="264A60"/>
                <w:lang w:val="nl-NL"/>
              </w:rPr>
              <w:t>ONS_ANX_PRE - ONS_ANX_POST</w:t>
            </w:r>
          </w:p>
        </w:tc>
        <w:tc>
          <w:tcPr>
            <w:tcW w:w="1666" w:type="dxa"/>
            <w:tcBorders>
              <w:top w:val="single" w:sz="1" w:space="0" w:color="AEAEAE"/>
              <w:left w:val="none" w:sz="1" w:space="0" w:color="152935"/>
              <w:bottom w:val="single" w:sz="1" w:space="0" w:color="152935"/>
              <w:right w:val="none" w:sz="1" w:space="0" w:color="AEAEAE"/>
            </w:tcBorders>
            <w:shd w:val="clear" w:color="auto" w:fill="F9F9FB"/>
          </w:tcPr>
          <w:p w14:paraId="5C778900" w14:textId="77777777" w:rsidR="00730F2D" w:rsidRDefault="00730F2D" w:rsidP="00804E4C">
            <w:pPr>
              <w:spacing w:before="15" w:after="10"/>
              <w:ind w:left="30" w:right="40"/>
              <w:jc w:val="right"/>
            </w:pPr>
            <w:r>
              <w:rPr>
                <w:rFonts w:ascii="Arial" w:eastAsia="Arial" w:hAnsi="Arial" w:cs="Arial"/>
                <w:color w:val="010205"/>
              </w:rPr>
              <w:t>2.072</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70CF9ADD" w14:textId="77777777" w:rsidR="00730F2D" w:rsidRDefault="00730F2D" w:rsidP="00804E4C">
            <w:pPr>
              <w:spacing w:before="15" w:after="10"/>
              <w:ind w:left="30" w:right="40"/>
              <w:jc w:val="right"/>
            </w:pPr>
            <w:r>
              <w:rPr>
                <w:rFonts w:ascii="Arial" w:eastAsia="Arial" w:hAnsi="Arial" w:cs="Arial"/>
                <w:color w:val="010205"/>
              </w:rPr>
              <w:t>1.681</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677516A1" w14:textId="77777777" w:rsidR="00730F2D" w:rsidRDefault="00730F2D" w:rsidP="00804E4C">
            <w:pPr>
              <w:spacing w:before="15" w:after="10"/>
              <w:ind w:left="30" w:right="40"/>
              <w:jc w:val="right"/>
            </w:pPr>
            <w:r>
              <w:rPr>
                <w:rFonts w:ascii="Arial" w:eastAsia="Arial" w:hAnsi="Arial" w:cs="Arial"/>
                <w:color w:val="010205"/>
              </w:rPr>
              <w:t>30</w:t>
            </w:r>
          </w:p>
        </w:tc>
        <w:tc>
          <w:tcPr>
            <w:tcW w:w="1411" w:type="dxa"/>
            <w:tcBorders>
              <w:top w:val="single" w:sz="1" w:space="0" w:color="AEAEAE"/>
              <w:left w:val="single" w:sz="1" w:space="0" w:color="E0E0E0"/>
              <w:bottom w:val="single" w:sz="1" w:space="0" w:color="152935"/>
              <w:right w:val="none" w:sz="1" w:space="0" w:color="152935"/>
            </w:tcBorders>
            <w:shd w:val="clear" w:color="auto" w:fill="F9F9FB"/>
          </w:tcPr>
          <w:p w14:paraId="11F2128E" w14:textId="77777777" w:rsidR="00730F2D" w:rsidRDefault="00730F2D" w:rsidP="00804E4C">
            <w:pPr>
              <w:spacing w:before="15" w:after="10"/>
              <w:ind w:left="30" w:right="40"/>
              <w:jc w:val="right"/>
            </w:pPr>
            <w:r>
              <w:rPr>
                <w:rFonts w:ascii="Arial" w:eastAsia="Arial" w:hAnsi="Arial" w:cs="Arial"/>
                <w:color w:val="010205"/>
              </w:rPr>
              <w:t>.052</w:t>
            </w:r>
          </w:p>
        </w:tc>
      </w:tr>
      <w:bookmarkEnd w:id="30"/>
    </w:tbl>
    <w:p w14:paraId="4017508F" w14:textId="77777777" w:rsidR="00730F2D" w:rsidRDefault="00730F2D" w:rsidP="00730F2D"/>
    <w:tbl>
      <w:tblPr>
        <w:tblW w:w="0" w:type="auto"/>
        <w:tblLayout w:type="fixed"/>
        <w:tblCellMar>
          <w:left w:w="10" w:type="dxa"/>
          <w:right w:w="10" w:type="dxa"/>
        </w:tblCellMar>
        <w:tblLook w:val="0000" w:firstRow="0" w:lastRow="0" w:firstColumn="0" w:lastColumn="0" w:noHBand="0" w:noVBand="0"/>
      </w:tblPr>
      <w:tblGrid>
        <w:gridCol w:w="833"/>
        <w:gridCol w:w="2788"/>
        <w:gridCol w:w="2333"/>
      </w:tblGrid>
      <w:tr w:rsidR="00730F2D" w:rsidRPr="00730F2D" w14:paraId="46304A6D" w14:textId="77777777" w:rsidTr="00730F2D">
        <w:tblPrEx>
          <w:tblCellMar>
            <w:top w:w="0" w:type="dxa"/>
            <w:bottom w:w="0" w:type="dxa"/>
          </w:tblCellMar>
        </w:tblPrEx>
        <w:tc>
          <w:tcPr>
            <w:tcW w:w="5954" w:type="dxa"/>
            <w:gridSpan w:val="3"/>
            <w:shd w:val="clear" w:color="auto" w:fill="FFFFFF"/>
            <w:vAlign w:val="center"/>
          </w:tcPr>
          <w:p w14:paraId="597A5C35" w14:textId="00EC8B5B" w:rsidR="00730F2D" w:rsidRPr="00730F2D" w:rsidRDefault="00730F2D" w:rsidP="00730F2D">
            <w:pPr>
              <w:spacing w:before="5" w:after="30"/>
              <w:ind w:left="30" w:right="40"/>
              <w:rPr>
                <w:szCs w:val="22"/>
              </w:rPr>
            </w:pPr>
            <w:r w:rsidRPr="00730F2D">
              <w:rPr>
                <w:rFonts w:ascii="Arial" w:eastAsia="Arial" w:hAnsi="Arial" w:cs="Arial"/>
                <w:b/>
                <w:color w:val="010205"/>
                <w:szCs w:val="22"/>
              </w:rPr>
              <w:t xml:space="preserve">Table 5 - </w:t>
            </w:r>
            <w:r w:rsidRPr="00730F2D">
              <w:rPr>
                <w:rFonts w:ascii="Arial" w:eastAsia="Arial" w:hAnsi="Arial" w:cs="Arial"/>
                <w:b/>
                <w:color w:val="010205"/>
                <w:szCs w:val="22"/>
              </w:rPr>
              <w:t>Paired Samples Test</w:t>
            </w:r>
            <w:r w:rsidRPr="00730F2D">
              <w:rPr>
                <w:rFonts w:ascii="Arial" w:eastAsia="Arial" w:hAnsi="Arial" w:cs="Arial"/>
                <w:b/>
                <w:color w:val="010205"/>
                <w:szCs w:val="22"/>
              </w:rPr>
              <w:t xml:space="preserve"> -Significance</w:t>
            </w:r>
          </w:p>
        </w:tc>
      </w:tr>
      <w:tr w:rsidR="00730F2D" w14:paraId="3BD9E362" w14:textId="77777777" w:rsidTr="00730F2D">
        <w:tblPrEx>
          <w:tblCellMar>
            <w:top w:w="0" w:type="dxa"/>
            <w:bottom w:w="0" w:type="dxa"/>
          </w:tblCellMar>
        </w:tblPrEx>
        <w:tc>
          <w:tcPr>
            <w:tcW w:w="3621" w:type="dxa"/>
            <w:gridSpan w:val="2"/>
            <w:vMerge w:val="restart"/>
            <w:tcBorders>
              <w:top w:val="none" w:sz="1" w:space="0" w:color="152935"/>
              <w:left w:val="none" w:sz="1" w:space="0" w:color="152935"/>
            </w:tcBorders>
            <w:shd w:val="clear" w:color="auto" w:fill="FFFFFF"/>
            <w:vAlign w:val="bottom"/>
          </w:tcPr>
          <w:p w14:paraId="45A40406" w14:textId="77777777" w:rsidR="00730F2D" w:rsidRDefault="00730F2D" w:rsidP="00804E4C">
            <w:pPr>
              <w:spacing w:before="15" w:after="5"/>
              <w:ind w:left="30" w:right="40"/>
            </w:pPr>
          </w:p>
        </w:tc>
        <w:tc>
          <w:tcPr>
            <w:tcW w:w="2333" w:type="dxa"/>
            <w:tcBorders>
              <w:top w:val="none" w:sz="1" w:space="0" w:color="152935"/>
              <w:left w:val="none" w:sz="1" w:space="0" w:color="152935"/>
              <w:bottom w:val="none" w:sz="1" w:space="0" w:color="AEAEAE"/>
              <w:right w:val="none" w:sz="1" w:space="0" w:color="152935"/>
            </w:tcBorders>
            <w:shd w:val="clear" w:color="auto" w:fill="FFFFFF"/>
            <w:vAlign w:val="bottom"/>
          </w:tcPr>
          <w:p w14:paraId="403B3E82" w14:textId="77777777" w:rsidR="00730F2D" w:rsidRDefault="00730F2D" w:rsidP="00804E4C">
            <w:pPr>
              <w:jc w:val="center"/>
            </w:pPr>
            <w:r>
              <w:rPr>
                <w:rFonts w:ascii="Arial" w:eastAsia="Arial" w:hAnsi="Arial" w:cs="Arial"/>
                <w:color w:val="264A60"/>
              </w:rPr>
              <w:t>Significance</w:t>
            </w:r>
          </w:p>
        </w:tc>
      </w:tr>
      <w:tr w:rsidR="00730F2D" w14:paraId="7DAD9170" w14:textId="77777777" w:rsidTr="00730F2D">
        <w:tblPrEx>
          <w:tblCellMar>
            <w:top w:w="0" w:type="dxa"/>
            <w:bottom w:w="0" w:type="dxa"/>
          </w:tblCellMar>
        </w:tblPrEx>
        <w:trPr>
          <w:trHeight w:val="501"/>
        </w:trPr>
        <w:tc>
          <w:tcPr>
            <w:tcW w:w="3621" w:type="dxa"/>
            <w:gridSpan w:val="2"/>
            <w:vMerge/>
            <w:tcBorders>
              <w:top w:val="none" w:sz="1" w:space="0" w:color="152935"/>
              <w:left w:val="none" w:sz="1" w:space="0" w:color="152935"/>
            </w:tcBorders>
          </w:tcPr>
          <w:p w14:paraId="30F4FE7E" w14:textId="77777777" w:rsidR="00730F2D" w:rsidRDefault="00730F2D" w:rsidP="00804E4C"/>
        </w:tc>
        <w:tc>
          <w:tcPr>
            <w:tcW w:w="2333" w:type="dxa"/>
            <w:vMerge w:val="restart"/>
            <w:tcBorders>
              <w:top w:val="none" w:sz="1" w:space="0" w:color="AEAEAE"/>
              <w:left w:val="none" w:sz="1" w:space="0" w:color="152935"/>
              <w:bottom w:val="none" w:sz="1" w:space="0" w:color="AEAEAE"/>
              <w:right w:val="none" w:sz="1" w:space="0" w:color="152935"/>
            </w:tcBorders>
            <w:shd w:val="clear" w:color="auto" w:fill="FFFFFF"/>
            <w:vAlign w:val="bottom"/>
          </w:tcPr>
          <w:p w14:paraId="41D40416" w14:textId="77777777" w:rsidR="00730F2D" w:rsidRDefault="00730F2D" w:rsidP="00804E4C">
            <w:pPr>
              <w:spacing w:before="10" w:after="10"/>
              <w:ind w:left="30" w:right="40"/>
              <w:jc w:val="center"/>
            </w:pPr>
            <w:r>
              <w:rPr>
                <w:rFonts w:ascii="Arial" w:eastAsia="Arial" w:hAnsi="Arial" w:cs="Arial"/>
                <w:color w:val="264A60"/>
              </w:rPr>
              <w:t>Two-Sided p</w:t>
            </w:r>
          </w:p>
        </w:tc>
      </w:tr>
      <w:tr w:rsidR="00730F2D" w14:paraId="3FF14DCB" w14:textId="77777777" w:rsidTr="00730F2D">
        <w:tblPrEx>
          <w:tblCellMar>
            <w:top w:w="0" w:type="dxa"/>
            <w:bottom w:w="0" w:type="dxa"/>
          </w:tblCellMar>
        </w:tblPrEx>
        <w:trPr>
          <w:trHeight w:val="501"/>
        </w:trPr>
        <w:tc>
          <w:tcPr>
            <w:tcW w:w="3621" w:type="dxa"/>
            <w:gridSpan w:val="2"/>
            <w:vMerge/>
            <w:tcBorders>
              <w:top w:val="none" w:sz="1" w:space="0" w:color="152935"/>
              <w:left w:val="none" w:sz="1" w:space="0" w:color="152935"/>
            </w:tcBorders>
          </w:tcPr>
          <w:p w14:paraId="06B1608A" w14:textId="77777777" w:rsidR="00730F2D" w:rsidRDefault="00730F2D" w:rsidP="00804E4C"/>
        </w:tc>
        <w:tc>
          <w:tcPr>
            <w:tcW w:w="2333" w:type="dxa"/>
            <w:vMerge/>
            <w:tcBorders>
              <w:top w:val="none" w:sz="1" w:space="0" w:color="AEAEAE"/>
              <w:left w:val="none" w:sz="1" w:space="0" w:color="152935"/>
              <w:bottom w:val="none" w:sz="1" w:space="0" w:color="AEAEAE"/>
              <w:right w:val="none" w:sz="1" w:space="0" w:color="152935"/>
            </w:tcBorders>
          </w:tcPr>
          <w:p w14:paraId="5DD14282" w14:textId="77777777" w:rsidR="00730F2D" w:rsidRDefault="00730F2D" w:rsidP="00804E4C"/>
        </w:tc>
      </w:tr>
      <w:tr w:rsidR="00730F2D" w14:paraId="7D17654D" w14:textId="77777777" w:rsidTr="00730F2D">
        <w:tblPrEx>
          <w:tblCellMar>
            <w:top w:w="0" w:type="dxa"/>
            <w:bottom w:w="0" w:type="dxa"/>
          </w:tblCellMar>
        </w:tblPrEx>
        <w:tc>
          <w:tcPr>
            <w:tcW w:w="833" w:type="dxa"/>
            <w:tcBorders>
              <w:top w:val="single" w:sz="1" w:space="0" w:color="152935"/>
              <w:left w:val="none" w:sz="1" w:space="0" w:color="152935"/>
              <w:bottom w:val="single" w:sz="1" w:space="0" w:color="AEAEAE"/>
              <w:right w:val="none" w:sz="1" w:space="0" w:color="AEAEAE"/>
            </w:tcBorders>
            <w:shd w:val="clear" w:color="auto" w:fill="E0E0E0"/>
          </w:tcPr>
          <w:p w14:paraId="2742330C" w14:textId="77777777" w:rsidR="00730F2D" w:rsidRDefault="00730F2D" w:rsidP="00804E4C">
            <w:pPr>
              <w:spacing w:before="15" w:after="10"/>
              <w:ind w:left="30" w:right="40"/>
            </w:pPr>
            <w:r>
              <w:rPr>
                <w:rFonts w:ascii="Arial" w:eastAsia="Arial" w:hAnsi="Arial" w:cs="Arial"/>
                <w:color w:val="264A60"/>
              </w:rPr>
              <w:t>Pair 1</w:t>
            </w:r>
          </w:p>
        </w:tc>
        <w:tc>
          <w:tcPr>
            <w:tcW w:w="2788" w:type="dxa"/>
            <w:tcBorders>
              <w:top w:val="single" w:sz="1" w:space="0" w:color="152935"/>
              <w:left w:val="none" w:sz="1" w:space="0" w:color="AEAEAE"/>
              <w:bottom w:val="single" w:sz="1" w:space="0" w:color="AEAEAE"/>
              <w:right w:val="none" w:sz="1" w:space="0" w:color="152935"/>
            </w:tcBorders>
            <w:shd w:val="clear" w:color="auto" w:fill="E0E0E0"/>
          </w:tcPr>
          <w:p w14:paraId="31AD2615" w14:textId="77777777" w:rsidR="00730F2D" w:rsidRDefault="00730F2D" w:rsidP="00804E4C">
            <w:pPr>
              <w:spacing w:before="15" w:after="10"/>
              <w:ind w:left="30" w:right="40"/>
            </w:pPr>
            <w:r>
              <w:rPr>
                <w:rFonts w:ascii="Arial" w:eastAsia="Arial" w:hAnsi="Arial" w:cs="Arial"/>
                <w:color w:val="264A60"/>
              </w:rPr>
              <w:t>BDI_PRE - BDI_POST</w:t>
            </w:r>
          </w:p>
        </w:tc>
        <w:tc>
          <w:tcPr>
            <w:tcW w:w="2333" w:type="dxa"/>
            <w:tcBorders>
              <w:top w:val="single" w:sz="1" w:space="0" w:color="152935"/>
              <w:left w:val="none" w:sz="1" w:space="0" w:color="152935"/>
              <w:bottom w:val="single" w:sz="1" w:space="0" w:color="AEAEAE"/>
              <w:right w:val="none" w:sz="1" w:space="0" w:color="152935"/>
            </w:tcBorders>
            <w:shd w:val="clear" w:color="auto" w:fill="F9F9FB"/>
          </w:tcPr>
          <w:p w14:paraId="5A9ABB7C" w14:textId="77777777" w:rsidR="00730F2D" w:rsidRDefault="00730F2D" w:rsidP="00804E4C">
            <w:pPr>
              <w:spacing w:before="15" w:after="10"/>
              <w:ind w:left="30" w:right="40"/>
              <w:jc w:val="right"/>
            </w:pPr>
            <w:r>
              <w:rPr>
                <w:rFonts w:ascii="Arial" w:eastAsia="Arial" w:hAnsi="Arial" w:cs="Arial"/>
                <w:color w:val="010205"/>
              </w:rPr>
              <w:t>&lt;.001</w:t>
            </w:r>
          </w:p>
        </w:tc>
      </w:tr>
      <w:tr w:rsidR="00730F2D" w14:paraId="1B87FD72" w14:textId="77777777" w:rsidTr="00730F2D">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05963256" w14:textId="77777777" w:rsidR="00730F2D" w:rsidRDefault="00730F2D" w:rsidP="00804E4C">
            <w:pPr>
              <w:spacing w:before="15" w:after="10"/>
              <w:ind w:left="30" w:right="40"/>
            </w:pPr>
            <w:r>
              <w:rPr>
                <w:rFonts w:ascii="Arial" w:eastAsia="Arial" w:hAnsi="Arial" w:cs="Arial"/>
                <w:color w:val="264A60"/>
              </w:rPr>
              <w:t>Pair 2</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6E15CE5A" w14:textId="77777777" w:rsidR="00730F2D" w:rsidRPr="004C35CC" w:rsidRDefault="00730F2D" w:rsidP="00804E4C">
            <w:pPr>
              <w:spacing w:before="15" w:after="10"/>
              <w:ind w:left="30" w:right="40"/>
              <w:rPr>
                <w:lang w:val="es-ES"/>
              </w:rPr>
            </w:pPr>
            <w:r w:rsidRPr="004C35CC">
              <w:rPr>
                <w:rFonts w:ascii="Arial" w:eastAsia="Arial" w:hAnsi="Arial" w:cs="Arial"/>
                <w:color w:val="264A60"/>
                <w:lang w:val="es-ES"/>
              </w:rPr>
              <w:t>MBI_EE_PRE - MBI_EE_POST</w:t>
            </w:r>
          </w:p>
        </w:tc>
        <w:tc>
          <w:tcPr>
            <w:tcW w:w="2333" w:type="dxa"/>
            <w:tcBorders>
              <w:top w:val="single" w:sz="1" w:space="0" w:color="AEAEAE"/>
              <w:left w:val="none" w:sz="1" w:space="0" w:color="152935"/>
              <w:bottom w:val="single" w:sz="1" w:space="0" w:color="AEAEAE"/>
              <w:right w:val="none" w:sz="1" w:space="0" w:color="152935"/>
            </w:tcBorders>
            <w:shd w:val="clear" w:color="auto" w:fill="F9F9FB"/>
          </w:tcPr>
          <w:p w14:paraId="559A4CFA" w14:textId="77777777" w:rsidR="00730F2D" w:rsidRDefault="00730F2D" w:rsidP="00804E4C">
            <w:pPr>
              <w:spacing w:before="15" w:after="10"/>
              <w:ind w:left="30" w:right="40"/>
              <w:jc w:val="right"/>
            </w:pPr>
            <w:r>
              <w:rPr>
                <w:rFonts w:ascii="Arial" w:eastAsia="Arial" w:hAnsi="Arial" w:cs="Arial"/>
                <w:color w:val="010205"/>
              </w:rPr>
              <w:t>&lt;.001</w:t>
            </w:r>
          </w:p>
        </w:tc>
      </w:tr>
      <w:tr w:rsidR="00730F2D" w14:paraId="58E0F653" w14:textId="77777777" w:rsidTr="00730F2D">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4B12C419" w14:textId="77777777" w:rsidR="00730F2D" w:rsidRDefault="00730F2D" w:rsidP="00804E4C">
            <w:pPr>
              <w:spacing w:before="15" w:after="10"/>
              <w:ind w:left="30" w:right="40"/>
            </w:pPr>
            <w:r>
              <w:rPr>
                <w:rFonts w:ascii="Arial" w:eastAsia="Arial" w:hAnsi="Arial" w:cs="Arial"/>
                <w:color w:val="264A60"/>
              </w:rPr>
              <w:t>Pair 3</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29F9CA13" w14:textId="77777777" w:rsidR="00730F2D" w:rsidRDefault="00730F2D" w:rsidP="00804E4C">
            <w:pPr>
              <w:spacing w:before="15" w:after="10"/>
              <w:ind w:left="30" w:right="40"/>
            </w:pPr>
            <w:r>
              <w:rPr>
                <w:rFonts w:ascii="Arial" w:eastAsia="Arial" w:hAnsi="Arial" w:cs="Arial"/>
                <w:color w:val="264A60"/>
              </w:rPr>
              <w:t>MBI_DP_PRE - MBI_DP_POST</w:t>
            </w:r>
          </w:p>
        </w:tc>
        <w:tc>
          <w:tcPr>
            <w:tcW w:w="2333" w:type="dxa"/>
            <w:tcBorders>
              <w:top w:val="single" w:sz="1" w:space="0" w:color="AEAEAE"/>
              <w:left w:val="none" w:sz="1" w:space="0" w:color="152935"/>
              <w:bottom w:val="single" w:sz="1" w:space="0" w:color="AEAEAE"/>
              <w:right w:val="none" w:sz="1" w:space="0" w:color="152935"/>
            </w:tcBorders>
            <w:shd w:val="clear" w:color="auto" w:fill="F9F9FB"/>
          </w:tcPr>
          <w:p w14:paraId="6ECA1051" w14:textId="77777777" w:rsidR="00730F2D" w:rsidRDefault="00730F2D" w:rsidP="00804E4C">
            <w:pPr>
              <w:spacing w:before="15" w:after="10"/>
              <w:ind w:left="30" w:right="40"/>
              <w:jc w:val="right"/>
            </w:pPr>
            <w:r>
              <w:rPr>
                <w:rFonts w:ascii="Arial" w:eastAsia="Arial" w:hAnsi="Arial" w:cs="Arial"/>
                <w:color w:val="010205"/>
              </w:rPr>
              <w:t>.056</w:t>
            </w:r>
          </w:p>
        </w:tc>
      </w:tr>
      <w:tr w:rsidR="00730F2D" w14:paraId="008B95A1" w14:textId="77777777" w:rsidTr="00730F2D">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4956B494" w14:textId="77777777" w:rsidR="00730F2D" w:rsidRDefault="00730F2D" w:rsidP="00804E4C">
            <w:pPr>
              <w:spacing w:before="15" w:after="10"/>
              <w:ind w:left="30" w:right="40"/>
            </w:pPr>
            <w:r>
              <w:rPr>
                <w:rFonts w:ascii="Arial" w:eastAsia="Arial" w:hAnsi="Arial" w:cs="Arial"/>
                <w:color w:val="264A60"/>
              </w:rPr>
              <w:t>Pair 4</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E5A7739" w14:textId="77777777" w:rsidR="00730F2D" w:rsidRDefault="00730F2D" w:rsidP="00804E4C">
            <w:pPr>
              <w:spacing w:before="15" w:after="10"/>
              <w:ind w:left="30" w:right="40"/>
            </w:pPr>
            <w:r>
              <w:rPr>
                <w:rFonts w:ascii="Arial" w:eastAsia="Arial" w:hAnsi="Arial" w:cs="Arial"/>
                <w:color w:val="264A60"/>
              </w:rPr>
              <w:t>MBI_PA_PRE - MBI_PA_POST</w:t>
            </w:r>
          </w:p>
        </w:tc>
        <w:tc>
          <w:tcPr>
            <w:tcW w:w="2333" w:type="dxa"/>
            <w:tcBorders>
              <w:top w:val="single" w:sz="1" w:space="0" w:color="AEAEAE"/>
              <w:left w:val="none" w:sz="1" w:space="0" w:color="152935"/>
              <w:bottom w:val="single" w:sz="1" w:space="0" w:color="AEAEAE"/>
              <w:right w:val="none" w:sz="1" w:space="0" w:color="152935"/>
            </w:tcBorders>
            <w:shd w:val="clear" w:color="auto" w:fill="F9F9FB"/>
          </w:tcPr>
          <w:p w14:paraId="0F9C76F0" w14:textId="77777777" w:rsidR="00730F2D" w:rsidRDefault="00730F2D" w:rsidP="00804E4C">
            <w:pPr>
              <w:spacing w:before="15" w:after="10"/>
              <w:ind w:left="30" w:right="40"/>
              <w:jc w:val="right"/>
            </w:pPr>
            <w:r>
              <w:rPr>
                <w:rFonts w:ascii="Arial" w:eastAsia="Arial" w:hAnsi="Arial" w:cs="Arial"/>
                <w:color w:val="010205"/>
              </w:rPr>
              <w:t>.007</w:t>
            </w:r>
          </w:p>
        </w:tc>
      </w:tr>
      <w:tr w:rsidR="00730F2D" w14:paraId="0CE5E07D" w14:textId="77777777" w:rsidTr="00730F2D">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05F7FD0F" w14:textId="77777777" w:rsidR="00730F2D" w:rsidRDefault="00730F2D" w:rsidP="00804E4C">
            <w:pPr>
              <w:spacing w:before="15" w:after="10"/>
              <w:ind w:left="30" w:right="40"/>
            </w:pPr>
            <w:r>
              <w:rPr>
                <w:rFonts w:ascii="Arial" w:eastAsia="Arial" w:hAnsi="Arial" w:cs="Arial"/>
                <w:color w:val="264A60"/>
              </w:rPr>
              <w:t>Pair 5</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5B3EB70" w14:textId="77777777" w:rsidR="00730F2D" w:rsidRDefault="00730F2D" w:rsidP="00804E4C">
            <w:pPr>
              <w:spacing w:before="15" w:after="10"/>
              <w:ind w:left="30" w:right="40"/>
            </w:pPr>
            <w:r>
              <w:rPr>
                <w:rFonts w:ascii="Arial" w:eastAsia="Arial" w:hAnsi="Arial" w:cs="Arial"/>
                <w:color w:val="264A60"/>
              </w:rPr>
              <w:t>SWEM_PRE - SWEM_POST</w:t>
            </w:r>
          </w:p>
        </w:tc>
        <w:tc>
          <w:tcPr>
            <w:tcW w:w="2333" w:type="dxa"/>
            <w:tcBorders>
              <w:top w:val="single" w:sz="1" w:space="0" w:color="AEAEAE"/>
              <w:left w:val="none" w:sz="1" w:space="0" w:color="152935"/>
              <w:bottom w:val="single" w:sz="1" w:space="0" w:color="AEAEAE"/>
              <w:right w:val="none" w:sz="1" w:space="0" w:color="152935"/>
            </w:tcBorders>
            <w:shd w:val="clear" w:color="auto" w:fill="F9F9FB"/>
          </w:tcPr>
          <w:p w14:paraId="325BF57F" w14:textId="77777777" w:rsidR="00730F2D" w:rsidRDefault="00730F2D" w:rsidP="00804E4C">
            <w:pPr>
              <w:spacing w:before="15" w:after="10"/>
              <w:ind w:left="30" w:right="40"/>
              <w:jc w:val="right"/>
            </w:pPr>
            <w:r>
              <w:rPr>
                <w:rFonts w:ascii="Arial" w:eastAsia="Arial" w:hAnsi="Arial" w:cs="Arial"/>
                <w:color w:val="010205"/>
              </w:rPr>
              <w:t>.083</w:t>
            </w:r>
          </w:p>
        </w:tc>
      </w:tr>
      <w:tr w:rsidR="00730F2D" w14:paraId="77044DD4" w14:textId="77777777" w:rsidTr="00730F2D">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69E1CECF" w14:textId="77777777" w:rsidR="00730F2D" w:rsidRDefault="00730F2D" w:rsidP="00804E4C">
            <w:pPr>
              <w:spacing w:before="15" w:after="10"/>
              <w:ind w:left="30" w:right="40"/>
            </w:pPr>
            <w:r>
              <w:rPr>
                <w:rFonts w:ascii="Arial" w:eastAsia="Arial" w:hAnsi="Arial" w:cs="Arial"/>
                <w:color w:val="264A60"/>
              </w:rPr>
              <w:t>Pair 6</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16C7CC45" w14:textId="77777777" w:rsidR="00730F2D" w:rsidRDefault="00730F2D" w:rsidP="00804E4C">
            <w:pPr>
              <w:spacing w:before="15" w:after="10"/>
              <w:ind w:left="30" w:right="40"/>
            </w:pPr>
            <w:r>
              <w:rPr>
                <w:rFonts w:ascii="Arial" w:eastAsia="Arial" w:hAnsi="Arial" w:cs="Arial"/>
                <w:color w:val="264A60"/>
              </w:rPr>
              <w:t>ONS_SATIS_PRE - ONS_SATIS_POST</w:t>
            </w:r>
          </w:p>
        </w:tc>
        <w:tc>
          <w:tcPr>
            <w:tcW w:w="2333" w:type="dxa"/>
            <w:tcBorders>
              <w:top w:val="single" w:sz="1" w:space="0" w:color="AEAEAE"/>
              <w:left w:val="none" w:sz="1" w:space="0" w:color="152935"/>
              <w:bottom w:val="single" w:sz="1" w:space="0" w:color="AEAEAE"/>
              <w:right w:val="none" w:sz="1" w:space="0" w:color="152935"/>
            </w:tcBorders>
            <w:shd w:val="clear" w:color="auto" w:fill="F9F9FB"/>
          </w:tcPr>
          <w:p w14:paraId="09F42A38" w14:textId="77777777" w:rsidR="00730F2D" w:rsidRDefault="00730F2D" w:rsidP="00804E4C">
            <w:pPr>
              <w:spacing w:before="15" w:after="10"/>
              <w:ind w:left="30" w:right="40"/>
              <w:jc w:val="right"/>
            </w:pPr>
            <w:r>
              <w:rPr>
                <w:rFonts w:ascii="Arial" w:eastAsia="Arial" w:hAnsi="Arial" w:cs="Arial"/>
                <w:color w:val="010205"/>
              </w:rPr>
              <w:t>.352</w:t>
            </w:r>
          </w:p>
        </w:tc>
      </w:tr>
      <w:tr w:rsidR="00730F2D" w14:paraId="164E39C2" w14:textId="77777777" w:rsidTr="00730F2D">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7B2AB3A6" w14:textId="77777777" w:rsidR="00730F2D" w:rsidRDefault="00730F2D" w:rsidP="00804E4C">
            <w:pPr>
              <w:spacing w:before="15" w:after="10"/>
              <w:ind w:left="30" w:right="40"/>
            </w:pPr>
            <w:r>
              <w:rPr>
                <w:rFonts w:ascii="Arial" w:eastAsia="Arial" w:hAnsi="Arial" w:cs="Arial"/>
                <w:color w:val="264A60"/>
              </w:rPr>
              <w:t>Pair 7</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303AEE67" w14:textId="77777777" w:rsidR="00730F2D" w:rsidRDefault="00730F2D" w:rsidP="00804E4C">
            <w:pPr>
              <w:spacing w:before="15" w:after="10"/>
              <w:ind w:left="30" w:right="40"/>
            </w:pPr>
            <w:r>
              <w:rPr>
                <w:rFonts w:ascii="Arial" w:eastAsia="Arial" w:hAnsi="Arial" w:cs="Arial"/>
                <w:color w:val="264A60"/>
              </w:rPr>
              <w:t>ONS_WORTH_PRE - ONS_WORTH_POST</w:t>
            </w:r>
          </w:p>
        </w:tc>
        <w:tc>
          <w:tcPr>
            <w:tcW w:w="2333" w:type="dxa"/>
            <w:tcBorders>
              <w:top w:val="single" w:sz="1" w:space="0" w:color="AEAEAE"/>
              <w:left w:val="none" w:sz="1" w:space="0" w:color="152935"/>
              <w:bottom w:val="single" w:sz="1" w:space="0" w:color="AEAEAE"/>
              <w:right w:val="none" w:sz="1" w:space="0" w:color="152935"/>
            </w:tcBorders>
            <w:shd w:val="clear" w:color="auto" w:fill="F9F9FB"/>
          </w:tcPr>
          <w:p w14:paraId="5FD8AC13" w14:textId="77777777" w:rsidR="00730F2D" w:rsidRDefault="00730F2D" w:rsidP="00804E4C">
            <w:pPr>
              <w:spacing w:before="15" w:after="10"/>
              <w:ind w:left="30" w:right="40"/>
              <w:jc w:val="right"/>
            </w:pPr>
            <w:r>
              <w:rPr>
                <w:rFonts w:ascii="Arial" w:eastAsia="Arial" w:hAnsi="Arial" w:cs="Arial"/>
                <w:color w:val="010205"/>
              </w:rPr>
              <w:t>.118</w:t>
            </w:r>
          </w:p>
        </w:tc>
      </w:tr>
      <w:tr w:rsidR="00730F2D" w14:paraId="20129522" w14:textId="77777777" w:rsidTr="00730F2D">
        <w:tblPrEx>
          <w:tblCellMar>
            <w:top w:w="0" w:type="dxa"/>
            <w:bottom w:w="0" w:type="dxa"/>
          </w:tblCellMar>
        </w:tblPrEx>
        <w:tc>
          <w:tcPr>
            <w:tcW w:w="833" w:type="dxa"/>
            <w:tcBorders>
              <w:top w:val="single" w:sz="1" w:space="0" w:color="AEAEAE"/>
              <w:left w:val="none" w:sz="1" w:space="0" w:color="152935"/>
              <w:bottom w:val="single" w:sz="1" w:space="0" w:color="AEAEAE"/>
              <w:right w:val="none" w:sz="1" w:space="0" w:color="AEAEAE"/>
            </w:tcBorders>
            <w:shd w:val="clear" w:color="auto" w:fill="E0E0E0"/>
          </w:tcPr>
          <w:p w14:paraId="520A8DAF" w14:textId="77777777" w:rsidR="00730F2D" w:rsidRDefault="00730F2D" w:rsidP="00804E4C">
            <w:pPr>
              <w:spacing w:before="15" w:after="10"/>
              <w:ind w:left="30" w:right="40"/>
            </w:pPr>
            <w:r>
              <w:rPr>
                <w:rFonts w:ascii="Arial" w:eastAsia="Arial" w:hAnsi="Arial" w:cs="Arial"/>
                <w:color w:val="264A60"/>
              </w:rPr>
              <w:t>Pair 8</w:t>
            </w:r>
          </w:p>
        </w:tc>
        <w:tc>
          <w:tcPr>
            <w:tcW w:w="2788" w:type="dxa"/>
            <w:tcBorders>
              <w:top w:val="single" w:sz="1" w:space="0" w:color="AEAEAE"/>
              <w:left w:val="none" w:sz="1" w:space="0" w:color="AEAEAE"/>
              <w:bottom w:val="single" w:sz="1" w:space="0" w:color="AEAEAE"/>
              <w:right w:val="none" w:sz="1" w:space="0" w:color="152935"/>
            </w:tcBorders>
            <w:shd w:val="clear" w:color="auto" w:fill="E0E0E0"/>
          </w:tcPr>
          <w:p w14:paraId="79EA53FA" w14:textId="77777777" w:rsidR="00730F2D" w:rsidRPr="004C35CC" w:rsidRDefault="00730F2D" w:rsidP="00804E4C">
            <w:pPr>
              <w:spacing w:before="15" w:after="10"/>
              <w:ind w:left="30" w:right="40"/>
              <w:rPr>
                <w:lang w:val="nl-NL"/>
              </w:rPr>
            </w:pPr>
            <w:r w:rsidRPr="004C35CC">
              <w:rPr>
                <w:rFonts w:ascii="Arial" w:eastAsia="Arial" w:hAnsi="Arial" w:cs="Arial"/>
                <w:color w:val="264A60"/>
                <w:lang w:val="nl-NL"/>
              </w:rPr>
              <w:t>ONS_HAP_PRE - ONS_HAP_POST</w:t>
            </w:r>
          </w:p>
        </w:tc>
        <w:tc>
          <w:tcPr>
            <w:tcW w:w="2333" w:type="dxa"/>
            <w:tcBorders>
              <w:top w:val="single" w:sz="1" w:space="0" w:color="AEAEAE"/>
              <w:left w:val="none" w:sz="1" w:space="0" w:color="152935"/>
              <w:bottom w:val="single" w:sz="1" w:space="0" w:color="AEAEAE"/>
              <w:right w:val="none" w:sz="1" w:space="0" w:color="152935"/>
            </w:tcBorders>
            <w:shd w:val="clear" w:color="auto" w:fill="F9F9FB"/>
          </w:tcPr>
          <w:p w14:paraId="2DA4A31F" w14:textId="77777777" w:rsidR="00730F2D" w:rsidRDefault="00730F2D" w:rsidP="00804E4C">
            <w:pPr>
              <w:spacing w:before="15" w:after="10"/>
              <w:ind w:left="30" w:right="40"/>
              <w:jc w:val="right"/>
            </w:pPr>
            <w:r>
              <w:rPr>
                <w:rFonts w:ascii="Arial" w:eastAsia="Arial" w:hAnsi="Arial" w:cs="Arial"/>
                <w:color w:val="010205"/>
              </w:rPr>
              <w:t>.472</w:t>
            </w:r>
          </w:p>
        </w:tc>
      </w:tr>
      <w:tr w:rsidR="00730F2D" w14:paraId="32AD4591" w14:textId="77777777" w:rsidTr="00730F2D">
        <w:tblPrEx>
          <w:tblCellMar>
            <w:top w:w="0" w:type="dxa"/>
            <w:bottom w:w="0" w:type="dxa"/>
          </w:tblCellMar>
        </w:tblPrEx>
        <w:tc>
          <w:tcPr>
            <w:tcW w:w="833" w:type="dxa"/>
            <w:tcBorders>
              <w:top w:val="single" w:sz="1" w:space="0" w:color="AEAEAE"/>
              <w:left w:val="none" w:sz="1" w:space="0" w:color="152935"/>
              <w:bottom w:val="single" w:sz="1" w:space="0" w:color="152935"/>
              <w:right w:val="none" w:sz="1" w:space="0" w:color="AEAEAE"/>
            </w:tcBorders>
            <w:shd w:val="clear" w:color="auto" w:fill="E0E0E0"/>
          </w:tcPr>
          <w:p w14:paraId="03F00E06" w14:textId="77777777" w:rsidR="00730F2D" w:rsidRDefault="00730F2D" w:rsidP="00804E4C">
            <w:pPr>
              <w:spacing w:before="15" w:after="10"/>
              <w:ind w:left="30" w:right="40"/>
            </w:pPr>
            <w:r>
              <w:rPr>
                <w:rFonts w:ascii="Arial" w:eastAsia="Arial" w:hAnsi="Arial" w:cs="Arial"/>
                <w:color w:val="264A60"/>
              </w:rPr>
              <w:t>Pair 9</w:t>
            </w:r>
          </w:p>
        </w:tc>
        <w:tc>
          <w:tcPr>
            <w:tcW w:w="2788" w:type="dxa"/>
            <w:tcBorders>
              <w:top w:val="single" w:sz="1" w:space="0" w:color="AEAEAE"/>
              <w:left w:val="none" w:sz="1" w:space="0" w:color="AEAEAE"/>
              <w:bottom w:val="single" w:sz="1" w:space="0" w:color="152935"/>
              <w:right w:val="none" w:sz="1" w:space="0" w:color="152935"/>
            </w:tcBorders>
            <w:shd w:val="clear" w:color="auto" w:fill="E0E0E0"/>
          </w:tcPr>
          <w:p w14:paraId="2B56B966" w14:textId="77777777" w:rsidR="00730F2D" w:rsidRPr="004C35CC" w:rsidRDefault="00730F2D" w:rsidP="00804E4C">
            <w:pPr>
              <w:spacing w:before="15" w:after="10"/>
              <w:ind w:left="30" w:right="40"/>
              <w:rPr>
                <w:lang w:val="nl-NL"/>
              </w:rPr>
            </w:pPr>
            <w:r w:rsidRPr="004C35CC">
              <w:rPr>
                <w:rFonts w:ascii="Arial" w:eastAsia="Arial" w:hAnsi="Arial" w:cs="Arial"/>
                <w:color w:val="264A60"/>
                <w:lang w:val="nl-NL"/>
              </w:rPr>
              <w:t>ONS_ANX_PRE - ONS_ANX_POST</w:t>
            </w:r>
          </w:p>
        </w:tc>
        <w:tc>
          <w:tcPr>
            <w:tcW w:w="2333" w:type="dxa"/>
            <w:tcBorders>
              <w:top w:val="single" w:sz="1" w:space="0" w:color="AEAEAE"/>
              <w:left w:val="none" w:sz="1" w:space="0" w:color="152935"/>
              <w:bottom w:val="single" w:sz="1" w:space="0" w:color="152935"/>
              <w:right w:val="none" w:sz="1" w:space="0" w:color="152935"/>
            </w:tcBorders>
            <w:shd w:val="clear" w:color="auto" w:fill="F9F9FB"/>
          </w:tcPr>
          <w:p w14:paraId="391340E4" w14:textId="77777777" w:rsidR="00730F2D" w:rsidRDefault="00730F2D" w:rsidP="00804E4C">
            <w:pPr>
              <w:spacing w:before="15" w:after="10"/>
              <w:ind w:left="30" w:right="40"/>
              <w:jc w:val="right"/>
            </w:pPr>
            <w:r>
              <w:rPr>
                <w:rFonts w:ascii="Arial" w:eastAsia="Arial" w:hAnsi="Arial" w:cs="Arial"/>
                <w:color w:val="010205"/>
              </w:rPr>
              <w:t>.103</w:t>
            </w:r>
          </w:p>
        </w:tc>
      </w:tr>
    </w:tbl>
    <w:p w14:paraId="4517ADB5" w14:textId="77777777" w:rsidR="00730F2D" w:rsidRDefault="00730F2D" w:rsidP="2357DC9D">
      <w:pPr>
        <w:pStyle w:val="ListParagraph"/>
        <w:spacing w:after="0" w:line="360" w:lineRule="auto"/>
        <w:rPr>
          <w:rFonts w:ascii="Aptos" w:eastAsia="Aptos" w:hAnsi="Aptos" w:cs="Aptos"/>
        </w:rPr>
      </w:pPr>
    </w:p>
    <w:p w14:paraId="2CE4A8A2" w14:textId="77777777" w:rsidR="00730F2D" w:rsidRPr="0065723F" w:rsidRDefault="00730F2D" w:rsidP="2357DC9D">
      <w:pPr>
        <w:pStyle w:val="ListParagraph"/>
        <w:spacing w:after="0" w:line="360" w:lineRule="auto"/>
        <w:rPr>
          <w:rFonts w:ascii="Aptos" w:eastAsia="Aptos" w:hAnsi="Aptos" w:cs="Aptos"/>
        </w:rPr>
      </w:pPr>
    </w:p>
    <w:p w14:paraId="278501C2" w14:textId="537AD048" w:rsidR="0018082A" w:rsidRPr="0065723F" w:rsidRDefault="099CC0F3" w:rsidP="2357DC9D">
      <w:pPr>
        <w:spacing w:line="360" w:lineRule="auto"/>
      </w:pPr>
      <w:r w:rsidRPr="2357DC9D">
        <w:rPr>
          <w:rFonts w:ascii="Aptos" w:eastAsia="Aptos" w:hAnsi="Aptos" w:cs="Aptos"/>
        </w:rPr>
        <w:t>Given non-normality, Wilcoxon tests were run for SWEMWBS, MBI-PA and ONS items:</w:t>
      </w:r>
    </w:p>
    <w:p w14:paraId="6E313C57" w14:textId="4FB1655D" w:rsidR="0018082A" w:rsidRPr="0065723F" w:rsidRDefault="099CC0F3" w:rsidP="2357DC9D">
      <w:pPr>
        <w:pStyle w:val="ListParagraph"/>
        <w:numPr>
          <w:ilvl w:val="0"/>
          <w:numId w:val="32"/>
        </w:numPr>
        <w:spacing w:after="0" w:line="360" w:lineRule="auto"/>
        <w:rPr>
          <w:rFonts w:ascii="Aptos" w:eastAsia="Aptos" w:hAnsi="Aptos" w:cs="Aptos"/>
        </w:rPr>
      </w:pPr>
      <w:r w:rsidRPr="2357DC9D">
        <w:rPr>
          <w:rFonts w:ascii="Aptos" w:eastAsia="Aptos" w:hAnsi="Aptos" w:cs="Aptos"/>
        </w:rPr>
        <w:t xml:space="preserve">SWEMWBS: </w:t>
      </w:r>
      <w:r w:rsidRPr="2357DC9D">
        <w:rPr>
          <w:rFonts w:ascii="Aptos" w:eastAsia="Aptos" w:hAnsi="Aptos" w:cs="Aptos"/>
          <w:i/>
          <w:iCs/>
        </w:rPr>
        <w:t>Z</w:t>
      </w:r>
      <w:r w:rsidRPr="2357DC9D">
        <w:rPr>
          <w:rFonts w:ascii="Aptos" w:eastAsia="Aptos" w:hAnsi="Aptos" w:cs="Aptos"/>
        </w:rPr>
        <w:t xml:space="preserve"> = 2.989, p = .003 → significant improvement.</w:t>
      </w:r>
    </w:p>
    <w:p w14:paraId="30E34B5F" w14:textId="2F980E98" w:rsidR="0018082A" w:rsidRPr="0065723F" w:rsidRDefault="099CC0F3" w:rsidP="2357DC9D">
      <w:pPr>
        <w:pStyle w:val="ListParagraph"/>
        <w:numPr>
          <w:ilvl w:val="0"/>
          <w:numId w:val="32"/>
        </w:numPr>
        <w:spacing w:after="0" w:line="360" w:lineRule="auto"/>
        <w:rPr>
          <w:rFonts w:ascii="Aptos" w:eastAsia="Aptos" w:hAnsi="Aptos" w:cs="Aptos"/>
        </w:rPr>
      </w:pPr>
      <w:r w:rsidRPr="2357DC9D">
        <w:rPr>
          <w:rFonts w:ascii="Aptos" w:eastAsia="Aptos" w:hAnsi="Aptos" w:cs="Aptos"/>
        </w:rPr>
        <w:t xml:space="preserve">ONS Worthwhile: </w:t>
      </w:r>
      <w:r w:rsidRPr="2357DC9D">
        <w:rPr>
          <w:rFonts w:ascii="Aptos" w:eastAsia="Aptos" w:hAnsi="Aptos" w:cs="Aptos"/>
          <w:i/>
          <w:iCs/>
        </w:rPr>
        <w:t>Z</w:t>
      </w:r>
      <w:r w:rsidRPr="2357DC9D">
        <w:rPr>
          <w:rFonts w:ascii="Aptos" w:eastAsia="Aptos" w:hAnsi="Aptos" w:cs="Aptos"/>
        </w:rPr>
        <w:t xml:space="preserve"> = 2.173, p = .030 → improvement.</w:t>
      </w:r>
    </w:p>
    <w:p w14:paraId="518D103F" w14:textId="171FFAD3" w:rsidR="0018082A" w:rsidRPr="0065723F" w:rsidRDefault="099CC0F3" w:rsidP="2357DC9D">
      <w:pPr>
        <w:pStyle w:val="ListParagraph"/>
        <w:numPr>
          <w:ilvl w:val="0"/>
          <w:numId w:val="32"/>
        </w:numPr>
        <w:spacing w:after="0" w:line="360" w:lineRule="auto"/>
        <w:rPr>
          <w:rFonts w:ascii="Aptos" w:eastAsia="Aptos" w:hAnsi="Aptos" w:cs="Aptos"/>
          <w:lang w:val="fr-FR"/>
        </w:rPr>
      </w:pPr>
      <w:r w:rsidRPr="2357DC9D">
        <w:rPr>
          <w:rFonts w:ascii="Aptos" w:eastAsia="Aptos" w:hAnsi="Aptos" w:cs="Aptos"/>
          <w:lang w:val="fr-FR"/>
        </w:rPr>
        <w:lastRenderedPageBreak/>
        <w:t xml:space="preserve">ONS Satisfaction: </w:t>
      </w:r>
      <w:r w:rsidRPr="2357DC9D">
        <w:rPr>
          <w:rFonts w:ascii="Aptos" w:eastAsia="Aptos" w:hAnsi="Aptos" w:cs="Aptos"/>
          <w:i/>
          <w:iCs/>
          <w:lang w:val="fr-FR"/>
        </w:rPr>
        <w:t>Z</w:t>
      </w:r>
      <w:r w:rsidRPr="2357DC9D">
        <w:rPr>
          <w:rFonts w:ascii="Aptos" w:eastAsia="Aptos" w:hAnsi="Aptos" w:cs="Aptos"/>
          <w:lang w:val="fr-FR"/>
        </w:rPr>
        <w:t xml:space="preserve"> = 1.777, </w:t>
      </w:r>
      <w:r w:rsidRPr="2357DC9D">
        <w:rPr>
          <w:rFonts w:ascii="Aptos" w:eastAsia="Aptos" w:hAnsi="Aptos" w:cs="Aptos"/>
          <w:i/>
          <w:iCs/>
          <w:lang w:val="fr-FR"/>
        </w:rPr>
        <w:t>p</w:t>
      </w:r>
      <w:r w:rsidRPr="2357DC9D">
        <w:rPr>
          <w:rFonts w:ascii="Aptos" w:eastAsia="Aptos" w:hAnsi="Aptos" w:cs="Aptos"/>
          <w:lang w:val="fr-FR"/>
        </w:rPr>
        <w:t xml:space="preserve"> = .076 → ns.</w:t>
      </w:r>
    </w:p>
    <w:p w14:paraId="016D5A5A" w14:textId="022D0648" w:rsidR="0018082A" w:rsidRPr="0065723F" w:rsidRDefault="099CC0F3" w:rsidP="2357DC9D">
      <w:pPr>
        <w:pStyle w:val="ListParagraph"/>
        <w:numPr>
          <w:ilvl w:val="0"/>
          <w:numId w:val="32"/>
        </w:numPr>
        <w:spacing w:after="0" w:line="360" w:lineRule="auto"/>
        <w:rPr>
          <w:rFonts w:ascii="Aptos" w:eastAsia="Aptos" w:hAnsi="Aptos" w:cs="Aptos"/>
          <w:lang w:val="nl"/>
        </w:rPr>
      </w:pPr>
      <w:r w:rsidRPr="2357DC9D">
        <w:rPr>
          <w:rFonts w:ascii="Aptos" w:eastAsia="Aptos" w:hAnsi="Aptos" w:cs="Aptos"/>
          <w:lang w:val="nl"/>
        </w:rPr>
        <w:t xml:space="preserve">ONS Happiness: </w:t>
      </w:r>
      <w:r w:rsidRPr="2357DC9D">
        <w:rPr>
          <w:rFonts w:ascii="Aptos" w:eastAsia="Aptos" w:hAnsi="Aptos" w:cs="Aptos"/>
          <w:i/>
          <w:iCs/>
          <w:lang w:val="nl"/>
        </w:rPr>
        <w:t>Z</w:t>
      </w:r>
      <w:r w:rsidRPr="2357DC9D">
        <w:rPr>
          <w:rFonts w:ascii="Aptos" w:eastAsia="Aptos" w:hAnsi="Aptos" w:cs="Aptos"/>
          <w:lang w:val="nl"/>
        </w:rPr>
        <w:t xml:space="preserve"> = −0.360, </w:t>
      </w:r>
      <w:r w:rsidRPr="2357DC9D">
        <w:rPr>
          <w:rFonts w:ascii="Aptos" w:eastAsia="Aptos" w:hAnsi="Aptos" w:cs="Aptos"/>
          <w:i/>
          <w:iCs/>
          <w:lang w:val="nl"/>
        </w:rPr>
        <w:t>p</w:t>
      </w:r>
      <w:r w:rsidRPr="2357DC9D">
        <w:rPr>
          <w:rFonts w:ascii="Aptos" w:eastAsia="Aptos" w:hAnsi="Aptos" w:cs="Aptos"/>
          <w:lang w:val="nl"/>
        </w:rPr>
        <w:t xml:space="preserve"> = .719 → ns.</w:t>
      </w:r>
    </w:p>
    <w:p w14:paraId="550F84A3" w14:textId="14C59EA6" w:rsidR="0018082A" w:rsidRPr="0065723F" w:rsidRDefault="099CC0F3" w:rsidP="2357DC9D">
      <w:pPr>
        <w:pStyle w:val="ListParagraph"/>
        <w:numPr>
          <w:ilvl w:val="0"/>
          <w:numId w:val="32"/>
        </w:numPr>
        <w:spacing w:after="0" w:line="360" w:lineRule="auto"/>
        <w:rPr>
          <w:rFonts w:ascii="Aptos" w:eastAsia="Aptos" w:hAnsi="Aptos" w:cs="Aptos"/>
        </w:rPr>
      </w:pPr>
      <w:r w:rsidRPr="2357DC9D">
        <w:rPr>
          <w:rFonts w:ascii="Aptos" w:eastAsia="Aptos" w:hAnsi="Aptos" w:cs="Aptos"/>
        </w:rPr>
        <w:t xml:space="preserve">MBI-PA: </w:t>
      </w:r>
      <w:r w:rsidRPr="2357DC9D">
        <w:rPr>
          <w:rFonts w:ascii="Aptos" w:eastAsia="Aptos" w:hAnsi="Aptos" w:cs="Aptos"/>
          <w:i/>
          <w:iCs/>
        </w:rPr>
        <w:t>Z</w:t>
      </w:r>
      <w:r w:rsidRPr="2357DC9D">
        <w:rPr>
          <w:rFonts w:ascii="Aptos" w:eastAsia="Aptos" w:hAnsi="Aptos" w:cs="Aptos"/>
        </w:rPr>
        <w:t xml:space="preserve"> = −2.557, p = .011 → significant decline.</w:t>
      </w:r>
    </w:p>
    <w:p w14:paraId="764E1ED5" w14:textId="652C2F57" w:rsidR="0018082A" w:rsidRPr="0065723F" w:rsidRDefault="0018082A" w:rsidP="2357DC9D">
      <w:pPr>
        <w:spacing w:line="360" w:lineRule="auto"/>
        <w:rPr>
          <w:rFonts w:ascii="Aptos" w:eastAsia="Aptos" w:hAnsi="Aptos" w:cs="Aptos"/>
        </w:rPr>
      </w:pPr>
    </w:p>
    <w:p w14:paraId="239F95D4" w14:textId="755B03E4" w:rsidR="0018082A" w:rsidRPr="0065723F" w:rsidRDefault="099CC0F3" w:rsidP="2357DC9D">
      <w:pPr>
        <w:spacing w:line="360" w:lineRule="auto"/>
        <w:rPr>
          <w:rFonts w:ascii="Aptos" w:eastAsia="Aptos" w:hAnsi="Aptos" w:cs="Aptos"/>
        </w:rPr>
      </w:pPr>
      <w:r w:rsidRPr="2357DC9D">
        <w:rPr>
          <w:rFonts w:ascii="Aptos" w:eastAsia="Aptos" w:hAnsi="Aptos" w:cs="Aptos"/>
        </w:rPr>
        <w:t xml:space="preserve">Dose variables were strongly inter-correlated (e.g., walks/week vs minutes/week </w:t>
      </w:r>
      <w:r w:rsidRPr="2357DC9D">
        <w:rPr>
          <w:rFonts w:ascii="Aptos" w:eastAsia="Aptos" w:hAnsi="Aptos" w:cs="Aptos"/>
          <w:i/>
          <w:iCs/>
        </w:rPr>
        <w:t>r</w:t>
      </w:r>
      <w:r w:rsidRPr="2357DC9D">
        <w:rPr>
          <w:rFonts w:ascii="Aptos" w:eastAsia="Aptos" w:hAnsi="Aptos" w:cs="Aptos"/>
        </w:rPr>
        <w:t xml:space="preserve"> = .934, </w:t>
      </w:r>
      <w:r w:rsidRPr="2357DC9D">
        <w:rPr>
          <w:rFonts w:ascii="Aptos" w:eastAsia="Aptos" w:hAnsi="Aptos" w:cs="Aptos"/>
          <w:i/>
          <w:iCs/>
        </w:rPr>
        <w:t>p</w:t>
      </w:r>
      <w:r w:rsidRPr="2357DC9D">
        <w:rPr>
          <w:rFonts w:ascii="Aptos" w:eastAsia="Aptos" w:hAnsi="Aptos" w:cs="Aptos"/>
        </w:rPr>
        <w:t xml:space="preserve"> &lt; .001)</w:t>
      </w:r>
      <w:r w:rsidR="76D26E27" w:rsidRPr="2357DC9D">
        <w:rPr>
          <w:rFonts w:ascii="Aptos" w:eastAsia="Aptos" w:hAnsi="Aptos" w:cs="Aptos"/>
        </w:rPr>
        <w:t xml:space="preserve">.  </w:t>
      </w:r>
      <w:r w:rsidRPr="2357DC9D">
        <w:rPr>
          <w:rFonts w:ascii="Aptos" w:eastAsia="Aptos" w:hAnsi="Aptos" w:cs="Aptos"/>
        </w:rPr>
        <w:t xml:space="preserve">Across Pearson correlations using log-transformed dose variables and Spearman correlations using raw variables, no significant associations emerged between walks/week, minutes/week, or minutes/walk and changes in BDI-II, MBI subscales, SWEMWBS, or ONS items (all </w:t>
      </w:r>
      <w:r w:rsidRPr="2357DC9D">
        <w:rPr>
          <w:rFonts w:ascii="Aptos" w:eastAsia="Aptos" w:hAnsi="Aptos" w:cs="Aptos"/>
          <w:i/>
          <w:iCs/>
        </w:rPr>
        <w:t>ps</w:t>
      </w:r>
      <w:r w:rsidRPr="2357DC9D">
        <w:rPr>
          <w:rFonts w:ascii="Aptos" w:eastAsia="Aptos" w:hAnsi="Aptos" w:cs="Aptos"/>
        </w:rPr>
        <w:t xml:space="preserve"> &gt; .15 Pearson; all </w:t>
      </w:r>
      <w:r w:rsidRPr="2357DC9D">
        <w:rPr>
          <w:rFonts w:ascii="Aptos" w:eastAsia="Aptos" w:hAnsi="Aptos" w:cs="Aptos"/>
          <w:i/>
          <w:iCs/>
        </w:rPr>
        <w:t>ps</w:t>
      </w:r>
      <w:r w:rsidRPr="2357DC9D">
        <w:rPr>
          <w:rFonts w:ascii="Aptos" w:eastAsia="Aptos" w:hAnsi="Aptos" w:cs="Aptos"/>
        </w:rPr>
        <w:t xml:space="preserve"> &gt; .20 Spearman). Scatterplots suggested no linear trend.</w:t>
      </w:r>
    </w:p>
    <w:p w14:paraId="60D6C7B1" w14:textId="40D47146" w:rsidR="0018082A" w:rsidRPr="0065723F" w:rsidRDefault="099CC0F3" w:rsidP="2357DC9D">
      <w:pPr>
        <w:spacing w:line="360" w:lineRule="auto"/>
      </w:pPr>
      <w:r w:rsidRPr="2357DC9D">
        <w:rPr>
          <w:rFonts w:ascii="Aptos" w:eastAsia="Aptos" w:hAnsi="Aptos" w:cs="Aptos"/>
        </w:rPr>
        <w:t>Change scores showed coherent covariance: larger BDI reductions correlated with improvements in SWEMWBS (</w:t>
      </w:r>
      <w:r w:rsidRPr="2357DC9D">
        <w:rPr>
          <w:rFonts w:ascii="Aptos" w:eastAsia="Aptos" w:hAnsi="Aptos" w:cs="Aptos"/>
          <w:i/>
          <w:iCs/>
        </w:rPr>
        <w:t>r</w:t>
      </w:r>
      <w:r w:rsidRPr="2357DC9D">
        <w:rPr>
          <w:rFonts w:ascii="Aptos" w:eastAsia="Aptos" w:hAnsi="Aptos" w:cs="Aptos"/>
        </w:rPr>
        <w:t xml:space="preserve"> = −.427, </w:t>
      </w:r>
      <w:r w:rsidRPr="2357DC9D">
        <w:rPr>
          <w:rFonts w:ascii="Aptos" w:eastAsia="Aptos" w:hAnsi="Aptos" w:cs="Aptos"/>
          <w:i/>
          <w:iCs/>
        </w:rPr>
        <w:t>p</w:t>
      </w:r>
      <w:r w:rsidRPr="2357DC9D">
        <w:rPr>
          <w:rFonts w:ascii="Aptos" w:eastAsia="Aptos" w:hAnsi="Aptos" w:cs="Aptos"/>
        </w:rPr>
        <w:t xml:space="preserve"> = .016) and ONS Satisfaction/Worthwhile/Happiness (</w:t>
      </w:r>
      <w:r w:rsidRPr="2357DC9D">
        <w:rPr>
          <w:rFonts w:ascii="Aptos" w:eastAsia="Aptos" w:hAnsi="Aptos" w:cs="Aptos"/>
          <w:i/>
          <w:iCs/>
        </w:rPr>
        <w:t>rs</w:t>
      </w:r>
      <w:r w:rsidRPr="2357DC9D">
        <w:rPr>
          <w:rFonts w:ascii="Aptos" w:eastAsia="Aptos" w:hAnsi="Aptos" w:cs="Aptos"/>
        </w:rPr>
        <w:t xml:space="preserve"> ≈ −.42 to −.43, </w:t>
      </w:r>
      <w:r w:rsidRPr="2357DC9D">
        <w:rPr>
          <w:rFonts w:ascii="Aptos" w:eastAsia="Aptos" w:hAnsi="Aptos" w:cs="Aptos"/>
          <w:i/>
          <w:iCs/>
        </w:rPr>
        <w:t>ps</w:t>
      </w:r>
      <w:r w:rsidRPr="2357DC9D">
        <w:rPr>
          <w:rFonts w:ascii="Aptos" w:eastAsia="Aptos" w:hAnsi="Aptos" w:cs="Aptos"/>
        </w:rPr>
        <w:t xml:space="preserve"> ≤ .02). ONS items inter-correlated strongly (e.g., Satisfaction–Worthwhile </w:t>
      </w:r>
      <w:r w:rsidRPr="2357DC9D">
        <w:rPr>
          <w:rFonts w:ascii="Aptos" w:eastAsia="Aptos" w:hAnsi="Aptos" w:cs="Aptos"/>
          <w:i/>
          <w:iCs/>
        </w:rPr>
        <w:t>r</w:t>
      </w:r>
      <w:r w:rsidRPr="2357DC9D">
        <w:rPr>
          <w:rFonts w:ascii="Aptos" w:eastAsia="Aptos" w:hAnsi="Aptos" w:cs="Aptos"/>
        </w:rPr>
        <w:t xml:space="preserve"> = .722; Happiness–Anxiety </w:t>
      </w:r>
      <w:r w:rsidRPr="2357DC9D">
        <w:rPr>
          <w:rFonts w:ascii="Aptos" w:eastAsia="Aptos" w:hAnsi="Aptos" w:cs="Aptos"/>
          <w:i/>
          <w:iCs/>
        </w:rPr>
        <w:t>r</w:t>
      </w:r>
      <w:r w:rsidRPr="2357DC9D">
        <w:rPr>
          <w:rFonts w:ascii="Aptos" w:eastAsia="Aptos" w:hAnsi="Aptos" w:cs="Aptos"/>
        </w:rPr>
        <w:t xml:space="preserve"> = −.524).</w:t>
      </w:r>
    </w:p>
    <w:p w14:paraId="113EF63E" w14:textId="13E42AE4" w:rsidR="0018082A" w:rsidRPr="0065723F" w:rsidRDefault="02AFE810" w:rsidP="2357DC9D">
      <w:pPr>
        <w:spacing w:line="360" w:lineRule="auto"/>
        <w:rPr>
          <w:rFonts w:ascii="Aptos" w:eastAsia="Aptos" w:hAnsi="Aptos" w:cs="Aptos"/>
        </w:rPr>
      </w:pPr>
      <w:r w:rsidRPr="2357DC9D">
        <w:rPr>
          <w:rFonts w:ascii="Aptos" w:eastAsia="Aptos" w:hAnsi="Aptos" w:cs="Aptos"/>
        </w:rPr>
        <w:t xml:space="preserve">Qualitative interviews were conducted randomly with </w:t>
      </w:r>
      <w:r w:rsidR="099CC0F3" w:rsidRPr="2357DC9D">
        <w:rPr>
          <w:rFonts w:ascii="Aptos" w:eastAsia="Aptos" w:hAnsi="Aptos" w:cs="Aptos"/>
        </w:rPr>
        <w:t xml:space="preserve">three </w:t>
      </w:r>
      <w:r w:rsidR="1617F812" w:rsidRPr="2357DC9D">
        <w:rPr>
          <w:rFonts w:ascii="Aptos" w:eastAsia="Aptos" w:hAnsi="Aptos" w:cs="Aptos"/>
        </w:rPr>
        <w:t>participants</w:t>
      </w:r>
      <w:r w:rsidR="099CC0F3" w:rsidRPr="2357DC9D">
        <w:rPr>
          <w:rFonts w:ascii="Aptos" w:eastAsia="Aptos" w:hAnsi="Aptos" w:cs="Aptos"/>
        </w:rPr>
        <w:t xml:space="preserve"> (</w:t>
      </w:r>
      <w:r w:rsidR="1510BF7B" w:rsidRPr="2357DC9D">
        <w:rPr>
          <w:rFonts w:ascii="Aptos" w:eastAsia="Aptos" w:hAnsi="Aptos" w:cs="Aptos"/>
        </w:rPr>
        <w:t xml:space="preserve">P7, </w:t>
      </w:r>
      <w:r w:rsidR="099CC0F3" w:rsidRPr="2357DC9D">
        <w:rPr>
          <w:rFonts w:ascii="Aptos" w:eastAsia="Aptos" w:hAnsi="Aptos" w:cs="Aptos"/>
        </w:rPr>
        <w:t>P21, P27)</w:t>
      </w:r>
      <w:r w:rsidR="07D3CA19" w:rsidRPr="2357DC9D">
        <w:rPr>
          <w:rFonts w:ascii="Aptos" w:eastAsia="Aptos" w:hAnsi="Aptos" w:cs="Aptos"/>
        </w:rPr>
        <w:t>.  Across three follow-up interviews, participants described nature contact as rapidly restorative, emphasising context quality (quiet blue/green settings, device detachment, unrushed pace) over accumulating minutes. Behaviour was constrained by feasibility (workload, caregiving, climate, injury), with participants maintaining short weekday exposures and longer, higher-quality sessions when conditions allowed. One participant substituted outdoor swimming for walking due to plantar fasciitis, reporting pronounced phone-free presence, post-session calm and in-session problem-solving. Another relied on signal-poor retreats to disconnect from work-related anxiety; a third used dog-led routines to anchor brief daily activity and valued longer weekend tracks. These accounts explain the quantitative pattern of substantial mood and exhaustion improvements without a linear dose–response, and help interpret reduced personal accomplishment scores where walking was framed as restoration rather than</w:t>
      </w:r>
      <w:r w:rsidR="009E7748">
        <w:rPr>
          <w:rFonts w:ascii="Aptos" w:eastAsia="Aptos" w:hAnsi="Aptos" w:cs="Aptos"/>
        </w:rPr>
        <w:t xml:space="preserve"> self-</w:t>
      </w:r>
      <w:r w:rsidR="07D3CA19" w:rsidRPr="2357DC9D">
        <w:rPr>
          <w:rFonts w:ascii="Aptos" w:eastAsia="Aptos" w:hAnsi="Aptos" w:cs="Aptos"/>
        </w:rPr>
        <w:t xml:space="preserve">mastery. Programme design should therefore prioritise feasibility, quality of exposure </w:t>
      </w:r>
      <w:r w:rsidR="07D3CA19" w:rsidRPr="2357DC9D">
        <w:rPr>
          <w:rFonts w:ascii="Aptos" w:eastAsia="Aptos" w:hAnsi="Aptos" w:cs="Aptos"/>
        </w:rPr>
        <w:lastRenderedPageBreak/>
        <w:t>and light mastery cues, with nature-adjacent substitutions available when walking is infeasible.</w:t>
      </w:r>
    </w:p>
    <w:p w14:paraId="3BDC2B18" w14:textId="30D35FDF" w:rsidR="0018082A" w:rsidRPr="0065723F" w:rsidRDefault="0018082A" w:rsidP="2357DC9D">
      <w:pPr>
        <w:spacing w:line="360" w:lineRule="auto"/>
        <w:rPr>
          <w:rFonts w:ascii="Aptos" w:eastAsia="Aptos" w:hAnsi="Aptos" w:cs="Aptos"/>
        </w:rPr>
      </w:pPr>
    </w:p>
    <w:p w14:paraId="7E5E964C" w14:textId="348E4222" w:rsidR="0018082A" w:rsidRPr="0065723F" w:rsidRDefault="07D3CA19" w:rsidP="2357DC9D">
      <w:pPr>
        <w:spacing w:line="360" w:lineRule="auto"/>
        <w:rPr>
          <w:rFonts w:ascii="Aptos" w:eastAsia="Aptos" w:hAnsi="Aptos" w:cs="Aptos"/>
        </w:rPr>
      </w:pPr>
      <w:r w:rsidRPr="2357DC9D">
        <w:rPr>
          <w:rFonts w:ascii="Aptos" w:eastAsia="Aptos" w:hAnsi="Aptos" w:cs="Aptos"/>
        </w:rPr>
        <w:t>Following an injury that curtailed walking/running, P7, a senior executive living in France, moved to outdoor swimming in a forest</w:t>
      </w:r>
      <w:r w:rsidR="009E7748">
        <w:rPr>
          <w:rFonts w:ascii="Aptos" w:eastAsia="Aptos" w:hAnsi="Aptos" w:cs="Aptos"/>
        </w:rPr>
        <w:t xml:space="preserve"> based</w:t>
      </w:r>
      <w:r w:rsidRPr="2357DC9D">
        <w:rPr>
          <w:rFonts w:ascii="Aptos" w:eastAsia="Aptos" w:hAnsi="Aptos" w:cs="Aptos"/>
        </w:rPr>
        <w:t xml:space="preserve"> pool rather than an indoor pool</w:t>
      </w:r>
      <w:r w:rsidR="009E7748">
        <w:rPr>
          <w:rFonts w:ascii="Aptos" w:eastAsia="Aptos" w:hAnsi="Aptos" w:cs="Aptos"/>
        </w:rPr>
        <w:t xml:space="preserve"> elsewhere in town</w:t>
      </w:r>
      <w:r w:rsidRPr="2357DC9D">
        <w:rPr>
          <w:rFonts w:ascii="Aptos" w:eastAsia="Aptos" w:hAnsi="Aptos" w:cs="Aptos"/>
        </w:rPr>
        <w:t xml:space="preserve">, reporting pronounced phone-free presence, post-session calm, and repeated on-task problem-solving during swims. Despite time and proximity constraints, he described deliberate prioritisation of daily activity and an upcoming move to Spain </w:t>
      </w:r>
      <w:r w:rsidR="09C11752" w:rsidRPr="2357DC9D">
        <w:rPr>
          <w:rFonts w:ascii="Aptos" w:eastAsia="Aptos" w:hAnsi="Aptos" w:cs="Aptos"/>
        </w:rPr>
        <w:t>focused on securing greater</w:t>
      </w:r>
      <w:r w:rsidRPr="2357DC9D">
        <w:rPr>
          <w:rFonts w:ascii="Aptos" w:eastAsia="Aptos" w:hAnsi="Aptos" w:cs="Aptos"/>
        </w:rPr>
        <w:t xml:space="preserve"> access to nature. Consistent with the quantitative pattern of wellbeing gains, his account emphasised context quality (outdoor setting, device detachment, immersion) over accumulating additional minutes. He also highlighted family socialisation of outdoor habits and concerns about screen </w:t>
      </w:r>
      <w:r w:rsidR="712E5713" w:rsidRPr="2357DC9D">
        <w:rPr>
          <w:rFonts w:ascii="Aptos" w:eastAsia="Aptos" w:hAnsi="Aptos" w:cs="Aptos"/>
        </w:rPr>
        <w:t>time for his daughters</w:t>
      </w:r>
      <w:r w:rsidRPr="2357DC9D">
        <w:rPr>
          <w:rFonts w:ascii="Aptos" w:eastAsia="Aptos" w:hAnsi="Aptos" w:cs="Aptos"/>
        </w:rPr>
        <w:t>, suggesting broader programme levers beyond individual ‘dose’ targets</w:t>
      </w:r>
      <w:r w:rsidR="53F93EFC" w:rsidRPr="2357DC9D">
        <w:rPr>
          <w:rFonts w:ascii="Aptos" w:eastAsia="Aptos" w:hAnsi="Aptos" w:cs="Aptos"/>
        </w:rPr>
        <w:t>.</w:t>
      </w:r>
    </w:p>
    <w:p w14:paraId="24AF5F24" w14:textId="3044D0D4" w:rsidR="0018082A" w:rsidRPr="0065723F" w:rsidRDefault="0018082A" w:rsidP="2357DC9D">
      <w:pPr>
        <w:spacing w:line="360" w:lineRule="auto"/>
        <w:rPr>
          <w:rFonts w:ascii="Aptos" w:eastAsia="Aptos" w:hAnsi="Aptos" w:cs="Aptos"/>
        </w:rPr>
      </w:pPr>
    </w:p>
    <w:p w14:paraId="62673696" w14:textId="33A23D40" w:rsidR="0018082A" w:rsidRPr="0065723F" w:rsidRDefault="489CEF64" w:rsidP="2357DC9D">
      <w:pPr>
        <w:spacing w:before="240" w:after="240" w:line="360" w:lineRule="auto"/>
        <w:rPr>
          <w:rFonts w:ascii="Aptos" w:eastAsia="Aptos" w:hAnsi="Aptos" w:cs="Aptos"/>
        </w:rPr>
      </w:pPr>
      <w:r w:rsidRPr="2357DC9D">
        <w:rPr>
          <w:rFonts w:ascii="Aptos" w:eastAsia="Aptos" w:hAnsi="Aptos" w:cs="Aptos"/>
        </w:rPr>
        <w:t>P21, recently relocated to Saudi from the UK, explained that brief contact with nature, particularly blue spaces, was rapidly restorative to him; providing calm, headspace and perspective during a period of high work pressure and family change. Despite recognising these benefits, the participant described a persistent action gap driven by device dependence and work norms, with later improvements following a deliberate ‘digital detox’. Environmental constraints (extreme heat, poor walkability)</w:t>
      </w:r>
      <w:r w:rsidR="6E70D407" w:rsidRPr="2357DC9D">
        <w:rPr>
          <w:rFonts w:ascii="Aptos" w:eastAsia="Aptos" w:hAnsi="Aptos" w:cs="Aptos"/>
        </w:rPr>
        <w:t xml:space="preserve"> in Saudi Arabia</w:t>
      </w:r>
      <w:r w:rsidRPr="2357DC9D">
        <w:rPr>
          <w:rFonts w:ascii="Aptos" w:eastAsia="Aptos" w:hAnsi="Aptos" w:cs="Aptos"/>
        </w:rPr>
        <w:t xml:space="preserve"> strongly limited feasibility </w:t>
      </w:r>
      <w:r w:rsidR="0EF31EAC" w:rsidRPr="2357DC9D">
        <w:rPr>
          <w:rFonts w:ascii="Aptos" w:eastAsia="Aptos" w:hAnsi="Aptos" w:cs="Aptos"/>
        </w:rPr>
        <w:t xml:space="preserve">in his present circumstance.  He talked about visting the UK frequently to vist his children and trips into nature when he is back to get his nature fix and quality time with his children.  </w:t>
      </w:r>
      <w:r w:rsidRPr="2357DC9D">
        <w:rPr>
          <w:rFonts w:ascii="Aptos" w:eastAsia="Aptos" w:hAnsi="Aptos" w:cs="Aptos"/>
        </w:rPr>
        <w:t xml:space="preserve">The narrative aligns with quantitative results showing large reductions in depressive symptoms and emotional exhaustion without a linear dose–response; feasibility and setting quality appeared more salient than accumulating additional minutes. </w:t>
      </w:r>
    </w:p>
    <w:p w14:paraId="65F16748" w14:textId="62673CBA" w:rsidR="0018082A" w:rsidRPr="0065723F" w:rsidRDefault="0018082A" w:rsidP="2357DC9D">
      <w:pPr>
        <w:spacing w:line="360" w:lineRule="auto"/>
        <w:rPr>
          <w:rFonts w:ascii="Aptos" w:eastAsia="Aptos" w:hAnsi="Aptos" w:cs="Aptos"/>
        </w:rPr>
      </w:pPr>
    </w:p>
    <w:p w14:paraId="5D01DE51" w14:textId="244DC73A" w:rsidR="0018082A" w:rsidRPr="0065723F" w:rsidRDefault="53F93EFC" w:rsidP="2357DC9D">
      <w:pPr>
        <w:spacing w:line="360" w:lineRule="auto"/>
        <w:rPr>
          <w:rFonts w:ascii="Aptos" w:eastAsia="Aptos" w:hAnsi="Aptos" w:cs="Aptos"/>
        </w:rPr>
      </w:pPr>
      <w:r w:rsidRPr="2357DC9D">
        <w:rPr>
          <w:rFonts w:ascii="Aptos" w:eastAsia="Aptos" w:hAnsi="Aptos" w:cs="Aptos"/>
        </w:rPr>
        <w:lastRenderedPageBreak/>
        <w:t>The interview with P27, a long-tenured professional with older teenage children, showed a dog</w:t>
      </w:r>
      <w:r w:rsidR="00D73E24">
        <w:rPr>
          <w:rFonts w:ascii="Aptos" w:eastAsia="Aptos" w:hAnsi="Aptos" w:cs="Aptos"/>
        </w:rPr>
        <w:t>-</w:t>
      </w:r>
      <w:r w:rsidRPr="2357DC9D">
        <w:rPr>
          <w:rFonts w:ascii="Aptos" w:eastAsia="Aptos" w:hAnsi="Aptos" w:cs="Aptos"/>
        </w:rPr>
        <w:t xml:space="preserve">care focused walking pattern: short, functional weekday dog walks (~20 min) and longer, more enjoyable weekend walks (~60 min) on tracks and fields. She reported a growing appreciation of being outdoors as caregiving demands eased, with weekend walks described as less rushed and more restorative, while weekday walks primarily provided a physical reset before desk-based work. Access to nearby green/blue spaces facilitated routine, though time opened by reduced parenting </w:t>
      </w:r>
      <w:r w:rsidR="7E13CE6F" w:rsidRPr="2357DC9D">
        <w:rPr>
          <w:rFonts w:ascii="Aptos" w:eastAsia="Aptos" w:hAnsi="Aptos" w:cs="Aptos"/>
        </w:rPr>
        <w:t xml:space="preserve">responsibility </w:t>
      </w:r>
      <w:r w:rsidRPr="2357DC9D">
        <w:rPr>
          <w:rFonts w:ascii="Aptos" w:eastAsia="Aptos" w:hAnsi="Aptos" w:cs="Aptos"/>
        </w:rPr>
        <w:t>was often re</w:t>
      </w:r>
      <w:r w:rsidR="17AC4626" w:rsidRPr="2357DC9D">
        <w:rPr>
          <w:rFonts w:ascii="Aptos" w:eastAsia="Aptos" w:hAnsi="Aptos" w:cs="Aptos"/>
        </w:rPr>
        <w:t>-</w:t>
      </w:r>
      <w:r w:rsidRPr="2357DC9D">
        <w:rPr>
          <w:rFonts w:ascii="Aptos" w:eastAsia="Aptos" w:hAnsi="Aptos" w:cs="Aptos"/>
        </w:rPr>
        <w:t xml:space="preserve">allocated to work, underlining the need for protected </w:t>
      </w:r>
      <w:r w:rsidR="00D73E24">
        <w:rPr>
          <w:rFonts w:ascii="Aptos" w:eastAsia="Aptos" w:hAnsi="Aptos" w:cs="Aptos"/>
        </w:rPr>
        <w:t xml:space="preserve">nature connection </w:t>
      </w:r>
      <w:r w:rsidRPr="2357DC9D">
        <w:rPr>
          <w:rFonts w:ascii="Aptos" w:eastAsia="Aptos" w:hAnsi="Aptos" w:cs="Aptos"/>
        </w:rPr>
        <w:t>windows (e.g., a planned lunchtime reservoir walk</w:t>
      </w:r>
      <w:r w:rsidR="1DB60E90" w:rsidRPr="2357DC9D">
        <w:rPr>
          <w:rFonts w:ascii="Aptos" w:eastAsia="Aptos" w:hAnsi="Aptos" w:cs="Aptos"/>
        </w:rPr>
        <w:t xml:space="preserve"> that</w:t>
      </w:r>
      <w:r w:rsidRPr="2357DC9D">
        <w:rPr>
          <w:rFonts w:ascii="Aptos" w:eastAsia="Aptos" w:hAnsi="Aptos" w:cs="Aptos"/>
        </w:rPr>
        <w:t xml:space="preserve"> she </w:t>
      </w:r>
      <w:r w:rsidR="767AFE16" w:rsidRPr="2357DC9D">
        <w:rPr>
          <w:rFonts w:ascii="Aptos" w:eastAsia="Aptos" w:hAnsi="Aptos" w:cs="Aptos"/>
        </w:rPr>
        <w:t xml:space="preserve">noted she </w:t>
      </w:r>
      <w:r w:rsidRPr="2357DC9D">
        <w:rPr>
          <w:rFonts w:ascii="Aptos" w:eastAsia="Aptos" w:hAnsi="Aptos" w:cs="Aptos"/>
        </w:rPr>
        <w:t>intend</w:t>
      </w:r>
      <w:r w:rsidR="4ABE0BFC" w:rsidRPr="2357DC9D">
        <w:rPr>
          <w:rFonts w:ascii="Aptos" w:eastAsia="Aptos" w:hAnsi="Aptos" w:cs="Aptos"/>
        </w:rPr>
        <w:t>ed</w:t>
      </w:r>
      <w:r w:rsidRPr="2357DC9D">
        <w:rPr>
          <w:rFonts w:ascii="Aptos" w:eastAsia="Aptos" w:hAnsi="Aptos" w:cs="Aptos"/>
        </w:rPr>
        <w:t xml:space="preserve"> to try</w:t>
      </w:r>
      <w:r w:rsidR="00D73E24">
        <w:rPr>
          <w:rFonts w:ascii="Aptos" w:eastAsia="Aptos" w:hAnsi="Aptos" w:cs="Aptos"/>
        </w:rPr>
        <w:t xml:space="preserve"> after the interview</w:t>
      </w:r>
      <w:r w:rsidRPr="2357DC9D">
        <w:rPr>
          <w:rFonts w:ascii="Aptos" w:eastAsia="Aptos" w:hAnsi="Aptos" w:cs="Aptos"/>
        </w:rPr>
        <w:t xml:space="preserve">). Consistent with the quantitative findings, her narrative emphasised feasibility and setting quality over accumulating additional minutes, and suggested that occasional intentional solo, </w:t>
      </w:r>
      <w:r w:rsidR="34D26A9D" w:rsidRPr="2357DC9D">
        <w:rPr>
          <w:rFonts w:ascii="Aptos" w:eastAsia="Aptos" w:hAnsi="Aptos" w:cs="Aptos"/>
        </w:rPr>
        <w:t>device free</w:t>
      </w:r>
      <w:r w:rsidRPr="2357DC9D">
        <w:rPr>
          <w:rFonts w:ascii="Aptos" w:eastAsia="Aptos" w:hAnsi="Aptos" w:cs="Aptos"/>
        </w:rPr>
        <w:t xml:space="preserve"> walks may deepen restoration beyond </w:t>
      </w:r>
      <w:r w:rsidR="744FBDE3" w:rsidRPr="2357DC9D">
        <w:rPr>
          <w:rFonts w:ascii="Aptos" w:eastAsia="Aptos" w:hAnsi="Aptos" w:cs="Aptos"/>
        </w:rPr>
        <w:t xml:space="preserve">dog </w:t>
      </w:r>
      <w:r w:rsidRPr="2357DC9D">
        <w:rPr>
          <w:rFonts w:ascii="Aptos" w:eastAsia="Aptos" w:hAnsi="Aptos" w:cs="Aptos"/>
        </w:rPr>
        <w:t>driven outings.</w:t>
      </w:r>
    </w:p>
    <w:p w14:paraId="4F7196E0" w14:textId="292BC118" w:rsidR="0018082A" w:rsidRPr="0065723F" w:rsidRDefault="0018082A" w:rsidP="2357DC9D">
      <w:pPr>
        <w:spacing w:line="360" w:lineRule="auto"/>
        <w:rPr>
          <w:rFonts w:ascii="Aptos" w:eastAsia="Aptos" w:hAnsi="Aptos" w:cs="Aptos"/>
        </w:rPr>
      </w:pPr>
    </w:p>
    <w:p w14:paraId="534B1D69" w14:textId="4BD06ADA" w:rsidR="0018082A" w:rsidRPr="0065723F" w:rsidRDefault="07D3CA19" w:rsidP="2357DC9D">
      <w:pPr>
        <w:spacing w:line="360" w:lineRule="auto"/>
        <w:rPr>
          <w:rFonts w:ascii="Aptos" w:eastAsia="Aptos" w:hAnsi="Aptos" w:cs="Aptos"/>
        </w:rPr>
      </w:pPr>
      <w:r w:rsidRPr="2357DC9D">
        <w:rPr>
          <w:rFonts w:ascii="Aptos" w:eastAsia="Aptos" w:hAnsi="Aptos" w:cs="Aptos"/>
        </w:rPr>
        <w:t>Th</w:t>
      </w:r>
      <w:r w:rsidR="5D9B1118" w:rsidRPr="2357DC9D">
        <w:rPr>
          <w:rFonts w:ascii="Aptos" w:eastAsia="Aptos" w:hAnsi="Aptos" w:cs="Aptos"/>
        </w:rPr>
        <w:t>e th</w:t>
      </w:r>
      <w:r w:rsidRPr="2357DC9D">
        <w:rPr>
          <w:rFonts w:ascii="Aptos" w:eastAsia="Aptos" w:hAnsi="Aptos" w:cs="Aptos"/>
        </w:rPr>
        <w:t xml:space="preserve">emes </w:t>
      </w:r>
      <w:r w:rsidR="23275077" w:rsidRPr="2357DC9D">
        <w:rPr>
          <w:rFonts w:ascii="Aptos" w:eastAsia="Aptos" w:hAnsi="Aptos" w:cs="Aptos"/>
        </w:rPr>
        <w:t xml:space="preserve">from the interviews were coded and </w:t>
      </w:r>
      <w:r w:rsidR="00D73E24">
        <w:rPr>
          <w:rFonts w:ascii="Aptos" w:eastAsia="Aptos" w:hAnsi="Aptos" w:cs="Aptos"/>
        </w:rPr>
        <w:t>shared the following themes</w:t>
      </w:r>
      <w:r w:rsidRPr="2357DC9D">
        <w:rPr>
          <w:rFonts w:ascii="Aptos" w:eastAsia="Aptos" w:hAnsi="Aptos" w:cs="Aptos"/>
        </w:rPr>
        <w:t>:</w:t>
      </w:r>
    </w:p>
    <w:p w14:paraId="6748C4D6" w14:textId="5CF0A8D7" w:rsidR="0018082A" w:rsidRPr="0065723F" w:rsidRDefault="099CC0F3" w:rsidP="2357DC9D">
      <w:pPr>
        <w:pStyle w:val="ListParagraph"/>
        <w:numPr>
          <w:ilvl w:val="0"/>
          <w:numId w:val="31"/>
        </w:numPr>
        <w:spacing w:after="0" w:line="360" w:lineRule="auto"/>
        <w:rPr>
          <w:rFonts w:ascii="Aptos" w:eastAsia="Aptos" w:hAnsi="Aptos" w:cs="Aptos"/>
        </w:rPr>
      </w:pPr>
      <w:r w:rsidRPr="2357DC9D">
        <w:rPr>
          <w:rFonts w:ascii="Aptos" w:eastAsia="Aptos" w:hAnsi="Aptos" w:cs="Aptos"/>
          <w:b/>
          <w:bCs/>
        </w:rPr>
        <w:t>Feasibility before volume</w:t>
      </w:r>
      <w:r w:rsidRPr="2357DC9D">
        <w:rPr>
          <w:rFonts w:ascii="Aptos" w:eastAsia="Aptos" w:hAnsi="Aptos" w:cs="Aptos"/>
        </w:rPr>
        <w:t>. Weekday exposure was brief/functional (e.g., ~20-minute dog walks), with higher-quality sessions at weekends or during travel home. One participant substituted outdoor swimming when injury curtailed walking/running.</w:t>
      </w:r>
    </w:p>
    <w:p w14:paraId="458D17D6" w14:textId="026DF3AB" w:rsidR="0018082A" w:rsidRPr="0065723F" w:rsidRDefault="00D73E24" w:rsidP="2357DC9D">
      <w:pPr>
        <w:pStyle w:val="ListParagraph"/>
        <w:numPr>
          <w:ilvl w:val="0"/>
          <w:numId w:val="31"/>
        </w:numPr>
        <w:spacing w:after="0" w:line="360" w:lineRule="auto"/>
        <w:rPr>
          <w:rFonts w:ascii="Aptos" w:eastAsia="Aptos" w:hAnsi="Aptos" w:cs="Aptos"/>
        </w:rPr>
      </w:pPr>
      <w:r>
        <w:rPr>
          <w:rFonts w:ascii="Aptos" w:eastAsia="Aptos" w:hAnsi="Aptos" w:cs="Aptos"/>
          <w:b/>
          <w:bCs/>
        </w:rPr>
        <w:t>Device avoidance</w:t>
      </w:r>
      <w:r w:rsidR="099CC0F3" w:rsidRPr="2357DC9D">
        <w:rPr>
          <w:rFonts w:ascii="Aptos" w:eastAsia="Aptos" w:hAnsi="Aptos" w:cs="Aptos"/>
        </w:rPr>
        <w:t>. Most potent sessions were phone-free</w:t>
      </w:r>
      <w:r w:rsidR="27D0AF07" w:rsidRPr="2357DC9D">
        <w:rPr>
          <w:rFonts w:ascii="Aptos" w:eastAsia="Aptos" w:hAnsi="Aptos" w:cs="Aptos"/>
        </w:rPr>
        <w:t xml:space="preserve"> </w:t>
      </w:r>
      <w:r w:rsidR="099CC0F3" w:rsidRPr="2357DC9D">
        <w:rPr>
          <w:rFonts w:ascii="Aptos" w:eastAsia="Aptos" w:hAnsi="Aptos" w:cs="Aptos"/>
        </w:rPr>
        <w:t>(“Fully present… just me, the water, my breathing”).</w:t>
      </w:r>
    </w:p>
    <w:p w14:paraId="2E3F46CF" w14:textId="121042AF" w:rsidR="0018082A" w:rsidRPr="0065723F" w:rsidRDefault="099CC0F3" w:rsidP="2357DC9D">
      <w:pPr>
        <w:pStyle w:val="ListParagraph"/>
        <w:numPr>
          <w:ilvl w:val="0"/>
          <w:numId w:val="31"/>
        </w:numPr>
        <w:spacing w:after="0" w:line="360" w:lineRule="auto"/>
        <w:rPr>
          <w:rFonts w:ascii="Aptos" w:eastAsia="Aptos" w:hAnsi="Aptos" w:cs="Aptos"/>
        </w:rPr>
      </w:pPr>
      <w:r w:rsidRPr="2357DC9D">
        <w:rPr>
          <w:rFonts w:ascii="Aptos" w:eastAsia="Aptos" w:hAnsi="Aptos" w:cs="Aptos"/>
          <w:b/>
          <w:bCs/>
        </w:rPr>
        <w:t>Perspective and problem-solving</w:t>
      </w:r>
      <w:r w:rsidRPr="2357DC9D">
        <w:rPr>
          <w:rFonts w:ascii="Aptos" w:eastAsia="Aptos" w:hAnsi="Aptos" w:cs="Aptos"/>
        </w:rPr>
        <w:t xml:space="preserve">. Reports included </w:t>
      </w:r>
      <w:r w:rsidR="00D73E24">
        <w:rPr>
          <w:rFonts w:ascii="Aptos" w:eastAsia="Aptos" w:hAnsi="Aptos" w:cs="Aptos"/>
        </w:rPr>
        <w:t xml:space="preserve">feelings of </w:t>
      </w:r>
      <w:r w:rsidRPr="2357DC9D">
        <w:rPr>
          <w:rFonts w:ascii="Aptos" w:eastAsia="Aptos" w:hAnsi="Aptos" w:cs="Aptos"/>
        </w:rPr>
        <w:t xml:space="preserve">calm, </w:t>
      </w:r>
      <w:r w:rsidR="00D73E24">
        <w:rPr>
          <w:rFonts w:ascii="Aptos" w:eastAsia="Aptos" w:hAnsi="Aptos" w:cs="Aptos"/>
        </w:rPr>
        <w:t xml:space="preserve">gaining </w:t>
      </w:r>
      <w:r w:rsidRPr="2357DC9D">
        <w:rPr>
          <w:rFonts w:ascii="Aptos" w:eastAsia="Aptos" w:hAnsi="Aptos" w:cs="Aptos"/>
        </w:rPr>
        <w:t xml:space="preserve">perspective, and </w:t>
      </w:r>
      <w:r w:rsidR="00D73E24">
        <w:rPr>
          <w:rFonts w:ascii="Aptos" w:eastAsia="Aptos" w:hAnsi="Aptos" w:cs="Aptos"/>
        </w:rPr>
        <w:t>improved problem solving.</w:t>
      </w:r>
    </w:p>
    <w:p w14:paraId="568C4946" w14:textId="7600D2D1" w:rsidR="0018082A" w:rsidRPr="0065723F" w:rsidRDefault="099CC0F3" w:rsidP="2357DC9D">
      <w:pPr>
        <w:pStyle w:val="ListParagraph"/>
        <w:numPr>
          <w:ilvl w:val="0"/>
          <w:numId w:val="31"/>
        </w:numPr>
        <w:spacing w:after="0" w:line="360" w:lineRule="auto"/>
        <w:rPr>
          <w:rFonts w:ascii="Aptos" w:eastAsia="Aptos" w:hAnsi="Aptos" w:cs="Aptos"/>
        </w:rPr>
      </w:pPr>
      <w:r w:rsidRPr="2357DC9D">
        <w:rPr>
          <w:rFonts w:ascii="Aptos" w:eastAsia="Aptos" w:hAnsi="Aptos" w:cs="Aptos"/>
          <w:b/>
          <w:bCs/>
        </w:rPr>
        <w:t>Mastery nuance</w:t>
      </w:r>
      <w:r w:rsidRPr="2357DC9D">
        <w:rPr>
          <w:rFonts w:ascii="Aptos" w:eastAsia="Aptos" w:hAnsi="Aptos" w:cs="Aptos"/>
        </w:rPr>
        <w:t>. Walking was often framed as restorative; where novelty/</w:t>
      </w:r>
      <w:r w:rsidR="00C30EE3">
        <w:rPr>
          <w:rFonts w:ascii="Aptos" w:eastAsia="Aptos" w:hAnsi="Aptos" w:cs="Aptos"/>
        </w:rPr>
        <w:t>self-</w:t>
      </w:r>
      <w:r w:rsidRPr="2357DC9D">
        <w:rPr>
          <w:rFonts w:ascii="Aptos" w:eastAsia="Aptos" w:hAnsi="Aptos" w:cs="Aptos"/>
        </w:rPr>
        <w:t>mastery (e.g., learning outdoor swimming) was introduced, accomplishment felt preserved.</w:t>
      </w:r>
    </w:p>
    <w:p w14:paraId="09F9410D" w14:textId="110B6C9E" w:rsidR="0018082A" w:rsidRPr="0065723F" w:rsidRDefault="0018082A" w:rsidP="2357DC9D">
      <w:pPr>
        <w:pStyle w:val="ListParagraph"/>
        <w:spacing w:after="0" w:line="360" w:lineRule="auto"/>
        <w:rPr>
          <w:rFonts w:ascii="Aptos" w:eastAsia="Aptos" w:hAnsi="Aptos" w:cs="Aptos"/>
        </w:rPr>
      </w:pPr>
    </w:p>
    <w:p w14:paraId="58090999" w14:textId="1655F9E3" w:rsidR="0018082A" w:rsidRPr="0065723F" w:rsidRDefault="099CC0F3" w:rsidP="2357DC9D">
      <w:pPr>
        <w:spacing w:line="360" w:lineRule="auto"/>
        <w:rPr>
          <w:rFonts w:ascii="Aptos" w:eastAsia="Aptos" w:hAnsi="Aptos" w:cs="Aptos"/>
          <w:b/>
          <w:bCs/>
        </w:rPr>
      </w:pPr>
      <w:r w:rsidRPr="2357DC9D">
        <w:rPr>
          <w:rFonts w:ascii="Aptos" w:eastAsia="Aptos" w:hAnsi="Aptos" w:cs="Aptos"/>
          <w:b/>
          <w:bCs/>
        </w:rPr>
        <w:t>Summary of key findi</w:t>
      </w:r>
      <w:r w:rsidR="00C30EE3">
        <w:rPr>
          <w:rFonts w:ascii="Aptos" w:eastAsia="Aptos" w:hAnsi="Aptos" w:cs="Aptos"/>
          <w:b/>
          <w:bCs/>
        </w:rPr>
        <w:t>ngs:</w:t>
      </w:r>
    </w:p>
    <w:p w14:paraId="388F0407" w14:textId="17A3A1A4" w:rsidR="0018082A" w:rsidRPr="0065723F" w:rsidRDefault="099CC0F3" w:rsidP="2357DC9D">
      <w:pPr>
        <w:pStyle w:val="ListParagraph"/>
        <w:numPr>
          <w:ilvl w:val="0"/>
          <w:numId w:val="30"/>
        </w:numPr>
        <w:spacing w:after="0" w:line="360" w:lineRule="auto"/>
        <w:rPr>
          <w:rFonts w:ascii="Aptos" w:eastAsia="Aptos" w:hAnsi="Aptos" w:cs="Aptos"/>
        </w:rPr>
      </w:pPr>
      <w:r w:rsidRPr="2357DC9D">
        <w:rPr>
          <w:rFonts w:ascii="Aptos" w:eastAsia="Aptos" w:hAnsi="Aptos" w:cs="Aptos"/>
        </w:rPr>
        <w:t>Depression decreased substantially (large effect) and emotional exhaustion decreased (medium effect).</w:t>
      </w:r>
    </w:p>
    <w:p w14:paraId="266A60F5" w14:textId="756D6BF8" w:rsidR="0018082A" w:rsidRPr="0065723F" w:rsidRDefault="099CC0F3" w:rsidP="2357DC9D">
      <w:pPr>
        <w:pStyle w:val="ListParagraph"/>
        <w:numPr>
          <w:ilvl w:val="0"/>
          <w:numId w:val="30"/>
        </w:numPr>
        <w:spacing w:after="0" w:line="360" w:lineRule="auto"/>
        <w:rPr>
          <w:rFonts w:ascii="Aptos" w:eastAsia="Aptos" w:hAnsi="Aptos" w:cs="Aptos"/>
        </w:rPr>
      </w:pPr>
      <w:r w:rsidRPr="2357DC9D">
        <w:rPr>
          <w:rFonts w:ascii="Aptos" w:eastAsia="Aptos" w:hAnsi="Aptos" w:cs="Aptos"/>
        </w:rPr>
        <w:lastRenderedPageBreak/>
        <w:t>Mental wellbeing (SWEMWBS) and ONS Worthwhile improved in non-parametric tests; other ONS items showed small, non-significant changes.</w:t>
      </w:r>
    </w:p>
    <w:p w14:paraId="5968AFE6" w14:textId="7A0B9F5E" w:rsidR="0018082A" w:rsidRPr="0065723F" w:rsidRDefault="099CC0F3" w:rsidP="2357DC9D">
      <w:pPr>
        <w:pStyle w:val="ListParagraph"/>
        <w:numPr>
          <w:ilvl w:val="0"/>
          <w:numId w:val="30"/>
        </w:numPr>
        <w:spacing w:after="0" w:line="360" w:lineRule="auto"/>
        <w:rPr>
          <w:rFonts w:ascii="Aptos" w:eastAsia="Aptos" w:hAnsi="Aptos" w:cs="Aptos"/>
        </w:rPr>
      </w:pPr>
      <w:r w:rsidRPr="2357DC9D">
        <w:rPr>
          <w:rFonts w:ascii="Aptos" w:eastAsia="Aptos" w:hAnsi="Aptos" w:cs="Aptos"/>
        </w:rPr>
        <w:t>Personal accomplishment (MBI-PA) declined on average.</w:t>
      </w:r>
    </w:p>
    <w:p w14:paraId="45D83C76" w14:textId="0C967B82" w:rsidR="0018082A" w:rsidRPr="0065723F" w:rsidRDefault="099CC0F3" w:rsidP="2357DC9D">
      <w:pPr>
        <w:pStyle w:val="ListParagraph"/>
        <w:numPr>
          <w:ilvl w:val="0"/>
          <w:numId w:val="30"/>
        </w:numPr>
        <w:spacing w:after="0" w:line="360" w:lineRule="auto"/>
        <w:rPr>
          <w:rFonts w:ascii="Aptos" w:eastAsia="Aptos" w:hAnsi="Aptos" w:cs="Aptos"/>
        </w:rPr>
      </w:pPr>
      <w:r w:rsidRPr="2357DC9D">
        <w:rPr>
          <w:rFonts w:ascii="Aptos" w:eastAsia="Aptos" w:hAnsi="Aptos" w:cs="Aptos"/>
        </w:rPr>
        <w:t>No linear dose–response was detected between walking frequency/volume/average duration and psychological change within the observed range.</w:t>
      </w:r>
    </w:p>
    <w:p w14:paraId="1F14C2CD" w14:textId="1C977054" w:rsidR="0018082A" w:rsidRPr="0065723F" w:rsidRDefault="099CC0F3" w:rsidP="2357DC9D">
      <w:pPr>
        <w:pStyle w:val="ListParagraph"/>
        <w:numPr>
          <w:ilvl w:val="0"/>
          <w:numId w:val="30"/>
        </w:numPr>
        <w:spacing w:after="0" w:line="360" w:lineRule="auto"/>
        <w:rPr>
          <w:rFonts w:ascii="Aptos" w:eastAsia="Aptos" w:hAnsi="Aptos" w:cs="Aptos"/>
        </w:rPr>
      </w:pPr>
      <w:r w:rsidRPr="2357DC9D">
        <w:rPr>
          <w:rFonts w:ascii="Aptos" w:eastAsia="Aptos" w:hAnsi="Aptos" w:cs="Aptos"/>
        </w:rPr>
        <w:t>Qualitative evidence points to context quality and device detachment as likely drivers of benefit, with light mastery/novelty potentially needed to protect accomplishment.</w:t>
      </w:r>
    </w:p>
    <w:p w14:paraId="1ECC22AB" w14:textId="4074FEAC" w:rsidR="0018082A" w:rsidRPr="0065723F" w:rsidRDefault="0018082A" w:rsidP="2357DC9D">
      <w:pPr>
        <w:spacing w:line="360" w:lineRule="auto"/>
        <w:rPr>
          <w:b/>
          <w:bCs/>
        </w:rPr>
      </w:pPr>
    </w:p>
    <w:p w14:paraId="2E42A662" w14:textId="2724C620" w:rsidR="0018082A" w:rsidRPr="0065723F" w:rsidRDefault="0018082A" w:rsidP="2357DC9D">
      <w:pPr>
        <w:spacing w:line="360" w:lineRule="auto"/>
        <w:rPr>
          <w:b/>
          <w:bCs/>
        </w:rPr>
      </w:pPr>
    </w:p>
    <w:p w14:paraId="494D5782" w14:textId="79D7CF7E" w:rsidR="0018082A" w:rsidRPr="0065723F" w:rsidRDefault="0018082A" w:rsidP="2357DC9D">
      <w:pPr>
        <w:spacing w:line="360" w:lineRule="auto"/>
        <w:rPr>
          <w:b/>
          <w:bCs/>
        </w:rPr>
      </w:pPr>
    </w:p>
    <w:p w14:paraId="1F552DBC" w14:textId="0F8B65A2" w:rsidR="0018082A" w:rsidRPr="0065723F" w:rsidRDefault="00560291" w:rsidP="00122C7C">
      <w:pPr>
        <w:spacing w:line="360" w:lineRule="auto"/>
      </w:pPr>
      <w:r>
        <w:br w:type="page"/>
      </w:r>
    </w:p>
    <w:p w14:paraId="6399C133" w14:textId="64EDC04B" w:rsidR="0018082A" w:rsidRDefault="055C40E4" w:rsidP="2357DC9D">
      <w:pPr>
        <w:spacing w:line="360" w:lineRule="auto"/>
        <w:rPr>
          <w:b/>
          <w:bCs/>
        </w:rPr>
      </w:pPr>
      <w:r w:rsidRPr="00963CD5">
        <w:rPr>
          <w:b/>
          <w:bCs/>
        </w:rPr>
        <w:lastRenderedPageBreak/>
        <w:t>DISCUSSION</w:t>
      </w:r>
    </w:p>
    <w:p w14:paraId="2CCAA399" w14:textId="56B51E4C" w:rsidR="0032653E" w:rsidRPr="00153518" w:rsidRDefault="0032653E" w:rsidP="0032653E">
      <w:pPr>
        <w:spacing w:line="360" w:lineRule="auto"/>
      </w:pPr>
      <w:r w:rsidRPr="00153518">
        <w:t xml:space="preserve">This study set out to examine whether walking in natural environments coincided with meaningful changes in mental health and burnout among full-time working parents, and whether greater “dose” (frequency, volume, or duration) was associated with greater benefit. Over roughly four months, participants showed </w:t>
      </w:r>
      <w:r w:rsidR="00714C16">
        <w:t>significant</w:t>
      </w:r>
      <w:r w:rsidRPr="00153518">
        <w:t xml:space="preserve"> reductions in depressive symptoms on the BDI-II and moderate reductions in emotional exhaustion on the MBI. Mental wellbeing (SWEMWBS) improved in rank-based testing, whereas personal accomplishment declined. The single-item ONS indicators (life satisfaction, worthwhile, happiness, anxiety) shifted little on average, save for a Wilcoxon improvement in “life feeling worthwhile.” Across both Pearson correlations (using log-transformed dose variables) and Spearman correlations (raw variables), no linear dose–response emerged between walking exposure and pre–post change. Follow-up interviews with three participants helped to contextualise these results, emphasising the perceived importance of context quality (quiet green/blue spaces), detachment from digital devices, and an unrushed pace, rather than simply accumulating minutes. Together, the quantitative and qualitative strands suggest that for working parents, modest, feasible contact with nearby nature can be restorative, but adding light elements of mastery or novelty may be needed to preserve perceived accomplishment.</w:t>
      </w:r>
    </w:p>
    <w:p w14:paraId="74F2FEB8" w14:textId="5E0C958B" w:rsidR="0032653E" w:rsidRPr="00153518" w:rsidRDefault="0032653E" w:rsidP="0032653E">
      <w:pPr>
        <w:spacing w:line="360" w:lineRule="auto"/>
      </w:pPr>
      <w:r w:rsidRPr="00153518">
        <w:t xml:space="preserve">The size and direction of the main effects are consistent with contemporary accounts of how nature contact can support mental health. The observed improvement in depressive symptoms maps well </w:t>
      </w:r>
      <w:r w:rsidR="00714C16">
        <w:t>to studies</w:t>
      </w:r>
      <w:r w:rsidRPr="00153518">
        <w:t xml:space="preserve"> showing that short nature walks reduce maladaptive rumination and alter subgenual prefrontal activity implicated in depression, with parallel gains in affect and cognitive control (Berman et al., 2012; Bratman et al., 2015). </w:t>
      </w:r>
      <w:r w:rsidR="00714C16">
        <w:t>E</w:t>
      </w:r>
      <w:r w:rsidRPr="00153518">
        <w:t xml:space="preserve">xposure to natural environments is associated with lower stress, better affective states, and reduced risk of common mental disorders (Hartig et al., 2014; Frumkin et al., 2017; Twohig-Bennett and Jones, 2018). The present cohort also reported a moderate decrease in emotional exhaustion, one of the core dimensions of burnout. That signal aligns with recovery theory in occupational health: opportunities for psychological detachment, relaxation, and positive affect during non-work time help to unwind strain accumulated at work and replenish depleted resources (Sonnentag and Fritz, 2007). Although a pre–post design cannot ascribe causality, the </w:t>
      </w:r>
      <w:r w:rsidRPr="00153518">
        <w:lastRenderedPageBreak/>
        <w:t>direction and magnitude of change are exactly those anticipated if routine contact with nearby nature functions as a low-burden recovery practice within the constraints of employment and caregiving.</w:t>
      </w:r>
    </w:p>
    <w:p w14:paraId="2922C664" w14:textId="477A2A0A" w:rsidR="0032653E" w:rsidRPr="00153518" w:rsidRDefault="0032653E" w:rsidP="0032653E">
      <w:pPr>
        <w:spacing w:line="360" w:lineRule="auto"/>
      </w:pPr>
      <w:r w:rsidRPr="00153518">
        <w:t>SWEMWBS</w:t>
      </w:r>
      <w:r w:rsidR="00D30C95">
        <w:t xml:space="preserve"> </w:t>
      </w:r>
      <w:r w:rsidRPr="00153518">
        <w:t>showed improvement on the Wilcoxon test, which is appropriate given the non-normal distribution of difference scores</w:t>
      </w:r>
      <w:r w:rsidR="00D30C95">
        <w:t xml:space="preserve"> that</w:t>
      </w:r>
      <w:r w:rsidRPr="00153518">
        <w:t xml:space="preserve"> is typical in small samples</w:t>
      </w:r>
      <w:r w:rsidR="00D30C95">
        <w:t xml:space="preserve">.  </w:t>
      </w:r>
      <w:r w:rsidRPr="00153518">
        <w:t xml:space="preserve"> In interviews, participants described calm, perspective, and in-the-moment clarity: being “fully present,” problems “shrinking” in a larger landscape, and the sense that time outdoors creates mental room to think. Those experiences sit squarely within the </w:t>
      </w:r>
      <w:r w:rsidR="00D30C95">
        <w:t xml:space="preserve">focus </w:t>
      </w:r>
      <w:r w:rsidRPr="00153518">
        <w:t>of SWEMWBS and likely contributed to the observed shift. By contrast, the ONS single items</w:t>
      </w:r>
      <w:r w:rsidR="00823440">
        <w:t xml:space="preserve"> - </w:t>
      </w:r>
      <w:r w:rsidRPr="00153518">
        <w:t xml:space="preserve"> satisfaction, happiness, and anxiety</w:t>
      </w:r>
      <w:r w:rsidR="00823440">
        <w:t xml:space="preserve"> - </w:t>
      </w:r>
      <w:r w:rsidRPr="00153518">
        <w:t xml:space="preserve">moved </w:t>
      </w:r>
      <w:r w:rsidR="00823440">
        <w:t xml:space="preserve">very </w:t>
      </w:r>
      <w:r w:rsidRPr="00153518">
        <w:t xml:space="preserve">little. Single items </w:t>
      </w:r>
      <w:r w:rsidR="009D6890">
        <w:t>like this can be</w:t>
      </w:r>
      <w:r w:rsidRPr="00153518">
        <w:t xml:space="preserve"> relatively blunt instruments for detecting change over a few months, particularly when day-to-day life is busy and competing demands are high. It is not surprising that more sensitive multi-item scales </w:t>
      </w:r>
      <w:r w:rsidR="009D6890">
        <w:t xml:space="preserve">(like BDI and MBI) </w:t>
      </w:r>
      <w:r w:rsidRPr="00153518">
        <w:t>registered clearer movement.</w:t>
      </w:r>
    </w:p>
    <w:p w14:paraId="3621B362" w14:textId="3812968B" w:rsidR="0032653E" w:rsidRPr="00153518" w:rsidRDefault="0032653E" w:rsidP="0032653E">
      <w:pPr>
        <w:spacing w:line="360" w:lineRule="auto"/>
      </w:pPr>
      <w:r w:rsidRPr="00153518">
        <w:t xml:space="preserve">Perhaps the most striking finding was the absence of a linear dose–response. Minutes per week, walks per week, and average minutes per walk were not reliably associated with the magnitude of change across outcomes. There are several reasons </w:t>
      </w:r>
      <w:r w:rsidR="009D6890">
        <w:t>such a result might have occurred</w:t>
      </w:r>
      <w:r w:rsidRPr="00153518">
        <w:t xml:space="preserve">. First, dose–response curves in this field are often non-linear. Large cross-sectional analyses suggest that around 120 minutes per week in nature is associated with substantially higher odds of reporting good health and wellbeing, with diminishing returns thereafter for many individuals (White et al., 2019).. </w:t>
      </w:r>
      <w:r w:rsidR="00E24DEC">
        <w:t>Furthermore</w:t>
      </w:r>
      <w:r w:rsidRPr="00153518">
        <w:t xml:space="preserve">, the qualitative </w:t>
      </w:r>
      <w:r w:rsidR="00E24DEC">
        <w:t>interviews</w:t>
      </w:r>
      <w:r w:rsidRPr="00153518">
        <w:t xml:space="preserve"> suggest that participants optimised feasibility and quality </w:t>
      </w:r>
      <w:r w:rsidR="00E24DEC">
        <w:t>over</w:t>
      </w:r>
      <w:r w:rsidRPr="00153518">
        <w:t xml:space="preserve"> quantity</w:t>
      </w:r>
      <w:r w:rsidR="00E24DEC">
        <w:t xml:space="preserve"> – a choice which is not unreasonable or unexpected for busy working parents</w:t>
      </w:r>
      <w:r w:rsidRPr="00153518">
        <w:t xml:space="preserve">. </w:t>
      </w:r>
      <w:r w:rsidR="00E24DEC">
        <w:t>According to the interviews, w</w:t>
      </w:r>
      <w:r w:rsidRPr="00153518">
        <w:t xml:space="preserve">eekday exposures tended to be short and functional (for example, regular ~20-minute dog walks), with longer, more immersive sessions at weekends or when returning home. Importantly, people emphasised quiet routes, blue/green features, and device detachment. Those ingredients are plausible drivers of benefit, but they are not captured by minutes and frequency. If many participants reached a “good enough” threshold through a handful of high-quality bouts each week, the additional variance in minutes would not </w:t>
      </w:r>
      <w:r w:rsidR="0028371A">
        <w:t xml:space="preserve">necessarily </w:t>
      </w:r>
      <w:r w:rsidRPr="00153518">
        <w:t xml:space="preserve">map neatly </w:t>
      </w:r>
      <w:r w:rsidR="0028371A">
        <w:t>in</w:t>
      </w:r>
      <w:r w:rsidRPr="00153518">
        <w:t xml:space="preserve">to </w:t>
      </w:r>
      <w:r w:rsidR="0028371A">
        <w:t xml:space="preserve">further </w:t>
      </w:r>
      <w:r w:rsidRPr="00153518">
        <w:t xml:space="preserve">change. With n = 31, the study was not powered to detect small correlations once measurement noise and collinearity are accounted for. </w:t>
      </w:r>
      <w:r w:rsidRPr="00153518">
        <w:lastRenderedPageBreak/>
        <w:t xml:space="preserve">Finally, self-reported exposure is imprecise. Even if minutes are reported accurately, the variables omit contextual </w:t>
      </w:r>
      <w:r w:rsidR="00192958">
        <w:t>elements</w:t>
      </w:r>
      <w:r w:rsidRPr="00153518">
        <w:t xml:space="preserve"> and psychological states (detachment, rumination) that are closer to the proposed mechanisms (Hartig et al., 2014; Bratman et al., 2019).</w:t>
      </w:r>
    </w:p>
    <w:p w14:paraId="45EB9443" w14:textId="3EE9622C" w:rsidR="0032653E" w:rsidRPr="00153518" w:rsidRDefault="0032653E" w:rsidP="0032653E">
      <w:pPr>
        <w:spacing w:line="360" w:lineRule="auto"/>
      </w:pPr>
      <w:r w:rsidRPr="00153518">
        <w:t>The consistent decline in personal accomplishment (MBI-PA) requires careful interpretation</w:t>
      </w:r>
      <w:r w:rsidR="00457D29">
        <w:t xml:space="preserve"> and reflection</w:t>
      </w:r>
      <w:r w:rsidRPr="00153518">
        <w:t>. Personal accomplishment reflects perceived competence and efficacy at work</w:t>
      </w:r>
      <w:r w:rsidR="00E175E9">
        <w:t xml:space="preserve"> and in life</w:t>
      </w:r>
      <w:r w:rsidRPr="00153518">
        <w:t xml:space="preserve">. In this cohort, PA decreased by a moderate amount, </w:t>
      </w:r>
      <w:r w:rsidR="00E175E9">
        <w:t>with</w:t>
      </w:r>
      <w:r w:rsidRPr="00153518">
        <w:t xml:space="preserve"> both parametric and non-parametric testing and Holm correction. Several</w:t>
      </w:r>
      <w:r w:rsidR="00E175E9">
        <w:t xml:space="preserve"> </w:t>
      </w:r>
      <w:r w:rsidRPr="00153518">
        <w:t>explanations are plausible. One is a straightforward time trade-off: when schedules are tight, inserting restorative walks can displace activity that feeds accomplishment</w:t>
      </w:r>
      <w:r w:rsidR="00E175E9">
        <w:t xml:space="preserve">, such as </w:t>
      </w:r>
      <w:r w:rsidRPr="00153518">
        <w:t>progress on a complex work task</w:t>
      </w:r>
      <w:r w:rsidR="00E175E9">
        <w:t xml:space="preserve"> or </w:t>
      </w:r>
      <w:r w:rsidRPr="00153518">
        <w:t xml:space="preserve"> planned </w:t>
      </w:r>
      <w:r w:rsidR="00E175E9">
        <w:t>self-development</w:t>
      </w:r>
      <w:r w:rsidRPr="00153518">
        <w:t xml:space="preserve"> session</w:t>
      </w:r>
      <w:r w:rsidR="00E175E9">
        <w:t>s</w:t>
      </w:r>
      <w:r w:rsidRPr="00153518">
        <w:t>.</w:t>
      </w:r>
      <w:r w:rsidR="00E175E9">
        <w:t xml:space="preserve"> For time poor parents, </w:t>
      </w:r>
      <w:r w:rsidRPr="00153518">
        <w:t xml:space="preserve"> </w:t>
      </w:r>
      <w:r w:rsidR="00E175E9">
        <w:t>e</w:t>
      </w:r>
      <w:r w:rsidRPr="00153518">
        <w:t xml:space="preserve">ven a small reallocation of time can be </w:t>
      </w:r>
      <w:r w:rsidR="00E175E9">
        <w:t>impactful</w:t>
      </w:r>
      <w:r w:rsidRPr="00153518">
        <w:t xml:space="preserve"> in the self-appraisal of competence. A second possibility is recalibration. As mood lifts and exhaustion eases, individuals sometimes adopt higher standards for themselves, or they </w:t>
      </w:r>
      <w:r w:rsidR="00E175E9">
        <w:t>have m</w:t>
      </w:r>
      <w:r w:rsidRPr="00153518">
        <w:t>ore</w:t>
      </w:r>
      <w:r w:rsidR="00E175E9">
        <w:t xml:space="preserve"> clarity and purpose around </w:t>
      </w:r>
      <w:r w:rsidRPr="00153518">
        <w:t>what remains undone. That shift in fram</w:t>
      </w:r>
      <w:r w:rsidR="00E175E9">
        <w:t>ing</w:t>
      </w:r>
      <w:r w:rsidRPr="00153518">
        <w:t xml:space="preserve"> c</w:t>
      </w:r>
      <w:r w:rsidR="00B51E18">
        <w:t>ould</w:t>
      </w:r>
      <w:r w:rsidRPr="00153518">
        <w:t xml:space="preserve"> depress accomplishment ratings without reflecting any </w:t>
      </w:r>
      <w:r w:rsidR="00B51E18">
        <w:t xml:space="preserve">overall mood </w:t>
      </w:r>
      <w:r w:rsidRPr="00153518">
        <w:t>deterioration. A third explanation sits in programme framing. The qualitative accounts emphasised decompression rather than mastery. Walking was used to “put the brakes on,” to create a pocket of calm. Only one participant spoke about mastery in the classic sense</w:t>
      </w:r>
      <w:r w:rsidR="00B51E18">
        <w:t xml:space="preserve"> - </w:t>
      </w:r>
      <w:r w:rsidRPr="00153518">
        <w:t>habit formation and skill gains</w:t>
      </w:r>
      <w:r w:rsidR="00B51E18">
        <w:t xml:space="preserve"> </w:t>
      </w:r>
      <w:r w:rsidRPr="00153518">
        <w:t>through adopting outdoor swimming after a foot injury curtailed running. That language of novelty, challenge, and progress is precisely what supports self-efficacy and accomplishment</w:t>
      </w:r>
      <w:r w:rsidR="00B51E18">
        <w:t xml:space="preserve"> and was not included in any form within the participant guidance</w:t>
      </w:r>
      <w:r w:rsidRPr="00153518">
        <w:t>. This interpretation is consistent with occupational health evidence: interventions that improve recovery and reduce strain can leave competence untouched unless mastery cues</w:t>
      </w:r>
      <w:r w:rsidR="00A739F4">
        <w:t xml:space="preserve"> like </w:t>
      </w:r>
      <w:r w:rsidRPr="00153518">
        <w:t>clear, achievable goals, feedback on progress, and graded challenge</w:t>
      </w:r>
      <w:r w:rsidR="00A739F4">
        <w:t xml:space="preserve">s </w:t>
      </w:r>
      <w:r w:rsidRPr="00153518">
        <w:t xml:space="preserve">are also present (Sonnentag and Fritz, 2007; West et al., 2016). The implication is practical rather than cautionary: it should be possible to preserve the restorative core of nature-based walking while lightly layering </w:t>
      </w:r>
      <w:r w:rsidR="00A739F4">
        <w:t xml:space="preserve">in </w:t>
      </w:r>
      <w:r w:rsidRPr="00153518">
        <w:t>mastery elements that keep perceived competence in view.</w:t>
      </w:r>
    </w:p>
    <w:p w14:paraId="79A3AA20" w14:textId="61293C26" w:rsidR="0032653E" w:rsidRPr="00153518" w:rsidRDefault="0032653E" w:rsidP="0032653E">
      <w:pPr>
        <w:spacing w:line="360" w:lineRule="auto"/>
      </w:pPr>
      <w:r w:rsidRPr="00153518">
        <w:t>The interviews also help to illuminate plausible mechanisms</w:t>
      </w:r>
      <w:r w:rsidR="006247A3">
        <w:t xml:space="preserve"> and add insight to the quantitative data</w:t>
      </w:r>
      <w:r w:rsidRPr="00153518">
        <w:t xml:space="preserve">. Device detachment emerged repeatedly. Participants described </w:t>
      </w:r>
      <w:r w:rsidRPr="00153518">
        <w:lastRenderedPageBreak/>
        <w:t xml:space="preserve">intentionally leaving phones behind or being in places with poor signal. That “digital </w:t>
      </w:r>
      <w:r w:rsidR="006247A3">
        <w:t>detox</w:t>
      </w:r>
      <w:r w:rsidRPr="00153518">
        <w:t>” created the psychological space needed for detachment, a central mechanism in recovery models (Sonnentag and Fritz, 2007). A second th</w:t>
      </w:r>
      <w:r w:rsidR="003515F4">
        <w:t>eme</w:t>
      </w:r>
      <w:r w:rsidRPr="00153518">
        <w:t xml:space="preserve"> concerned perspective and problem-solving. One participant described getting into the</w:t>
      </w:r>
      <w:r w:rsidR="00A34ADC">
        <w:t xml:space="preserve"> outdoor</w:t>
      </w:r>
      <w:r w:rsidRPr="00153518">
        <w:t xml:space="preserve"> pool </w:t>
      </w:r>
      <w:r w:rsidR="00A34ADC">
        <w:t xml:space="preserve">surrounded by trees </w:t>
      </w:r>
      <w:r w:rsidRPr="00153518">
        <w:t xml:space="preserve">with a difficult work issue and leaving with two potential solutions. Another spoke about the way large landscapes made problems feel smaller. These accounts echo the </w:t>
      </w:r>
      <w:r w:rsidR="00A34ADC">
        <w:t>l</w:t>
      </w:r>
      <w:r w:rsidRPr="00153518">
        <w:t>iterature: nature experiences appear to reduce negative thinking and support cognitive flexibility</w:t>
      </w:r>
      <w:r w:rsidR="003515F4">
        <w:t xml:space="preserve"> and</w:t>
      </w:r>
      <w:r w:rsidRPr="00153518">
        <w:t xml:space="preserve"> problem-solving </w:t>
      </w:r>
      <w:r w:rsidR="003515F4">
        <w:t>ability</w:t>
      </w:r>
      <w:r w:rsidRPr="00153518">
        <w:t xml:space="preserve"> (Berman et al., 2012; Bratman et al., 2015). A third th</w:t>
      </w:r>
      <w:r w:rsidR="003515F4">
        <w:t>eme</w:t>
      </w:r>
      <w:r w:rsidRPr="00153518">
        <w:t xml:space="preserve"> concerned setting quality. Blue/green features, low crowding, and quiet routes were</w:t>
      </w:r>
      <w:r w:rsidR="003515F4">
        <w:t xml:space="preserve"> seemingly </w:t>
      </w:r>
      <w:r w:rsidRPr="00153518">
        <w:t>valued</w:t>
      </w:r>
      <w:r w:rsidR="003515F4">
        <w:t xml:space="preserve"> and sought out</w:t>
      </w:r>
      <w:r w:rsidRPr="00153518">
        <w:t>. Reviews emphasise that not all “nature” is equivalent in its restorative potential; qualities such as biodiversity, water, canopy, and soundscapes matter (Hartig et al., 2014; Bratman et al., 2019). Those aspects are often overlooked when exposure is operationalised a</w:t>
      </w:r>
      <w:r w:rsidR="003515F4">
        <w:t>nd simplified down to</w:t>
      </w:r>
      <w:r w:rsidRPr="00153518">
        <w:t xml:space="preserve"> “minutes walked,” yet they are likely to be central for busy parents who must fit recovery into narrow windows.</w:t>
      </w:r>
    </w:p>
    <w:p w14:paraId="16C27B06" w14:textId="59FB48F8" w:rsidR="0032653E" w:rsidRPr="00153518" w:rsidRDefault="0032653E" w:rsidP="00DD4FB6">
      <w:pPr>
        <w:spacing w:line="360" w:lineRule="auto"/>
      </w:pPr>
      <w:r w:rsidRPr="00153518">
        <w:t xml:space="preserve">These benefits appeared despite the study’s inherent limitations. The uncontrolled pre–post design </w:t>
      </w:r>
      <w:r w:rsidR="00DD4FB6">
        <w:t>clearly creates challenges and made dose-response analysis more difficult</w:t>
      </w:r>
      <w:r w:rsidRPr="00153518">
        <w:t xml:space="preserve">. The sample was relatively small, which limits precision and statistical power, especially for dose–response modelling and subgroup analyses. Exposure measures were self-reported and did not capture contextual quality or detachment. The ONS single items, while widely used in </w:t>
      </w:r>
      <w:r w:rsidR="00DD4FB6">
        <w:t xml:space="preserve">government </w:t>
      </w:r>
      <w:r w:rsidRPr="00153518">
        <w:t>policy settings, are less sensitive to change than multi-item scales. The qualitative sample comprised only three follow-up interviews and cannot represent the full heterogeneity of experiences, although it provided rich explanatory texture</w:t>
      </w:r>
      <w:r w:rsidR="00DD4FB6">
        <w:t xml:space="preserve"> and insights for further research</w:t>
      </w:r>
      <w:r w:rsidRPr="00153518">
        <w:t xml:space="preserve">. Against those limitations, several strengths </w:t>
      </w:r>
      <w:r w:rsidR="00DD4FB6">
        <w:t>should be</w:t>
      </w:r>
      <w:r w:rsidRPr="00153518">
        <w:t xml:space="preserve"> mention</w:t>
      </w:r>
      <w:r w:rsidR="00DD4FB6">
        <w:t>ed</w:t>
      </w:r>
      <w:r w:rsidRPr="00153518">
        <w:t xml:space="preserve">. The study used </w:t>
      </w:r>
      <w:r w:rsidR="00DD4FB6">
        <w:t xml:space="preserve">peer reviewed and </w:t>
      </w:r>
      <w:r w:rsidRPr="00153518">
        <w:t>validated instruments spanning depression, wellbeing, and burnou</w:t>
      </w:r>
      <w:r w:rsidR="00DD4FB6">
        <w:t>t.  Analysis</w:t>
      </w:r>
      <w:r w:rsidRPr="00153518">
        <w:t xml:space="preserve"> applied explicit assumption checks and non-parametric sensitivity tests; reported effect sizes with confidence intervals; controlled multiplicity with Holm’s procedure; and integrated qualitative data to probe </w:t>
      </w:r>
      <w:r w:rsidR="00DD4FB6">
        <w:t>themes and barriers</w:t>
      </w:r>
      <w:r w:rsidRPr="00153518">
        <w:t>. The cohort itself</w:t>
      </w:r>
      <w:r w:rsidR="00DD4FB6">
        <w:t xml:space="preserve">, </w:t>
      </w:r>
      <w:r w:rsidRPr="00153518">
        <w:t>full-time working parents</w:t>
      </w:r>
      <w:r w:rsidR="00DD4FB6">
        <w:t xml:space="preserve">, </w:t>
      </w:r>
      <w:r w:rsidRPr="00153518">
        <w:t>remains under-represented in the nature-</w:t>
      </w:r>
      <w:r w:rsidR="00DD4FB6">
        <w:t>connection and wellbeing</w:t>
      </w:r>
      <w:r w:rsidRPr="00153518">
        <w:t xml:space="preserve"> literature</w:t>
      </w:r>
      <w:r w:rsidR="00DD4FB6">
        <w:t xml:space="preserve"> </w:t>
      </w:r>
      <w:r w:rsidR="00DD4FB6">
        <w:lastRenderedPageBreak/>
        <w:t>so even a limited study of this nature provides glimpses into cohort specific mechanisms and barriers</w:t>
      </w:r>
      <w:r w:rsidRPr="00153518">
        <w:t xml:space="preserve">. </w:t>
      </w:r>
    </w:p>
    <w:p w14:paraId="3DF65026" w14:textId="6FAA0181" w:rsidR="0032653E" w:rsidRPr="00153518" w:rsidRDefault="00DD4FB6" w:rsidP="00DD4FB6">
      <w:pPr>
        <w:spacing w:line="360" w:lineRule="auto"/>
      </w:pPr>
      <w:r>
        <w:t>So, w</w:t>
      </w:r>
      <w:r w:rsidR="0032653E" w:rsidRPr="00153518">
        <w:t xml:space="preserve">hat follows from these findings for </w:t>
      </w:r>
      <w:r>
        <w:t>practitioners looking to support busy working parents</w:t>
      </w:r>
      <w:r w:rsidR="0032653E" w:rsidRPr="00153518">
        <w:t>? A first implication is to prioritise feasibility and routine over volume. In this cohort, average exposure was roughly two walks and 80–90 minutes per week, yet the mood and exhaustion signals were clear. For working parents, the intervention that “fits” is likely the one that works: short, predictable bouts embedded into existing rhythms (before school, lunch, immediately after work), near home or workplace, with minimal logistical friction. A second implication is to optimise context quality and detachment. Curating route</w:t>
      </w:r>
      <w:r>
        <w:t>s for parents that include</w:t>
      </w:r>
      <w:r w:rsidR="0032653E" w:rsidRPr="00153518">
        <w:t xml:space="preserve">, quiet, safe green/blue </w:t>
      </w:r>
      <w:r>
        <w:t>spaces a</w:t>
      </w:r>
      <w:r w:rsidR="0032653E" w:rsidRPr="00153518">
        <w:t xml:space="preserve">nd encouraging brief </w:t>
      </w:r>
      <w:r>
        <w:t>device free</w:t>
      </w:r>
      <w:r w:rsidR="0032653E" w:rsidRPr="00153518">
        <w:t xml:space="preserve"> practices </w:t>
      </w:r>
      <w:r>
        <w:t>and</w:t>
      </w:r>
      <w:r w:rsidR="0032653E" w:rsidRPr="00153518">
        <w:t xml:space="preserve"> simple sensory-grounding tasks</w:t>
      </w:r>
      <w:r>
        <w:t xml:space="preserve"> c</w:t>
      </w:r>
      <w:r w:rsidR="0032653E" w:rsidRPr="00153518">
        <w:t xml:space="preserve">ould amplify effects without adding </w:t>
      </w:r>
      <w:r>
        <w:t xml:space="preserve">more </w:t>
      </w:r>
      <w:r w:rsidR="0032653E" w:rsidRPr="00153518">
        <w:t xml:space="preserve">time. Employers can support short outdoor micro-breaks near workplaces; small adjustments to policy and </w:t>
      </w:r>
      <w:r>
        <w:t xml:space="preserve">organisational </w:t>
      </w:r>
      <w:r w:rsidR="0032653E" w:rsidRPr="00153518">
        <w:t>culture (e.g., encouraging “walking to think” rather than only “walking to meet”) can legitimise these practices. A</w:t>
      </w:r>
      <w:r>
        <w:t xml:space="preserve">nother </w:t>
      </w:r>
      <w:r w:rsidR="0032653E" w:rsidRPr="00153518">
        <w:t xml:space="preserve">implication </w:t>
      </w:r>
      <w:r>
        <w:t>from the results, i</w:t>
      </w:r>
      <w:r w:rsidR="0032653E" w:rsidRPr="00153518">
        <w:t>s to protect accomplishment by lightly integrating mastery</w:t>
      </w:r>
      <w:r>
        <w:t xml:space="preserve"> and self-reflection practices or journaling</w:t>
      </w:r>
      <w:r w:rsidR="0032653E" w:rsidRPr="00153518">
        <w:t xml:space="preserve">. </w:t>
      </w:r>
      <w:r>
        <w:t xml:space="preserve"> </w:t>
      </w:r>
      <w:r w:rsidR="0032653E" w:rsidRPr="00153518">
        <w:t xml:space="preserve">Simple, achievable goals (e.g., “explore two new green routes over the next fortnight”), gentle progression on one session every week (a hillier loop, a slightly longer blue-space route), and small feedback cues (a streak counter; a note of “what I did well today”) can support self-efficacy while preserving the restorative intent. </w:t>
      </w:r>
      <w:r>
        <w:t xml:space="preserve"> Indeed there is sufficient insight to support the development of a guided nature connection journal or app for busy working parents which would help to both track nature engagement and layer in mastery and self-development reflective practices.   Such a journal or app could include, for example, a </w:t>
      </w:r>
      <w:r w:rsidR="0032653E" w:rsidRPr="00153518">
        <w:t>two</w:t>
      </w:r>
      <w:r>
        <w:t xml:space="preserve"> or three </w:t>
      </w:r>
      <w:r w:rsidR="0032653E" w:rsidRPr="00153518">
        <w:t>item mood check before and after selected walks</w:t>
      </w:r>
      <w:r>
        <w:t xml:space="preserve"> to continue to assess for mood and wellbeing maintenance</w:t>
      </w:r>
      <w:r w:rsidR="0032653E" w:rsidRPr="00153518">
        <w:t>. Lightweight dashboards can convert these data into feedback that reinforces habits and help individuals discover what works for</w:t>
      </w:r>
      <w:r>
        <w:t xml:space="preserve"> them</w:t>
      </w:r>
      <w:r w:rsidR="0032653E" w:rsidRPr="00153518">
        <w:t>. Finally, equity and access should be front and centre</w:t>
      </w:r>
      <w:r w:rsidR="00EC2A04">
        <w:t xml:space="preserve"> for practitioners and policy makers</w:t>
      </w:r>
      <w:r w:rsidR="0032653E" w:rsidRPr="00153518">
        <w:t>. Not all families live near safe, high-quality green</w:t>
      </w:r>
      <w:r w:rsidR="00EC2A04">
        <w:t xml:space="preserve"> or blue </w:t>
      </w:r>
      <w:r w:rsidR="0032653E" w:rsidRPr="00153518">
        <w:t>space</w:t>
      </w:r>
      <w:r w:rsidR="00EC2A04">
        <w:t>s</w:t>
      </w:r>
      <w:r w:rsidR="0032653E" w:rsidRPr="00153518">
        <w:t xml:space="preserve">. Pocket parks, biodiverse courtyards, riverside paths, and well-lit, pram-friendly loops near schools and workplaces can help ensure that the intervention is not only effective </w:t>
      </w:r>
      <w:r w:rsidR="0032653E" w:rsidRPr="00153518">
        <w:lastRenderedPageBreak/>
        <w:t>but also reachable. Co-design with parents from diverse communities guards against solutions that look good on paper but are impractical in daily life (Frumkin et al., 2017).</w:t>
      </w:r>
    </w:p>
    <w:p w14:paraId="2D6D99C6" w14:textId="6F0ED0A2" w:rsidR="0032653E" w:rsidRPr="00153518" w:rsidRDefault="0032653E" w:rsidP="0032653E">
      <w:pPr>
        <w:spacing w:line="360" w:lineRule="auto"/>
      </w:pPr>
      <w:r w:rsidRPr="00153518">
        <w:t>The research agenda that follows from this evaluation is straightforward. Future studies should adopt designs that permit stronger causal inferenc</w:t>
      </w:r>
      <w:r w:rsidR="00057E68">
        <w:t xml:space="preserve">e.  </w:t>
      </w:r>
      <w:r w:rsidRPr="00153518">
        <w:t>Mechanisms and moderators need to be measured directly: perceived restorativeness, detachment, rumination, sleep quality and social connection a</w:t>
      </w:r>
      <w:r w:rsidR="005603F1">
        <w:t>re all critical.  B</w:t>
      </w:r>
      <w:r w:rsidRPr="00153518">
        <w:t>aseline symptom severity, job demands–resources balance, childcare load, and local greenspace availability a</w:t>
      </w:r>
      <w:r w:rsidR="005603F1">
        <w:t>re all important measures to understand a participants starting point</w:t>
      </w:r>
      <w:r w:rsidRPr="00153518">
        <w:t xml:space="preserve">. Intensive longitudinal approaches such as ecological momentary assessment and passive sensing can </w:t>
      </w:r>
      <w:r w:rsidR="005603F1">
        <w:t>‘’…</w:t>
      </w:r>
      <w:r w:rsidRPr="00153518">
        <w:t>illuminate within-person dynamics and temporal ordering, addressing questions that cross-sectional designs cannot</w:t>
      </w:r>
      <w:r w:rsidR="005603F1">
        <w:t xml:space="preserve">’’ </w:t>
      </w:r>
      <w:r w:rsidRPr="00153518">
        <w:t>(Dunton, 2017). The decline in personal accomplishment suggests a</w:t>
      </w:r>
      <w:r w:rsidR="0050144B">
        <w:t xml:space="preserve"> fascinating </w:t>
      </w:r>
      <w:r w:rsidRPr="00153518">
        <w:t xml:space="preserve">experimental comparison worth </w:t>
      </w:r>
      <w:r w:rsidR="0050144B">
        <w:t>considering for future research:</w:t>
      </w:r>
      <w:r w:rsidRPr="00153518">
        <w:t xml:space="preserve"> a “restoration-only” walking </w:t>
      </w:r>
      <w:r w:rsidR="0050144B">
        <w:t>intervention</w:t>
      </w:r>
      <w:r w:rsidRPr="00153518">
        <w:t xml:space="preserve"> versus a</w:t>
      </w:r>
      <w:r w:rsidR="0050144B">
        <w:t xml:space="preserve"> guided</w:t>
      </w:r>
      <w:r w:rsidRPr="00153518">
        <w:t xml:space="preserve"> “restoration + mastery” enhancement</w:t>
      </w:r>
      <w:r w:rsidR="0050144B">
        <w:t xml:space="preserve">.  Further, in such a study, the measured </w:t>
      </w:r>
      <w:r w:rsidRPr="00153518">
        <w:t>outcomes</w:t>
      </w:r>
      <w:r w:rsidR="0050144B">
        <w:t xml:space="preserve"> could</w:t>
      </w:r>
      <w:r w:rsidRPr="00153518">
        <w:t xml:space="preserve"> extend beyond self-report to </w:t>
      </w:r>
      <w:r w:rsidR="0050144B">
        <w:t xml:space="preserve">include </w:t>
      </w:r>
      <w:r w:rsidRPr="00153518">
        <w:t>work engagement, task performance, and absenteeism/presenteeism (West et al., 2016). Longer follow-up across seasons would help to assess maintenance and relapse</w:t>
      </w:r>
      <w:r w:rsidR="0050144B">
        <w:t xml:space="preserve">, particular in climates with extreme seasons.  </w:t>
      </w:r>
      <w:r w:rsidRPr="00153518">
        <w:t xml:space="preserve"> </w:t>
      </w:r>
      <w:r w:rsidR="0050144B">
        <w:t>Finally,</w:t>
      </w:r>
      <w:r w:rsidRPr="00153518">
        <w:t xml:space="preserve"> </w:t>
      </w:r>
      <w:r w:rsidR="0050144B">
        <w:t>further studies</w:t>
      </w:r>
      <w:r w:rsidRPr="00153518">
        <w:t xml:space="preserve"> </w:t>
      </w:r>
      <w:r w:rsidR="0050144B">
        <w:t>c</w:t>
      </w:r>
      <w:r w:rsidRPr="00153518">
        <w:t xml:space="preserve">ould include basic cost </w:t>
      </w:r>
      <w:r w:rsidR="0050144B">
        <w:t xml:space="preserve">and income </w:t>
      </w:r>
      <w:r w:rsidRPr="00153518">
        <w:t>metrics so that commissioners can weigh value for money</w:t>
      </w:r>
      <w:r w:rsidR="0050144B">
        <w:t xml:space="preserve"> and accessibility</w:t>
      </w:r>
      <w:r w:rsidRPr="00153518">
        <w:t xml:space="preserve"> (Lakens, 2013).</w:t>
      </w:r>
    </w:p>
    <w:p w14:paraId="60B0FDD8" w14:textId="2D5D2FB0" w:rsidR="0032653E" w:rsidRPr="00153518" w:rsidRDefault="0032653E" w:rsidP="0032653E">
      <w:pPr>
        <w:spacing w:line="360" w:lineRule="auto"/>
      </w:pPr>
      <w:r w:rsidRPr="00153518">
        <w:t>In sum</w:t>
      </w:r>
      <w:r w:rsidR="0050144B">
        <w:t>mary</w:t>
      </w:r>
      <w:r w:rsidRPr="00153518">
        <w:t xml:space="preserve">, the present study adds a nuanced </w:t>
      </w:r>
      <w:r w:rsidR="0050144B">
        <w:t>insight</w:t>
      </w:r>
      <w:r w:rsidRPr="00153518">
        <w:t xml:space="preserve"> to the evidence base on nature and mental health. For full-time working parents, modest, routine contact with nearby nature coincided with substantial improvements in mood and meaningful reductions in emotional exhaustion, even though “more minutes” were not linearly related to “more benefit” within the observed range. The most credible </w:t>
      </w:r>
      <w:r w:rsidR="0050144B">
        <w:t>output</w:t>
      </w:r>
      <w:r w:rsidRPr="00153518">
        <w:t xml:space="preserve"> is that quality and psychological detachment </w:t>
      </w:r>
      <w:r w:rsidR="0050144B">
        <w:t>we</w:t>
      </w:r>
      <w:r w:rsidRPr="00153518">
        <w:t xml:space="preserve">re the </w:t>
      </w:r>
      <w:r w:rsidR="0050144B">
        <w:t>key</w:t>
      </w:r>
      <w:r w:rsidRPr="00153518">
        <w:t xml:space="preserve"> levers. Minutes per week, while convenient to count</w:t>
      </w:r>
      <w:r w:rsidR="0050144B">
        <w:t xml:space="preserve"> and track</w:t>
      </w:r>
      <w:r w:rsidRPr="00153518">
        <w:t>, a</w:t>
      </w:r>
      <w:r w:rsidR="0050144B">
        <w:t>ppear to be an</w:t>
      </w:r>
      <w:r w:rsidRPr="00153518">
        <w:t xml:space="preserve"> imperfect proxy for those ingredients. The one robust adverse signal</w:t>
      </w:r>
      <w:r w:rsidR="0050144B">
        <w:t xml:space="preserve">, </w:t>
      </w:r>
      <w:r w:rsidRPr="00153518">
        <w:t>reduced personal accomplishment</w:t>
      </w:r>
      <w:r w:rsidR="0050144B">
        <w:t xml:space="preserve">, </w:t>
      </w:r>
      <w:r w:rsidRPr="00153518">
        <w:t>appears to be a design issue rather than a fundamental flaw</w:t>
      </w:r>
      <w:r w:rsidR="0050144B">
        <w:t xml:space="preserve"> in nature connection theory.  L</w:t>
      </w:r>
      <w:r w:rsidRPr="00153518">
        <w:t xml:space="preserve">ightly layering mastery and feedback onto a restorative walking offer </w:t>
      </w:r>
      <w:r w:rsidR="0050144B">
        <w:t>c</w:t>
      </w:r>
      <w:r w:rsidRPr="00153518">
        <w:t>ould support recovery</w:t>
      </w:r>
      <w:r w:rsidR="0050144B">
        <w:t>, impact and task performance</w:t>
      </w:r>
      <w:r w:rsidRPr="00153518">
        <w:t xml:space="preserve">. The next phase of work is to test these refinements under controlled </w:t>
      </w:r>
      <w:r w:rsidRPr="00153518">
        <w:lastRenderedPageBreak/>
        <w:t xml:space="preserve">conditions, with better measurement of mechanisms and attention to implementation realities. If that agenda is pursued, nature-based walking can become a reliable, scalable component of a broader response to the mental-health challenges faced by working </w:t>
      </w:r>
      <w:r w:rsidR="0050144B">
        <w:t>parent</w:t>
      </w:r>
      <w:r w:rsidRPr="00153518">
        <w:t>s.</w:t>
      </w:r>
    </w:p>
    <w:p w14:paraId="01073B2A" w14:textId="77777777" w:rsidR="0032653E" w:rsidRPr="0032653E" w:rsidRDefault="0032653E" w:rsidP="0032653E">
      <w:pPr>
        <w:spacing w:line="360" w:lineRule="auto"/>
      </w:pPr>
    </w:p>
    <w:p w14:paraId="6DA9F937" w14:textId="77777777" w:rsidR="0032653E" w:rsidRPr="0065723F" w:rsidRDefault="0032653E" w:rsidP="2357DC9D">
      <w:pPr>
        <w:spacing w:line="360" w:lineRule="auto"/>
        <w:rPr>
          <w:b/>
          <w:bCs/>
        </w:rPr>
      </w:pPr>
    </w:p>
    <w:p w14:paraId="030D74D3" w14:textId="6FD4F4D7" w:rsidR="0018082A" w:rsidRPr="0065723F" w:rsidRDefault="0018082A" w:rsidP="2357DC9D">
      <w:pPr>
        <w:spacing w:line="360" w:lineRule="auto"/>
        <w:rPr>
          <w:b/>
          <w:bCs/>
        </w:rPr>
      </w:pPr>
    </w:p>
    <w:p w14:paraId="7BEEA0AF" w14:textId="23D4E31D" w:rsidR="0018082A" w:rsidRPr="0065723F" w:rsidRDefault="00560291" w:rsidP="00122C7C">
      <w:pPr>
        <w:spacing w:line="360" w:lineRule="auto"/>
      </w:pPr>
      <w:r>
        <w:br w:type="page"/>
      </w:r>
    </w:p>
    <w:p w14:paraId="3CF4CBED" w14:textId="1A1D6015" w:rsidR="0018082A" w:rsidRPr="0065723F" w:rsidRDefault="6B74A156" w:rsidP="2357DC9D">
      <w:pPr>
        <w:spacing w:line="360" w:lineRule="auto"/>
        <w:rPr>
          <w:b/>
          <w:bCs/>
        </w:rPr>
      </w:pPr>
      <w:r w:rsidRPr="2357DC9D">
        <w:rPr>
          <w:b/>
          <w:bCs/>
        </w:rPr>
        <w:lastRenderedPageBreak/>
        <w:t>CONCLUSION</w:t>
      </w:r>
    </w:p>
    <w:p w14:paraId="030B3A02" w14:textId="6F8E0433" w:rsidR="0018082A" w:rsidRPr="0065723F" w:rsidRDefault="6B74A156" w:rsidP="2357DC9D">
      <w:pPr>
        <w:spacing w:line="360" w:lineRule="auto"/>
      </w:pPr>
      <w:r w:rsidRPr="2357DC9D">
        <w:rPr>
          <w:rFonts w:ascii="Aptos" w:eastAsia="Aptos" w:hAnsi="Aptos" w:cs="Aptos"/>
        </w:rPr>
        <w:t xml:space="preserve">This dissertation examined whether walking in nature </w:t>
      </w:r>
      <w:r w:rsidR="54FF27D5" w:rsidRPr="2357DC9D">
        <w:rPr>
          <w:rFonts w:ascii="Aptos" w:eastAsia="Aptos" w:hAnsi="Aptos" w:cs="Aptos"/>
        </w:rPr>
        <w:t>can</w:t>
      </w:r>
      <w:r w:rsidRPr="2357DC9D">
        <w:rPr>
          <w:rFonts w:ascii="Aptos" w:eastAsia="Aptos" w:hAnsi="Aptos" w:cs="Aptos"/>
        </w:rPr>
        <w:t xml:space="preserve"> </w:t>
      </w:r>
      <w:r w:rsidR="3D0519E5" w:rsidRPr="2357DC9D">
        <w:rPr>
          <w:rFonts w:ascii="Aptos" w:eastAsia="Aptos" w:hAnsi="Aptos" w:cs="Aptos"/>
        </w:rPr>
        <w:t xml:space="preserve">lead to </w:t>
      </w:r>
      <w:r w:rsidRPr="2357DC9D">
        <w:rPr>
          <w:rFonts w:ascii="Aptos" w:eastAsia="Aptos" w:hAnsi="Aptos" w:cs="Aptos"/>
        </w:rPr>
        <w:t>measurable change</w:t>
      </w:r>
      <w:r w:rsidR="456F18CD" w:rsidRPr="2357DC9D">
        <w:rPr>
          <w:rFonts w:ascii="Aptos" w:eastAsia="Aptos" w:hAnsi="Aptos" w:cs="Aptos"/>
        </w:rPr>
        <w:t>s</w:t>
      </w:r>
      <w:r w:rsidRPr="2357DC9D">
        <w:rPr>
          <w:rFonts w:ascii="Aptos" w:eastAsia="Aptos" w:hAnsi="Aptos" w:cs="Aptos"/>
        </w:rPr>
        <w:t xml:space="preserve"> in mental health and burnout among full-time working parents, and whether </w:t>
      </w:r>
      <w:r w:rsidR="6DF85E27" w:rsidRPr="2357DC9D">
        <w:rPr>
          <w:rFonts w:ascii="Aptos" w:eastAsia="Aptos" w:hAnsi="Aptos" w:cs="Aptos"/>
        </w:rPr>
        <w:t xml:space="preserve">a </w:t>
      </w:r>
      <w:r w:rsidRPr="2357DC9D">
        <w:rPr>
          <w:rFonts w:ascii="Aptos" w:eastAsia="Aptos" w:hAnsi="Aptos" w:cs="Aptos"/>
        </w:rPr>
        <w:t>greater “dose” of walking</w:t>
      </w:r>
      <w:r w:rsidR="4546E67E" w:rsidRPr="2357DC9D">
        <w:rPr>
          <w:rFonts w:ascii="Aptos" w:eastAsia="Aptos" w:hAnsi="Aptos" w:cs="Aptos"/>
        </w:rPr>
        <w:t xml:space="preserve"> can elicit a </w:t>
      </w:r>
      <w:r w:rsidRPr="2357DC9D">
        <w:rPr>
          <w:rFonts w:ascii="Aptos" w:eastAsia="Aptos" w:hAnsi="Aptos" w:cs="Aptos"/>
        </w:rPr>
        <w:t xml:space="preserve">greater benefit. Across 31 participants followed for a mean of ~118 days, depressive symptoms (BDI-II) decreased </w:t>
      </w:r>
      <w:r w:rsidR="4ED744FD" w:rsidRPr="2357DC9D">
        <w:rPr>
          <w:rFonts w:ascii="Aptos" w:eastAsia="Aptos" w:hAnsi="Aptos" w:cs="Aptos"/>
        </w:rPr>
        <w:t>substantially,</w:t>
      </w:r>
      <w:r w:rsidRPr="2357DC9D">
        <w:rPr>
          <w:rFonts w:ascii="Aptos" w:eastAsia="Aptos" w:hAnsi="Aptos" w:cs="Aptos"/>
        </w:rPr>
        <w:t xml:space="preserve"> and emotional exhaustion (MBI-EE) fell by a moderate margin. Mental wellbeing (SWEMWBS) improved in rank-based testing, while personal accomplishment (MBI-PA) declined. ONS indicators changed little on average, aside from a Wilcoxon improvement in feeling</w:t>
      </w:r>
      <w:r w:rsidR="4AF9E688" w:rsidRPr="2357DC9D">
        <w:rPr>
          <w:rFonts w:ascii="Aptos" w:eastAsia="Aptos" w:hAnsi="Aptos" w:cs="Aptos"/>
        </w:rPr>
        <w:t>s</w:t>
      </w:r>
      <w:r w:rsidRPr="2357DC9D">
        <w:rPr>
          <w:rFonts w:ascii="Aptos" w:eastAsia="Aptos" w:hAnsi="Aptos" w:cs="Aptos"/>
        </w:rPr>
        <w:t xml:space="preserve"> that life is worthwhile. Dose–response analyses, using Pearson and Spearman correlations, found no reliable linear association between walking exposure and the magnitude of psychological change. Qualitative </w:t>
      </w:r>
      <w:r w:rsidR="62A46C82" w:rsidRPr="2357DC9D">
        <w:rPr>
          <w:rFonts w:ascii="Aptos" w:eastAsia="Aptos" w:hAnsi="Aptos" w:cs="Aptos"/>
        </w:rPr>
        <w:t>interviews</w:t>
      </w:r>
      <w:r w:rsidRPr="2357DC9D">
        <w:rPr>
          <w:rFonts w:ascii="Aptos" w:eastAsia="Aptos" w:hAnsi="Aptos" w:cs="Aptos"/>
        </w:rPr>
        <w:t xml:space="preserve"> with three </w:t>
      </w:r>
      <w:r w:rsidR="58A1F945" w:rsidRPr="2357DC9D">
        <w:rPr>
          <w:rFonts w:ascii="Aptos" w:eastAsia="Aptos" w:hAnsi="Aptos" w:cs="Aptos"/>
        </w:rPr>
        <w:t xml:space="preserve">randomly selected </w:t>
      </w:r>
      <w:r w:rsidRPr="2357DC9D">
        <w:rPr>
          <w:rFonts w:ascii="Aptos" w:eastAsia="Aptos" w:hAnsi="Aptos" w:cs="Aptos"/>
        </w:rPr>
        <w:t xml:space="preserve">participants converged on a simple </w:t>
      </w:r>
      <w:r w:rsidR="5560AA80" w:rsidRPr="2357DC9D">
        <w:rPr>
          <w:rFonts w:ascii="Aptos" w:eastAsia="Aptos" w:hAnsi="Aptos" w:cs="Aptos"/>
        </w:rPr>
        <w:t xml:space="preserve">yet powerful </w:t>
      </w:r>
      <w:r w:rsidRPr="2357DC9D">
        <w:rPr>
          <w:rFonts w:ascii="Aptos" w:eastAsia="Aptos" w:hAnsi="Aptos" w:cs="Aptos"/>
        </w:rPr>
        <w:t>insight: people emphasised quality of contact</w:t>
      </w:r>
      <w:r w:rsidR="28A31457" w:rsidRPr="2357DC9D">
        <w:rPr>
          <w:rFonts w:ascii="Aptos" w:eastAsia="Aptos" w:hAnsi="Aptos" w:cs="Aptos"/>
        </w:rPr>
        <w:t xml:space="preserve"> </w:t>
      </w:r>
      <w:r w:rsidRPr="2357DC9D">
        <w:rPr>
          <w:rFonts w:ascii="Aptos" w:eastAsia="Aptos" w:hAnsi="Aptos" w:cs="Aptos"/>
        </w:rPr>
        <w:t xml:space="preserve">over </w:t>
      </w:r>
      <w:r w:rsidR="1A9CECE2" w:rsidRPr="2357DC9D">
        <w:rPr>
          <w:rFonts w:ascii="Aptos" w:eastAsia="Aptos" w:hAnsi="Aptos" w:cs="Aptos"/>
        </w:rPr>
        <w:t>time.  Feelings of calm, attractive green/blue settings, phone-light avoidance and an unrushed pace shone through in the interviews as a critical driver of perceived benefits.</w:t>
      </w:r>
    </w:p>
    <w:p w14:paraId="28E00C18" w14:textId="580A5083" w:rsidR="0018082A" w:rsidRPr="0065723F" w:rsidRDefault="6B74A156" w:rsidP="2357DC9D">
      <w:pPr>
        <w:spacing w:line="360" w:lineRule="auto"/>
        <w:rPr>
          <w:rFonts w:ascii="Aptos" w:eastAsia="Aptos" w:hAnsi="Aptos" w:cs="Aptos"/>
        </w:rPr>
      </w:pPr>
      <w:r w:rsidRPr="2357DC9D">
        <w:rPr>
          <w:rFonts w:ascii="Aptos" w:eastAsia="Aptos" w:hAnsi="Aptos" w:cs="Aptos"/>
        </w:rPr>
        <w:t xml:space="preserve">Taken together, these findings are consistent with contemporary theory and evidence. Attention Restoration Theory and Stress Recovery Theory </w:t>
      </w:r>
      <w:r w:rsidR="0418079B" w:rsidRPr="2357DC9D">
        <w:rPr>
          <w:rFonts w:ascii="Aptos" w:eastAsia="Aptos" w:hAnsi="Aptos" w:cs="Aptos"/>
        </w:rPr>
        <w:t xml:space="preserve">more than three decades ago </w:t>
      </w:r>
      <w:r w:rsidRPr="2357DC9D">
        <w:rPr>
          <w:rFonts w:ascii="Aptos" w:eastAsia="Aptos" w:hAnsi="Aptos" w:cs="Aptos"/>
        </w:rPr>
        <w:t>predict</w:t>
      </w:r>
      <w:r w:rsidR="6E94E870" w:rsidRPr="2357DC9D">
        <w:rPr>
          <w:rFonts w:ascii="Aptos" w:eastAsia="Aptos" w:hAnsi="Aptos" w:cs="Aptos"/>
        </w:rPr>
        <w:t>ed</w:t>
      </w:r>
      <w:r w:rsidRPr="2357DC9D">
        <w:rPr>
          <w:rFonts w:ascii="Aptos" w:eastAsia="Aptos" w:hAnsi="Aptos" w:cs="Aptos"/>
        </w:rPr>
        <w:t xml:space="preserve"> that relatively brief, high-quality nature exposure can reduce rumination and perceived stress while restoring cognitive control</w:t>
      </w:r>
      <w:r w:rsidR="08293090" w:rsidRPr="2357DC9D">
        <w:rPr>
          <w:rFonts w:ascii="Aptos" w:eastAsia="Aptos" w:hAnsi="Aptos" w:cs="Aptos"/>
        </w:rPr>
        <w:t xml:space="preserve"> - </w:t>
      </w:r>
      <w:r w:rsidRPr="2357DC9D">
        <w:rPr>
          <w:rFonts w:ascii="Aptos" w:eastAsia="Aptos" w:hAnsi="Aptos" w:cs="Aptos"/>
        </w:rPr>
        <w:t>mechanisms reflected in the large BDI-II reduction and the medium decrease in emotional exhaustion</w:t>
      </w:r>
      <w:r w:rsidR="61D7758D" w:rsidRPr="2357DC9D">
        <w:rPr>
          <w:rFonts w:ascii="Aptos" w:eastAsia="Aptos" w:hAnsi="Aptos" w:cs="Aptos"/>
        </w:rPr>
        <w:t xml:space="preserve"> seen in this study</w:t>
      </w:r>
      <w:r w:rsidRPr="2357DC9D">
        <w:rPr>
          <w:rFonts w:ascii="Aptos" w:eastAsia="Aptos" w:hAnsi="Aptos" w:cs="Aptos"/>
        </w:rPr>
        <w:t>. In a real-world population balancing employment and caregiving, the behaviour that “fits” appears to be the one that helps</w:t>
      </w:r>
      <w:r w:rsidR="5B687FBA" w:rsidRPr="2357DC9D">
        <w:rPr>
          <w:rFonts w:ascii="Aptos" w:eastAsia="Aptos" w:hAnsi="Aptos" w:cs="Aptos"/>
        </w:rPr>
        <w:t xml:space="preserve"> the most</w:t>
      </w:r>
      <w:r w:rsidRPr="2357DC9D">
        <w:rPr>
          <w:rFonts w:ascii="Aptos" w:eastAsia="Aptos" w:hAnsi="Aptos" w:cs="Aptos"/>
        </w:rPr>
        <w:t>: two or three short, feasible, pleasant bouts a week were enough to coincide with meaningful change</w:t>
      </w:r>
      <w:r w:rsidR="7878A665" w:rsidRPr="2357DC9D">
        <w:rPr>
          <w:rFonts w:ascii="Aptos" w:eastAsia="Aptos" w:hAnsi="Aptos" w:cs="Aptos"/>
        </w:rPr>
        <w:t xml:space="preserve"> and </w:t>
      </w:r>
      <w:r w:rsidRPr="2357DC9D">
        <w:rPr>
          <w:rFonts w:ascii="Aptos" w:eastAsia="Aptos" w:hAnsi="Aptos" w:cs="Aptos"/>
        </w:rPr>
        <w:t xml:space="preserve">more minutes within the observed range were not systematically </w:t>
      </w:r>
      <w:r w:rsidR="45C0C487" w:rsidRPr="2357DC9D">
        <w:rPr>
          <w:rFonts w:ascii="Aptos" w:eastAsia="Aptos" w:hAnsi="Aptos" w:cs="Aptos"/>
        </w:rPr>
        <w:t>beneficial.</w:t>
      </w:r>
    </w:p>
    <w:p w14:paraId="79EA61AD" w14:textId="4BFFEDF6" w:rsidR="0018082A" w:rsidRPr="0065723F" w:rsidRDefault="6B74A156" w:rsidP="2357DC9D">
      <w:pPr>
        <w:spacing w:line="360" w:lineRule="auto"/>
      </w:pPr>
      <w:r w:rsidRPr="2357DC9D">
        <w:rPr>
          <w:rFonts w:ascii="Aptos" w:eastAsia="Aptos" w:hAnsi="Aptos" w:cs="Aptos"/>
        </w:rPr>
        <w:t xml:space="preserve">The one adverse </w:t>
      </w:r>
      <w:r w:rsidR="08A5375B" w:rsidRPr="2357DC9D">
        <w:rPr>
          <w:rFonts w:ascii="Aptos" w:eastAsia="Aptos" w:hAnsi="Aptos" w:cs="Aptos"/>
        </w:rPr>
        <w:t xml:space="preserve">result, </w:t>
      </w:r>
      <w:r w:rsidRPr="2357DC9D">
        <w:rPr>
          <w:rFonts w:ascii="Aptos" w:eastAsia="Aptos" w:hAnsi="Aptos" w:cs="Aptos"/>
        </w:rPr>
        <w:t>reduced personal accomplishment</w:t>
      </w:r>
      <w:r w:rsidR="64C79CB1" w:rsidRPr="2357DC9D">
        <w:rPr>
          <w:rFonts w:ascii="Aptos" w:eastAsia="Aptos" w:hAnsi="Aptos" w:cs="Aptos"/>
        </w:rPr>
        <w:t xml:space="preserve">, </w:t>
      </w:r>
      <w:r w:rsidR="5A6EBD30" w:rsidRPr="2357DC9D">
        <w:rPr>
          <w:rFonts w:ascii="Aptos" w:eastAsia="Aptos" w:hAnsi="Aptos" w:cs="Aptos"/>
        </w:rPr>
        <w:t>points to the need for future research to better understand the mechanisms at play</w:t>
      </w:r>
      <w:r w:rsidRPr="2357DC9D">
        <w:rPr>
          <w:rFonts w:ascii="Aptos" w:eastAsia="Aptos" w:hAnsi="Aptos" w:cs="Aptos"/>
        </w:rPr>
        <w:t xml:space="preserve">. Interviews framed walking primarily as decompression, </w:t>
      </w:r>
      <w:r w:rsidR="129F40A5" w:rsidRPr="2357DC9D">
        <w:rPr>
          <w:rFonts w:ascii="Aptos" w:eastAsia="Aptos" w:hAnsi="Aptos" w:cs="Aptos"/>
        </w:rPr>
        <w:t xml:space="preserve">rather than mastery or </w:t>
      </w:r>
      <w:r w:rsidR="0576C599" w:rsidRPr="2357DC9D">
        <w:rPr>
          <w:rFonts w:ascii="Aptos" w:eastAsia="Aptos" w:hAnsi="Aptos" w:cs="Aptos"/>
        </w:rPr>
        <w:t>self-development</w:t>
      </w:r>
      <w:r w:rsidR="129F40A5" w:rsidRPr="2357DC9D">
        <w:rPr>
          <w:rFonts w:ascii="Aptos" w:eastAsia="Aptos" w:hAnsi="Aptos" w:cs="Aptos"/>
        </w:rPr>
        <w:t xml:space="preserve"> focused.  </w:t>
      </w:r>
      <w:r w:rsidRPr="2357DC9D">
        <w:rPr>
          <w:rFonts w:ascii="Aptos" w:eastAsia="Aptos" w:hAnsi="Aptos" w:cs="Aptos"/>
        </w:rPr>
        <w:t xml:space="preserve"> Without cues that mark progress (simple goals, gentle challenge</w:t>
      </w:r>
      <w:r w:rsidR="6628EBB5" w:rsidRPr="2357DC9D">
        <w:rPr>
          <w:rFonts w:ascii="Aptos" w:eastAsia="Aptos" w:hAnsi="Aptos" w:cs="Aptos"/>
        </w:rPr>
        <w:t>s</w:t>
      </w:r>
      <w:r w:rsidRPr="2357DC9D">
        <w:rPr>
          <w:rFonts w:ascii="Aptos" w:eastAsia="Aptos" w:hAnsi="Aptos" w:cs="Aptos"/>
        </w:rPr>
        <w:t>, feedback)</w:t>
      </w:r>
      <w:r w:rsidR="0E21FE5B" w:rsidRPr="2357DC9D">
        <w:rPr>
          <w:rFonts w:ascii="Aptos" w:eastAsia="Aptos" w:hAnsi="Aptos" w:cs="Aptos"/>
        </w:rPr>
        <w:t>,</w:t>
      </w:r>
      <w:r w:rsidRPr="2357DC9D">
        <w:rPr>
          <w:rFonts w:ascii="Aptos" w:eastAsia="Aptos" w:hAnsi="Aptos" w:cs="Aptos"/>
        </w:rPr>
        <w:t xml:space="preserve"> perceived competence can drift even as mood lifts and exhaustion eases. </w:t>
      </w:r>
      <w:r w:rsidR="6129A2B5" w:rsidRPr="2357DC9D">
        <w:rPr>
          <w:rFonts w:ascii="Aptos" w:eastAsia="Aptos" w:hAnsi="Aptos" w:cs="Aptos"/>
        </w:rPr>
        <w:t>Future p</w:t>
      </w:r>
      <w:r w:rsidRPr="2357DC9D">
        <w:rPr>
          <w:rFonts w:ascii="Aptos" w:eastAsia="Aptos" w:hAnsi="Aptos" w:cs="Aptos"/>
        </w:rPr>
        <w:t xml:space="preserve">rogrammes should therefore preserve the restorative core while lightly layering mastery </w:t>
      </w:r>
      <w:r w:rsidR="4CC54A63" w:rsidRPr="2357DC9D">
        <w:rPr>
          <w:rFonts w:ascii="Aptos" w:eastAsia="Aptos" w:hAnsi="Aptos" w:cs="Aptos"/>
        </w:rPr>
        <w:t xml:space="preserve">or </w:t>
      </w:r>
      <w:r w:rsidR="7B7A7EE0" w:rsidRPr="2357DC9D">
        <w:rPr>
          <w:rFonts w:ascii="Aptos" w:eastAsia="Aptos" w:hAnsi="Aptos" w:cs="Aptos"/>
        </w:rPr>
        <w:t>self-development</w:t>
      </w:r>
      <w:r w:rsidR="4CC54A63" w:rsidRPr="2357DC9D">
        <w:rPr>
          <w:rFonts w:ascii="Aptos" w:eastAsia="Aptos" w:hAnsi="Aptos" w:cs="Aptos"/>
        </w:rPr>
        <w:t xml:space="preserve"> </w:t>
      </w:r>
      <w:r w:rsidRPr="2357DC9D">
        <w:rPr>
          <w:rFonts w:ascii="Aptos" w:eastAsia="Aptos" w:hAnsi="Aptos" w:cs="Aptos"/>
        </w:rPr>
        <w:t xml:space="preserve">elements </w:t>
      </w:r>
      <w:r w:rsidR="7D11583D" w:rsidRPr="2357DC9D">
        <w:rPr>
          <w:rFonts w:ascii="Aptos" w:eastAsia="Aptos" w:hAnsi="Aptos" w:cs="Aptos"/>
        </w:rPr>
        <w:t xml:space="preserve">into the guidance.  </w:t>
      </w:r>
      <w:r w:rsidRPr="2357DC9D">
        <w:rPr>
          <w:rFonts w:ascii="Aptos" w:eastAsia="Aptos" w:hAnsi="Aptos" w:cs="Aptos"/>
        </w:rPr>
        <w:t xml:space="preserve">Employers and local authorities can assist </w:t>
      </w:r>
      <w:r w:rsidRPr="2357DC9D">
        <w:rPr>
          <w:rFonts w:ascii="Aptos" w:eastAsia="Aptos" w:hAnsi="Aptos" w:cs="Aptos"/>
        </w:rPr>
        <w:lastRenderedPageBreak/>
        <w:t>by enabling short outdoor micro-breaks, curating safe, attractive routes near workplaces and schools, and maintaining small but high-quality greenspaces that are easy to access in tight schedules.</w:t>
      </w:r>
    </w:p>
    <w:p w14:paraId="22BAB867" w14:textId="6998D8C9" w:rsidR="0018082A" w:rsidRPr="0065723F" w:rsidRDefault="7820DD20" w:rsidP="2357DC9D">
      <w:pPr>
        <w:spacing w:line="360" w:lineRule="auto"/>
      </w:pPr>
      <w:r w:rsidRPr="2357DC9D">
        <w:rPr>
          <w:rFonts w:ascii="Aptos" w:eastAsia="Aptos" w:hAnsi="Aptos" w:cs="Aptos"/>
        </w:rPr>
        <w:t>In terms of methodology</w:t>
      </w:r>
      <w:r w:rsidR="6B74A156" w:rsidRPr="2357DC9D">
        <w:rPr>
          <w:rFonts w:ascii="Aptos" w:eastAsia="Aptos" w:hAnsi="Aptos" w:cs="Aptos"/>
        </w:rPr>
        <w:t>, the study adopted validated measures across depression, wellbeing and burnout</w:t>
      </w:r>
      <w:r w:rsidR="3BFB289D" w:rsidRPr="2357DC9D">
        <w:rPr>
          <w:rFonts w:ascii="Aptos" w:eastAsia="Aptos" w:hAnsi="Aptos" w:cs="Aptos"/>
        </w:rPr>
        <w:t xml:space="preserve">.  </w:t>
      </w:r>
      <w:r w:rsidR="6B74A156" w:rsidRPr="2357DC9D">
        <w:rPr>
          <w:rFonts w:ascii="Aptos" w:eastAsia="Aptos" w:hAnsi="Aptos" w:cs="Aptos"/>
        </w:rPr>
        <w:t>Limitation</w:t>
      </w:r>
      <w:r w:rsidR="0BBA47F6" w:rsidRPr="2357DC9D">
        <w:rPr>
          <w:rFonts w:ascii="Aptos" w:eastAsia="Aptos" w:hAnsi="Aptos" w:cs="Aptos"/>
        </w:rPr>
        <w:t xml:space="preserve">, however, </w:t>
      </w:r>
      <w:r w:rsidR="6B74A156" w:rsidRPr="2357DC9D">
        <w:rPr>
          <w:rFonts w:ascii="Aptos" w:eastAsia="Aptos" w:hAnsi="Aptos" w:cs="Aptos"/>
        </w:rPr>
        <w:t xml:space="preserve">remain: an uncontrolled pre–post design, modest sample size, self-reported exposure, and limited qualitative </w:t>
      </w:r>
      <w:r w:rsidR="6D9FFA42" w:rsidRPr="2357DC9D">
        <w:rPr>
          <w:rFonts w:ascii="Aptos" w:eastAsia="Aptos" w:hAnsi="Aptos" w:cs="Aptos"/>
        </w:rPr>
        <w:t>follow ups are all considerations</w:t>
      </w:r>
      <w:r w:rsidR="6B74A156" w:rsidRPr="2357DC9D">
        <w:rPr>
          <w:rFonts w:ascii="Aptos" w:eastAsia="Aptos" w:hAnsi="Aptos" w:cs="Aptos"/>
        </w:rPr>
        <w:t xml:space="preserve">. These temper causal claims but do not negate the </w:t>
      </w:r>
      <w:r w:rsidR="475BA0D0" w:rsidRPr="2357DC9D">
        <w:rPr>
          <w:rFonts w:ascii="Aptos" w:eastAsia="Aptos" w:hAnsi="Aptos" w:cs="Aptos"/>
        </w:rPr>
        <w:t>direction</w:t>
      </w:r>
      <w:r w:rsidR="6B74A156" w:rsidRPr="2357DC9D">
        <w:rPr>
          <w:rFonts w:ascii="Aptos" w:eastAsia="Aptos" w:hAnsi="Aptos" w:cs="Aptos"/>
        </w:rPr>
        <w:t>al signal</w:t>
      </w:r>
      <w:r w:rsidR="78897AAE" w:rsidRPr="2357DC9D">
        <w:rPr>
          <w:rFonts w:ascii="Aptos" w:eastAsia="Aptos" w:hAnsi="Aptos" w:cs="Aptos"/>
        </w:rPr>
        <w:t xml:space="preserve"> of the results</w:t>
      </w:r>
      <w:r w:rsidR="6B74A156" w:rsidRPr="2357DC9D">
        <w:rPr>
          <w:rFonts w:ascii="Aptos" w:eastAsia="Aptos" w:hAnsi="Aptos" w:cs="Aptos"/>
        </w:rPr>
        <w:t>. The next step is clear</w:t>
      </w:r>
      <w:r w:rsidR="45155B92" w:rsidRPr="2357DC9D">
        <w:rPr>
          <w:rFonts w:ascii="Aptos" w:eastAsia="Aptos" w:hAnsi="Aptos" w:cs="Aptos"/>
        </w:rPr>
        <w:t xml:space="preserve"> and could point to PhD level research</w:t>
      </w:r>
      <w:r w:rsidR="6B74A156" w:rsidRPr="2357DC9D">
        <w:rPr>
          <w:rFonts w:ascii="Aptos" w:eastAsia="Aptos" w:hAnsi="Aptos" w:cs="Aptos"/>
        </w:rPr>
        <w:t xml:space="preserve">: controlled trials, flexible modelling of non-linear dose–response, direct assessment of mechanisms (detachment, rumination, perceived </w:t>
      </w:r>
      <w:r w:rsidR="3DAB4EDD" w:rsidRPr="2357DC9D">
        <w:rPr>
          <w:rFonts w:ascii="Aptos" w:eastAsia="Aptos" w:hAnsi="Aptos" w:cs="Aptos"/>
        </w:rPr>
        <w:t>impact</w:t>
      </w:r>
      <w:r w:rsidR="2301A6F9" w:rsidRPr="2357DC9D">
        <w:rPr>
          <w:rFonts w:ascii="Aptos" w:eastAsia="Aptos" w:hAnsi="Aptos" w:cs="Aptos"/>
        </w:rPr>
        <w:t xml:space="preserve">) </w:t>
      </w:r>
      <w:r w:rsidR="6B74A156" w:rsidRPr="2357DC9D">
        <w:rPr>
          <w:rFonts w:ascii="Aptos" w:eastAsia="Aptos" w:hAnsi="Aptos" w:cs="Aptos"/>
        </w:rPr>
        <w:t xml:space="preserve">and moderators (baseline severity, job demands, childcare load), </w:t>
      </w:r>
      <w:r w:rsidR="00A29527" w:rsidRPr="2357DC9D">
        <w:rPr>
          <w:rFonts w:ascii="Aptos" w:eastAsia="Aptos" w:hAnsi="Aptos" w:cs="Aptos"/>
        </w:rPr>
        <w:t>and a broader qualitative follow up.</w:t>
      </w:r>
    </w:p>
    <w:p w14:paraId="5619C8BC" w14:textId="28B9F0E1" w:rsidR="0018082A" w:rsidRPr="0065723F" w:rsidRDefault="6B74A156" w:rsidP="2357DC9D">
      <w:pPr>
        <w:spacing w:line="360" w:lineRule="auto"/>
        <w:rPr>
          <w:rFonts w:ascii="Aptos" w:eastAsia="Aptos" w:hAnsi="Aptos" w:cs="Aptos"/>
        </w:rPr>
      </w:pPr>
      <w:r w:rsidRPr="2357DC9D">
        <w:rPr>
          <w:rFonts w:ascii="Aptos" w:eastAsia="Aptos" w:hAnsi="Aptos" w:cs="Aptos"/>
        </w:rPr>
        <w:t>In conclusion, for full-time working parents, regular, feasible contact with nearby natur</w:t>
      </w:r>
      <w:r w:rsidR="3B6F30A4" w:rsidRPr="2357DC9D">
        <w:rPr>
          <w:rFonts w:ascii="Aptos" w:eastAsia="Aptos" w:hAnsi="Aptos" w:cs="Aptos"/>
        </w:rPr>
        <w:t>al spaces</w:t>
      </w:r>
      <w:r w:rsidRPr="2357DC9D">
        <w:rPr>
          <w:rFonts w:ascii="Aptos" w:eastAsia="Aptos" w:hAnsi="Aptos" w:cs="Aptos"/>
        </w:rPr>
        <w:t xml:space="preserve"> appears to be associated with meaningful improvements in mood and reduced emotional exhaustion, even without strong evidence that “more is better”. The most credible levers are context quality and psychological detachment, not minutes alone. </w:t>
      </w:r>
      <w:r w:rsidR="356C9C27" w:rsidRPr="2357DC9D">
        <w:rPr>
          <w:rFonts w:ascii="Aptos" w:eastAsia="Aptos" w:hAnsi="Aptos" w:cs="Aptos"/>
        </w:rPr>
        <w:t>Practitioners looking to support parents should consider p</w:t>
      </w:r>
      <w:r w:rsidRPr="2357DC9D">
        <w:rPr>
          <w:rFonts w:ascii="Aptos" w:eastAsia="Aptos" w:hAnsi="Aptos" w:cs="Aptos"/>
        </w:rPr>
        <w:t xml:space="preserve">rogrammes </w:t>
      </w:r>
      <w:r w:rsidR="517F082B" w:rsidRPr="2357DC9D">
        <w:rPr>
          <w:rFonts w:ascii="Aptos" w:eastAsia="Aptos" w:hAnsi="Aptos" w:cs="Aptos"/>
        </w:rPr>
        <w:t>which</w:t>
      </w:r>
      <w:r w:rsidRPr="2357DC9D">
        <w:rPr>
          <w:rFonts w:ascii="Aptos" w:eastAsia="Aptos" w:hAnsi="Aptos" w:cs="Aptos"/>
        </w:rPr>
        <w:t xml:space="preserve"> add light mastery cues </w:t>
      </w:r>
      <w:r w:rsidR="0EA78BD7" w:rsidRPr="2357DC9D">
        <w:rPr>
          <w:rFonts w:ascii="Aptos" w:eastAsia="Aptos" w:hAnsi="Aptos" w:cs="Aptos"/>
        </w:rPr>
        <w:t xml:space="preserve">and a dose </w:t>
      </w:r>
      <w:r w:rsidRPr="2357DC9D">
        <w:rPr>
          <w:rFonts w:ascii="Aptos" w:eastAsia="Aptos" w:hAnsi="Aptos" w:cs="Aptos"/>
        </w:rPr>
        <w:t>that fit</w:t>
      </w:r>
      <w:r w:rsidR="150308CF" w:rsidRPr="2357DC9D">
        <w:rPr>
          <w:rFonts w:ascii="Aptos" w:eastAsia="Aptos" w:hAnsi="Aptos" w:cs="Aptos"/>
        </w:rPr>
        <w:t>s</w:t>
      </w:r>
      <w:r w:rsidRPr="2357DC9D">
        <w:rPr>
          <w:rFonts w:ascii="Aptos" w:eastAsia="Aptos" w:hAnsi="Aptos" w:cs="Aptos"/>
        </w:rPr>
        <w:t xml:space="preserve"> the constraints of busy family life. Pursued in this way</w:t>
      </w:r>
      <w:r w:rsidR="32EDF656" w:rsidRPr="2357DC9D">
        <w:rPr>
          <w:rFonts w:ascii="Aptos" w:eastAsia="Aptos" w:hAnsi="Aptos" w:cs="Aptos"/>
        </w:rPr>
        <w:t xml:space="preserve">, </w:t>
      </w:r>
      <w:r w:rsidRPr="2357DC9D">
        <w:rPr>
          <w:rFonts w:ascii="Aptos" w:eastAsia="Aptos" w:hAnsi="Aptos" w:cs="Aptos"/>
        </w:rPr>
        <w:t>and evaluated with designs that sharpen causal inference</w:t>
      </w:r>
      <w:r w:rsidR="066D392F" w:rsidRPr="2357DC9D">
        <w:rPr>
          <w:rFonts w:ascii="Aptos" w:eastAsia="Aptos" w:hAnsi="Aptos" w:cs="Aptos"/>
        </w:rPr>
        <w:t xml:space="preserve">, </w:t>
      </w:r>
      <w:r w:rsidRPr="2357DC9D">
        <w:rPr>
          <w:rFonts w:ascii="Aptos" w:eastAsia="Aptos" w:hAnsi="Aptos" w:cs="Aptos"/>
        </w:rPr>
        <w:t xml:space="preserve">nature-based walking can be a reliable, scalable component of broader efforts to support the mental health of working </w:t>
      </w:r>
      <w:r w:rsidR="78B1060C" w:rsidRPr="2357DC9D">
        <w:rPr>
          <w:rFonts w:ascii="Aptos" w:eastAsia="Aptos" w:hAnsi="Aptos" w:cs="Aptos"/>
        </w:rPr>
        <w:t>parents.</w:t>
      </w:r>
    </w:p>
    <w:p w14:paraId="501BF5FE" w14:textId="4AE4CA9F" w:rsidR="0018082A" w:rsidRPr="0065723F" w:rsidRDefault="0018082A" w:rsidP="2357DC9D">
      <w:pPr>
        <w:spacing w:line="360" w:lineRule="auto"/>
        <w:rPr>
          <w:rFonts w:ascii="Aptos" w:eastAsia="Aptos" w:hAnsi="Aptos" w:cs="Aptos"/>
        </w:rPr>
      </w:pPr>
    </w:p>
    <w:p w14:paraId="59A3D997" w14:textId="67609C2B" w:rsidR="0018082A" w:rsidRPr="0065723F" w:rsidRDefault="0018082A" w:rsidP="2357DC9D">
      <w:pPr>
        <w:spacing w:line="360" w:lineRule="auto"/>
        <w:rPr>
          <w:b/>
          <w:bCs/>
        </w:rPr>
      </w:pPr>
    </w:p>
    <w:p w14:paraId="544F50E1" w14:textId="6A208E6B" w:rsidR="0018082A" w:rsidRPr="0065723F" w:rsidRDefault="0018082A" w:rsidP="2357DC9D">
      <w:pPr>
        <w:spacing w:line="360" w:lineRule="auto"/>
        <w:rPr>
          <w:b/>
          <w:bCs/>
        </w:rPr>
      </w:pPr>
    </w:p>
    <w:p w14:paraId="6973903E" w14:textId="23A1D7C6" w:rsidR="0018082A" w:rsidRPr="0065723F" w:rsidRDefault="00560291" w:rsidP="00122C7C">
      <w:pPr>
        <w:spacing w:line="360" w:lineRule="auto"/>
      </w:pPr>
      <w:r>
        <w:br w:type="page"/>
      </w:r>
    </w:p>
    <w:p w14:paraId="1B52DC02" w14:textId="118D00DD" w:rsidR="0018082A" w:rsidRPr="0065723F" w:rsidRDefault="00560291" w:rsidP="00122C7C">
      <w:pPr>
        <w:spacing w:line="360" w:lineRule="auto"/>
        <w:rPr>
          <w:b/>
          <w:bCs/>
        </w:rPr>
      </w:pPr>
      <w:r>
        <w:rPr>
          <w:b/>
          <w:bCs/>
        </w:rPr>
        <w:lastRenderedPageBreak/>
        <w:t>BIBLIOGRAPHY</w:t>
      </w:r>
    </w:p>
    <w:p w14:paraId="54CEEC20" w14:textId="77777777" w:rsidR="0018082A" w:rsidRDefault="0018082A" w:rsidP="00122C7C">
      <w:pPr>
        <w:pStyle w:val="ListParagraph"/>
        <w:numPr>
          <w:ilvl w:val="0"/>
          <w:numId w:val="2"/>
        </w:numPr>
        <w:spacing w:after="0" w:line="360" w:lineRule="auto"/>
        <w:ind w:left="0"/>
        <w:rPr>
          <w:rFonts w:eastAsia="Aptos" w:cs="Aptos"/>
        </w:rPr>
      </w:pPr>
      <w:r w:rsidRPr="00D106BE">
        <w:rPr>
          <w:rFonts w:eastAsia="Aptos" w:cs="Aptos"/>
          <w:lang w:val="nb-NO"/>
        </w:rPr>
        <w:t xml:space="preserve">Amstad, F.T., Meier, L.L., Fasel, U., Elfering, A. and Semmer, N.K., 2011. </w:t>
      </w:r>
      <w:r w:rsidRPr="00D106BE">
        <w:rPr>
          <w:rFonts w:eastAsia="Aptos" w:cs="Aptos"/>
        </w:rPr>
        <w:t xml:space="preserve">A meta-analysis of work–family conflict and various outcomes. </w:t>
      </w:r>
      <w:r w:rsidRPr="00D106BE">
        <w:rPr>
          <w:rFonts w:eastAsia="Aptos" w:cs="Aptos"/>
          <w:i/>
          <w:iCs/>
        </w:rPr>
        <w:t>Journal of Occupational Health Psychology</w:t>
      </w:r>
      <w:r w:rsidRPr="00D106BE">
        <w:rPr>
          <w:rFonts w:eastAsia="Aptos" w:cs="Aptos"/>
        </w:rPr>
        <w:t>, 16(2), pp.151–169.</w:t>
      </w:r>
    </w:p>
    <w:p w14:paraId="214578B2" w14:textId="77777777" w:rsidR="0018082A" w:rsidRDefault="0018082A" w:rsidP="00122C7C">
      <w:pPr>
        <w:pStyle w:val="NormalWeb"/>
        <w:numPr>
          <w:ilvl w:val="0"/>
          <w:numId w:val="2"/>
        </w:numPr>
        <w:spacing w:after="0" w:afterAutospacing="0" w:line="360" w:lineRule="auto"/>
        <w:ind w:left="0"/>
        <w:rPr>
          <w:rFonts w:asciiTheme="minorHAnsi" w:hAnsiTheme="minorHAnsi"/>
        </w:rPr>
      </w:pPr>
      <w:r w:rsidRPr="0065723F">
        <w:rPr>
          <w:rFonts w:asciiTheme="minorHAnsi" w:hAnsiTheme="minorHAnsi"/>
        </w:rPr>
        <w:t xml:space="preserve">Annerstedt, M. and Währborg, P. (2011) ‘Nature-assisted therapy: Systematic review of controlled and observational studies’, </w:t>
      </w:r>
      <w:r w:rsidRPr="0065723F">
        <w:rPr>
          <w:rStyle w:val="Emphasis"/>
          <w:rFonts w:asciiTheme="minorHAnsi" w:eastAsiaTheme="majorEastAsia" w:hAnsiTheme="minorHAnsi"/>
        </w:rPr>
        <w:t>Scandinavian Journal of Public H</w:t>
      </w:r>
      <w:r>
        <w:rPr>
          <w:rStyle w:val="Emphasis"/>
          <w:rFonts w:asciiTheme="minorHAnsi" w:eastAsiaTheme="majorEastAsia" w:hAnsiTheme="minorHAnsi"/>
        </w:rPr>
        <w:t>e</w:t>
      </w:r>
      <w:r w:rsidRPr="0065723F">
        <w:rPr>
          <w:rStyle w:val="Emphasis"/>
          <w:rFonts w:asciiTheme="minorHAnsi" w:eastAsiaTheme="majorEastAsia" w:hAnsiTheme="minorHAnsi"/>
        </w:rPr>
        <w:t>alth</w:t>
      </w:r>
      <w:r w:rsidRPr="0065723F">
        <w:rPr>
          <w:rFonts w:asciiTheme="minorHAnsi" w:hAnsiTheme="minorHAnsi"/>
        </w:rPr>
        <w:t>, 39(4), pp. 371–388.</w:t>
      </w:r>
    </w:p>
    <w:p w14:paraId="0133FBD1"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APA (American Psychological Association) (2021) </w:t>
      </w:r>
      <w:r w:rsidRPr="00EE6FEC">
        <w:rPr>
          <w:i/>
          <w:iCs/>
        </w:rPr>
        <w:t>Stress in America 2021: One year later, a new wave of pandemic health concerns</w:t>
      </w:r>
      <w:r w:rsidRPr="007F46B8">
        <w:t>. Washington, DC: APA.</w:t>
      </w:r>
    </w:p>
    <w:p w14:paraId="4250286A" w14:textId="77777777" w:rsidR="0018082A" w:rsidRPr="005C57FC" w:rsidRDefault="0018082A" w:rsidP="00122C7C">
      <w:pPr>
        <w:pStyle w:val="ListParagraph"/>
        <w:numPr>
          <w:ilvl w:val="0"/>
          <w:numId w:val="2"/>
        </w:numPr>
        <w:spacing w:after="0" w:line="360" w:lineRule="auto"/>
        <w:ind w:left="0"/>
        <w:rPr>
          <w:rFonts w:eastAsia="Aptos" w:cs="Aptos"/>
        </w:rPr>
      </w:pPr>
      <w:r>
        <w:t xml:space="preserve">Armstrong, D. (2000) ‘A survey of community gardens in upstate New York: Implications for health promotion and community development’, </w:t>
      </w:r>
      <w:r w:rsidRPr="005C57FC">
        <w:rPr>
          <w:rStyle w:val="Emphasis"/>
          <w:rFonts w:eastAsiaTheme="majorEastAsia"/>
        </w:rPr>
        <w:t>Health &amp; Place</w:t>
      </w:r>
      <w:r>
        <w:t>, 6(4), pp. 319–327.</w:t>
      </w:r>
    </w:p>
    <w:p w14:paraId="182B39C9" w14:textId="77777777" w:rsidR="0018082A" w:rsidRPr="0035036F" w:rsidRDefault="0018082A" w:rsidP="00122C7C">
      <w:pPr>
        <w:pStyle w:val="NormalWeb"/>
        <w:numPr>
          <w:ilvl w:val="0"/>
          <w:numId w:val="2"/>
        </w:numPr>
        <w:spacing w:before="0" w:beforeAutospacing="0" w:after="0" w:afterAutospacing="0" w:line="360" w:lineRule="auto"/>
        <w:ind w:left="0"/>
        <w:rPr>
          <w:rFonts w:asciiTheme="minorHAnsi" w:hAnsiTheme="minorHAnsi"/>
        </w:rPr>
      </w:pPr>
      <w:r w:rsidRPr="0035036F">
        <w:rPr>
          <w:rFonts w:ascii="Aptos" w:eastAsia="Aptos" w:hAnsi="Aptos" w:cs="Aptos"/>
        </w:rPr>
        <w:t xml:space="preserve">Aumann, K., Galinsky, E. and Matos, K. (2011) </w:t>
      </w:r>
      <w:r w:rsidRPr="0035036F">
        <w:rPr>
          <w:rFonts w:ascii="Aptos" w:eastAsia="Aptos" w:hAnsi="Aptos" w:cs="Aptos"/>
          <w:i/>
          <w:iCs/>
        </w:rPr>
        <w:t>The new male mystique</w:t>
      </w:r>
      <w:r w:rsidRPr="0035036F">
        <w:rPr>
          <w:rFonts w:ascii="Aptos" w:eastAsia="Aptos" w:hAnsi="Aptos" w:cs="Aptos"/>
        </w:rPr>
        <w:t>. New York: Families and Work Institute.</w:t>
      </w:r>
    </w:p>
    <w:p w14:paraId="4D5499B4"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Barnett, J., Ogden, J., Daniells, E. and Barnett, J. (2007) ‘The value of online support groups for people with chronic illness: A qualitative study’, </w:t>
      </w:r>
      <w:r w:rsidRPr="00EE6FEC">
        <w:rPr>
          <w:i/>
          <w:iCs/>
        </w:rPr>
        <w:t>Patient Education and Counseling</w:t>
      </w:r>
      <w:r w:rsidRPr="007F46B8">
        <w:t>, 68(2), pp. 235–242.</w:t>
      </w:r>
    </w:p>
    <w:p w14:paraId="41996562" w14:textId="77777777" w:rsidR="0018082A" w:rsidRDefault="0018082A" w:rsidP="00122C7C">
      <w:pPr>
        <w:pStyle w:val="ListParagraph"/>
        <w:numPr>
          <w:ilvl w:val="0"/>
          <w:numId w:val="3"/>
        </w:numPr>
        <w:spacing w:after="0" w:line="360" w:lineRule="auto"/>
        <w:ind w:left="0"/>
        <w:rPr>
          <w:rFonts w:ascii="Aptos" w:eastAsia="Aptos" w:hAnsi="Aptos" w:cs="Aptos"/>
        </w:rPr>
      </w:pPr>
      <w:r w:rsidRPr="1259BC21">
        <w:rPr>
          <w:rFonts w:ascii="Aptos" w:eastAsia="Aptos" w:hAnsi="Aptos" w:cs="Aptos"/>
        </w:rPr>
        <w:t xml:space="preserve">Barton, J. and Pretty, J., 2010. What is the best dose of nature and green exercise for improving mental health? A multi-study analysis. </w:t>
      </w:r>
      <w:r w:rsidRPr="1259BC21">
        <w:rPr>
          <w:rFonts w:ascii="Aptos" w:eastAsia="Aptos" w:hAnsi="Aptos" w:cs="Aptos"/>
          <w:i/>
          <w:iCs/>
        </w:rPr>
        <w:t>Environmental science &amp; technology</w:t>
      </w:r>
      <w:r w:rsidRPr="1259BC21">
        <w:rPr>
          <w:rFonts w:ascii="Aptos" w:eastAsia="Aptos" w:hAnsi="Aptos" w:cs="Aptos"/>
        </w:rPr>
        <w:t xml:space="preserve">, </w:t>
      </w:r>
      <w:r w:rsidRPr="1259BC21">
        <w:rPr>
          <w:rFonts w:ascii="Aptos" w:eastAsia="Aptos" w:hAnsi="Aptos" w:cs="Aptos"/>
          <w:i/>
          <w:iCs/>
        </w:rPr>
        <w:t>44</w:t>
      </w:r>
      <w:r w:rsidRPr="1259BC21">
        <w:rPr>
          <w:rFonts w:ascii="Aptos" w:eastAsia="Aptos" w:hAnsi="Aptos" w:cs="Aptos"/>
        </w:rPr>
        <w:t>(10), pp.3947-3955.</w:t>
      </w:r>
    </w:p>
    <w:p w14:paraId="34D33605"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Beck, A.T., Steer, R.A. and Brown, G.K. (1996) </w:t>
      </w:r>
      <w:r w:rsidRPr="00EE6FEC">
        <w:rPr>
          <w:i/>
          <w:iCs/>
        </w:rPr>
        <w:t>Beck Depression Inventory-II</w:t>
      </w:r>
      <w:r w:rsidRPr="007F46B8">
        <w:t>. San Antonio, TX: Psychological Corporation.</w:t>
      </w:r>
    </w:p>
    <w:p w14:paraId="25CC3A5B"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Berger, R. (2015) ‘Now I see it, now I don’t: Researcher’s position and reflexivity in qualitative research’, </w:t>
      </w:r>
      <w:r w:rsidRPr="00EE6FEC">
        <w:rPr>
          <w:i/>
          <w:iCs/>
        </w:rPr>
        <w:t>Qualitative Research</w:t>
      </w:r>
      <w:r w:rsidRPr="007F46B8">
        <w:t>, 15(2), pp. 219–234.</w:t>
      </w:r>
    </w:p>
    <w:p w14:paraId="26E7750D" w14:textId="77777777" w:rsidR="0018082A" w:rsidRDefault="0018082A" w:rsidP="00122C7C">
      <w:pPr>
        <w:pStyle w:val="ListParagraph"/>
        <w:numPr>
          <w:ilvl w:val="0"/>
          <w:numId w:val="5"/>
        </w:numPr>
        <w:spacing w:after="0" w:line="360" w:lineRule="auto"/>
        <w:ind w:left="0" w:hanging="357"/>
        <w:rPr>
          <w:rFonts w:ascii="Aptos" w:eastAsia="Aptos" w:hAnsi="Aptos" w:cs="Aptos"/>
        </w:rPr>
      </w:pPr>
      <w:r w:rsidRPr="1259BC21">
        <w:rPr>
          <w:rFonts w:ascii="Aptos" w:eastAsia="Aptos" w:hAnsi="Aptos" w:cs="Aptos"/>
        </w:rPr>
        <w:t xml:space="preserve">Berman, M. G., </w:t>
      </w:r>
      <w:bookmarkStart w:id="31" w:name="_Int_gusAEaDE"/>
      <w:r w:rsidRPr="1259BC21">
        <w:rPr>
          <w:rFonts w:ascii="Aptos" w:eastAsia="Aptos" w:hAnsi="Aptos" w:cs="Aptos"/>
        </w:rPr>
        <w:t>Jonides</w:t>
      </w:r>
      <w:bookmarkEnd w:id="31"/>
      <w:r w:rsidRPr="1259BC21">
        <w:rPr>
          <w:rFonts w:ascii="Aptos" w:eastAsia="Aptos" w:hAnsi="Aptos" w:cs="Aptos"/>
        </w:rPr>
        <w:t xml:space="preserve">, J. and Kaplan, S. (2008) ‘The cognitive benefits of interacting with nature’, </w:t>
      </w:r>
      <w:r w:rsidRPr="1259BC21">
        <w:rPr>
          <w:rFonts w:ascii="Aptos" w:eastAsia="Aptos" w:hAnsi="Aptos" w:cs="Aptos"/>
          <w:i/>
          <w:iCs/>
        </w:rPr>
        <w:t>Psychological Science</w:t>
      </w:r>
      <w:r w:rsidRPr="1259BC21">
        <w:rPr>
          <w:rFonts w:ascii="Aptos" w:eastAsia="Aptos" w:hAnsi="Aptos" w:cs="Aptos"/>
        </w:rPr>
        <w:t xml:space="preserve">, 19(12), pp. 1207–1212. </w:t>
      </w:r>
    </w:p>
    <w:p w14:paraId="54D8D92E" w14:textId="1615B79C" w:rsidR="0018082A" w:rsidRPr="00251F2B" w:rsidRDefault="0018082A" w:rsidP="00122C7C">
      <w:pPr>
        <w:pStyle w:val="ListParagraph"/>
        <w:numPr>
          <w:ilvl w:val="0"/>
          <w:numId w:val="2"/>
        </w:numPr>
        <w:spacing w:after="0" w:line="360" w:lineRule="auto"/>
        <w:ind w:left="0"/>
        <w:rPr>
          <w:rFonts w:eastAsia="Aptos" w:cs="Aptos"/>
        </w:rPr>
      </w:pPr>
      <w:r w:rsidRPr="00E15727">
        <w:t xml:space="preserve">Berman, M.G., Kross, E., Krpan, K.M., Askren, M.K., Burson, A., Deldin, P.J., Kaplan, S., Sherdell, L., Gotlib, I.H. and Jonides, J., 2012. Interacting with nature improves cognition and affect for individuals with depression. </w:t>
      </w:r>
      <w:r w:rsidRPr="00251F2B">
        <w:rPr>
          <w:i/>
          <w:iCs/>
        </w:rPr>
        <w:t>Journal of Affective Disorders</w:t>
      </w:r>
      <w:r w:rsidRPr="00E15727">
        <w:t xml:space="preserve">, 140(3), pp.300–305. </w:t>
      </w:r>
    </w:p>
    <w:p w14:paraId="7EDC442A" w14:textId="77777777" w:rsidR="0018082A" w:rsidRPr="004E4D12" w:rsidRDefault="0018082A" w:rsidP="00122C7C">
      <w:pPr>
        <w:pStyle w:val="ListParagraph"/>
        <w:numPr>
          <w:ilvl w:val="0"/>
          <w:numId w:val="2"/>
        </w:numPr>
        <w:spacing w:after="0" w:line="360" w:lineRule="auto"/>
        <w:ind w:left="0"/>
        <w:rPr>
          <w:rFonts w:eastAsia="Aptos" w:cs="Aptos"/>
        </w:rPr>
      </w:pPr>
      <w:r>
        <w:lastRenderedPageBreak/>
        <w:t xml:space="preserve">Beute, F. and de Kort, Y.A.W. (2014) ‘Natural resistance: Exposure to nature and self-regulation, mood, and physiology after ego-depletion’, </w:t>
      </w:r>
      <w:r w:rsidRPr="004E4D12">
        <w:rPr>
          <w:rStyle w:val="Emphasis"/>
          <w:rFonts w:eastAsiaTheme="majorEastAsia"/>
        </w:rPr>
        <w:t>Journal of Environmental Psychology</w:t>
      </w:r>
      <w:r>
        <w:t>, 40, pp. 167–178.</w:t>
      </w:r>
    </w:p>
    <w:p w14:paraId="632FFD36"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Biesta, G. (2010) </w:t>
      </w:r>
      <w:r w:rsidRPr="00EE6FEC">
        <w:rPr>
          <w:i/>
          <w:iCs/>
        </w:rPr>
        <w:t>Pragmatism and the philosophical foundations of mixed methods research</w:t>
      </w:r>
      <w:r w:rsidRPr="007F46B8">
        <w:t>. London: Sage.</w:t>
      </w:r>
    </w:p>
    <w:p w14:paraId="4311E77E" w14:textId="77777777" w:rsidR="0018082A" w:rsidRPr="0065723F" w:rsidRDefault="0018082A" w:rsidP="00122C7C">
      <w:pPr>
        <w:pStyle w:val="NormalWeb"/>
        <w:numPr>
          <w:ilvl w:val="0"/>
          <w:numId w:val="2"/>
        </w:numPr>
        <w:spacing w:before="0" w:beforeAutospacing="0" w:after="0" w:afterAutospacing="0" w:line="360" w:lineRule="auto"/>
        <w:ind w:left="0" w:hanging="357"/>
        <w:rPr>
          <w:rFonts w:asciiTheme="minorHAnsi" w:hAnsiTheme="minorHAnsi"/>
        </w:rPr>
      </w:pPr>
      <w:r w:rsidRPr="0065723F">
        <w:rPr>
          <w:rFonts w:asciiTheme="minorHAnsi" w:hAnsiTheme="minorHAnsi"/>
        </w:rPr>
        <w:t xml:space="preserve">Bixler, R.D. and Floyd, M.F. (1997) ‘Nature is scary, disgusting, and uncomfortable’, </w:t>
      </w:r>
      <w:r w:rsidRPr="0065723F">
        <w:rPr>
          <w:rStyle w:val="Emphasis"/>
          <w:rFonts w:asciiTheme="minorHAnsi" w:eastAsiaTheme="majorEastAsia" w:hAnsiTheme="minorHAnsi"/>
        </w:rPr>
        <w:t>Environment and Behavior</w:t>
      </w:r>
      <w:r w:rsidRPr="0065723F">
        <w:rPr>
          <w:rFonts w:asciiTheme="minorHAnsi" w:hAnsiTheme="minorHAnsi"/>
        </w:rPr>
        <w:t>, 29(4), pp. 443–467.</w:t>
      </w:r>
    </w:p>
    <w:p w14:paraId="20EAB5AD"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Booker, C.L., Harding, S. and Benzeval, M. (2011) ‘A systematic review of the effect of retention methods in population-based cohort studies’, </w:t>
      </w:r>
      <w:r w:rsidRPr="00EE6FEC">
        <w:rPr>
          <w:i/>
          <w:iCs/>
        </w:rPr>
        <w:t>BMC Public Health</w:t>
      </w:r>
      <w:r w:rsidRPr="007F46B8">
        <w:t>, 11(1), pp. 1–12.</w:t>
      </w:r>
    </w:p>
    <w:p w14:paraId="67486CB6"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Bornstein, M.H., Jager, J. and Putnick, D.L. (2013) ‘Sampling in developmental science: Situations, shortcomings, solutions, and standards’, </w:t>
      </w:r>
      <w:r w:rsidRPr="00EE6FEC">
        <w:rPr>
          <w:i/>
          <w:iCs/>
        </w:rPr>
        <w:t>Developmental Review</w:t>
      </w:r>
      <w:r w:rsidRPr="007F46B8">
        <w:t>, 33(4), pp. 357–370.</w:t>
      </w:r>
    </w:p>
    <w:p w14:paraId="607F6B2A"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Bowleg, L. (2017) ‘Towards a critical health equity research stance: Why epistemology and methodology matter more than qualitative methods’, </w:t>
      </w:r>
      <w:r w:rsidRPr="00EE6FEC">
        <w:rPr>
          <w:i/>
          <w:iCs/>
        </w:rPr>
        <w:t>Health Education &amp; Behavior</w:t>
      </w:r>
      <w:r w:rsidRPr="007F46B8">
        <w:t>, 44(5), pp. 677–684.</w:t>
      </w:r>
    </w:p>
    <w:p w14:paraId="7758990A" w14:textId="77777777" w:rsidR="0018082A" w:rsidRPr="0065723F" w:rsidRDefault="0018082A" w:rsidP="00122C7C">
      <w:pPr>
        <w:pStyle w:val="NormalWeb"/>
        <w:numPr>
          <w:ilvl w:val="0"/>
          <w:numId w:val="2"/>
        </w:numPr>
        <w:spacing w:before="0" w:beforeAutospacing="0" w:after="0" w:afterAutospacing="0" w:line="360" w:lineRule="auto"/>
        <w:ind w:left="0" w:hanging="357"/>
        <w:rPr>
          <w:rFonts w:asciiTheme="minorHAnsi" w:hAnsiTheme="minorHAnsi"/>
        </w:rPr>
      </w:pPr>
      <w:r w:rsidRPr="0065723F">
        <w:rPr>
          <w:rFonts w:asciiTheme="minorHAnsi" w:hAnsiTheme="minorHAnsi"/>
        </w:rPr>
        <w:t xml:space="preserve">Bratman, G.N., Anderson, C.B., Berman, M.G., Cochran, B., de Vries, S., Flanders, J., Folke, C., Frumkin, H., Gross, J.J., Hartig, T., Kahn, P.H., Kuo, M., Lawler, J.J., Levin, P.S., Lindahl, T., Meyer-Lindenberg, A., Mitchell, R., Ouyang, Z., Roe, J., Scarlett, L., Smith, J.R., van den Bosch, M., Wheeler, B.W., White, M.P., Zheng, H. and Daily, G.C. (2019) ‘Nature and mental health: An ecosystem service perspective’, </w:t>
      </w:r>
      <w:r w:rsidRPr="0065723F">
        <w:rPr>
          <w:rStyle w:val="Emphasis"/>
          <w:rFonts w:asciiTheme="minorHAnsi" w:eastAsiaTheme="majorEastAsia" w:hAnsiTheme="minorHAnsi"/>
        </w:rPr>
        <w:t>Science Advances</w:t>
      </w:r>
      <w:r w:rsidRPr="0065723F">
        <w:rPr>
          <w:rFonts w:asciiTheme="minorHAnsi" w:hAnsiTheme="minorHAnsi"/>
        </w:rPr>
        <w:t>, 5(7), eaax0903.</w:t>
      </w:r>
    </w:p>
    <w:p w14:paraId="596BF0B3" w14:textId="77777777" w:rsidR="0018082A" w:rsidRPr="00251F2B" w:rsidRDefault="0018082A" w:rsidP="00122C7C">
      <w:pPr>
        <w:pStyle w:val="ListParagraph"/>
        <w:numPr>
          <w:ilvl w:val="0"/>
          <w:numId w:val="2"/>
        </w:numPr>
        <w:spacing w:after="0" w:line="360" w:lineRule="auto"/>
        <w:ind w:left="0"/>
        <w:rPr>
          <w:rFonts w:eastAsia="Aptos" w:cs="Aptos"/>
        </w:rPr>
      </w:pPr>
      <w:r w:rsidRPr="00E15727">
        <w:t xml:space="preserve">Bratman, G.N., Hamilton, J.P., Hahn, K.S., Daily, G.C. and Gross, J.J., 2015. Nature experience reduces rumination and subgenual prefrontal cortex activation. </w:t>
      </w:r>
      <w:r w:rsidRPr="00251F2B">
        <w:rPr>
          <w:i/>
          <w:iCs/>
        </w:rPr>
        <w:t>Proceedings of the National Academy of Sciences</w:t>
      </w:r>
      <w:r w:rsidRPr="00E15727">
        <w:t xml:space="preserve">, 112(28), pp.8567–8572. </w:t>
      </w:r>
      <w:hyperlink r:id="rId16" w:history="1">
        <w:r w:rsidRPr="00D508C5">
          <w:rPr>
            <w:rStyle w:val="Hyperlink"/>
          </w:rPr>
          <w:t>https://doi.org/10.1073/pnas.1510459112</w:t>
        </w:r>
      </w:hyperlink>
    </w:p>
    <w:p w14:paraId="1CFDDC6B"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Braun, V. and Clarke, V. (2006) ‘Using thematic analysis in psychology’, </w:t>
      </w:r>
      <w:r w:rsidRPr="00EE6FEC">
        <w:rPr>
          <w:i/>
          <w:iCs/>
        </w:rPr>
        <w:t>Qualitative Research in Psychology</w:t>
      </w:r>
      <w:r w:rsidRPr="007F46B8">
        <w:t>, 3(2), pp. 77–101.</w:t>
      </w:r>
    </w:p>
    <w:p w14:paraId="51FDC318"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Braun, V. and Clarke, V. (2022) </w:t>
      </w:r>
      <w:r w:rsidRPr="00EE6FEC">
        <w:rPr>
          <w:i/>
          <w:iCs/>
        </w:rPr>
        <w:t>Thematic analysis: A practical guide</w:t>
      </w:r>
      <w:r w:rsidRPr="007F46B8">
        <w:t>. London: Sage.</w:t>
      </w:r>
    </w:p>
    <w:p w14:paraId="0F3261D6"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British Psychological Society (2014) </w:t>
      </w:r>
      <w:r w:rsidRPr="00EE6FEC">
        <w:rPr>
          <w:i/>
          <w:iCs/>
        </w:rPr>
        <w:t>Ethics Guidelines for Internet-mediated Research</w:t>
      </w:r>
      <w:r w:rsidRPr="007F46B8">
        <w:t>. Leicester: BPS.</w:t>
      </w:r>
    </w:p>
    <w:p w14:paraId="1AE01AB9" w14:textId="77777777" w:rsidR="0018082A" w:rsidRPr="00EE6FEC" w:rsidRDefault="0018082A" w:rsidP="00122C7C">
      <w:pPr>
        <w:pStyle w:val="ListParagraph"/>
        <w:numPr>
          <w:ilvl w:val="0"/>
          <w:numId w:val="2"/>
        </w:numPr>
        <w:spacing w:after="0" w:line="360" w:lineRule="auto"/>
        <w:ind w:left="0"/>
        <w:rPr>
          <w:rFonts w:eastAsia="Aptos" w:cs="Aptos"/>
        </w:rPr>
      </w:pPr>
      <w:r w:rsidRPr="007F46B8">
        <w:lastRenderedPageBreak/>
        <w:t xml:space="preserve">British Psychological Society (2021) </w:t>
      </w:r>
      <w:r w:rsidRPr="00EE6FEC">
        <w:rPr>
          <w:i/>
          <w:iCs/>
        </w:rPr>
        <w:t>Code of Human Research Ethics</w:t>
      </w:r>
      <w:r w:rsidRPr="007F46B8">
        <w:t>. Leicester: BPS.</w:t>
      </w:r>
    </w:p>
    <w:p w14:paraId="226DE5BA" w14:textId="77777777" w:rsidR="0018082A" w:rsidRDefault="0018082A" w:rsidP="00122C7C">
      <w:pPr>
        <w:pStyle w:val="ListParagraph"/>
        <w:numPr>
          <w:ilvl w:val="0"/>
          <w:numId w:val="5"/>
        </w:numPr>
        <w:spacing w:after="0" w:line="360" w:lineRule="auto"/>
        <w:ind w:left="0"/>
        <w:rPr>
          <w:rFonts w:ascii="Aptos" w:eastAsia="Aptos" w:hAnsi="Aptos" w:cs="Aptos"/>
        </w:rPr>
      </w:pPr>
      <w:r w:rsidRPr="1259BC21">
        <w:rPr>
          <w:rFonts w:ascii="Aptos" w:eastAsia="Aptos" w:hAnsi="Aptos" w:cs="Aptos"/>
        </w:rPr>
        <w:t xml:space="preserve">Brown, D. K., Barton, J. L. and Gladwell, V. F. (2014) ‘Viewing nature scenes positively affects recovery of autonomic function following acute-mental stress’, </w:t>
      </w:r>
      <w:r w:rsidRPr="1259BC21">
        <w:rPr>
          <w:rFonts w:ascii="Aptos" w:eastAsia="Aptos" w:hAnsi="Aptos" w:cs="Aptos"/>
          <w:i/>
          <w:iCs/>
        </w:rPr>
        <w:t>Environmental Science &amp; Technology</w:t>
      </w:r>
      <w:r w:rsidRPr="1259BC21">
        <w:rPr>
          <w:rFonts w:ascii="Aptos" w:eastAsia="Aptos" w:hAnsi="Aptos" w:cs="Aptos"/>
        </w:rPr>
        <w:t xml:space="preserve">, 47(11), pp. 5562–5569. </w:t>
      </w:r>
    </w:p>
    <w:p w14:paraId="6D12E516" w14:textId="4B15671E" w:rsidR="0018082A" w:rsidRPr="00251F2B" w:rsidRDefault="0018082A" w:rsidP="00122C7C">
      <w:pPr>
        <w:pStyle w:val="ListParagraph"/>
        <w:numPr>
          <w:ilvl w:val="0"/>
          <w:numId w:val="2"/>
        </w:numPr>
        <w:spacing w:after="0" w:line="360" w:lineRule="auto"/>
        <w:ind w:left="0"/>
        <w:rPr>
          <w:rFonts w:eastAsia="Aptos" w:cs="Aptos"/>
        </w:rPr>
      </w:pPr>
      <w:r w:rsidRPr="00703179">
        <w:t xml:space="preserve">Brown, D.K., Barton, J.L., Pretty, J., 2014. Healthy nature healthy people: ‘contact with nature’ as an upstream health promotion intervention for populations. </w:t>
      </w:r>
      <w:r w:rsidRPr="00251F2B">
        <w:rPr>
          <w:i/>
          <w:iCs/>
        </w:rPr>
        <w:t>Journal of Public Mental Health</w:t>
      </w:r>
      <w:r w:rsidRPr="00703179">
        <w:t xml:space="preserve">, 13(1), pp.3-9. </w:t>
      </w:r>
    </w:p>
    <w:p w14:paraId="08EB7901"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Bryman, A. (2006) ‘Integrating quantitative and qualitative research: How is it done?’, </w:t>
      </w:r>
      <w:r w:rsidRPr="00EE6FEC">
        <w:rPr>
          <w:i/>
          <w:iCs/>
        </w:rPr>
        <w:t>Qualitative Research</w:t>
      </w:r>
      <w:r w:rsidRPr="007F46B8">
        <w:t>, 6(1), pp. 97–113.</w:t>
      </w:r>
    </w:p>
    <w:p w14:paraId="4C8DC027"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Bryman, A. (2007) ‘Barriers to integrating quantitative and qualitative research’, </w:t>
      </w:r>
      <w:r w:rsidRPr="00EE6FEC">
        <w:rPr>
          <w:i/>
          <w:iCs/>
        </w:rPr>
        <w:t>Journal of Mixed Methods Research</w:t>
      </w:r>
      <w:r w:rsidRPr="007F46B8">
        <w:t>, 1(1), pp. 8–22.</w:t>
      </w:r>
    </w:p>
    <w:p w14:paraId="7511791F"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Caruana, E.J., Roman, M., Hernández-Sánchez, J. and Solli, P. (2015) ‘Longitudinal studies’, </w:t>
      </w:r>
      <w:r w:rsidRPr="00EE6FEC">
        <w:rPr>
          <w:i/>
          <w:iCs/>
        </w:rPr>
        <w:t>Journal of Thoracic Disease</w:t>
      </w:r>
      <w:r w:rsidRPr="007F46B8">
        <w:t>, 7(11), pp. E537–E540.</w:t>
      </w:r>
    </w:p>
    <w:p w14:paraId="3A609C1D"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Chaudhury, P. and Banerjee, D. (2020) ‘“Recovering” the recoverers: A study of stress and resilience among healthcare workers during COVID-19’, </w:t>
      </w:r>
      <w:r w:rsidRPr="00EE6FEC">
        <w:rPr>
          <w:i/>
          <w:iCs/>
        </w:rPr>
        <w:t>Current Psychology</w:t>
      </w:r>
      <w:r w:rsidRPr="007F46B8">
        <w:t>, 41(12), pp. 1–12.</w:t>
      </w:r>
    </w:p>
    <w:p w14:paraId="2751D622" w14:textId="77777777" w:rsidR="0018082A" w:rsidRDefault="0018082A" w:rsidP="00122C7C">
      <w:pPr>
        <w:pStyle w:val="ListParagraph"/>
        <w:numPr>
          <w:ilvl w:val="0"/>
          <w:numId w:val="5"/>
        </w:numPr>
        <w:spacing w:after="0" w:line="360" w:lineRule="auto"/>
        <w:ind w:left="0"/>
        <w:rPr>
          <w:rFonts w:ascii="Aptos" w:eastAsia="Aptos" w:hAnsi="Aptos" w:cs="Aptos"/>
        </w:rPr>
      </w:pPr>
      <w:r w:rsidRPr="00007AC6">
        <w:rPr>
          <w:rFonts w:ascii="Aptos" w:eastAsia="Aptos" w:hAnsi="Aptos" w:cs="Aptos"/>
        </w:rPr>
        <w:t>Chung, H., Seo, H., Forbes, S. and Birkett, H. (2020) Working from home during the COVID-19 lockdown: Changing preferences and the future of work. Canterbury: University of Kent.</w:t>
      </w:r>
    </w:p>
    <w:p w14:paraId="0990A8C7"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Cohen, J. (1988) </w:t>
      </w:r>
      <w:r w:rsidRPr="00EE6FEC">
        <w:rPr>
          <w:i/>
          <w:iCs/>
        </w:rPr>
        <w:t>Statistical power analysis for the behavioral sciences</w:t>
      </w:r>
      <w:r w:rsidRPr="007F46B8">
        <w:t>. 2nd edn. Hillsdale, NJ: Lawrence Erlbaum Associates.</w:t>
      </w:r>
    </w:p>
    <w:p w14:paraId="0DA78647" w14:textId="77777777" w:rsidR="0018082A" w:rsidRDefault="0018082A" w:rsidP="00122C7C">
      <w:pPr>
        <w:pStyle w:val="ListParagraph"/>
        <w:numPr>
          <w:ilvl w:val="0"/>
          <w:numId w:val="5"/>
        </w:numPr>
        <w:spacing w:after="0" w:line="360" w:lineRule="auto"/>
        <w:ind w:left="0"/>
        <w:rPr>
          <w:rFonts w:ascii="Aptos" w:eastAsia="Aptos" w:hAnsi="Aptos" w:cs="Aptos"/>
        </w:rPr>
      </w:pPr>
      <w:r w:rsidRPr="1259BC21">
        <w:rPr>
          <w:rFonts w:ascii="Aptos" w:eastAsia="Aptos" w:hAnsi="Aptos" w:cs="Aptos"/>
        </w:rPr>
        <w:t xml:space="preserve">Coventry, P. A., Neale, C., Dyke, A., Pateman, R. and </w:t>
      </w:r>
      <w:bookmarkStart w:id="32" w:name="_Int_qO449eYT"/>
      <w:r w:rsidRPr="1259BC21">
        <w:rPr>
          <w:rFonts w:ascii="Aptos" w:eastAsia="Aptos" w:hAnsi="Aptos" w:cs="Aptos"/>
        </w:rPr>
        <w:t>Cinderby</w:t>
      </w:r>
      <w:bookmarkEnd w:id="32"/>
      <w:r w:rsidRPr="1259BC21">
        <w:rPr>
          <w:rFonts w:ascii="Aptos" w:eastAsia="Aptos" w:hAnsi="Aptos" w:cs="Aptos"/>
        </w:rPr>
        <w:t xml:space="preserve">, S. (2021) ‘The mental health benefits of nature-based interventions: A systematic review of reviews’, </w:t>
      </w:r>
      <w:r w:rsidRPr="1259BC21">
        <w:rPr>
          <w:rFonts w:ascii="Aptos" w:eastAsia="Aptos" w:hAnsi="Aptos" w:cs="Aptos"/>
          <w:i/>
          <w:iCs/>
        </w:rPr>
        <w:t>Journal of Environmental Psychology</w:t>
      </w:r>
      <w:r w:rsidRPr="1259BC21">
        <w:rPr>
          <w:rFonts w:ascii="Aptos" w:eastAsia="Aptos" w:hAnsi="Aptos" w:cs="Aptos"/>
        </w:rPr>
        <w:t xml:space="preserve">, 79, 101641. </w:t>
      </w:r>
    </w:p>
    <w:p w14:paraId="6ED71D2B"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Craig, P., Dieppe, P., Macintyre, S., Michie, S., Nazareth, I. and Petticrew, M. (2018) ‘Developing and evaluating complex interventions: The new Medical Research Council guidance’, </w:t>
      </w:r>
      <w:r w:rsidRPr="00EE6FEC">
        <w:rPr>
          <w:i/>
          <w:iCs/>
        </w:rPr>
        <w:t>BMJ</w:t>
      </w:r>
      <w:r w:rsidRPr="007F46B8">
        <w:t>, 337, a1655.</w:t>
      </w:r>
    </w:p>
    <w:p w14:paraId="4D86F07C"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Creswell, J.W. and Plano Clark, V.L. (2018) </w:t>
      </w:r>
      <w:r w:rsidRPr="00EE6FEC">
        <w:rPr>
          <w:i/>
          <w:iCs/>
        </w:rPr>
        <w:t>Designing and conducting mixed methods research</w:t>
      </w:r>
      <w:r w:rsidRPr="007F46B8">
        <w:t>. 3rd edn. Thousand Oaks, CA: Sage.</w:t>
      </w:r>
    </w:p>
    <w:p w14:paraId="4CC4943F" w14:textId="77777777" w:rsidR="0018082A" w:rsidRDefault="0018082A" w:rsidP="00122C7C">
      <w:pPr>
        <w:pStyle w:val="ListParagraph"/>
        <w:numPr>
          <w:ilvl w:val="0"/>
          <w:numId w:val="5"/>
        </w:numPr>
        <w:spacing w:after="0" w:line="360" w:lineRule="auto"/>
        <w:ind w:left="0"/>
        <w:rPr>
          <w:rFonts w:ascii="Aptos" w:eastAsia="Aptos" w:hAnsi="Aptos" w:cs="Aptos"/>
        </w:rPr>
      </w:pPr>
      <w:r w:rsidRPr="1259BC21">
        <w:rPr>
          <w:rFonts w:ascii="Aptos" w:eastAsia="Aptos" w:hAnsi="Aptos" w:cs="Aptos"/>
        </w:rPr>
        <w:lastRenderedPageBreak/>
        <w:t xml:space="preserve">Crnic, K. and Low, C. (2002) ‘Everyday stresses and parenting’, in Bornstein, M. H. (ed.) </w:t>
      </w:r>
      <w:r w:rsidRPr="1259BC21">
        <w:rPr>
          <w:rFonts w:ascii="Aptos" w:eastAsia="Aptos" w:hAnsi="Aptos" w:cs="Aptos"/>
          <w:i/>
          <w:iCs/>
        </w:rPr>
        <w:t>Handbook of Parenting: Practical Issues in Parenting</w:t>
      </w:r>
      <w:r w:rsidRPr="1259BC21">
        <w:rPr>
          <w:rFonts w:ascii="Aptos" w:eastAsia="Aptos" w:hAnsi="Aptos" w:cs="Aptos"/>
        </w:rPr>
        <w:t xml:space="preserve">, Vol. 5, 2nd </w:t>
      </w:r>
      <w:bookmarkStart w:id="33" w:name="_Int_s2qlY2b4"/>
      <w:r w:rsidRPr="1259BC21">
        <w:rPr>
          <w:rFonts w:ascii="Aptos" w:eastAsia="Aptos" w:hAnsi="Aptos" w:cs="Aptos"/>
        </w:rPr>
        <w:t>edn</w:t>
      </w:r>
      <w:bookmarkEnd w:id="33"/>
      <w:r w:rsidRPr="1259BC21">
        <w:rPr>
          <w:rFonts w:ascii="Aptos" w:eastAsia="Aptos" w:hAnsi="Aptos" w:cs="Aptos"/>
        </w:rPr>
        <w:t>. Mahwah, NJ: Lawrence Erlbaum, pp. 243–267.</w:t>
      </w:r>
    </w:p>
    <w:p w14:paraId="14D127A2" w14:textId="77777777" w:rsidR="0018082A" w:rsidRDefault="0018082A" w:rsidP="00122C7C">
      <w:pPr>
        <w:pStyle w:val="ListParagraph"/>
        <w:numPr>
          <w:ilvl w:val="0"/>
          <w:numId w:val="5"/>
        </w:numPr>
        <w:spacing w:after="0" w:line="360" w:lineRule="auto"/>
        <w:ind w:left="0"/>
        <w:rPr>
          <w:rFonts w:ascii="Aptos" w:eastAsia="Aptos" w:hAnsi="Aptos" w:cs="Aptos"/>
        </w:rPr>
      </w:pPr>
      <w:r w:rsidRPr="1259BC21">
        <w:rPr>
          <w:rFonts w:ascii="Aptos" w:eastAsia="Aptos" w:hAnsi="Aptos" w:cs="Aptos"/>
          <w:lang w:val="nl"/>
        </w:rPr>
        <w:t xml:space="preserve">Danhof-Pont, M.B., van Veen, T. and Zitman, F.G., 2011. </w:t>
      </w:r>
      <w:r w:rsidRPr="1259BC21">
        <w:rPr>
          <w:rFonts w:ascii="Aptos" w:eastAsia="Aptos" w:hAnsi="Aptos" w:cs="Aptos"/>
        </w:rPr>
        <w:t xml:space="preserve">Biomarkers in burnout: a systematic review. </w:t>
      </w:r>
      <w:r w:rsidRPr="1259BC21">
        <w:rPr>
          <w:rFonts w:ascii="Aptos" w:eastAsia="Aptos" w:hAnsi="Aptos" w:cs="Aptos"/>
          <w:i/>
          <w:iCs/>
        </w:rPr>
        <w:t>Journal of psychosomatic research</w:t>
      </w:r>
      <w:r w:rsidRPr="1259BC21">
        <w:rPr>
          <w:rFonts w:ascii="Aptos" w:eastAsia="Aptos" w:hAnsi="Aptos" w:cs="Aptos"/>
        </w:rPr>
        <w:t xml:space="preserve">, </w:t>
      </w:r>
      <w:r w:rsidRPr="1259BC21">
        <w:rPr>
          <w:rFonts w:ascii="Aptos" w:eastAsia="Aptos" w:hAnsi="Aptos" w:cs="Aptos"/>
          <w:i/>
          <w:iCs/>
        </w:rPr>
        <w:t>70</w:t>
      </w:r>
      <w:r w:rsidRPr="1259BC21">
        <w:rPr>
          <w:rFonts w:ascii="Aptos" w:eastAsia="Aptos" w:hAnsi="Aptos" w:cs="Aptos"/>
        </w:rPr>
        <w:t>(6), pp.505-524.</w:t>
      </w:r>
    </w:p>
    <w:p w14:paraId="36EA313E"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Deci, E.L. and Ryan, R.M. (2000) ‘The “what” and “why” of goal pursuits: Human needs and the self-determination of behavior’, </w:t>
      </w:r>
      <w:r w:rsidRPr="00EE6FEC">
        <w:rPr>
          <w:i/>
          <w:iCs/>
        </w:rPr>
        <w:t>Psychological Inquiry</w:t>
      </w:r>
      <w:r w:rsidRPr="007F46B8">
        <w:t>, 11(4), pp. 227–268.</w:t>
      </w:r>
    </w:p>
    <w:p w14:paraId="516FE4A0"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Dozois, D.J., Dobson, K.S. and Ahnberg, J.L. (1998) ‘A psychometric evaluation of the Beck Depression Inventory–II’, </w:t>
      </w:r>
      <w:r w:rsidRPr="00EE6FEC">
        <w:rPr>
          <w:i/>
          <w:iCs/>
        </w:rPr>
        <w:t>Psychological Assessment</w:t>
      </w:r>
      <w:r w:rsidRPr="007F46B8">
        <w:t>, 10(2), pp. 83–89.</w:t>
      </w:r>
    </w:p>
    <w:p w14:paraId="4CA2A471"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Dwyer, S.C. and Buckle, J.L. (2009) ‘The space between: On being an insider-outsider in qualitative research’, </w:t>
      </w:r>
      <w:r w:rsidRPr="00EE6FEC">
        <w:rPr>
          <w:i/>
          <w:iCs/>
        </w:rPr>
        <w:t>International Journal of Qualitative Methods</w:t>
      </w:r>
      <w:r w:rsidRPr="007F46B8">
        <w:t>, 8(1), pp. 54–63.</w:t>
      </w:r>
    </w:p>
    <w:p w14:paraId="168B667C" w14:textId="77777777" w:rsidR="0018082A" w:rsidRDefault="0018082A" w:rsidP="00122C7C">
      <w:pPr>
        <w:pStyle w:val="ListParagraph"/>
        <w:numPr>
          <w:ilvl w:val="0"/>
          <w:numId w:val="5"/>
        </w:numPr>
        <w:spacing w:after="0" w:line="360" w:lineRule="auto"/>
        <w:ind w:left="0"/>
        <w:rPr>
          <w:rFonts w:ascii="Aptos" w:eastAsia="Aptos" w:hAnsi="Aptos" w:cs="Aptos"/>
        </w:rPr>
      </w:pPr>
      <w:bookmarkStart w:id="34" w:name="_Int_SM08xeCN"/>
      <w:r w:rsidRPr="1259BC21">
        <w:rPr>
          <w:rFonts w:ascii="Aptos" w:eastAsia="Aptos" w:hAnsi="Aptos" w:cs="Aptos"/>
        </w:rPr>
        <w:t>Dzhambov</w:t>
      </w:r>
      <w:bookmarkEnd w:id="34"/>
      <w:r w:rsidRPr="1259BC21">
        <w:rPr>
          <w:rFonts w:ascii="Aptos" w:eastAsia="Aptos" w:hAnsi="Aptos" w:cs="Aptos"/>
        </w:rPr>
        <w:t xml:space="preserve">, A. M., Lercher, P., Browning, M. H. E. M. and </w:t>
      </w:r>
      <w:bookmarkStart w:id="35" w:name="_Int_ygeTRRxV"/>
      <w:r w:rsidRPr="1259BC21">
        <w:rPr>
          <w:rFonts w:ascii="Aptos" w:eastAsia="Aptos" w:hAnsi="Aptos" w:cs="Aptos"/>
        </w:rPr>
        <w:t>Markevych</w:t>
      </w:r>
      <w:bookmarkEnd w:id="35"/>
      <w:r w:rsidRPr="1259BC21">
        <w:rPr>
          <w:rFonts w:ascii="Aptos" w:eastAsia="Aptos" w:hAnsi="Aptos" w:cs="Aptos"/>
        </w:rPr>
        <w:t xml:space="preserve">, I. (2022) ‘Analytical approaches to examining the pathways linking residential green and blue space exposure to mental health: A systematic review of quantification strategies’, </w:t>
      </w:r>
      <w:r w:rsidRPr="1259BC21">
        <w:rPr>
          <w:rFonts w:ascii="Aptos" w:eastAsia="Aptos" w:hAnsi="Aptos" w:cs="Aptos"/>
          <w:i/>
          <w:iCs/>
        </w:rPr>
        <w:t>Environmental Research</w:t>
      </w:r>
      <w:r w:rsidRPr="1259BC21">
        <w:rPr>
          <w:rFonts w:ascii="Aptos" w:eastAsia="Aptos" w:hAnsi="Aptos" w:cs="Aptos"/>
        </w:rPr>
        <w:t xml:space="preserve">, 214, 114081. </w:t>
      </w:r>
    </w:p>
    <w:p w14:paraId="7CE757F1" w14:textId="77777777" w:rsidR="0018082A" w:rsidRDefault="0018082A" w:rsidP="00122C7C">
      <w:pPr>
        <w:pStyle w:val="ListParagraph"/>
        <w:numPr>
          <w:ilvl w:val="0"/>
          <w:numId w:val="5"/>
        </w:numPr>
        <w:spacing w:after="0" w:line="360" w:lineRule="auto"/>
        <w:ind w:left="0" w:hanging="357"/>
        <w:rPr>
          <w:rFonts w:ascii="Aptos" w:eastAsia="Aptos" w:hAnsi="Aptos" w:cs="Aptos"/>
        </w:rPr>
      </w:pPr>
      <w:bookmarkStart w:id="36" w:name="_Int_iWDz54Fm"/>
      <w:r w:rsidRPr="1259BC21">
        <w:rPr>
          <w:rFonts w:ascii="Aptos" w:eastAsia="Aptos" w:hAnsi="Aptos" w:cs="Aptos"/>
        </w:rPr>
        <w:t>Dzhambov</w:t>
      </w:r>
      <w:bookmarkEnd w:id="36"/>
      <w:r w:rsidRPr="1259BC21">
        <w:rPr>
          <w:rFonts w:ascii="Aptos" w:eastAsia="Aptos" w:hAnsi="Aptos" w:cs="Aptos"/>
        </w:rPr>
        <w:t xml:space="preserve">, A. M., </w:t>
      </w:r>
      <w:bookmarkStart w:id="37" w:name="_Int_HNREYh9Q"/>
      <w:r w:rsidRPr="1259BC21">
        <w:rPr>
          <w:rFonts w:ascii="Aptos" w:eastAsia="Aptos" w:hAnsi="Aptos" w:cs="Aptos"/>
        </w:rPr>
        <w:t>Markevych</w:t>
      </w:r>
      <w:bookmarkEnd w:id="37"/>
      <w:r w:rsidRPr="1259BC21">
        <w:rPr>
          <w:rFonts w:ascii="Aptos" w:eastAsia="Aptos" w:hAnsi="Aptos" w:cs="Aptos"/>
        </w:rPr>
        <w:t xml:space="preserve">, I., Hartig, T., </w:t>
      </w:r>
      <w:bookmarkStart w:id="38" w:name="_Int_oSsW63tD"/>
      <w:r w:rsidRPr="1259BC21">
        <w:rPr>
          <w:rFonts w:ascii="Aptos" w:eastAsia="Aptos" w:hAnsi="Aptos" w:cs="Aptos"/>
        </w:rPr>
        <w:t>Tilov</w:t>
      </w:r>
      <w:bookmarkEnd w:id="38"/>
      <w:r w:rsidRPr="1259BC21">
        <w:rPr>
          <w:rFonts w:ascii="Aptos" w:eastAsia="Aptos" w:hAnsi="Aptos" w:cs="Aptos"/>
        </w:rPr>
        <w:t xml:space="preserve">, B., </w:t>
      </w:r>
      <w:bookmarkStart w:id="39" w:name="_Int_hv302EiD"/>
      <w:r w:rsidRPr="1259BC21">
        <w:rPr>
          <w:rFonts w:ascii="Aptos" w:eastAsia="Aptos" w:hAnsi="Aptos" w:cs="Aptos"/>
        </w:rPr>
        <w:t>Arabadzhiev</w:t>
      </w:r>
      <w:bookmarkEnd w:id="39"/>
      <w:r w:rsidRPr="1259BC21">
        <w:rPr>
          <w:rFonts w:ascii="Aptos" w:eastAsia="Aptos" w:hAnsi="Aptos" w:cs="Aptos"/>
        </w:rPr>
        <w:t xml:space="preserve">, Z., Stoyanov, D., </w:t>
      </w:r>
      <w:bookmarkStart w:id="40" w:name="_Int_NwliwMRJ"/>
      <w:r w:rsidRPr="1259BC21">
        <w:rPr>
          <w:rFonts w:ascii="Aptos" w:eastAsia="Aptos" w:hAnsi="Aptos" w:cs="Aptos"/>
        </w:rPr>
        <w:t>Gatseva</w:t>
      </w:r>
      <w:bookmarkEnd w:id="40"/>
      <w:r w:rsidRPr="1259BC21">
        <w:rPr>
          <w:rFonts w:ascii="Aptos" w:eastAsia="Aptos" w:hAnsi="Aptos" w:cs="Aptos"/>
        </w:rPr>
        <w:t xml:space="preserve">, P. and Dimitrova, D. D. (2018) ‘Residential green and blue space associated with mental health and wellbeing in urban dwellers: Evidence from a cross-sectional study’, </w:t>
      </w:r>
      <w:r w:rsidRPr="1259BC21">
        <w:rPr>
          <w:rFonts w:ascii="Aptos" w:eastAsia="Aptos" w:hAnsi="Aptos" w:cs="Aptos"/>
          <w:i/>
          <w:iCs/>
        </w:rPr>
        <w:t>Environmental Research</w:t>
      </w:r>
      <w:r w:rsidRPr="1259BC21">
        <w:rPr>
          <w:rFonts w:ascii="Aptos" w:eastAsia="Aptos" w:hAnsi="Aptos" w:cs="Aptos"/>
        </w:rPr>
        <w:t xml:space="preserve">, 160, pp. 331–339. </w:t>
      </w:r>
    </w:p>
    <w:p w14:paraId="5225C1E5"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Etikan, I., Musa, S.A. and Alkassim, R.S. (2016) ‘Comparison of convenience sampling and purposive sampling’, </w:t>
      </w:r>
      <w:r w:rsidRPr="00EE6FEC">
        <w:rPr>
          <w:i/>
          <w:iCs/>
        </w:rPr>
        <w:t>American Journal of Theoretical and Applied Statistics</w:t>
      </w:r>
      <w:r w:rsidRPr="007F46B8">
        <w:t>, 5(1), pp. 1–4.</w:t>
      </w:r>
    </w:p>
    <w:p w14:paraId="0D8C4616"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Eysenbach, G. (2005) ‘The law of attrition’, </w:t>
      </w:r>
      <w:r w:rsidRPr="00EE6FEC">
        <w:rPr>
          <w:i/>
          <w:iCs/>
        </w:rPr>
        <w:t>Journal of Medical Internet Research</w:t>
      </w:r>
      <w:r w:rsidRPr="007F46B8">
        <w:t>, 7(1), e11.</w:t>
      </w:r>
    </w:p>
    <w:p w14:paraId="59696FF0" w14:textId="77777777" w:rsidR="0018082A" w:rsidRPr="0065723F" w:rsidRDefault="0018082A" w:rsidP="00122C7C">
      <w:pPr>
        <w:pStyle w:val="NormalWeb"/>
        <w:numPr>
          <w:ilvl w:val="0"/>
          <w:numId w:val="2"/>
        </w:numPr>
        <w:spacing w:before="0" w:beforeAutospacing="0" w:after="0" w:afterAutospacing="0" w:line="360" w:lineRule="auto"/>
        <w:ind w:left="0" w:hanging="357"/>
        <w:rPr>
          <w:rFonts w:asciiTheme="minorHAnsi" w:hAnsiTheme="minorHAnsi"/>
        </w:rPr>
      </w:pPr>
      <w:r w:rsidRPr="0065723F">
        <w:rPr>
          <w:rFonts w:asciiTheme="minorHAnsi" w:hAnsiTheme="minorHAnsi"/>
        </w:rPr>
        <w:t xml:space="preserve">Finlay, J., Franke, T., McKay, H. and Sims-Gould, J. (2015) ‘Therapeutic landscapes and wellbeing in later life: Impacts of blue and green spaces for older adults’, </w:t>
      </w:r>
      <w:r w:rsidRPr="0065723F">
        <w:rPr>
          <w:rStyle w:val="Emphasis"/>
          <w:rFonts w:asciiTheme="minorHAnsi" w:eastAsiaTheme="majorEastAsia" w:hAnsiTheme="minorHAnsi"/>
        </w:rPr>
        <w:t>Health &amp; Place</w:t>
      </w:r>
      <w:r w:rsidRPr="0065723F">
        <w:rPr>
          <w:rFonts w:asciiTheme="minorHAnsi" w:hAnsiTheme="minorHAnsi"/>
        </w:rPr>
        <w:t>, 34, pp. 97–106.</w:t>
      </w:r>
    </w:p>
    <w:p w14:paraId="3CF84200"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Finlay, L. (2020) </w:t>
      </w:r>
      <w:r w:rsidRPr="00EE6FEC">
        <w:rPr>
          <w:i/>
          <w:iCs/>
        </w:rPr>
        <w:t>Reflexivity: A practical guide for researchers in health and social sciences</w:t>
      </w:r>
      <w:r w:rsidRPr="007F46B8">
        <w:t>. Oxford: Wiley-Blackwell.</w:t>
      </w:r>
    </w:p>
    <w:p w14:paraId="1B08BE7D" w14:textId="77777777" w:rsidR="0018082A" w:rsidRPr="005C57FC" w:rsidRDefault="0018082A" w:rsidP="00122C7C">
      <w:pPr>
        <w:pStyle w:val="ListParagraph"/>
        <w:numPr>
          <w:ilvl w:val="0"/>
          <w:numId w:val="2"/>
        </w:numPr>
        <w:spacing w:after="0" w:line="360" w:lineRule="auto"/>
        <w:ind w:left="0"/>
        <w:rPr>
          <w:rFonts w:eastAsia="Aptos" w:cs="Aptos"/>
        </w:rPr>
      </w:pPr>
      <w:r>
        <w:lastRenderedPageBreak/>
        <w:t xml:space="preserve">Flowers, E.P., Freeman, P. and Gladwell, V.F. (2016) ‘The experience of nature-based physical activity for people with a disability’, </w:t>
      </w:r>
      <w:r w:rsidRPr="005C57FC">
        <w:rPr>
          <w:rStyle w:val="Emphasis"/>
          <w:rFonts w:eastAsiaTheme="majorEastAsia"/>
        </w:rPr>
        <w:t>Disability and Rehabilitation</w:t>
      </w:r>
      <w:r>
        <w:t>, 38(10), pp. 984–993.</w:t>
      </w:r>
    </w:p>
    <w:p w14:paraId="398075A3" w14:textId="77777777" w:rsidR="0018082A" w:rsidRDefault="0018082A" w:rsidP="00122C7C">
      <w:pPr>
        <w:pStyle w:val="ListParagraph"/>
        <w:numPr>
          <w:ilvl w:val="0"/>
          <w:numId w:val="5"/>
        </w:numPr>
        <w:spacing w:after="0" w:line="360" w:lineRule="auto"/>
        <w:ind w:left="0" w:hanging="357"/>
        <w:rPr>
          <w:rFonts w:ascii="Aptos" w:eastAsia="Aptos" w:hAnsi="Aptos" w:cs="Aptos"/>
        </w:rPr>
      </w:pPr>
      <w:r w:rsidRPr="1259BC21">
        <w:rPr>
          <w:rFonts w:ascii="Aptos" w:eastAsia="Aptos" w:hAnsi="Aptos" w:cs="Aptos"/>
        </w:rPr>
        <w:t xml:space="preserve">Frumkin, H., Bratman, G. N., Breslow, S. J., Cochran, B., Kahn, P. H. Jr., Lawler, J. J., Levin, P. S., Tandon, P. S., Varanasi, U., Wolf, K. L. and Wood, S. A. (2017) ‘Nature contact and human health: A research agenda’, </w:t>
      </w:r>
      <w:r w:rsidRPr="1259BC21">
        <w:rPr>
          <w:rFonts w:ascii="Aptos" w:eastAsia="Aptos" w:hAnsi="Aptos" w:cs="Aptos"/>
          <w:i/>
          <w:iCs/>
        </w:rPr>
        <w:t>Environmental Health Perspectives</w:t>
      </w:r>
      <w:r w:rsidRPr="1259BC21">
        <w:rPr>
          <w:rFonts w:ascii="Aptos" w:eastAsia="Aptos" w:hAnsi="Aptos" w:cs="Aptos"/>
        </w:rPr>
        <w:t xml:space="preserve">, 125(7), 075001 </w:t>
      </w:r>
    </w:p>
    <w:p w14:paraId="45190D03" w14:textId="77777777" w:rsidR="0018082A" w:rsidRDefault="0018082A" w:rsidP="00122C7C">
      <w:pPr>
        <w:pStyle w:val="ListParagraph"/>
        <w:numPr>
          <w:ilvl w:val="0"/>
          <w:numId w:val="2"/>
        </w:numPr>
        <w:spacing w:after="0" w:line="360" w:lineRule="auto"/>
        <w:ind w:left="0"/>
        <w:rPr>
          <w:rFonts w:ascii="Aptos" w:eastAsia="Aptos" w:hAnsi="Aptos" w:cs="Aptos"/>
        </w:rPr>
      </w:pPr>
      <w:r w:rsidRPr="1259BC21">
        <w:rPr>
          <w:rFonts w:ascii="Aptos" w:eastAsia="Aptos" w:hAnsi="Aptos" w:cs="Aptos"/>
        </w:rPr>
        <w:t xml:space="preserve">Gascon, M., </w:t>
      </w:r>
      <w:bookmarkStart w:id="41" w:name="_Int_BMGbOFPM"/>
      <w:r w:rsidRPr="1259BC21">
        <w:rPr>
          <w:rFonts w:ascii="Aptos" w:eastAsia="Aptos" w:hAnsi="Aptos" w:cs="Aptos"/>
        </w:rPr>
        <w:t>Zijlema</w:t>
      </w:r>
      <w:bookmarkEnd w:id="41"/>
      <w:r w:rsidRPr="1259BC21">
        <w:rPr>
          <w:rFonts w:ascii="Aptos" w:eastAsia="Aptos" w:hAnsi="Aptos" w:cs="Aptos"/>
        </w:rPr>
        <w:t xml:space="preserve">, W. L., Vert, C., White, M. P. and </w:t>
      </w:r>
      <w:bookmarkStart w:id="42" w:name="_Int_PhVAGz52"/>
      <w:r w:rsidRPr="1259BC21">
        <w:rPr>
          <w:rFonts w:ascii="Aptos" w:eastAsia="Aptos" w:hAnsi="Aptos" w:cs="Aptos"/>
        </w:rPr>
        <w:t>Nieuwenhuijsen</w:t>
      </w:r>
      <w:bookmarkEnd w:id="42"/>
      <w:r w:rsidRPr="1259BC21">
        <w:rPr>
          <w:rFonts w:ascii="Aptos" w:eastAsia="Aptos" w:hAnsi="Aptos" w:cs="Aptos"/>
        </w:rPr>
        <w:t xml:space="preserve">, M. J. (2017) ‘Outdoor blue spaces, human health, and well-being: A systematic review of quantitative studies’, </w:t>
      </w:r>
      <w:r w:rsidRPr="1259BC21">
        <w:rPr>
          <w:rFonts w:ascii="Aptos" w:eastAsia="Aptos" w:hAnsi="Aptos" w:cs="Aptos"/>
          <w:i/>
          <w:iCs/>
        </w:rPr>
        <w:t>International Journal of Hygiene and Environmental Health</w:t>
      </w:r>
      <w:r w:rsidRPr="1259BC21">
        <w:rPr>
          <w:rFonts w:ascii="Aptos" w:eastAsia="Aptos" w:hAnsi="Aptos" w:cs="Aptos"/>
        </w:rPr>
        <w:t>, 220(8), pp. 1207–1221</w:t>
      </w:r>
    </w:p>
    <w:p w14:paraId="6D14FE0F" w14:textId="77777777" w:rsidR="0018082A" w:rsidRPr="00251F2B" w:rsidRDefault="0018082A" w:rsidP="00122C7C">
      <w:pPr>
        <w:pStyle w:val="ListParagraph"/>
        <w:numPr>
          <w:ilvl w:val="0"/>
          <w:numId w:val="2"/>
        </w:numPr>
        <w:spacing w:after="0" w:line="360" w:lineRule="auto"/>
        <w:ind w:left="0"/>
        <w:rPr>
          <w:rFonts w:eastAsia="Aptos" w:cs="Aptos"/>
        </w:rPr>
      </w:pPr>
      <w:r w:rsidRPr="00E15727">
        <w:t xml:space="preserve">Gelter, H., 2000. Friluftsliv: The Scandinavian philosophy of outdoor life. </w:t>
      </w:r>
      <w:r w:rsidRPr="00251F2B">
        <w:rPr>
          <w:i/>
          <w:iCs/>
        </w:rPr>
        <w:t>Canadian Journal of Environmental Education</w:t>
      </w:r>
      <w:r w:rsidRPr="00E15727">
        <w:t>, 5, pp.77–92.</w:t>
      </w:r>
    </w:p>
    <w:p w14:paraId="59637AB6"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Gidlow, C.J., Jones, M.V., Hurst, G., Masterson, D., Clark-Carter, D., Tarvainen, M.P., Smith, G. and Nieuwenhuijsen, M. (2016) ‘Where to put your best foot forward: Psychophysiological responses to walking in natural and urban environments’, </w:t>
      </w:r>
      <w:r w:rsidRPr="00EE6FEC">
        <w:rPr>
          <w:i/>
          <w:iCs/>
        </w:rPr>
        <w:t>Journal of Environmental Psychology</w:t>
      </w:r>
      <w:r w:rsidRPr="007F46B8">
        <w:t>, 45, pp. 22–29.</w:t>
      </w:r>
    </w:p>
    <w:p w14:paraId="58677C4C"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Guillemin, M. and Gillam, L. (2004) ‘Ethics, reflexivity, and “ethically important moments” in research’, </w:t>
      </w:r>
      <w:r w:rsidRPr="00EE6FEC">
        <w:rPr>
          <w:i/>
          <w:iCs/>
        </w:rPr>
        <w:t>Qualitative Inquiry</w:t>
      </w:r>
      <w:r w:rsidRPr="007F46B8">
        <w:t>, 10(2), pp. 261–280.</w:t>
      </w:r>
    </w:p>
    <w:p w14:paraId="151843D5" w14:textId="77777777" w:rsidR="0018082A" w:rsidRPr="005C57FC" w:rsidRDefault="0018082A" w:rsidP="00122C7C">
      <w:pPr>
        <w:pStyle w:val="ListParagraph"/>
        <w:numPr>
          <w:ilvl w:val="0"/>
          <w:numId w:val="2"/>
        </w:numPr>
        <w:spacing w:after="0" w:line="360" w:lineRule="auto"/>
        <w:ind w:left="0"/>
        <w:rPr>
          <w:rFonts w:eastAsia="Aptos" w:cs="Aptos"/>
        </w:rPr>
      </w:pPr>
      <w:r>
        <w:t xml:space="preserve">Haluza, D., Schönbauer, R. and Cervinka, R. (2014) ‘Green perspectives for public health: A narrative review on the physiological effects of experiencing outdoor nature’, </w:t>
      </w:r>
      <w:r w:rsidRPr="005C57FC">
        <w:rPr>
          <w:rStyle w:val="Emphasis"/>
          <w:rFonts w:eastAsiaTheme="majorEastAsia"/>
        </w:rPr>
        <w:t>International Journal of Environmental Research and Public Health</w:t>
      </w:r>
      <w:r>
        <w:t>, 11(5), pp. 5445–5461.</w:t>
      </w:r>
    </w:p>
    <w:p w14:paraId="2F7603A4" w14:textId="247E85C9" w:rsidR="0018082A" w:rsidRPr="00251F2B" w:rsidRDefault="0018082A" w:rsidP="007E172F">
      <w:pPr>
        <w:pStyle w:val="ListParagraph"/>
        <w:numPr>
          <w:ilvl w:val="0"/>
          <w:numId w:val="2"/>
        </w:numPr>
        <w:spacing w:after="0" w:line="360" w:lineRule="auto"/>
        <w:ind w:left="0"/>
        <w:rPr>
          <w:rFonts w:eastAsia="Aptos" w:cs="Aptos"/>
        </w:rPr>
      </w:pPr>
      <w:r w:rsidRPr="00E15727">
        <w:t xml:space="preserve">Hartig, T., Mitchell, R., de Vries, S. and Frumkin, H., 2014. Nature and health. </w:t>
      </w:r>
      <w:r w:rsidRPr="00251F2B">
        <w:rPr>
          <w:i/>
          <w:iCs/>
        </w:rPr>
        <w:t>Annual Review of Public Health</w:t>
      </w:r>
      <w:r w:rsidRPr="00E15727">
        <w:t xml:space="preserve">, 35, pp.207–228. </w:t>
      </w:r>
    </w:p>
    <w:p w14:paraId="23FCCE7D" w14:textId="77777777" w:rsidR="0018082A" w:rsidRDefault="0018082A" w:rsidP="00122C7C">
      <w:pPr>
        <w:pStyle w:val="ListParagraph"/>
        <w:numPr>
          <w:ilvl w:val="0"/>
          <w:numId w:val="2"/>
        </w:numPr>
        <w:spacing w:after="0" w:line="360" w:lineRule="auto"/>
        <w:ind w:left="0"/>
        <w:rPr>
          <w:rFonts w:ascii="Aptos" w:eastAsia="Aptos" w:hAnsi="Aptos" w:cs="Aptos"/>
        </w:rPr>
      </w:pPr>
      <w:r w:rsidRPr="1259BC21">
        <w:rPr>
          <w:rFonts w:ascii="Aptos" w:eastAsia="Aptos" w:hAnsi="Aptos" w:cs="Aptos"/>
        </w:rPr>
        <w:t xml:space="preserve">Hochschild, A. R. and </w:t>
      </w:r>
      <w:bookmarkStart w:id="43" w:name="_Int_qVxgz6mT"/>
      <w:r w:rsidRPr="1259BC21">
        <w:rPr>
          <w:rFonts w:ascii="Aptos" w:eastAsia="Aptos" w:hAnsi="Aptos" w:cs="Aptos"/>
        </w:rPr>
        <w:t>Machung</w:t>
      </w:r>
      <w:bookmarkEnd w:id="43"/>
      <w:r w:rsidRPr="1259BC21">
        <w:rPr>
          <w:rFonts w:ascii="Aptos" w:eastAsia="Aptos" w:hAnsi="Aptos" w:cs="Aptos"/>
        </w:rPr>
        <w:t xml:space="preserve">, A. (2012) </w:t>
      </w:r>
      <w:r w:rsidRPr="1259BC21">
        <w:rPr>
          <w:rFonts w:ascii="Aptos" w:eastAsia="Aptos" w:hAnsi="Aptos" w:cs="Aptos"/>
          <w:i/>
          <w:iCs/>
        </w:rPr>
        <w:t>The Second Shift: Working Families and the Revolution at Home</w:t>
      </w:r>
      <w:r w:rsidRPr="1259BC21">
        <w:rPr>
          <w:rFonts w:ascii="Aptos" w:eastAsia="Aptos" w:hAnsi="Aptos" w:cs="Aptos"/>
        </w:rPr>
        <w:t>. New York: Penguin Books.</w:t>
      </w:r>
    </w:p>
    <w:p w14:paraId="348A58E5" w14:textId="77777777" w:rsidR="0018082A" w:rsidRPr="004E4D12" w:rsidRDefault="0018082A" w:rsidP="00122C7C">
      <w:pPr>
        <w:pStyle w:val="ListParagraph"/>
        <w:numPr>
          <w:ilvl w:val="0"/>
          <w:numId w:val="2"/>
        </w:numPr>
        <w:spacing w:after="0" w:line="360" w:lineRule="auto"/>
        <w:ind w:left="0"/>
        <w:rPr>
          <w:rFonts w:eastAsia="Aptos" w:cs="Aptos"/>
        </w:rPr>
      </w:pPr>
      <w:r>
        <w:t xml:space="preserve">Houlden, V., Weich, S., Porto de Albuquerque, J., Jarvis, S. and Rees, K. (2019) ‘The relationship between greenspace and the mental wellbeing of adults: A systematic review’, </w:t>
      </w:r>
      <w:r w:rsidRPr="004E4D12">
        <w:rPr>
          <w:rStyle w:val="Emphasis"/>
          <w:rFonts w:eastAsiaTheme="majorEastAsia"/>
        </w:rPr>
        <w:t>PLoS ONE</w:t>
      </w:r>
      <w:r>
        <w:t>, 14(9), e0221451.</w:t>
      </w:r>
    </w:p>
    <w:p w14:paraId="3A81079B" w14:textId="77777777" w:rsidR="0018082A" w:rsidRDefault="0018082A" w:rsidP="00122C7C">
      <w:pPr>
        <w:pStyle w:val="ListParagraph"/>
        <w:numPr>
          <w:ilvl w:val="0"/>
          <w:numId w:val="2"/>
        </w:numPr>
        <w:spacing w:after="0" w:line="360" w:lineRule="auto"/>
        <w:ind w:left="0"/>
        <w:rPr>
          <w:rFonts w:ascii="Aptos" w:eastAsia="Aptos" w:hAnsi="Aptos" w:cs="Aptos"/>
        </w:rPr>
      </w:pPr>
      <w:r w:rsidRPr="1259BC21">
        <w:rPr>
          <w:rFonts w:ascii="Aptos" w:eastAsia="Aptos" w:hAnsi="Aptos" w:cs="Aptos"/>
        </w:rPr>
        <w:lastRenderedPageBreak/>
        <w:t xml:space="preserve">Hunter, M. R., Gillespie, B. W. and Chen, S. Y. P. (2019) ‘Urban nature experiences reduce stress in the context of daily life based on salivary biomarkers’, </w:t>
      </w:r>
      <w:r w:rsidRPr="1259BC21">
        <w:rPr>
          <w:rFonts w:ascii="Aptos" w:eastAsia="Aptos" w:hAnsi="Aptos" w:cs="Aptos"/>
          <w:i/>
          <w:iCs/>
        </w:rPr>
        <w:t>Frontiers in Psychology</w:t>
      </w:r>
      <w:r w:rsidRPr="1259BC21">
        <w:rPr>
          <w:rFonts w:ascii="Aptos" w:eastAsia="Aptos" w:hAnsi="Aptos" w:cs="Aptos"/>
        </w:rPr>
        <w:t xml:space="preserve">, 10, 722. </w:t>
      </w:r>
    </w:p>
    <w:p w14:paraId="668E808B"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Huppert, F.A. and So, T.T. (2013) ‘Flourishing across Europe: Application of a new conceptual framework for defining well-being’, </w:t>
      </w:r>
      <w:r w:rsidRPr="00EE6FEC">
        <w:rPr>
          <w:i/>
          <w:iCs/>
        </w:rPr>
        <w:t>Social Indicators Research</w:t>
      </w:r>
      <w:r w:rsidRPr="007F46B8">
        <w:t>, 110(3), pp. 837–861.</w:t>
      </w:r>
    </w:p>
    <w:p w14:paraId="03E64E2F"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Israel, M. and Hay, I. (2006) </w:t>
      </w:r>
      <w:r w:rsidRPr="00EE6FEC">
        <w:rPr>
          <w:i/>
          <w:iCs/>
        </w:rPr>
        <w:t>Research ethics for social scientists</w:t>
      </w:r>
      <w:r w:rsidRPr="007F46B8">
        <w:t>. London: Sage.</w:t>
      </w:r>
    </w:p>
    <w:p w14:paraId="355213F4" w14:textId="77777777" w:rsidR="0018082A" w:rsidRPr="005C57FC" w:rsidRDefault="0018082A" w:rsidP="00122C7C">
      <w:pPr>
        <w:pStyle w:val="ListParagraph"/>
        <w:numPr>
          <w:ilvl w:val="0"/>
          <w:numId w:val="2"/>
        </w:numPr>
        <w:spacing w:after="0" w:line="360" w:lineRule="auto"/>
        <w:ind w:left="0"/>
        <w:rPr>
          <w:rFonts w:eastAsia="Aptos" w:cs="Aptos"/>
        </w:rPr>
      </w:pPr>
      <w:r>
        <w:t xml:space="preserve">Jennings, V., Johnson Gaither, C. and Gragg, R.S. (2019) ‘Promoting environmental justice through urban green space access: A synopsis’, </w:t>
      </w:r>
      <w:r w:rsidRPr="005C57FC">
        <w:rPr>
          <w:rStyle w:val="Emphasis"/>
          <w:rFonts w:eastAsiaTheme="majorEastAsia"/>
        </w:rPr>
        <w:t>Environmental Justice</w:t>
      </w:r>
      <w:r>
        <w:t>, 5(1), pp. 1–7.</w:t>
      </w:r>
    </w:p>
    <w:p w14:paraId="28D437EE"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Johnson, R.B., Onwuegbuzie, A.J. and Turner, L.A. (2007) ‘Toward a definition of mixed methods research’, </w:t>
      </w:r>
      <w:r w:rsidRPr="00EE6FEC">
        <w:rPr>
          <w:i/>
          <w:iCs/>
        </w:rPr>
        <w:t>Journal of Mixed Methods Research</w:t>
      </w:r>
      <w:r w:rsidRPr="007F46B8">
        <w:t>, 1(2), pp. 112–133.</w:t>
      </w:r>
    </w:p>
    <w:p w14:paraId="70727974" w14:textId="77777777" w:rsidR="0018082A" w:rsidRPr="00EE6FEC" w:rsidRDefault="0018082A" w:rsidP="00122C7C">
      <w:pPr>
        <w:pStyle w:val="ListParagraph"/>
        <w:numPr>
          <w:ilvl w:val="0"/>
          <w:numId w:val="2"/>
        </w:numPr>
        <w:spacing w:after="0" w:line="360" w:lineRule="auto"/>
        <w:ind w:left="0"/>
        <w:rPr>
          <w:rFonts w:eastAsia="Aptos" w:cs="Aptos"/>
        </w:rPr>
      </w:pPr>
      <w:r w:rsidRPr="007F46B8">
        <w:t>Kallio, H., Pietilä, A.M., Johnson, M. and Kangasniemi, M. (2016) ‘Systematic methodological review: Developing a framework for a qualitative semi</w:t>
      </w:r>
      <w:r w:rsidRPr="00EE6FEC">
        <w:rPr>
          <w:rFonts w:ascii="Cambria Math" w:hAnsi="Cambria Math" w:cs="Cambria Math"/>
        </w:rPr>
        <w:t>‐</w:t>
      </w:r>
      <w:r w:rsidRPr="007F46B8">
        <w:t>structured interview guide</w:t>
      </w:r>
      <w:r w:rsidRPr="00EE6FEC">
        <w:rPr>
          <w:rFonts w:ascii="Aptos" w:hAnsi="Aptos" w:cs="Aptos"/>
        </w:rPr>
        <w:t>’</w:t>
      </w:r>
      <w:r w:rsidRPr="007F46B8">
        <w:t xml:space="preserve">, </w:t>
      </w:r>
      <w:r w:rsidRPr="00EE6FEC">
        <w:rPr>
          <w:i/>
          <w:iCs/>
        </w:rPr>
        <w:t>Journal of Advanced Nursing</w:t>
      </w:r>
      <w:r w:rsidRPr="007F46B8">
        <w:t>, 72(12), pp. 2954–2965.</w:t>
      </w:r>
    </w:p>
    <w:p w14:paraId="422778A6" w14:textId="77777777" w:rsidR="0018082A" w:rsidRPr="00251F2B" w:rsidRDefault="0018082A" w:rsidP="00122C7C">
      <w:pPr>
        <w:pStyle w:val="ListParagraph"/>
        <w:numPr>
          <w:ilvl w:val="0"/>
          <w:numId w:val="2"/>
        </w:numPr>
        <w:spacing w:after="0" w:line="360" w:lineRule="auto"/>
        <w:ind w:left="0"/>
        <w:rPr>
          <w:rFonts w:eastAsia="Aptos" w:cs="Aptos"/>
        </w:rPr>
      </w:pPr>
      <w:r w:rsidRPr="00251F2B">
        <w:rPr>
          <w:lang w:val="sv-SE"/>
        </w:rPr>
        <w:t xml:space="preserve">Kaplan, R. and Kaplan, S., 1989. </w:t>
      </w:r>
      <w:r w:rsidRPr="00251F2B">
        <w:rPr>
          <w:i/>
          <w:iCs/>
        </w:rPr>
        <w:t>The Experience of Nature: A Psychological Perspective</w:t>
      </w:r>
      <w:r w:rsidRPr="00E15727">
        <w:t>. Cambridge: Cambridge University Press.</w:t>
      </w:r>
    </w:p>
    <w:p w14:paraId="7F4C627A" w14:textId="77777777" w:rsidR="0018082A" w:rsidRDefault="0018082A" w:rsidP="00122C7C">
      <w:pPr>
        <w:pStyle w:val="ListParagraph"/>
        <w:numPr>
          <w:ilvl w:val="0"/>
          <w:numId w:val="2"/>
        </w:numPr>
        <w:spacing w:after="0" w:line="360" w:lineRule="auto"/>
        <w:ind w:left="0"/>
        <w:rPr>
          <w:rFonts w:ascii="Aptos" w:eastAsia="Aptos" w:hAnsi="Aptos" w:cs="Aptos"/>
        </w:rPr>
      </w:pPr>
      <w:r w:rsidRPr="1259BC21">
        <w:rPr>
          <w:rFonts w:ascii="Aptos" w:eastAsia="Aptos" w:hAnsi="Aptos" w:cs="Aptos"/>
        </w:rPr>
        <w:t xml:space="preserve">Kaplan, S. (1995) ‘The restorative benefits of nature: Toward an integrative framework’, </w:t>
      </w:r>
      <w:r w:rsidRPr="1259BC21">
        <w:rPr>
          <w:rFonts w:ascii="Aptos" w:eastAsia="Aptos" w:hAnsi="Aptos" w:cs="Aptos"/>
          <w:i/>
          <w:iCs/>
        </w:rPr>
        <w:t>Journal of Environmental Psychology</w:t>
      </w:r>
      <w:r w:rsidRPr="1259BC21">
        <w:rPr>
          <w:rFonts w:ascii="Aptos" w:eastAsia="Aptos" w:hAnsi="Aptos" w:cs="Aptos"/>
        </w:rPr>
        <w:t xml:space="preserve">, 15(3), pp. 169–182. </w:t>
      </w:r>
    </w:p>
    <w:p w14:paraId="0F6A0177"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King, N. and Horrocks, C. (2010) </w:t>
      </w:r>
      <w:r w:rsidRPr="00EE6FEC">
        <w:rPr>
          <w:i/>
          <w:iCs/>
        </w:rPr>
        <w:t>Interviews in qualitative research</w:t>
      </w:r>
      <w:r w:rsidRPr="007F46B8">
        <w:t>. London: Sage.</w:t>
      </w:r>
    </w:p>
    <w:p w14:paraId="70C6E6D4" w14:textId="77777777" w:rsidR="0018082A" w:rsidRDefault="0018082A" w:rsidP="00122C7C">
      <w:pPr>
        <w:pStyle w:val="ListParagraph"/>
        <w:numPr>
          <w:ilvl w:val="0"/>
          <w:numId w:val="2"/>
        </w:numPr>
        <w:spacing w:after="0" w:line="360" w:lineRule="auto"/>
        <w:ind w:left="0"/>
        <w:rPr>
          <w:rFonts w:ascii="Aptos" w:eastAsia="Aptos" w:hAnsi="Aptos" w:cs="Aptos"/>
        </w:rPr>
      </w:pPr>
      <w:bookmarkStart w:id="44" w:name="_Int_gPtLCcT0"/>
      <w:r w:rsidRPr="1259BC21">
        <w:rPr>
          <w:rFonts w:ascii="Aptos" w:eastAsia="Aptos" w:hAnsi="Aptos" w:cs="Aptos"/>
        </w:rPr>
        <w:t>Korpela, K. M. and Kinnunen, U. (2011) ‘How is leisure time interacting with nature related to the need for recovery from work demands?</w:t>
      </w:r>
      <w:bookmarkEnd w:id="44"/>
      <w:r w:rsidRPr="1259BC21">
        <w:rPr>
          <w:rFonts w:ascii="Aptos" w:eastAsia="Aptos" w:hAnsi="Aptos" w:cs="Aptos"/>
        </w:rPr>
        <w:t xml:space="preserve"> Testing multiple mediators</w:t>
      </w:r>
      <w:bookmarkStart w:id="45" w:name="_Int_U3KDSzJI"/>
      <w:r w:rsidRPr="1259BC21">
        <w:rPr>
          <w:rFonts w:ascii="Aptos" w:eastAsia="Aptos" w:hAnsi="Aptos" w:cs="Aptos"/>
        </w:rPr>
        <w:t>’,</w:t>
      </w:r>
      <w:bookmarkEnd w:id="45"/>
      <w:r w:rsidRPr="1259BC21">
        <w:rPr>
          <w:rFonts w:ascii="Aptos" w:eastAsia="Aptos" w:hAnsi="Aptos" w:cs="Aptos"/>
        </w:rPr>
        <w:t xml:space="preserve"> </w:t>
      </w:r>
      <w:r w:rsidRPr="1259BC21">
        <w:rPr>
          <w:rFonts w:ascii="Aptos" w:eastAsia="Aptos" w:hAnsi="Aptos" w:cs="Aptos"/>
          <w:i/>
          <w:iCs/>
        </w:rPr>
        <w:t>Leisure Sciences</w:t>
      </w:r>
      <w:r w:rsidRPr="1259BC21">
        <w:rPr>
          <w:rFonts w:ascii="Aptos" w:eastAsia="Aptos" w:hAnsi="Aptos" w:cs="Aptos"/>
        </w:rPr>
        <w:t xml:space="preserve">, 33(1), pp. 1–14. </w:t>
      </w:r>
    </w:p>
    <w:p w14:paraId="1992407D" w14:textId="77777777" w:rsidR="0018082A" w:rsidRPr="005C57FC" w:rsidRDefault="0018082A" w:rsidP="00122C7C">
      <w:pPr>
        <w:pStyle w:val="ListParagraph"/>
        <w:numPr>
          <w:ilvl w:val="0"/>
          <w:numId w:val="2"/>
        </w:numPr>
        <w:spacing w:after="0" w:line="360" w:lineRule="auto"/>
        <w:ind w:left="0"/>
        <w:rPr>
          <w:rFonts w:eastAsia="Aptos" w:cs="Aptos"/>
        </w:rPr>
      </w:pPr>
      <w:r>
        <w:t xml:space="preserve">Korpela, K.M., De Bloom, J., Sianoja, M., Pasanen, T. and Kinnunen, U. (2017) ‘Nature at home and at work: Naturally good? Links between window views, indoor plants, outdoor activities and employee well-being over one year’, </w:t>
      </w:r>
      <w:r w:rsidRPr="005C57FC">
        <w:rPr>
          <w:rStyle w:val="Emphasis"/>
          <w:rFonts w:eastAsiaTheme="majorEastAsia"/>
        </w:rPr>
        <w:t>Landscape and Urban Planning</w:t>
      </w:r>
      <w:r>
        <w:t>, 160, pp. 38–47.</w:t>
      </w:r>
    </w:p>
    <w:p w14:paraId="1AC0BD6D"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Lakens, D. (2013) ‘Calculating and reporting effect sizes to facilitate cumulative science: A practical primer for t-tests and ANOVAs’, </w:t>
      </w:r>
      <w:r w:rsidRPr="00EE6FEC">
        <w:rPr>
          <w:i/>
          <w:iCs/>
        </w:rPr>
        <w:t>Frontiers in Psychology</w:t>
      </w:r>
      <w:r w:rsidRPr="007F46B8">
        <w:t>, 4, 863.</w:t>
      </w:r>
    </w:p>
    <w:p w14:paraId="6F2FB30B" w14:textId="77777777" w:rsidR="0018082A" w:rsidRPr="0065723F" w:rsidRDefault="0018082A" w:rsidP="00122C7C">
      <w:pPr>
        <w:pStyle w:val="NormalWeb"/>
        <w:numPr>
          <w:ilvl w:val="0"/>
          <w:numId w:val="2"/>
        </w:numPr>
        <w:spacing w:after="0" w:afterAutospacing="0" w:line="360" w:lineRule="auto"/>
        <w:ind w:left="0"/>
        <w:rPr>
          <w:rFonts w:asciiTheme="minorHAnsi" w:hAnsiTheme="minorHAnsi"/>
        </w:rPr>
      </w:pPr>
      <w:r w:rsidRPr="0065723F">
        <w:rPr>
          <w:rFonts w:asciiTheme="minorHAnsi" w:hAnsiTheme="minorHAnsi"/>
        </w:rPr>
        <w:lastRenderedPageBreak/>
        <w:t xml:space="preserve">Lawton, E., Brymer, E., Clough, P. and Denovan, A. (2017) ‘The relationship between the physical activity environment, nature relatedness, anxiety, and the psychological wellbeing benefits of regular exercisers’, </w:t>
      </w:r>
      <w:r w:rsidRPr="0065723F">
        <w:rPr>
          <w:rStyle w:val="Emphasis"/>
          <w:rFonts w:asciiTheme="minorHAnsi" w:eastAsiaTheme="majorEastAsia" w:hAnsiTheme="minorHAnsi"/>
        </w:rPr>
        <w:t>Frontiers in Psychology</w:t>
      </w:r>
      <w:r w:rsidRPr="0065723F">
        <w:rPr>
          <w:rFonts w:asciiTheme="minorHAnsi" w:hAnsiTheme="minorHAnsi"/>
        </w:rPr>
        <w:t>, 8, 1058.</w:t>
      </w:r>
    </w:p>
    <w:p w14:paraId="13F4B2E5"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Liamputtong, P. (2020) </w:t>
      </w:r>
      <w:r w:rsidRPr="00EE6FEC">
        <w:rPr>
          <w:i/>
          <w:iCs/>
        </w:rPr>
        <w:t>Handbook of research methods in health social sciences</w:t>
      </w:r>
      <w:r w:rsidRPr="007F46B8">
        <w:t>. Singapore: Springer.</w:t>
      </w:r>
    </w:p>
    <w:p w14:paraId="2D7FC572"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Lincoln, Y.S. and Guba, E.G. (1985) </w:t>
      </w:r>
      <w:r w:rsidRPr="00EE6FEC">
        <w:rPr>
          <w:i/>
          <w:iCs/>
        </w:rPr>
        <w:t>Naturalistic inquiry</w:t>
      </w:r>
      <w:r w:rsidRPr="007F46B8">
        <w:t>. Beverly Hills, CA: Sage.</w:t>
      </w:r>
    </w:p>
    <w:p w14:paraId="19C6807B" w14:textId="77777777" w:rsidR="0018082A" w:rsidRDefault="0018082A" w:rsidP="00122C7C">
      <w:pPr>
        <w:pStyle w:val="ListParagraph"/>
        <w:numPr>
          <w:ilvl w:val="0"/>
          <w:numId w:val="2"/>
        </w:numPr>
        <w:spacing w:after="0" w:line="360" w:lineRule="auto"/>
        <w:ind w:left="0"/>
        <w:rPr>
          <w:rFonts w:ascii="Aptos" w:eastAsia="Aptos" w:hAnsi="Aptos" w:cs="Aptos"/>
        </w:rPr>
      </w:pPr>
      <w:r w:rsidRPr="1259BC21">
        <w:rPr>
          <w:rFonts w:ascii="Aptos" w:eastAsia="Aptos" w:hAnsi="Aptos" w:cs="Aptos"/>
        </w:rPr>
        <w:t xml:space="preserve">Lopes, S., Lima, M. L., Silva, K. and Barbosa, F. (2020) ‘Nature can get it out of your mind: Green space exposure improves stress recovery via rumination reduction’, </w:t>
      </w:r>
      <w:r w:rsidRPr="1259BC21">
        <w:rPr>
          <w:rFonts w:ascii="Aptos" w:eastAsia="Aptos" w:hAnsi="Aptos" w:cs="Aptos"/>
          <w:i/>
          <w:iCs/>
        </w:rPr>
        <w:t>Journal of Environmental Psychology</w:t>
      </w:r>
      <w:r w:rsidRPr="1259BC21">
        <w:rPr>
          <w:rFonts w:ascii="Aptos" w:eastAsia="Aptos" w:hAnsi="Aptos" w:cs="Aptos"/>
        </w:rPr>
        <w:t xml:space="preserve">, 71, 101489. </w:t>
      </w:r>
    </w:p>
    <w:p w14:paraId="6F3BAEE5" w14:textId="77777777" w:rsidR="0018082A" w:rsidRPr="00EE6FEC" w:rsidRDefault="0018082A" w:rsidP="00122C7C">
      <w:pPr>
        <w:pStyle w:val="ListParagraph"/>
        <w:numPr>
          <w:ilvl w:val="0"/>
          <w:numId w:val="2"/>
        </w:numPr>
        <w:spacing w:after="0" w:line="360" w:lineRule="auto"/>
        <w:ind w:left="0"/>
        <w:rPr>
          <w:rFonts w:eastAsia="Aptos" w:cs="Aptos"/>
        </w:rPr>
      </w:pPr>
      <w:r w:rsidRPr="007F46B8">
        <w:t>Maheswaran, H., Weich, S., Powell, J. and Stewart-Brown, S. (2012) ‘Evaluating the responsiveness of the Warwick Edinburgh Mental Well</w:t>
      </w:r>
      <w:r w:rsidRPr="00EE6FEC">
        <w:rPr>
          <w:rFonts w:ascii="Cambria Math" w:hAnsi="Cambria Math" w:cs="Cambria Math"/>
        </w:rPr>
        <w:t>‐</w:t>
      </w:r>
      <w:r w:rsidRPr="007F46B8">
        <w:t>Being Scale (WEMWBS): Group and individual level analysis</w:t>
      </w:r>
      <w:r w:rsidRPr="00EE6FEC">
        <w:rPr>
          <w:rFonts w:ascii="Aptos" w:hAnsi="Aptos" w:cs="Aptos"/>
        </w:rPr>
        <w:t>’</w:t>
      </w:r>
      <w:r w:rsidRPr="007F46B8">
        <w:t xml:space="preserve">, </w:t>
      </w:r>
      <w:r w:rsidRPr="00EE6FEC">
        <w:rPr>
          <w:i/>
          <w:iCs/>
        </w:rPr>
        <w:t>Health and Quality of Life Outcomes</w:t>
      </w:r>
      <w:r w:rsidRPr="007F46B8">
        <w:t>, 10(1), pp. 156.</w:t>
      </w:r>
    </w:p>
    <w:p w14:paraId="5FB17A94" w14:textId="77777777" w:rsidR="0018082A" w:rsidRPr="00251F2B" w:rsidRDefault="0018082A" w:rsidP="00122C7C">
      <w:pPr>
        <w:pStyle w:val="ListParagraph"/>
        <w:numPr>
          <w:ilvl w:val="0"/>
          <w:numId w:val="2"/>
        </w:numPr>
        <w:spacing w:after="0" w:line="360" w:lineRule="auto"/>
        <w:ind w:left="0"/>
        <w:rPr>
          <w:rFonts w:eastAsia="Aptos" w:cs="Aptos"/>
        </w:rPr>
      </w:pPr>
      <w:r w:rsidRPr="00703179">
        <w:t xml:space="preserve">Maller, C., Townsend, M., Pryor, A., Brown, P. and St Leger, L., 2006. Healthy nature healthy people: ‘Contact with nature’ as an upstream health promotion intervention for populations. </w:t>
      </w:r>
      <w:r w:rsidRPr="00251F2B">
        <w:rPr>
          <w:i/>
          <w:iCs/>
        </w:rPr>
        <w:t>Health Promotion International</w:t>
      </w:r>
      <w:r w:rsidRPr="00703179">
        <w:t xml:space="preserve">, 21(1), pp.45–54. </w:t>
      </w:r>
      <w:hyperlink r:id="rId17" w:history="1">
        <w:r w:rsidRPr="00703179">
          <w:rPr>
            <w:rStyle w:val="Hyperlink"/>
          </w:rPr>
          <w:t>https://doi.org/10.1093/heapro/dai032</w:t>
        </w:r>
      </w:hyperlink>
    </w:p>
    <w:p w14:paraId="36B8757B"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Malterud, K. (2001) ‘Qualitative research: Standards, challenges, and guidelines’, </w:t>
      </w:r>
      <w:r w:rsidRPr="00EE6FEC">
        <w:rPr>
          <w:i/>
          <w:iCs/>
        </w:rPr>
        <w:t>The Lancet</w:t>
      </w:r>
      <w:r w:rsidRPr="007F46B8">
        <w:t>, 358(9280), pp. 483–488.</w:t>
      </w:r>
    </w:p>
    <w:p w14:paraId="5D7FB0DF" w14:textId="77777777" w:rsidR="0018082A" w:rsidRDefault="0018082A" w:rsidP="00122C7C">
      <w:pPr>
        <w:pStyle w:val="ListParagraph"/>
        <w:numPr>
          <w:ilvl w:val="0"/>
          <w:numId w:val="2"/>
        </w:numPr>
        <w:spacing w:after="0" w:line="360" w:lineRule="auto"/>
        <w:ind w:left="0"/>
        <w:rPr>
          <w:rFonts w:ascii="Aptos" w:eastAsia="Aptos" w:hAnsi="Aptos" w:cs="Aptos"/>
        </w:rPr>
      </w:pPr>
      <w:r w:rsidRPr="1259BC21">
        <w:rPr>
          <w:rFonts w:ascii="Aptos" w:eastAsia="Aptos" w:hAnsi="Aptos" w:cs="Aptos"/>
        </w:rPr>
        <w:t xml:space="preserve">Marselle, M. R., Hartig, T., Cox, D. T. C., de Bell, S., Knapp, S., Lindley, S., Triguero-Mas, M. and </w:t>
      </w:r>
      <w:bookmarkStart w:id="46" w:name="_Int_dV2qp4Jv"/>
      <w:r w:rsidRPr="1259BC21">
        <w:rPr>
          <w:rFonts w:ascii="Aptos" w:eastAsia="Aptos" w:hAnsi="Aptos" w:cs="Aptos"/>
        </w:rPr>
        <w:t>Nieuwenhuijsen</w:t>
      </w:r>
      <w:bookmarkEnd w:id="46"/>
      <w:r w:rsidRPr="1259BC21">
        <w:rPr>
          <w:rFonts w:ascii="Aptos" w:eastAsia="Aptos" w:hAnsi="Aptos" w:cs="Aptos"/>
        </w:rPr>
        <w:t xml:space="preserve">, M. (2021) ‘Pathways linking biodiversity to human health: A conceptual framework’, </w:t>
      </w:r>
      <w:r w:rsidRPr="1259BC21">
        <w:rPr>
          <w:rFonts w:ascii="Aptos" w:eastAsia="Aptos" w:hAnsi="Aptos" w:cs="Aptos"/>
          <w:i/>
          <w:iCs/>
        </w:rPr>
        <w:t>Environment International</w:t>
      </w:r>
      <w:r w:rsidRPr="1259BC21">
        <w:rPr>
          <w:rFonts w:ascii="Aptos" w:eastAsia="Aptos" w:hAnsi="Aptos" w:cs="Aptos"/>
        </w:rPr>
        <w:t xml:space="preserve">, 150, 106420. </w:t>
      </w:r>
    </w:p>
    <w:p w14:paraId="06B135E7"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Maslach, C. and Jackson, S.E. (1981) </w:t>
      </w:r>
      <w:r w:rsidRPr="00EE6FEC">
        <w:rPr>
          <w:i/>
          <w:iCs/>
        </w:rPr>
        <w:t>The Maslach Burnout Inventory</w:t>
      </w:r>
      <w:r w:rsidRPr="007F46B8">
        <w:t>. Palo Alto, CA: Consulting Psychologists Press.</w:t>
      </w:r>
    </w:p>
    <w:p w14:paraId="576D9F0E" w14:textId="77777777" w:rsidR="0018082A" w:rsidRPr="003B181F" w:rsidRDefault="0018082A" w:rsidP="00122C7C">
      <w:pPr>
        <w:pStyle w:val="ListParagraph"/>
        <w:numPr>
          <w:ilvl w:val="0"/>
          <w:numId w:val="2"/>
        </w:numPr>
        <w:spacing w:after="0" w:line="360" w:lineRule="auto"/>
        <w:ind w:left="0"/>
        <w:rPr>
          <w:rFonts w:ascii="Aptos" w:eastAsia="Aptos" w:hAnsi="Aptos" w:cs="Aptos"/>
        </w:rPr>
      </w:pPr>
      <w:r w:rsidRPr="003B181F">
        <w:rPr>
          <w:rFonts w:ascii="Aptos" w:eastAsia="Aptos" w:hAnsi="Aptos" w:cs="Aptos"/>
        </w:rPr>
        <w:t xml:space="preserve">Maslach, C. and Leiter, M.P. (2016) </w:t>
      </w:r>
      <w:r w:rsidRPr="003B181F">
        <w:rPr>
          <w:rFonts w:ascii="Aptos" w:eastAsia="Aptos" w:hAnsi="Aptos" w:cs="Aptos"/>
          <w:i/>
          <w:iCs/>
        </w:rPr>
        <w:t>Burnout: The cost of caring</w:t>
      </w:r>
      <w:r w:rsidRPr="003B181F">
        <w:rPr>
          <w:rFonts w:ascii="Aptos" w:eastAsia="Aptos" w:hAnsi="Aptos" w:cs="Aptos"/>
        </w:rPr>
        <w:t>. Cambridge, MA: Malor Books.</w:t>
      </w:r>
    </w:p>
    <w:p w14:paraId="237BC882" w14:textId="77777777" w:rsidR="0018082A" w:rsidRPr="00251F2B" w:rsidRDefault="0018082A" w:rsidP="00122C7C">
      <w:pPr>
        <w:pStyle w:val="ListParagraph"/>
        <w:numPr>
          <w:ilvl w:val="0"/>
          <w:numId w:val="2"/>
        </w:numPr>
        <w:spacing w:after="0" w:line="360" w:lineRule="auto"/>
        <w:ind w:left="0"/>
        <w:rPr>
          <w:rFonts w:eastAsia="Aptos" w:cs="Aptos"/>
        </w:rPr>
      </w:pPr>
      <w:r w:rsidRPr="00251F2B">
        <w:rPr>
          <w:lang w:val="de-DE"/>
        </w:rPr>
        <w:t xml:space="preserve">Maslach, C. and Leiter, M.P., 2016. </w:t>
      </w:r>
      <w:r w:rsidRPr="00251F2B">
        <w:rPr>
          <w:i/>
          <w:iCs/>
        </w:rPr>
        <w:t>Burnout: A brief history and how to prevent it</w:t>
      </w:r>
      <w:r w:rsidRPr="00703179">
        <w:t>. Harvard Business Review, 93(9), pp.46–53.</w:t>
      </w:r>
    </w:p>
    <w:p w14:paraId="384FF1D7" w14:textId="77777777" w:rsidR="0018082A" w:rsidRDefault="0018082A" w:rsidP="00122C7C">
      <w:pPr>
        <w:pStyle w:val="ListParagraph"/>
        <w:numPr>
          <w:ilvl w:val="0"/>
          <w:numId w:val="2"/>
        </w:numPr>
        <w:spacing w:after="0" w:line="360" w:lineRule="auto"/>
        <w:ind w:left="0"/>
        <w:rPr>
          <w:rFonts w:eastAsia="Aptos" w:cs="Aptos"/>
        </w:rPr>
      </w:pPr>
      <w:r w:rsidRPr="00D106BE">
        <w:rPr>
          <w:rFonts w:eastAsia="Aptos" w:cs="Aptos"/>
          <w:lang w:val="de-DE"/>
        </w:rPr>
        <w:t xml:space="preserve">Maslach, C. and Leiter, M.P., 2016. </w:t>
      </w:r>
      <w:r w:rsidRPr="00D106BE">
        <w:rPr>
          <w:rFonts w:eastAsia="Aptos" w:cs="Aptos"/>
        </w:rPr>
        <w:t xml:space="preserve">Understanding the burnout experience: recent research and its implications for psychiatry. </w:t>
      </w:r>
      <w:r w:rsidRPr="00D106BE">
        <w:rPr>
          <w:rFonts w:eastAsia="Aptos" w:cs="Aptos"/>
          <w:i/>
          <w:iCs/>
        </w:rPr>
        <w:t>World Psychiatry</w:t>
      </w:r>
      <w:r w:rsidRPr="00D106BE">
        <w:rPr>
          <w:rFonts w:eastAsia="Aptos" w:cs="Aptos"/>
        </w:rPr>
        <w:t>, 15(2), pp.103–111.</w:t>
      </w:r>
    </w:p>
    <w:p w14:paraId="6DFDA383" w14:textId="77777777" w:rsidR="0018082A" w:rsidRDefault="0018082A" w:rsidP="00122C7C">
      <w:pPr>
        <w:pStyle w:val="ListParagraph"/>
        <w:numPr>
          <w:ilvl w:val="0"/>
          <w:numId w:val="2"/>
        </w:numPr>
        <w:spacing w:after="0" w:line="360" w:lineRule="auto"/>
        <w:ind w:left="0"/>
        <w:rPr>
          <w:rFonts w:ascii="Aptos" w:eastAsia="Aptos" w:hAnsi="Aptos" w:cs="Aptos"/>
        </w:rPr>
      </w:pPr>
      <w:r w:rsidRPr="1259BC21">
        <w:rPr>
          <w:rFonts w:ascii="Aptos" w:eastAsia="Aptos" w:hAnsi="Aptos" w:cs="Aptos"/>
        </w:rPr>
        <w:t xml:space="preserve">Maslach, C., Schaufeli, W. B. and Leiter, M. P. (2001) ‘Job burnout’, </w:t>
      </w:r>
      <w:r w:rsidRPr="1259BC21">
        <w:rPr>
          <w:rFonts w:ascii="Aptos" w:eastAsia="Aptos" w:hAnsi="Aptos" w:cs="Aptos"/>
          <w:i/>
          <w:iCs/>
        </w:rPr>
        <w:t>Annual Review of Psychology</w:t>
      </w:r>
      <w:r w:rsidRPr="1259BC21">
        <w:rPr>
          <w:rFonts w:ascii="Aptos" w:eastAsia="Aptos" w:hAnsi="Aptos" w:cs="Aptos"/>
        </w:rPr>
        <w:t xml:space="preserve">, 52(1), pp. 397–422. </w:t>
      </w:r>
    </w:p>
    <w:p w14:paraId="07A43E4A" w14:textId="77777777" w:rsidR="0018082A" w:rsidRPr="00EE6FEC" w:rsidRDefault="0018082A" w:rsidP="00122C7C">
      <w:pPr>
        <w:pStyle w:val="ListParagraph"/>
        <w:numPr>
          <w:ilvl w:val="0"/>
          <w:numId w:val="2"/>
        </w:numPr>
        <w:spacing w:after="0" w:line="360" w:lineRule="auto"/>
        <w:ind w:left="0"/>
        <w:rPr>
          <w:rFonts w:eastAsia="Aptos" w:cs="Aptos"/>
        </w:rPr>
      </w:pPr>
      <w:r w:rsidRPr="007F46B8">
        <w:lastRenderedPageBreak/>
        <w:t xml:space="preserve">Maxwell, J.A. (2013) </w:t>
      </w:r>
      <w:r w:rsidRPr="00EE6FEC">
        <w:rPr>
          <w:i/>
          <w:iCs/>
        </w:rPr>
        <w:t>Qualitative research design: An interactive approach</w:t>
      </w:r>
      <w:r w:rsidRPr="007F46B8">
        <w:t>. 3rd edn. Thousand Oaks, CA: Sage.</w:t>
      </w:r>
    </w:p>
    <w:p w14:paraId="42F66291"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McLeod, S. (2024) ‘Reflexivity in qualitative research’, </w:t>
      </w:r>
      <w:r w:rsidRPr="00EE6FEC">
        <w:rPr>
          <w:i/>
          <w:iCs/>
        </w:rPr>
        <w:t>Simply Psychology</w:t>
      </w:r>
      <w:r w:rsidRPr="007F46B8">
        <w:t xml:space="preserve">. Available at: </w:t>
      </w:r>
      <w:hyperlink r:id="rId18" w:history="1">
        <w:r w:rsidRPr="00D508C5">
          <w:rPr>
            <w:rStyle w:val="Hyperlink"/>
          </w:rPr>
          <w:t>https://www.simplypsychology.org/reflexivity-in-qualitative-research.html</w:t>
        </w:r>
      </w:hyperlink>
    </w:p>
    <w:p w14:paraId="01302BAC" w14:textId="77777777" w:rsidR="0018082A" w:rsidRPr="0065723F" w:rsidRDefault="0018082A" w:rsidP="00122C7C">
      <w:pPr>
        <w:pStyle w:val="NormalWeb"/>
        <w:numPr>
          <w:ilvl w:val="0"/>
          <w:numId w:val="2"/>
        </w:numPr>
        <w:spacing w:line="360" w:lineRule="auto"/>
        <w:ind w:left="0"/>
        <w:rPr>
          <w:rFonts w:asciiTheme="minorHAnsi" w:hAnsiTheme="minorHAnsi"/>
        </w:rPr>
      </w:pPr>
      <w:r w:rsidRPr="0065723F">
        <w:rPr>
          <w:rFonts w:asciiTheme="minorHAnsi" w:hAnsiTheme="minorHAnsi"/>
        </w:rPr>
        <w:t xml:space="preserve">Mears, M., Brindley, P., Maheswaran, R. and Jorgensen, A. (2019) ‘Understanding the socioeconomic equity of publicly accessible greenspace distribution: The example of Sheffield, UK’, </w:t>
      </w:r>
      <w:r w:rsidRPr="0065723F">
        <w:rPr>
          <w:rStyle w:val="Emphasis"/>
          <w:rFonts w:asciiTheme="minorHAnsi" w:eastAsiaTheme="majorEastAsia" w:hAnsiTheme="minorHAnsi"/>
        </w:rPr>
        <w:t>Geoforum</w:t>
      </w:r>
      <w:r w:rsidRPr="0065723F">
        <w:rPr>
          <w:rFonts w:asciiTheme="minorHAnsi" w:hAnsiTheme="minorHAnsi"/>
        </w:rPr>
        <w:t>, 103, pp. 126–137.</w:t>
      </w:r>
    </w:p>
    <w:p w14:paraId="3008148A"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Mikolajczak, M., Gross, J.J., Stinglhamber, F., Lindahl Norberg, A., Roskam, I. and Quoidbach, J. (2019) ‘Is parental burnout distinct from job burnout and depressive symptoms?’, </w:t>
      </w:r>
      <w:r w:rsidRPr="00EE6FEC">
        <w:rPr>
          <w:i/>
          <w:iCs/>
        </w:rPr>
        <w:t>Clinical Psychological Science</w:t>
      </w:r>
      <w:r w:rsidRPr="007F46B8">
        <w:t>, 7(6), pp. 1319–1333.</w:t>
      </w:r>
    </w:p>
    <w:p w14:paraId="4108CEAC"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Neuvonen, M., Pouta, E., Puustinen, J. and Sievänen, T. (2018) ‘Visits to green areas and the significance of the urban forest for well-being in Helsinki’, </w:t>
      </w:r>
      <w:r w:rsidRPr="00EE6FEC">
        <w:rPr>
          <w:i/>
          <w:iCs/>
        </w:rPr>
        <w:t>Urban Forestry &amp; Urban Greening</w:t>
      </w:r>
      <w:r w:rsidRPr="007F46B8">
        <w:t>, 30, pp. 164–174.</w:t>
      </w:r>
    </w:p>
    <w:p w14:paraId="09ED67FA"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Office for National Statistics (ONS) (2018) </w:t>
      </w:r>
      <w:r w:rsidRPr="00EE6FEC">
        <w:rPr>
          <w:i/>
          <w:iCs/>
        </w:rPr>
        <w:t>Personal well-being in the UK</w:t>
      </w:r>
      <w:r w:rsidRPr="007F46B8">
        <w:t>. London: ONS.</w:t>
      </w:r>
    </w:p>
    <w:p w14:paraId="73BAA88D" w14:textId="77777777" w:rsidR="0018082A" w:rsidRDefault="0018082A" w:rsidP="00122C7C">
      <w:pPr>
        <w:pStyle w:val="ListParagraph"/>
        <w:numPr>
          <w:ilvl w:val="0"/>
          <w:numId w:val="2"/>
        </w:numPr>
        <w:spacing w:after="0" w:line="360" w:lineRule="auto"/>
        <w:ind w:left="0"/>
        <w:rPr>
          <w:rFonts w:ascii="Aptos" w:eastAsia="Aptos" w:hAnsi="Aptos" w:cs="Aptos"/>
        </w:rPr>
      </w:pPr>
      <w:bookmarkStart w:id="47" w:name="_Int_iAYBOr0n"/>
      <w:r w:rsidRPr="1259BC21">
        <w:rPr>
          <w:rFonts w:ascii="Aptos" w:eastAsia="Aptos" w:hAnsi="Aptos" w:cs="Aptos"/>
        </w:rPr>
        <w:t>Olafsdóttir</w:t>
      </w:r>
      <w:bookmarkEnd w:id="47"/>
      <w:r w:rsidRPr="1259BC21">
        <w:rPr>
          <w:rFonts w:ascii="Aptos" w:eastAsia="Aptos" w:hAnsi="Aptos" w:cs="Aptos"/>
        </w:rPr>
        <w:t xml:space="preserve">, G., Cloke, P., Vögele, C. and Valdimarsdóttir, S. A. (2020) ‘Health benefits of walking in nature: A randomized controlled study under real-life conditions’, </w:t>
      </w:r>
      <w:r w:rsidRPr="1259BC21">
        <w:rPr>
          <w:rFonts w:ascii="Aptos" w:eastAsia="Aptos" w:hAnsi="Aptos" w:cs="Aptos"/>
          <w:i/>
          <w:iCs/>
        </w:rPr>
        <w:t>International Journal of Environmental Research and Public Health</w:t>
      </w:r>
      <w:r w:rsidRPr="1259BC21">
        <w:rPr>
          <w:rFonts w:ascii="Aptos" w:eastAsia="Aptos" w:hAnsi="Aptos" w:cs="Aptos"/>
        </w:rPr>
        <w:t xml:space="preserve">, 17(18), 6840. </w:t>
      </w:r>
    </w:p>
    <w:p w14:paraId="5AE1150B" w14:textId="77777777" w:rsidR="0018082A" w:rsidRPr="00251F2B" w:rsidRDefault="0018082A" w:rsidP="00122C7C">
      <w:pPr>
        <w:pStyle w:val="ListParagraph"/>
        <w:numPr>
          <w:ilvl w:val="0"/>
          <w:numId w:val="2"/>
        </w:numPr>
        <w:spacing w:after="0" w:line="360" w:lineRule="auto"/>
        <w:ind w:left="0"/>
        <w:rPr>
          <w:rFonts w:eastAsia="Aptos" w:cs="Aptos"/>
        </w:rPr>
      </w:pPr>
      <w:r w:rsidRPr="00703179">
        <w:t xml:space="preserve">Olafsdóttir, G., Cloke, P., Vögele, C., 2020. Place, green exercise and stress: An exploratory study of how place and exercise interact to impact on stress. </w:t>
      </w:r>
      <w:r w:rsidRPr="00251F2B">
        <w:rPr>
          <w:i/>
          <w:iCs/>
        </w:rPr>
        <w:t>International Journal of Environmental Research and Public Health</w:t>
      </w:r>
      <w:r w:rsidRPr="00703179">
        <w:t xml:space="preserve">, 17(20), 7253. </w:t>
      </w:r>
      <w:hyperlink r:id="rId19" w:history="1">
        <w:r w:rsidRPr="00703179">
          <w:rPr>
            <w:rStyle w:val="Hyperlink"/>
          </w:rPr>
          <w:t>https://doi.org/10.3390/ijerph17207253</w:t>
        </w:r>
      </w:hyperlink>
    </w:p>
    <w:p w14:paraId="4AB8EA11" w14:textId="77777777" w:rsidR="0018082A" w:rsidRPr="00251F2B" w:rsidRDefault="0018082A" w:rsidP="00122C7C">
      <w:pPr>
        <w:pStyle w:val="ListParagraph"/>
        <w:numPr>
          <w:ilvl w:val="0"/>
          <w:numId w:val="2"/>
        </w:numPr>
        <w:spacing w:after="0" w:line="360" w:lineRule="auto"/>
        <w:ind w:left="0"/>
        <w:rPr>
          <w:rFonts w:eastAsia="Aptos" w:cs="Aptos"/>
        </w:rPr>
      </w:pPr>
      <w:r w:rsidRPr="00E15727">
        <w:t xml:space="preserve">Park, B.J., Tsunetsugu, Y., Kasetani, T., Morikawa, T., Kagawa, T. and Miyazaki, Y., 2010. The physiological effects of Shinrin-yoku (taking in the forest atmosphere or forest bathing): Evidence from field experiments in 24 forests across Japan. </w:t>
      </w:r>
      <w:r w:rsidRPr="00251F2B">
        <w:rPr>
          <w:i/>
          <w:iCs/>
        </w:rPr>
        <w:t>Environmental Health and Preventive Medicine</w:t>
      </w:r>
      <w:r w:rsidRPr="00E15727">
        <w:t xml:space="preserve">, 15, pp.18–26. </w:t>
      </w:r>
      <w:hyperlink r:id="rId20" w:history="1">
        <w:r w:rsidRPr="00E15727">
          <w:rPr>
            <w:rStyle w:val="Hyperlink"/>
          </w:rPr>
          <w:t>https://doi.org/10.1007/s12199-009-0086-9</w:t>
        </w:r>
      </w:hyperlink>
    </w:p>
    <w:p w14:paraId="494B1BBB"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Pasanen, T.P., White, M.P. and Wheeler, B.W. (2019) ‘Green space and health: the importance of nature exposure in rural areas’, </w:t>
      </w:r>
      <w:r w:rsidRPr="00EE6FEC">
        <w:rPr>
          <w:i/>
          <w:iCs/>
        </w:rPr>
        <w:t>Landscape and Urban Planning</w:t>
      </w:r>
      <w:r w:rsidRPr="007F46B8">
        <w:t>, 187, pp. 119–128.</w:t>
      </w:r>
    </w:p>
    <w:p w14:paraId="6173BCDB" w14:textId="77777777" w:rsidR="0018082A" w:rsidRPr="00EE6FEC" w:rsidRDefault="0018082A" w:rsidP="00122C7C">
      <w:pPr>
        <w:pStyle w:val="ListParagraph"/>
        <w:numPr>
          <w:ilvl w:val="0"/>
          <w:numId w:val="2"/>
        </w:numPr>
        <w:spacing w:after="0" w:line="360" w:lineRule="auto"/>
        <w:ind w:left="0"/>
        <w:rPr>
          <w:rFonts w:eastAsia="Aptos" w:cs="Aptos"/>
        </w:rPr>
      </w:pPr>
      <w:r w:rsidRPr="007F46B8">
        <w:lastRenderedPageBreak/>
        <w:t xml:space="preserve">Pillow, W.S. (2003) ‘Confession, catharsis, or cure? Rethinking the uses of reflexivity as methodological power in qualitative research’, </w:t>
      </w:r>
      <w:r w:rsidRPr="00EE6FEC">
        <w:rPr>
          <w:i/>
          <w:iCs/>
        </w:rPr>
        <w:t>International Journal of Qualitative Studies in Education</w:t>
      </w:r>
      <w:r w:rsidRPr="007F46B8">
        <w:t>, 16(2), pp. 175–196.</w:t>
      </w:r>
    </w:p>
    <w:p w14:paraId="30211B4A"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Podsakoff, P.M., MacKenzie, S.B., Lee, J.Y. and Podsakoff, N.P. (2003) ‘Common method biases in behavioral research: A critical review of the literature and recommended remedies’, </w:t>
      </w:r>
      <w:r w:rsidRPr="00EE6FEC">
        <w:rPr>
          <w:i/>
          <w:iCs/>
        </w:rPr>
        <w:t>Journal of Applied Psychology</w:t>
      </w:r>
      <w:r w:rsidRPr="007F46B8">
        <w:t>, 88(5), pp. 879–903.</w:t>
      </w:r>
    </w:p>
    <w:p w14:paraId="0120B7C9" w14:textId="77777777" w:rsidR="0018082A" w:rsidRDefault="0018082A" w:rsidP="00122C7C">
      <w:pPr>
        <w:pStyle w:val="ListParagraph"/>
        <w:numPr>
          <w:ilvl w:val="0"/>
          <w:numId w:val="2"/>
        </w:numPr>
        <w:spacing w:after="0" w:line="360" w:lineRule="auto"/>
        <w:ind w:left="0"/>
        <w:rPr>
          <w:rFonts w:ascii="Aptos" w:eastAsia="Aptos" w:hAnsi="Aptos" w:cs="Aptos"/>
        </w:rPr>
      </w:pPr>
      <w:r w:rsidRPr="1259BC21">
        <w:rPr>
          <w:rFonts w:ascii="Aptos" w:eastAsia="Aptos" w:hAnsi="Aptos" w:cs="Aptos"/>
        </w:rPr>
        <w:t xml:space="preserve">Pretty, J., Peacock, J., Sellens, M. and Griffin, M. (2005) ‘The mental and physical health outcomes of green exercise’, </w:t>
      </w:r>
      <w:r w:rsidRPr="1259BC21">
        <w:rPr>
          <w:rFonts w:ascii="Aptos" w:eastAsia="Aptos" w:hAnsi="Aptos" w:cs="Aptos"/>
          <w:i/>
          <w:iCs/>
        </w:rPr>
        <w:t>International Journal of Environmental Health Research</w:t>
      </w:r>
      <w:r w:rsidRPr="1259BC21">
        <w:rPr>
          <w:rFonts w:ascii="Aptos" w:eastAsia="Aptos" w:hAnsi="Aptos" w:cs="Aptos"/>
        </w:rPr>
        <w:t xml:space="preserve">, 15(5), pp. 319–337. </w:t>
      </w:r>
    </w:p>
    <w:p w14:paraId="64F5D1B7"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Prince, S.A., Adamo, K.B., Hamel, M.E., Hardt, J., Gorber, S.C. and Tremblay, M. (2008) ‘A comparison of direct versus self-report measures for assessing physical activity in adults: A systematic review’, </w:t>
      </w:r>
      <w:r w:rsidRPr="00EE6FEC">
        <w:rPr>
          <w:i/>
          <w:iCs/>
        </w:rPr>
        <w:t>International Journal of Behavioral Nutrition and Physical Activity</w:t>
      </w:r>
      <w:r w:rsidRPr="007F46B8">
        <w:t>, 5(1), p. 56.</w:t>
      </w:r>
    </w:p>
    <w:p w14:paraId="457B582F" w14:textId="77777777" w:rsidR="0018082A" w:rsidRPr="00D106BE" w:rsidRDefault="0018082A" w:rsidP="00122C7C">
      <w:pPr>
        <w:pStyle w:val="ListParagraph"/>
        <w:numPr>
          <w:ilvl w:val="0"/>
          <w:numId w:val="2"/>
        </w:numPr>
        <w:spacing w:after="0" w:line="360" w:lineRule="auto"/>
        <w:ind w:left="0"/>
        <w:rPr>
          <w:rFonts w:eastAsia="Aptos" w:cs="Aptos"/>
        </w:rPr>
      </w:pPr>
      <w:r w:rsidRPr="00D106BE">
        <w:rPr>
          <w:rFonts w:eastAsia="Aptos" w:cs="Aptos"/>
        </w:rPr>
        <w:t xml:space="preserve">Ren, X., Yang, Y., Sun, P., et al., 2024. A systematic review of parental burnout and related factors. </w:t>
      </w:r>
      <w:r w:rsidRPr="00D106BE">
        <w:rPr>
          <w:rFonts w:eastAsia="Aptos" w:cs="Aptos"/>
          <w:i/>
          <w:iCs/>
        </w:rPr>
        <w:t>BMC Public Health</w:t>
      </w:r>
      <w:r w:rsidRPr="00D106BE">
        <w:rPr>
          <w:rFonts w:eastAsia="Aptos" w:cs="Aptos"/>
        </w:rPr>
        <w:t>, 24, [article number].</w:t>
      </w:r>
    </w:p>
    <w:p w14:paraId="27F2E2D6" w14:textId="77777777" w:rsidR="0018082A" w:rsidRDefault="0018082A" w:rsidP="00122C7C">
      <w:pPr>
        <w:pStyle w:val="ListParagraph"/>
        <w:numPr>
          <w:ilvl w:val="0"/>
          <w:numId w:val="2"/>
        </w:numPr>
        <w:spacing w:after="0" w:line="360" w:lineRule="auto"/>
        <w:ind w:left="0"/>
        <w:rPr>
          <w:rFonts w:ascii="Aptos" w:eastAsia="Aptos" w:hAnsi="Aptos" w:cs="Aptos"/>
        </w:rPr>
      </w:pPr>
      <w:r w:rsidRPr="1259BC21">
        <w:rPr>
          <w:rFonts w:ascii="Aptos" w:eastAsia="Aptos" w:hAnsi="Aptos" w:cs="Aptos"/>
        </w:rPr>
        <w:t xml:space="preserve">Richardson, M., Hunt, A., Hinds, J., Bragg, R., Fido, D. and </w:t>
      </w:r>
      <w:bookmarkStart w:id="48" w:name="_Int_AC0z2CUR"/>
      <w:r w:rsidRPr="1259BC21">
        <w:rPr>
          <w:rFonts w:ascii="Aptos" w:eastAsia="Aptos" w:hAnsi="Aptos" w:cs="Aptos"/>
        </w:rPr>
        <w:t>Petronzi</w:t>
      </w:r>
      <w:bookmarkEnd w:id="48"/>
      <w:r w:rsidRPr="1259BC21">
        <w:rPr>
          <w:rFonts w:ascii="Aptos" w:eastAsia="Aptos" w:hAnsi="Aptos" w:cs="Aptos"/>
        </w:rPr>
        <w:t xml:space="preserve">, D. (2016) ‘A measure of nature connectedness for children and adults: Validation, performance, and insights’, </w:t>
      </w:r>
      <w:r w:rsidRPr="1259BC21">
        <w:rPr>
          <w:rFonts w:ascii="Aptos" w:eastAsia="Aptos" w:hAnsi="Aptos" w:cs="Aptos"/>
          <w:i/>
          <w:iCs/>
        </w:rPr>
        <w:t>Sustainability</w:t>
      </w:r>
      <w:r w:rsidRPr="1259BC21">
        <w:rPr>
          <w:rFonts w:ascii="Aptos" w:eastAsia="Aptos" w:hAnsi="Aptos" w:cs="Aptos"/>
        </w:rPr>
        <w:t xml:space="preserve">, 8(9), 775. </w:t>
      </w:r>
    </w:p>
    <w:p w14:paraId="2BF4E477" w14:textId="77777777" w:rsidR="0018082A" w:rsidRPr="00251F2B" w:rsidRDefault="0018082A" w:rsidP="00122C7C">
      <w:pPr>
        <w:pStyle w:val="ListParagraph"/>
        <w:numPr>
          <w:ilvl w:val="0"/>
          <w:numId w:val="2"/>
        </w:numPr>
        <w:spacing w:after="0" w:line="360" w:lineRule="auto"/>
        <w:ind w:left="0"/>
        <w:rPr>
          <w:rFonts w:eastAsia="Aptos" w:cs="Aptos"/>
        </w:rPr>
      </w:pPr>
      <w:r w:rsidRPr="00703179">
        <w:t xml:space="preserve">Richardson, M., McEwan, K., Maratos, F. and Sheffield, D., 2016. Joy and calm: How an evolutionary functional model of affect regulation informs positive emotions in nature. </w:t>
      </w:r>
      <w:r w:rsidRPr="00251F2B">
        <w:rPr>
          <w:i/>
          <w:iCs/>
        </w:rPr>
        <w:t>Evolutionary Psychological Science</w:t>
      </w:r>
      <w:r w:rsidRPr="00703179">
        <w:t xml:space="preserve">, 2, pp.308–320. </w:t>
      </w:r>
      <w:hyperlink r:id="rId21" w:history="1">
        <w:r w:rsidRPr="00703179">
          <w:rPr>
            <w:rStyle w:val="Hyperlink"/>
          </w:rPr>
          <w:t>https://doi.org/10.1007/s40806-016-0065-5</w:t>
        </w:r>
      </w:hyperlink>
    </w:p>
    <w:p w14:paraId="6CED6FF6" w14:textId="77777777" w:rsidR="0018082A" w:rsidRDefault="0018082A" w:rsidP="00122C7C">
      <w:pPr>
        <w:pStyle w:val="ListParagraph"/>
        <w:numPr>
          <w:ilvl w:val="0"/>
          <w:numId w:val="2"/>
        </w:numPr>
        <w:spacing w:after="0" w:line="360" w:lineRule="auto"/>
        <w:ind w:left="0"/>
        <w:rPr>
          <w:rFonts w:ascii="Aptos" w:eastAsia="Aptos" w:hAnsi="Aptos" w:cs="Aptos"/>
        </w:rPr>
      </w:pPr>
      <w:bookmarkStart w:id="49" w:name="_Int_Jqe3XDwH"/>
      <w:bookmarkStart w:id="50" w:name="_Int_zNFutlia"/>
      <w:r w:rsidRPr="1259BC21">
        <w:rPr>
          <w:rFonts w:ascii="Aptos" w:eastAsia="Aptos" w:hAnsi="Aptos" w:cs="Aptos"/>
        </w:rPr>
        <w:t>Rigolon</w:t>
      </w:r>
      <w:bookmarkEnd w:id="49"/>
      <w:r w:rsidRPr="1259BC21">
        <w:rPr>
          <w:rFonts w:ascii="Aptos" w:eastAsia="Aptos" w:hAnsi="Aptos" w:cs="Aptos"/>
        </w:rPr>
        <w:t xml:space="preserve">, A. (2016) ‘A complex landscape of inequity in access to urban parks: A literature review’, </w:t>
      </w:r>
      <w:r w:rsidRPr="1259BC21">
        <w:rPr>
          <w:rFonts w:ascii="Aptos" w:eastAsia="Aptos" w:hAnsi="Aptos" w:cs="Aptos"/>
          <w:i/>
          <w:iCs/>
        </w:rPr>
        <w:t>Landscape and Urban Planning</w:t>
      </w:r>
      <w:r w:rsidRPr="1259BC21">
        <w:rPr>
          <w:rFonts w:ascii="Aptos" w:eastAsia="Aptos" w:hAnsi="Aptos" w:cs="Aptos"/>
        </w:rPr>
        <w:t>, 153, pp. 160–169.</w:t>
      </w:r>
      <w:bookmarkEnd w:id="50"/>
      <w:r w:rsidRPr="1259BC21">
        <w:rPr>
          <w:rFonts w:ascii="Aptos" w:eastAsia="Aptos" w:hAnsi="Aptos" w:cs="Aptos"/>
        </w:rPr>
        <w:t xml:space="preserve"> </w:t>
      </w:r>
    </w:p>
    <w:p w14:paraId="6BED1C30"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Rogerson, M., Barton, J., Bragg, R., Pretty, J., Gladwell, V. and Sandercock, G. (2020) ‘Dose–response relationships between nature exposure and health: Implications for policy and practice’, </w:t>
      </w:r>
      <w:r w:rsidRPr="00EE6FEC">
        <w:rPr>
          <w:i/>
          <w:iCs/>
        </w:rPr>
        <w:t>Journal of Environmental Psychology</w:t>
      </w:r>
      <w:r w:rsidRPr="007F46B8">
        <w:t>, 69, 101399.</w:t>
      </w:r>
    </w:p>
    <w:p w14:paraId="025F45F7" w14:textId="77777777" w:rsidR="0018082A" w:rsidRPr="005C57FC" w:rsidRDefault="0018082A" w:rsidP="00122C7C">
      <w:pPr>
        <w:pStyle w:val="ListParagraph"/>
        <w:numPr>
          <w:ilvl w:val="0"/>
          <w:numId w:val="2"/>
        </w:numPr>
        <w:spacing w:after="0" w:line="360" w:lineRule="auto"/>
        <w:ind w:left="0"/>
        <w:rPr>
          <w:rFonts w:eastAsia="Aptos" w:cs="Aptos"/>
        </w:rPr>
      </w:pPr>
      <w:r>
        <w:t xml:space="preserve">Rogerson, M., Brown, D.K., Sandercock, G., Wooller, J.J. and Barton, J. (2016) ‘A comparison of four typical green exercise environments and prediction of psychological health outcomes’, </w:t>
      </w:r>
      <w:r w:rsidRPr="005C57FC">
        <w:rPr>
          <w:rStyle w:val="Emphasis"/>
          <w:rFonts w:eastAsiaTheme="majorEastAsia"/>
        </w:rPr>
        <w:t>Perspectives in Public Health</w:t>
      </w:r>
      <w:r>
        <w:t>, 136(3), pp. 171–180.</w:t>
      </w:r>
    </w:p>
    <w:p w14:paraId="1C0BD732" w14:textId="77777777" w:rsidR="0018082A" w:rsidRPr="00EE6FEC" w:rsidRDefault="0018082A" w:rsidP="00122C7C">
      <w:pPr>
        <w:pStyle w:val="ListParagraph"/>
        <w:numPr>
          <w:ilvl w:val="0"/>
          <w:numId w:val="2"/>
        </w:numPr>
        <w:spacing w:after="0" w:line="360" w:lineRule="auto"/>
        <w:ind w:left="0"/>
        <w:rPr>
          <w:rFonts w:eastAsia="Aptos" w:cs="Aptos"/>
        </w:rPr>
      </w:pPr>
      <w:r w:rsidRPr="007F46B8">
        <w:lastRenderedPageBreak/>
        <w:t xml:space="preserve">Roskam, I., Raes, M.E. and Mikolajczak, M. (2018) ‘Parental burnout: What is it and why does it matter?’, </w:t>
      </w:r>
      <w:r w:rsidRPr="00EE6FEC">
        <w:rPr>
          <w:i/>
          <w:iCs/>
        </w:rPr>
        <w:t>Clinical Psychological Science</w:t>
      </w:r>
      <w:r w:rsidRPr="007F46B8">
        <w:t>, 6(6), pp. 790–802.</w:t>
      </w:r>
    </w:p>
    <w:p w14:paraId="0D4B5111"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Rowe, S. (2022) ‘A practical guide to reflexivity in qualitative research: AMEE Guide No. 149’, </w:t>
      </w:r>
      <w:r w:rsidRPr="00EE6FEC">
        <w:rPr>
          <w:i/>
          <w:iCs/>
        </w:rPr>
        <w:t>Medical Teacher</w:t>
      </w:r>
      <w:r w:rsidRPr="007F46B8">
        <w:t>, 44(3), pp. 231–242.</w:t>
      </w:r>
    </w:p>
    <w:p w14:paraId="1D71B0A0" w14:textId="77777777" w:rsidR="0018082A" w:rsidRDefault="0018082A" w:rsidP="00122C7C">
      <w:pPr>
        <w:pStyle w:val="ListParagraph"/>
        <w:numPr>
          <w:ilvl w:val="0"/>
          <w:numId w:val="2"/>
        </w:numPr>
        <w:spacing w:after="0" w:line="360" w:lineRule="auto"/>
        <w:ind w:left="0"/>
        <w:rPr>
          <w:rFonts w:ascii="Aptos" w:eastAsia="Aptos" w:hAnsi="Aptos" w:cs="Aptos"/>
        </w:rPr>
      </w:pPr>
      <w:r w:rsidRPr="1259BC21">
        <w:rPr>
          <w:rFonts w:ascii="Aptos" w:eastAsia="Aptos" w:hAnsi="Aptos" w:cs="Aptos"/>
        </w:rPr>
        <w:t xml:space="preserve">Sachs, N. A., Knudson, R. M. and Smith, C. A. (2024) ‘The MINT program: A mixed-method approach to identifying nature-based interventions for parent wellbeing’, </w:t>
      </w:r>
      <w:r w:rsidRPr="1259BC21">
        <w:rPr>
          <w:rFonts w:ascii="Aptos" w:eastAsia="Aptos" w:hAnsi="Aptos" w:cs="Aptos"/>
          <w:i/>
          <w:iCs/>
        </w:rPr>
        <w:t>Journal of Advanced Nursing</w:t>
      </w:r>
      <w:r w:rsidRPr="1259BC21">
        <w:rPr>
          <w:rFonts w:ascii="Aptos" w:eastAsia="Aptos" w:hAnsi="Aptos" w:cs="Aptos"/>
        </w:rPr>
        <w:t xml:space="preserve">, 80(1), pp. 55–67. </w:t>
      </w:r>
    </w:p>
    <w:p w14:paraId="2D91AD7D"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Saldaña, J. (2021) </w:t>
      </w:r>
      <w:r w:rsidRPr="00EE6FEC">
        <w:rPr>
          <w:i/>
          <w:iCs/>
        </w:rPr>
        <w:t>The coding manual for qualitative researchers</w:t>
      </w:r>
      <w:r w:rsidRPr="007F46B8">
        <w:t>. 4th edn. London: Sage.</w:t>
      </w:r>
    </w:p>
    <w:p w14:paraId="48B95333" w14:textId="782F8406" w:rsidR="0018082A" w:rsidRPr="00251F2B" w:rsidRDefault="0018082A" w:rsidP="00122C7C">
      <w:pPr>
        <w:pStyle w:val="ListParagraph"/>
        <w:numPr>
          <w:ilvl w:val="0"/>
          <w:numId w:val="2"/>
        </w:numPr>
        <w:spacing w:after="0" w:line="360" w:lineRule="auto"/>
        <w:ind w:left="0"/>
        <w:rPr>
          <w:rFonts w:eastAsia="Aptos" w:cs="Aptos"/>
        </w:rPr>
      </w:pPr>
      <w:r w:rsidRPr="00703179">
        <w:t xml:space="preserve">Salvagioni, D.A.J., Melanda, F.N., Mesas, A.E., Gonzalez, A.D., Gabani, F.L. and Andrade, S.M., 2017. Physical, psychological and occupational consequences of job burnout: A systematic review of prospective studies. </w:t>
      </w:r>
      <w:r w:rsidRPr="00251F2B">
        <w:rPr>
          <w:i/>
          <w:iCs/>
        </w:rPr>
        <w:t>PLOS ONE</w:t>
      </w:r>
      <w:r w:rsidRPr="00703179">
        <w:t xml:space="preserve">, 12(10), e0185781. </w:t>
      </w:r>
    </w:p>
    <w:p w14:paraId="08B9AD9D"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Saunders, B., Kitzinger, J. and Kitzinger, C. (2015) ‘Anonymising interview data: Challenges and compromise in practice’, </w:t>
      </w:r>
      <w:r w:rsidRPr="00EE6FEC">
        <w:rPr>
          <w:i/>
          <w:iCs/>
        </w:rPr>
        <w:t>Qualitative Research</w:t>
      </w:r>
      <w:r w:rsidRPr="007F46B8">
        <w:t>, 15(5), pp. 616–632.</w:t>
      </w:r>
    </w:p>
    <w:p w14:paraId="56460A98"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Shamay-Tsoory, S.G. and Mendelsohn, A. (2019) ‘Real-life neuroscience: An ecological approach to brain and behavior research’, </w:t>
      </w:r>
      <w:r w:rsidRPr="00EE6FEC">
        <w:rPr>
          <w:i/>
          <w:iCs/>
        </w:rPr>
        <w:t>Perspectives on Psychological Science</w:t>
      </w:r>
      <w:r w:rsidRPr="007F46B8">
        <w:t>, 14(5), pp. 841–859.</w:t>
      </w:r>
    </w:p>
    <w:p w14:paraId="581149A6" w14:textId="77777777" w:rsidR="0018082A" w:rsidRDefault="0018082A" w:rsidP="00122C7C">
      <w:pPr>
        <w:pStyle w:val="ListParagraph"/>
        <w:numPr>
          <w:ilvl w:val="0"/>
          <w:numId w:val="2"/>
        </w:numPr>
        <w:spacing w:after="0" w:line="360" w:lineRule="auto"/>
        <w:ind w:left="0"/>
        <w:rPr>
          <w:rFonts w:ascii="Aptos" w:eastAsia="Aptos" w:hAnsi="Aptos" w:cs="Aptos"/>
        </w:rPr>
      </w:pPr>
      <w:r w:rsidRPr="1259BC21">
        <w:rPr>
          <w:rFonts w:ascii="Aptos" w:eastAsia="Aptos" w:hAnsi="Aptos" w:cs="Aptos"/>
        </w:rPr>
        <w:t xml:space="preserve">Shanahan, D. F., Bush, R., Gaston, K. J., Lin, B. B., Dean, J., Barber, E. and Fuller, R. A. (2016) ‘Health benefits from nature experiences depend on dose’, </w:t>
      </w:r>
      <w:r w:rsidRPr="1259BC21">
        <w:rPr>
          <w:rFonts w:ascii="Aptos" w:eastAsia="Aptos" w:hAnsi="Aptos" w:cs="Aptos"/>
          <w:i/>
          <w:iCs/>
        </w:rPr>
        <w:t>Scientific Reports</w:t>
      </w:r>
      <w:r w:rsidRPr="1259BC21">
        <w:rPr>
          <w:rFonts w:ascii="Aptos" w:eastAsia="Aptos" w:hAnsi="Aptos" w:cs="Aptos"/>
        </w:rPr>
        <w:t xml:space="preserve">, 6, 28551. </w:t>
      </w:r>
    </w:p>
    <w:p w14:paraId="58EF0DA8"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Shanahan, D.F., Franco, L., Lin, B.B., Gaston, K.J. and Fuller, R.A. (2019) ‘The benefits of natural environments for physical activity’, </w:t>
      </w:r>
      <w:r w:rsidRPr="00EE6FEC">
        <w:rPr>
          <w:i/>
          <w:iCs/>
        </w:rPr>
        <w:t>Sports Medicine</w:t>
      </w:r>
      <w:r w:rsidRPr="007F46B8">
        <w:t>, 49(3), pp. 281–296.</w:t>
      </w:r>
    </w:p>
    <w:p w14:paraId="65EBD24D" w14:textId="77777777" w:rsidR="0018082A" w:rsidRDefault="0018082A" w:rsidP="00122C7C">
      <w:pPr>
        <w:pStyle w:val="ListParagraph"/>
        <w:numPr>
          <w:ilvl w:val="0"/>
          <w:numId w:val="2"/>
        </w:numPr>
        <w:spacing w:after="0" w:line="360" w:lineRule="auto"/>
        <w:ind w:left="0"/>
        <w:rPr>
          <w:rFonts w:ascii="Aptos" w:eastAsia="Aptos" w:hAnsi="Aptos" w:cs="Aptos"/>
        </w:rPr>
      </w:pPr>
      <w:r w:rsidRPr="1259BC21">
        <w:rPr>
          <w:rFonts w:ascii="Aptos" w:eastAsia="Aptos" w:hAnsi="Aptos" w:cs="Aptos"/>
        </w:rPr>
        <w:t xml:space="preserve">Soga, M., Evans, M. J., Tsuchiya, K. and Fukano, Y. (2021) ‘A room with a green view: The importance of nearby nature for mental health during the COVID-19 pandemic’, </w:t>
      </w:r>
      <w:r w:rsidRPr="1259BC21">
        <w:rPr>
          <w:rFonts w:ascii="Aptos" w:eastAsia="Aptos" w:hAnsi="Aptos" w:cs="Aptos"/>
          <w:i/>
          <w:iCs/>
        </w:rPr>
        <w:t>Ecological Applications</w:t>
      </w:r>
      <w:r w:rsidRPr="1259BC21">
        <w:rPr>
          <w:rFonts w:ascii="Aptos" w:eastAsia="Aptos" w:hAnsi="Aptos" w:cs="Aptos"/>
        </w:rPr>
        <w:t xml:space="preserve">, 31(2), e2248. </w:t>
      </w:r>
    </w:p>
    <w:p w14:paraId="22EFBFDF"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Sonnentag, S. (2018) ‘The recovery paradox: Portraying the complex interplay between job stressors, lack of recovery, and poor well-being’, </w:t>
      </w:r>
      <w:r w:rsidRPr="00EE6FEC">
        <w:rPr>
          <w:i/>
          <w:iCs/>
        </w:rPr>
        <w:t>Research in Organizational Behavior</w:t>
      </w:r>
      <w:r w:rsidRPr="007F46B8">
        <w:t>, 38, pp. 169–185.</w:t>
      </w:r>
    </w:p>
    <w:p w14:paraId="62A09711"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Stewart-Brown, S., Tennant, A., Tennant, R., Platt, S., Parkinson, J. and Weich, S. (2009) ‘Internal construct validity of the Warwick-Edinburgh Mental Well-being Scale </w:t>
      </w:r>
      <w:r w:rsidRPr="007F46B8">
        <w:lastRenderedPageBreak/>
        <w:t xml:space="preserve">(WEMWBS): A Rasch analysis using data from the Scottish Health Education Population Survey’, </w:t>
      </w:r>
      <w:r w:rsidRPr="00EE6FEC">
        <w:rPr>
          <w:i/>
          <w:iCs/>
        </w:rPr>
        <w:t>Health and Quality of Life Outcomes</w:t>
      </w:r>
      <w:r w:rsidRPr="007F46B8">
        <w:t>, 7, 15.</w:t>
      </w:r>
    </w:p>
    <w:p w14:paraId="61EDA187"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Tabachnick, B.G. and Fidell, L.S. (2019) </w:t>
      </w:r>
      <w:r w:rsidRPr="00EE6FEC">
        <w:rPr>
          <w:i/>
          <w:iCs/>
        </w:rPr>
        <w:t>Using multivariate statistics</w:t>
      </w:r>
      <w:r w:rsidRPr="007F46B8">
        <w:t>. 7th edn. Boston: Pearson.</w:t>
      </w:r>
    </w:p>
    <w:p w14:paraId="745AA56F" w14:textId="77777777" w:rsidR="0018082A" w:rsidRPr="0065723F" w:rsidRDefault="0018082A" w:rsidP="00122C7C">
      <w:pPr>
        <w:pStyle w:val="NormalWeb"/>
        <w:numPr>
          <w:ilvl w:val="0"/>
          <w:numId w:val="2"/>
        </w:numPr>
        <w:spacing w:line="360" w:lineRule="auto"/>
        <w:ind w:left="0"/>
        <w:rPr>
          <w:rFonts w:asciiTheme="minorHAnsi" w:hAnsiTheme="minorHAnsi"/>
        </w:rPr>
      </w:pPr>
      <w:r w:rsidRPr="0065723F">
        <w:rPr>
          <w:rFonts w:asciiTheme="minorHAnsi" w:hAnsiTheme="minorHAnsi"/>
        </w:rPr>
        <w:t xml:space="preserve">Tamosiunas, A., Grazuleviciene, R., Luksiene, D., Dedele, A., Reklaitiene, R., Baceviciene, M., Vencloviene, J., Bernotiene, G., Radisauskas, R., Malinauskiene, V., Milinaviciene, E., Bobak, M. and Peasey, A. (2014) ‘Accessibility and use of urban green spaces, and cardiovascular health: Findings from a Kaunas cohort study’, </w:t>
      </w:r>
      <w:r w:rsidRPr="0065723F">
        <w:rPr>
          <w:rStyle w:val="Emphasis"/>
          <w:rFonts w:asciiTheme="minorHAnsi" w:eastAsiaTheme="majorEastAsia" w:hAnsiTheme="minorHAnsi"/>
        </w:rPr>
        <w:t>Environmental Health</w:t>
      </w:r>
      <w:r w:rsidRPr="0065723F">
        <w:rPr>
          <w:rFonts w:asciiTheme="minorHAnsi" w:hAnsiTheme="minorHAnsi"/>
        </w:rPr>
        <w:t>, 13, 20.</w:t>
      </w:r>
    </w:p>
    <w:p w14:paraId="54899B05" w14:textId="77777777" w:rsidR="0018082A" w:rsidRDefault="0018082A" w:rsidP="00122C7C">
      <w:pPr>
        <w:pStyle w:val="ListParagraph"/>
        <w:numPr>
          <w:ilvl w:val="0"/>
          <w:numId w:val="2"/>
        </w:numPr>
        <w:spacing w:after="0" w:line="360" w:lineRule="auto"/>
        <w:ind w:left="0"/>
        <w:rPr>
          <w:rFonts w:eastAsia="Aptos" w:cs="Aptos"/>
        </w:rPr>
      </w:pPr>
      <w:r w:rsidRPr="007F46B8">
        <w:t xml:space="preserve">Tennant, R., Hiller, L., Fishwick, R., Platt, S., Joseph, S., Weich, S., Parkinson, J., Secker, J. and Stewart-Brown, S. (2007) ‘The Warwick-Edinburgh Mental Well-being Scale (WEMWBS): Development and UK validation’, </w:t>
      </w:r>
      <w:r w:rsidRPr="00EE6FEC">
        <w:rPr>
          <w:i/>
          <w:iCs/>
        </w:rPr>
        <w:t>Health and Quality of Life Outcomes</w:t>
      </w:r>
      <w:r w:rsidRPr="007F46B8">
        <w:t>, 5(1), p. 63.</w:t>
      </w:r>
    </w:p>
    <w:p w14:paraId="3E0CE6DC" w14:textId="77777777" w:rsidR="0018082A" w:rsidRPr="00EE6FEC" w:rsidRDefault="0018082A" w:rsidP="2357DC9D">
      <w:pPr>
        <w:pStyle w:val="ListParagraph"/>
        <w:spacing w:after="0" w:line="360" w:lineRule="auto"/>
        <w:ind w:left="0"/>
        <w:rPr>
          <w:rFonts w:eastAsia="Aptos" w:cs="Aptos"/>
        </w:rPr>
      </w:pPr>
      <w:r w:rsidRPr="007F46B8">
        <w:t xml:space="preserve">Thomas, D.R. (2006) ‘A general inductive approach for analyzing qualitative evaluation data’, </w:t>
      </w:r>
      <w:r w:rsidRPr="00EE6FEC">
        <w:rPr>
          <w:i/>
          <w:iCs/>
        </w:rPr>
        <w:t>American Journal of Evaluation</w:t>
      </w:r>
      <w:r w:rsidRPr="007F46B8">
        <w:t>, 27(2), pp. 237–246.</w:t>
      </w:r>
    </w:p>
    <w:p w14:paraId="100149CF" w14:textId="77777777" w:rsidR="0018082A" w:rsidRDefault="0018082A" w:rsidP="00122C7C">
      <w:pPr>
        <w:pStyle w:val="ListParagraph"/>
        <w:numPr>
          <w:ilvl w:val="0"/>
          <w:numId w:val="2"/>
        </w:numPr>
        <w:spacing w:after="0" w:line="360" w:lineRule="auto"/>
        <w:ind w:left="0"/>
        <w:rPr>
          <w:rFonts w:ascii="Aptos" w:eastAsia="Aptos" w:hAnsi="Aptos" w:cs="Aptos"/>
        </w:rPr>
      </w:pPr>
      <w:r w:rsidRPr="1259BC21">
        <w:rPr>
          <w:rFonts w:ascii="Aptos" w:eastAsia="Aptos" w:hAnsi="Aptos" w:cs="Aptos"/>
        </w:rPr>
        <w:t xml:space="preserve">Twohig-Bennett, C. and Jones, A. (2018) ‘The health benefits of the great outdoors: A systematic review and meta-analysis of greenspace exposure and health outcomes’, </w:t>
      </w:r>
      <w:r w:rsidRPr="1259BC21">
        <w:rPr>
          <w:rFonts w:ascii="Aptos" w:eastAsia="Aptos" w:hAnsi="Aptos" w:cs="Aptos"/>
          <w:i/>
          <w:iCs/>
        </w:rPr>
        <w:t>Environmental Research</w:t>
      </w:r>
      <w:r w:rsidRPr="1259BC21">
        <w:rPr>
          <w:rFonts w:ascii="Aptos" w:eastAsia="Aptos" w:hAnsi="Aptos" w:cs="Aptos"/>
        </w:rPr>
        <w:t xml:space="preserve">, 166, pp. 628–637. </w:t>
      </w:r>
    </w:p>
    <w:p w14:paraId="0465A701" w14:textId="453F6902" w:rsidR="0018082A" w:rsidRPr="00251F2B" w:rsidRDefault="0018082A" w:rsidP="00122C7C">
      <w:pPr>
        <w:pStyle w:val="ListParagraph"/>
        <w:numPr>
          <w:ilvl w:val="0"/>
          <w:numId w:val="2"/>
        </w:numPr>
        <w:spacing w:after="0" w:line="360" w:lineRule="auto"/>
        <w:ind w:left="0"/>
        <w:rPr>
          <w:rFonts w:eastAsia="Aptos" w:cs="Aptos"/>
        </w:rPr>
      </w:pPr>
      <w:r w:rsidRPr="00251F2B">
        <w:rPr>
          <w:lang w:val="fi-FI"/>
        </w:rPr>
        <w:t xml:space="preserve">Tyrväinen, L., Ojala, A., Korpela, K., Lanki, T., Tsunetsugu, Y. and Kagawa, T., 2014. </w:t>
      </w:r>
      <w:r w:rsidRPr="00E15727">
        <w:t xml:space="preserve">The influence of urban green environments on stress relief measures: A field experiment. </w:t>
      </w:r>
      <w:r w:rsidRPr="00251F2B">
        <w:rPr>
          <w:i/>
          <w:iCs/>
        </w:rPr>
        <w:t>Journal of Environmental Psychology</w:t>
      </w:r>
      <w:r w:rsidRPr="00E15727">
        <w:t xml:space="preserve">, 38, pp.1–9. </w:t>
      </w:r>
    </w:p>
    <w:p w14:paraId="4AC472DB" w14:textId="77777777" w:rsidR="0018082A" w:rsidRDefault="0018082A" w:rsidP="00122C7C">
      <w:pPr>
        <w:pStyle w:val="ListParagraph"/>
        <w:numPr>
          <w:ilvl w:val="0"/>
          <w:numId w:val="2"/>
        </w:numPr>
        <w:spacing w:after="0" w:line="360" w:lineRule="auto"/>
        <w:ind w:left="0"/>
        <w:rPr>
          <w:rFonts w:ascii="Aptos" w:eastAsia="Aptos" w:hAnsi="Aptos" w:cs="Aptos"/>
        </w:rPr>
      </w:pPr>
      <w:r w:rsidRPr="1259BC21">
        <w:rPr>
          <w:rFonts w:ascii="Aptos" w:eastAsia="Aptos" w:hAnsi="Aptos" w:cs="Aptos"/>
        </w:rPr>
        <w:t xml:space="preserve">Ulrich, R. S., Simons, R. F., Losito, B. D., Fiorito, E., Miles, M. A. and </w:t>
      </w:r>
      <w:bookmarkStart w:id="51" w:name="_Int_VZCca6wr"/>
      <w:r w:rsidRPr="1259BC21">
        <w:rPr>
          <w:rFonts w:ascii="Aptos" w:eastAsia="Aptos" w:hAnsi="Aptos" w:cs="Aptos"/>
        </w:rPr>
        <w:t>Zelson</w:t>
      </w:r>
      <w:bookmarkEnd w:id="51"/>
      <w:r w:rsidRPr="1259BC21">
        <w:rPr>
          <w:rFonts w:ascii="Aptos" w:eastAsia="Aptos" w:hAnsi="Aptos" w:cs="Aptos"/>
        </w:rPr>
        <w:t xml:space="preserve">, M. (1991) ‘Stress recovery during exposure to natural and urban environments’, </w:t>
      </w:r>
      <w:r w:rsidRPr="1259BC21">
        <w:rPr>
          <w:rFonts w:ascii="Aptos" w:eastAsia="Aptos" w:hAnsi="Aptos" w:cs="Aptos"/>
          <w:i/>
          <w:iCs/>
        </w:rPr>
        <w:t>Journal of Environmental Psychology</w:t>
      </w:r>
      <w:r w:rsidRPr="1259BC21">
        <w:rPr>
          <w:rFonts w:ascii="Aptos" w:eastAsia="Aptos" w:hAnsi="Aptos" w:cs="Aptos"/>
        </w:rPr>
        <w:t xml:space="preserve">, 11(3), pp. 201–230. </w:t>
      </w:r>
    </w:p>
    <w:p w14:paraId="4D759B36" w14:textId="62A73F97" w:rsidR="0018082A" w:rsidRPr="00251F2B" w:rsidRDefault="0018082A" w:rsidP="00122C7C">
      <w:pPr>
        <w:pStyle w:val="ListParagraph"/>
        <w:numPr>
          <w:ilvl w:val="0"/>
          <w:numId w:val="2"/>
        </w:numPr>
        <w:spacing w:after="0" w:line="360" w:lineRule="auto"/>
        <w:ind w:left="0"/>
        <w:rPr>
          <w:rFonts w:eastAsia="Aptos" w:cs="Aptos"/>
        </w:rPr>
      </w:pPr>
      <w:r w:rsidRPr="00251F2B">
        <w:rPr>
          <w:lang w:val="de-DE"/>
        </w:rPr>
        <w:t xml:space="preserve">van den Berg, A.E. and Beute, F., 2021. </w:t>
      </w:r>
      <w:r w:rsidRPr="00703179">
        <w:t xml:space="preserve">Walking in nature and stress recovery: A critical analysis of theory and research. </w:t>
      </w:r>
      <w:r w:rsidRPr="00251F2B">
        <w:rPr>
          <w:i/>
          <w:iCs/>
        </w:rPr>
        <w:t>Journal of Environmental Psychology</w:t>
      </w:r>
      <w:r w:rsidRPr="00703179">
        <w:t xml:space="preserve">, 75, 101641. </w:t>
      </w:r>
    </w:p>
    <w:p w14:paraId="33D03A8A" w14:textId="77777777" w:rsidR="0018082A" w:rsidRDefault="0018082A" w:rsidP="00122C7C">
      <w:pPr>
        <w:pStyle w:val="ListParagraph"/>
        <w:numPr>
          <w:ilvl w:val="0"/>
          <w:numId w:val="2"/>
        </w:numPr>
        <w:spacing w:after="0" w:line="360" w:lineRule="auto"/>
        <w:ind w:left="0"/>
        <w:rPr>
          <w:rFonts w:ascii="Aptos" w:eastAsia="Aptos" w:hAnsi="Aptos" w:cs="Aptos"/>
        </w:rPr>
      </w:pPr>
      <w:r w:rsidRPr="1259BC21">
        <w:rPr>
          <w:rFonts w:ascii="Aptos" w:eastAsia="Aptos" w:hAnsi="Aptos" w:cs="Aptos"/>
        </w:rPr>
        <w:t xml:space="preserve">van den Berg, M. and Beute, F. (2021) ‘Urban green space as a buffer between stressful life events and health’, </w:t>
      </w:r>
      <w:r w:rsidRPr="1259BC21">
        <w:rPr>
          <w:rFonts w:ascii="Aptos" w:eastAsia="Aptos" w:hAnsi="Aptos" w:cs="Aptos"/>
          <w:i/>
          <w:iCs/>
        </w:rPr>
        <w:t>Social Science &amp; Medicine – Population Health</w:t>
      </w:r>
      <w:r w:rsidRPr="1259BC21">
        <w:rPr>
          <w:rFonts w:ascii="Aptos" w:eastAsia="Aptos" w:hAnsi="Aptos" w:cs="Aptos"/>
        </w:rPr>
        <w:t xml:space="preserve">, 15, 100934. </w:t>
      </w:r>
    </w:p>
    <w:p w14:paraId="56628464" w14:textId="2CAC53CF" w:rsidR="0018082A" w:rsidRPr="00251F2B" w:rsidRDefault="0018082A" w:rsidP="00122C7C">
      <w:pPr>
        <w:pStyle w:val="ListParagraph"/>
        <w:numPr>
          <w:ilvl w:val="0"/>
          <w:numId w:val="2"/>
        </w:numPr>
        <w:spacing w:after="0" w:line="360" w:lineRule="auto"/>
        <w:ind w:left="0"/>
        <w:rPr>
          <w:rFonts w:eastAsia="Aptos" w:cs="Aptos"/>
        </w:rPr>
      </w:pPr>
      <w:r w:rsidRPr="00251F2B">
        <w:rPr>
          <w:lang w:val="da-DK"/>
        </w:rPr>
        <w:t xml:space="preserve">van der Lippe, T., Jager, A. and Kops, Y., 2011. </w:t>
      </w:r>
      <w:r w:rsidRPr="00703179">
        <w:t xml:space="preserve">Combination pressure: The paid work–family balance of men and women in European countries. </w:t>
      </w:r>
      <w:r w:rsidRPr="00251F2B">
        <w:rPr>
          <w:i/>
          <w:iCs/>
        </w:rPr>
        <w:t>Acta Sociologica</w:t>
      </w:r>
      <w:r w:rsidRPr="00703179">
        <w:t xml:space="preserve">, 54(3), pp.269–286. </w:t>
      </w:r>
    </w:p>
    <w:p w14:paraId="1C7DDC61" w14:textId="77777777" w:rsidR="0018082A" w:rsidRPr="00251F2B" w:rsidRDefault="0018082A" w:rsidP="00122C7C">
      <w:pPr>
        <w:pStyle w:val="ListParagraph"/>
        <w:numPr>
          <w:ilvl w:val="0"/>
          <w:numId w:val="2"/>
        </w:numPr>
        <w:spacing w:after="0" w:line="360" w:lineRule="auto"/>
        <w:ind w:left="0"/>
        <w:rPr>
          <w:rFonts w:eastAsia="Aptos" w:cs="Aptos"/>
        </w:rPr>
      </w:pPr>
      <w:r w:rsidRPr="00251F2B">
        <w:rPr>
          <w:lang w:val="da-DK"/>
        </w:rPr>
        <w:lastRenderedPageBreak/>
        <w:t xml:space="preserve">van der Lippe, T., Jager, A. and Kops, Y., 2011. </w:t>
      </w:r>
      <w:r w:rsidRPr="00E15727">
        <w:t xml:space="preserve">Combination pressure: The paid work–family balance of men and women in European countries. </w:t>
      </w:r>
      <w:r w:rsidRPr="00251F2B">
        <w:rPr>
          <w:i/>
          <w:iCs/>
        </w:rPr>
        <w:t>European Sociological Review</w:t>
      </w:r>
      <w:r w:rsidRPr="00E15727">
        <w:t>, 27(3), pp. 346–360.</w:t>
      </w:r>
    </w:p>
    <w:p w14:paraId="237C25DE" w14:textId="77777777" w:rsidR="0018082A" w:rsidRDefault="0018082A" w:rsidP="00122C7C">
      <w:pPr>
        <w:pStyle w:val="ListParagraph"/>
        <w:numPr>
          <w:ilvl w:val="0"/>
          <w:numId w:val="2"/>
        </w:numPr>
        <w:spacing w:after="0" w:line="360" w:lineRule="auto"/>
        <w:ind w:left="0"/>
        <w:rPr>
          <w:rFonts w:ascii="Aptos" w:eastAsia="Aptos" w:hAnsi="Aptos" w:cs="Aptos"/>
        </w:rPr>
      </w:pPr>
      <w:r w:rsidRPr="1259BC21">
        <w:rPr>
          <w:rFonts w:ascii="Aptos" w:eastAsia="Aptos" w:hAnsi="Aptos" w:cs="Aptos"/>
        </w:rPr>
        <w:t xml:space="preserve">van der Lippe, T., Treas, J. and </w:t>
      </w:r>
      <w:bookmarkStart w:id="52" w:name="_Int_dWf8b4Ax"/>
      <w:r w:rsidRPr="1259BC21">
        <w:rPr>
          <w:rFonts w:ascii="Aptos" w:eastAsia="Aptos" w:hAnsi="Aptos" w:cs="Aptos"/>
        </w:rPr>
        <w:t>Norbutas</w:t>
      </w:r>
      <w:bookmarkEnd w:id="52"/>
      <w:r w:rsidRPr="1259BC21">
        <w:rPr>
          <w:rFonts w:ascii="Aptos" w:eastAsia="Aptos" w:hAnsi="Aptos" w:cs="Aptos"/>
        </w:rPr>
        <w:t xml:space="preserve">, L. (2011) ‘Unemployment and the division of housework in Europe’, </w:t>
      </w:r>
      <w:r w:rsidRPr="1259BC21">
        <w:rPr>
          <w:rFonts w:ascii="Aptos" w:eastAsia="Aptos" w:hAnsi="Aptos" w:cs="Aptos"/>
          <w:i/>
          <w:iCs/>
        </w:rPr>
        <w:t>Work, Employment and Society</w:t>
      </w:r>
      <w:r w:rsidRPr="1259BC21">
        <w:rPr>
          <w:rFonts w:ascii="Aptos" w:eastAsia="Aptos" w:hAnsi="Aptos" w:cs="Aptos"/>
        </w:rPr>
        <w:t xml:space="preserve">, 25(4), pp. 578–595. </w:t>
      </w:r>
    </w:p>
    <w:p w14:paraId="6CC58B10"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Vindrola-Padros, C., Chisnall, G., Cooper, S., Dowrick, A., Djellouli, N., Symmons, S.M., Martin, S., Singleton, G., Vanderslott, S. and Vera, N. (2020) ‘Carrying out rapid qualitative research during a pandemic: Emerging lessons from COVID-19’, </w:t>
      </w:r>
      <w:r w:rsidRPr="00EE6FEC">
        <w:rPr>
          <w:i/>
          <w:iCs/>
        </w:rPr>
        <w:t>Qualitative Health Research</w:t>
      </w:r>
      <w:r w:rsidRPr="007F46B8">
        <w:t>, 30(14), pp. 2192–2204.</w:t>
      </w:r>
    </w:p>
    <w:p w14:paraId="7174E7B6" w14:textId="77777777" w:rsidR="0018082A" w:rsidRPr="00D106BE" w:rsidRDefault="0018082A" w:rsidP="00122C7C">
      <w:pPr>
        <w:pStyle w:val="ListParagraph"/>
        <w:numPr>
          <w:ilvl w:val="0"/>
          <w:numId w:val="2"/>
        </w:numPr>
        <w:spacing w:after="0" w:line="360" w:lineRule="auto"/>
        <w:ind w:left="0"/>
        <w:rPr>
          <w:rFonts w:eastAsia="Aptos" w:cs="Aptos"/>
        </w:rPr>
      </w:pPr>
      <w:r w:rsidRPr="008D2B36">
        <w:t xml:space="preserve">Warwick Medical School, 2015. </w:t>
      </w:r>
      <w:r w:rsidRPr="00D106BE">
        <w:rPr>
          <w:i/>
          <w:iCs/>
        </w:rPr>
        <w:t>Short Warwick-Edinburgh Mental Well-being Scale (SWEMWBS) User Guide</w:t>
      </w:r>
      <w:r w:rsidRPr="008D2B36">
        <w:t>. Coventry: University of Warwick.</w:t>
      </w:r>
    </w:p>
    <w:p w14:paraId="2CEA178C" w14:textId="77777777" w:rsidR="0018082A" w:rsidRPr="004E4D12" w:rsidRDefault="0018082A" w:rsidP="00122C7C">
      <w:pPr>
        <w:pStyle w:val="ListParagraph"/>
        <w:numPr>
          <w:ilvl w:val="0"/>
          <w:numId w:val="2"/>
        </w:numPr>
        <w:spacing w:after="0" w:line="360" w:lineRule="auto"/>
        <w:ind w:left="0"/>
        <w:rPr>
          <w:rFonts w:eastAsia="Aptos" w:cs="Aptos"/>
        </w:rPr>
      </w:pPr>
      <w:r>
        <w:t xml:space="preserve">White, M.P., Alcock, I., Grellier, J., Wheeler, B.W., Hartig, T., Warber, S.L., Bone, A., Depledge, M.H. and Fleming, L.E. (2019) ‘Spending at least 120 minutes a week in nature is associated with good health and wellbeing’, </w:t>
      </w:r>
      <w:r w:rsidRPr="004E4D12">
        <w:rPr>
          <w:rStyle w:val="Emphasis"/>
          <w:rFonts w:eastAsiaTheme="majorEastAsia"/>
        </w:rPr>
        <w:t>Scientific Reports</w:t>
      </w:r>
      <w:r>
        <w:t>, 9(1), 7730.</w:t>
      </w:r>
    </w:p>
    <w:p w14:paraId="37B165BD"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White, M.P., Alcock, I., Wheeler, B.W. and Depledge, M.H. (2021) ‘Would you be happier living in a greener urban area? A fixed-effects analysis of panel data’, </w:t>
      </w:r>
      <w:r w:rsidRPr="00EE6FEC">
        <w:rPr>
          <w:i/>
          <w:iCs/>
        </w:rPr>
        <w:t>Psychological Science</w:t>
      </w:r>
      <w:r w:rsidRPr="007F46B8">
        <w:t>, 24(6), pp. 920–928.</w:t>
      </w:r>
    </w:p>
    <w:p w14:paraId="2B98E658"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WHO (World Health Organization) (2004) </w:t>
      </w:r>
      <w:r w:rsidRPr="00EE6FEC">
        <w:rPr>
          <w:i/>
          <w:iCs/>
        </w:rPr>
        <w:t>Promoting mental health: Concepts, emerging evidence, practice</w:t>
      </w:r>
      <w:r w:rsidRPr="007F46B8">
        <w:t>. Geneva: WHO.</w:t>
      </w:r>
    </w:p>
    <w:p w14:paraId="23C979EA"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Wiles, R., Crow, G., Heath, S. and Charles, V. (2008) ‘The management of confidentiality and anonymity in social research’, </w:t>
      </w:r>
      <w:r w:rsidRPr="00EE6FEC">
        <w:rPr>
          <w:i/>
          <w:iCs/>
        </w:rPr>
        <w:t>International Journal of Social Research Methodology</w:t>
      </w:r>
      <w:r w:rsidRPr="007F46B8">
        <w:t>, 11(5), pp. 417–428.</w:t>
      </w:r>
    </w:p>
    <w:p w14:paraId="0356C57A" w14:textId="77777777" w:rsidR="0018082A" w:rsidRPr="00251F2B" w:rsidRDefault="0018082A" w:rsidP="00122C7C">
      <w:pPr>
        <w:pStyle w:val="ListParagraph"/>
        <w:numPr>
          <w:ilvl w:val="0"/>
          <w:numId w:val="2"/>
        </w:numPr>
        <w:spacing w:after="0" w:line="360" w:lineRule="auto"/>
        <w:ind w:left="0"/>
        <w:rPr>
          <w:rFonts w:eastAsia="Aptos" w:cs="Aptos"/>
        </w:rPr>
      </w:pPr>
      <w:r w:rsidRPr="00E15727">
        <w:t xml:space="preserve">Wilson, E.O., 1984. </w:t>
      </w:r>
      <w:r w:rsidRPr="00251F2B">
        <w:rPr>
          <w:i/>
          <w:iCs/>
        </w:rPr>
        <w:t>Biophilia</w:t>
      </w:r>
      <w:r w:rsidRPr="00E15727">
        <w:t>. Cambridge, MA: Harvard University Press.</w:t>
      </w:r>
    </w:p>
    <w:p w14:paraId="32E28707" w14:textId="77777777" w:rsidR="0018082A" w:rsidRPr="0065723F" w:rsidRDefault="0018082A" w:rsidP="00122C7C">
      <w:pPr>
        <w:pStyle w:val="ListParagraph"/>
        <w:numPr>
          <w:ilvl w:val="0"/>
          <w:numId w:val="2"/>
        </w:numPr>
        <w:spacing w:after="0" w:line="360" w:lineRule="auto"/>
        <w:ind w:left="0"/>
        <w:rPr>
          <w:rFonts w:eastAsia="Aptos" w:cs="Aptos"/>
        </w:rPr>
      </w:pPr>
      <w:r w:rsidRPr="0065723F">
        <w:rPr>
          <w:rFonts w:eastAsia="Aptos" w:cs="Aptos"/>
        </w:rPr>
        <w:t xml:space="preserve">World Health Organization (2019) Burn-out an ‘occupational phenomenon’: International classification of diseases. Available at: </w:t>
      </w:r>
      <w:hyperlink r:id="rId22" w:tgtFrame="_new" w:history="1">
        <w:r w:rsidRPr="0065723F">
          <w:rPr>
            <w:rStyle w:val="Hyperlink"/>
            <w:rFonts w:eastAsia="Aptos" w:cs="Aptos"/>
          </w:rPr>
          <w:t>https://www.who.int/news/item/28-05-2019-burn-out-an-occupational-phenomenon-international-classification-of-diseases</w:t>
        </w:r>
      </w:hyperlink>
    </w:p>
    <w:p w14:paraId="3762E9BD" w14:textId="77777777" w:rsidR="0018082A" w:rsidRPr="00EE6FEC" w:rsidRDefault="0018082A" w:rsidP="00122C7C">
      <w:pPr>
        <w:pStyle w:val="ListParagraph"/>
        <w:numPr>
          <w:ilvl w:val="0"/>
          <w:numId w:val="2"/>
        </w:numPr>
        <w:spacing w:after="0" w:line="360" w:lineRule="auto"/>
        <w:ind w:left="0"/>
        <w:rPr>
          <w:rFonts w:eastAsia="Aptos" w:cs="Aptos"/>
        </w:rPr>
      </w:pPr>
      <w:r w:rsidRPr="007F46B8">
        <w:t xml:space="preserve">Zamawe, F.C. (2015) ‘The implication of using NVivo software in qualitative data analysis: Evidence-based reflections’, </w:t>
      </w:r>
      <w:r w:rsidRPr="00EE6FEC">
        <w:rPr>
          <w:i/>
          <w:iCs/>
        </w:rPr>
        <w:t>Malawi Medical Journal</w:t>
      </w:r>
      <w:r w:rsidRPr="007F46B8">
        <w:t>, 27(1), pp. 13–15.</w:t>
      </w:r>
    </w:p>
    <w:p w14:paraId="68ADDB76" w14:textId="77777777" w:rsidR="0018082A" w:rsidRDefault="0018082A" w:rsidP="00122C7C">
      <w:pPr>
        <w:pStyle w:val="ListParagraph"/>
        <w:numPr>
          <w:ilvl w:val="0"/>
          <w:numId w:val="2"/>
        </w:numPr>
        <w:spacing w:after="0" w:line="360" w:lineRule="auto"/>
        <w:ind w:left="0"/>
        <w:rPr>
          <w:rFonts w:eastAsia="Aptos" w:cs="Aptos"/>
        </w:rPr>
      </w:pPr>
      <w:r w:rsidRPr="0065723F">
        <w:rPr>
          <w:rFonts w:eastAsia="Aptos" w:cs="Aptos"/>
        </w:rPr>
        <w:lastRenderedPageBreak/>
        <w:t xml:space="preserve">Zhang, Y., Zhang, R., Liu, B., Liu, J. and Duan, R. (2021) ‘The influence of natural environments on human health: A meta-analysis of 103 observational studies’, </w:t>
      </w:r>
      <w:r w:rsidRPr="0065723F">
        <w:rPr>
          <w:rFonts w:eastAsia="Aptos" w:cs="Aptos"/>
          <w:i/>
          <w:iCs/>
        </w:rPr>
        <w:t>Journal of Environmental Psychology</w:t>
      </w:r>
      <w:r w:rsidRPr="0065723F">
        <w:rPr>
          <w:rFonts w:eastAsia="Aptos" w:cs="Aptos"/>
        </w:rPr>
        <w:t xml:space="preserve">, 76, 101649. </w:t>
      </w:r>
    </w:p>
    <w:sectPr w:rsidR="0018082A">
      <w:footerReference w:type="default" r:id="rId23"/>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Maria Trevino Gonzalez" w:date="2025-06-20T12:47:00Z" w:initials="MG">
    <w:p w14:paraId="54D75B55" w14:textId="390F6E70" w:rsidR="00631A90" w:rsidRDefault="002D2AF8">
      <w:r>
        <w:annotationRef/>
      </w:r>
      <w:r w:rsidRPr="1E51708F">
        <w:t>Use past tense, prefer impersonal (third person).</w:t>
      </w:r>
    </w:p>
  </w:comment>
  <w:comment w:id="1" w:author="Maria Trevino Gonzalez" w:date="2025-06-20T13:08:00Z" w:initials="MG">
    <w:p w14:paraId="1E52151A" w14:textId="62F8D0D8" w:rsidR="00631A90" w:rsidRDefault="002D2AF8">
      <w:r>
        <w:annotationRef/>
      </w:r>
      <w:r w:rsidRPr="6061BB6B">
        <w:t>Find some ideas here: https://www.phrasebank.manchester.ac.uk/referring-to-sources/</w:t>
      </w:r>
    </w:p>
  </w:comment>
  <w:comment w:id="2" w:author="Maria Trevino Gonzalez" w:date="2025-06-20T13:25:00Z" w:initials="MG">
    <w:p w14:paraId="61D0F6D0" w14:textId="13E49F5B" w:rsidR="00631A90" w:rsidRDefault="002D2AF8">
      <w:r>
        <w:annotationRef/>
      </w:r>
      <w:r w:rsidRPr="6EC14266">
        <w:t>Also, check Chapter on Literature Review of Biggam's book (2011), for flow, recommendations and pitfalls to avoid: https://librarysearch.uwtsd.ac.uk/permalink/44WHELF_UWTSD/upgrip/alma99100107829002421</w:t>
      </w:r>
    </w:p>
  </w:comment>
  <w:comment w:id="3" w:author="Jason Worthy (1921913)" w:date="2025-08-11T13:48:00Z" w:initials="JW">
    <w:p w14:paraId="0F2A6ADD" w14:textId="77777777" w:rsidR="00A664BA" w:rsidRDefault="00A664BA" w:rsidP="00A664BA">
      <w:pPr>
        <w:pStyle w:val="CommentText"/>
      </w:pPr>
      <w:r>
        <w:rPr>
          <w:rStyle w:val="CommentReference"/>
        </w:rPr>
        <w:annotationRef/>
      </w:r>
      <w:r>
        <w:t>Changed - thx</w:t>
      </w:r>
    </w:p>
  </w:comment>
  <w:comment w:id="4" w:author="Maria Trevino Gonzalez" w:date="2025-06-20T13:09:00Z" w:initials="MG">
    <w:p w14:paraId="42269707" w14:textId="68C049E9" w:rsidR="00631A90" w:rsidRDefault="002D2AF8">
      <w:r>
        <w:annotationRef/>
      </w:r>
      <w:r w:rsidRPr="6A74AD8C">
        <w:t>Support the claim with references, possibly on the pressing concern related to parents/carers. Some sources are presented later on, check if these can be distributed or re-cited accordingly.</w:t>
      </w:r>
    </w:p>
  </w:comment>
  <w:comment w:id="5" w:author="Jason Worthy (1921913)" w:date="2025-08-11T12:14:00Z" w:initials="JW">
    <w:p w14:paraId="27BB4C5C" w14:textId="77777777" w:rsidR="00BC12DA" w:rsidRDefault="00BC12DA" w:rsidP="00BC12DA">
      <w:pPr>
        <w:pStyle w:val="CommentText"/>
      </w:pPr>
      <w:r>
        <w:rPr>
          <w:rStyle w:val="CommentReference"/>
        </w:rPr>
        <w:annotationRef/>
      </w:r>
      <w:r>
        <w:t>Thank you - all changed</w:t>
      </w:r>
    </w:p>
  </w:comment>
  <w:comment w:id="6" w:author="Jason Worthy (1921913)" w:date="2025-08-11T12:16:00Z" w:initials="JW">
    <w:p w14:paraId="2021D947" w14:textId="77777777" w:rsidR="00AC241E" w:rsidRDefault="00AC241E" w:rsidP="00AC241E">
      <w:pPr>
        <w:pStyle w:val="CommentText"/>
      </w:pPr>
      <w:r>
        <w:rPr>
          <w:rStyle w:val="CommentReference"/>
        </w:rPr>
        <w:annotationRef/>
      </w:r>
      <w:r>
        <w:t>Additional references added</w:t>
      </w:r>
    </w:p>
  </w:comment>
  <w:comment w:id="10" w:author="Maria Trevino Gonzalez" w:date="2025-06-20T13:24:00Z" w:initials="MG">
    <w:p w14:paraId="038C42DC" w14:textId="428BC987" w:rsidR="00631A90" w:rsidRDefault="002D2AF8">
      <w:r>
        <w:annotationRef/>
      </w:r>
      <w:r w:rsidRPr="0169B7E4">
        <w:t>Are there any relevant critiques or negative effects to include/analyse/contextualise?</w:t>
      </w:r>
    </w:p>
  </w:comment>
  <w:comment w:id="11" w:author="Jason Worthy (1921913)" w:date="2025-08-11T12:22:00Z" w:initials="JW">
    <w:p w14:paraId="7EB4D19A" w14:textId="77777777" w:rsidR="00CA1C90" w:rsidRDefault="00A7655B" w:rsidP="00CA1C90">
      <w:pPr>
        <w:pStyle w:val="CommentText"/>
      </w:pPr>
      <w:r>
        <w:rPr>
          <w:rStyle w:val="CommentReference"/>
        </w:rPr>
        <w:annotationRef/>
      </w:r>
      <w:r w:rsidR="00CA1C90">
        <w:t xml:space="preserve">Yes - thank you for the feedback, I have added a section to include a critique and potential negative effects! 😊- </w:t>
      </w:r>
    </w:p>
  </w:comment>
  <w:comment w:id="12" w:author="Jason Worthy (1921913)" w:date="2025-08-11T12:30:00Z" w:initials="JW">
    <w:p w14:paraId="6DA88806" w14:textId="77777777" w:rsidR="005A4CA4" w:rsidRDefault="005A4CA4" w:rsidP="005A4CA4">
      <w:pPr>
        <w:pStyle w:val="CommentText"/>
      </w:pPr>
      <w:r>
        <w:rPr>
          <w:rStyle w:val="CommentReference"/>
        </w:rPr>
        <w:annotationRef/>
      </w:r>
      <w:r>
        <w:t>Added before this section - to address up front and then flow into researched benefits. PLs let me know if it doesn’t flow well</w:t>
      </w:r>
    </w:p>
  </w:comment>
  <w:comment w:id="13" w:author="Jason Worthy (1921913)" w:date="2025-08-11T12:53:00Z" w:initials="JW">
    <w:p w14:paraId="15170C55" w14:textId="77777777" w:rsidR="00DD59C8" w:rsidRDefault="00DD59C8" w:rsidP="00DD59C8">
      <w:pPr>
        <w:pStyle w:val="CommentText"/>
      </w:pPr>
      <w:r>
        <w:rPr>
          <w:rStyle w:val="CommentReference"/>
        </w:rPr>
        <w:annotationRef/>
      </w:r>
      <w:r>
        <w:t>Have subsequently added this type of counter critique throughout in several places including in the final summary section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4D75B55" w15:done="0"/>
  <w15:commentEx w15:paraId="1E52151A" w15:paraIdParent="54D75B55" w15:done="0"/>
  <w15:commentEx w15:paraId="61D0F6D0" w15:paraIdParent="54D75B55" w15:done="0"/>
  <w15:commentEx w15:paraId="0F2A6ADD" w15:paraIdParent="54D75B55" w15:done="0"/>
  <w15:commentEx w15:paraId="42269707" w15:done="0"/>
  <w15:commentEx w15:paraId="27BB4C5C" w15:paraIdParent="42269707" w15:done="0"/>
  <w15:commentEx w15:paraId="2021D947" w15:paraIdParent="42269707" w15:done="0"/>
  <w15:commentEx w15:paraId="038C42DC" w15:done="0"/>
  <w15:commentEx w15:paraId="7EB4D19A" w15:paraIdParent="038C42DC" w15:done="0"/>
  <w15:commentEx w15:paraId="6DA88806" w15:paraIdParent="038C42DC" w15:done="0"/>
  <w15:commentEx w15:paraId="15170C55" w15:paraIdParent="038C42D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0DB3E5D7" w16cex:dateUtc="2025-06-20T11:47:00Z">
    <w16cex:extLst>
      <w16:ext w16:uri="{CE6994B0-6A32-4C9F-8C6B-6E91EDA988CE}">
        <cr:reactions xmlns:cr="http://schemas.microsoft.com/office/comments/2020/reactions">
          <cr:reaction reactionType="1">
            <cr:reactionInfo dateUtc="2025-08-11T12:48:18Z">
              <cr:user userId="S::1921913@student.uwtsd.ac.uk::7c3bd9a2-8ece-4e8f-a373-8730a64e63a9" userProvider="AD" userName="Jason Worthy (1921913)"/>
            </cr:reactionInfo>
          </cr:reaction>
        </cr:reactions>
      </w16:ext>
    </w16cex:extLst>
  </w16cex:commentExtensible>
  <w16cex:commentExtensible w16cex:durableId="4B4E3F35" w16cex:dateUtc="2025-06-20T12:08:00Z"/>
  <w16cex:commentExtensible w16cex:durableId="2CD5B7B3" w16cex:dateUtc="2025-06-20T12:25:00Z"/>
  <w16cex:commentExtensible w16cex:durableId="159209C2" w16cex:dateUtc="2025-08-11T12:48:00Z"/>
  <w16cex:commentExtensible w16cex:durableId="16CD61C5" w16cex:dateUtc="2025-06-20T12:09:00Z"/>
  <w16cex:commentExtensible w16cex:durableId="187D7F8A" w16cex:dateUtc="2025-08-11T11:14:00Z"/>
  <w16cex:commentExtensible w16cex:durableId="2967389E" w16cex:dateUtc="2025-08-11T11:16:00Z"/>
  <w16cex:commentExtensible w16cex:durableId="7331A4FB" w16cex:dateUtc="2025-06-20T12:24:00Z"/>
  <w16cex:commentExtensible w16cex:durableId="32BF764F" w16cex:dateUtc="2025-08-11T11:22:00Z"/>
  <w16cex:commentExtensible w16cex:durableId="69D1ECC6" w16cex:dateUtc="2025-08-11T11:30:00Z"/>
  <w16cex:commentExtensible w16cex:durableId="2BA8AAED" w16cex:dateUtc="2025-08-11T11:5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4D75B55" w16cid:durableId="0DB3E5D7"/>
  <w16cid:commentId w16cid:paraId="1E52151A" w16cid:durableId="4B4E3F35"/>
  <w16cid:commentId w16cid:paraId="61D0F6D0" w16cid:durableId="2CD5B7B3"/>
  <w16cid:commentId w16cid:paraId="0F2A6ADD" w16cid:durableId="159209C2"/>
  <w16cid:commentId w16cid:paraId="42269707" w16cid:durableId="16CD61C5"/>
  <w16cid:commentId w16cid:paraId="27BB4C5C" w16cid:durableId="187D7F8A"/>
  <w16cid:commentId w16cid:paraId="2021D947" w16cid:durableId="2967389E"/>
  <w16cid:commentId w16cid:paraId="038C42DC" w16cid:durableId="7331A4FB"/>
  <w16cid:commentId w16cid:paraId="7EB4D19A" w16cid:durableId="32BF764F"/>
  <w16cid:commentId w16cid:paraId="6DA88806" w16cid:durableId="69D1ECC6"/>
  <w16cid:commentId w16cid:paraId="15170C55" w16cid:durableId="2BA8AAE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2BA3B5" w14:textId="77777777" w:rsidR="00823BF8" w:rsidRDefault="00823BF8" w:rsidP="00FB6AE6">
      <w:pPr>
        <w:spacing w:after="0" w:line="240" w:lineRule="auto"/>
      </w:pPr>
      <w:r>
        <w:separator/>
      </w:r>
    </w:p>
  </w:endnote>
  <w:endnote w:type="continuationSeparator" w:id="0">
    <w:p w14:paraId="3FF9A03A" w14:textId="77777777" w:rsidR="00823BF8" w:rsidRDefault="00823BF8" w:rsidP="00FB6A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0199431"/>
      <w:docPartObj>
        <w:docPartGallery w:val="Page Numbers (Bottom of Page)"/>
        <w:docPartUnique/>
      </w:docPartObj>
    </w:sdtPr>
    <w:sdtContent>
      <w:sdt>
        <w:sdtPr>
          <w:id w:val="-1769616900"/>
          <w:docPartObj>
            <w:docPartGallery w:val="Page Numbers (Top of Page)"/>
            <w:docPartUnique/>
          </w:docPartObj>
        </w:sdtPr>
        <w:sdtContent>
          <w:p w14:paraId="300FED3D" w14:textId="777EEEFC" w:rsidR="00FB6AE6" w:rsidRDefault="00FB6AE6">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50224873" w14:textId="77777777" w:rsidR="00FB6AE6" w:rsidRDefault="00FB6A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A28958" w14:textId="77777777" w:rsidR="00823BF8" w:rsidRDefault="00823BF8" w:rsidP="00FB6AE6">
      <w:pPr>
        <w:spacing w:after="0" w:line="240" w:lineRule="auto"/>
      </w:pPr>
      <w:r>
        <w:separator/>
      </w:r>
    </w:p>
  </w:footnote>
  <w:footnote w:type="continuationSeparator" w:id="0">
    <w:p w14:paraId="682CD335" w14:textId="77777777" w:rsidR="00823BF8" w:rsidRDefault="00823BF8" w:rsidP="00FB6A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823AA"/>
    <w:multiLevelType w:val="multilevel"/>
    <w:tmpl w:val="E9A62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591AD8"/>
    <w:multiLevelType w:val="multilevel"/>
    <w:tmpl w:val="F4225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D34C79"/>
    <w:multiLevelType w:val="multilevel"/>
    <w:tmpl w:val="E4007B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36F878"/>
    <w:multiLevelType w:val="hybridMultilevel"/>
    <w:tmpl w:val="7C984864"/>
    <w:lvl w:ilvl="0" w:tplc="872E7872">
      <w:start w:val="1"/>
      <w:numFmt w:val="bullet"/>
      <w:lvlText w:val=""/>
      <w:lvlJc w:val="left"/>
      <w:pPr>
        <w:ind w:left="720" w:hanging="360"/>
      </w:pPr>
      <w:rPr>
        <w:rFonts w:ascii="Symbol" w:hAnsi="Symbol" w:hint="default"/>
      </w:rPr>
    </w:lvl>
    <w:lvl w:ilvl="1" w:tplc="1D441CC8">
      <w:start w:val="1"/>
      <w:numFmt w:val="bullet"/>
      <w:lvlText w:val="o"/>
      <w:lvlJc w:val="left"/>
      <w:pPr>
        <w:ind w:left="1440" w:hanging="360"/>
      </w:pPr>
      <w:rPr>
        <w:rFonts w:ascii="Courier New" w:hAnsi="Courier New" w:hint="default"/>
      </w:rPr>
    </w:lvl>
    <w:lvl w:ilvl="2" w:tplc="71487AA8">
      <w:start w:val="1"/>
      <w:numFmt w:val="bullet"/>
      <w:lvlText w:val=""/>
      <w:lvlJc w:val="left"/>
      <w:pPr>
        <w:ind w:left="2160" w:hanging="360"/>
      </w:pPr>
      <w:rPr>
        <w:rFonts w:ascii="Wingdings" w:hAnsi="Wingdings" w:hint="default"/>
      </w:rPr>
    </w:lvl>
    <w:lvl w:ilvl="3" w:tplc="0A16348A">
      <w:start w:val="1"/>
      <w:numFmt w:val="bullet"/>
      <w:lvlText w:val=""/>
      <w:lvlJc w:val="left"/>
      <w:pPr>
        <w:ind w:left="2880" w:hanging="360"/>
      </w:pPr>
      <w:rPr>
        <w:rFonts w:ascii="Symbol" w:hAnsi="Symbol" w:hint="default"/>
      </w:rPr>
    </w:lvl>
    <w:lvl w:ilvl="4" w:tplc="F01ADB10">
      <w:start w:val="1"/>
      <w:numFmt w:val="bullet"/>
      <w:lvlText w:val="o"/>
      <w:lvlJc w:val="left"/>
      <w:pPr>
        <w:ind w:left="3600" w:hanging="360"/>
      </w:pPr>
      <w:rPr>
        <w:rFonts w:ascii="Courier New" w:hAnsi="Courier New" w:hint="default"/>
      </w:rPr>
    </w:lvl>
    <w:lvl w:ilvl="5" w:tplc="819E20B4">
      <w:start w:val="1"/>
      <w:numFmt w:val="bullet"/>
      <w:lvlText w:val=""/>
      <w:lvlJc w:val="left"/>
      <w:pPr>
        <w:ind w:left="4320" w:hanging="360"/>
      </w:pPr>
      <w:rPr>
        <w:rFonts w:ascii="Wingdings" w:hAnsi="Wingdings" w:hint="default"/>
      </w:rPr>
    </w:lvl>
    <w:lvl w:ilvl="6" w:tplc="EA9046F8">
      <w:start w:val="1"/>
      <w:numFmt w:val="bullet"/>
      <w:lvlText w:val=""/>
      <w:lvlJc w:val="left"/>
      <w:pPr>
        <w:ind w:left="5040" w:hanging="360"/>
      </w:pPr>
      <w:rPr>
        <w:rFonts w:ascii="Symbol" w:hAnsi="Symbol" w:hint="default"/>
      </w:rPr>
    </w:lvl>
    <w:lvl w:ilvl="7" w:tplc="ED6CEF44">
      <w:start w:val="1"/>
      <w:numFmt w:val="bullet"/>
      <w:lvlText w:val="o"/>
      <w:lvlJc w:val="left"/>
      <w:pPr>
        <w:ind w:left="5760" w:hanging="360"/>
      </w:pPr>
      <w:rPr>
        <w:rFonts w:ascii="Courier New" w:hAnsi="Courier New" w:hint="default"/>
      </w:rPr>
    </w:lvl>
    <w:lvl w:ilvl="8" w:tplc="87FC4ED2">
      <w:start w:val="1"/>
      <w:numFmt w:val="bullet"/>
      <w:lvlText w:val=""/>
      <w:lvlJc w:val="left"/>
      <w:pPr>
        <w:ind w:left="6480" w:hanging="360"/>
      </w:pPr>
      <w:rPr>
        <w:rFonts w:ascii="Wingdings" w:hAnsi="Wingdings" w:hint="default"/>
      </w:rPr>
    </w:lvl>
  </w:abstractNum>
  <w:abstractNum w:abstractNumId="4" w15:restartNumberingAfterBreak="0">
    <w:nsid w:val="0EC715C8"/>
    <w:multiLevelType w:val="multilevel"/>
    <w:tmpl w:val="93B85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751471"/>
    <w:multiLevelType w:val="multilevel"/>
    <w:tmpl w:val="DA1C1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19369A"/>
    <w:multiLevelType w:val="multilevel"/>
    <w:tmpl w:val="DB90E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389AE4"/>
    <w:multiLevelType w:val="hybridMultilevel"/>
    <w:tmpl w:val="D9CA99E2"/>
    <w:lvl w:ilvl="0" w:tplc="F138A564">
      <w:start w:val="1"/>
      <w:numFmt w:val="bullet"/>
      <w:lvlText w:val=""/>
      <w:lvlJc w:val="left"/>
      <w:pPr>
        <w:ind w:left="720" w:hanging="360"/>
      </w:pPr>
      <w:rPr>
        <w:rFonts w:ascii="Symbol" w:hAnsi="Symbol" w:hint="default"/>
      </w:rPr>
    </w:lvl>
    <w:lvl w:ilvl="1" w:tplc="7458E21C">
      <w:start w:val="1"/>
      <w:numFmt w:val="bullet"/>
      <w:lvlText w:val="o"/>
      <w:lvlJc w:val="left"/>
      <w:pPr>
        <w:ind w:left="1440" w:hanging="360"/>
      </w:pPr>
      <w:rPr>
        <w:rFonts w:ascii="Courier New" w:hAnsi="Courier New" w:hint="default"/>
      </w:rPr>
    </w:lvl>
    <w:lvl w:ilvl="2" w:tplc="F5403A88">
      <w:start w:val="1"/>
      <w:numFmt w:val="bullet"/>
      <w:lvlText w:val=""/>
      <w:lvlJc w:val="left"/>
      <w:pPr>
        <w:ind w:left="2160" w:hanging="360"/>
      </w:pPr>
      <w:rPr>
        <w:rFonts w:ascii="Wingdings" w:hAnsi="Wingdings" w:hint="default"/>
      </w:rPr>
    </w:lvl>
    <w:lvl w:ilvl="3" w:tplc="CC86C43C">
      <w:start w:val="1"/>
      <w:numFmt w:val="bullet"/>
      <w:lvlText w:val=""/>
      <w:lvlJc w:val="left"/>
      <w:pPr>
        <w:ind w:left="2880" w:hanging="360"/>
      </w:pPr>
      <w:rPr>
        <w:rFonts w:ascii="Symbol" w:hAnsi="Symbol" w:hint="default"/>
      </w:rPr>
    </w:lvl>
    <w:lvl w:ilvl="4" w:tplc="CF6CFC4A">
      <w:start w:val="1"/>
      <w:numFmt w:val="bullet"/>
      <w:lvlText w:val="o"/>
      <w:lvlJc w:val="left"/>
      <w:pPr>
        <w:ind w:left="3600" w:hanging="360"/>
      </w:pPr>
      <w:rPr>
        <w:rFonts w:ascii="Courier New" w:hAnsi="Courier New" w:hint="default"/>
      </w:rPr>
    </w:lvl>
    <w:lvl w:ilvl="5" w:tplc="5B6EE13A">
      <w:start w:val="1"/>
      <w:numFmt w:val="bullet"/>
      <w:lvlText w:val=""/>
      <w:lvlJc w:val="left"/>
      <w:pPr>
        <w:ind w:left="4320" w:hanging="360"/>
      </w:pPr>
      <w:rPr>
        <w:rFonts w:ascii="Wingdings" w:hAnsi="Wingdings" w:hint="default"/>
      </w:rPr>
    </w:lvl>
    <w:lvl w:ilvl="6" w:tplc="FFE6BA42">
      <w:start w:val="1"/>
      <w:numFmt w:val="bullet"/>
      <w:lvlText w:val=""/>
      <w:lvlJc w:val="left"/>
      <w:pPr>
        <w:ind w:left="5040" w:hanging="360"/>
      </w:pPr>
      <w:rPr>
        <w:rFonts w:ascii="Symbol" w:hAnsi="Symbol" w:hint="default"/>
      </w:rPr>
    </w:lvl>
    <w:lvl w:ilvl="7" w:tplc="2E96AB86">
      <w:start w:val="1"/>
      <w:numFmt w:val="bullet"/>
      <w:lvlText w:val="o"/>
      <w:lvlJc w:val="left"/>
      <w:pPr>
        <w:ind w:left="5760" w:hanging="360"/>
      </w:pPr>
      <w:rPr>
        <w:rFonts w:ascii="Courier New" w:hAnsi="Courier New" w:hint="default"/>
      </w:rPr>
    </w:lvl>
    <w:lvl w:ilvl="8" w:tplc="CE4E3108">
      <w:start w:val="1"/>
      <w:numFmt w:val="bullet"/>
      <w:lvlText w:val=""/>
      <w:lvlJc w:val="left"/>
      <w:pPr>
        <w:ind w:left="6480" w:hanging="360"/>
      </w:pPr>
      <w:rPr>
        <w:rFonts w:ascii="Wingdings" w:hAnsi="Wingdings" w:hint="default"/>
      </w:rPr>
    </w:lvl>
  </w:abstractNum>
  <w:abstractNum w:abstractNumId="8" w15:restartNumberingAfterBreak="0">
    <w:nsid w:val="375F2FDF"/>
    <w:multiLevelType w:val="hybridMultilevel"/>
    <w:tmpl w:val="FFFFFFFF"/>
    <w:lvl w:ilvl="0" w:tplc="2D7068AA">
      <w:start w:val="1"/>
      <w:numFmt w:val="bullet"/>
      <w:lvlText w:val="·"/>
      <w:lvlJc w:val="left"/>
      <w:pPr>
        <w:ind w:left="720" w:hanging="360"/>
      </w:pPr>
      <w:rPr>
        <w:rFonts w:ascii="Symbol" w:hAnsi="Symbol" w:hint="default"/>
      </w:rPr>
    </w:lvl>
    <w:lvl w:ilvl="1" w:tplc="998E78B6">
      <w:start w:val="1"/>
      <w:numFmt w:val="bullet"/>
      <w:lvlText w:val="o"/>
      <w:lvlJc w:val="left"/>
      <w:pPr>
        <w:ind w:left="1440" w:hanging="360"/>
      </w:pPr>
      <w:rPr>
        <w:rFonts w:ascii="Courier New" w:hAnsi="Courier New" w:hint="default"/>
      </w:rPr>
    </w:lvl>
    <w:lvl w:ilvl="2" w:tplc="556C7FBC">
      <w:start w:val="1"/>
      <w:numFmt w:val="bullet"/>
      <w:lvlText w:val=""/>
      <w:lvlJc w:val="left"/>
      <w:pPr>
        <w:ind w:left="2160" w:hanging="360"/>
      </w:pPr>
      <w:rPr>
        <w:rFonts w:ascii="Wingdings" w:hAnsi="Wingdings" w:hint="default"/>
      </w:rPr>
    </w:lvl>
    <w:lvl w:ilvl="3" w:tplc="B862405E">
      <w:start w:val="1"/>
      <w:numFmt w:val="bullet"/>
      <w:lvlText w:val=""/>
      <w:lvlJc w:val="left"/>
      <w:pPr>
        <w:ind w:left="2880" w:hanging="360"/>
      </w:pPr>
      <w:rPr>
        <w:rFonts w:ascii="Symbol" w:hAnsi="Symbol" w:hint="default"/>
      </w:rPr>
    </w:lvl>
    <w:lvl w:ilvl="4" w:tplc="DEF28808">
      <w:start w:val="1"/>
      <w:numFmt w:val="bullet"/>
      <w:lvlText w:val="o"/>
      <w:lvlJc w:val="left"/>
      <w:pPr>
        <w:ind w:left="3600" w:hanging="360"/>
      </w:pPr>
      <w:rPr>
        <w:rFonts w:ascii="Courier New" w:hAnsi="Courier New" w:hint="default"/>
      </w:rPr>
    </w:lvl>
    <w:lvl w:ilvl="5" w:tplc="00004B8E">
      <w:start w:val="1"/>
      <w:numFmt w:val="bullet"/>
      <w:lvlText w:val=""/>
      <w:lvlJc w:val="left"/>
      <w:pPr>
        <w:ind w:left="4320" w:hanging="360"/>
      </w:pPr>
      <w:rPr>
        <w:rFonts w:ascii="Wingdings" w:hAnsi="Wingdings" w:hint="default"/>
      </w:rPr>
    </w:lvl>
    <w:lvl w:ilvl="6" w:tplc="F7A07786">
      <w:start w:val="1"/>
      <w:numFmt w:val="bullet"/>
      <w:lvlText w:val=""/>
      <w:lvlJc w:val="left"/>
      <w:pPr>
        <w:ind w:left="5040" w:hanging="360"/>
      </w:pPr>
      <w:rPr>
        <w:rFonts w:ascii="Symbol" w:hAnsi="Symbol" w:hint="default"/>
      </w:rPr>
    </w:lvl>
    <w:lvl w:ilvl="7" w:tplc="C72213B8">
      <w:start w:val="1"/>
      <w:numFmt w:val="bullet"/>
      <w:lvlText w:val="o"/>
      <w:lvlJc w:val="left"/>
      <w:pPr>
        <w:ind w:left="5760" w:hanging="360"/>
      </w:pPr>
      <w:rPr>
        <w:rFonts w:ascii="Courier New" w:hAnsi="Courier New" w:hint="default"/>
      </w:rPr>
    </w:lvl>
    <w:lvl w:ilvl="8" w:tplc="F5DE08C4">
      <w:start w:val="1"/>
      <w:numFmt w:val="bullet"/>
      <w:lvlText w:val=""/>
      <w:lvlJc w:val="left"/>
      <w:pPr>
        <w:ind w:left="6480" w:hanging="360"/>
      </w:pPr>
      <w:rPr>
        <w:rFonts w:ascii="Wingdings" w:hAnsi="Wingdings" w:hint="default"/>
      </w:rPr>
    </w:lvl>
  </w:abstractNum>
  <w:abstractNum w:abstractNumId="9" w15:restartNumberingAfterBreak="0">
    <w:nsid w:val="3AED510F"/>
    <w:multiLevelType w:val="multilevel"/>
    <w:tmpl w:val="EADE04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BA58EA4"/>
    <w:multiLevelType w:val="hybridMultilevel"/>
    <w:tmpl w:val="FFFFFFFF"/>
    <w:lvl w:ilvl="0" w:tplc="6F0A63EA">
      <w:start w:val="1"/>
      <w:numFmt w:val="bullet"/>
      <w:lvlText w:val=""/>
      <w:lvlJc w:val="left"/>
      <w:pPr>
        <w:ind w:left="720" w:hanging="360"/>
      </w:pPr>
      <w:rPr>
        <w:rFonts w:ascii="Symbol" w:hAnsi="Symbol" w:hint="default"/>
      </w:rPr>
    </w:lvl>
    <w:lvl w:ilvl="1" w:tplc="A3B85528">
      <w:start w:val="1"/>
      <w:numFmt w:val="bullet"/>
      <w:lvlText w:val="o"/>
      <w:lvlJc w:val="left"/>
      <w:pPr>
        <w:ind w:left="1440" w:hanging="360"/>
      </w:pPr>
      <w:rPr>
        <w:rFonts w:ascii="Courier New" w:hAnsi="Courier New" w:hint="default"/>
      </w:rPr>
    </w:lvl>
    <w:lvl w:ilvl="2" w:tplc="34621F40">
      <w:start w:val="1"/>
      <w:numFmt w:val="bullet"/>
      <w:lvlText w:val=""/>
      <w:lvlJc w:val="left"/>
      <w:pPr>
        <w:ind w:left="2160" w:hanging="360"/>
      </w:pPr>
      <w:rPr>
        <w:rFonts w:ascii="Wingdings" w:hAnsi="Wingdings" w:hint="default"/>
      </w:rPr>
    </w:lvl>
    <w:lvl w:ilvl="3" w:tplc="56FEBDE8">
      <w:start w:val="1"/>
      <w:numFmt w:val="bullet"/>
      <w:lvlText w:val=""/>
      <w:lvlJc w:val="left"/>
      <w:pPr>
        <w:ind w:left="2880" w:hanging="360"/>
      </w:pPr>
      <w:rPr>
        <w:rFonts w:ascii="Symbol" w:hAnsi="Symbol" w:hint="default"/>
      </w:rPr>
    </w:lvl>
    <w:lvl w:ilvl="4" w:tplc="0C683310">
      <w:start w:val="1"/>
      <w:numFmt w:val="bullet"/>
      <w:lvlText w:val="o"/>
      <w:lvlJc w:val="left"/>
      <w:pPr>
        <w:ind w:left="3600" w:hanging="360"/>
      </w:pPr>
      <w:rPr>
        <w:rFonts w:ascii="Courier New" w:hAnsi="Courier New" w:hint="default"/>
      </w:rPr>
    </w:lvl>
    <w:lvl w:ilvl="5" w:tplc="73F27BC0">
      <w:start w:val="1"/>
      <w:numFmt w:val="bullet"/>
      <w:lvlText w:val=""/>
      <w:lvlJc w:val="left"/>
      <w:pPr>
        <w:ind w:left="4320" w:hanging="360"/>
      </w:pPr>
      <w:rPr>
        <w:rFonts w:ascii="Wingdings" w:hAnsi="Wingdings" w:hint="default"/>
      </w:rPr>
    </w:lvl>
    <w:lvl w:ilvl="6" w:tplc="0C22F870">
      <w:start w:val="1"/>
      <w:numFmt w:val="bullet"/>
      <w:lvlText w:val=""/>
      <w:lvlJc w:val="left"/>
      <w:pPr>
        <w:ind w:left="5040" w:hanging="360"/>
      </w:pPr>
      <w:rPr>
        <w:rFonts w:ascii="Symbol" w:hAnsi="Symbol" w:hint="default"/>
      </w:rPr>
    </w:lvl>
    <w:lvl w:ilvl="7" w:tplc="8AFEDA90">
      <w:start w:val="1"/>
      <w:numFmt w:val="bullet"/>
      <w:lvlText w:val="o"/>
      <w:lvlJc w:val="left"/>
      <w:pPr>
        <w:ind w:left="5760" w:hanging="360"/>
      </w:pPr>
      <w:rPr>
        <w:rFonts w:ascii="Courier New" w:hAnsi="Courier New" w:hint="default"/>
      </w:rPr>
    </w:lvl>
    <w:lvl w:ilvl="8" w:tplc="500AF28A">
      <w:start w:val="1"/>
      <w:numFmt w:val="bullet"/>
      <w:lvlText w:val=""/>
      <w:lvlJc w:val="left"/>
      <w:pPr>
        <w:ind w:left="6480" w:hanging="360"/>
      </w:pPr>
      <w:rPr>
        <w:rFonts w:ascii="Wingdings" w:hAnsi="Wingdings" w:hint="default"/>
      </w:rPr>
    </w:lvl>
  </w:abstractNum>
  <w:abstractNum w:abstractNumId="11" w15:restartNumberingAfterBreak="0">
    <w:nsid w:val="3C9336AF"/>
    <w:multiLevelType w:val="hybridMultilevel"/>
    <w:tmpl w:val="FFFFFFFF"/>
    <w:lvl w:ilvl="0" w:tplc="F62C910C">
      <w:start w:val="1"/>
      <w:numFmt w:val="bullet"/>
      <w:lvlText w:val=""/>
      <w:lvlJc w:val="left"/>
      <w:pPr>
        <w:ind w:left="720" w:hanging="360"/>
      </w:pPr>
      <w:rPr>
        <w:rFonts w:ascii="Symbol" w:hAnsi="Symbol" w:hint="default"/>
      </w:rPr>
    </w:lvl>
    <w:lvl w:ilvl="1" w:tplc="17322B74">
      <w:start w:val="1"/>
      <w:numFmt w:val="bullet"/>
      <w:lvlText w:val="o"/>
      <w:lvlJc w:val="left"/>
      <w:pPr>
        <w:ind w:left="1440" w:hanging="360"/>
      </w:pPr>
      <w:rPr>
        <w:rFonts w:ascii="Courier New" w:hAnsi="Courier New" w:hint="default"/>
      </w:rPr>
    </w:lvl>
    <w:lvl w:ilvl="2" w:tplc="479453A2">
      <w:start w:val="1"/>
      <w:numFmt w:val="bullet"/>
      <w:lvlText w:val=""/>
      <w:lvlJc w:val="left"/>
      <w:pPr>
        <w:ind w:left="2160" w:hanging="360"/>
      </w:pPr>
      <w:rPr>
        <w:rFonts w:ascii="Wingdings" w:hAnsi="Wingdings" w:hint="default"/>
      </w:rPr>
    </w:lvl>
    <w:lvl w:ilvl="3" w:tplc="C8BC872A">
      <w:start w:val="1"/>
      <w:numFmt w:val="bullet"/>
      <w:lvlText w:val=""/>
      <w:lvlJc w:val="left"/>
      <w:pPr>
        <w:ind w:left="2880" w:hanging="360"/>
      </w:pPr>
      <w:rPr>
        <w:rFonts w:ascii="Symbol" w:hAnsi="Symbol" w:hint="default"/>
      </w:rPr>
    </w:lvl>
    <w:lvl w:ilvl="4" w:tplc="F1A26ECA">
      <w:start w:val="1"/>
      <w:numFmt w:val="bullet"/>
      <w:lvlText w:val="o"/>
      <w:lvlJc w:val="left"/>
      <w:pPr>
        <w:ind w:left="3600" w:hanging="360"/>
      </w:pPr>
      <w:rPr>
        <w:rFonts w:ascii="Courier New" w:hAnsi="Courier New" w:hint="default"/>
      </w:rPr>
    </w:lvl>
    <w:lvl w:ilvl="5" w:tplc="992823AE">
      <w:start w:val="1"/>
      <w:numFmt w:val="bullet"/>
      <w:lvlText w:val=""/>
      <w:lvlJc w:val="left"/>
      <w:pPr>
        <w:ind w:left="4320" w:hanging="360"/>
      </w:pPr>
      <w:rPr>
        <w:rFonts w:ascii="Wingdings" w:hAnsi="Wingdings" w:hint="default"/>
      </w:rPr>
    </w:lvl>
    <w:lvl w:ilvl="6" w:tplc="4BB83F24">
      <w:start w:val="1"/>
      <w:numFmt w:val="bullet"/>
      <w:lvlText w:val=""/>
      <w:lvlJc w:val="left"/>
      <w:pPr>
        <w:ind w:left="5040" w:hanging="360"/>
      </w:pPr>
      <w:rPr>
        <w:rFonts w:ascii="Symbol" w:hAnsi="Symbol" w:hint="default"/>
      </w:rPr>
    </w:lvl>
    <w:lvl w:ilvl="7" w:tplc="BCA6CFC4">
      <w:start w:val="1"/>
      <w:numFmt w:val="bullet"/>
      <w:lvlText w:val="o"/>
      <w:lvlJc w:val="left"/>
      <w:pPr>
        <w:ind w:left="5760" w:hanging="360"/>
      </w:pPr>
      <w:rPr>
        <w:rFonts w:ascii="Courier New" w:hAnsi="Courier New" w:hint="default"/>
      </w:rPr>
    </w:lvl>
    <w:lvl w:ilvl="8" w:tplc="429A6ABA">
      <w:start w:val="1"/>
      <w:numFmt w:val="bullet"/>
      <w:lvlText w:val=""/>
      <w:lvlJc w:val="left"/>
      <w:pPr>
        <w:ind w:left="6480" w:hanging="360"/>
      </w:pPr>
      <w:rPr>
        <w:rFonts w:ascii="Wingdings" w:hAnsi="Wingdings" w:hint="default"/>
      </w:rPr>
    </w:lvl>
  </w:abstractNum>
  <w:abstractNum w:abstractNumId="12" w15:restartNumberingAfterBreak="0">
    <w:nsid w:val="416C19D4"/>
    <w:multiLevelType w:val="multilevel"/>
    <w:tmpl w:val="1B829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0B5120"/>
    <w:multiLevelType w:val="multilevel"/>
    <w:tmpl w:val="F52AE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7B523F"/>
    <w:multiLevelType w:val="hybridMultilevel"/>
    <w:tmpl w:val="F06E3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114D3"/>
    <w:multiLevelType w:val="multilevel"/>
    <w:tmpl w:val="3D847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FBFAD7"/>
    <w:multiLevelType w:val="hybridMultilevel"/>
    <w:tmpl w:val="CFC68550"/>
    <w:lvl w:ilvl="0" w:tplc="B2CE401E">
      <w:start w:val="1"/>
      <w:numFmt w:val="decimal"/>
      <w:lvlText w:val="%1."/>
      <w:lvlJc w:val="left"/>
      <w:pPr>
        <w:ind w:left="720" w:hanging="360"/>
      </w:pPr>
    </w:lvl>
    <w:lvl w:ilvl="1" w:tplc="2FAC4FAC">
      <w:start w:val="1"/>
      <w:numFmt w:val="lowerLetter"/>
      <w:lvlText w:val="%2."/>
      <w:lvlJc w:val="left"/>
      <w:pPr>
        <w:ind w:left="1440" w:hanging="360"/>
      </w:pPr>
    </w:lvl>
    <w:lvl w:ilvl="2" w:tplc="F82E93DE">
      <w:start w:val="1"/>
      <w:numFmt w:val="lowerRoman"/>
      <w:lvlText w:val="%3."/>
      <w:lvlJc w:val="right"/>
      <w:pPr>
        <w:ind w:left="2160" w:hanging="180"/>
      </w:pPr>
    </w:lvl>
    <w:lvl w:ilvl="3" w:tplc="4030E6B6">
      <w:start w:val="1"/>
      <w:numFmt w:val="decimal"/>
      <w:lvlText w:val="%4."/>
      <w:lvlJc w:val="left"/>
      <w:pPr>
        <w:ind w:left="2880" w:hanging="360"/>
      </w:pPr>
    </w:lvl>
    <w:lvl w:ilvl="4" w:tplc="98EE6F32">
      <w:start w:val="1"/>
      <w:numFmt w:val="lowerLetter"/>
      <w:lvlText w:val="%5."/>
      <w:lvlJc w:val="left"/>
      <w:pPr>
        <w:ind w:left="3600" w:hanging="360"/>
      </w:pPr>
    </w:lvl>
    <w:lvl w:ilvl="5" w:tplc="60169FAC">
      <w:start w:val="1"/>
      <w:numFmt w:val="lowerRoman"/>
      <w:lvlText w:val="%6."/>
      <w:lvlJc w:val="right"/>
      <w:pPr>
        <w:ind w:left="4320" w:hanging="180"/>
      </w:pPr>
    </w:lvl>
    <w:lvl w:ilvl="6" w:tplc="FA066198">
      <w:start w:val="1"/>
      <w:numFmt w:val="decimal"/>
      <w:lvlText w:val="%7."/>
      <w:lvlJc w:val="left"/>
      <w:pPr>
        <w:ind w:left="5040" w:hanging="360"/>
      </w:pPr>
    </w:lvl>
    <w:lvl w:ilvl="7" w:tplc="6FEE7DB0">
      <w:start w:val="1"/>
      <w:numFmt w:val="lowerLetter"/>
      <w:lvlText w:val="%8."/>
      <w:lvlJc w:val="left"/>
      <w:pPr>
        <w:ind w:left="5760" w:hanging="360"/>
      </w:pPr>
    </w:lvl>
    <w:lvl w:ilvl="8" w:tplc="4544D122">
      <w:start w:val="1"/>
      <w:numFmt w:val="lowerRoman"/>
      <w:lvlText w:val="%9."/>
      <w:lvlJc w:val="right"/>
      <w:pPr>
        <w:ind w:left="6480" w:hanging="180"/>
      </w:pPr>
    </w:lvl>
  </w:abstractNum>
  <w:abstractNum w:abstractNumId="17" w15:restartNumberingAfterBreak="0">
    <w:nsid w:val="4E2E7466"/>
    <w:multiLevelType w:val="multilevel"/>
    <w:tmpl w:val="72523A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ECD5E80"/>
    <w:multiLevelType w:val="multilevel"/>
    <w:tmpl w:val="214CA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B3336E"/>
    <w:multiLevelType w:val="multilevel"/>
    <w:tmpl w:val="671C22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3D752B4"/>
    <w:multiLevelType w:val="hybridMultilevel"/>
    <w:tmpl w:val="FFFFFFFF"/>
    <w:lvl w:ilvl="0" w:tplc="5E80E59C">
      <w:start w:val="1"/>
      <w:numFmt w:val="bullet"/>
      <w:lvlText w:val=""/>
      <w:lvlJc w:val="left"/>
      <w:pPr>
        <w:ind w:left="720" w:hanging="360"/>
      </w:pPr>
      <w:rPr>
        <w:rFonts w:ascii="Symbol" w:hAnsi="Symbol" w:hint="default"/>
      </w:rPr>
    </w:lvl>
    <w:lvl w:ilvl="1" w:tplc="1842100E">
      <w:start w:val="1"/>
      <w:numFmt w:val="bullet"/>
      <w:lvlText w:val="o"/>
      <w:lvlJc w:val="left"/>
      <w:pPr>
        <w:ind w:left="1440" w:hanging="360"/>
      </w:pPr>
      <w:rPr>
        <w:rFonts w:ascii="Courier New" w:hAnsi="Courier New" w:hint="default"/>
      </w:rPr>
    </w:lvl>
    <w:lvl w:ilvl="2" w:tplc="33884B56">
      <w:start w:val="1"/>
      <w:numFmt w:val="bullet"/>
      <w:lvlText w:val=""/>
      <w:lvlJc w:val="left"/>
      <w:pPr>
        <w:ind w:left="2160" w:hanging="360"/>
      </w:pPr>
      <w:rPr>
        <w:rFonts w:ascii="Wingdings" w:hAnsi="Wingdings" w:hint="default"/>
      </w:rPr>
    </w:lvl>
    <w:lvl w:ilvl="3" w:tplc="7DC08BFE">
      <w:start w:val="1"/>
      <w:numFmt w:val="bullet"/>
      <w:lvlText w:val=""/>
      <w:lvlJc w:val="left"/>
      <w:pPr>
        <w:ind w:left="2880" w:hanging="360"/>
      </w:pPr>
      <w:rPr>
        <w:rFonts w:ascii="Symbol" w:hAnsi="Symbol" w:hint="default"/>
      </w:rPr>
    </w:lvl>
    <w:lvl w:ilvl="4" w:tplc="021E82EE">
      <w:start w:val="1"/>
      <w:numFmt w:val="bullet"/>
      <w:lvlText w:val="o"/>
      <w:lvlJc w:val="left"/>
      <w:pPr>
        <w:ind w:left="3600" w:hanging="360"/>
      </w:pPr>
      <w:rPr>
        <w:rFonts w:ascii="Courier New" w:hAnsi="Courier New" w:hint="default"/>
      </w:rPr>
    </w:lvl>
    <w:lvl w:ilvl="5" w:tplc="87F2DC52">
      <w:start w:val="1"/>
      <w:numFmt w:val="bullet"/>
      <w:lvlText w:val=""/>
      <w:lvlJc w:val="left"/>
      <w:pPr>
        <w:ind w:left="4320" w:hanging="360"/>
      </w:pPr>
      <w:rPr>
        <w:rFonts w:ascii="Wingdings" w:hAnsi="Wingdings" w:hint="default"/>
      </w:rPr>
    </w:lvl>
    <w:lvl w:ilvl="6" w:tplc="EB189794">
      <w:start w:val="1"/>
      <w:numFmt w:val="bullet"/>
      <w:lvlText w:val=""/>
      <w:lvlJc w:val="left"/>
      <w:pPr>
        <w:ind w:left="5040" w:hanging="360"/>
      </w:pPr>
      <w:rPr>
        <w:rFonts w:ascii="Symbol" w:hAnsi="Symbol" w:hint="default"/>
      </w:rPr>
    </w:lvl>
    <w:lvl w:ilvl="7" w:tplc="A4C4648C">
      <w:start w:val="1"/>
      <w:numFmt w:val="bullet"/>
      <w:lvlText w:val="o"/>
      <w:lvlJc w:val="left"/>
      <w:pPr>
        <w:ind w:left="5760" w:hanging="360"/>
      </w:pPr>
      <w:rPr>
        <w:rFonts w:ascii="Courier New" w:hAnsi="Courier New" w:hint="default"/>
      </w:rPr>
    </w:lvl>
    <w:lvl w:ilvl="8" w:tplc="C7F22590">
      <w:start w:val="1"/>
      <w:numFmt w:val="bullet"/>
      <w:lvlText w:val=""/>
      <w:lvlJc w:val="left"/>
      <w:pPr>
        <w:ind w:left="6480" w:hanging="360"/>
      </w:pPr>
      <w:rPr>
        <w:rFonts w:ascii="Wingdings" w:hAnsi="Wingdings" w:hint="default"/>
      </w:rPr>
    </w:lvl>
  </w:abstractNum>
  <w:abstractNum w:abstractNumId="21" w15:restartNumberingAfterBreak="0">
    <w:nsid w:val="590A1E20"/>
    <w:multiLevelType w:val="multilevel"/>
    <w:tmpl w:val="E64ED6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C2416EB"/>
    <w:multiLevelType w:val="multilevel"/>
    <w:tmpl w:val="BA0001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162370A"/>
    <w:multiLevelType w:val="multilevel"/>
    <w:tmpl w:val="50E84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3A04332"/>
    <w:multiLevelType w:val="multilevel"/>
    <w:tmpl w:val="3320D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E20D4F"/>
    <w:multiLevelType w:val="multilevel"/>
    <w:tmpl w:val="88EE7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E13AA1"/>
    <w:multiLevelType w:val="multilevel"/>
    <w:tmpl w:val="FF6EC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B5D0A40"/>
    <w:multiLevelType w:val="multilevel"/>
    <w:tmpl w:val="D0E6BC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C784486"/>
    <w:multiLevelType w:val="hybridMultilevel"/>
    <w:tmpl w:val="74D20CDE"/>
    <w:lvl w:ilvl="0" w:tplc="F992FF8E">
      <w:start w:val="1"/>
      <w:numFmt w:val="bullet"/>
      <w:lvlText w:val=""/>
      <w:lvlJc w:val="left"/>
      <w:pPr>
        <w:ind w:left="720" w:hanging="360"/>
      </w:pPr>
      <w:rPr>
        <w:rFonts w:ascii="Symbol" w:hAnsi="Symbol" w:hint="default"/>
      </w:rPr>
    </w:lvl>
    <w:lvl w:ilvl="1" w:tplc="9DC2AB64">
      <w:start w:val="1"/>
      <w:numFmt w:val="bullet"/>
      <w:lvlText w:val="o"/>
      <w:lvlJc w:val="left"/>
      <w:pPr>
        <w:ind w:left="1440" w:hanging="360"/>
      </w:pPr>
      <w:rPr>
        <w:rFonts w:ascii="Courier New" w:hAnsi="Courier New" w:hint="default"/>
      </w:rPr>
    </w:lvl>
    <w:lvl w:ilvl="2" w:tplc="A866DCA2">
      <w:start w:val="1"/>
      <w:numFmt w:val="bullet"/>
      <w:lvlText w:val=""/>
      <w:lvlJc w:val="left"/>
      <w:pPr>
        <w:ind w:left="2160" w:hanging="360"/>
      </w:pPr>
      <w:rPr>
        <w:rFonts w:ascii="Wingdings" w:hAnsi="Wingdings" w:hint="default"/>
      </w:rPr>
    </w:lvl>
    <w:lvl w:ilvl="3" w:tplc="B85C214E">
      <w:start w:val="1"/>
      <w:numFmt w:val="bullet"/>
      <w:lvlText w:val=""/>
      <w:lvlJc w:val="left"/>
      <w:pPr>
        <w:ind w:left="2880" w:hanging="360"/>
      </w:pPr>
      <w:rPr>
        <w:rFonts w:ascii="Symbol" w:hAnsi="Symbol" w:hint="default"/>
      </w:rPr>
    </w:lvl>
    <w:lvl w:ilvl="4" w:tplc="21B4727C">
      <w:start w:val="1"/>
      <w:numFmt w:val="bullet"/>
      <w:lvlText w:val="o"/>
      <w:lvlJc w:val="left"/>
      <w:pPr>
        <w:ind w:left="3600" w:hanging="360"/>
      </w:pPr>
      <w:rPr>
        <w:rFonts w:ascii="Courier New" w:hAnsi="Courier New" w:hint="default"/>
      </w:rPr>
    </w:lvl>
    <w:lvl w:ilvl="5" w:tplc="5A04E874">
      <w:start w:val="1"/>
      <w:numFmt w:val="bullet"/>
      <w:lvlText w:val=""/>
      <w:lvlJc w:val="left"/>
      <w:pPr>
        <w:ind w:left="4320" w:hanging="360"/>
      </w:pPr>
      <w:rPr>
        <w:rFonts w:ascii="Wingdings" w:hAnsi="Wingdings" w:hint="default"/>
      </w:rPr>
    </w:lvl>
    <w:lvl w:ilvl="6" w:tplc="62BE9CF6">
      <w:start w:val="1"/>
      <w:numFmt w:val="bullet"/>
      <w:lvlText w:val=""/>
      <w:lvlJc w:val="left"/>
      <w:pPr>
        <w:ind w:left="5040" w:hanging="360"/>
      </w:pPr>
      <w:rPr>
        <w:rFonts w:ascii="Symbol" w:hAnsi="Symbol" w:hint="default"/>
      </w:rPr>
    </w:lvl>
    <w:lvl w:ilvl="7" w:tplc="FEE2CF9C">
      <w:start w:val="1"/>
      <w:numFmt w:val="bullet"/>
      <w:lvlText w:val="o"/>
      <w:lvlJc w:val="left"/>
      <w:pPr>
        <w:ind w:left="5760" w:hanging="360"/>
      </w:pPr>
      <w:rPr>
        <w:rFonts w:ascii="Courier New" w:hAnsi="Courier New" w:hint="default"/>
      </w:rPr>
    </w:lvl>
    <w:lvl w:ilvl="8" w:tplc="4BA0CA16">
      <w:start w:val="1"/>
      <w:numFmt w:val="bullet"/>
      <w:lvlText w:val=""/>
      <w:lvlJc w:val="left"/>
      <w:pPr>
        <w:ind w:left="6480" w:hanging="360"/>
      </w:pPr>
      <w:rPr>
        <w:rFonts w:ascii="Wingdings" w:hAnsi="Wingdings" w:hint="default"/>
      </w:rPr>
    </w:lvl>
  </w:abstractNum>
  <w:abstractNum w:abstractNumId="29" w15:restartNumberingAfterBreak="0">
    <w:nsid w:val="6E7178AF"/>
    <w:multiLevelType w:val="hybridMultilevel"/>
    <w:tmpl w:val="32C0650A"/>
    <w:lvl w:ilvl="0" w:tplc="B18E13EC">
      <w:start w:val="1"/>
      <w:numFmt w:val="bullet"/>
      <w:lvlText w:val=""/>
      <w:lvlJc w:val="left"/>
      <w:pPr>
        <w:ind w:left="720" w:hanging="360"/>
      </w:pPr>
      <w:rPr>
        <w:rFonts w:ascii="Symbol" w:hAnsi="Symbol" w:hint="default"/>
      </w:rPr>
    </w:lvl>
    <w:lvl w:ilvl="1" w:tplc="83245DFA">
      <w:start w:val="1"/>
      <w:numFmt w:val="bullet"/>
      <w:lvlText w:val="o"/>
      <w:lvlJc w:val="left"/>
      <w:pPr>
        <w:ind w:left="1440" w:hanging="360"/>
      </w:pPr>
      <w:rPr>
        <w:rFonts w:ascii="Courier New" w:hAnsi="Courier New" w:hint="default"/>
      </w:rPr>
    </w:lvl>
    <w:lvl w:ilvl="2" w:tplc="A75E3FCE">
      <w:start w:val="1"/>
      <w:numFmt w:val="bullet"/>
      <w:lvlText w:val=""/>
      <w:lvlJc w:val="left"/>
      <w:pPr>
        <w:ind w:left="2160" w:hanging="360"/>
      </w:pPr>
      <w:rPr>
        <w:rFonts w:ascii="Wingdings" w:hAnsi="Wingdings" w:hint="default"/>
      </w:rPr>
    </w:lvl>
    <w:lvl w:ilvl="3" w:tplc="2A4AA4F8">
      <w:start w:val="1"/>
      <w:numFmt w:val="bullet"/>
      <w:lvlText w:val=""/>
      <w:lvlJc w:val="left"/>
      <w:pPr>
        <w:ind w:left="2880" w:hanging="360"/>
      </w:pPr>
      <w:rPr>
        <w:rFonts w:ascii="Symbol" w:hAnsi="Symbol" w:hint="default"/>
      </w:rPr>
    </w:lvl>
    <w:lvl w:ilvl="4" w:tplc="5A1A2D06">
      <w:start w:val="1"/>
      <w:numFmt w:val="bullet"/>
      <w:lvlText w:val="o"/>
      <w:lvlJc w:val="left"/>
      <w:pPr>
        <w:ind w:left="3600" w:hanging="360"/>
      </w:pPr>
      <w:rPr>
        <w:rFonts w:ascii="Courier New" w:hAnsi="Courier New" w:hint="default"/>
      </w:rPr>
    </w:lvl>
    <w:lvl w:ilvl="5" w:tplc="A1F0EB12">
      <w:start w:val="1"/>
      <w:numFmt w:val="bullet"/>
      <w:lvlText w:val=""/>
      <w:lvlJc w:val="left"/>
      <w:pPr>
        <w:ind w:left="4320" w:hanging="360"/>
      </w:pPr>
      <w:rPr>
        <w:rFonts w:ascii="Wingdings" w:hAnsi="Wingdings" w:hint="default"/>
      </w:rPr>
    </w:lvl>
    <w:lvl w:ilvl="6" w:tplc="9D46118E">
      <w:start w:val="1"/>
      <w:numFmt w:val="bullet"/>
      <w:lvlText w:val=""/>
      <w:lvlJc w:val="left"/>
      <w:pPr>
        <w:ind w:left="5040" w:hanging="360"/>
      </w:pPr>
      <w:rPr>
        <w:rFonts w:ascii="Symbol" w:hAnsi="Symbol" w:hint="default"/>
      </w:rPr>
    </w:lvl>
    <w:lvl w:ilvl="7" w:tplc="D616BD18">
      <w:start w:val="1"/>
      <w:numFmt w:val="bullet"/>
      <w:lvlText w:val="o"/>
      <w:lvlJc w:val="left"/>
      <w:pPr>
        <w:ind w:left="5760" w:hanging="360"/>
      </w:pPr>
      <w:rPr>
        <w:rFonts w:ascii="Courier New" w:hAnsi="Courier New" w:hint="default"/>
      </w:rPr>
    </w:lvl>
    <w:lvl w:ilvl="8" w:tplc="EC90116A">
      <w:start w:val="1"/>
      <w:numFmt w:val="bullet"/>
      <w:lvlText w:val=""/>
      <w:lvlJc w:val="left"/>
      <w:pPr>
        <w:ind w:left="6480" w:hanging="360"/>
      </w:pPr>
      <w:rPr>
        <w:rFonts w:ascii="Wingdings" w:hAnsi="Wingdings" w:hint="default"/>
      </w:rPr>
    </w:lvl>
  </w:abstractNum>
  <w:abstractNum w:abstractNumId="30" w15:restartNumberingAfterBreak="0">
    <w:nsid w:val="71C61475"/>
    <w:multiLevelType w:val="multilevel"/>
    <w:tmpl w:val="E20A2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3928AA3"/>
    <w:multiLevelType w:val="hybridMultilevel"/>
    <w:tmpl w:val="80C8041A"/>
    <w:lvl w:ilvl="0" w:tplc="B5400A62">
      <w:start w:val="1"/>
      <w:numFmt w:val="bullet"/>
      <w:lvlText w:val=""/>
      <w:lvlJc w:val="left"/>
      <w:pPr>
        <w:ind w:left="720" w:hanging="360"/>
      </w:pPr>
      <w:rPr>
        <w:rFonts w:ascii="Symbol" w:hAnsi="Symbol" w:hint="default"/>
      </w:rPr>
    </w:lvl>
    <w:lvl w:ilvl="1" w:tplc="CE38EA66">
      <w:start w:val="1"/>
      <w:numFmt w:val="bullet"/>
      <w:lvlText w:val="o"/>
      <w:lvlJc w:val="left"/>
      <w:pPr>
        <w:ind w:left="1440" w:hanging="360"/>
      </w:pPr>
      <w:rPr>
        <w:rFonts w:ascii="Courier New" w:hAnsi="Courier New" w:hint="default"/>
      </w:rPr>
    </w:lvl>
    <w:lvl w:ilvl="2" w:tplc="DA323894">
      <w:start w:val="1"/>
      <w:numFmt w:val="bullet"/>
      <w:lvlText w:val=""/>
      <w:lvlJc w:val="left"/>
      <w:pPr>
        <w:ind w:left="2160" w:hanging="360"/>
      </w:pPr>
      <w:rPr>
        <w:rFonts w:ascii="Wingdings" w:hAnsi="Wingdings" w:hint="default"/>
      </w:rPr>
    </w:lvl>
    <w:lvl w:ilvl="3" w:tplc="DFBA9C9A">
      <w:start w:val="1"/>
      <w:numFmt w:val="bullet"/>
      <w:lvlText w:val=""/>
      <w:lvlJc w:val="left"/>
      <w:pPr>
        <w:ind w:left="2880" w:hanging="360"/>
      </w:pPr>
      <w:rPr>
        <w:rFonts w:ascii="Symbol" w:hAnsi="Symbol" w:hint="default"/>
      </w:rPr>
    </w:lvl>
    <w:lvl w:ilvl="4" w:tplc="3574FA28">
      <w:start w:val="1"/>
      <w:numFmt w:val="bullet"/>
      <w:lvlText w:val="o"/>
      <w:lvlJc w:val="left"/>
      <w:pPr>
        <w:ind w:left="3600" w:hanging="360"/>
      </w:pPr>
      <w:rPr>
        <w:rFonts w:ascii="Courier New" w:hAnsi="Courier New" w:hint="default"/>
      </w:rPr>
    </w:lvl>
    <w:lvl w:ilvl="5" w:tplc="889E80DA">
      <w:start w:val="1"/>
      <w:numFmt w:val="bullet"/>
      <w:lvlText w:val=""/>
      <w:lvlJc w:val="left"/>
      <w:pPr>
        <w:ind w:left="4320" w:hanging="360"/>
      </w:pPr>
      <w:rPr>
        <w:rFonts w:ascii="Wingdings" w:hAnsi="Wingdings" w:hint="default"/>
      </w:rPr>
    </w:lvl>
    <w:lvl w:ilvl="6" w:tplc="B210A3CE">
      <w:start w:val="1"/>
      <w:numFmt w:val="bullet"/>
      <w:lvlText w:val=""/>
      <w:lvlJc w:val="left"/>
      <w:pPr>
        <w:ind w:left="5040" w:hanging="360"/>
      </w:pPr>
      <w:rPr>
        <w:rFonts w:ascii="Symbol" w:hAnsi="Symbol" w:hint="default"/>
      </w:rPr>
    </w:lvl>
    <w:lvl w:ilvl="7" w:tplc="9B6CF2B4">
      <w:start w:val="1"/>
      <w:numFmt w:val="bullet"/>
      <w:lvlText w:val="o"/>
      <w:lvlJc w:val="left"/>
      <w:pPr>
        <w:ind w:left="5760" w:hanging="360"/>
      </w:pPr>
      <w:rPr>
        <w:rFonts w:ascii="Courier New" w:hAnsi="Courier New" w:hint="default"/>
      </w:rPr>
    </w:lvl>
    <w:lvl w:ilvl="8" w:tplc="910C003A">
      <w:start w:val="1"/>
      <w:numFmt w:val="bullet"/>
      <w:lvlText w:val=""/>
      <w:lvlJc w:val="left"/>
      <w:pPr>
        <w:ind w:left="6480" w:hanging="360"/>
      </w:pPr>
      <w:rPr>
        <w:rFonts w:ascii="Wingdings" w:hAnsi="Wingdings" w:hint="default"/>
      </w:rPr>
    </w:lvl>
  </w:abstractNum>
  <w:abstractNum w:abstractNumId="32" w15:restartNumberingAfterBreak="0">
    <w:nsid w:val="75614A46"/>
    <w:multiLevelType w:val="multilevel"/>
    <w:tmpl w:val="63AE8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011E71"/>
    <w:multiLevelType w:val="multilevel"/>
    <w:tmpl w:val="1DB2A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578469">
    <w:abstractNumId w:val="28"/>
  </w:num>
  <w:num w:numId="2" w16cid:durableId="291248959">
    <w:abstractNumId w:val="11"/>
  </w:num>
  <w:num w:numId="3" w16cid:durableId="430591217">
    <w:abstractNumId w:val="8"/>
  </w:num>
  <w:num w:numId="4" w16cid:durableId="50354177">
    <w:abstractNumId w:val="10"/>
  </w:num>
  <w:num w:numId="5" w16cid:durableId="671446606">
    <w:abstractNumId w:val="20"/>
  </w:num>
  <w:num w:numId="6" w16cid:durableId="39674461">
    <w:abstractNumId w:val="4"/>
  </w:num>
  <w:num w:numId="7" w16cid:durableId="1654529959">
    <w:abstractNumId w:val="12"/>
  </w:num>
  <w:num w:numId="8" w16cid:durableId="848058151">
    <w:abstractNumId w:val="0"/>
  </w:num>
  <w:num w:numId="9" w16cid:durableId="191186736">
    <w:abstractNumId w:val="2"/>
  </w:num>
  <w:num w:numId="10" w16cid:durableId="72047231">
    <w:abstractNumId w:val="9"/>
  </w:num>
  <w:num w:numId="11" w16cid:durableId="603071499">
    <w:abstractNumId w:val="23"/>
  </w:num>
  <w:num w:numId="12" w16cid:durableId="83184233">
    <w:abstractNumId w:val="1"/>
  </w:num>
  <w:num w:numId="13" w16cid:durableId="336734332">
    <w:abstractNumId w:val="26"/>
  </w:num>
  <w:num w:numId="14" w16cid:durableId="296107140">
    <w:abstractNumId w:val="33"/>
  </w:num>
  <w:num w:numId="15" w16cid:durableId="1149975320">
    <w:abstractNumId w:val="6"/>
  </w:num>
  <w:num w:numId="16" w16cid:durableId="1719888384">
    <w:abstractNumId w:val="5"/>
  </w:num>
  <w:num w:numId="17" w16cid:durableId="25177246">
    <w:abstractNumId w:val="13"/>
  </w:num>
  <w:num w:numId="18" w16cid:durableId="552472688">
    <w:abstractNumId w:val="27"/>
  </w:num>
  <w:num w:numId="19" w16cid:durableId="1024013880">
    <w:abstractNumId w:val="19"/>
  </w:num>
  <w:num w:numId="20" w16cid:durableId="37290446">
    <w:abstractNumId w:val="17"/>
  </w:num>
  <w:num w:numId="21" w16cid:durableId="977226294">
    <w:abstractNumId w:val="25"/>
  </w:num>
  <w:num w:numId="22" w16cid:durableId="109473695">
    <w:abstractNumId w:val="15"/>
  </w:num>
  <w:num w:numId="23" w16cid:durableId="2082242421">
    <w:abstractNumId w:val="21"/>
  </w:num>
  <w:num w:numId="24" w16cid:durableId="1706635725">
    <w:abstractNumId w:val="32"/>
  </w:num>
  <w:num w:numId="25" w16cid:durableId="1776635073">
    <w:abstractNumId w:val="18"/>
  </w:num>
  <w:num w:numId="26" w16cid:durableId="1079864290">
    <w:abstractNumId w:val="30"/>
  </w:num>
  <w:num w:numId="27" w16cid:durableId="144903504">
    <w:abstractNumId w:val="24"/>
  </w:num>
  <w:num w:numId="28" w16cid:durableId="465634145">
    <w:abstractNumId w:val="22"/>
  </w:num>
  <w:num w:numId="29" w16cid:durableId="86970543">
    <w:abstractNumId w:val="14"/>
  </w:num>
  <w:num w:numId="30" w16cid:durableId="1321157499">
    <w:abstractNumId w:val="16"/>
  </w:num>
  <w:num w:numId="31" w16cid:durableId="1285883951">
    <w:abstractNumId w:val="31"/>
  </w:num>
  <w:num w:numId="32" w16cid:durableId="9765709">
    <w:abstractNumId w:val="7"/>
  </w:num>
  <w:num w:numId="33" w16cid:durableId="1836261795">
    <w:abstractNumId w:val="29"/>
  </w:num>
  <w:num w:numId="34" w16cid:durableId="2135756373">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aria Trevino Gonzalez">
    <w15:presenceInfo w15:providerId="AD" w15:userId="S::m.tgonzalez@uwtsd.ac.uk::aa36a5e4-cd30-4109-a581-5f2fc96aeea0"/>
  </w15:person>
  <w15:person w15:author="Jason Worthy (1921913)">
    <w15:presenceInfo w15:providerId="AD" w15:userId="S::1921913@student.uwtsd.ac.uk::7c3bd9a2-8ece-4e8f-a373-8730a64e63a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137883"/>
    <w:rsid w:val="00002264"/>
    <w:rsid w:val="00007AC6"/>
    <w:rsid w:val="00030951"/>
    <w:rsid w:val="00057E68"/>
    <w:rsid w:val="00074F8D"/>
    <w:rsid w:val="000B1747"/>
    <w:rsid w:val="000B2205"/>
    <w:rsid w:val="000D7BD3"/>
    <w:rsid w:val="0011370B"/>
    <w:rsid w:val="00122C7C"/>
    <w:rsid w:val="00140F59"/>
    <w:rsid w:val="0015315C"/>
    <w:rsid w:val="001661F7"/>
    <w:rsid w:val="00172461"/>
    <w:rsid w:val="0018082A"/>
    <w:rsid w:val="00183592"/>
    <w:rsid w:val="00184AC6"/>
    <w:rsid w:val="00186E15"/>
    <w:rsid w:val="00192958"/>
    <w:rsid w:val="001C7FA3"/>
    <w:rsid w:val="002149E0"/>
    <w:rsid w:val="00221B38"/>
    <w:rsid w:val="00251F2B"/>
    <w:rsid w:val="0028371A"/>
    <w:rsid w:val="002B67FD"/>
    <w:rsid w:val="002C39B9"/>
    <w:rsid w:val="002D2AF8"/>
    <w:rsid w:val="002E1AAA"/>
    <w:rsid w:val="002E4872"/>
    <w:rsid w:val="0030750B"/>
    <w:rsid w:val="0032653E"/>
    <w:rsid w:val="0035036F"/>
    <w:rsid w:val="003513E6"/>
    <w:rsid w:val="003515F4"/>
    <w:rsid w:val="00355681"/>
    <w:rsid w:val="00365A6E"/>
    <w:rsid w:val="00393D0D"/>
    <w:rsid w:val="003B181F"/>
    <w:rsid w:val="004003E1"/>
    <w:rsid w:val="0040144E"/>
    <w:rsid w:val="0042269B"/>
    <w:rsid w:val="00426E9A"/>
    <w:rsid w:val="0045319E"/>
    <w:rsid w:val="00457D29"/>
    <w:rsid w:val="00460FF1"/>
    <w:rsid w:val="0046161F"/>
    <w:rsid w:val="0047191E"/>
    <w:rsid w:val="00481ABA"/>
    <w:rsid w:val="00484FAF"/>
    <w:rsid w:val="004B2B2F"/>
    <w:rsid w:val="004B6BCD"/>
    <w:rsid w:val="004E21BB"/>
    <w:rsid w:val="004E2719"/>
    <w:rsid w:val="004E4D12"/>
    <w:rsid w:val="004F00BE"/>
    <w:rsid w:val="0050144B"/>
    <w:rsid w:val="0050327D"/>
    <w:rsid w:val="00506F70"/>
    <w:rsid w:val="005176D5"/>
    <w:rsid w:val="00525691"/>
    <w:rsid w:val="00535EEE"/>
    <w:rsid w:val="00553936"/>
    <w:rsid w:val="00560291"/>
    <w:rsid w:val="005603F1"/>
    <w:rsid w:val="00564981"/>
    <w:rsid w:val="00582AF9"/>
    <w:rsid w:val="00593E49"/>
    <w:rsid w:val="00596A03"/>
    <w:rsid w:val="005A4CA4"/>
    <w:rsid w:val="005A52F4"/>
    <w:rsid w:val="005C57FC"/>
    <w:rsid w:val="005D16BE"/>
    <w:rsid w:val="005E6BCC"/>
    <w:rsid w:val="006067DB"/>
    <w:rsid w:val="0061312F"/>
    <w:rsid w:val="006247A3"/>
    <w:rsid w:val="00631A90"/>
    <w:rsid w:val="0065723F"/>
    <w:rsid w:val="00685281"/>
    <w:rsid w:val="006C0C03"/>
    <w:rsid w:val="006C4B96"/>
    <w:rsid w:val="006D6BDC"/>
    <w:rsid w:val="006D6C78"/>
    <w:rsid w:val="006F707D"/>
    <w:rsid w:val="006F708A"/>
    <w:rsid w:val="00714C16"/>
    <w:rsid w:val="00714CFC"/>
    <w:rsid w:val="00724213"/>
    <w:rsid w:val="00730F2D"/>
    <w:rsid w:val="007352A0"/>
    <w:rsid w:val="00737C38"/>
    <w:rsid w:val="00745FDB"/>
    <w:rsid w:val="007558C3"/>
    <w:rsid w:val="00773F60"/>
    <w:rsid w:val="0079394A"/>
    <w:rsid w:val="007E172F"/>
    <w:rsid w:val="007F0085"/>
    <w:rsid w:val="007F2B82"/>
    <w:rsid w:val="00802DDA"/>
    <w:rsid w:val="00806163"/>
    <w:rsid w:val="00807D44"/>
    <w:rsid w:val="0081746C"/>
    <w:rsid w:val="00823440"/>
    <w:rsid w:val="00823BF8"/>
    <w:rsid w:val="0083091D"/>
    <w:rsid w:val="00844D77"/>
    <w:rsid w:val="00897A36"/>
    <w:rsid w:val="008B0305"/>
    <w:rsid w:val="008B2D6B"/>
    <w:rsid w:val="00901710"/>
    <w:rsid w:val="009049DA"/>
    <w:rsid w:val="00910499"/>
    <w:rsid w:val="009135C8"/>
    <w:rsid w:val="00914000"/>
    <w:rsid w:val="009159CE"/>
    <w:rsid w:val="00925129"/>
    <w:rsid w:val="00927896"/>
    <w:rsid w:val="00955EE1"/>
    <w:rsid w:val="00963902"/>
    <w:rsid w:val="00963CD5"/>
    <w:rsid w:val="00972E1A"/>
    <w:rsid w:val="00987ECE"/>
    <w:rsid w:val="009A1BF0"/>
    <w:rsid w:val="009B7F03"/>
    <w:rsid w:val="009D6890"/>
    <w:rsid w:val="009E7748"/>
    <w:rsid w:val="009F0805"/>
    <w:rsid w:val="009F5DB6"/>
    <w:rsid w:val="00A025AD"/>
    <w:rsid w:val="00A17CEB"/>
    <w:rsid w:val="00A27386"/>
    <w:rsid w:val="00A29527"/>
    <w:rsid w:val="00A34ADC"/>
    <w:rsid w:val="00A47FE4"/>
    <w:rsid w:val="00A63CDC"/>
    <w:rsid w:val="00A664BA"/>
    <w:rsid w:val="00A739F4"/>
    <w:rsid w:val="00A7655B"/>
    <w:rsid w:val="00A91013"/>
    <w:rsid w:val="00AA4C44"/>
    <w:rsid w:val="00AA6C89"/>
    <w:rsid w:val="00AB518C"/>
    <w:rsid w:val="00AC241E"/>
    <w:rsid w:val="00AC7C43"/>
    <w:rsid w:val="00AE0BE2"/>
    <w:rsid w:val="00AE7C8E"/>
    <w:rsid w:val="00B4244C"/>
    <w:rsid w:val="00B51E18"/>
    <w:rsid w:val="00B53622"/>
    <w:rsid w:val="00B62BEC"/>
    <w:rsid w:val="00B666E6"/>
    <w:rsid w:val="00B67B49"/>
    <w:rsid w:val="00BA046C"/>
    <w:rsid w:val="00BC12DA"/>
    <w:rsid w:val="00BC7506"/>
    <w:rsid w:val="00BD1C19"/>
    <w:rsid w:val="00BE63B6"/>
    <w:rsid w:val="00BE6AFD"/>
    <w:rsid w:val="00BF213F"/>
    <w:rsid w:val="00BF6FEF"/>
    <w:rsid w:val="00BF7AF1"/>
    <w:rsid w:val="00C235DF"/>
    <w:rsid w:val="00C2736B"/>
    <w:rsid w:val="00C302EB"/>
    <w:rsid w:val="00C30EE3"/>
    <w:rsid w:val="00C43474"/>
    <w:rsid w:val="00CA1C90"/>
    <w:rsid w:val="00CE3919"/>
    <w:rsid w:val="00CF58CE"/>
    <w:rsid w:val="00D106BE"/>
    <w:rsid w:val="00D145EF"/>
    <w:rsid w:val="00D30C95"/>
    <w:rsid w:val="00D4030A"/>
    <w:rsid w:val="00D478AC"/>
    <w:rsid w:val="00D73E24"/>
    <w:rsid w:val="00D826A5"/>
    <w:rsid w:val="00D865AD"/>
    <w:rsid w:val="00D91054"/>
    <w:rsid w:val="00DB0AF3"/>
    <w:rsid w:val="00DB604D"/>
    <w:rsid w:val="00DC1F16"/>
    <w:rsid w:val="00DD4FB6"/>
    <w:rsid w:val="00DD59C8"/>
    <w:rsid w:val="00DF1929"/>
    <w:rsid w:val="00E01A88"/>
    <w:rsid w:val="00E04202"/>
    <w:rsid w:val="00E175E9"/>
    <w:rsid w:val="00E21D07"/>
    <w:rsid w:val="00E241B4"/>
    <w:rsid w:val="00E24DEC"/>
    <w:rsid w:val="00E331FB"/>
    <w:rsid w:val="00E537FD"/>
    <w:rsid w:val="00E6084A"/>
    <w:rsid w:val="00E92228"/>
    <w:rsid w:val="00EC2A04"/>
    <w:rsid w:val="00EE160D"/>
    <w:rsid w:val="00EE6FEC"/>
    <w:rsid w:val="00F31CF9"/>
    <w:rsid w:val="00F476C8"/>
    <w:rsid w:val="00F82D6E"/>
    <w:rsid w:val="00F97856"/>
    <w:rsid w:val="00FB6AE6"/>
    <w:rsid w:val="00FD1128"/>
    <w:rsid w:val="00FE39F4"/>
    <w:rsid w:val="00FF479E"/>
    <w:rsid w:val="010AFE3B"/>
    <w:rsid w:val="012FEAFC"/>
    <w:rsid w:val="0131D820"/>
    <w:rsid w:val="0142F026"/>
    <w:rsid w:val="01616E52"/>
    <w:rsid w:val="01664FA6"/>
    <w:rsid w:val="0168401D"/>
    <w:rsid w:val="01975E9A"/>
    <w:rsid w:val="0199B152"/>
    <w:rsid w:val="019EA872"/>
    <w:rsid w:val="01BED6F3"/>
    <w:rsid w:val="01C683D7"/>
    <w:rsid w:val="01ED439A"/>
    <w:rsid w:val="023A40C5"/>
    <w:rsid w:val="023A55E8"/>
    <w:rsid w:val="0255F54E"/>
    <w:rsid w:val="0260751A"/>
    <w:rsid w:val="02614821"/>
    <w:rsid w:val="02727FCD"/>
    <w:rsid w:val="029FA4B8"/>
    <w:rsid w:val="02A6AE13"/>
    <w:rsid w:val="02AFE810"/>
    <w:rsid w:val="03697D3D"/>
    <w:rsid w:val="0381C6B0"/>
    <w:rsid w:val="039494B1"/>
    <w:rsid w:val="039C964D"/>
    <w:rsid w:val="03AF29B1"/>
    <w:rsid w:val="03B17EF4"/>
    <w:rsid w:val="03B97BB5"/>
    <w:rsid w:val="03C04D6F"/>
    <w:rsid w:val="03CC67A5"/>
    <w:rsid w:val="03D3122A"/>
    <w:rsid w:val="03E35897"/>
    <w:rsid w:val="040A4F66"/>
    <w:rsid w:val="0418079B"/>
    <w:rsid w:val="045C3B75"/>
    <w:rsid w:val="0476FB6B"/>
    <w:rsid w:val="04B4EA95"/>
    <w:rsid w:val="04B95143"/>
    <w:rsid w:val="04C0BD4A"/>
    <w:rsid w:val="04D79D08"/>
    <w:rsid w:val="04FA77A9"/>
    <w:rsid w:val="055C40E4"/>
    <w:rsid w:val="055E27B9"/>
    <w:rsid w:val="056BD495"/>
    <w:rsid w:val="05735010"/>
    <w:rsid w:val="0573943A"/>
    <w:rsid w:val="0576C599"/>
    <w:rsid w:val="0598108A"/>
    <w:rsid w:val="05CE2E09"/>
    <w:rsid w:val="05DFD326"/>
    <w:rsid w:val="0649BF8C"/>
    <w:rsid w:val="066D392F"/>
    <w:rsid w:val="0673FDC5"/>
    <w:rsid w:val="06981AE5"/>
    <w:rsid w:val="06A22BA5"/>
    <w:rsid w:val="06B24EF5"/>
    <w:rsid w:val="06DD1DFE"/>
    <w:rsid w:val="06DD8614"/>
    <w:rsid w:val="06F5ABEB"/>
    <w:rsid w:val="071AFCF7"/>
    <w:rsid w:val="0744071D"/>
    <w:rsid w:val="078C615A"/>
    <w:rsid w:val="07D3CA19"/>
    <w:rsid w:val="08293090"/>
    <w:rsid w:val="082CE558"/>
    <w:rsid w:val="0832DA9B"/>
    <w:rsid w:val="085760F3"/>
    <w:rsid w:val="08A5375B"/>
    <w:rsid w:val="08BE8A1E"/>
    <w:rsid w:val="08C21991"/>
    <w:rsid w:val="08D6E9E1"/>
    <w:rsid w:val="08E524E0"/>
    <w:rsid w:val="09063E0A"/>
    <w:rsid w:val="099B8EEF"/>
    <w:rsid w:val="099CC0F3"/>
    <w:rsid w:val="099F317C"/>
    <w:rsid w:val="09C11752"/>
    <w:rsid w:val="0A0F8E43"/>
    <w:rsid w:val="0A4CF1DA"/>
    <w:rsid w:val="0A637D2C"/>
    <w:rsid w:val="0A7EF783"/>
    <w:rsid w:val="0AA13C70"/>
    <w:rsid w:val="0AAA0CC8"/>
    <w:rsid w:val="0B023A04"/>
    <w:rsid w:val="0B04B22D"/>
    <w:rsid w:val="0B2FE077"/>
    <w:rsid w:val="0B4CECD7"/>
    <w:rsid w:val="0B4E4F18"/>
    <w:rsid w:val="0B77B2C0"/>
    <w:rsid w:val="0B99061C"/>
    <w:rsid w:val="0BA59459"/>
    <w:rsid w:val="0BBA47F6"/>
    <w:rsid w:val="0BCE6BCF"/>
    <w:rsid w:val="0BD13863"/>
    <w:rsid w:val="0C0E5A55"/>
    <w:rsid w:val="0C22A1A2"/>
    <w:rsid w:val="0C5907CE"/>
    <w:rsid w:val="0C705A38"/>
    <w:rsid w:val="0C94CA72"/>
    <w:rsid w:val="0CB19883"/>
    <w:rsid w:val="0CB34323"/>
    <w:rsid w:val="0CB58E5E"/>
    <w:rsid w:val="0CB733EF"/>
    <w:rsid w:val="0CC937EE"/>
    <w:rsid w:val="0CCBE6B3"/>
    <w:rsid w:val="0CCCF27B"/>
    <w:rsid w:val="0CCEB654"/>
    <w:rsid w:val="0CE33301"/>
    <w:rsid w:val="0CF883DD"/>
    <w:rsid w:val="0D070DE1"/>
    <w:rsid w:val="0D0E0B76"/>
    <w:rsid w:val="0D1C4103"/>
    <w:rsid w:val="0D2721C5"/>
    <w:rsid w:val="0DB7DF31"/>
    <w:rsid w:val="0DBBDBAF"/>
    <w:rsid w:val="0DD130F0"/>
    <w:rsid w:val="0DDD6367"/>
    <w:rsid w:val="0E0E9B5A"/>
    <w:rsid w:val="0E21FE5B"/>
    <w:rsid w:val="0E79BBDC"/>
    <w:rsid w:val="0E87E437"/>
    <w:rsid w:val="0EA78BD7"/>
    <w:rsid w:val="0EA83278"/>
    <w:rsid w:val="0EB9C484"/>
    <w:rsid w:val="0ED231D6"/>
    <w:rsid w:val="0EF31EAC"/>
    <w:rsid w:val="0EF823EC"/>
    <w:rsid w:val="0EFB83E7"/>
    <w:rsid w:val="0EFF9442"/>
    <w:rsid w:val="0F03D2D9"/>
    <w:rsid w:val="0F13F8DC"/>
    <w:rsid w:val="0F52D20D"/>
    <w:rsid w:val="0F533EFC"/>
    <w:rsid w:val="0F550659"/>
    <w:rsid w:val="0F66E97C"/>
    <w:rsid w:val="0FE3A92B"/>
    <w:rsid w:val="0FEE94B4"/>
    <w:rsid w:val="0FF0075E"/>
    <w:rsid w:val="10287683"/>
    <w:rsid w:val="103353FA"/>
    <w:rsid w:val="103F80B7"/>
    <w:rsid w:val="104DC226"/>
    <w:rsid w:val="105B9020"/>
    <w:rsid w:val="107F3728"/>
    <w:rsid w:val="109B31F0"/>
    <w:rsid w:val="10BB0475"/>
    <w:rsid w:val="10F57C51"/>
    <w:rsid w:val="11134D0E"/>
    <w:rsid w:val="11159E84"/>
    <w:rsid w:val="1133990D"/>
    <w:rsid w:val="113961F6"/>
    <w:rsid w:val="11549888"/>
    <w:rsid w:val="11560A80"/>
    <w:rsid w:val="116224E6"/>
    <w:rsid w:val="1165CDC1"/>
    <w:rsid w:val="11CD859C"/>
    <w:rsid w:val="12039644"/>
    <w:rsid w:val="1212E2D5"/>
    <w:rsid w:val="1215E536"/>
    <w:rsid w:val="1223AEB4"/>
    <w:rsid w:val="123D047E"/>
    <w:rsid w:val="1259331E"/>
    <w:rsid w:val="1259BC21"/>
    <w:rsid w:val="126CDF5F"/>
    <w:rsid w:val="1271EB3F"/>
    <w:rsid w:val="129F40A5"/>
    <w:rsid w:val="12A49D3C"/>
    <w:rsid w:val="12A67A1A"/>
    <w:rsid w:val="12B99802"/>
    <w:rsid w:val="12DCE7A9"/>
    <w:rsid w:val="12FFEB2E"/>
    <w:rsid w:val="131A2CF9"/>
    <w:rsid w:val="13BA4D56"/>
    <w:rsid w:val="13DC3B0D"/>
    <w:rsid w:val="13EC5244"/>
    <w:rsid w:val="141866C8"/>
    <w:rsid w:val="141FEBB0"/>
    <w:rsid w:val="142B64C2"/>
    <w:rsid w:val="145EB6AF"/>
    <w:rsid w:val="1477AC22"/>
    <w:rsid w:val="1488653C"/>
    <w:rsid w:val="14CBA1C6"/>
    <w:rsid w:val="14DBEDAD"/>
    <w:rsid w:val="14DDEA7A"/>
    <w:rsid w:val="14E4D8B0"/>
    <w:rsid w:val="150308CF"/>
    <w:rsid w:val="1510BF7B"/>
    <w:rsid w:val="15213A44"/>
    <w:rsid w:val="152CF7FF"/>
    <w:rsid w:val="1545701C"/>
    <w:rsid w:val="155C2BE9"/>
    <w:rsid w:val="15716D01"/>
    <w:rsid w:val="15769C60"/>
    <w:rsid w:val="159019CC"/>
    <w:rsid w:val="15A0CC48"/>
    <w:rsid w:val="15D86466"/>
    <w:rsid w:val="15DB33C2"/>
    <w:rsid w:val="15EEA61D"/>
    <w:rsid w:val="160CB3CD"/>
    <w:rsid w:val="1617F812"/>
    <w:rsid w:val="16458F8F"/>
    <w:rsid w:val="1655827B"/>
    <w:rsid w:val="167A8080"/>
    <w:rsid w:val="16C4BD1E"/>
    <w:rsid w:val="16DE4848"/>
    <w:rsid w:val="16EBC7A7"/>
    <w:rsid w:val="1736F98E"/>
    <w:rsid w:val="175D41F7"/>
    <w:rsid w:val="1766AD68"/>
    <w:rsid w:val="176A9583"/>
    <w:rsid w:val="177F6A81"/>
    <w:rsid w:val="17AC4626"/>
    <w:rsid w:val="17ACC63D"/>
    <w:rsid w:val="17AF3164"/>
    <w:rsid w:val="17F7BCA7"/>
    <w:rsid w:val="181599B3"/>
    <w:rsid w:val="1853E735"/>
    <w:rsid w:val="18659E5D"/>
    <w:rsid w:val="18A14D40"/>
    <w:rsid w:val="18CFC152"/>
    <w:rsid w:val="18D5B4F8"/>
    <w:rsid w:val="18F92B14"/>
    <w:rsid w:val="19095698"/>
    <w:rsid w:val="1928205D"/>
    <w:rsid w:val="192EA558"/>
    <w:rsid w:val="1939C07A"/>
    <w:rsid w:val="195768D5"/>
    <w:rsid w:val="19A36F07"/>
    <w:rsid w:val="19A7F42E"/>
    <w:rsid w:val="19D99EA7"/>
    <w:rsid w:val="19DAE0BA"/>
    <w:rsid w:val="1A520226"/>
    <w:rsid w:val="1A6C873D"/>
    <w:rsid w:val="1A72C25A"/>
    <w:rsid w:val="1A93C5EA"/>
    <w:rsid w:val="1A9CECE2"/>
    <w:rsid w:val="1ACE29EE"/>
    <w:rsid w:val="1AED8CDE"/>
    <w:rsid w:val="1B302062"/>
    <w:rsid w:val="1B33A7EC"/>
    <w:rsid w:val="1B8A3251"/>
    <w:rsid w:val="1BAD314F"/>
    <w:rsid w:val="1BD2EC72"/>
    <w:rsid w:val="1BD7CB64"/>
    <w:rsid w:val="1BE392F9"/>
    <w:rsid w:val="1BED70BF"/>
    <w:rsid w:val="1C1B620E"/>
    <w:rsid w:val="1C5FA921"/>
    <w:rsid w:val="1C63B6CD"/>
    <w:rsid w:val="1C817AE3"/>
    <w:rsid w:val="1CB4AB4A"/>
    <w:rsid w:val="1CC5E2AE"/>
    <w:rsid w:val="1CC6D8B6"/>
    <w:rsid w:val="1CD1B28D"/>
    <w:rsid w:val="1CD4E095"/>
    <w:rsid w:val="1CD7FA06"/>
    <w:rsid w:val="1CDCBE80"/>
    <w:rsid w:val="1D0BA0F8"/>
    <w:rsid w:val="1D112535"/>
    <w:rsid w:val="1D28B2C2"/>
    <w:rsid w:val="1D312633"/>
    <w:rsid w:val="1D465153"/>
    <w:rsid w:val="1D4F09B8"/>
    <w:rsid w:val="1D5C1E93"/>
    <w:rsid w:val="1D662934"/>
    <w:rsid w:val="1D6FCCC8"/>
    <w:rsid w:val="1D91D8B5"/>
    <w:rsid w:val="1D9AA435"/>
    <w:rsid w:val="1DB60E90"/>
    <w:rsid w:val="1DC74893"/>
    <w:rsid w:val="1DECB258"/>
    <w:rsid w:val="1DFFAB85"/>
    <w:rsid w:val="1E015FCE"/>
    <w:rsid w:val="1E03CA6A"/>
    <w:rsid w:val="1E1C50EF"/>
    <w:rsid w:val="1E1C83FB"/>
    <w:rsid w:val="1E368246"/>
    <w:rsid w:val="1E3A5120"/>
    <w:rsid w:val="1EA10EE9"/>
    <w:rsid w:val="1EDD4C9D"/>
    <w:rsid w:val="1F6EC7E2"/>
    <w:rsid w:val="1FFB40F7"/>
    <w:rsid w:val="2059146F"/>
    <w:rsid w:val="20643D2C"/>
    <w:rsid w:val="20927E3E"/>
    <w:rsid w:val="20A41CCB"/>
    <w:rsid w:val="20F1C0EC"/>
    <w:rsid w:val="21067ECD"/>
    <w:rsid w:val="2119D2EB"/>
    <w:rsid w:val="21287354"/>
    <w:rsid w:val="21447B51"/>
    <w:rsid w:val="21519B11"/>
    <w:rsid w:val="2151CE64"/>
    <w:rsid w:val="215DBB43"/>
    <w:rsid w:val="21683A0A"/>
    <w:rsid w:val="2175F4F9"/>
    <w:rsid w:val="21EE8165"/>
    <w:rsid w:val="22144B82"/>
    <w:rsid w:val="2241C2CC"/>
    <w:rsid w:val="2282EC81"/>
    <w:rsid w:val="22943897"/>
    <w:rsid w:val="22A5D944"/>
    <w:rsid w:val="22C7F763"/>
    <w:rsid w:val="22D246CE"/>
    <w:rsid w:val="22EDC516"/>
    <w:rsid w:val="2301A6F9"/>
    <w:rsid w:val="23275077"/>
    <w:rsid w:val="2334C1BB"/>
    <w:rsid w:val="233BA0AB"/>
    <w:rsid w:val="233C21EB"/>
    <w:rsid w:val="23482D49"/>
    <w:rsid w:val="234C37AE"/>
    <w:rsid w:val="2357DC9D"/>
    <w:rsid w:val="236E4316"/>
    <w:rsid w:val="236EA2B9"/>
    <w:rsid w:val="2374F8C8"/>
    <w:rsid w:val="23EE1DAA"/>
    <w:rsid w:val="240B38F4"/>
    <w:rsid w:val="2411501F"/>
    <w:rsid w:val="242051FD"/>
    <w:rsid w:val="242C5C15"/>
    <w:rsid w:val="2439E150"/>
    <w:rsid w:val="2446E35A"/>
    <w:rsid w:val="246C1D2A"/>
    <w:rsid w:val="24804B51"/>
    <w:rsid w:val="24ACA3CC"/>
    <w:rsid w:val="24B98E80"/>
    <w:rsid w:val="2510B5C5"/>
    <w:rsid w:val="25A92DC7"/>
    <w:rsid w:val="25C228DC"/>
    <w:rsid w:val="25C6D9FC"/>
    <w:rsid w:val="25D5076F"/>
    <w:rsid w:val="25F98DB9"/>
    <w:rsid w:val="25FF8335"/>
    <w:rsid w:val="262B6808"/>
    <w:rsid w:val="26579FF5"/>
    <w:rsid w:val="267DA53E"/>
    <w:rsid w:val="2708F5A7"/>
    <w:rsid w:val="271975FE"/>
    <w:rsid w:val="272D41D1"/>
    <w:rsid w:val="273327D8"/>
    <w:rsid w:val="27417498"/>
    <w:rsid w:val="2764D7DD"/>
    <w:rsid w:val="27714F51"/>
    <w:rsid w:val="27722AEF"/>
    <w:rsid w:val="277322DB"/>
    <w:rsid w:val="27CC317B"/>
    <w:rsid w:val="27CC44C1"/>
    <w:rsid w:val="27D0AF07"/>
    <w:rsid w:val="27D7BF05"/>
    <w:rsid w:val="27E1E576"/>
    <w:rsid w:val="27F8A155"/>
    <w:rsid w:val="280ECD9B"/>
    <w:rsid w:val="28825E5D"/>
    <w:rsid w:val="28833AD4"/>
    <w:rsid w:val="2888D2FC"/>
    <w:rsid w:val="28A31457"/>
    <w:rsid w:val="28F6FB1E"/>
    <w:rsid w:val="28FB4AF5"/>
    <w:rsid w:val="29297D96"/>
    <w:rsid w:val="292A4326"/>
    <w:rsid w:val="29642195"/>
    <w:rsid w:val="2965E328"/>
    <w:rsid w:val="29C18684"/>
    <w:rsid w:val="29E6C0FE"/>
    <w:rsid w:val="29FB4366"/>
    <w:rsid w:val="2A0103E0"/>
    <w:rsid w:val="2A0A4515"/>
    <w:rsid w:val="2A433C7B"/>
    <w:rsid w:val="2A4B4C1D"/>
    <w:rsid w:val="2A5A3664"/>
    <w:rsid w:val="2A5D256D"/>
    <w:rsid w:val="2A653034"/>
    <w:rsid w:val="2A93C2BD"/>
    <w:rsid w:val="2A947C22"/>
    <w:rsid w:val="2ABC8CA0"/>
    <w:rsid w:val="2AC45590"/>
    <w:rsid w:val="2ADE36E3"/>
    <w:rsid w:val="2AE9CEAA"/>
    <w:rsid w:val="2B706C42"/>
    <w:rsid w:val="2B84A3CE"/>
    <w:rsid w:val="2BC77977"/>
    <w:rsid w:val="2C03836F"/>
    <w:rsid w:val="2C0891F3"/>
    <w:rsid w:val="2C15A57C"/>
    <w:rsid w:val="2C35D6DD"/>
    <w:rsid w:val="2C929401"/>
    <w:rsid w:val="2C983A2F"/>
    <w:rsid w:val="2CA13D0F"/>
    <w:rsid w:val="2CBD7EE1"/>
    <w:rsid w:val="2CD47A2A"/>
    <w:rsid w:val="2CEF5E04"/>
    <w:rsid w:val="2D3E8EC3"/>
    <w:rsid w:val="2D652823"/>
    <w:rsid w:val="2D832CEF"/>
    <w:rsid w:val="2DD7D886"/>
    <w:rsid w:val="2DE07C31"/>
    <w:rsid w:val="2E016131"/>
    <w:rsid w:val="2E1DC630"/>
    <w:rsid w:val="2E2BF0E3"/>
    <w:rsid w:val="2E3724D7"/>
    <w:rsid w:val="2E3E3E50"/>
    <w:rsid w:val="2E552504"/>
    <w:rsid w:val="2E60F4A3"/>
    <w:rsid w:val="2E7630EB"/>
    <w:rsid w:val="2E95EC61"/>
    <w:rsid w:val="2EBD86A0"/>
    <w:rsid w:val="2EF75030"/>
    <w:rsid w:val="2F0C4748"/>
    <w:rsid w:val="2F4F16A2"/>
    <w:rsid w:val="2F68C8F5"/>
    <w:rsid w:val="2F6DAAEB"/>
    <w:rsid w:val="2F8B9676"/>
    <w:rsid w:val="2FA2FC44"/>
    <w:rsid w:val="2FE2D3F0"/>
    <w:rsid w:val="3014B344"/>
    <w:rsid w:val="304873FE"/>
    <w:rsid w:val="3052F9E7"/>
    <w:rsid w:val="30731CA1"/>
    <w:rsid w:val="307EF3C6"/>
    <w:rsid w:val="30BAD335"/>
    <w:rsid w:val="30E3400B"/>
    <w:rsid w:val="30EAD25C"/>
    <w:rsid w:val="30FE8C4A"/>
    <w:rsid w:val="310571C5"/>
    <w:rsid w:val="319E1399"/>
    <w:rsid w:val="31B318E1"/>
    <w:rsid w:val="31CD30CD"/>
    <w:rsid w:val="31CE9624"/>
    <w:rsid w:val="31DD14F1"/>
    <w:rsid w:val="32252469"/>
    <w:rsid w:val="32452634"/>
    <w:rsid w:val="32457F0B"/>
    <w:rsid w:val="32A9A236"/>
    <w:rsid w:val="32A9F072"/>
    <w:rsid w:val="32CF6E52"/>
    <w:rsid w:val="32EDF656"/>
    <w:rsid w:val="32FD96FD"/>
    <w:rsid w:val="330B9B86"/>
    <w:rsid w:val="330E6440"/>
    <w:rsid w:val="3325C52C"/>
    <w:rsid w:val="332E650A"/>
    <w:rsid w:val="338FB73B"/>
    <w:rsid w:val="33999E28"/>
    <w:rsid w:val="339B7E98"/>
    <w:rsid w:val="33A76D70"/>
    <w:rsid w:val="33D25FFE"/>
    <w:rsid w:val="340FB4A9"/>
    <w:rsid w:val="341E7171"/>
    <w:rsid w:val="343F5282"/>
    <w:rsid w:val="344D2214"/>
    <w:rsid w:val="34826C1D"/>
    <w:rsid w:val="34C5C3B5"/>
    <w:rsid w:val="34D14537"/>
    <w:rsid w:val="34D26A9D"/>
    <w:rsid w:val="34D30B64"/>
    <w:rsid w:val="34DFC47F"/>
    <w:rsid w:val="3512CAE0"/>
    <w:rsid w:val="351EF6B7"/>
    <w:rsid w:val="356C9C27"/>
    <w:rsid w:val="358715CC"/>
    <w:rsid w:val="35DE66FD"/>
    <w:rsid w:val="35E47DBD"/>
    <w:rsid w:val="35EB9266"/>
    <w:rsid w:val="362792B2"/>
    <w:rsid w:val="36334063"/>
    <w:rsid w:val="363D4718"/>
    <w:rsid w:val="367E5F91"/>
    <w:rsid w:val="3693FFF3"/>
    <w:rsid w:val="36961BE2"/>
    <w:rsid w:val="36A11230"/>
    <w:rsid w:val="36AF0D56"/>
    <w:rsid w:val="36B36CC3"/>
    <w:rsid w:val="370694C9"/>
    <w:rsid w:val="3709284B"/>
    <w:rsid w:val="3739EA48"/>
    <w:rsid w:val="37749846"/>
    <w:rsid w:val="3784A8E5"/>
    <w:rsid w:val="37885DDF"/>
    <w:rsid w:val="378C223C"/>
    <w:rsid w:val="37AC1014"/>
    <w:rsid w:val="37B901CE"/>
    <w:rsid w:val="37ED5670"/>
    <w:rsid w:val="37F540AE"/>
    <w:rsid w:val="37F61A51"/>
    <w:rsid w:val="38A36EB9"/>
    <w:rsid w:val="3926F3C2"/>
    <w:rsid w:val="393602CC"/>
    <w:rsid w:val="3959AD1F"/>
    <w:rsid w:val="39737AD2"/>
    <w:rsid w:val="397DF277"/>
    <w:rsid w:val="39E81EBF"/>
    <w:rsid w:val="39FBC361"/>
    <w:rsid w:val="3A5D6D07"/>
    <w:rsid w:val="3A960D62"/>
    <w:rsid w:val="3AAB5A7C"/>
    <w:rsid w:val="3AB29654"/>
    <w:rsid w:val="3ADBC713"/>
    <w:rsid w:val="3AE05C6B"/>
    <w:rsid w:val="3B07C698"/>
    <w:rsid w:val="3B4E7FF5"/>
    <w:rsid w:val="3B4EFCF9"/>
    <w:rsid w:val="3B6F30A4"/>
    <w:rsid w:val="3B8CB0DF"/>
    <w:rsid w:val="3B8EAF27"/>
    <w:rsid w:val="3BAC08E9"/>
    <w:rsid w:val="3BCFEFFF"/>
    <w:rsid w:val="3BF8C42D"/>
    <w:rsid w:val="3BFB289D"/>
    <w:rsid w:val="3C41C695"/>
    <w:rsid w:val="3C6A4963"/>
    <w:rsid w:val="3C6F52DA"/>
    <w:rsid w:val="3C7E1DC0"/>
    <w:rsid w:val="3C9589D2"/>
    <w:rsid w:val="3CA4EDD4"/>
    <w:rsid w:val="3CAC4888"/>
    <w:rsid w:val="3CCADC81"/>
    <w:rsid w:val="3D0519E5"/>
    <w:rsid w:val="3D145C80"/>
    <w:rsid w:val="3D1FF537"/>
    <w:rsid w:val="3D7C4684"/>
    <w:rsid w:val="3D7E99FF"/>
    <w:rsid w:val="3D7FED4B"/>
    <w:rsid w:val="3DAB4EDD"/>
    <w:rsid w:val="3DBA4A87"/>
    <w:rsid w:val="3DC50753"/>
    <w:rsid w:val="3DCC1688"/>
    <w:rsid w:val="3E2444DE"/>
    <w:rsid w:val="3EAB7189"/>
    <w:rsid w:val="3EB22C4E"/>
    <w:rsid w:val="3EB49052"/>
    <w:rsid w:val="3EC8013E"/>
    <w:rsid w:val="3ECE6D99"/>
    <w:rsid w:val="3F0A3204"/>
    <w:rsid w:val="3F18C367"/>
    <w:rsid w:val="3F3E1F88"/>
    <w:rsid w:val="3F48F754"/>
    <w:rsid w:val="3F61A11A"/>
    <w:rsid w:val="3F7F6B57"/>
    <w:rsid w:val="3FC934C6"/>
    <w:rsid w:val="3FD44A14"/>
    <w:rsid w:val="3FD4E0A2"/>
    <w:rsid w:val="3FFABB89"/>
    <w:rsid w:val="3FFFD69D"/>
    <w:rsid w:val="401D122E"/>
    <w:rsid w:val="40828D77"/>
    <w:rsid w:val="4083C026"/>
    <w:rsid w:val="40A17609"/>
    <w:rsid w:val="40F282B3"/>
    <w:rsid w:val="40F45D12"/>
    <w:rsid w:val="41185D6B"/>
    <w:rsid w:val="414652A2"/>
    <w:rsid w:val="4190F6DD"/>
    <w:rsid w:val="419D7F99"/>
    <w:rsid w:val="41F76464"/>
    <w:rsid w:val="41FB0DCC"/>
    <w:rsid w:val="4277BB08"/>
    <w:rsid w:val="4296D9E5"/>
    <w:rsid w:val="42A8429A"/>
    <w:rsid w:val="42D8BCB4"/>
    <w:rsid w:val="42D94D98"/>
    <w:rsid w:val="42F6AB17"/>
    <w:rsid w:val="42FAB832"/>
    <w:rsid w:val="430DD095"/>
    <w:rsid w:val="4314D119"/>
    <w:rsid w:val="4327EBBC"/>
    <w:rsid w:val="43D460E9"/>
    <w:rsid w:val="44070880"/>
    <w:rsid w:val="442EFE52"/>
    <w:rsid w:val="4463F382"/>
    <w:rsid w:val="447F48F7"/>
    <w:rsid w:val="44A86AC1"/>
    <w:rsid w:val="44BFE72A"/>
    <w:rsid w:val="44F6009D"/>
    <w:rsid w:val="45155B92"/>
    <w:rsid w:val="45264B11"/>
    <w:rsid w:val="4546E67E"/>
    <w:rsid w:val="454F47DF"/>
    <w:rsid w:val="4554AE6C"/>
    <w:rsid w:val="455CBE2E"/>
    <w:rsid w:val="45679286"/>
    <w:rsid w:val="456EF0D5"/>
    <w:rsid w:val="456F18CD"/>
    <w:rsid w:val="45743FDA"/>
    <w:rsid w:val="457B70CE"/>
    <w:rsid w:val="45A8993E"/>
    <w:rsid w:val="45C0C487"/>
    <w:rsid w:val="45DC7774"/>
    <w:rsid w:val="45DF2F2B"/>
    <w:rsid w:val="45F05826"/>
    <w:rsid w:val="45FDA98A"/>
    <w:rsid w:val="46117016"/>
    <w:rsid w:val="46622C3C"/>
    <w:rsid w:val="467D6142"/>
    <w:rsid w:val="468AC00E"/>
    <w:rsid w:val="46965BB7"/>
    <w:rsid w:val="46A0B60C"/>
    <w:rsid w:val="46BB5734"/>
    <w:rsid w:val="46D32E61"/>
    <w:rsid w:val="46D762D0"/>
    <w:rsid w:val="470692D4"/>
    <w:rsid w:val="475BA0D0"/>
    <w:rsid w:val="4765E3E2"/>
    <w:rsid w:val="478B8ECE"/>
    <w:rsid w:val="47AF1003"/>
    <w:rsid w:val="47CA5F64"/>
    <w:rsid w:val="47E7C0FB"/>
    <w:rsid w:val="47E98F6C"/>
    <w:rsid w:val="4811B3E6"/>
    <w:rsid w:val="4812BF3F"/>
    <w:rsid w:val="4819F5E8"/>
    <w:rsid w:val="48240C50"/>
    <w:rsid w:val="48329EDE"/>
    <w:rsid w:val="4834D76D"/>
    <w:rsid w:val="486ED59F"/>
    <w:rsid w:val="48808312"/>
    <w:rsid w:val="489CEF64"/>
    <w:rsid w:val="48B9F0FE"/>
    <w:rsid w:val="48D921F3"/>
    <w:rsid w:val="49185B42"/>
    <w:rsid w:val="4920D6A1"/>
    <w:rsid w:val="4925298E"/>
    <w:rsid w:val="49319E30"/>
    <w:rsid w:val="4935624B"/>
    <w:rsid w:val="493C4FA6"/>
    <w:rsid w:val="494FD0CF"/>
    <w:rsid w:val="49531416"/>
    <w:rsid w:val="498F1AAA"/>
    <w:rsid w:val="49ADCDEE"/>
    <w:rsid w:val="49C1E6E6"/>
    <w:rsid w:val="49F8A684"/>
    <w:rsid w:val="4A0EABA6"/>
    <w:rsid w:val="4A1DBF28"/>
    <w:rsid w:val="4A26034A"/>
    <w:rsid w:val="4A300E6C"/>
    <w:rsid w:val="4A4CC06C"/>
    <w:rsid w:val="4A5DC80E"/>
    <w:rsid w:val="4A68617B"/>
    <w:rsid w:val="4AA7BE65"/>
    <w:rsid w:val="4ABE0BFC"/>
    <w:rsid w:val="4AC50043"/>
    <w:rsid w:val="4AF9E688"/>
    <w:rsid w:val="4AFC3917"/>
    <w:rsid w:val="4B35B4DE"/>
    <w:rsid w:val="4B4A16C6"/>
    <w:rsid w:val="4BA9B5EC"/>
    <w:rsid w:val="4BD81E6D"/>
    <w:rsid w:val="4BDB726B"/>
    <w:rsid w:val="4BF9BEBD"/>
    <w:rsid w:val="4C0AE408"/>
    <w:rsid w:val="4C706B62"/>
    <w:rsid w:val="4CBCE3F8"/>
    <w:rsid w:val="4CC54A63"/>
    <w:rsid w:val="4CC96ECC"/>
    <w:rsid w:val="4CD2B6DE"/>
    <w:rsid w:val="4CD9460B"/>
    <w:rsid w:val="4CFCE182"/>
    <w:rsid w:val="4D09AB0E"/>
    <w:rsid w:val="4D3D300D"/>
    <w:rsid w:val="4D5703B6"/>
    <w:rsid w:val="4D5818F7"/>
    <w:rsid w:val="4DA4DFA6"/>
    <w:rsid w:val="4DEFEFF5"/>
    <w:rsid w:val="4E56B1D4"/>
    <w:rsid w:val="4E68CCD3"/>
    <w:rsid w:val="4ED744FD"/>
    <w:rsid w:val="4F24C4E2"/>
    <w:rsid w:val="4F56C14C"/>
    <w:rsid w:val="4F65A7FD"/>
    <w:rsid w:val="4F86BC6C"/>
    <w:rsid w:val="4FA030DB"/>
    <w:rsid w:val="4FA68963"/>
    <w:rsid w:val="4FC627EC"/>
    <w:rsid w:val="4FE8D15F"/>
    <w:rsid w:val="50137883"/>
    <w:rsid w:val="501417B3"/>
    <w:rsid w:val="5018483F"/>
    <w:rsid w:val="506569F6"/>
    <w:rsid w:val="506A62A7"/>
    <w:rsid w:val="50737EE8"/>
    <w:rsid w:val="507F4D74"/>
    <w:rsid w:val="509C4A81"/>
    <w:rsid w:val="50DBD10F"/>
    <w:rsid w:val="51250961"/>
    <w:rsid w:val="51343D18"/>
    <w:rsid w:val="5170A448"/>
    <w:rsid w:val="517F082B"/>
    <w:rsid w:val="51BBEDF3"/>
    <w:rsid w:val="51E1FE23"/>
    <w:rsid w:val="51F6946F"/>
    <w:rsid w:val="5217F629"/>
    <w:rsid w:val="5223F69A"/>
    <w:rsid w:val="525DCB68"/>
    <w:rsid w:val="526970E4"/>
    <w:rsid w:val="52710198"/>
    <w:rsid w:val="52750ED0"/>
    <w:rsid w:val="52F17205"/>
    <w:rsid w:val="53579E9F"/>
    <w:rsid w:val="535BF6BF"/>
    <w:rsid w:val="538D339F"/>
    <w:rsid w:val="53D19934"/>
    <w:rsid w:val="53D91E83"/>
    <w:rsid w:val="53E070FE"/>
    <w:rsid w:val="53E51E5D"/>
    <w:rsid w:val="53F93EFC"/>
    <w:rsid w:val="5402E778"/>
    <w:rsid w:val="544E193A"/>
    <w:rsid w:val="5466733E"/>
    <w:rsid w:val="548E8947"/>
    <w:rsid w:val="54B64341"/>
    <w:rsid w:val="54DC1783"/>
    <w:rsid w:val="54FE255E"/>
    <w:rsid w:val="54FF27D5"/>
    <w:rsid w:val="551E08DF"/>
    <w:rsid w:val="552BCCBD"/>
    <w:rsid w:val="552C73F2"/>
    <w:rsid w:val="552D575D"/>
    <w:rsid w:val="5537E2FB"/>
    <w:rsid w:val="554A865F"/>
    <w:rsid w:val="5560AA80"/>
    <w:rsid w:val="5574A384"/>
    <w:rsid w:val="558EC191"/>
    <w:rsid w:val="55CFF635"/>
    <w:rsid w:val="55FD3A67"/>
    <w:rsid w:val="561FF5E2"/>
    <w:rsid w:val="5681E0C5"/>
    <w:rsid w:val="569C6A42"/>
    <w:rsid w:val="56B5F952"/>
    <w:rsid w:val="56E6A28F"/>
    <w:rsid w:val="5743D52D"/>
    <w:rsid w:val="574E3FFE"/>
    <w:rsid w:val="577BDC5E"/>
    <w:rsid w:val="577D91A3"/>
    <w:rsid w:val="57B440E1"/>
    <w:rsid w:val="57B47410"/>
    <w:rsid w:val="57B96679"/>
    <w:rsid w:val="57DE1808"/>
    <w:rsid w:val="57E54A30"/>
    <w:rsid w:val="583D393E"/>
    <w:rsid w:val="585D1CCB"/>
    <w:rsid w:val="5879C704"/>
    <w:rsid w:val="589E39F5"/>
    <w:rsid w:val="58A1F945"/>
    <w:rsid w:val="58A776B1"/>
    <w:rsid w:val="58B5A074"/>
    <w:rsid w:val="58C36335"/>
    <w:rsid w:val="58C4F7E6"/>
    <w:rsid w:val="5925F6D9"/>
    <w:rsid w:val="593C9BE2"/>
    <w:rsid w:val="59520138"/>
    <w:rsid w:val="59D0F6C7"/>
    <w:rsid w:val="59E747B4"/>
    <w:rsid w:val="59E9C709"/>
    <w:rsid w:val="5A0DADFE"/>
    <w:rsid w:val="5A102689"/>
    <w:rsid w:val="5A120532"/>
    <w:rsid w:val="5A2E117E"/>
    <w:rsid w:val="5A4F2FA3"/>
    <w:rsid w:val="5A5E9D21"/>
    <w:rsid w:val="5A698A83"/>
    <w:rsid w:val="5A6EBD30"/>
    <w:rsid w:val="5AA18803"/>
    <w:rsid w:val="5AA40FF7"/>
    <w:rsid w:val="5AB135F7"/>
    <w:rsid w:val="5B0DA33C"/>
    <w:rsid w:val="5B14F3FE"/>
    <w:rsid w:val="5B2A0575"/>
    <w:rsid w:val="5B33B1D1"/>
    <w:rsid w:val="5B34F96D"/>
    <w:rsid w:val="5B687FBA"/>
    <w:rsid w:val="5BBE081A"/>
    <w:rsid w:val="5BC5A184"/>
    <w:rsid w:val="5C061758"/>
    <w:rsid w:val="5C0ED0B5"/>
    <w:rsid w:val="5C17A28D"/>
    <w:rsid w:val="5C268A54"/>
    <w:rsid w:val="5C5B59A4"/>
    <w:rsid w:val="5C8D2F22"/>
    <w:rsid w:val="5CA9A8FD"/>
    <w:rsid w:val="5CAB59DB"/>
    <w:rsid w:val="5D1B7692"/>
    <w:rsid w:val="5D423DE7"/>
    <w:rsid w:val="5D85DA9B"/>
    <w:rsid w:val="5D923CB2"/>
    <w:rsid w:val="5D9B1118"/>
    <w:rsid w:val="5DB49720"/>
    <w:rsid w:val="5DE2EFD7"/>
    <w:rsid w:val="5DEF6708"/>
    <w:rsid w:val="5DF00017"/>
    <w:rsid w:val="5E992464"/>
    <w:rsid w:val="5EC1B75D"/>
    <w:rsid w:val="5EC81895"/>
    <w:rsid w:val="5F319F05"/>
    <w:rsid w:val="5F47FF5B"/>
    <w:rsid w:val="5F51C3F4"/>
    <w:rsid w:val="5F94AF4C"/>
    <w:rsid w:val="5FAA4064"/>
    <w:rsid w:val="5FAD0F97"/>
    <w:rsid w:val="5FC3070B"/>
    <w:rsid w:val="5FE963F9"/>
    <w:rsid w:val="60982382"/>
    <w:rsid w:val="60AA4FE9"/>
    <w:rsid w:val="60F0F97D"/>
    <w:rsid w:val="6129A2B5"/>
    <w:rsid w:val="61865AE7"/>
    <w:rsid w:val="6194FABF"/>
    <w:rsid w:val="61A15566"/>
    <w:rsid w:val="61CBA3AD"/>
    <w:rsid w:val="61D7758D"/>
    <w:rsid w:val="61E4217B"/>
    <w:rsid w:val="61FFA187"/>
    <w:rsid w:val="6219E253"/>
    <w:rsid w:val="62463E29"/>
    <w:rsid w:val="625E747D"/>
    <w:rsid w:val="628D4CD5"/>
    <w:rsid w:val="628D75C8"/>
    <w:rsid w:val="62A17425"/>
    <w:rsid w:val="62A46C82"/>
    <w:rsid w:val="62C14887"/>
    <w:rsid w:val="62E799A0"/>
    <w:rsid w:val="62E856B7"/>
    <w:rsid w:val="62FA6CFF"/>
    <w:rsid w:val="6317178E"/>
    <w:rsid w:val="63281BD8"/>
    <w:rsid w:val="6330C699"/>
    <w:rsid w:val="63672B26"/>
    <w:rsid w:val="636F030F"/>
    <w:rsid w:val="636FF4F5"/>
    <w:rsid w:val="63724C03"/>
    <w:rsid w:val="638A1354"/>
    <w:rsid w:val="639165B8"/>
    <w:rsid w:val="63E0A989"/>
    <w:rsid w:val="63EAA838"/>
    <w:rsid w:val="63EFF9F8"/>
    <w:rsid w:val="641A3D10"/>
    <w:rsid w:val="64247674"/>
    <w:rsid w:val="6441B21E"/>
    <w:rsid w:val="6445CE2F"/>
    <w:rsid w:val="645ADD8D"/>
    <w:rsid w:val="64C79CB1"/>
    <w:rsid w:val="65227854"/>
    <w:rsid w:val="6537A034"/>
    <w:rsid w:val="658D89CF"/>
    <w:rsid w:val="658F09CF"/>
    <w:rsid w:val="65A95D36"/>
    <w:rsid w:val="65C21FBC"/>
    <w:rsid w:val="65C77563"/>
    <w:rsid w:val="6628EBB5"/>
    <w:rsid w:val="662B3EB7"/>
    <w:rsid w:val="6666099B"/>
    <w:rsid w:val="666673C7"/>
    <w:rsid w:val="66759A3A"/>
    <w:rsid w:val="667D4A1F"/>
    <w:rsid w:val="6689149B"/>
    <w:rsid w:val="668B6168"/>
    <w:rsid w:val="66AB3CD0"/>
    <w:rsid w:val="66D6C408"/>
    <w:rsid w:val="6704B7B6"/>
    <w:rsid w:val="670A663C"/>
    <w:rsid w:val="679CA3FB"/>
    <w:rsid w:val="67D57DEE"/>
    <w:rsid w:val="67EDAA4B"/>
    <w:rsid w:val="680CF8C1"/>
    <w:rsid w:val="68639444"/>
    <w:rsid w:val="68643148"/>
    <w:rsid w:val="6876AEA2"/>
    <w:rsid w:val="68A4C8B2"/>
    <w:rsid w:val="68C166DE"/>
    <w:rsid w:val="68CFF172"/>
    <w:rsid w:val="68D587B3"/>
    <w:rsid w:val="6957AE8E"/>
    <w:rsid w:val="697F87B7"/>
    <w:rsid w:val="699A5BF2"/>
    <w:rsid w:val="699D8FD3"/>
    <w:rsid w:val="69A2C856"/>
    <w:rsid w:val="69BC4B7E"/>
    <w:rsid w:val="69C24D0A"/>
    <w:rsid w:val="6A0CAA6D"/>
    <w:rsid w:val="6A18996C"/>
    <w:rsid w:val="6A74A678"/>
    <w:rsid w:val="6AF99687"/>
    <w:rsid w:val="6AFE0EAC"/>
    <w:rsid w:val="6AFECB06"/>
    <w:rsid w:val="6B6CB549"/>
    <w:rsid w:val="6B70E16C"/>
    <w:rsid w:val="6B74A156"/>
    <w:rsid w:val="6B8FA449"/>
    <w:rsid w:val="6BAE487F"/>
    <w:rsid w:val="6BBAA946"/>
    <w:rsid w:val="6BC0786F"/>
    <w:rsid w:val="6BD299F0"/>
    <w:rsid w:val="6BD2A54B"/>
    <w:rsid w:val="6BD2E8AD"/>
    <w:rsid w:val="6C49F6DF"/>
    <w:rsid w:val="6C7C54B2"/>
    <w:rsid w:val="6CA56B03"/>
    <w:rsid w:val="6CADEEA7"/>
    <w:rsid w:val="6CC28F97"/>
    <w:rsid w:val="6CDBD728"/>
    <w:rsid w:val="6CF47A56"/>
    <w:rsid w:val="6D0CF2E1"/>
    <w:rsid w:val="6D103AEE"/>
    <w:rsid w:val="6D4125AB"/>
    <w:rsid w:val="6D44C00C"/>
    <w:rsid w:val="6D6E1506"/>
    <w:rsid w:val="6D81CEB5"/>
    <w:rsid w:val="6D9FFA42"/>
    <w:rsid w:val="6DC4647D"/>
    <w:rsid w:val="6DC827DC"/>
    <w:rsid w:val="6DDE0FA6"/>
    <w:rsid w:val="6DEF94D5"/>
    <w:rsid w:val="6DEFFC60"/>
    <w:rsid w:val="6DF85E27"/>
    <w:rsid w:val="6E3DAF71"/>
    <w:rsid w:val="6E70D407"/>
    <w:rsid w:val="6E7C6D02"/>
    <w:rsid w:val="6E842AAB"/>
    <w:rsid w:val="6E8C6E7E"/>
    <w:rsid w:val="6E94E870"/>
    <w:rsid w:val="6E9A1A1D"/>
    <w:rsid w:val="6E9BBB8F"/>
    <w:rsid w:val="6E9D39BA"/>
    <w:rsid w:val="6EBF79A8"/>
    <w:rsid w:val="6EFA6EF2"/>
    <w:rsid w:val="6F137254"/>
    <w:rsid w:val="6F1388AD"/>
    <w:rsid w:val="6F2436F2"/>
    <w:rsid w:val="6F2CA413"/>
    <w:rsid w:val="6F43E4BE"/>
    <w:rsid w:val="6F60DD36"/>
    <w:rsid w:val="6F66949B"/>
    <w:rsid w:val="6F847529"/>
    <w:rsid w:val="6F95DE98"/>
    <w:rsid w:val="6F9F2ED5"/>
    <w:rsid w:val="6FA15DFF"/>
    <w:rsid w:val="6FB6A2C0"/>
    <w:rsid w:val="6FBABA50"/>
    <w:rsid w:val="6FCE71C8"/>
    <w:rsid w:val="701B892C"/>
    <w:rsid w:val="703FCC96"/>
    <w:rsid w:val="705D93F7"/>
    <w:rsid w:val="705F61E2"/>
    <w:rsid w:val="70713132"/>
    <w:rsid w:val="707DC1BC"/>
    <w:rsid w:val="70A6A6EC"/>
    <w:rsid w:val="70F6711D"/>
    <w:rsid w:val="712466CC"/>
    <w:rsid w:val="712E5713"/>
    <w:rsid w:val="7130C706"/>
    <w:rsid w:val="713A8B52"/>
    <w:rsid w:val="7157AC24"/>
    <w:rsid w:val="71719E7F"/>
    <w:rsid w:val="71A6049A"/>
    <w:rsid w:val="71CDB27F"/>
    <w:rsid w:val="7205155B"/>
    <w:rsid w:val="723883C0"/>
    <w:rsid w:val="7261106F"/>
    <w:rsid w:val="72620288"/>
    <w:rsid w:val="72C72BFD"/>
    <w:rsid w:val="72D2C4BA"/>
    <w:rsid w:val="7311E866"/>
    <w:rsid w:val="7313A59A"/>
    <w:rsid w:val="733E34F9"/>
    <w:rsid w:val="7377BDF5"/>
    <w:rsid w:val="737CBF41"/>
    <w:rsid w:val="739B0611"/>
    <w:rsid w:val="739E862C"/>
    <w:rsid w:val="73D56623"/>
    <w:rsid w:val="74011DF9"/>
    <w:rsid w:val="7438D2AA"/>
    <w:rsid w:val="7448D94C"/>
    <w:rsid w:val="744F70FE"/>
    <w:rsid w:val="744FBDE3"/>
    <w:rsid w:val="74A8229E"/>
    <w:rsid w:val="74AA3379"/>
    <w:rsid w:val="74C7D5FE"/>
    <w:rsid w:val="74DE6B1D"/>
    <w:rsid w:val="74FC8C99"/>
    <w:rsid w:val="753B3CAD"/>
    <w:rsid w:val="758B1739"/>
    <w:rsid w:val="75B9402F"/>
    <w:rsid w:val="75C1EB71"/>
    <w:rsid w:val="75D0F513"/>
    <w:rsid w:val="75E56CED"/>
    <w:rsid w:val="76206541"/>
    <w:rsid w:val="7624F69D"/>
    <w:rsid w:val="763C6AC6"/>
    <w:rsid w:val="76530D1E"/>
    <w:rsid w:val="767AFE16"/>
    <w:rsid w:val="768B228B"/>
    <w:rsid w:val="76ACBE6A"/>
    <w:rsid w:val="76C0FBBF"/>
    <w:rsid w:val="76D26E27"/>
    <w:rsid w:val="76F2A710"/>
    <w:rsid w:val="76F50D3E"/>
    <w:rsid w:val="76FD89C2"/>
    <w:rsid w:val="7705B2F7"/>
    <w:rsid w:val="77195A45"/>
    <w:rsid w:val="778B959E"/>
    <w:rsid w:val="77A347B5"/>
    <w:rsid w:val="77A7E504"/>
    <w:rsid w:val="77B724EF"/>
    <w:rsid w:val="78149DE1"/>
    <w:rsid w:val="7820DD20"/>
    <w:rsid w:val="78217307"/>
    <w:rsid w:val="78399488"/>
    <w:rsid w:val="7850A35E"/>
    <w:rsid w:val="78575680"/>
    <w:rsid w:val="785E0515"/>
    <w:rsid w:val="7878A665"/>
    <w:rsid w:val="78897AAE"/>
    <w:rsid w:val="788EE034"/>
    <w:rsid w:val="789B96BD"/>
    <w:rsid w:val="78B1060C"/>
    <w:rsid w:val="78B9FD7F"/>
    <w:rsid w:val="78F2D4D0"/>
    <w:rsid w:val="78F48296"/>
    <w:rsid w:val="78F92F5B"/>
    <w:rsid w:val="79048CFF"/>
    <w:rsid w:val="79063899"/>
    <w:rsid w:val="79065D34"/>
    <w:rsid w:val="793CA77D"/>
    <w:rsid w:val="79401C9E"/>
    <w:rsid w:val="79497119"/>
    <w:rsid w:val="7956F67C"/>
    <w:rsid w:val="79580791"/>
    <w:rsid w:val="796C854C"/>
    <w:rsid w:val="7A037296"/>
    <w:rsid w:val="7A08B24B"/>
    <w:rsid w:val="7A097CB7"/>
    <w:rsid w:val="7A0FB89D"/>
    <w:rsid w:val="7A4170BB"/>
    <w:rsid w:val="7A482095"/>
    <w:rsid w:val="7A589FC2"/>
    <w:rsid w:val="7A9CD652"/>
    <w:rsid w:val="7A9FD00A"/>
    <w:rsid w:val="7AA05053"/>
    <w:rsid w:val="7ABFBC17"/>
    <w:rsid w:val="7AC597C2"/>
    <w:rsid w:val="7B151D0E"/>
    <w:rsid w:val="7B52A673"/>
    <w:rsid w:val="7B5FE1F7"/>
    <w:rsid w:val="7B656A4F"/>
    <w:rsid w:val="7B7A7EE0"/>
    <w:rsid w:val="7BAFC811"/>
    <w:rsid w:val="7BDAB4A9"/>
    <w:rsid w:val="7C071964"/>
    <w:rsid w:val="7C3654D3"/>
    <w:rsid w:val="7C74AB90"/>
    <w:rsid w:val="7C9FF1EA"/>
    <w:rsid w:val="7CAE3F16"/>
    <w:rsid w:val="7CD4B43A"/>
    <w:rsid w:val="7D11583D"/>
    <w:rsid w:val="7D2329F2"/>
    <w:rsid w:val="7D4C10EA"/>
    <w:rsid w:val="7D9592F8"/>
    <w:rsid w:val="7D99CD7B"/>
    <w:rsid w:val="7DB679E0"/>
    <w:rsid w:val="7DC0649B"/>
    <w:rsid w:val="7DE1688D"/>
    <w:rsid w:val="7E05B0E1"/>
    <w:rsid w:val="7E13CE6F"/>
    <w:rsid w:val="7E342CAA"/>
    <w:rsid w:val="7E38BE64"/>
    <w:rsid w:val="7E4E540B"/>
    <w:rsid w:val="7E57C8BC"/>
    <w:rsid w:val="7E586C8E"/>
    <w:rsid w:val="7E6E0210"/>
    <w:rsid w:val="7E7F3025"/>
    <w:rsid w:val="7E825DE6"/>
    <w:rsid w:val="7E886A8C"/>
    <w:rsid w:val="7EA44C91"/>
    <w:rsid w:val="7EB4965B"/>
    <w:rsid w:val="7F158DF1"/>
    <w:rsid w:val="7F2066A0"/>
    <w:rsid w:val="7F59BA8F"/>
    <w:rsid w:val="7F931427"/>
    <w:rsid w:val="7FA0FE0A"/>
    <w:rsid w:val="7FA3A4D8"/>
    <w:rsid w:val="7FCD05C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37883"/>
  <w15:chartTrackingRefBased/>
  <w15:docId w15:val="{4C2040A7-2F57-49B5-9939-FC729AC71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259BC21"/>
    <w:pPr>
      <w:ind w:left="720"/>
      <w:contextualSpacing/>
    </w:p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BC12DA"/>
    <w:rPr>
      <w:b/>
      <w:bCs/>
    </w:rPr>
  </w:style>
  <w:style w:type="character" w:customStyle="1" w:styleId="CommentSubjectChar">
    <w:name w:val="Comment Subject Char"/>
    <w:basedOn w:val="CommentTextChar"/>
    <w:link w:val="CommentSubject"/>
    <w:uiPriority w:val="99"/>
    <w:semiHidden/>
    <w:rsid w:val="00BC12DA"/>
    <w:rPr>
      <w:b/>
      <w:bCs/>
      <w:sz w:val="20"/>
      <w:szCs w:val="20"/>
    </w:rPr>
  </w:style>
  <w:style w:type="character" w:styleId="Hyperlink">
    <w:name w:val="Hyperlink"/>
    <w:basedOn w:val="DefaultParagraphFont"/>
    <w:uiPriority w:val="99"/>
    <w:unhideWhenUsed/>
    <w:rsid w:val="004E2719"/>
    <w:rPr>
      <w:color w:val="467886" w:themeColor="hyperlink"/>
      <w:u w:val="single"/>
    </w:rPr>
  </w:style>
  <w:style w:type="character" w:styleId="UnresolvedMention">
    <w:name w:val="Unresolved Mention"/>
    <w:basedOn w:val="DefaultParagraphFont"/>
    <w:uiPriority w:val="99"/>
    <w:semiHidden/>
    <w:unhideWhenUsed/>
    <w:rsid w:val="004E2719"/>
    <w:rPr>
      <w:color w:val="605E5C"/>
      <w:shd w:val="clear" w:color="auto" w:fill="E1DFDD"/>
    </w:rPr>
  </w:style>
  <w:style w:type="paragraph" w:styleId="NormalWeb">
    <w:name w:val="Normal (Web)"/>
    <w:basedOn w:val="Normal"/>
    <w:uiPriority w:val="99"/>
    <w:unhideWhenUsed/>
    <w:rsid w:val="0065723F"/>
    <w:pPr>
      <w:spacing w:before="100" w:beforeAutospacing="1" w:after="100" w:afterAutospacing="1" w:line="240" w:lineRule="auto"/>
    </w:pPr>
    <w:rPr>
      <w:rFonts w:ascii="Times New Roman" w:eastAsia="Times New Roman" w:hAnsi="Times New Roman" w:cs="Times New Roman"/>
      <w:lang w:eastAsia="en-GB"/>
    </w:rPr>
  </w:style>
  <w:style w:type="character" w:styleId="Emphasis">
    <w:name w:val="Emphasis"/>
    <w:basedOn w:val="DefaultParagraphFont"/>
    <w:uiPriority w:val="20"/>
    <w:qFormat/>
    <w:rsid w:val="0065723F"/>
    <w:rPr>
      <w:i/>
      <w:iCs/>
    </w:rPr>
  </w:style>
  <w:style w:type="table" w:styleId="TableGrid">
    <w:name w:val="Table Grid"/>
    <w:basedOn w:val="TableNormal"/>
    <w:uiPriority w:val="39"/>
    <w:rsid w:val="00EE6FEC"/>
    <w:pPr>
      <w:spacing w:after="0" w:line="240" w:lineRule="auto"/>
    </w:pPr>
    <w:rPr>
      <w:rFonts w:eastAsiaTheme="minorHAns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B6A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6AE6"/>
  </w:style>
  <w:style w:type="paragraph" w:styleId="Footer">
    <w:name w:val="footer"/>
    <w:basedOn w:val="Normal"/>
    <w:link w:val="FooterChar"/>
    <w:uiPriority w:val="99"/>
    <w:unhideWhenUsed/>
    <w:rsid w:val="00FB6A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6A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hyperlink" Target="https://www.simplypsychology.org/reflexivity-in-qualitative-research.html"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007/s40806-016-0065-5" TargetMode="Externa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doi.org/10.1093/heapro/dai032" TargetMode="External"/><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doi.org/10.1073/pnas.1510459112" TargetMode="External"/><Relationship Id="rId20" Type="http://schemas.openxmlformats.org/officeDocument/2006/relationships/hyperlink" Target="https://doi.org/10.1007/s12199-009-0086-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oi.org/10.3390/ijerph1720725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8/08/relationships/commentsExtensible" Target="commentsExtensible.xml"/><Relationship Id="rId22" Type="http://schemas.openxmlformats.org/officeDocument/2006/relationships/hyperlink" Target="https://www.who.int/news/item/28-05-2019-burn-out-an-occupational-phenomenon-international-classification-of-disea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bb9b3d2a01bb8102385d199c19ba0fa3">
  <xsd:schema xmlns:xsd="http://www.w3.org/2001/XMLSchema" xmlns:xs="http://www.w3.org/2001/XMLSchema" xmlns:p="http://schemas.microsoft.com/office/2006/metadata/properties" xmlns:ns3="7b23fa32-4003-4364-bee1-595462966394" targetNamespace="http://schemas.microsoft.com/office/2006/metadata/properties" ma:root="true" ma:fieldsID="15f96a2d710e48c2c4df51f3fd591684"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_activity" ma:index="15"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717DE0D-35EB-4D32-BCB9-C3801099496B}">
  <ds:schemaRefs>
    <ds:schemaRef ds:uri="http://schemas.openxmlformats.org/officeDocument/2006/bibliography"/>
  </ds:schemaRefs>
</ds:datastoreItem>
</file>

<file path=customXml/itemProps2.xml><?xml version="1.0" encoding="utf-8"?>
<ds:datastoreItem xmlns:ds="http://schemas.openxmlformats.org/officeDocument/2006/customXml" ds:itemID="{2AC1F529-76E6-496E-98AC-9DA5AF8F3B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0EAF4D-2E62-4FFA-B434-92B2A003547A}">
  <ds:schemaRefs>
    <ds:schemaRef ds:uri="http://schemas.microsoft.com/office/2006/metadata/properties"/>
    <ds:schemaRef ds:uri="http://schemas.microsoft.com/office/infopath/2007/PartnerControls"/>
    <ds:schemaRef ds:uri="7b23fa32-4003-4364-bee1-595462966394"/>
  </ds:schemaRefs>
</ds:datastoreItem>
</file>

<file path=customXml/itemProps4.xml><?xml version="1.0" encoding="utf-8"?>
<ds:datastoreItem xmlns:ds="http://schemas.openxmlformats.org/officeDocument/2006/customXml" ds:itemID="{AC9B2E82-0C7F-4AB2-99CA-E0DBA7525F7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71</Pages>
  <Words>19385</Words>
  <Characters>110497</Characters>
  <Application>Microsoft Office Word</Application>
  <DocSecurity>0</DocSecurity>
  <Lines>920</Lines>
  <Paragraphs>259</Paragraphs>
  <ScaleCrop>false</ScaleCrop>
  <Company/>
  <LinksUpToDate>false</LinksUpToDate>
  <CharactersWithSpaces>129623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 Worthy (1921913)</dc:creator>
  <cp:keywords/>
  <dc:description/>
  <cp:lastModifiedBy>Jason Worthy (1921913)</cp:lastModifiedBy>
  <cp:revision>2</cp:revision>
  <dcterms:created xsi:type="dcterms:W3CDTF">2025-09-13T07:42:00Z</dcterms:created>
  <dcterms:modified xsi:type="dcterms:W3CDTF">2025-09-13T07:42:00Z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