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664FD" w14:textId="52FB48C8" w:rsidR="00F25808" w:rsidRDefault="0079621B" w:rsidP="0079621B">
      <w:pPr>
        <w:jc w:val="center"/>
        <w:rPr>
          <w:sz w:val="32"/>
          <w:szCs w:val="32"/>
        </w:rPr>
      </w:pPr>
      <w:r>
        <w:rPr>
          <w:sz w:val="32"/>
          <w:szCs w:val="32"/>
        </w:rPr>
        <w:t xml:space="preserve">Cicero Against </w:t>
      </w:r>
      <w:r w:rsidR="00160005">
        <w:rPr>
          <w:sz w:val="32"/>
          <w:szCs w:val="32"/>
        </w:rPr>
        <w:t>Verres</w:t>
      </w:r>
      <w:r>
        <w:rPr>
          <w:sz w:val="32"/>
          <w:szCs w:val="32"/>
        </w:rPr>
        <w:t>, 2.1.53-86</w:t>
      </w:r>
    </w:p>
    <w:p w14:paraId="1301B019" w14:textId="61767857" w:rsidR="0079621B" w:rsidRDefault="0079621B" w:rsidP="0079621B">
      <w:pPr>
        <w:jc w:val="center"/>
        <w:rPr>
          <w:sz w:val="32"/>
          <w:szCs w:val="32"/>
        </w:rPr>
      </w:pPr>
      <w:r>
        <w:rPr>
          <w:sz w:val="32"/>
          <w:szCs w:val="32"/>
        </w:rPr>
        <w:t>Translation: 2.1.62</w:t>
      </w:r>
    </w:p>
    <w:p w14:paraId="18F39B37" w14:textId="65F0C659" w:rsidR="0079621B" w:rsidRDefault="00AA6F01" w:rsidP="0079621B">
      <w:pPr>
        <w:rPr>
          <w:sz w:val="24"/>
          <w:szCs w:val="24"/>
        </w:rPr>
      </w:pPr>
      <w:r>
        <w:rPr>
          <w:sz w:val="24"/>
          <w:szCs w:val="24"/>
        </w:rPr>
        <w:t>But</w:t>
      </w:r>
      <w:r w:rsidR="0079621B">
        <w:rPr>
          <w:sz w:val="24"/>
          <w:szCs w:val="24"/>
        </w:rPr>
        <w:t xml:space="preserve"> I believe in these matters only was he accustomed to act on his untamed and unbridled lusts: the other desires of his were contained within some means or measure. How many free born persons, how many married mothers</w:t>
      </w:r>
      <w:r>
        <w:rPr>
          <w:sz w:val="24"/>
          <w:szCs w:val="24"/>
        </w:rPr>
        <w:t xml:space="preserve"> do you think this man violated during his disgraceful and foul stint as legate? Has he placed his foot in any town where he has not left more imprints of his adulteries and sexual assaults (foot)prints of his coming? </w:t>
      </w:r>
      <w:r w:rsidR="00387263">
        <w:rPr>
          <w:sz w:val="24"/>
          <w:szCs w:val="24"/>
        </w:rPr>
        <w:t>But I shall omit to mention any things which are able to be denied. Even those things which are most certain and most notorious I shall leave out. Only one of the nefarious deeds of this man I shall select, thereby I am able at last to come quicker to Sicily, which has laid this burdensome business upon me.</w:t>
      </w:r>
    </w:p>
    <w:p w14:paraId="60F6310D" w14:textId="22EA865B" w:rsidR="00DC1BB6" w:rsidRDefault="00DC1BB6" w:rsidP="00DC1BB6">
      <w:pPr>
        <w:jc w:val="center"/>
        <w:rPr>
          <w:sz w:val="32"/>
          <w:szCs w:val="32"/>
        </w:rPr>
      </w:pPr>
      <w:r>
        <w:rPr>
          <w:sz w:val="32"/>
          <w:szCs w:val="32"/>
        </w:rPr>
        <w:t>Commentary: 2.1.63</w:t>
      </w:r>
    </w:p>
    <w:p w14:paraId="2AF06876" w14:textId="6C822E1A" w:rsidR="00D32EE1" w:rsidRDefault="00DC1BB6" w:rsidP="00DC1BB6">
      <w:pPr>
        <w:rPr>
          <w:sz w:val="24"/>
          <w:szCs w:val="24"/>
        </w:rPr>
      </w:pPr>
      <w:r>
        <w:rPr>
          <w:sz w:val="24"/>
          <w:szCs w:val="24"/>
        </w:rPr>
        <w:t>The events at Lampsacus, which took place in the Roman province of Asia, represent a particularly sordid episode in Verres’ career: the attempted kidnap and rape of a noblewoman, which was followed by a riot by the disgusted Lampsacenes, in which Verres was almost burned alive</w:t>
      </w:r>
      <w:r w:rsidR="00D32EE1">
        <w:rPr>
          <w:sz w:val="24"/>
          <w:szCs w:val="24"/>
        </w:rPr>
        <w:t>,</w:t>
      </w:r>
      <w:r>
        <w:rPr>
          <w:sz w:val="24"/>
          <w:szCs w:val="24"/>
        </w:rPr>
        <w:t xml:space="preserve"> </w:t>
      </w:r>
      <w:r w:rsidR="00FF5189">
        <w:rPr>
          <w:sz w:val="24"/>
          <w:szCs w:val="24"/>
        </w:rPr>
        <w:t>together with</w:t>
      </w:r>
      <w:r>
        <w:rPr>
          <w:sz w:val="24"/>
          <w:szCs w:val="24"/>
        </w:rPr>
        <w:t xml:space="preserve"> a trial, rigged by Verres which resulted in the judicial murder of Philodamus and his son.</w:t>
      </w:r>
      <w:r>
        <w:rPr>
          <w:rStyle w:val="FootnoteReference"/>
          <w:sz w:val="24"/>
          <w:szCs w:val="24"/>
        </w:rPr>
        <w:footnoteReference w:id="1"/>
      </w:r>
      <w:r>
        <w:rPr>
          <w:sz w:val="24"/>
          <w:szCs w:val="24"/>
        </w:rPr>
        <w:t xml:space="preserve"> </w:t>
      </w:r>
    </w:p>
    <w:p w14:paraId="63286100" w14:textId="2391CDE4" w:rsidR="00996D07" w:rsidRPr="00D32EE1" w:rsidRDefault="00DC1BB6" w:rsidP="00DC1BB6">
      <w:pPr>
        <w:rPr>
          <w:i/>
          <w:iCs/>
          <w:sz w:val="24"/>
          <w:szCs w:val="24"/>
        </w:rPr>
      </w:pPr>
      <w:r>
        <w:rPr>
          <w:sz w:val="24"/>
          <w:szCs w:val="24"/>
        </w:rPr>
        <w:t xml:space="preserve">Mitchell refers to Cicero’s account of what happened at Lampsacus as one of the finest examples of his skill in </w:t>
      </w:r>
      <w:r w:rsidR="00D32EE1">
        <w:rPr>
          <w:i/>
          <w:iCs/>
          <w:sz w:val="24"/>
          <w:szCs w:val="24"/>
        </w:rPr>
        <w:t>narration,</w:t>
      </w:r>
      <w:r>
        <w:rPr>
          <w:rStyle w:val="FootnoteReference"/>
          <w:i/>
          <w:iCs/>
          <w:sz w:val="24"/>
          <w:szCs w:val="24"/>
        </w:rPr>
        <w:footnoteReference w:id="2"/>
      </w:r>
      <w:r w:rsidR="00D32EE1">
        <w:rPr>
          <w:i/>
          <w:iCs/>
          <w:sz w:val="24"/>
          <w:szCs w:val="24"/>
        </w:rPr>
        <w:t xml:space="preserve"> </w:t>
      </w:r>
      <w:r w:rsidR="00D32EE1">
        <w:rPr>
          <w:sz w:val="24"/>
          <w:szCs w:val="24"/>
        </w:rPr>
        <w:t>and because of this</w:t>
      </w:r>
      <w:r>
        <w:rPr>
          <w:i/>
          <w:iCs/>
          <w:sz w:val="24"/>
          <w:szCs w:val="24"/>
        </w:rPr>
        <w:t xml:space="preserve"> </w:t>
      </w:r>
      <w:r w:rsidR="00D32EE1">
        <w:rPr>
          <w:sz w:val="24"/>
          <w:szCs w:val="24"/>
        </w:rPr>
        <w:t>it</w:t>
      </w:r>
      <w:r>
        <w:rPr>
          <w:sz w:val="24"/>
          <w:szCs w:val="24"/>
        </w:rPr>
        <w:t xml:space="preserve"> must be borne in mind that Cicero does not provide an objective record of what </w:t>
      </w:r>
      <w:r w:rsidR="00961126">
        <w:rPr>
          <w:sz w:val="24"/>
          <w:szCs w:val="24"/>
        </w:rPr>
        <w:t>happened, but as Steel states, is making the best possible use of Verres’ guilt.</w:t>
      </w:r>
      <w:r w:rsidR="00961126">
        <w:rPr>
          <w:rStyle w:val="FootnoteReference"/>
          <w:sz w:val="24"/>
          <w:szCs w:val="24"/>
        </w:rPr>
        <w:footnoteReference w:id="3"/>
      </w:r>
      <w:r w:rsidR="00961126">
        <w:rPr>
          <w:sz w:val="24"/>
          <w:szCs w:val="24"/>
        </w:rPr>
        <w:t xml:space="preserve">  Cicero’s aim is to capture the attention of his audience </w:t>
      </w:r>
      <w:r w:rsidR="00FF5189">
        <w:rPr>
          <w:sz w:val="24"/>
          <w:szCs w:val="24"/>
        </w:rPr>
        <w:t>by</w:t>
      </w:r>
      <w:r w:rsidR="00961126">
        <w:rPr>
          <w:sz w:val="24"/>
          <w:szCs w:val="24"/>
        </w:rPr>
        <w:t xml:space="preserve"> means of a fascinating </w:t>
      </w:r>
      <w:r w:rsidR="00143CC5">
        <w:rPr>
          <w:sz w:val="24"/>
          <w:szCs w:val="24"/>
        </w:rPr>
        <w:t>story</w:t>
      </w:r>
      <w:r w:rsidR="00961126">
        <w:rPr>
          <w:sz w:val="24"/>
          <w:szCs w:val="24"/>
        </w:rPr>
        <w:t xml:space="preserve"> that portrays Verres in the worst possible light. As Gildenhard underlines, Cicero’s narration always has the double function of report and argument: a tale is construed  in such a way that Verres</w:t>
      </w:r>
      <w:r w:rsidR="00EE339F">
        <w:rPr>
          <w:sz w:val="24"/>
          <w:szCs w:val="24"/>
        </w:rPr>
        <w:t xml:space="preserve">, driven on by lust and lechery, </w:t>
      </w:r>
      <w:r w:rsidR="00961126">
        <w:rPr>
          <w:sz w:val="24"/>
          <w:szCs w:val="24"/>
        </w:rPr>
        <w:t xml:space="preserve"> emerges as the mastermind behind the commotion at a dinner party arranged by Philodamus</w:t>
      </w:r>
      <w:r w:rsidR="00143CC5">
        <w:rPr>
          <w:sz w:val="24"/>
          <w:szCs w:val="24"/>
        </w:rPr>
        <w:t xml:space="preserve"> a nobleman of high repute.</w:t>
      </w:r>
      <w:r w:rsidR="00EE339F">
        <w:rPr>
          <w:sz w:val="24"/>
          <w:szCs w:val="24"/>
        </w:rPr>
        <w:t xml:space="preserve"> Both Philodamus and his son become innocent and upright victims of Roman aggression, and in the skewed court proceedings which followed, the Roman provincial governors of Cilicia (Dolabella) and Asia (Nero) perpetrated judicial homicide in order to protect Verres.</w:t>
      </w:r>
      <w:r w:rsidR="00961126">
        <w:rPr>
          <w:rStyle w:val="FootnoteReference"/>
          <w:sz w:val="24"/>
          <w:szCs w:val="24"/>
        </w:rPr>
        <w:footnoteReference w:id="4"/>
      </w:r>
      <w:r w:rsidR="00961126">
        <w:rPr>
          <w:sz w:val="24"/>
          <w:szCs w:val="24"/>
        </w:rPr>
        <w:t xml:space="preserve"> </w:t>
      </w:r>
    </w:p>
    <w:p w14:paraId="145E83DB" w14:textId="736CB4ED" w:rsidR="00DC1BB6" w:rsidRDefault="00996D07" w:rsidP="00DC1BB6">
      <w:pPr>
        <w:rPr>
          <w:sz w:val="24"/>
          <w:szCs w:val="24"/>
        </w:rPr>
      </w:pPr>
      <w:r>
        <w:rPr>
          <w:sz w:val="24"/>
          <w:szCs w:val="24"/>
        </w:rPr>
        <w:t xml:space="preserve">  One </w:t>
      </w:r>
      <w:r w:rsidR="00143CC5">
        <w:rPr>
          <w:sz w:val="24"/>
          <w:szCs w:val="24"/>
        </w:rPr>
        <w:t>must</w:t>
      </w:r>
      <w:r>
        <w:rPr>
          <w:sz w:val="24"/>
          <w:szCs w:val="24"/>
        </w:rPr>
        <w:t xml:space="preserve"> ask continually what Cicero does to enhance the plausibility of his version of events, and we are required to assess the balance between argument and appeal to the emotions, logic and outrage that Cicero aims for. Chapter 63 represents the beginning of an account of what happened in Lampsacus, which extends through to chapter 69, whereas chapters 70 to 76 concern the judicial </w:t>
      </w:r>
      <w:r w:rsidR="008F3983">
        <w:rPr>
          <w:sz w:val="24"/>
          <w:szCs w:val="24"/>
        </w:rPr>
        <w:t>aftermath:</w:t>
      </w:r>
      <w:r>
        <w:rPr>
          <w:sz w:val="24"/>
          <w:szCs w:val="24"/>
        </w:rPr>
        <w:t xml:space="preserve"> the trial and execution of Philodamus and his son. A lengthy attempt to discredit Verres’ version of the story ensues in chapters 77 to </w:t>
      </w:r>
      <w:r>
        <w:rPr>
          <w:sz w:val="24"/>
          <w:szCs w:val="24"/>
        </w:rPr>
        <w:lastRenderedPageBreak/>
        <w:t>85</w:t>
      </w:r>
      <w:r w:rsidR="009A0F58">
        <w:rPr>
          <w:sz w:val="24"/>
          <w:szCs w:val="24"/>
        </w:rPr>
        <w:t xml:space="preserve">, so we have a situation where </w:t>
      </w:r>
      <w:r w:rsidR="00121A39">
        <w:rPr>
          <w:sz w:val="24"/>
          <w:szCs w:val="24"/>
        </w:rPr>
        <w:t>Cicero</w:t>
      </w:r>
      <w:r w:rsidR="009A0F58">
        <w:rPr>
          <w:sz w:val="24"/>
          <w:szCs w:val="24"/>
        </w:rPr>
        <w:t xml:space="preserve"> first advances his own narrative before using it as a foil to question Verres’ ‘official’ version of the story.</w:t>
      </w:r>
      <w:r w:rsidR="009A0F58">
        <w:rPr>
          <w:rStyle w:val="FootnoteReference"/>
          <w:sz w:val="24"/>
          <w:szCs w:val="24"/>
        </w:rPr>
        <w:footnoteReference w:id="5"/>
      </w:r>
      <w:r w:rsidR="00961126">
        <w:rPr>
          <w:sz w:val="24"/>
          <w:szCs w:val="24"/>
        </w:rPr>
        <w:t xml:space="preserve"> </w:t>
      </w:r>
    </w:p>
    <w:p w14:paraId="48C73C84" w14:textId="2B947307" w:rsidR="005D5E8D" w:rsidRDefault="009A0F58" w:rsidP="00DC1BB6">
      <w:pPr>
        <w:rPr>
          <w:sz w:val="24"/>
          <w:szCs w:val="24"/>
        </w:rPr>
      </w:pPr>
      <w:r>
        <w:rPr>
          <w:sz w:val="24"/>
          <w:szCs w:val="24"/>
        </w:rPr>
        <w:t xml:space="preserve">  In chapter 63, the inhabitants of the city are initially introduced together with their characteristics, before we are told how Verres came to visit the city and finally what he initiated upon arrival at Lampsacus. </w:t>
      </w:r>
      <w:r w:rsidR="00121A39">
        <w:rPr>
          <w:sz w:val="24"/>
          <w:szCs w:val="24"/>
        </w:rPr>
        <w:t xml:space="preserve"> </w:t>
      </w:r>
      <w:r w:rsidR="005D5E8D">
        <w:rPr>
          <w:sz w:val="24"/>
          <w:szCs w:val="24"/>
        </w:rPr>
        <w:t>The city is situated at the eastern entrance to the Hellespont, which enhanced its commercial and historical importance. There is no clear evidence to support whether it was a free city or not</w:t>
      </w:r>
      <w:r w:rsidR="00FF5189">
        <w:rPr>
          <w:sz w:val="24"/>
          <w:szCs w:val="24"/>
        </w:rPr>
        <w:t>,</w:t>
      </w:r>
      <w:r w:rsidR="005D5E8D">
        <w:rPr>
          <w:sz w:val="24"/>
          <w:szCs w:val="24"/>
        </w:rPr>
        <w:t xml:space="preserve"> but the fact that Cicero does not indicate its status would suggest that it was not.</w:t>
      </w:r>
      <w:r w:rsidR="005D5E8D">
        <w:rPr>
          <w:rStyle w:val="FootnoteReference"/>
          <w:sz w:val="24"/>
          <w:szCs w:val="24"/>
        </w:rPr>
        <w:footnoteReference w:id="6"/>
      </w:r>
    </w:p>
    <w:p w14:paraId="784A7DC9" w14:textId="5F6D9E2E" w:rsidR="005D5E8D" w:rsidRDefault="005D5E8D" w:rsidP="00DC1BB6">
      <w:pPr>
        <w:rPr>
          <w:sz w:val="24"/>
          <w:szCs w:val="24"/>
        </w:rPr>
      </w:pPr>
      <w:r>
        <w:rPr>
          <w:sz w:val="24"/>
          <w:szCs w:val="24"/>
        </w:rPr>
        <w:t xml:space="preserve"> </w:t>
      </w:r>
      <w:r w:rsidR="009A0F58">
        <w:rPr>
          <w:sz w:val="24"/>
          <w:szCs w:val="24"/>
        </w:rPr>
        <w:t xml:space="preserve">The scene and tone are set with the account of a distinguished, </w:t>
      </w:r>
      <w:r>
        <w:rPr>
          <w:sz w:val="24"/>
          <w:szCs w:val="24"/>
        </w:rPr>
        <w:t>peace-loving</w:t>
      </w:r>
      <w:r w:rsidR="009A0F58">
        <w:rPr>
          <w:sz w:val="24"/>
          <w:szCs w:val="24"/>
        </w:rPr>
        <w:t xml:space="preserve"> community, whose tranquillity is about to be shattered by Verres’ arrival.</w:t>
      </w:r>
      <w:r w:rsidR="00121A39">
        <w:rPr>
          <w:sz w:val="24"/>
          <w:szCs w:val="24"/>
        </w:rPr>
        <w:t xml:space="preserve"> </w:t>
      </w:r>
      <w:r w:rsidR="00121A39">
        <w:rPr>
          <w:i/>
          <w:iCs/>
          <w:sz w:val="24"/>
          <w:szCs w:val="24"/>
        </w:rPr>
        <w:t>Homines…ipsi Lampsaceni</w:t>
      </w:r>
      <w:r w:rsidR="0078641D">
        <w:rPr>
          <w:i/>
          <w:iCs/>
          <w:sz w:val="24"/>
          <w:szCs w:val="24"/>
        </w:rPr>
        <w:t>:</w:t>
      </w:r>
      <w:r w:rsidR="00121A39">
        <w:rPr>
          <w:i/>
          <w:iCs/>
          <w:sz w:val="24"/>
          <w:szCs w:val="24"/>
        </w:rPr>
        <w:t xml:space="preserve"> </w:t>
      </w:r>
      <w:r w:rsidR="00121A39">
        <w:rPr>
          <w:sz w:val="24"/>
          <w:szCs w:val="24"/>
        </w:rPr>
        <w:t xml:space="preserve"> Cicero’s account of the events at Lampsacus provides a perfect case study in his ‘anthropological rhetoric’  as he uses his version of events to highlight what type of human being Verres is. Contrasting different types of human beings is a favourite ploy of Cicero and here we have a comparison between the gentle Lampsacenes and the wicked people who comprise Verres’ entourage.</w:t>
      </w:r>
      <w:r w:rsidR="00121A39">
        <w:rPr>
          <w:rStyle w:val="FootnoteReference"/>
          <w:sz w:val="24"/>
          <w:szCs w:val="24"/>
        </w:rPr>
        <w:footnoteReference w:id="7"/>
      </w:r>
      <w:r w:rsidR="00121A39">
        <w:rPr>
          <w:sz w:val="24"/>
          <w:szCs w:val="24"/>
        </w:rPr>
        <w:t xml:space="preserve"> </w:t>
      </w:r>
    </w:p>
    <w:p w14:paraId="2C0D1FB1" w14:textId="09DF7749" w:rsidR="00862876" w:rsidRDefault="005D5E8D" w:rsidP="00DC1BB6">
      <w:pPr>
        <w:rPr>
          <w:sz w:val="24"/>
          <w:szCs w:val="24"/>
        </w:rPr>
      </w:pPr>
      <w:r>
        <w:rPr>
          <w:sz w:val="24"/>
          <w:szCs w:val="24"/>
        </w:rPr>
        <w:t xml:space="preserve">  </w:t>
      </w:r>
      <w:r>
        <w:rPr>
          <w:i/>
          <w:iCs/>
          <w:sz w:val="24"/>
          <w:szCs w:val="24"/>
        </w:rPr>
        <w:t>Officiosi…sedate et quieti…accommodat</w:t>
      </w:r>
      <w:r w:rsidR="005F40EF">
        <w:rPr>
          <w:i/>
          <w:iCs/>
          <w:sz w:val="24"/>
          <w:szCs w:val="24"/>
        </w:rPr>
        <w:t>i</w:t>
      </w:r>
      <w:r>
        <w:rPr>
          <w:i/>
          <w:iCs/>
          <w:sz w:val="24"/>
          <w:szCs w:val="24"/>
        </w:rPr>
        <w:t xml:space="preserve">: </w:t>
      </w:r>
      <w:r>
        <w:rPr>
          <w:sz w:val="24"/>
          <w:szCs w:val="24"/>
        </w:rPr>
        <w:t xml:space="preserve">The inhabitants of Lampsacus are presented positively, in contrast to how Cicero describes Greeks generally. In </w:t>
      </w:r>
      <w:r>
        <w:rPr>
          <w:i/>
          <w:iCs/>
          <w:sz w:val="24"/>
          <w:szCs w:val="24"/>
        </w:rPr>
        <w:t xml:space="preserve">Verrines II.II.7 </w:t>
      </w:r>
      <w:r>
        <w:rPr>
          <w:sz w:val="24"/>
          <w:szCs w:val="24"/>
        </w:rPr>
        <w:t xml:space="preserve">for example, they are described as </w:t>
      </w:r>
      <w:r>
        <w:rPr>
          <w:i/>
          <w:iCs/>
          <w:sz w:val="24"/>
          <w:szCs w:val="24"/>
        </w:rPr>
        <w:t xml:space="preserve">desidia </w:t>
      </w:r>
      <w:r>
        <w:rPr>
          <w:sz w:val="24"/>
          <w:szCs w:val="24"/>
        </w:rPr>
        <w:t xml:space="preserve">and </w:t>
      </w:r>
      <w:r>
        <w:rPr>
          <w:i/>
          <w:iCs/>
          <w:sz w:val="24"/>
          <w:szCs w:val="24"/>
        </w:rPr>
        <w:t xml:space="preserve">luxuries </w:t>
      </w:r>
      <w:r w:rsidR="00CA6B31">
        <w:rPr>
          <w:sz w:val="24"/>
          <w:szCs w:val="24"/>
        </w:rPr>
        <w:t>(slothful and self-indulgent). But here, appropriate to the occasion they are seen as peaceable, compliant subjects.</w:t>
      </w:r>
      <w:r w:rsidR="00CA6B31">
        <w:rPr>
          <w:rStyle w:val="FootnoteReference"/>
          <w:sz w:val="24"/>
          <w:szCs w:val="24"/>
        </w:rPr>
        <w:footnoteReference w:id="8"/>
      </w:r>
      <w:r w:rsidR="00CA6B31">
        <w:rPr>
          <w:sz w:val="24"/>
          <w:szCs w:val="24"/>
        </w:rPr>
        <w:t xml:space="preserve"> Gildenhard points to their calm disposition, predisposed towards Roman citizens</w:t>
      </w:r>
      <w:r w:rsidR="00143CC5">
        <w:rPr>
          <w:sz w:val="24"/>
          <w:szCs w:val="24"/>
        </w:rPr>
        <w:t>,</w:t>
      </w:r>
      <w:r w:rsidR="00CA6B31">
        <w:rPr>
          <w:sz w:val="24"/>
          <w:szCs w:val="24"/>
        </w:rPr>
        <w:t xml:space="preserve"> and who value a life of leisure;</w:t>
      </w:r>
      <w:r w:rsidR="00CA6B31">
        <w:rPr>
          <w:rStyle w:val="FootnoteReference"/>
          <w:sz w:val="24"/>
          <w:szCs w:val="24"/>
        </w:rPr>
        <w:footnoteReference w:id="9"/>
      </w:r>
      <w:r w:rsidR="00CA6B31">
        <w:rPr>
          <w:sz w:val="24"/>
          <w:szCs w:val="24"/>
        </w:rPr>
        <w:t xml:space="preserve">  indeed the superlative mode, </w:t>
      </w:r>
      <w:r w:rsidR="00CA6B31">
        <w:rPr>
          <w:i/>
          <w:iCs/>
          <w:sz w:val="24"/>
          <w:szCs w:val="24"/>
        </w:rPr>
        <w:t xml:space="preserve">summe…maxime…ad summum…otium </w:t>
      </w:r>
      <w:r w:rsidR="00CA6B31">
        <w:rPr>
          <w:sz w:val="24"/>
          <w:szCs w:val="24"/>
        </w:rPr>
        <w:t>would suggest that they are so peaceful as to be all but comatose.</w:t>
      </w:r>
      <w:r w:rsidR="00AF5020">
        <w:rPr>
          <w:rStyle w:val="FootnoteReference"/>
          <w:sz w:val="24"/>
          <w:szCs w:val="24"/>
        </w:rPr>
        <w:footnoteReference w:id="10"/>
      </w:r>
      <w:r w:rsidR="00CA6B31">
        <w:rPr>
          <w:sz w:val="24"/>
          <w:szCs w:val="24"/>
        </w:rPr>
        <w:t xml:space="preserve"> </w:t>
      </w:r>
      <w:r w:rsidR="00862876">
        <w:rPr>
          <w:sz w:val="24"/>
          <w:szCs w:val="24"/>
        </w:rPr>
        <w:t xml:space="preserve"> The Greeks are considered the ’good guys,’ </w:t>
      </w:r>
      <w:r w:rsidR="00CA6B31">
        <w:rPr>
          <w:sz w:val="24"/>
          <w:szCs w:val="24"/>
        </w:rPr>
        <w:t xml:space="preserve"> </w:t>
      </w:r>
      <w:r w:rsidR="00862876">
        <w:rPr>
          <w:sz w:val="24"/>
          <w:szCs w:val="24"/>
        </w:rPr>
        <w:t xml:space="preserve">the victims of Roman aggression. </w:t>
      </w:r>
      <w:r w:rsidR="00862876">
        <w:rPr>
          <w:i/>
          <w:iCs/>
          <w:sz w:val="24"/>
          <w:szCs w:val="24"/>
        </w:rPr>
        <w:t xml:space="preserve">Potius quam ad ullam vim aut tumultum, </w:t>
      </w:r>
      <w:r w:rsidR="00862876">
        <w:rPr>
          <w:sz w:val="24"/>
          <w:szCs w:val="24"/>
        </w:rPr>
        <w:t>provides a telling contrast between violence and unrest o</w:t>
      </w:r>
      <w:r w:rsidR="00143CC5">
        <w:rPr>
          <w:sz w:val="24"/>
          <w:szCs w:val="24"/>
        </w:rPr>
        <w:t>n</w:t>
      </w:r>
      <w:r w:rsidR="00862876">
        <w:rPr>
          <w:sz w:val="24"/>
          <w:szCs w:val="24"/>
        </w:rPr>
        <w:t xml:space="preserve"> the one hand, and </w:t>
      </w:r>
      <w:r w:rsidR="00862876">
        <w:rPr>
          <w:i/>
          <w:iCs/>
          <w:sz w:val="24"/>
          <w:szCs w:val="24"/>
        </w:rPr>
        <w:t xml:space="preserve">otium, </w:t>
      </w:r>
      <w:r w:rsidR="00862876">
        <w:rPr>
          <w:sz w:val="24"/>
          <w:szCs w:val="24"/>
        </w:rPr>
        <w:t>leisure on the other. By presenting violent unrest as the very antithesis of the Lampsacenes’ nature, the ground is prepared for apportioning the blame of what happened entirely to Verres.</w:t>
      </w:r>
    </w:p>
    <w:p w14:paraId="1003FEB6" w14:textId="78DFDF55" w:rsidR="00AF5020" w:rsidRDefault="00862876" w:rsidP="00DC1BB6">
      <w:pPr>
        <w:rPr>
          <w:sz w:val="24"/>
          <w:szCs w:val="24"/>
        </w:rPr>
      </w:pPr>
      <w:r>
        <w:rPr>
          <w:sz w:val="24"/>
          <w:szCs w:val="24"/>
        </w:rPr>
        <w:t xml:space="preserve">  </w:t>
      </w:r>
      <w:r>
        <w:rPr>
          <w:i/>
          <w:iCs/>
          <w:sz w:val="24"/>
          <w:szCs w:val="24"/>
        </w:rPr>
        <w:t xml:space="preserve">Accidit…ut..veniret: </w:t>
      </w:r>
      <w:r w:rsidR="00A524EB">
        <w:rPr>
          <w:sz w:val="24"/>
          <w:szCs w:val="24"/>
        </w:rPr>
        <w:t xml:space="preserve">The plot is addressed after having set the scene, and we are told how Verres happened to visit Lampsacus. </w:t>
      </w:r>
      <w:r w:rsidR="00A524EB">
        <w:rPr>
          <w:i/>
          <w:iCs/>
          <w:sz w:val="24"/>
          <w:szCs w:val="24"/>
        </w:rPr>
        <w:t>Dolabella efflagitasse</w:t>
      </w:r>
      <w:r w:rsidR="00CD16E4">
        <w:rPr>
          <w:i/>
          <w:iCs/>
          <w:sz w:val="24"/>
          <w:szCs w:val="24"/>
        </w:rPr>
        <w:t>t</w:t>
      </w:r>
      <w:r w:rsidR="00A524EB">
        <w:rPr>
          <w:i/>
          <w:iCs/>
          <w:sz w:val="24"/>
          <w:szCs w:val="24"/>
        </w:rPr>
        <w:t xml:space="preserve">:  </w:t>
      </w:r>
      <w:r w:rsidR="00A524EB">
        <w:rPr>
          <w:sz w:val="24"/>
          <w:szCs w:val="24"/>
        </w:rPr>
        <w:t xml:space="preserve">Dolabella was praetor in 81 BC, prior to becoming governor of the province of Cilicia. Verres served him initially as legate and, following the death of C. Malleolus, as pro-quaestor. </w:t>
      </w:r>
      <w:r w:rsidR="00CD16E4">
        <w:rPr>
          <w:sz w:val="24"/>
          <w:szCs w:val="24"/>
        </w:rPr>
        <w:t xml:space="preserve"> </w:t>
      </w:r>
      <w:r w:rsidR="00CD16E4">
        <w:rPr>
          <w:i/>
          <w:iCs/>
          <w:sz w:val="24"/>
          <w:szCs w:val="24"/>
        </w:rPr>
        <w:t xml:space="preserve">Flagito </w:t>
      </w:r>
      <w:r w:rsidR="00CD16E4">
        <w:rPr>
          <w:sz w:val="24"/>
          <w:szCs w:val="24"/>
        </w:rPr>
        <w:t xml:space="preserve">indicates that he acted rudely by asking his superior somewhat imperiously. Verres was a prime witness in the subsequent conviction of Dolabella on a charge of extortion; </w:t>
      </w:r>
      <w:r w:rsidR="00AF5020">
        <w:rPr>
          <w:sz w:val="24"/>
          <w:szCs w:val="24"/>
        </w:rPr>
        <w:t>indeed,</w:t>
      </w:r>
      <w:r w:rsidR="00CD16E4">
        <w:rPr>
          <w:sz w:val="24"/>
          <w:szCs w:val="24"/>
        </w:rPr>
        <w:t xml:space="preserve"> Verres was to maximise </w:t>
      </w:r>
      <w:r w:rsidR="00AF5020">
        <w:rPr>
          <w:sz w:val="24"/>
          <w:szCs w:val="24"/>
        </w:rPr>
        <w:t>any</w:t>
      </w:r>
      <w:r w:rsidR="00CD16E4">
        <w:rPr>
          <w:sz w:val="24"/>
          <w:szCs w:val="24"/>
        </w:rPr>
        <w:t xml:space="preserve"> opportunity to blame any mismanagement and misdeed that occurred during his time in Asia Minor on his superior-in-command</w:t>
      </w:r>
      <w:r w:rsidR="0078641D">
        <w:rPr>
          <w:sz w:val="24"/>
          <w:szCs w:val="24"/>
        </w:rPr>
        <w:t>, which confirms Cicero’s admittedly biased portrayal of him.</w:t>
      </w:r>
      <w:r w:rsidR="00AF5020">
        <w:rPr>
          <w:rStyle w:val="FootnoteReference"/>
          <w:sz w:val="24"/>
          <w:szCs w:val="24"/>
        </w:rPr>
        <w:footnoteReference w:id="11"/>
      </w:r>
      <w:r w:rsidR="00CD16E4">
        <w:rPr>
          <w:sz w:val="24"/>
          <w:szCs w:val="24"/>
        </w:rPr>
        <w:t xml:space="preserve"> </w:t>
      </w:r>
    </w:p>
    <w:p w14:paraId="4D5B19C8" w14:textId="1F55DB7C" w:rsidR="005D5E8D" w:rsidRDefault="00AF5020" w:rsidP="00DC1BB6">
      <w:pPr>
        <w:rPr>
          <w:sz w:val="24"/>
          <w:szCs w:val="24"/>
        </w:rPr>
      </w:pPr>
      <w:r>
        <w:rPr>
          <w:sz w:val="24"/>
          <w:szCs w:val="24"/>
        </w:rPr>
        <w:lastRenderedPageBreak/>
        <w:t xml:space="preserve">  </w:t>
      </w:r>
      <w:r>
        <w:rPr>
          <w:i/>
          <w:iCs/>
          <w:sz w:val="24"/>
          <w:szCs w:val="24"/>
        </w:rPr>
        <w:t xml:space="preserve">Ad regem Nicomedem regemque Sadalam: </w:t>
      </w:r>
      <w:r>
        <w:rPr>
          <w:sz w:val="24"/>
          <w:szCs w:val="24"/>
        </w:rPr>
        <w:t>Nicodemes IV Philopator was king of Bithynia, who became embroiled  in 88 in the First Mithridatic War with the king of Pontus, Mithridates VI Eupator. He was restored to the throne by Sulla in 85 and, at his death in late 75 or early 74 he bequeathed his kingdom to Rome.  Sadaca was a Thracian king of whom very little is known.</w:t>
      </w:r>
      <w:r>
        <w:rPr>
          <w:rStyle w:val="FootnoteReference"/>
          <w:sz w:val="24"/>
          <w:szCs w:val="24"/>
        </w:rPr>
        <w:footnoteReference w:id="12"/>
      </w:r>
      <w:r w:rsidR="00862876">
        <w:rPr>
          <w:sz w:val="24"/>
          <w:szCs w:val="24"/>
        </w:rPr>
        <w:t xml:space="preserve"> </w:t>
      </w:r>
      <w:r>
        <w:rPr>
          <w:sz w:val="24"/>
          <w:szCs w:val="24"/>
        </w:rPr>
        <w:t>Such embassies to allied or client states could be very profitable</w:t>
      </w:r>
      <w:r w:rsidR="00AF5579">
        <w:rPr>
          <w:sz w:val="24"/>
          <w:szCs w:val="24"/>
        </w:rPr>
        <w:t xml:space="preserve"> on account of the lavish gifts and hospitality that such kings gave in order to be on good terms with their Roman visitors. Cicero gives the impression that there wasn’t a pressing need for an embassy but, as Steel states, we should take his insinuations at face value, given the delicate situation of the whole region following the first Mithradiatic War.</w:t>
      </w:r>
      <w:r w:rsidR="00AF5579">
        <w:rPr>
          <w:rStyle w:val="FootnoteReference"/>
          <w:sz w:val="24"/>
          <w:szCs w:val="24"/>
        </w:rPr>
        <w:footnoteReference w:id="13"/>
      </w:r>
    </w:p>
    <w:p w14:paraId="3BD1D919" w14:textId="337E02E3" w:rsidR="005F40EF" w:rsidRDefault="005F40EF" w:rsidP="00DC1BB6">
      <w:pPr>
        <w:rPr>
          <w:sz w:val="24"/>
          <w:szCs w:val="24"/>
        </w:rPr>
      </w:pPr>
      <w:r>
        <w:rPr>
          <w:sz w:val="24"/>
          <w:szCs w:val="24"/>
        </w:rPr>
        <w:t xml:space="preserve">  </w:t>
      </w:r>
      <w:r>
        <w:rPr>
          <w:i/>
          <w:iCs/>
          <w:sz w:val="24"/>
          <w:szCs w:val="24"/>
        </w:rPr>
        <w:t xml:space="preserve">Magis ad…quam ad…adcommodatum:  </w:t>
      </w:r>
      <w:r>
        <w:rPr>
          <w:sz w:val="24"/>
          <w:szCs w:val="24"/>
        </w:rPr>
        <w:t xml:space="preserve">with subtle variation, Cicero uses the same construction of Verres as he earlier did of the Lampsacenes. As Gildenhard states, the contrasting positions of the comparatives </w:t>
      </w:r>
      <w:r>
        <w:rPr>
          <w:i/>
          <w:iCs/>
          <w:sz w:val="24"/>
          <w:szCs w:val="24"/>
        </w:rPr>
        <w:t xml:space="preserve">magis </w:t>
      </w:r>
      <w:r>
        <w:rPr>
          <w:sz w:val="24"/>
          <w:szCs w:val="24"/>
        </w:rPr>
        <w:t xml:space="preserve">and </w:t>
      </w:r>
      <w:r>
        <w:rPr>
          <w:i/>
          <w:iCs/>
          <w:sz w:val="24"/>
          <w:szCs w:val="24"/>
        </w:rPr>
        <w:t xml:space="preserve">potius </w:t>
      </w:r>
      <w:r>
        <w:rPr>
          <w:sz w:val="24"/>
          <w:szCs w:val="24"/>
        </w:rPr>
        <w:t>serve to emphasize the positive in the case of the Lampsacenes and the negative in the case of Verres.</w:t>
      </w:r>
      <w:r>
        <w:rPr>
          <w:rStyle w:val="FootnoteReference"/>
          <w:sz w:val="24"/>
          <w:szCs w:val="24"/>
        </w:rPr>
        <w:footnoteReference w:id="14"/>
      </w:r>
      <w:r>
        <w:rPr>
          <w:sz w:val="24"/>
          <w:szCs w:val="24"/>
        </w:rPr>
        <w:t xml:space="preserve"> </w:t>
      </w:r>
    </w:p>
    <w:p w14:paraId="044199F5" w14:textId="2A46C4B5" w:rsidR="005F40EF" w:rsidRDefault="005F40EF" w:rsidP="00DC1BB6">
      <w:pPr>
        <w:rPr>
          <w:sz w:val="24"/>
          <w:szCs w:val="24"/>
        </w:rPr>
      </w:pPr>
      <w:r>
        <w:rPr>
          <w:sz w:val="24"/>
          <w:szCs w:val="24"/>
        </w:rPr>
        <w:t xml:space="preserve"> </w:t>
      </w:r>
      <w:r>
        <w:rPr>
          <w:i/>
          <w:iCs/>
          <w:sz w:val="24"/>
          <w:szCs w:val="24"/>
        </w:rPr>
        <w:t xml:space="preserve">Cum magna calamitate et prope pernicie civitatis: </w:t>
      </w:r>
      <w:r>
        <w:rPr>
          <w:sz w:val="24"/>
          <w:szCs w:val="24"/>
        </w:rPr>
        <w:t xml:space="preserve">Cicero </w:t>
      </w:r>
      <w:r w:rsidR="00836EA2">
        <w:rPr>
          <w:sz w:val="24"/>
          <w:szCs w:val="24"/>
        </w:rPr>
        <w:t xml:space="preserve">writes that Verres’ arrival at lampsacus takes place with ‘damaging and indeed practically fatal consequences for the city’. As </w:t>
      </w:r>
      <w:r w:rsidR="0078641D">
        <w:rPr>
          <w:sz w:val="24"/>
          <w:szCs w:val="24"/>
        </w:rPr>
        <w:t>Steel</w:t>
      </w:r>
      <w:r w:rsidR="00836EA2">
        <w:rPr>
          <w:sz w:val="24"/>
          <w:szCs w:val="24"/>
        </w:rPr>
        <w:t xml:space="preserve"> </w:t>
      </w:r>
      <w:r w:rsidR="0078641D">
        <w:rPr>
          <w:sz w:val="24"/>
          <w:szCs w:val="24"/>
        </w:rPr>
        <w:t>believes</w:t>
      </w:r>
      <w:r w:rsidR="00836EA2">
        <w:rPr>
          <w:sz w:val="24"/>
          <w:szCs w:val="24"/>
        </w:rPr>
        <w:t>, readers are warned to expect the worst, and are prepared to accept Cicero’s tendentious account of various changes in accommodation which follows. Indeed, he maintains, so persuasive and consistent is the hostile gloss in Cicero’s description that it is very difficult for the reader to consider more innocent explanations.</w:t>
      </w:r>
      <w:r w:rsidR="00836EA2">
        <w:rPr>
          <w:rStyle w:val="FootnoteReference"/>
          <w:sz w:val="24"/>
          <w:szCs w:val="24"/>
        </w:rPr>
        <w:footnoteReference w:id="15"/>
      </w:r>
      <w:r w:rsidR="00836EA2">
        <w:rPr>
          <w:sz w:val="24"/>
          <w:szCs w:val="24"/>
        </w:rPr>
        <w:t xml:space="preserve"> Gildenhard draws attention to the climactic arrangement of this clause, moving from terrible disaster, </w:t>
      </w:r>
      <w:r w:rsidR="00836EA2">
        <w:rPr>
          <w:i/>
          <w:iCs/>
          <w:sz w:val="24"/>
          <w:szCs w:val="24"/>
        </w:rPr>
        <w:t xml:space="preserve">calamitas, </w:t>
      </w:r>
      <w:r w:rsidR="00836EA2">
        <w:rPr>
          <w:sz w:val="24"/>
          <w:szCs w:val="24"/>
        </w:rPr>
        <w:t xml:space="preserve">to utter destruction, </w:t>
      </w:r>
      <w:r w:rsidR="00836EA2">
        <w:rPr>
          <w:i/>
          <w:iCs/>
          <w:sz w:val="24"/>
          <w:szCs w:val="24"/>
        </w:rPr>
        <w:t xml:space="preserve">pernicies. </w:t>
      </w:r>
      <w:r w:rsidR="00535C3D">
        <w:rPr>
          <w:sz w:val="24"/>
          <w:szCs w:val="24"/>
        </w:rPr>
        <w:t xml:space="preserve">It is as if Verres wished to travel by way of Lampsacus in order to bring death and destruction upon its community, which isn’t the case. Yet through anticipating the consequences of Verres’ visits, irrespective of his intentions Cicero successfully implies that </w:t>
      </w:r>
      <w:r w:rsidR="00535C3D">
        <w:rPr>
          <w:i/>
          <w:iCs/>
          <w:sz w:val="24"/>
          <w:szCs w:val="24"/>
        </w:rPr>
        <w:t xml:space="preserve">calamitas </w:t>
      </w:r>
      <w:r w:rsidR="00535C3D">
        <w:rPr>
          <w:sz w:val="24"/>
          <w:szCs w:val="24"/>
        </w:rPr>
        <w:t xml:space="preserve">and </w:t>
      </w:r>
      <w:r w:rsidR="00535C3D">
        <w:rPr>
          <w:i/>
          <w:iCs/>
          <w:sz w:val="24"/>
          <w:szCs w:val="24"/>
        </w:rPr>
        <w:t xml:space="preserve">pernicies </w:t>
      </w:r>
      <w:r w:rsidR="00535C3D">
        <w:rPr>
          <w:sz w:val="24"/>
          <w:szCs w:val="24"/>
        </w:rPr>
        <w:t>ensue as the result of Verres’ approach to provincial administration.</w:t>
      </w:r>
      <w:r w:rsidR="00535C3D">
        <w:rPr>
          <w:rStyle w:val="FootnoteReference"/>
          <w:sz w:val="24"/>
          <w:szCs w:val="24"/>
        </w:rPr>
        <w:footnoteReference w:id="16"/>
      </w:r>
      <w:r w:rsidR="00D05B43">
        <w:rPr>
          <w:sz w:val="24"/>
          <w:szCs w:val="24"/>
        </w:rPr>
        <w:t xml:space="preserve"> </w:t>
      </w:r>
    </w:p>
    <w:p w14:paraId="3083D4DE" w14:textId="64C55825" w:rsidR="00D05B43" w:rsidRDefault="00D05B43" w:rsidP="00DC1BB6">
      <w:pPr>
        <w:rPr>
          <w:sz w:val="24"/>
          <w:szCs w:val="24"/>
        </w:rPr>
      </w:pPr>
      <w:r>
        <w:rPr>
          <w:sz w:val="24"/>
          <w:szCs w:val="24"/>
        </w:rPr>
        <w:t xml:space="preserve">  </w:t>
      </w:r>
      <w:r>
        <w:rPr>
          <w:i/>
          <w:iCs/>
          <w:sz w:val="24"/>
          <w:szCs w:val="24"/>
        </w:rPr>
        <w:t xml:space="preserve">Ut mos erat istius, atque ut eum suae libidines flagitiosae facere admonebant: </w:t>
      </w:r>
      <w:r>
        <w:rPr>
          <w:sz w:val="24"/>
          <w:szCs w:val="24"/>
        </w:rPr>
        <w:t xml:space="preserve">Gildenhard notes, again that Cicero’s choice of grammar here reinforces the fact that it is not Verres who is in control of his passions but that they are in control of him; </w:t>
      </w:r>
      <w:r w:rsidR="0078641D">
        <w:rPr>
          <w:sz w:val="24"/>
          <w:szCs w:val="24"/>
        </w:rPr>
        <w:t>such passions</w:t>
      </w:r>
      <w:r>
        <w:rPr>
          <w:sz w:val="24"/>
          <w:szCs w:val="24"/>
        </w:rPr>
        <w:t xml:space="preserve"> are in the nominative</w:t>
      </w:r>
      <w:r w:rsidR="00524683">
        <w:rPr>
          <w:sz w:val="24"/>
          <w:szCs w:val="24"/>
        </w:rPr>
        <w:t xml:space="preserve"> and the subject of </w:t>
      </w:r>
      <w:r w:rsidR="00524683">
        <w:rPr>
          <w:i/>
          <w:iCs/>
          <w:sz w:val="24"/>
          <w:szCs w:val="24"/>
        </w:rPr>
        <w:t xml:space="preserve">admonebant, </w:t>
      </w:r>
      <w:r w:rsidR="00524683">
        <w:rPr>
          <w:sz w:val="24"/>
          <w:szCs w:val="24"/>
        </w:rPr>
        <w:t>whereas Verres is the accusative object, the person whom they govern (</w:t>
      </w:r>
      <w:r w:rsidR="00524683">
        <w:rPr>
          <w:i/>
          <w:iCs/>
          <w:sz w:val="24"/>
          <w:szCs w:val="24"/>
        </w:rPr>
        <w:t>eum</w:t>
      </w:r>
      <w:r w:rsidR="00524683">
        <w:rPr>
          <w:sz w:val="24"/>
          <w:szCs w:val="24"/>
        </w:rPr>
        <w:t xml:space="preserve">). </w:t>
      </w:r>
      <w:r w:rsidR="00524683">
        <w:rPr>
          <w:rStyle w:val="FootnoteReference"/>
          <w:sz w:val="24"/>
          <w:szCs w:val="24"/>
        </w:rPr>
        <w:footnoteReference w:id="17"/>
      </w:r>
      <w:r w:rsidR="00524683">
        <w:rPr>
          <w:sz w:val="24"/>
          <w:szCs w:val="24"/>
        </w:rPr>
        <w:t xml:space="preserve"> </w:t>
      </w:r>
    </w:p>
    <w:p w14:paraId="3BBE2324" w14:textId="5317D679" w:rsidR="00A6393A" w:rsidRDefault="00524683" w:rsidP="00DC1BB6">
      <w:pPr>
        <w:rPr>
          <w:i/>
          <w:iCs/>
          <w:sz w:val="24"/>
          <w:szCs w:val="24"/>
        </w:rPr>
      </w:pPr>
      <w:r>
        <w:rPr>
          <w:sz w:val="24"/>
          <w:szCs w:val="24"/>
        </w:rPr>
        <w:t xml:space="preserve">  </w:t>
      </w:r>
      <w:r>
        <w:rPr>
          <w:i/>
          <w:iCs/>
          <w:sz w:val="24"/>
          <w:szCs w:val="24"/>
        </w:rPr>
        <w:t xml:space="preserve">Iste…comitesque eius: </w:t>
      </w:r>
      <w:r>
        <w:rPr>
          <w:sz w:val="24"/>
          <w:szCs w:val="24"/>
        </w:rPr>
        <w:t xml:space="preserve">Cicero’s </w:t>
      </w:r>
      <w:r w:rsidR="00143CC5">
        <w:rPr>
          <w:sz w:val="24"/>
          <w:szCs w:val="24"/>
        </w:rPr>
        <w:t>narrative</w:t>
      </w:r>
      <w:r>
        <w:rPr>
          <w:sz w:val="24"/>
          <w:szCs w:val="24"/>
        </w:rPr>
        <w:t xml:space="preserve"> targets both Verres and his cronies. Verres was a legate of Dolabella and would have been accompanied by two lictors, one of whom, Cornelius, died at Philodamus’ dinner-party. Personal friends would also have accompanied him in order that they might become familiar with Rome’s imperial opportunities. Cicero makes much of these worthless villains, one of whom – Rubrius – was especially gifted at aiding his master’s criminal </w:t>
      </w:r>
      <w:r w:rsidR="00A6393A">
        <w:rPr>
          <w:sz w:val="24"/>
          <w:szCs w:val="24"/>
        </w:rPr>
        <w:t>desires</w:t>
      </w:r>
      <w:r>
        <w:rPr>
          <w:sz w:val="24"/>
          <w:szCs w:val="24"/>
        </w:rPr>
        <w:t>.</w:t>
      </w:r>
      <w:r w:rsidR="00A6393A">
        <w:rPr>
          <w:sz w:val="24"/>
          <w:szCs w:val="24"/>
        </w:rPr>
        <w:t xml:space="preserve"> It is the city’s ‘female resources,’ which are insidiously </w:t>
      </w:r>
      <w:r w:rsidR="00A6393A">
        <w:rPr>
          <w:sz w:val="24"/>
          <w:szCs w:val="24"/>
        </w:rPr>
        <w:lastRenderedPageBreak/>
        <w:t xml:space="preserve">suggested by Cicero, rather than any public business that constitute Verres’ only reason to linger: </w:t>
      </w:r>
      <w:r w:rsidR="00A6393A">
        <w:rPr>
          <w:i/>
          <w:iCs/>
          <w:sz w:val="24"/>
          <w:szCs w:val="24"/>
        </w:rPr>
        <w:t>qua mob rem ipse Lampsaci diutius commoraretur.</w:t>
      </w:r>
      <w:r>
        <w:rPr>
          <w:rStyle w:val="FootnoteReference"/>
          <w:sz w:val="24"/>
          <w:szCs w:val="24"/>
        </w:rPr>
        <w:footnoteReference w:id="18"/>
      </w:r>
    </w:p>
    <w:p w14:paraId="31239028" w14:textId="49087FCA" w:rsidR="00524683" w:rsidRDefault="00A6393A" w:rsidP="00DC1BB6">
      <w:pPr>
        <w:rPr>
          <w:sz w:val="24"/>
          <w:szCs w:val="24"/>
        </w:rPr>
      </w:pPr>
      <w:r>
        <w:rPr>
          <w:i/>
          <w:iCs/>
          <w:sz w:val="24"/>
          <w:szCs w:val="24"/>
        </w:rPr>
        <w:t xml:space="preserve">  </w:t>
      </w:r>
      <w:r>
        <w:rPr>
          <w:sz w:val="24"/>
          <w:szCs w:val="24"/>
        </w:rPr>
        <w:t xml:space="preserve">As </w:t>
      </w:r>
      <w:r w:rsidR="0078641D">
        <w:rPr>
          <w:sz w:val="24"/>
          <w:szCs w:val="24"/>
        </w:rPr>
        <w:t>Steel</w:t>
      </w:r>
      <w:r>
        <w:rPr>
          <w:sz w:val="24"/>
          <w:szCs w:val="24"/>
        </w:rPr>
        <w:t xml:space="preserve"> states, the classification of Verres and his followers as deeply wicked leads us as readers to expect them to act in character throughout the episode.</w:t>
      </w:r>
      <w:r w:rsidR="00D32EE1">
        <w:rPr>
          <w:rStyle w:val="FootnoteReference"/>
          <w:sz w:val="24"/>
          <w:szCs w:val="24"/>
        </w:rPr>
        <w:footnoteReference w:id="19"/>
      </w:r>
      <w:r>
        <w:rPr>
          <w:sz w:val="24"/>
          <w:szCs w:val="24"/>
        </w:rPr>
        <w:t xml:space="preserve"> By asserting his own knowledge of Verres’ habits, readers are more likely to believe Cicero’s interpretation of any particular action by Verres and not seek alternative explanations</w:t>
      </w:r>
      <w:r w:rsidR="00D32EE1">
        <w:rPr>
          <w:sz w:val="24"/>
          <w:szCs w:val="24"/>
        </w:rPr>
        <w:t>. He ‘assumes Verres’ guilt while ostensibly proving it.’</w:t>
      </w:r>
      <w:r w:rsidR="00D32EE1">
        <w:rPr>
          <w:rStyle w:val="FootnoteReference"/>
          <w:sz w:val="24"/>
          <w:szCs w:val="24"/>
        </w:rPr>
        <w:footnoteReference w:id="20"/>
      </w:r>
      <w:r w:rsidR="00524683">
        <w:rPr>
          <w:sz w:val="24"/>
          <w:szCs w:val="24"/>
        </w:rPr>
        <w:t xml:space="preserve"> </w:t>
      </w:r>
      <w:r w:rsidR="00D32EE1">
        <w:rPr>
          <w:sz w:val="24"/>
          <w:szCs w:val="24"/>
        </w:rPr>
        <w:t>These last two sentences in the chapter support Brill’s claim generally that Cicero portrays Verres as ‘bloodthirsty, arrogant and tyrannical</w:t>
      </w:r>
      <w:r w:rsidR="0078641D">
        <w:rPr>
          <w:sz w:val="24"/>
          <w:szCs w:val="24"/>
        </w:rPr>
        <w:t>,</w:t>
      </w:r>
      <w:r w:rsidR="00D32EE1">
        <w:rPr>
          <w:sz w:val="24"/>
          <w:szCs w:val="24"/>
        </w:rPr>
        <w:t>’ like the Sicilian despots of old, despisers of men and gods, whose names are watchwords for cruelty</w:t>
      </w:r>
      <w:r w:rsidR="0078641D">
        <w:rPr>
          <w:sz w:val="24"/>
          <w:szCs w:val="24"/>
        </w:rPr>
        <w:t xml:space="preserve"> and well known to the Sicilians</w:t>
      </w:r>
      <w:r w:rsidR="00D32EE1">
        <w:rPr>
          <w:sz w:val="24"/>
          <w:szCs w:val="24"/>
        </w:rPr>
        <w:t>’</w:t>
      </w:r>
      <w:r w:rsidR="00D32EE1">
        <w:rPr>
          <w:rStyle w:val="FootnoteReference"/>
          <w:sz w:val="24"/>
          <w:szCs w:val="24"/>
        </w:rPr>
        <w:footnoteReference w:id="21"/>
      </w:r>
      <w:r w:rsidR="00143CC5">
        <w:rPr>
          <w:sz w:val="24"/>
          <w:szCs w:val="24"/>
        </w:rPr>
        <w:t xml:space="preserve"> </w:t>
      </w:r>
    </w:p>
    <w:p w14:paraId="3CC8D507" w14:textId="45874472" w:rsidR="00143CC5" w:rsidRDefault="00143CC5" w:rsidP="00DC1BB6">
      <w:pPr>
        <w:rPr>
          <w:sz w:val="24"/>
          <w:szCs w:val="24"/>
        </w:rPr>
      </w:pPr>
      <w:r>
        <w:rPr>
          <w:sz w:val="24"/>
          <w:szCs w:val="24"/>
        </w:rPr>
        <w:t xml:space="preserve">  Chapter 64 introduces us to </w:t>
      </w:r>
      <w:r w:rsidR="008F3983">
        <w:rPr>
          <w:sz w:val="24"/>
          <w:szCs w:val="24"/>
        </w:rPr>
        <w:t xml:space="preserve">the supercilious </w:t>
      </w:r>
      <w:r>
        <w:rPr>
          <w:sz w:val="24"/>
          <w:szCs w:val="24"/>
        </w:rPr>
        <w:t>Rubrius</w:t>
      </w:r>
      <w:r w:rsidR="008F3983">
        <w:rPr>
          <w:sz w:val="24"/>
          <w:szCs w:val="24"/>
        </w:rPr>
        <w:t>, who is contrasted effectively by Cicero with the respected Philodamus, whose daughter becomes the object of Verres’ wicked desires. The audience cannot help being sucked in by the enticing narrative</w:t>
      </w:r>
      <w:r w:rsidR="0078641D">
        <w:rPr>
          <w:sz w:val="24"/>
          <w:szCs w:val="24"/>
        </w:rPr>
        <w:t xml:space="preserve"> as Cicero builds up his case against Verres with conviction</w:t>
      </w:r>
      <w:r w:rsidR="008F3983">
        <w:rPr>
          <w:sz w:val="24"/>
          <w:szCs w:val="24"/>
        </w:rPr>
        <w:t xml:space="preserve">. </w:t>
      </w:r>
    </w:p>
    <w:p w14:paraId="25C4A111" w14:textId="0363C233" w:rsidR="00D12EA9" w:rsidRDefault="00D12EA9" w:rsidP="00DC1BB6">
      <w:pPr>
        <w:rPr>
          <w:sz w:val="24"/>
          <w:szCs w:val="24"/>
        </w:rPr>
      </w:pPr>
    </w:p>
    <w:p w14:paraId="251DDAC6" w14:textId="7D4771E9" w:rsidR="00D12EA9" w:rsidRDefault="00D12EA9" w:rsidP="00D12EA9">
      <w:pPr>
        <w:jc w:val="center"/>
        <w:rPr>
          <w:sz w:val="32"/>
          <w:szCs w:val="32"/>
        </w:rPr>
      </w:pPr>
      <w:r>
        <w:rPr>
          <w:sz w:val="32"/>
          <w:szCs w:val="32"/>
        </w:rPr>
        <w:t>Bibliography</w:t>
      </w:r>
    </w:p>
    <w:p w14:paraId="38E9E26B" w14:textId="39410F2D" w:rsidR="00190C80" w:rsidRPr="00E319EB" w:rsidRDefault="00190C80" w:rsidP="00190C80">
      <w:pPr>
        <w:rPr>
          <w:i/>
          <w:iCs/>
          <w:sz w:val="28"/>
          <w:szCs w:val="28"/>
        </w:rPr>
      </w:pPr>
      <w:r>
        <w:rPr>
          <w:sz w:val="28"/>
          <w:szCs w:val="28"/>
        </w:rPr>
        <w:t>Brill</w:t>
      </w:r>
      <w:r w:rsidR="00E319EB">
        <w:rPr>
          <w:sz w:val="28"/>
          <w:szCs w:val="28"/>
        </w:rPr>
        <w:t xml:space="preserve">’s Companion to Cicero: </w:t>
      </w:r>
      <w:r w:rsidR="00E319EB">
        <w:rPr>
          <w:i/>
          <w:iCs/>
          <w:sz w:val="28"/>
          <w:szCs w:val="28"/>
        </w:rPr>
        <w:t xml:space="preserve">Oratory and Rhetoric </w:t>
      </w:r>
      <w:r w:rsidR="00E319EB">
        <w:rPr>
          <w:sz w:val="28"/>
          <w:szCs w:val="28"/>
        </w:rPr>
        <w:t xml:space="preserve">(Leiden, 2002) ed. J. May e.g. Vasaly, A. 2002. </w:t>
      </w:r>
      <w:r w:rsidR="00E319EB">
        <w:rPr>
          <w:i/>
          <w:iCs/>
          <w:sz w:val="28"/>
          <w:szCs w:val="28"/>
        </w:rPr>
        <w:t>Cicero’s Early Speeches, 71-111</w:t>
      </w:r>
    </w:p>
    <w:p w14:paraId="4B7719EB" w14:textId="5C1DAC88" w:rsidR="00190C80" w:rsidRDefault="00190C80" w:rsidP="00190C80">
      <w:pPr>
        <w:rPr>
          <w:sz w:val="28"/>
          <w:szCs w:val="28"/>
        </w:rPr>
      </w:pPr>
      <w:r>
        <w:rPr>
          <w:sz w:val="28"/>
          <w:szCs w:val="28"/>
        </w:rPr>
        <w:t xml:space="preserve">Gildenhard, Ingo. (2011) </w:t>
      </w:r>
      <w:r>
        <w:rPr>
          <w:i/>
          <w:iCs/>
          <w:sz w:val="28"/>
          <w:szCs w:val="28"/>
        </w:rPr>
        <w:t xml:space="preserve">Creative Eloquence: The Construction of Reality in Cicero’s Speeches  </w:t>
      </w:r>
      <w:r>
        <w:rPr>
          <w:sz w:val="28"/>
          <w:szCs w:val="28"/>
        </w:rPr>
        <w:t>Oxford University Press</w:t>
      </w:r>
    </w:p>
    <w:p w14:paraId="7970CAA6" w14:textId="0B52CD7E" w:rsidR="00190C80" w:rsidRDefault="00190C80" w:rsidP="00190C80">
      <w:pPr>
        <w:rPr>
          <w:sz w:val="28"/>
          <w:szCs w:val="28"/>
        </w:rPr>
      </w:pPr>
      <w:r>
        <w:rPr>
          <w:sz w:val="28"/>
          <w:szCs w:val="28"/>
        </w:rPr>
        <w:t xml:space="preserve">Gildenhard, Ingo. (2011) </w:t>
      </w:r>
      <w:r>
        <w:rPr>
          <w:i/>
          <w:iCs/>
          <w:sz w:val="28"/>
          <w:szCs w:val="28"/>
        </w:rPr>
        <w:t xml:space="preserve">Cicero, Against Verres, 2.1.53-86 </w:t>
      </w:r>
      <w:r>
        <w:rPr>
          <w:sz w:val="28"/>
          <w:szCs w:val="28"/>
        </w:rPr>
        <w:t>Open Book Publishers</w:t>
      </w:r>
    </w:p>
    <w:p w14:paraId="02A21BE4" w14:textId="75E56B04" w:rsidR="00190C80" w:rsidRPr="00190C80" w:rsidRDefault="00190C80" w:rsidP="00190C80">
      <w:pPr>
        <w:rPr>
          <w:sz w:val="28"/>
          <w:szCs w:val="28"/>
        </w:rPr>
      </w:pPr>
      <w:r>
        <w:rPr>
          <w:sz w:val="28"/>
          <w:szCs w:val="28"/>
        </w:rPr>
        <w:t xml:space="preserve">Mitchell. T.N., (1986) </w:t>
      </w:r>
      <w:r>
        <w:rPr>
          <w:i/>
          <w:iCs/>
          <w:sz w:val="28"/>
          <w:szCs w:val="28"/>
        </w:rPr>
        <w:t xml:space="preserve">Cicero Verrines II.I </w:t>
      </w:r>
      <w:r>
        <w:rPr>
          <w:sz w:val="28"/>
          <w:szCs w:val="28"/>
        </w:rPr>
        <w:t>Aris and Phillips Ltd</w:t>
      </w:r>
    </w:p>
    <w:p w14:paraId="219A90A6" w14:textId="7F346A2B" w:rsidR="00D12EA9" w:rsidRDefault="00FF5189" w:rsidP="00D12EA9">
      <w:pPr>
        <w:rPr>
          <w:i/>
          <w:iCs/>
          <w:sz w:val="28"/>
          <w:szCs w:val="28"/>
        </w:rPr>
      </w:pPr>
      <w:r>
        <w:rPr>
          <w:sz w:val="28"/>
          <w:szCs w:val="28"/>
        </w:rPr>
        <w:t xml:space="preserve">Steel, C (2004) </w:t>
      </w:r>
      <w:r>
        <w:rPr>
          <w:i/>
          <w:iCs/>
          <w:sz w:val="28"/>
          <w:szCs w:val="28"/>
        </w:rPr>
        <w:t xml:space="preserve">Being Economical with the Truth: What Really Happened at Lampsacanus </w:t>
      </w:r>
      <w:r>
        <w:rPr>
          <w:sz w:val="28"/>
          <w:szCs w:val="28"/>
        </w:rPr>
        <w:t xml:space="preserve">in </w:t>
      </w:r>
      <w:r>
        <w:rPr>
          <w:i/>
          <w:iCs/>
          <w:sz w:val="28"/>
          <w:szCs w:val="28"/>
        </w:rPr>
        <w:t>Cicero the Advocate</w:t>
      </w:r>
      <w:r w:rsidR="00190C80">
        <w:rPr>
          <w:sz w:val="28"/>
          <w:szCs w:val="28"/>
        </w:rPr>
        <w:t xml:space="preserve"> (ed.), Jeremy Paterson (ed.).</w:t>
      </w:r>
      <w:r>
        <w:rPr>
          <w:sz w:val="28"/>
          <w:szCs w:val="28"/>
        </w:rPr>
        <w:t xml:space="preserve"> pp.233-51</w:t>
      </w:r>
      <w:r w:rsidR="00190C80">
        <w:rPr>
          <w:i/>
          <w:iCs/>
          <w:sz w:val="28"/>
          <w:szCs w:val="28"/>
        </w:rPr>
        <w:t xml:space="preserve"> </w:t>
      </w:r>
      <w:r w:rsidR="00190C80">
        <w:rPr>
          <w:sz w:val="28"/>
          <w:szCs w:val="28"/>
        </w:rPr>
        <w:t>Oxford University Press</w:t>
      </w:r>
      <w:r w:rsidR="00190C80">
        <w:rPr>
          <w:i/>
          <w:iCs/>
          <w:sz w:val="28"/>
          <w:szCs w:val="28"/>
        </w:rPr>
        <w:t xml:space="preserve"> </w:t>
      </w:r>
    </w:p>
    <w:p w14:paraId="32BE9FEC" w14:textId="19147A49" w:rsidR="00190C80" w:rsidRPr="00190C80" w:rsidRDefault="00190C80" w:rsidP="00D12EA9">
      <w:pPr>
        <w:rPr>
          <w:sz w:val="28"/>
          <w:szCs w:val="28"/>
        </w:rPr>
      </w:pPr>
      <w:r>
        <w:rPr>
          <w:sz w:val="28"/>
          <w:szCs w:val="28"/>
        </w:rPr>
        <w:t xml:space="preserve">Steel, C. (2001). </w:t>
      </w:r>
      <w:r>
        <w:rPr>
          <w:i/>
          <w:iCs/>
          <w:sz w:val="28"/>
          <w:szCs w:val="28"/>
        </w:rPr>
        <w:t xml:space="preserve">Cicero, Rhetoric, and Empire. </w:t>
      </w:r>
      <w:r>
        <w:rPr>
          <w:sz w:val="28"/>
          <w:szCs w:val="28"/>
        </w:rPr>
        <w:t>Oxford University Press</w:t>
      </w:r>
    </w:p>
    <w:p w14:paraId="1B4052BA" w14:textId="0EE4CFD2" w:rsidR="005F40EF" w:rsidRPr="00862876" w:rsidRDefault="005F40EF" w:rsidP="00DC1BB6">
      <w:pPr>
        <w:rPr>
          <w:sz w:val="24"/>
          <w:szCs w:val="24"/>
        </w:rPr>
      </w:pPr>
      <w:r>
        <w:rPr>
          <w:sz w:val="24"/>
          <w:szCs w:val="24"/>
        </w:rPr>
        <w:t xml:space="preserve">  </w:t>
      </w:r>
    </w:p>
    <w:p w14:paraId="58E1CAAA" w14:textId="10B20BFA" w:rsidR="009A0F58" w:rsidRPr="00121A39" w:rsidRDefault="005D5E8D" w:rsidP="00DC1BB6">
      <w:pPr>
        <w:rPr>
          <w:sz w:val="24"/>
          <w:szCs w:val="24"/>
        </w:rPr>
      </w:pPr>
      <w:r>
        <w:rPr>
          <w:sz w:val="24"/>
          <w:szCs w:val="24"/>
        </w:rPr>
        <w:t xml:space="preserve">  </w:t>
      </w:r>
      <w:r w:rsidR="00121A39">
        <w:rPr>
          <w:sz w:val="24"/>
          <w:szCs w:val="24"/>
        </w:rPr>
        <w:t xml:space="preserve"> </w:t>
      </w:r>
    </w:p>
    <w:p w14:paraId="0B5186BB" w14:textId="77777777" w:rsidR="00387263" w:rsidRPr="0079621B" w:rsidRDefault="00387263" w:rsidP="0079621B">
      <w:pPr>
        <w:rPr>
          <w:sz w:val="24"/>
          <w:szCs w:val="24"/>
        </w:rPr>
      </w:pPr>
    </w:p>
    <w:p w14:paraId="4F0D1B37" w14:textId="77777777" w:rsidR="0079621B" w:rsidRPr="0079621B" w:rsidRDefault="0079621B" w:rsidP="0079621B">
      <w:pPr>
        <w:rPr>
          <w:sz w:val="32"/>
          <w:szCs w:val="32"/>
        </w:rPr>
      </w:pPr>
    </w:p>
    <w:sectPr w:rsidR="0079621B" w:rsidRPr="007962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869E8" w14:textId="77777777" w:rsidR="00101D90" w:rsidRDefault="00101D90" w:rsidP="00DC1BB6">
      <w:pPr>
        <w:spacing w:after="0" w:line="240" w:lineRule="auto"/>
      </w:pPr>
      <w:r>
        <w:separator/>
      </w:r>
    </w:p>
  </w:endnote>
  <w:endnote w:type="continuationSeparator" w:id="0">
    <w:p w14:paraId="0192EA55" w14:textId="77777777" w:rsidR="00101D90" w:rsidRDefault="00101D90" w:rsidP="00DC1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5266D" w14:textId="77777777" w:rsidR="00101D90" w:rsidRDefault="00101D90" w:rsidP="00DC1BB6">
      <w:pPr>
        <w:spacing w:after="0" w:line="240" w:lineRule="auto"/>
      </w:pPr>
      <w:r>
        <w:separator/>
      </w:r>
    </w:p>
  </w:footnote>
  <w:footnote w:type="continuationSeparator" w:id="0">
    <w:p w14:paraId="44A270AE" w14:textId="77777777" w:rsidR="00101D90" w:rsidRDefault="00101D90" w:rsidP="00DC1BB6">
      <w:pPr>
        <w:spacing w:after="0" w:line="240" w:lineRule="auto"/>
      </w:pPr>
      <w:r>
        <w:continuationSeparator/>
      </w:r>
    </w:p>
  </w:footnote>
  <w:footnote w:id="1">
    <w:p w14:paraId="70BD7D9C" w14:textId="74BAAE48" w:rsidR="00DC1BB6" w:rsidRDefault="00DC1BB6">
      <w:pPr>
        <w:pStyle w:val="FootnoteText"/>
      </w:pPr>
      <w:r>
        <w:rPr>
          <w:rStyle w:val="FootnoteReference"/>
        </w:rPr>
        <w:footnoteRef/>
      </w:r>
      <w:r>
        <w:t xml:space="preserve"> </w:t>
      </w:r>
      <w:r w:rsidR="00FF5189">
        <w:t>Steel</w:t>
      </w:r>
      <w:r>
        <w:t xml:space="preserve">  </w:t>
      </w:r>
      <w:r w:rsidR="00FF5189">
        <w:t>Being Economical</w:t>
      </w:r>
      <w:r>
        <w:t xml:space="preserve">  </w:t>
      </w:r>
      <w:r w:rsidR="008F3983">
        <w:t>p</w:t>
      </w:r>
      <w:r>
        <w:t>233</w:t>
      </w:r>
    </w:p>
  </w:footnote>
  <w:footnote w:id="2">
    <w:p w14:paraId="1E6BDE20" w14:textId="5EEEF95E" w:rsidR="00DC1BB6" w:rsidRDefault="00DC1BB6">
      <w:pPr>
        <w:pStyle w:val="FootnoteText"/>
      </w:pPr>
      <w:r>
        <w:rPr>
          <w:rStyle w:val="FootnoteReference"/>
        </w:rPr>
        <w:footnoteRef/>
      </w:r>
      <w:r>
        <w:t xml:space="preserve"> Mitchell Verrines II.I  </w:t>
      </w:r>
      <w:r w:rsidR="008F3983">
        <w:t>p</w:t>
      </w:r>
      <w:r>
        <w:t>188</w:t>
      </w:r>
    </w:p>
  </w:footnote>
  <w:footnote w:id="3">
    <w:p w14:paraId="41A57838" w14:textId="3D610DDE" w:rsidR="00961126" w:rsidRDefault="00961126">
      <w:pPr>
        <w:pStyle w:val="FootnoteText"/>
      </w:pPr>
      <w:r>
        <w:rPr>
          <w:rStyle w:val="FootnoteReference"/>
        </w:rPr>
        <w:footnoteRef/>
      </w:r>
      <w:r>
        <w:t xml:space="preserve"> </w:t>
      </w:r>
      <w:r w:rsidR="00FF5189">
        <w:t>Steel</w:t>
      </w:r>
      <w:r>
        <w:t xml:space="preserve">  </w:t>
      </w:r>
      <w:r w:rsidR="00FF5189">
        <w:t>Being Economical</w:t>
      </w:r>
      <w:r>
        <w:t xml:space="preserve">  </w:t>
      </w:r>
      <w:r w:rsidR="008F3983">
        <w:t>p</w:t>
      </w:r>
      <w:r>
        <w:t>234</w:t>
      </w:r>
    </w:p>
  </w:footnote>
  <w:footnote w:id="4">
    <w:p w14:paraId="53DA4E01" w14:textId="35EE416A" w:rsidR="00961126" w:rsidRDefault="00961126">
      <w:pPr>
        <w:pStyle w:val="FootnoteText"/>
      </w:pPr>
      <w:r>
        <w:rPr>
          <w:rStyle w:val="FootnoteReference"/>
        </w:rPr>
        <w:footnoteRef/>
      </w:r>
      <w:r>
        <w:t xml:space="preserve"> Gildenhard Cicero against Verres  </w:t>
      </w:r>
      <w:r w:rsidR="008F3983">
        <w:t>p</w:t>
      </w:r>
      <w:r>
        <w:t>98</w:t>
      </w:r>
    </w:p>
  </w:footnote>
  <w:footnote w:id="5">
    <w:p w14:paraId="06163ADF" w14:textId="61E730C8" w:rsidR="009A0F58" w:rsidRDefault="009A0F58">
      <w:pPr>
        <w:pStyle w:val="FootnoteText"/>
      </w:pPr>
      <w:r>
        <w:rPr>
          <w:rStyle w:val="FootnoteReference"/>
        </w:rPr>
        <w:footnoteRef/>
      </w:r>
      <w:r>
        <w:t xml:space="preserve"> Gildenhard  Cicero against Verres  </w:t>
      </w:r>
      <w:r w:rsidR="008F3983">
        <w:t>p</w:t>
      </w:r>
      <w:r>
        <w:t>98</w:t>
      </w:r>
    </w:p>
  </w:footnote>
  <w:footnote w:id="6">
    <w:p w14:paraId="42A79FA4" w14:textId="7D4754A0" w:rsidR="005D5E8D" w:rsidRDefault="005D5E8D">
      <w:pPr>
        <w:pStyle w:val="FootnoteText"/>
      </w:pPr>
      <w:r>
        <w:rPr>
          <w:rStyle w:val="FootnoteReference"/>
        </w:rPr>
        <w:footnoteRef/>
      </w:r>
      <w:r>
        <w:t xml:space="preserve"> Mitchell Verrines II.i  </w:t>
      </w:r>
      <w:r w:rsidR="008F3983">
        <w:t>p</w:t>
      </w:r>
      <w:r>
        <w:t>190</w:t>
      </w:r>
    </w:p>
  </w:footnote>
  <w:footnote w:id="7">
    <w:p w14:paraId="15DDFA37" w14:textId="34867483" w:rsidR="00121A39" w:rsidRDefault="00121A39">
      <w:pPr>
        <w:pStyle w:val="FootnoteText"/>
      </w:pPr>
      <w:r>
        <w:rPr>
          <w:rStyle w:val="FootnoteReference"/>
        </w:rPr>
        <w:footnoteRef/>
      </w:r>
      <w:r>
        <w:t xml:space="preserve"> Gildenhard  Creative eloquence  </w:t>
      </w:r>
      <w:r w:rsidR="008F3983">
        <w:t>p</w:t>
      </w:r>
      <w:r>
        <w:t>266</w:t>
      </w:r>
    </w:p>
  </w:footnote>
  <w:footnote w:id="8">
    <w:p w14:paraId="14EC8953" w14:textId="04092E97" w:rsidR="00CA6B31" w:rsidRDefault="00CA6B31">
      <w:pPr>
        <w:pStyle w:val="FootnoteText"/>
      </w:pPr>
      <w:r>
        <w:rPr>
          <w:rStyle w:val="FootnoteReference"/>
        </w:rPr>
        <w:footnoteRef/>
      </w:r>
      <w:r>
        <w:t xml:space="preserve"> Mitchell  Verrines  II.I  </w:t>
      </w:r>
      <w:r w:rsidR="008F3983">
        <w:t>p</w:t>
      </w:r>
      <w:r>
        <w:t>190</w:t>
      </w:r>
    </w:p>
  </w:footnote>
  <w:footnote w:id="9">
    <w:p w14:paraId="51C83D7F" w14:textId="55559126" w:rsidR="00CA6B31" w:rsidRDefault="00CA6B31">
      <w:pPr>
        <w:pStyle w:val="FootnoteText"/>
      </w:pPr>
      <w:r>
        <w:rPr>
          <w:rStyle w:val="FootnoteReference"/>
        </w:rPr>
        <w:footnoteRef/>
      </w:r>
      <w:r>
        <w:t xml:space="preserve"> Gildenhard  Cicero against Verres  </w:t>
      </w:r>
      <w:r w:rsidR="008F3983">
        <w:t>p</w:t>
      </w:r>
      <w:r>
        <w:t>100</w:t>
      </w:r>
    </w:p>
  </w:footnote>
  <w:footnote w:id="10">
    <w:p w14:paraId="5A189DDD" w14:textId="4EAE48AE" w:rsidR="00AF5020" w:rsidRDefault="00AF5020">
      <w:pPr>
        <w:pStyle w:val="FootnoteText"/>
      </w:pPr>
      <w:r>
        <w:rPr>
          <w:rStyle w:val="FootnoteReference"/>
        </w:rPr>
        <w:footnoteRef/>
      </w:r>
      <w:r>
        <w:t xml:space="preserve"> Gildenhard Cicero against Verres  </w:t>
      </w:r>
      <w:r w:rsidR="008F3983">
        <w:t>p</w:t>
      </w:r>
      <w:r>
        <w:t>101</w:t>
      </w:r>
    </w:p>
  </w:footnote>
  <w:footnote w:id="11">
    <w:p w14:paraId="552FC4AE" w14:textId="67685C06" w:rsidR="00AF5020" w:rsidRDefault="00AF5020">
      <w:pPr>
        <w:pStyle w:val="FootnoteText"/>
      </w:pPr>
      <w:r>
        <w:rPr>
          <w:rStyle w:val="FootnoteReference"/>
        </w:rPr>
        <w:footnoteRef/>
      </w:r>
      <w:r>
        <w:t xml:space="preserve"> G</w:t>
      </w:r>
      <w:r w:rsidR="008F3983">
        <w:t>i</w:t>
      </w:r>
      <w:r>
        <w:t xml:space="preserve">ldenhard  Cicero against Verres  </w:t>
      </w:r>
      <w:r w:rsidR="008F3983">
        <w:t>p</w:t>
      </w:r>
      <w:r>
        <w:t>102</w:t>
      </w:r>
    </w:p>
  </w:footnote>
  <w:footnote w:id="12">
    <w:p w14:paraId="191793E9" w14:textId="380AAF5A" w:rsidR="00AF5020" w:rsidRDefault="00AF5020">
      <w:pPr>
        <w:pStyle w:val="FootnoteText"/>
      </w:pPr>
      <w:r>
        <w:rPr>
          <w:rStyle w:val="FootnoteReference"/>
        </w:rPr>
        <w:footnoteRef/>
      </w:r>
      <w:r>
        <w:t xml:space="preserve"> Mitchell </w:t>
      </w:r>
      <w:r w:rsidR="008F3983">
        <w:t xml:space="preserve"> </w:t>
      </w:r>
      <w:r>
        <w:t xml:space="preserve">Verrines II.I </w:t>
      </w:r>
      <w:r w:rsidR="008F3983">
        <w:t xml:space="preserve"> p</w:t>
      </w:r>
      <w:r>
        <w:t>190</w:t>
      </w:r>
    </w:p>
  </w:footnote>
  <w:footnote w:id="13">
    <w:p w14:paraId="2337DF55" w14:textId="3DA0042E" w:rsidR="00AF5579" w:rsidRDefault="00AF5579">
      <w:pPr>
        <w:pStyle w:val="FootnoteText"/>
      </w:pPr>
      <w:r>
        <w:rPr>
          <w:rStyle w:val="FootnoteReference"/>
        </w:rPr>
        <w:footnoteRef/>
      </w:r>
      <w:r>
        <w:t xml:space="preserve"> </w:t>
      </w:r>
      <w:r w:rsidR="00FF5189">
        <w:t>Steel</w:t>
      </w:r>
      <w:r>
        <w:t xml:space="preserve">  </w:t>
      </w:r>
      <w:r w:rsidR="00FF5189">
        <w:t>Being Economical</w:t>
      </w:r>
      <w:r>
        <w:t xml:space="preserve">  </w:t>
      </w:r>
      <w:r w:rsidR="008F3983">
        <w:t>p</w:t>
      </w:r>
      <w:r>
        <w:t>241</w:t>
      </w:r>
    </w:p>
  </w:footnote>
  <w:footnote w:id="14">
    <w:p w14:paraId="575F8EDC" w14:textId="4FBCAD92" w:rsidR="005F40EF" w:rsidRDefault="005F40EF">
      <w:pPr>
        <w:pStyle w:val="FootnoteText"/>
      </w:pPr>
      <w:r>
        <w:rPr>
          <w:rStyle w:val="FootnoteReference"/>
        </w:rPr>
        <w:footnoteRef/>
      </w:r>
      <w:r>
        <w:t xml:space="preserve"> Gildenhard  Cicero against Verres  </w:t>
      </w:r>
      <w:r w:rsidR="008F3983">
        <w:t>p</w:t>
      </w:r>
      <w:r>
        <w:t>102</w:t>
      </w:r>
    </w:p>
  </w:footnote>
  <w:footnote w:id="15">
    <w:p w14:paraId="257411E5" w14:textId="2B2E8350" w:rsidR="00836EA2" w:rsidRDefault="00836EA2">
      <w:pPr>
        <w:pStyle w:val="FootnoteText"/>
      </w:pPr>
      <w:r>
        <w:rPr>
          <w:rStyle w:val="FootnoteReference"/>
        </w:rPr>
        <w:footnoteRef/>
      </w:r>
      <w:r>
        <w:t xml:space="preserve"> </w:t>
      </w:r>
      <w:r w:rsidR="00FF5189">
        <w:t>Steel</w:t>
      </w:r>
      <w:r>
        <w:t xml:space="preserve">  </w:t>
      </w:r>
      <w:r w:rsidR="00FF5189">
        <w:t>Being DEconomical</w:t>
      </w:r>
      <w:r>
        <w:t xml:space="preserve">  </w:t>
      </w:r>
      <w:r w:rsidR="008F3983">
        <w:t>p</w:t>
      </w:r>
      <w:r>
        <w:t>244</w:t>
      </w:r>
    </w:p>
  </w:footnote>
  <w:footnote w:id="16">
    <w:p w14:paraId="4EDF4DA9" w14:textId="1B782B8E" w:rsidR="00535C3D" w:rsidRDefault="00535C3D">
      <w:pPr>
        <w:pStyle w:val="FootnoteText"/>
      </w:pPr>
      <w:r>
        <w:rPr>
          <w:rStyle w:val="FootnoteReference"/>
        </w:rPr>
        <w:footnoteRef/>
      </w:r>
      <w:r>
        <w:t xml:space="preserve"> Gildenhard  Cicero against Verres  </w:t>
      </w:r>
      <w:r w:rsidR="008F3983">
        <w:t>p</w:t>
      </w:r>
      <w:r w:rsidR="00524683">
        <w:t>102</w:t>
      </w:r>
    </w:p>
  </w:footnote>
  <w:footnote w:id="17">
    <w:p w14:paraId="00F95C35" w14:textId="6C2BA85F" w:rsidR="00524683" w:rsidRDefault="00524683">
      <w:pPr>
        <w:pStyle w:val="FootnoteText"/>
      </w:pPr>
      <w:r>
        <w:rPr>
          <w:rStyle w:val="FootnoteReference"/>
        </w:rPr>
        <w:footnoteRef/>
      </w:r>
      <w:r>
        <w:t xml:space="preserve"> Gildenhard  Cicero against Verres  </w:t>
      </w:r>
      <w:r w:rsidR="008F3983">
        <w:t>p</w:t>
      </w:r>
      <w:r>
        <w:t>103</w:t>
      </w:r>
    </w:p>
  </w:footnote>
  <w:footnote w:id="18">
    <w:p w14:paraId="528DB42F" w14:textId="7F03DD58" w:rsidR="00524683" w:rsidRDefault="00524683">
      <w:pPr>
        <w:pStyle w:val="FootnoteText"/>
      </w:pPr>
      <w:r>
        <w:rPr>
          <w:rStyle w:val="FootnoteReference"/>
        </w:rPr>
        <w:footnoteRef/>
      </w:r>
      <w:r>
        <w:t xml:space="preserve"> Gildenhard  Cicero against Verres  </w:t>
      </w:r>
      <w:r w:rsidR="008F3983">
        <w:t>p</w:t>
      </w:r>
      <w:r>
        <w:t>18</w:t>
      </w:r>
    </w:p>
  </w:footnote>
  <w:footnote w:id="19">
    <w:p w14:paraId="4DF81B34" w14:textId="1D807D9E" w:rsidR="00D32EE1" w:rsidRDefault="00D32EE1">
      <w:pPr>
        <w:pStyle w:val="FootnoteText"/>
      </w:pPr>
      <w:r>
        <w:rPr>
          <w:rStyle w:val="FootnoteReference"/>
        </w:rPr>
        <w:footnoteRef/>
      </w:r>
      <w:r>
        <w:t xml:space="preserve"> </w:t>
      </w:r>
      <w:r w:rsidR="00E319EB">
        <w:t>Powell</w:t>
      </w:r>
      <w:r>
        <w:t xml:space="preserve">  Cicero the advocate  </w:t>
      </w:r>
      <w:r w:rsidR="008F3983">
        <w:t>p</w:t>
      </w:r>
      <w:r>
        <w:t>245</w:t>
      </w:r>
    </w:p>
  </w:footnote>
  <w:footnote w:id="20">
    <w:p w14:paraId="56378DF2" w14:textId="089D0AF2" w:rsidR="00D32EE1" w:rsidRDefault="00D32EE1">
      <w:pPr>
        <w:pStyle w:val="FootnoteText"/>
      </w:pPr>
      <w:r>
        <w:rPr>
          <w:rStyle w:val="FootnoteReference"/>
        </w:rPr>
        <w:footnoteRef/>
      </w:r>
      <w:r>
        <w:t xml:space="preserve"> </w:t>
      </w:r>
      <w:r w:rsidR="00E319EB">
        <w:t xml:space="preserve">Powell </w:t>
      </w:r>
      <w:r>
        <w:t xml:space="preserve"> Cicero the advocate </w:t>
      </w:r>
      <w:r w:rsidR="00D12EA9">
        <w:t xml:space="preserve"> </w:t>
      </w:r>
      <w:r w:rsidR="008F3983">
        <w:t>p</w:t>
      </w:r>
      <w:r>
        <w:t xml:space="preserve"> 245</w:t>
      </w:r>
    </w:p>
  </w:footnote>
  <w:footnote w:id="21">
    <w:p w14:paraId="6D070F99" w14:textId="49035574" w:rsidR="00D32EE1" w:rsidRDefault="00D32EE1">
      <w:pPr>
        <w:pStyle w:val="FootnoteText"/>
      </w:pPr>
      <w:r>
        <w:rPr>
          <w:rStyle w:val="FootnoteReference"/>
        </w:rPr>
        <w:footnoteRef/>
      </w:r>
      <w:r>
        <w:t xml:space="preserve"> Brill </w:t>
      </w:r>
      <w:r w:rsidR="008F3983">
        <w:t xml:space="preserve"> Companion to Cicero </w:t>
      </w:r>
      <w:r w:rsidR="00D12EA9">
        <w:t xml:space="preserve"> </w:t>
      </w:r>
      <w:r w:rsidR="008F3983">
        <w:t>p</w:t>
      </w:r>
      <w:r>
        <w:t>100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21B"/>
    <w:rsid w:val="00101D90"/>
    <w:rsid w:val="00121A39"/>
    <w:rsid w:val="00143CC5"/>
    <w:rsid w:val="00160005"/>
    <w:rsid w:val="00190C80"/>
    <w:rsid w:val="00387263"/>
    <w:rsid w:val="00524683"/>
    <w:rsid w:val="00535C3D"/>
    <w:rsid w:val="005D5E8D"/>
    <w:rsid w:val="005F40EF"/>
    <w:rsid w:val="0078641D"/>
    <w:rsid w:val="0079621B"/>
    <w:rsid w:val="00836EA2"/>
    <w:rsid w:val="00862876"/>
    <w:rsid w:val="008F3983"/>
    <w:rsid w:val="00961126"/>
    <w:rsid w:val="00996D07"/>
    <w:rsid w:val="009A0F58"/>
    <w:rsid w:val="00A524EB"/>
    <w:rsid w:val="00A6393A"/>
    <w:rsid w:val="00AA6F01"/>
    <w:rsid w:val="00AF5020"/>
    <w:rsid w:val="00AF5579"/>
    <w:rsid w:val="00CA6B31"/>
    <w:rsid w:val="00CD16E4"/>
    <w:rsid w:val="00D05B43"/>
    <w:rsid w:val="00D12EA9"/>
    <w:rsid w:val="00D32EE1"/>
    <w:rsid w:val="00DC1BB6"/>
    <w:rsid w:val="00DF2A65"/>
    <w:rsid w:val="00E319EB"/>
    <w:rsid w:val="00EE339F"/>
    <w:rsid w:val="00F25808"/>
    <w:rsid w:val="00FA677C"/>
    <w:rsid w:val="00FC1D7E"/>
    <w:rsid w:val="00FF5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E295F"/>
  <w15:chartTrackingRefBased/>
  <w15:docId w15:val="{2DE03B2E-B9E0-49D5-B17B-EF48856EF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1B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1BB6"/>
    <w:rPr>
      <w:sz w:val="20"/>
      <w:szCs w:val="20"/>
    </w:rPr>
  </w:style>
  <w:style w:type="character" w:styleId="FootnoteReference">
    <w:name w:val="footnote reference"/>
    <w:basedOn w:val="DefaultParagraphFont"/>
    <w:uiPriority w:val="99"/>
    <w:semiHidden/>
    <w:unhideWhenUsed/>
    <w:rsid w:val="00DC1B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29FA9-23C6-4B1D-99BD-61E503A9A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9</cp:revision>
  <dcterms:created xsi:type="dcterms:W3CDTF">2023-02-04T15:31:00Z</dcterms:created>
  <dcterms:modified xsi:type="dcterms:W3CDTF">2023-02-08T11:07:00Z</dcterms:modified>
</cp:coreProperties>
</file>