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079CF" w14:textId="7E8AC1E5" w:rsidR="00D90D2F" w:rsidRPr="00781BB8" w:rsidRDefault="00D90D2F" w:rsidP="00ED6BBA">
      <w:pPr>
        <w:pStyle w:val="Heading1"/>
        <w:jc w:val="center"/>
        <w:rPr>
          <w:rFonts w:ascii="Arial" w:hAnsi="Arial" w:cs="Arial"/>
          <w:sz w:val="22"/>
          <w:szCs w:val="22"/>
        </w:rPr>
      </w:pPr>
      <w:r w:rsidRPr="00781BB8">
        <w:rPr>
          <w:rFonts w:ascii="Arial" w:hAnsi="Arial" w:cs="Arial"/>
          <w:sz w:val="22"/>
          <w:szCs w:val="22"/>
        </w:rPr>
        <w:t>Cultural Bound Syndrome in Mental Disorders</w:t>
      </w:r>
      <w:r w:rsidR="00582216">
        <w:rPr>
          <w:rFonts w:ascii="Arial" w:hAnsi="Arial" w:cs="Arial"/>
          <w:sz w:val="22"/>
          <w:szCs w:val="22"/>
        </w:rPr>
        <w:t xml:space="preserve"> (week 1)</w:t>
      </w:r>
    </w:p>
    <w:p w14:paraId="3344E7F5" w14:textId="77777777" w:rsidR="00010970" w:rsidRPr="00781BB8" w:rsidRDefault="00010970" w:rsidP="00010970">
      <w:pPr>
        <w:jc w:val="center"/>
        <w:rPr>
          <w:rFonts w:ascii="Arial" w:hAnsi="Arial" w:cs="Arial"/>
        </w:rPr>
      </w:pPr>
      <w:r w:rsidRPr="00781BB8">
        <w:rPr>
          <w:rFonts w:ascii="Arial" w:hAnsi="Arial" w:cs="Arial"/>
        </w:rPr>
        <w:t>University of Wales Trinity St Davis</w:t>
      </w:r>
    </w:p>
    <w:p w14:paraId="4964C968" w14:textId="48BD4397" w:rsidR="00D90D2F" w:rsidRPr="00781BB8" w:rsidRDefault="00ED6BBA" w:rsidP="00010970">
      <w:pPr>
        <w:jc w:val="center"/>
        <w:rPr>
          <w:rFonts w:ascii="Arial" w:hAnsi="Arial" w:cs="Arial"/>
        </w:rPr>
      </w:pPr>
      <w:r w:rsidRPr="00781BB8">
        <w:rPr>
          <w:rFonts w:ascii="Arial" w:hAnsi="Arial" w:cs="Arial"/>
        </w:rPr>
        <w:t>IICL, Birmingham</w:t>
      </w:r>
    </w:p>
    <w:p w14:paraId="4182248B" w14:textId="55727AFC" w:rsidR="00010970" w:rsidRDefault="002517E7" w:rsidP="00010970">
      <w:pPr>
        <w:jc w:val="center"/>
        <w:rPr>
          <w:rFonts w:ascii="Arial" w:hAnsi="Arial" w:cs="Arial"/>
        </w:rPr>
      </w:pPr>
      <w:r w:rsidRPr="002517E7">
        <w:rPr>
          <w:rFonts w:ascii="Arial" w:hAnsi="Arial" w:cs="Arial"/>
        </w:rPr>
        <w:t>Psychopathological Classifications and Provisions (BMHP6029_BIRM)</w:t>
      </w:r>
    </w:p>
    <w:p w14:paraId="2175927E" w14:textId="77777777" w:rsidR="002517E7" w:rsidRPr="00781BB8" w:rsidRDefault="002517E7" w:rsidP="00010970">
      <w:pPr>
        <w:jc w:val="center"/>
        <w:rPr>
          <w:rFonts w:ascii="Arial" w:hAnsi="Arial" w:cs="Arial"/>
        </w:rPr>
      </w:pPr>
    </w:p>
    <w:p w14:paraId="1BBCC31D" w14:textId="0E927825" w:rsidR="00D90D2F" w:rsidRPr="00781BB8" w:rsidRDefault="00D90D2F" w:rsidP="00D90D2F">
      <w:pPr>
        <w:rPr>
          <w:rFonts w:ascii="Arial" w:hAnsi="Arial" w:cs="Arial"/>
        </w:rPr>
      </w:pPr>
      <w:r w:rsidRPr="00781BB8">
        <w:rPr>
          <w:rFonts w:ascii="Arial" w:hAnsi="Arial" w:cs="Arial"/>
        </w:rPr>
        <w:t>This table is taken from Paniagua (2018).  Paniagua compares ICD 10 and DSM V in their guidance on the cultural bound syndrome.   If you are interested in learning more about the cultural bound syndromes of mental disorders, Kim, Wang</w:t>
      </w:r>
      <w:r w:rsidR="004F0D19" w:rsidRPr="00781BB8">
        <w:rPr>
          <w:rFonts w:ascii="Arial" w:hAnsi="Arial" w:cs="Arial"/>
        </w:rPr>
        <w:t>,</w:t>
      </w:r>
      <w:r w:rsidRPr="00781BB8">
        <w:rPr>
          <w:rFonts w:ascii="Arial" w:hAnsi="Arial" w:cs="Arial"/>
        </w:rPr>
        <w:t xml:space="preserve"> Park</w:t>
      </w:r>
      <w:r w:rsidR="004F0D19" w:rsidRPr="00781BB8">
        <w:rPr>
          <w:rFonts w:ascii="Arial" w:hAnsi="Arial" w:cs="Arial"/>
        </w:rPr>
        <w:t xml:space="preserve"> and Yun</w:t>
      </w:r>
      <w:r w:rsidRPr="00781BB8">
        <w:rPr>
          <w:rFonts w:ascii="Arial" w:hAnsi="Arial" w:cs="Arial"/>
        </w:rPr>
        <w:t xml:space="preserve">’s review of the literature in the US (2020) is an accessible paper with discussion on practical implications. </w:t>
      </w:r>
    </w:p>
    <w:p w14:paraId="07DE1FC4" w14:textId="77777777" w:rsidR="004F0D19" w:rsidRPr="00781BB8" w:rsidRDefault="004F0D19" w:rsidP="00D90D2F">
      <w:pPr>
        <w:rPr>
          <w:rFonts w:ascii="Arial" w:hAnsi="Arial" w:cs="Arial"/>
        </w:rPr>
      </w:pPr>
    </w:p>
    <w:p w14:paraId="19FBC734" w14:textId="2843A30F" w:rsidR="00D90D2F" w:rsidRPr="00781BB8" w:rsidRDefault="00D90D2F">
      <w:pPr>
        <w:rPr>
          <w:rFonts w:ascii="Arial" w:hAnsi="Arial" w:cs="Arial"/>
        </w:rPr>
      </w:pPr>
      <w:r w:rsidRPr="00781BB8">
        <w:rPr>
          <w:rFonts w:ascii="Arial" w:hAnsi="Arial" w:cs="Arial"/>
          <w:noProof/>
        </w:rPr>
        <w:drawing>
          <wp:inline distT="0" distB="0" distL="0" distR="0" wp14:anchorId="45D347E5" wp14:editId="0412CE0C">
            <wp:extent cx="5731510" cy="4587875"/>
            <wp:effectExtent l="0" t="0" r="2540" b="3175"/>
            <wp:docPr id="10346711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71100" name="Picture 1" descr="A screenshot of a computer&#10;&#10;Description automatically generated"/>
                    <pic:cNvPicPr/>
                  </pic:nvPicPr>
                  <pic:blipFill>
                    <a:blip r:embed="rId6"/>
                    <a:stretch>
                      <a:fillRect/>
                    </a:stretch>
                  </pic:blipFill>
                  <pic:spPr>
                    <a:xfrm>
                      <a:off x="0" y="0"/>
                      <a:ext cx="5731510" cy="4587875"/>
                    </a:xfrm>
                    <a:prstGeom prst="rect">
                      <a:avLst/>
                    </a:prstGeom>
                  </pic:spPr>
                </pic:pic>
              </a:graphicData>
            </a:graphic>
          </wp:inline>
        </w:drawing>
      </w:r>
    </w:p>
    <w:p w14:paraId="536B00BD" w14:textId="2C18BD0D" w:rsidR="00E0070C" w:rsidRPr="00781BB8" w:rsidRDefault="00E0070C" w:rsidP="004F0D19">
      <w:pPr>
        <w:rPr>
          <w:rFonts w:ascii="Arial" w:hAnsi="Arial" w:cs="Arial"/>
          <w:color w:val="2A2A2A"/>
          <w:shd w:val="clear" w:color="auto" w:fill="FFFFFF"/>
        </w:rPr>
      </w:pPr>
    </w:p>
    <w:p w14:paraId="7EE50217" w14:textId="5E39F936" w:rsidR="00E0070C" w:rsidRPr="00781BB8" w:rsidRDefault="00781BB8" w:rsidP="002517E7">
      <w:pPr>
        <w:pStyle w:val="Heading2"/>
        <w:spacing w:line="360" w:lineRule="auto"/>
        <w:rPr>
          <w:rFonts w:ascii="Arial" w:hAnsi="Arial" w:cs="Arial"/>
          <w:sz w:val="22"/>
          <w:szCs w:val="22"/>
          <w:shd w:val="clear" w:color="auto" w:fill="FFFFFF"/>
        </w:rPr>
      </w:pPr>
      <w:r w:rsidRPr="00781BB8">
        <w:rPr>
          <w:rFonts w:ascii="Arial" w:hAnsi="Arial" w:cs="Arial"/>
          <w:sz w:val="22"/>
          <w:szCs w:val="22"/>
          <w:shd w:val="clear" w:color="auto" w:fill="FFFFFF"/>
        </w:rPr>
        <w:t xml:space="preserve">Descriptions of some cultural bound syndromes in the literature. </w:t>
      </w:r>
    </w:p>
    <w:p w14:paraId="315FA98E" w14:textId="77777777" w:rsidR="00E0070C" w:rsidRPr="00781BB8" w:rsidRDefault="00E0070C" w:rsidP="002517E7">
      <w:pPr>
        <w:pStyle w:val="NoSpacing"/>
        <w:spacing w:line="360" w:lineRule="auto"/>
        <w:rPr>
          <w:rFonts w:ascii="Arial" w:hAnsi="Arial" w:cs="Arial"/>
          <w:b/>
          <w:u w:val="single"/>
        </w:rPr>
      </w:pPr>
      <w:r w:rsidRPr="00781BB8">
        <w:rPr>
          <w:rFonts w:ascii="Arial" w:hAnsi="Arial" w:cs="Arial"/>
          <w:b/>
          <w:u w:val="single"/>
        </w:rPr>
        <w:t>Hikikomori</w:t>
      </w:r>
      <w:r w:rsidRPr="00781BB8">
        <w:rPr>
          <w:rFonts w:ascii="Arial" w:hAnsi="Arial" w:cs="Arial"/>
          <w:b/>
        </w:rPr>
        <w:t xml:space="preserve"> (Origins: Japan)</w:t>
      </w:r>
    </w:p>
    <w:p w14:paraId="3DF86755" w14:textId="77777777" w:rsidR="00E0070C" w:rsidRPr="00781BB8" w:rsidRDefault="00E0070C" w:rsidP="002517E7">
      <w:pPr>
        <w:pStyle w:val="NoSpacing"/>
        <w:spacing w:line="360" w:lineRule="auto"/>
        <w:rPr>
          <w:rFonts w:ascii="Arial" w:hAnsi="Arial" w:cs="Arial"/>
        </w:rPr>
      </w:pPr>
      <w:r w:rsidRPr="00781BB8">
        <w:rPr>
          <w:rFonts w:ascii="Arial" w:hAnsi="Arial" w:cs="Arial"/>
        </w:rPr>
        <w:t xml:space="preserve">One example is </w:t>
      </w:r>
      <w:r w:rsidRPr="00781BB8">
        <w:rPr>
          <w:rFonts w:ascii="Arial" w:hAnsi="Arial" w:cs="Arial"/>
          <w:bCs/>
        </w:rPr>
        <w:t xml:space="preserve">hikikomori </w:t>
      </w:r>
      <w:r w:rsidRPr="00781BB8">
        <w:rPr>
          <w:rFonts w:ascii="Arial" w:hAnsi="Arial" w:cs="Arial"/>
        </w:rPr>
        <w:t xml:space="preserve">(literally meaning ‘to be pulled away’ and translated to English as ‘complete social withdrawal’), a condition which has attracted concern in Japan recently, affecting mainly male teens who are otherwise perfectly healthy. The condition makes them withdraw completely, locking themselves in their rooms sometimes for up to twenty years, in </w:t>
      </w:r>
      <w:r w:rsidRPr="00781BB8">
        <w:rPr>
          <w:rFonts w:ascii="Arial" w:hAnsi="Arial" w:cs="Arial"/>
        </w:rPr>
        <w:lastRenderedPageBreak/>
        <w:t xml:space="preserve">extreme cases leaving only occasionally to commit violent crimes, although most individuals affected are not violent, just depressive. The Japanese government have described hikikomori as a </w:t>
      </w:r>
      <w:r w:rsidRPr="00781BB8">
        <w:rPr>
          <w:rFonts w:ascii="Arial" w:hAnsi="Arial" w:cs="Arial"/>
          <w:bCs/>
        </w:rPr>
        <w:t xml:space="preserve">social disorder </w:t>
      </w:r>
      <w:r w:rsidRPr="00781BB8">
        <w:rPr>
          <w:rFonts w:ascii="Arial" w:hAnsi="Arial" w:cs="Arial"/>
        </w:rPr>
        <w:t xml:space="preserve">rather than a mental disorder, and say it is representative of the economic downturn the country is going through. </w:t>
      </w:r>
    </w:p>
    <w:p w14:paraId="7DA0EAF0" w14:textId="77777777" w:rsidR="00E0070C" w:rsidRDefault="00E0070C" w:rsidP="002517E7">
      <w:pPr>
        <w:pStyle w:val="NormalWeb"/>
        <w:spacing w:before="0" w:beforeAutospacing="0" w:after="0" w:afterAutospacing="0" w:line="360" w:lineRule="auto"/>
        <w:rPr>
          <w:rFonts w:ascii="Arial" w:hAnsi="Arial" w:cs="Arial"/>
          <w:sz w:val="22"/>
          <w:szCs w:val="22"/>
        </w:rPr>
      </w:pPr>
    </w:p>
    <w:p w14:paraId="6338BC82" w14:textId="77777777" w:rsidR="00781BB8" w:rsidRPr="00781BB8" w:rsidRDefault="00781BB8" w:rsidP="002517E7">
      <w:pPr>
        <w:pStyle w:val="NormalWeb"/>
        <w:spacing w:before="0" w:beforeAutospacing="0" w:after="0" w:afterAutospacing="0" w:line="360" w:lineRule="auto"/>
        <w:rPr>
          <w:rFonts w:ascii="Arial" w:hAnsi="Arial" w:cs="Arial"/>
          <w:sz w:val="22"/>
          <w:szCs w:val="22"/>
        </w:rPr>
      </w:pPr>
    </w:p>
    <w:p w14:paraId="2161E8D5" w14:textId="77777777" w:rsidR="00E0070C" w:rsidRPr="00781BB8" w:rsidRDefault="00E0070C" w:rsidP="002517E7">
      <w:pPr>
        <w:pStyle w:val="NormalWeb"/>
        <w:spacing w:before="0" w:beforeAutospacing="0" w:after="0" w:afterAutospacing="0" w:line="360" w:lineRule="auto"/>
        <w:rPr>
          <w:rFonts w:ascii="Arial" w:hAnsi="Arial" w:cs="Arial"/>
          <w:sz w:val="22"/>
          <w:szCs w:val="22"/>
        </w:rPr>
      </w:pPr>
      <w:r w:rsidRPr="00781BB8">
        <w:rPr>
          <w:rFonts w:ascii="Arial" w:hAnsi="Arial" w:cs="Arial"/>
          <w:b/>
          <w:bCs/>
          <w:color w:val="000000"/>
          <w:kern w:val="24"/>
          <w:sz w:val="22"/>
          <w:szCs w:val="22"/>
          <w:u w:val="single"/>
        </w:rPr>
        <w:t xml:space="preserve">Amok, or </w:t>
      </w:r>
      <w:proofErr w:type="spellStart"/>
      <w:r w:rsidRPr="00781BB8">
        <w:rPr>
          <w:rFonts w:ascii="Arial" w:hAnsi="Arial" w:cs="Arial"/>
          <w:b/>
          <w:bCs/>
          <w:color w:val="000000"/>
          <w:kern w:val="24"/>
          <w:sz w:val="22"/>
          <w:szCs w:val="22"/>
          <w:u w:val="single"/>
        </w:rPr>
        <w:t>mata</w:t>
      </w:r>
      <w:proofErr w:type="spellEnd"/>
      <w:r w:rsidRPr="00781BB8">
        <w:rPr>
          <w:rFonts w:ascii="Arial" w:hAnsi="Arial" w:cs="Arial"/>
          <w:b/>
          <w:bCs/>
          <w:color w:val="000000"/>
          <w:kern w:val="24"/>
          <w:sz w:val="22"/>
          <w:szCs w:val="22"/>
          <w:u w:val="single"/>
        </w:rPr>
        <w:t xml:space="preserve"> </w:t>
      </w:r>
      <w:proofErr w:type="spellStart"/>
      <w:r w:rsidRPr="00781BB8">
        <w:rPr>
          <w:rFonts w:ascii="Arial" w:hAnsi="Arial" w:cs="Arial"/>
          <w:b/>
          <w:bCs/>
          <w:color w:val="000000"/>
          <w:kern w:val="24"/>
          <w:sz w:val="22"/>
          <w:szCs w:val="22"/>
          <w:u w:val="single"/>
        </w:rPr>
        <w:t>galap</w:t>
      </w:r>
      <w:proofErr w:type="spellEnd"/>
      <w:r w:rsidRPr="00781BB8">
        <w:rPr>
          <w:rFonts w:ascii="Arial" w:hAnsi="Arial" w:cs="Arial"/>
          <w:b/>
          <w:bCs/>
          <w:color w:val="000000"/>
          <w:kern w:val="24"/>
          <w:sz w:val="22"/>
          <w:szCs w:val="22"/>
        </w:rPr>
        <w:t xml:space="preserve"> (Origins: Malaysia)</w:t>
      </w:r>
    </w:p>
    <w:p w14:paraId="442DFFBB" w14:textId="77777777" w:rsidR="00E0070C" w:rsidRPr="00781BB8" w:rsidRDefault="00E0070C" w:rsidP="002517E7">
      <w:pPr>
        <w:pStyle w:val="NormalWeb"/>
        <w:spacing w:before="0" w:beforeAutospacing="0" w:after="0" w:afterAutospacing="0" w:line="360" w:lineRule="auto"/>
        <w:rPr>
          <w:rFonts w:ascii="Arial" w:hAnsi="Arial" w:cs="Arial"/>
          <w:sz w:val="22"/>
          <w:szCs w:val="22"/>
        </w:rPr>
      </w:pPr>
      <w:r w:rsidRPr="00781BB8">
        <w:rPr>
          <w:rFonts w:ascii="Arial" w:hAnsi="Arial" w:cs="Arial"/>
          <w:color w:val="000000"/>
          <w:kern w:val="24"/>
          <w:sz w:val="22"/>
          <w:szCs w:val="22"/>
        </w:rPr>
        <w:t xml:space="preserve">The phrase </w:t>
      </w:r>
      <w:r w:rsidRPr="00781BB8">
        <w:rPr>
          <w:rFonts w:ascii="Arial" w:hAnsi="Arial" w:cs="Arial"/>
          <w:b/>
          <w:bCs/>
          <w:color w:val="000000"/>
          <w:kern w:val="24"/>
          <w:sz w:val="22"/>
          <w:szCs w:val="22"/>
        </w:rPr>
        <w:t>"</w:t>
      </w:r>
      <w:r w:rsidRPr="00781BB8">
        <w:rPr>
          <w:rFonts w:ascii="Arial" w:hAnsi="Arial" w:cs="Arial"/>
          <w:color w:val="000000"/>
          <w:kern w:val="24"/>
          <w:sz w:val="22"/>
          <w:szCs w:val="22"/>
        </w:rPr>
        <w:t>running amok</w:t>
      </w:r>
      <w:r w:rsidRPr="00781BB8">
        <w:rPr>
          <w:rFonts w:ascii="Arial" w:hAnsi="Arial" w:cs="Arial"/>
          <w:b/>
          <w:bCs/>
          <w:color w:val="000000"/>
          <w:kern w:val="24"/>
          <w:sz w:val="22"/>
          <w:szCs w:val="22"/>
        </w:rPr>
        <w:t>"</w:t>
      </w:r>
      <w:r w:rsidRPr="00781BB8">
        <w:rPr>
          <w:rFonts w:ascii="Arial" w:hAnsi="Arial" w:cs="Arial"/>
          <w:color w:val="000000"/>
          <w:kern w:val="24"/>
          <w:sz w:val="22"/>
          <w:szCs w:val="22"/>
        </w:rPr>
        <w:t xml:space="preserve"> comes from this syndrome. The victim, known as a </w:t>
      </w:r>
      <w:proofErr w:type="spellStart"/>
      <w:r w:rsidRPr="00781BB8">
        <w:rPr>
          <w:rFonts w:ascii="Arial" w:hAnsi="Arial" w:cs="Arial"/>
          <w:i/>
          <w:iCs/>
          <w:color w:val="000000"/>
          <w:kern w:val="24"/>
          <w:sz w:val="22"/>
          <w:szCs w:val="22"/>
        </w:rPr>
        <w:t>pengamok</w:t>
      </w:r>
      <w:proofErr w:type="spellEnd"/>
      <w:r w:rsidRPr="00781BB8">
        <w:rPr>
          <w:rFonts w:ascii="Arial" w:hAnsi="Arial" w:cs="Arial"/>
          <w:color w:val="000000"/>
          <w:kern w:val="24"/>
          <w:sz w:val="22"/>
          <w:szCs w:val="22"/>
        </w:rPr>
        <w:t xml:space="preserve">, suddenly withdraws from family and friends, then bursts into a murderous rage, attacking the people around him with whatever weapon is available. He does not stop until he is overpowered or killed; if the former, he falls into a sleep or stupor, often awakening with no knowledge of his violent acts. The </w:t>
      </w:r>
      <w:proofErr w:type="spellStart"/>
      <w:r w:rsidRPr="00781BB8">
        <w:rPr>
          <w:rFonts w:ascii="Arial" w:hAnsi="Arial" w:cs="Arial"/>
          <w:color w:val="000000"/>
          <w:kern w:val="24"/>
          <w:sz w:val="22"/>
          <w:szCs w:val="22"/>
        </w:rPr>
        <w:t>pengamok</w:t>
      </w:r>
      <w:proofErr w:type="spellEnd"/>
      <w:r w:rsidRPr="00781BB8">
        <w:rPr>
          <w:rFonts w:ascii="Arial" w:hAnsi="Arial" w:cs="Arial"/>
          <w:color w:val="000000"/>
          <w:kern w:val="24"/>
          <w:sz w:val="22"/>
          <w:szCs w:val="22"/>
        </w:rPr>
        <w:t xml:space="preserve"> is almost always a man between the ages of 20 and 45; there is only one female </w:t>
      </w:r>
      <w:proofErr w:type="spellStart"/>
      <w:r w:rsidRPr="00781BB8">
        <w:rPr>
          <w:rFonts w:ascii="Arial" w:hAnsi="Arial" w:cs="Arial"/>
          <w:color w:val="000000"/>
          <w:kern w:val="24"/>
          <w:sz w:val="22"/>
          <w:szCs w:val="22"/>
        </w:rPr>
        <w:t>pengamok</w:t>
      </w:r>
      <w:proofErr w:type="spellEnd"/>
      <w:r w:rsidRPr="00781BB8">
        <w:rPr>
          <w:rFonts w:ascii="Arial" w:hAnsi="Arial" w:cs="Arial"/>
          <w:color w:val="000000"/>
          <w:kern w:val="24"/>
          <w:sz w:val="22"/>
          <w:szCs w:val="22"/>
        </w:rPr>
        <w:t xml:space="preserve"> on record.</w:t>
      </w:r>
      <w:r w:rsidRPr="00781BB8">
        <w:rPr>
          <w:rFonts w:ascii="Arial" w:hAnsi="Arial" w:cs="Arial"/>
          <w:sz w:val="22"/>
          <w:szCs w:val="22"/>
        </w:rPr>
        <w:t xml:space="preserve"> </w:t>
      </w:r>
      <w:r w:rsidRPr="00781BB8">
        <w:rPr>
          <w:rFonts w:ascii="Arial" w:hAnsi="Arial" w:cs="Arial"/>
          <w:color w:val="000000"/>
          <w:kern w:val="24"/>
          <w:sz w:val="22"/>
          <w:szCs w:val="22"/>
        </w:rPr>
        <w:t>Some psychiatrists attribute amok to Malaysian culture</w:t>
      </w:r>
      <w:r w:rsidRPr="00781BB8">
        <w:rPr>
          <w:rFonts w:ascii="Arial" w:hAnsi="Arial" w:cs="Arial"/>
          <w:b/>
          <w:bCs/>
          <w:color w:val="000000"/>
          <w:kern w:val="24"/>
          <w:sz w:val="22"/>
          <w:szCs w:val="22"/>
        </w:rPr>
        <w:t>'</w:t>
      </w:r>
      <w:r w:rsidRPr="00781BB8">
        <w:rPr>
          <w:rFonts w:ascii="Arial" w:hAnsi="Arial" w:cs="Arial"/>
          <w:color w:val="000000"/>
          <w:kern w:val="24"/>
          <w:sz w:val="22"/>
          <w:szCs w:val="22"/>
        </w:rPr>
        <w:t xml:space="preserve">s combination of extreme indulgence of young children and extreme restrictiveness for adolescents. As a result, the young men might stifle their feelings of hostility </w:t>
      </w:r>
      <w:proofErr w:type="gramStart"/>
      <w:r w:rsidRPr="00781BB8">
        <w:rPr>
          <w:rFonts w:ascii="Arial" w:hAnsi="Arial" w:cs="Arial"/>
          <w:color w:val="000000"/>
          <w:kern w:val="24"/>
          <w:sz w:val="22"/>
          <w:szCs w:val="22"/>
        </w:rPr>
        <w:t>and also</w:t>
      </w:r>
      <w:proofErr w:type="gramEnd"/>
      <w:r w:rsidRPr="00781BB8">
        <w:rPr>
          <w:rFonts w:ascii="Arial" w:hAnsi="Arial" w:cs="Arial"/>
          <w:color w:val="000000"/>
          <w:kern w:val="24"/>
          <w:sz w:val="22"/>
          <w:szCs w:val="22"/>
        </w:rPr>
        <w:t xml:space="preserve"> might blame others for their difficulties, leading them to lash out. According to social psychologists, a victim might suffer from amok after a loss of social status or another major life change.</w:t>
      </w:r>
    </w:p>
    <w:p w14:paraId="33B8864C" w14:textId="77777777" w:rsidR="00E0070C" w:rsidRDefault="00E0070C" w:rsidP="002517E7">
      <w:pPr>
        <w:spacing w:after="0" w:line="360" w:lineRule="auto"/>
        <w:rPr>
          <w:rFonts w:ascii="Arial" w:hAnsi="Arial" w:cs="Arial"/>
          <w:b/>
          <w:u w:val="single"/>
          <w:lang w:val="en-US"/>
        </w:rPr>
      </w:pPr>
    </w:p>
    <w:p w14:paraId="22187176" w14:textId="77777777" w:rsidR="00781BB8" w:rsidRPr="00781BB8" w:rsidRDefault="00781BB8" w:rsidP="002517E7">
      <w:pPr>
        <w:spacing w:after="0" w:line="360" w:lineRule="auto"/>
        <w:rPr>
          <w:rFonts w:ascii="Arial" w:hAnsi="Arial" w:cs="Arial"/>
          <w:b/>
          <w:u w:val="single"/>
          <w:lang w:val="en-US"/>
        </w:rPr>
      </w:pPr>
    </w:p>
    <w:p w14:paraId="4904D186" w14:textId="77777777" w:rsidR="00E0070C" w:rsidRPr="00781BB8" w:rsidRDefault="00E0070C" w:rsidP="002517E7">
      <w:pPr>
        <w:spacing w:after="0" w:line="360" w:lineRule="auto"/>
        <w:rPr>
          <w:rFonts w:ascii="Arial" w:hAnsi="Arial" w:cs="Arial"/>
          <w:b/>
          <w:u w:val="single"/>
          <w:lang w:val="en-US"/>
        </w:rPr>
      </w:pPr>
      <w:r w:rsidRPr="00781BB8">
        <w:rPr>
          <w:rFonts w:ascii="Arial" w:hAnsi="Arial" w:cs="Arial"/>
          <w:b/>
          <w:u w:val="single"/>
          <w:lang w:val="en-US"/>
        </w:rPr>
        <w:t>Wendigo</w:t>
      </w:r>
    </w:p>
    <w:p w14:paraId="58E6D932" w14:textId="77777777" w:rsidR="00E0070C" w:rsidRPr="00781BB8" w:rsidRDefault="00E0070C" w:rsidP="002517E7">
      <w:pPr>
        <w:spacing w:after="0" w:line="360" w:lineRule="auto"/>
        <w:rPr>
          <w:rFonts w:ascii="Arial" w:hAnsi="Arial" w:cs="Arial"/>
          <w:lang w:val="en-US"/>
        </w:rPr>
      </w:pPr>
      <w:r w:rsidRPr="00781BB8">
        <w:rPr>
          <w:rFonts w:ascii="Arial" w:hAnsi="Arial" w:cs="Arial"/>
          <w:lang w:val="en-US"/>
        </w:rPr>
        <w:t xml:space="preserve">Wendigo Psychosis is a mental disorder in which a person intensely craves human flesh and thinks they are turning into a cannibal (despite an abundance of healthy food available). The most common response amongst the aboriginal communities in which wendigo psychosis was most prevalent, was curing attempts by traditional native healers or Western doctors. In the unusual cases when these attempts failed, and the Wendigo sufferer began either to threaten those around them or to act violently or anti-socially, they were then generally executed. While some have denied the existence of this disorder, there are </w:t>
      </w:r>
      <w:proofErr w:type="gramStart"/>
      <w:r w:rsidRPr="00781BB8">
        <w:rPr>
          <w:rFonts w:ascii="Arial" w:hAnsi="Arial" w:cs="Arial"/>
          <w:lang w:val="en-US"/>
        </w:rPr>
        <w:t>a number of</w:t>
      </w:r>
      <w:proofErr w:type="gramEnd"/>
      <w:r w:rsidRPr="00781BB8">
        <w:rPr>
          <w:rFonts w:ascii="Arial" w:hAnsi="Arial" w:cs="Arial"/>
          <w:lang w:val="en-US"/>
        </w:rPr>
        <w:t xml:space="preserve"> credible eyewitness accounts, both by aboriginal communities and by Westerners, that prove that Wendigo psychosis is a factual historical phenomenon.</w:t>
      </w:r>
    </w:p>
    <w:p w14:paraId="2B273300" w14:textId="77777777" w:rsidR="00E0070C" w:rsidRDefault="00E0070C" w:rsidP="002517E7">
      <w:pPr>
        <w:spacing w:after="0" w:line="360" w:lineRule="auto"/>
        <w:rPr>
          <w:rFonts w:ascii="Arial" w:hAnsi="Arial" w:cs="Arial"/>
          <w:b/>
          <w:lang w:val="en-US"/>
        </w:rPr>
      </w:pPr>
    </w:p>
    <w:p w14:paraId="1EE7182D" w14:textId="77777777" w:rsidR="00781BB8" w:rsidRPr="00781BB8" w:rsidRDefault="00781BB8" w:rsidP="002517E7">
      <w:pPr>
        <w:spacing w:after="0" w:line="360" w:lineRule="auto"/>
        <w:rPr>
          <w:rFonts w:ascii="Arial" w:hAnsi="Arial" w:cs="Arial"/>
          <w:b/>
          <w:lang w:val="en-US"/>
        </w:rPr>
      </w:pPr>
    </w:p>
    <w:p w14:paraId="19DC46B1" w14:textId="77777777" w:rsidR="00E0070C" w:rsidRPr="00781BB8" w:rsidRDefault="00E0070C" w:rsidP="002517E7">
      <w:pPr>
        <w:spacing w:after="0" w:line="360" w:lineRule="auto"/>
        <w:rPr>
          <w:rFonts w:ascii="Arial" w:hAnsi="Arial" w:cs="Arial"/>
          <w:b/>
          <w:u w:val="single"/>
          <w:lang w:val="en-US"/>
        </w:rPr>
      </w:pPr>
      <w:r w:rsidRPr="00781BB8">
        <w:rPr>
          <w:rFonts w:ascii="Arial" w:hAnsi="Arial" w:cs="Arial"/>
          <w:b/>
          <w:u w:val="single"/>
          <w:lang w:val="en-US"/>
        </w:rPr>
        <w:t>Berserkers</w:t>
      </w:r>
    </w:p>
    <w:p w14:paraId="3290B6EA" w14:textId="77777777" w:rsidR="00E0070C" w:rsidRDefault="00E0070C" w:rsidP="002517E7">
      <w:pPr>
        <w:spacing w:after="0" w:line="360" w:lineRule="auto"/>
        <w:rPr>
          <w:rFonts w:ascii="Arial" w:hAnsi="Arial" w:cs="Arial"/>
          <w:lang w:val="en-US"/>
        </w:rPr>
      </w:pPr>
      <w:r w:rsidRPr="00781BB8">
        <w:rPr>
          <w:rFonts w:ascii="Arial" w:hAnsi="Arial" w:cs="Arial"/>
          <w:lang w:val="en-US"/>
        </w:rPr>
        <w:t xml:space="preserve">This fury affecting the Norsemen, which was called </w:t>
      </w:r>
      <w:proofErr w:type="spellStart"/>
      <w:r w:rsidRPr="00781BB8">
        <w:rPr>
          <w:rFonts w:ascii="Arial" w:hAnsi="Arial" w:cs="Arial"/>
          <w:lang w:val="en-US"/>
        </w:rPr>
        <w:t>berserkergang</w:t>
      </w:r>
      <w:proofErr w:type="spellEnd"/>
      <w:r w:rsidRPr="00781BB8">
        <w:rPr>
          <w:rFonts w:ascii="Arial" w:hAnsi="Arial" w:cs="Arial"/>
          <w:lang w:val="en-US"/>
        </w:rPr>
        <w:t xml:space="preserve">, occurred not only in the heat of battle, but also during laborious work. Men who were thus seized performed things which otherwise seemed impossible for human power. This condition is said to have begun with shivering, chattering of the teeth, and chill in the body, and then the face swelled and </w:t>
      </w:r>
      <w:r w:rsidRPr="00781BB8">
        <w:rPr>
          <w:rFonts w:ascii="Arial" w:hAnsi="Arial" w:cs="Arial"/>
          <w:lang w:val="en-US"/>
        </w:rPr>
        <w:lastRenderedPageBreak/>
        <w:t>changed its color. With this was connected a great hot-headedness, which at last gave over into a great rage, under which they howled as wild animals, bit the edge of their shields, and cut down everything they met without discriminating between friend or foe. When this condition ceased, a great dulling of the mind and feebleness followed, which could last for one or several days.</w:t>
      </w:r>
    </w:p>
    <w:p w14:paraId="19F3B61F" w14:textId="77777777" w:rsidR="00781BB8" w:rsidRPr="00781BB8" w:rsidRDefault="00781BB8" w:rsidP="002517E7">
      <w:pPr>
        <w:spacing w:after="0" w:line="360" w:lineRule="auto"/>
        <w:rPr>
          <w:rFonts w:ascii="Arial" w:hAnsi="Arial" w:cs="Arial"/>
          <w:lang w:val="en-US"/>
        </w:rPr>
      </w:pPr>
    </w:p>
    <w:p w14:paraId="74C5F4D7" w14:textId="77777777" w:rsidR="00E0070C" w:rsidRPr="00781BB8" w:rsidRDefault="00E0070C" w:rsidP="002517E7">
      <w:pPr>
        <w:spacing w:after="0" w:line="360" w:lineRule="auto"/>
        <w:rPr>
          <w:rFonts w:ascii="Arial" w:hAnsi="Arial" w:cs="Arial"/>
          <w:b/>
          <w:lang w:val="en-US"/>
        </w:rPr>
      </w:pPr>
    </w:p>
    <w:p w14:paraId="694EC108" w14:textId="77777777" w:rsidR="00E0070C" w:rsidRPr="00781BB8" w:rsidRDefault="00E0070C" w:rsidP="002517E7">
      <w:pPr>
        <w:spacing w:after="0" w:line="360" w:lineRule="auto"/>
        <w:rPr>
          <w:rFonts w:ascii="Arial" w:hAnsi="Arial" w:cs="Arial"/>
          <w:b/>
          <w:u w:val="single"/>
          <w:lang w:val="en-US"/>
        </w:rPr>
      </w:pPr>
      <w:r w:rsidRPr="00781BB8">
        <w:rPr>
          <w:rFonts w:ascii="Arial" w:hAnsi="Arial" w:cs="Arial"/>
          <w:b/>
          <w:u w:val="single"/>
          <w:lang w:val="en-US"/>
        </w:rPr>
        <w:t>Ghost Sickness</w:t>
      </w:r>
    </w:p>
    <w:p w14:paraId="0D504386" w14:textId="77777777" w:rsidR="00E0070C" w:rsidRPr="00781BB8" w:rsidRDefault="00E0070C" w:rsidP="002517E7">
      <w:pPr>
        <w:spacing w:after="0" w:line="360" w:lineRule="auto"/>
        <w:rPr>
          <w:rFonts w:ascii="Arial" w:hAnsi="Arial" w:cs="Arial"/>
          <w:lang w:val="en-US"/>
        </w:rPr>
      </w:pPr>
      <w:r w:rsidRPr="00781BB8">
        <w:rPr>
          <w:rFonts w:ascii="Arial" w:hAnsi="Arial" w:cs="Arial"/>
          <w:lang w:val="en-US"/>
        </w:rPr>
        <w:t xml:space="preserve">Ghost sickness is a culture-bound syndrome which some Native American tribes believe to be caused by association with the dead or dying. It is sometimes associated with witchcraft. It </w:t>
      </w:r>
      <w:proofErr w:type="gramStart"/>
      <w:r w:rsidRPr="00781BB8">
        <w:rPr>
          <w:rFonts w:ascii="Arial" w:hAnsi="Arial" w:cs="Arial"/>
          <w:lang w:val="en-US"/>
        </w:rPr>
        <w:t>is considered to be</w:t>
      </w:r>
      <w:proofErr w:type="gramEnd"/>
      <w:r w:rsidRPr="00781BB8">
        <w:rPr>
          <w:rFonts w:ascii="Arial" w:hAnsi="Arial" w:cs="Arial"/>
          <w:lang w:val="en-US"/>
        </w:rPr>
        <w:t xml:space="preserve"> a psychotic disorder of Navajo origin. Its symptoms include general weakness, loss of appetite, a feeling of suffocation, recurring nightmares, and a pervasive feeling of terror. A symptom of “ghost sickness” is suffocation. This may be associated with a coffin. If you were buried alive with a loved one or friend below ground, you may feel as if you were suffocating. The sickness is attributed to ghosts (chindi) or, occasionally, to witches.</w:t>
      </w:r>
    </w:p>
    <w:p w14:paraId="5B3B2992" w14:textId="77777777" w:rsidR="00E0070C" w:rsidRDefault="00E0070C" w:rsidP="002517E7">
      <w:pPr>
        <w:spacing w:line="360" w:lineRule="auto"/>
        <w:rPr>
          <w:rFonts w:ascii="Arial" w:hAnsi="Arial" w:cs="Arial"/>
        </w:rPr>
      </w:pPr>
    </w:p>
    <w:p w14:paraId="1BFE5765" w14:textId="77777777" w:rsidR="00781BB8" w:rsidRPr="00781BB8" w:rsidRDefault="00781BB8" w:rsidP="002517E7">
      <w:pPr>
        <w:spacing w:line="360" w:lineRule="auto"/>
        <w:rPr>
          <w:rFonts w:ascii="Arial" w:hAnsi="Arial" w:cs="Arial"/>
        </w:rPr>
      </w:pPr>
    </w:p>
    <w:p w14:paraId="145DB3A4" w14:textId="212FF17B" w:rsidR="00E0070C" w:rsidRPr="00781BB8" w:rsidRDefault="00E0070C" w:rsidP="002517E7">
      <w:pPr>
        <w:pStyle w:val="Heading2"/>
        <w:spacing w:line="360" w:lineRule="auto"/>
        <w:rPr>
          <w:shd w:val="clear" w:color="auto" w:fill="FFFFFF"/>
        </w:rPr>
      </w:pPr>
      <w:r w:rsidRPr="00781BB8">
        <w:rPr>
          <w:shd w:val="clear" w:color="auto" w:fill="FFFFFF"/>
        </w:rPr>
        <w:t xml:space="preserve">References </w:t>
      </w:r>
    </w:p>
    <w:p w14:paraId="6D1D05C6" w14:textId="69C14A28" w:rsidR="004F0D19" w:rsidRPr="00781BB8" w:rsidRDefault="004F0D19" w:rsidP="002517E7">
      <w:pPr>
        <w:spacing w:line="360" w:lineRule="auto"/>
        <w:rPr>
          <w:rFonts w:ascii="Arial" w:hAnsi="Arial" w:cs="Arial"/>
        </w:rPr>
      </w:pPr>
      <w:r w:rsidRPr="00781BB8">
        <w:rPr>
          <w:rFonts w:ascii="Arial" w:hAnsi="Arial" w:cs="Arial"/>
          <w:color w:val="2A2A2A"/>
          <w:shd w:val="clear" w:color="auto" w:fill="FFFFFF"/>
        </w:rPr>
        <w:t>Kim, G., Wang, SY., Park, S. and Yun, SW. (2020) Mental Health of Asian American Older Adults: Contemporary Issues and Future Directions, </w:t>
      </w:r>
      <w:r w:rsidRPr="00781BB8">
        <w:rPr>
          <w:rStyle w:val="Emphasis"/>
          <w:rFonts w:ascii="Arial" w:hAnsi="Arial" w:cs="Arial"/>
          <w:color w:val="2A2A2A"/>
          <w:bdr w:val="none" w:sz="0" w:space="0" w:color="auto" w:frame="1"/>
          <w:shd w:val="clear" w:color="auto" w:fill="FFFFFF"/>
        </w:rPr>
        <w:t>Innovation in Aging</w:t>
      </w:r>
      <w:r w:rsidRPr="00781BB8">
        <w:rPr>
          <w:rFonts w:ascii="Arial" w:hAnsi="Arial" w:cs="Arial"/>
          <w:color w:val="2A2A2A"/>
          <w:shd w:val="clear" w:color="auto" w:fill="FFFFFF"/>
        </w:rPr>
        <w:t>, Volume 4, Issue 5, </w:t>
      </w:r>
      <w:hyperlink r:id="rId7" w:history="1">
        <w:r w:rsidRPr="00781BB8">
          <w:rPr>
            <w:rStyle w:val="Hyperlink"/>
            <w:rFonts w:ascii="Arial" w:hAnsi="Arial" w:cs="Arial"/>
            <w:color w:val="006FB7"/>
            <w:bdr w:val="none" w:sz="0" w:space="0" w:color="auto" w:frame="1"/>
            <w:shd w:val="clear" w:color="auto" w:fill="FFFFFF"/>
          </w:rPr>
          <w:t>https://doi.org/10.1093/geroni/igaa037</w:t>
        </w:r>
      </w:hyperlink>
    </w:p>
    <w:p w14:paraId="29431D4B" w14:textId="0144659C" w:rsidR="00D90D2F" w:rsidRPr="00781BB8" w:rsidRDefault="00D90D2F" w:rsidP="002517E7">
      <w:pPr>
        <w:spacing w:line="360" w:lineRule="auto"/>
        <w:rPr>
          <w:rFonts w:ascii="Arial" w:hAnsi="Arial" w:cs="Arial"/>
          <w:lang w:val="da-DK"/>
        </w:rPr>
      </w:pPr>
      <w:r w:rsidRPr="00781BB8">
        <w:rPr>
          <w:rFonts w:ascii="Arial" w:hAnsi="Arial" w:cs="Arial"/>
          <w:color w:val="333333"/>
          <w:shd w:val="clear" w:color="auto" w:fill="FFFFFF"/>
        </w:rPr>
        <w:t>Paniagua, F. A. (2018) ICD-10 Versus DSM-5 on Cultural Issues. </w:t>
      </w:r>
      <w:r w:rsidRPr="00781BB8">
        <w:rPr>
          <w:rFonts w:ascii="Arial" w:hAnsi="Arial" w:cs="Arial"/>
          <w:i/>
          <w:iCs/>
          <w:color w:val="333333"/>
          <w:shd w:val="clear" w:color="auto" w:fill="FFFFFF"/>
          <w:lang w:val="da-DK"/>
        </w:rPr>
        <w:t>Sage Open</w:t>
      </w:r>
      <w:r w:rsidRPr="00781BB8">
        <w:rPr>
          <w:rFonts w:ascii="Arial" w:hAnsi="Arial" w:cs="Arial"/>
          <w:color w:val="333333"/>
          <w:shd w:val="clear" w:color="auto" w:fill="FFFFFF"/>
          <w:lang w:val="da-DK"/>
        </w:rPr>
        <w:t>, </w:t>
      </w:r>
      <w:r w:rsidRPr="00781BB8">
        <w:rPr>
          <w:rFonts w:ascii="Arial" w:hAnsi="Arial" w:cs="Arial"/>
          <w:i/>
          <w:iCs/>
          <w:color w:val="333333"/>
          <w:shd w:val="clear" w:color="auto" w:fill="FFFFFF"/>
          <w:lang w:val="da-DK"/>
        </w:rPr>
        <w:t>8</w:t>
      </w:r>
      <w:r w:rsidRPr="00781BB8">
        <w:rPr>
          <w:rFonts w:ascii="Arial" w:hAnsi="Arial" w:cs="Arial"/>
          <w:color w:val="333333"/>
          <w:shd w:val="clear" w:color="auto" w:fill="FFFFFF"/>
          <w:lang w:val="da-DK"/>
        </w:rPr>
        <w:t>(1). </w:t>
      </w:r>
      <w:hyperlink r:id="rId8" w:history="1">
        <w:r w:rsidRPr="00781BB8">
          <w:rPr>
            <w:rStyle w:val="Hyperlink"/>
            <w:rFonts w:ascii="Arial" w:hAnsi="Arial" w:cs="Arial"/>
            <w:color w:val="006ACC"/>
            <w:shd w:val="clear" w:color="auto" w:fill="FFFFFF"/>
            <w:lang w:val="da-DK"/>
          </w:rPr>
          <w:t>https://doi.org/10.1177/2158244018756165</w:t>
        </w:r>
      </w:hyperlink>
    </w:p>
    <w:p w14:paraId="2417EBE6" w14:textId="77777777" w:rsidR="004F0D19" w:rsidRPr="00781BB8" w:rsidRDefault="004F0D19" w:rsidP="002517E7">
      <w:pPr>
        <w:spacing w:line="360" w:lineRule="auto"/>
        <w:rPr>
          <w:rFonts w:ascii="Arial" w:hAnsi="Arial" w:cs="Arial"/>
          <w:lang w:val="da-DK"/>
        </w:rPr>
      </w:pPr>
    </w:p>
    <w:sectPr w:rsidR="004F0D19" w:rsidRPr="00781B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74062" w14:textId="77777777" w:rsidR="00392AA5" w:rsidRDefault="00392AA5" w:rsidP="00E0070C">
      <w:pPr>
        <w:spacing w:after="0" w:line="240" w:lineRule="auto"/>
      </w:pPr>
      <w:r>
        <w:separator/>
      </w:r>
    </w:p>
  </w:endnote>
  <w:endnote w:type="continuationSeparator" w:id="0">
    <w:p w14:paraId="122F9E7C" w14:textId="77777777" w:rsidR="00392AA5" w:rsidRDefault="00392AA5" w:rsidP="00E00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D4C8A" w14:textId="77777777" w:rsidR="00392AA5" w:rsidRDefault="00392AA5" w:rsidP="00E0070C">
      <w:pPr>
        <w:spacing w:after="0" w:line="240" w:lineRule="auto"/>
      </w:pPr>
      <w:r>
        <w:separator/>
      </w:r>
    </w:p>
  </w:footnote>
  <w:footnote w:type="continuationSeparator" w:id="0">
    <w:p w14:paraId="49855370" w14:textId="77777777" w:rsidR="00392AA5" w:rsidRDefault="00392AA5" w:rsidP="00E007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381"/>
    <w:rsid w:val="00010970"/>
    <w:rsid w:val="00160D7F"/>
    <w:rsid w:val="002517E7"/>
    <w:rsid w:val="00262685"/>
    <w:rsid w:val="00392AA5"/>
    <w:rsid w:val="00445381"/>
    <w:rsid w:val="004F0D19"/>
    <w:rsid w:val="00582216"/>
    <w:rsid w:val="00651D4D"/>
    <w:rsid w:val="00781BB8"/>
    <w:rsid w:val="007B4C79"/>
    <w:rsid w:val="008407A8"/>
    <w:rsid w:val="00C3157B"/>
    <w:rsid w:val="00D90D2F"/>
    <w:rsid w:val="00E0070C"/>
    <w:rsid w:val="00ED6B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CDC76D"/>
  <w15:chartTrackingRefBased/>
  <w15:docId w15:val="{344462CB-A168-4E98-A7A7-2FDBF6E4F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D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1B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0D2F"/>
    <w:rPr>
      <w:color w:val="0000FF"/>
      <w:u w:val="single"/>
    </w:rPr>
  </w:style>
  <w:style w:type="character" w:customStyle="1" w:styleId="Heading1Char">
    <w:name w:val="Heading 1 Char"/>
    <w:basedOn w:val="DefaultParagraphFont"/>
    <w:link w:val="Heading1"/>
    <w:uiPriority w:val="9"/>
    <w:rsid w:val="00D90D2F"/>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D90D2F"/>
    <w:rPr>
      <w:i/>
      <w:iCs/>
    </w:rPr>
  </w:style>
  <w:style w:type="paragraph" w:styleId="Header">
    <w:name w:val="header"/>
    <w:basedOn w:val="Normal"/>
    <w:link w:val="HeaderChar"/>
    <w:uiPriority w:val="99"/>
    <w:unhideWhenUsed/>
    <w:rsid w:val="00E00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70C"/>
  </w:style>
  <w:style w:type="paragraph" w:styleId="Footer">
    <w:name w:val="footer"/>
    <w:basedOn w:val="Normal"/>
    <w:link w:val="FooterChar"/>
    <w:uiPriority w:val="99"/>
    <w:unhideWhenUsed/>
    <w:rsid w:val="00E00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70C"/>
  </w:style>
  <w:style w:type="paragraph" w:styleId="NoSpacing">
    <w:name w:val="No Spacing"/>
    <w:uiPriority w:val="1"/>
    <w:qFormat/>
    <w:rsid w:val="00E0070C"/>
    <w:pPr>
      <w:spacing w:after="0" w:line="240" w:lineRule="auto"/>
    </w:pPr>
    <w:rPr>
      <w:rFonts w:ascii="Calibri" w:eastAsia="Calibri" w:hAnsi="Calibri" w:cs="Times New Roman"/>
      <w:kern w:val="0"/>
      <w:lang w:eastAsia="en-US"/>
      <w14:ligatures w14:val="none"/>
    </w:rPr>
  </w:style>
  <w:style w:type="paragraph" w:styleId="NormalWeb">
    <w:name w:val="Normal (Web)"/>
    <w:basedOn w:val="Normal"/>
    <w:uiPriority w:val="99"/>
    <w:unhideWhenUsed/>
    <w:rsid w:val="00E007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781BB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58244018756165" TargetMode="External"/><Relationship Id="rId3" Type="http://schemas.openxmlformats.org/officeDocument/2006/relationships/webSettings" Target="webSettings.xml"/><Relationship Id="rId7" Type="http://schemas.openxmlformats.org/officeDocument/2006/relationships/hyperlink" Target="https://doi.org/10.1093/geroni/igaa03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740</Words>
  <Characters>4221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Chen-Wilson</dc:creator>
  <cp:keywords/>
  <dc:description/>
  <cp:lastModifiedBy>Beau Academic</cp:lastModifiedBy>
  <cp:revision>7</cp:revision>
  <dcterms:created xsi:type="dcterms:W3CDTF">2024-05-12T19:18:00Z</dcterms:created>
  <dcterms:modified xsi:type="dcterms:W3CDTF">2025-01-10T10:49:00Z</dcterms:modified>
</cp:coreProperties>
</file>