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62871" w14:textId="77777777" w:rsidR="00C25302" w:rsidRDefault="00C25302" w:rsidP="00C25302">
      <w:pPr>
        <w:pStyle w:val="NoSpacing"/>
        <w:spacing w:line="360" w:lineRule="auto"/>
        <w:rPr>
          <w:rFonts w:ascii="Times New Roman" w:hAnsi="Times New Roman" w:cs="Times New Roman"/>
          <w:sz w:val="28"/>
          <w:szCs w:val="28"/>
          <w:lang w:val="en-GB"/>
        </w:rPr>
      </w:pPr>
      <w:r w:rsidRPr="003C6AC4">
        <w:rPr>
          <w:rFonts w:ascii="Times New Roman" w:hAnsi="Times New Roman" w:cs="Times New Roman"/>
          <w:noProof/>
          <w:sz w:val="28"/>
          <w:szCs w:val="28"/>
          <w:lang w:val="en-GB"/>
        </w:rPr>
        <w:drawing>
          <wp:anchor distT="0" distB="0" distL="114300" distR="114300" simplePos="0" relativeHeight="251659264" behindDoc="1" locked="0" layoutInCell="1" allowOverlap="1" wp14:anchorId="55708E26" wp14:editId="5A0A229E">
            <wp:simplePos x="0" y="0"/>
            <wp:positionH relativeFrom="margin">
              <wp:posOffset>273050</wp:posOffset>
            </wp:positionH>
            <wp:positionV relativeFrom="paragraph">
              <wp:posOffset>-1676400</wp:posOffset>
            </wp:positionV>
            <wp:extent cx="5257800" cy="5257800"/>
            <wp:effectExtent l="0" t="0" r="0" b="0"/>
            <wp:wrapNone/>
            <wp:docPr id="14482820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8203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257800" cy="5257800"/>
                    </a:xfrm>
                    <a:prstGeom prst="rect">
                      <a:avLst/>
                    </a:prstGeom>
                  </pic:spPr>
                </pic:pic>
              </a:graphicData>
            </a:graphic>
            <wp14:sizeRelH relativeFrom="page">
              <wp14:pctWidth>0</wp14:pctWidth>
            </wp14:sizeRelH>
            <wp14:sizeRelV relativeFrom="page">
              <wp14:pctHeight>0</wp14:pctHeight>
            </wp14:sizeRelV>
          </wp:anchor>
        </w:drawing>
      </w:r>
    </w:p>
    <w:p w14:paraId="373A3C5C" w14:textId="77777777" w:rsidR="00C25302" w:rsidRDefault="00C25302" w:rsidP="00C25302">
      <w:pPr>
        <w:pStyle w:val="NoSpacing"/>
        <w:spacing w:line="360" w:lineRule="auto"/>
        <w:rPr>
          <w:rFonts w:ascii="Times New Roman" w:hAnsi="Times New Roman" w:cs="Times New Roman"/>
          <w:sz w:val="28"/>
          <w:szCs w:val="28"/>
          <w:lang w:val="en-GB"/>
        </w:rPr>
      </w:pPr>
    </w:p>
    <w:p w14:paraId="502A6FEF" w14:textId="77777777" w:rsidR="00C25302" w:rsidRDefault="00C25302" w:rsidP="00C25302">
      <w:pPr>
        <w:pStyle w:val="NoSpacing"/>
        <w:spacing w:line="360" w:lineRule="auto"/>
        <w:rPr>
          <w:rFonts w:ascii="Times New Roman" w:hAnsi="Times New Roman" w:cs="Times New Roman"/>
          <w:sz w:val="28"/>
          <w:szCs w:val="28"/>
          <w:lang w:val="en-GB"/>
        </w:rPr>
      </w:pPr>
    </w:p>
    <w:p w14:paraId="07150DDA" w14:textId="77777777" w:rsidR="00C25302" w:rsidRDefault="00C25302" w:rsidP="00C25302">
      <w:pPr>
        <w:pStyle w:val="NoSpacing"/>
        <w:spacing w:line="360" w:lineRule="auto"/>
        <w:rPr>
          <w:rFonts w:ascii="Times New Roman" w:hAnsi="Times New Roman" w:cs="Times New Roman"/>
          <w:sz w:val="28"/>
          <w:szCs w:val="28"/>
          <w:lang w:val="en-GB"/>
        </w:rPr>
      </w:pPr>
    </w:p>
    <w:p w14:paraId="4DC1187F" w14:textId="77777777" w:rsidR="00C25302" w:rsidRDefault="00C25302" w:rsidP="00C25302">
      <w:pPr>
        <w:pStyle w:val="NoSpacing"/>
        <w:spacing w:line="360" w:lineRule="auto"/>
        <w:rPr>
          <w:rFonts w:ascii="Times New Roman" w:hAnsi="Times New Roman" w:cs="Times New Roman"/>
          <w:sz w:val="28"/>
          <w:szCs w:val="28"/>
          <w:lang w:val="en-GB"/>
        </w:rPr>
      </w:pPr>
    </w:p>
    <w:p w14:paraId="03D591BD" w14:textId="77777777" w:rsidR="00C25302" w:rsidRDefault="00C25302" w:rsidP="00C25302">
      <w:pPr>
        <w:pStyle w:val="NoSpacing"/>
        <w:spacing w:line="360" w:lineRule="auto"/>
        <w:jc w:val="center"/>
        <w:rPr>
          <w:rFonts w:ascii="Times New Roman" w:hAnsi="Times New Roman" w:cs="Times New Roman"/>
          <w:sz w:val="28"/>
          <w:szCs w:val="28"/>
          <w:lang w:val="en-GB"/>
        </w:rPr>
      </w:pPr>
    </w:p>
    <w:p w14:paraId="3344ABB8" w14:textId="77777777" w:rsidR="00C25302" w:rsidRDefault="00C25302" w:rsidP="00C25302">
      <w:pPr>
        <w:pStyle w:val="NoSpacing"/>
        <w:spacing w:line="360" w:lineRule="auto"/>
        <w:jc w:val="center"/>
        <w:rPr>
          <w:rFonts w:ascii="Times New Roman" w:hAnsi="Times New Roman" w:cs="Times New Roman"/>
          <w:sz w:val="28"/>
          <w:szCs w:val="28"/>
          <w:lang w:val="en-GB"/>
        </w:rPr>
      </w:pPr>
    </w:p>
    <w:p w14:paraId="6C7C8430" w14:textId="77777777" w:rsidR="00C25302" w:rsidRDefault="00C25302" w:rsidP="00C25302">
      <w:pPr>
        <w:pStyle w:val="NoSpacing"/>
        <w:spacing w:line="360" w:lineRule="auto"/>
        <w:jc w:val="center"/>
        <w:rPr>
          <w:rFonts w:ascii="Times New Roman" w:hAnsi="Times New Roman" w:cs="Times New Roman"/>
          <w:sz w:val="28"/>
          <w:szCs w:val="28"/>
          <w:lang w:val="en-GB"/>
        </w:rPr>
      </w:pPr>
    </w:p>
    <w:p w14:paraId="6AF7ACDE" w14:textId="77777777" w:rsidR="00A63FC5" w:rsidRDefault="00A63FC5" w:rsidP="00C25302">
      <w:pPr>
        <w:pStyle w:val="NoSpacing"/>
        <w:spacing w:line="360" w:lineRule="auto"/>
        <w:jc w:val="center"/>
        <w:rPr>
          <w:rFonts w:ascii="Times New Roman" w:hAnsi="Times New Roman" w:cs="Times New Roman"/>
          <w:sz w:val="28"/>
          <w:szCs w:val="28"/>
          <w:lang w:val="en-GB"/>
        </w:rPr>
      </w:pPr>
    </w:p>
    <w:p w14:paraId="7FE8172D" w14:textId="33AF6663" w:rsidR="00C25302" w:rsidRPr="00C84FE9" w:rsidRDefault="00C25302" w:rsidP="00C2530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Programme: Master of Business Administration</w:t>
      </w:r>
    </w:p>
    <w:p w14:paraId="05CE0F5D" w14:textId="77777777" w:rsidR="00C25302" w:rsidRPr="00C84FE9" w:rsidRDefault="00C25302" w:rsidP="00C2530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Module: Human Capital Management</w:t>
      </w:r>
    </w:p>
    <w:p w14:paraId="4D30198F" w14:textId="77777777" w:rsidR="00C25302" w:rsidRPr="00C84FE9" w:rsidRDefault="00C25302" w:rsidP="00C2530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Module code: LCMB7023</w:t>
      </w:r>
    </w:p>
    <w:p w14:paraId="49515452" w14:textId="77777777" w:rsidR="00C25302" w:rsidRPr="00C84FE9" w:rsidRDefault="00C25302" w:rsidP="00C2530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Assessment 1: Individual Report</w:t>
      </w:r>
    </w:p>
    <w:p w14:paraId="501CB1AB" w14:textId="77777777" w:rsidR="00C25302" w:rsidRPr="00C84FE9" w:rsidRDefault="00C25302" w:rsidP="00C25302">
      <w:pPr>
        <w:pStyle w:val="NoSpacing"/>
        <w:spacing w:line="360" w:lineRule="auto"/>
        <w:jc w:val="center"/>
        <w:rPr>
          <w:rFonts w:ascii="Times New Roman" w:hAnsi="Times New Roman" w:cs="Times New Roman"/>
          <w:sz w:val="28"/>
          <w:szCs w:val="28"/>
          <w:lang w:val="en-GB"/>
        </w:rPr>
      </w:pPr>
    </w:p>
    <w:p w14:paraId="77D8CBD4" w14:textId="77777777" w:rsidR="00C25302" w:rsidRPr="00C84FE9" w:rsidRDefault="00C25302" w:rsidP="00C2530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The Influence of National and International Labour Markets on HRM and IHRM Strategies</w:t>
      </w:r>
    </w:p>
    <w:p w14:paraId="531074A2" w14:textId="77777777" w:rsidR="00C25302" w:rsidRPr="00C84FE9" w:rsidRDefault="00C25302" w:rsidP="00C25302">
      <w:pPr>
        <w:pStyle w:val="NoSpacing"/>
        <w:spacing w:line="360" w:lineRule="auto"/>
        <w:jc w:val="center"/>
        <w:rPr>
          <w:rFonts w:ascii="Times New Roman" w:hAnsi="Times New Roman" w:cs="Times New Roman"/>
          <w:sz w:val="28"/>
          <w:szCs w:val="28"/>
          <w:lang w:val="en-GB"/>
        </w:rPr>
      </w:pPr>
    </w:p>
    <w:p w14:paraId="395744FE" w14:textId="77777777" w:rsidR="00C25302" w:rsidRPr="00C84FE9" w:rsidRDefault="00C25302" w:rsidP="00C2530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Name:</w:t>
      </w:r>
      <w:r>
        <w:rPr>
          <w:rFonts w:ascii="Times New Roman" w:hAnsi="Times New Roman" w:cs="Times New Roman"/>
          <w:sz w:val="28"/>
          <w:szCs w:val="28"/>
          <w:lang w:val="en-GB"/>
        </w:rPr>
        <w:t xml:space="preserve"> AHRAM</w:t>
      </w:r>
    </w:p>
    <w:p w14:paraId="63FE8B74" w14:textId="77777777" w:rsidR="00C25302" w:rsidRDefault="00C25302" w:rsidP="00C2530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ID:</w:t>
      </w:r>
      <w:r>
        <w:rPr>
          <w:rFonts w:ascii="Times New Roman" w:hAnsi="Times New Roman" w:cs="Times New Roman"/>
          <w:sz w:val="28"/>
          <w:szCs w:val="28"/>
          <w:lang w:val="en-GB"/>
        </w:rPr>
        <w:t xml:space="preserve"> </w:t>
      </w:r>
      <w:r w:rsidRPr="00FC2181">
        <w:rPr>
          <w:rFonts w:ascii="Times New Roman" w:hAnsi="Times New Roman" w:cs="Times New Roman"/>
          <w:sz w:val="28"/>
          <w:szCs w:val="28"/>
          <w:lang w:val="en-GB"/>
        </w:rPr>
        <w:t>2503194</w:t>
      </w:r>
    </w:p>
    <w:p w14:paraId="3738D069" w14:textId="77777777" w:rsidR="00C25302" w:rsidRDefault="00C25302" w:rsidP="00C25302">
      <w:pPr>
        <w:pStyle w:val="NoSpacing"/>
        <w:spacing w:line="360" w:lineRule="auto"/>
        <w:jc w:val="center"/>
        <w:rPr>
          <w:rFonts w:ascii="Times New Roman" w:hAnsi="Times New Roman" w:cs="Times New Roman"/>
          <w:sz w:val="28"/>
          <w:szCs w:val="28"/>
          <w:lang w:val="en-GB"/>
        </w:rPr>
      </w:pPr>
      <w:r w:rsidRPr="00FC2181">
        <w:rPr>
          <w:rFonts w:ascii="Times New Roman" w:hAnsi="Times New Roman" w:cs="Times New Roman"/>
          <w:sz w:val="28"/>
          <w:szCs w:val="28"/>
          <w:lang w:val="en-GB"/>
        </w:rPr>
        <w:t>Lecturer:</w:t>
      </w:r>
      <w:r>
        <w:rPr>
          <w:rFonts w:ascii="Times New Roman" w:hAnsi="Times New Roman" w:cs="Times New Roman"/>
          <w:sz w:val="28"/>
          <w:szCs w:val="28"/>
          <w:lang w:val="en-GB"/>
        </w:rPr>
        <w:t xml:space="preserve"> </w:t>
      </w:r>
      <w:r w:rsidRPr="00FC2181">
        <w:rPr>
          <w:rFonts w:ascii="Times New Roman" w:hAnsi="Times New Roman" w:cs="Times New Roman"/>
          <w:sz w:val="28"/>
          <w:szCs w:val="28"/>
          <w:lang w:val="en-GB"/>
        </w:rPr>
        <w:t>Gladius Kulothungan</w:t>
      </w:r>
    </w:p>
    <w:p w14:paraId="19A01BDF" w14:textId="1DFA96CA" w:rsidR="00C25302" w:rsidRDefault="00C25302" w:rsidP="00C25302">
      <w:pPr>
        <w:pStyle w:val="NoSpacing"/>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Word Count: 26</w:t>
      </w:r>
      <w:r w:rsidR="00FF1E67">
        <w:rPr>
          <w:rFonts w:ascii="Times New Roman" w:hAnsi="Times New Roman" w:cs="Times New Roman"/>
          <w:sz w:val="28"/>
          <w:szCs w:val="28"/>
          <w:lang w:val="en-GB"/>
        </w:rPr>
        <w:t>98</w:t>
      </w:r>
    </w:p>
    <w:p w14:paraId="4C7F947E" w14:textId="3AAFB6BC" w:rsidR="00C25302" w:rsidRPr="00C84FE9" w:rsidRDefault="00C25302" w:rsidP="00A63FC5">
      <w:pPr>
        <w:pStyle w:val="NoSpacing"/>
        <w:spacing w:line="360" w:lineRule="auto"/>
        <w:jc w:val="center"/>
        <w:rPr>
          <w:rFonts w:ascii="Times New Roman" w:hAnsi="Times New Roman" w:cs="Times New Roman"/>
          <w:b/>
          <w:bCs/>
          <w:szCs w:val="24"/>
          <w:lang w:val="en-GB"/>
        </w:rPr>
      </w:pPr>
      <w:r>
        <w:rPr>
          <w:rFonts w:ascii="Times New Roman" w:hAnsi="Times New Roman" w:cs="Times New Roman"/>
          <w:sz w:val="28"/>
          <w:szCs w:val="28"/>
          <w:lang w:val="en-GB"/>
        </w:rPr>
        <w:t>Term: 1</w:t>
      </w:r>
    </w:p>
    <w:p w14:paraId="44E41DB1" w14:textId="77777777" w:rsidR="00DC3A40" w:rsidRDefault="00DC3A40" w:rsidP="00C84FE9">
      <w:pPr>
        <w:spacing w:line="360" w:lineRule="auto"/>
        <w:jc w:val="center"/>
        <w:rPr>
          <w:rFonts w:ascii="Times New Roman" w:hAnsi="Times New Roman" w:cs="Times New Roman"/>
          <w:b/>
          <w:bCs/>
          <w:sz w:val="28"/>
          <w:szCs w:val="28"/>
          <w:lang w:val="en-GB"/>
        </w:rPr>
      </w:pPr>
    </w:p>
    <w:p w14:paraId="7171FAC9" w14:textId="77777777" w:rsidR="00DC3A40" w:rsidRDefault="00DC3A40" w:rsidP="00C84FE9">
      <w:pPr>
        <w:spacing w:line="360" w:lineRule="auto"/>
        <w:jc w:val="center"/>
        <w:rPr>
          <w:rFonts w:ascii="Times New Roman" w:hAnsi="Times New Roman" w:cs="Times New Roman"/>
          <w:b/>
          <w:bCs/>
          <w:sz w:val="28"/>
          <w:szCs w:val="28"/>
          <w:lang w:val="en-GB"/>
        </w:rPr>
      </w:pPr>
    </w:p>
    <w:p w14:paraId="1D1B7875" w14:textId="77777777" w:rsidR="00DC3A40" w:rsidRDefault="00DC3A40" w:rsidP="00C84FE9">
      <w:pPr>
        <w:spacing w:line="360" w:lineRule="auto"/>
        <w:jc w:val="center"/>
        <w:rPr>
          <w:rFonts w:ascii="Times New Roman" w:hAnsi="Times New Roman" w:cs="Times New Roman"/>
          <w:b/>
          <w:bCs/>
          <w:sz w:val="28"/>
          <w:szCs w:val="28"/>
          <w:lang w:val="en-GB"/>
        </w:rPr>
      </w:pPr>
    </w:p>
    <w:p w14:paraId="1FB98C16" w14:textId="77777777" w:rsidR="00DC3A40" w:rsidRDefault="00DC3A40" w:rsidP="00C84FE9">
      <w:pPr>
        <w:spacing w:line="360" w:lineRule="auto"/>
        <w:jc w:val="center"/>
        <w:rPr>
          <w:rFonts w:ascii="Times New Roman" w:hAnsi="Times New Roman" w:cs="Times New Roman"/>
          <w:b/>
          <w:bCs/>
          <w:sz w:val="28"/>
          <w:szCs w:val="28"/>
          <w:lang w:val="en-GB"/>
        </w:rPr>
      </w:pPr>
    </w:p>
    <w:p w14:paraId="2A7FA8FF" w14:textId="77777777" w:rsidR="00DC3A40" w:rsidRDefault="00DC3A40" w:rsidP="00C84FE9">
      <w:pPr>
        <w:spacing w:line="360" w:lineRule="auto"/>
        <w:jc w:val="center"/>
        <w:rPr>
          <w:rFonts w:ascii="Times New Roman" w:hAnsi="Times New Roman" w:cs="Times New Roman"/>
          <w:b/>
          <w:bCs/>
          <w:sz w:val="28"/>
          <w:szCs w:val="28"/>
          <w:lang w:val="en-GB"/>
        </w:rPr>
      </w:pPr>
    </w:p>
    <w:p w14:paraId="2E30F851" w14:textId="2C3FE6A2" w:rsidR="00792B80" w:rsidRPr="00C84FE9" w:rsidRDefault="00792B80" w:rsidP="00C84FE9">
      <w:pPr>
        <w:spacing w:line="360" w:lineRule="auto"/>
        <w:jc w:val="center"/>
        <w:rPr>
          <w:rFonts w:ascii="Times New Roman" w:hAnsi="Times New Roman" w:cs="Times New Roman"/>
          <w:b/>
          <w:bCs/>
          <w:sz w:val="28"/>
          <w:szCs w:val="28"/>
          <w:lang w:val="en-GB"/>
        </w:rPr>
      </w:pPr>
      <w:r w:rsidRPr="00C84FE9">
        <w:rPr>
          <w:rFonts w:ascii="Times New Roman" w:hAnsi="Times New Roman" w:cs="Times New Roman"/>
          <w:b/>
          <w:bCs/>
          <w:sz w:val="28"/>
          <w:szCs w:val="28"/>
          <w:lang w:val="en-GB"/>
        </w:rPr>
        <w:lastRenderedPageBreak/>
        <w:t>Executive Summary</w:t>
      </w:r>
    </w:p>
    <w:p w14:paraId="18A90EB7" w14:textId="58615FB6"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This report takes a critical approach to examine how national and international labour markets affect the Human Resource Management (HRM) and International Human Resource Management (IHRM) strategies with regard to the United Kingdom context. It examines the effects of changing employment patterns, skills requirements, and the role of HR professionals as part of dynamic, technology-centred workforce practices brought about by the continuously increasing technological changes, especially artificial intelligence (AI), automation, and online platforms. The demographic and geopolitical issues, which are examples of the report, include the ageing populations, disparities within the regions regarding skills, post-Brexit migration-related issues, and political instability in the world, which are transforming the patterns of labour supply and mobility. It underlines the necessity of the inclusive, adaptable HR methods, which are globally consistent to handle these dynamic issues. Moreover, it indicates that strategic HRM can be used to overcome chronic skill gaps in some of the most important industries, such as technology, healthcare, and hospitality, by focusing on specific reskilling and internal talent development as well as partnerships with educational institutions. Lastly, there is a reflective part which assesses the personal capabilities needed to work in international and digitalised work environments, which are technology, communication, teamwork, leadership, and self-directed learning. In general, it is concluded that the future HRM/IHRM strategies should be responsive, evidence-based and ethically based and respond to the dynamic forces that are defining global and national labour markets.</w:t>
      </w:r>
    </w:p>
    <w:p w14:paraId="16349FD5" w14:textId="77777777" w:rsidR="00792B80" w:rsidRPr="00C84FE9" w:rsidRDefault="00792B80" w:rsidP="00C84FE9">
      <w:pPr>
        <w:spacing w:line="360" w:lineRule="auto"/>
        <w:jc w:val="both"/>
        <w:rPr>
          <w:rFonts w:ascii="Times New Roman" w:hAnsi="Times New Roman" w:cs="Times New Roman"/>
          <w:szCs w:val="24"/>
          <w:lang w:val="en-GB"/>
        </w:rPr>
      </w:pPr>
    </w:p>
    <w:p w14:paraId="74579D1B" w14:textId="6033148F" w:rsidR="00C84FE9" w:rsidRDefault="00C84FE9">
      <w:pPr>
        <w:rPr>
          <w:rFonts w:ascii="Times New Roman" w:hAnsi="Times New Roman" w:cs="Times New Roman"/>
          <w:b/>
          <w:bCs/>
          <w:szCs w:val="24"/>
          <w:lang w:val="en-GB"/>
        </w:rPr>
      </w:pPr>
      <w:r>
        <w:rPr>
          <w:rFonts w:ascii="Times New Roman" w:hAnsi="Times New Roman" w:cs="Times New Roman"/>
          <w:b/>
          <w:bCs/>
          <w:szCs w:val="24"/>
          <w:lang w:val="en-GB"/>
        </w:rPr>
        <w:br w:type="page"/>
      </w:r>
    </w:p>
    <w:sdt>
      <w:sdtPr>
        <w:rPr>
          <w:rFonts w:asciiTheme="minorHAnsi" w:eastAsiaTheme="minorHAnsi" w:hAnsiTheme="minorHAnsi" w:cstheme="minorBidi"/>
          <w:color w:val="auto"/>
          <w:kern w:val="2"/>
          <w:sz w:val="24"/>
          <w:szCs w:val="30"/>
          <w:lang w:bidi="bn-IN"/>
          <w14:ligatures w14:val="standardContextual"/>
        </w:rPr>
        <w:id w:val="-1066881499"/>
        <w:docPartObj>
          <w:docPartGallery w:val="Table of Contents"/>
          <w:docPartUnique/>
        </w:docPartObj>
      </w:sdtPr>
      <w:sdtEndPr>
        <w:rPr>
          <w:b/>
          <w:bCs/>
          <w:noProof/>
        </w:rPr>
      </w:sdtEndPr>
      <w:sdtContent>
        <w:p w14:paraId="394F4801" w14:textId="74E0694C" w:rsidR="00C84FE9" w:rsidRPr="00C84FE9" w:rsidRDefault="00C84FE9" w:rsidP="00C84FE9">
          <w:pPr>
            <w:pStyle w:val="TOCHeading"/>
            <w:spacing w:line="360" w:lineRule="auto"/>
            <w:jc w:val="center"/>
            <w:rPr>
              <w:rFonts w:ascii="Times New Roman" w:hAnsi="Times New Roman" w:cs="Times New Roman"/>
              <w:b/>
              <w:bCs/>
            </w:rPr>
          </w:pPr>
          <w:r w:rsidRPr="00C84FE9">
            <w:rPr>
              <w:rFonts w:ascii="Times New Roman" w:hAnsi="Times New Roman" w:cs="Times New Roman"/>
              <w:b/>
              <w:bCs/>
            </w:rPr>
            <w:t>Table of Contents</w:t>
          </w:r>
        </w:p>
        <w:p w14:paraId="53D51F79" w14:textId="21696F39" w:rsidR="00F479D9" w:rsidRPr="00F479D9" w:rsidRDefault="00C84FE9" w:rsidP="00F479D9">
          <w:pPr>
            <w:pStyle w:val="TOC1"/>
            <w:tabs>
              <w:tab w:val="right" w:leader="dot" w:pos="9016"/>
            </w:tabs>
            <w:spacing w:line="360" w:lineRule="auto"/>
            <w:rPr>
              <w:rFonts w:ascii="Times New Roman" w:eastAsiaTheme="minorEastAsia" w:hAnsi="Times New Roman" w:cs="Times New Roman"/>
              <w:noProof/>
            </w:rPr>
          </w:pPr>
          <w:r w:rsidRPr="00F479D9">
            <w:rPr>
              <w:rFonts w:ascii="Times New Roman" w:hAnsi="Times New Roman" w:cs="Times New Roman"/>
              <w:szCs w:val="24"/>
            </w:rPr>
            <w:fldChar w:fldCharType="begin"/>
          </w:r>
          <w:r w:rsidRPr="00F479D9">
            <w:rPr>
              <w:rFonts w:ascii="Times New Roman" w:hAnsi="Times New Roman" w:cs="Times New Roman"/>
              <w:szCs w:val="24"/>
            </w:rPr>
            <w:instrText xml:space="preserve"> TOC \o "1-3" \h \z \u </w:instrText>
          </w:r>
          <w:r w:rsidRPr="00F479D9">
            <w:rPr>
              <w:rFonts w:ascii="Times New Roman" w:hAnsi="Times New Roman" w:cs="Times New Roman"/>
              <w:szCs w:val="24"/>
            </w:rPr>
            <w:fldChar w:fldCharType="separate"/>
          </w:r>
          <w:hyperlink w:anchor="_Toc213946214" w:history="1">
            <w:r w:rsidR="00F479D9" w:rsidRPr="00F479D9">
              <w:rPr>
                <w:rStyle w:val="Hyperlink"/>
                <w:rFonts w:ascii="Times New Roman" w:hAnsi="Times New Roman" w:cs="Times New Roman"/>
                <w:noProof/>
                <w:lang w:val="en-GB"/>
              </w:rPr>
              <w:t>Introduction</w:t>
            </w:r>
            <w:r w:rsidR="00F479D9" w:rsidRPr="00F479D9">
              <w:rPr>
                <w:rFonts w:ascii="Times New Roman" w:hAnsi="Times New Roman" w:cs="Times New Roman"/>
                <w:noProof/>
                <w:webHidden/>
              </w:rPr>
              <w:tab/>
            </w:r>
          </w:hyperlink>
          <w:r w:rsidR="0051292C">
            <w:rPr>
              <w:rFonts w:ascii="Times New Roman" w:hAnsi="Times New Roman" w:cs="Times New Roman"/>
              <w:noProof/>
              <w:webHidden/>
            </w:rPr>
            <w:t>4</w:t>
          </w:r>
        </w:p>
        <w:p w14:paraId="3225488A" w14:textId="2E32ABC2" w:rsidR="00F479D9" w:rsidRPr="00F479D9" w:rsidRDefault="00F479D9" w:rsidP="00F479D9">
          <w:pPr>
            <w:pStyle w:val="TOC1"/>
            <w:tabs>
              <w:tab w:val="right" w:leader="dot" w:pos="9016"/>
            </w:tabs>
            <w:spacing w:line="360" w:lineRule="auto"/>
            <w:rPr>
              <w:rFonts w:ascii="Times New Roman" w:eastAsiaTheme="minorEastAsia" w:hAnsi="Times New Roman" w:cs="Times New Roman"/>
              <w:noProof/>
            </w:rPr>
          </w:pPr>
          <w:hyperlink w:anchor="_Toc213946215" w:history="1">
            <w:r w:rsidRPr="00F479D9">
              <w:rPr>
                <w:rStyle w:val="Hyperlink"/>
                <w:rFonts w:ascii="Times New Roman" w:hAnsi="Times New Roman" w:cs="Times New Roman"/>
                <w:noProof/>
                <w:lang w:val="en-GB"/>
              </w:rPr>
              <w:t>Technological Advancements and Their Implications for HRM and IHRM Strategies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_Toc213946215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5</w:t>
            </w:r>
            <w:r w:rsidRPr="00F479D9">
              <w:rPr>
                <w:rFonts w:ascii="Times New Roman" w:hAnsi="Times New Roman" w:cs="Times New Roman"/>
                <w:noProof/>
                <w:webHidden/>
              </w:rPr>
              <w:fldChar w:fldCharType="end"/>
            </w:r>
          </w:hyperlink>
        </w:p>
        <w:p w14:paraId="5B5C98F8" w14:textId="7504185D" w:rsidR="00F479D9" w:rsidRPr="00F479D9" w:rsidRDefault="00F479D9" w:rsidP="00F479D9">
          <w:pPr>
            <w:pStyle w:val="TOC1"/>
            <w:tabs>
              <w:tab w:val="right" w:leader="dot" w:pos="9016"/>
            </w:tabs>
            <w:spacing w:line="360" w:lineRule="auto"/>
            <w:rPr>
              <w:rFonts w:ascii="Times New Roman" w:eastAsiaTheme="minorEastAsia" w:hAnsi="Times New Roman" w:cs="Times New Roman"/>
              <w:noProof/>
            </w:rPr>
          </w:pPr>
          <w:hyperlink w:anchor="_Toc213946216" w:history="1">
            <w:r w:rsidRPr="00F479D9">
              <w:rPr>
                <w:rStyle w:val="Hyperlink"/>
                <w:rFonts w:ascii="Times New Roman" w:hAnsi="Times New Roman" w:cs="Times New Roman"/>
                <w:noProof/>
                <w:lang w:val="en-GB"/>
              </w:rPr>
              <w:t>Demographic and Geopolitical Factors Influencing Employment Markets and HR Challenges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_Toc213946216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6</w:t>
            </w:r>
            <w:r w:rsidRPr="00F479D9">
              <w:rPr>
                <w:rFonts w:ascii="Times New Roman" w:hAnsi="Times New Roman" w:cs="Times New Roman"/>
                <w:noProof/>
                <w:webHidden/>
              </w:rPr>
              <w:fldChar w:fldCharType="end"/>
            </w:r>
          </w:hyperlink>
        </w:p>
        <w:p w14:paraId="0A653CD6" w14:textId="3EB5657E"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17" w:history="1">
            <w:r w:rsidRPr="00F479D9">
              <w:rPr>
                <w:rStyle w:val="Hyperlink"/>
                <w:rFonts w:ascii="Times New Roman" w:hAnsi="Times New Roman" w:cs="Times New Roman"/>
                <w:noProof/>
                <w:lang w:val="en-GB"/>
              </w:rPr>
              <w:t>Demographic Change</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_Toc213946217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6</w:t>
            </w:r>
            <w:r w:rsidRPr="00F479D9">
              <w:rPr>
                <w:rFonts w:ascii="Times New Roman" w:hAnsi="Times New Roman" w:cs="Times New Roman"/>
                <w:noProof/>
                <w:webHidden/>
              </w:rPr>
              <w:fldChar w:fldCharType="end"/>
            </w:r>
          </w:hyperlink>
        </w:p>
        <w:p w14:paraId="68DB8FF1" w14:textId="2C794B15"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18" w:history="1">
            <w:r w:rsidRPr="00F479D9">
              <w:rPr>
                <w:rStyle w:val="Hyperlink"/>
                <w:rFonts w:ascii="Times New Roman" w:hAnsi="Times New Roman" w:cs="Times New Roman"/>
                <w:noProof/>
                <w:lang w:val="en-GB"/>
              </w:rPr>
              <w:t>Dynamics of Migration and Post-Brexit</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_Toc213946218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7</w:t>
            </w:r>
            <w:r w:rsidRPr="00F479D9">
              <w:rPr>
                <w:rFonts w:ascii="Times New Roman" w:hAnsi="Times New Roman" w:cs="Times New Roman"/>
                <w:noProof/>
                <w:webHidden/>
              </w:rPr>
              <w:fldChar w:fldCharType="end"/>
            </w:r>
          </w:hyperlink>
        </w:p>
        <w:p w14:paraId="4A2E0537" w14:textId="39EDCF97"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19" w:history="1">
            <w:r w:rsidRPr="00F479D9">
              <w:rPr>
                <w:rStyle w:val="Hyperlink"/>
                <w:rFonts w:ascii="Times New Roman" w:hAnsi="Times New Roman" w:cs="Times New Roman"/>
                <w:noProof/>
                <w:lang w:val="en-GB"/>
              </w:rPr>
              <w:t>International Geopolitical Unpredictability</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_Toc213946219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8</w:t>
            </w:r>
            <w:r w:rsidRPr="00F479D9">
              <w:rPr>
                <w:rFonts w:ascii="Times New Roman" w:hAnsi="Times New Roman" w:cs="Times New Roman"/>
                <w:noProof/>
                <w:webHidden/>
              </w:rPr>
              <w:fldChar w:fldCharType="end"/>
            </w:r>
          </w:hyperlink>
        </w:p>
        <w:p w14:paraId="628AE1B3" w14:textId="36E5978A"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0" w:history="1">
            <w:r w:rsidRPr="00F479D9">
              <w:rPr>
                <w:rStyle w:val="Hyperlink"/>
                <w:rFonts w:ascii="Times New Roman" w:hAnsi="Times New Roman" w:cs="Times New Roman"/>
                <w:noProof/>
                <w:lang w:val="en-GB"/>
              </w:rPr>
              <w:t>Diversity and Inclusion</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_Toc213946220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8</w:t>
            </w:r>
            <w:r w:rsidRPr="00F479D9">
              <w:rPr>
                <w:rFonts w:ascii="Times New Roman" w:hAnsi="Times New Roman" w:cs="Times New Roman"/>
                <w:noProof/>
                <w:webHidden/>
              </w:rPr>
              <w:fldChar w:fldCharType="end"/>
            </w:r>
          </w:hyperlink>
        </w:p>
        <w:p w14:paraId="05017E40" w14:textId="32A78D76"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1" w:history="1">
            <w:r w:rsidRPr="00F479D9">
              <w:rPr>
                <w:rStyle w:val="Hyperlink"/>
                <w:rFonts w:ascii="Times New Roman" w:hAnsi="Times New Roman" w:cs="Times New Roman"/>
                <w:noProof/>
                <w:lang w:val="en-GB"/>
              </w:rPr>
              <w:t>Institutional Factors and Labour-Market Power</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_Toc213946221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8</w:t>
            </w:r>
            <w:r w:rsidRPr="00F479D9">
              <w:rPr>
                <w:rFonts w:ascii="Times New Roman" w:hAnsi="Times New Roman" w:cs="Times New Roman"/>
                <w:noProof/>
                <w:webHidden/>
              </w:rPr>
              <w:fldChar w:fldCharType="end"/>
            </w:r>
          </w:hyperlink>
        </w:p>
        <w:p w14:paraId="25551825" w14:textId="2589B74B" w:rsidR="00F479D9" w:rsidRPr="00F479D9" w:rsidRDefault="00F479D9" w:rsidP="00F479D9">
          <w:pPr>
            <w:pStyle w:val="TOC1"/>
            <w:tabs>
              <w:tab w:val="right" w:leader="dot" w:pos="9016"/>
            </w:tabs>
            <w:spacing w:line="360" w:lineRule="auto"/>
            <w:rPr>
              <w:rFonts w:ascii="Times New Roman" w:eastAsiaTheme="minorEastAsia" w:hAnsi="Times New Roman" w:cs="Times New Roman"/>
              <w:noProof/>
            </w:rPr>
          </w:pPr>
          <w:hyperlink w:anchor="_Toc213946222" w:history="1">
            <w:r w:rsidRPr="00F479D9">
              <w:rPr>
                <w:rStyle w:val="Hyperlink"/>
                <w:rFonts w:ascii="Times New Roman" w:hAnsi="Times New Roman" w:cs="Times New Roman"/>
                <w:noProof/>
                <w:lang w:val="en-GB"/>
              </w:rPr>
              <w:t>Addressing Skills Gaps and Talent Shortages through Strategic HRM</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_Toc213946222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9</w:t>
            </w:r>
            <w:r w:rsidRPr="00F479D9">
              <w:rPr>
                <w:rFonts w:ascii="Times New Roman" w:hAnsi="Times New Roman" w:cs="Times New Roman"/>
                <w:noProof/>
                <w:webHidden/>
              </w:rPr>
              <w:fldChar w:fldCharType="end"/>
            </w:r>
          </w:hyperlink>
        </w:p>
        <w:p w14:paraId="4C8C1470" w14:textId="34146C10"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3" w:history="1">
            <w:r w:rsidRPr="00F479D9">
              <w:rPr>
                <w:rStyle w:val="Hyperlink"/>
                <w:rFonts w:ascii="Times New Roman" w:hAnsi="Times New Roman" w:cs="Times New Roman"/>
                <w:noProof/>
                <w:lang w:val="en-GB"/>
              </w:rPr>
              <w:t>Diagnosing Skills Gaps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_Toc213946223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9</w:t>
            </w:r>
            <w:r w:rsidRPr="00F479D9">
              <w:rPr>
                <w:rFonts w:ascii="Times New Roman" w:hAnsi="Times New Roman" w:cs="Times New Roman"/>
                <w:noProof/>
                <w:webHidden/>
              </w:rPr>
              <w:fldChar w:fldCharType="end"/>
            </w:r>
          </w:hyperlink>
        </w:p>
        <w:p w14:paraId="34F8F417" w14:textId="3CBD9F23"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4" w:history="1">
            <w:r w:rsidRPr="00F479D9">
              <w:rPr>
                <w:rStyle w:val="Hyperlink"/>
                <w:rFonts w:ascii="Times New Roman" w:hAnsi="Times New Roman" w:cs="Times New Roman"/>
                <w:noProof/>
                <w:lang w:val="en-GB"/>
              </w:rPr>
              <w:t>From Qualifications to Capabilities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_Toc213946224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9</w:t>
            </w:r>
            <w:r w:rsidRPr="00F479D9">
              <w:rPr>
                <w:rFonts w:ascii="Times New Roman" w:hAnsi="Times New Roman" w:cs="Times New Roman"/>
                <w:noProof/>
                <w:webHidden/>
              </w:rPr>
              <w:fldChar w:fldCharType="end"/>
            </w:r>
          </w:hyperlink>
        </w:p>
        <w:p w14:paraId="4DB8E34E" w14:textId="6F1F788D"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5" w:history="1">
            <w:r w:rsidRPr="00F479D9">
              <w:rPr>
                <w:rStyle w:val="Hyperlink"/>
                <w:rFonts w:ascii="Times New Roman" w:hAnsi="Times New Roman" w:cs="Times New Roman"/>
                <w:noProof/>
                <w:lang w:val="en-GB"/>
              </w:rPr>
              <w:t>In-House Talent Management</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_Toc213946225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9</w:t>
            </w:r>
            <w:r w:rsidRPr="00F479D9">
              <w:rPr>
                <w:rFonts w:ascii="Times New Roman" w:hAnsi="Times New Roman" w:cs="Times New Roman"/>
                <w:noProof/>
                <w:webHidden/>
              </w:rPr>
              <w:fldChar w:fldCharType="end"/>
            </w:r>
          </w:hyperlink>
        </w:p>
        <w:p w14:paraId="48F51614" w14:textId="07F8FBE7"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6" w:history="1">
            <w:r w:rsidRPr="00F479D9">
              <w:rPr>
                <w:rStyle w:val="Hyperlink"/>
                <w:rFonts w:ascii="Times New Roman" w:hAnsi="Times New Roman" w:cs="Times New Roman"/>
                <w:noProof/>
                <w:lang w:val="en-GB"/>
              </w:rPr>
              <w:t>Attraction and Retention Strategies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_Toc213946226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9</w:t>
            </w:r>
            <w:r w:rsidRPr="00F479D9">
              <w:rPr>
                <w:rFonts w:ascii="Times New Roman" w:hAnsi="Times New Roman" w:cs="Times New Roman"/>
                <w:noProof/>
                <w:webHidden/>
              </w:rPr>
              <w:fldChar w:fldCharType="end"/>
            </w:r>
          </w:hyperlink>
        </w:p>
        <w:p w14:paraId="7D5CE8EF" w14:textId="5C4EFB25"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7" w:history="1">
            <w:r w:rsidRPr="00F479D9">
              <w:rPr>
                <w:rStyle w:val="Hyperlink"/>
                <w:rFonts w:ascii="Times New Roman" w:hAnsi="Times New Roman" w:cs="Times New Roman"/>
                <w:noProof/>
                <w:lang w:val="en-GB"/>
              </w:rPr>
              <w:t>Partnering and Cooperation with Externals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_Toc213946227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10</w:t>
            </w:r>
            <w:r w:rsidRPr="00F479D9">
              <w:rPr>
                <w:rFonts w:ascii="Times New Roman" w:hAnsi="Times New Roman" w:cs="Times New Roman"/>
                <w:noProof/>
                <w:webHidden/>
              </w:rPr>
              <w:fldChar w:fldCharType="end"/>
            </w:r>
          </w:hyperlink>
        </w:p>
        <w:p w14:paraId="706119B3" w14:textId="3A559CFC"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28" w:history="1">
            <w:r w:rsidRPr="00F479D9">
              <w:rPr>
                <w:rStyle w:val="Hyperlink"/>
                <w:rFonts w:ascii="Times New Roman" w:hAnsi="Times New Roman" w:cs="Times New Roman"/>
                <w:noProof/>
                <w:lang w:val="en-GB"/>
              </w:rPr>
              <w:t>Building Workforce Agility</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_Toc213946228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10</w:t>
            </w:r>
            <w:r w:rsidRPr="00F479D9">
              <w:rPr>
                <w:rFonts w:ascii="Times New Roman" w:hAnsi="Times New Roman" w:cs="Times New Roman"/>
                <w:noProof/>
                <w:webHidden/>
              </w:rPr>
              <w:fldChar w:fldCharType="end"/>
            </w:r>
          </w:hyperlink>
        </w:p>
        <w:p w14:paraId="5823D20D" w14:textId="63084577" w:rsidR="00F479D9" w:rsidRPr="00F479D9" w:rsidRDefault="00F479D9" w:rsidP="00F479D9">
          <w:pPr>
            <w:pStyle w:val="TOC1"/>
            <w:tabs>
              <w:tab w:val="right" w:leader="dot" w:pos="9016"/>
            </w:tabs>
            <w:spacing w:line="360" w:lineRule="auto"/>
            <w:rPr>
              <w:rFonts w:ascii="Times New Roman" w:eastAsiaTheme="minorEastAsia" w:hAnsi="Times New Roman" w:cs="Times New Roman"/>
              <w:noProof/>
            </w:rPr>
          </w:pPr>
          <w:hyperlink w:anchor="_Toc213946229" w:history="1">
            <w:r w:rsidRPr="00F479D9">
              <w:rPr>
                <w:rStyle w:val="Hyperlink"/>
                <w:rFonts w:ascii="Times New Roman" w:hAnsi="Times New Roman" w:cs="Times New Roman"/>
                <w:noProof/>
                <w:lang w:val="en-GB"/>
              </w:rPr>
              <w:t>Reflective Report on My Capabilities in an International Context</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_Toc213946229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11</w:t>
            </w:r>
            <w:r w:rsidRPr="00F479D9">
              <w:rPr>
                <w:rFonts w:ascii="Times New Roman" w:hAnsi="Times New Roman" w:cs="Times New Roman"/>
                <w:noProof/>
                <w:webHidden/>
              </w:rPr>
              <w:fldChar w:fldCharType="end"/>
            </w:r>
          </w:hyperlink>
        </w:p>
        <w:p w14:paraId="713E1775" w14:textId="5E24E711"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30" w:history="1">
            <w:r w:rsidRPr="00F479D9">
              <w:rPr>
                <w:rStyle w:val="Hyperlink"/>
                <w:rFonts w:ascii="Times New Roman" w:hAnsi="Times New Roman" w:cs="Times New Roman"/>
                <w:noProof/>
              </w:rPr>
              <w:t>Description</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_Toc213946230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11</w:t>
            </w:r>
            <w:r w:rsidRPr="00F479D9">
              <w:rPr>
                <w:rFonts w:ascii="Times New Roman" w:hAnsi="Times New Roman" w:cs="Times New Roman"/>
                <w:noProof/>
                <w:webHidden/>
              </w:rPr>
              <w:fldChar w:fldCharType="end"/>
            </w:r>
          </w:hyperlink>
        </w:p>
        <w:p w14:paraId="7616E26E" w14:textId="3B95B4E4"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31" w:history="1">
            <w:r w:rsidRPr="00F479D9">
              <w:rPr>
                <w:rStyle w:val="Hyperlink"/>
                <w:rFonts w:ascii="Times New Roman" w:hAnsi="Times New Roman" w:cs="Times New Roman"/>
                <w:noProof/>
              </w:rPr>
              <w:t>Feelings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_Toc213946231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11</w:t>
            </w:r>
            <w:r w:rsidRPr="00F479D9">
              <w:rPr>
                <w:rFonts w:ascii="Times New Roman" w:hAnsi="Times New Roman" w:cs="Times New Roman"/>
                <w:noProof/>
                <w:webHidden/>
              </w:rPr>
              <w:fldChar w:fldCharType="end"/>
            </w:r>
          </w:hyperlink>
        </w:p>
        <w:p w14:paraId="66F98AC6" w14:textId="11FEC5C0"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32" w:history="1">
            <w:r w:rsidRPr="00F479D9">
              <w:rPr>
                <w:rStyle w:val="Hyperlink"/>
                <w:rFonts w:ascii="Times New Roman" w:hAnsi="Times New Roman" w:cs="Times New Roman"/>
                <w:noProof/>
              </w:rPr>
              <w:t>Evaluation</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_Toc213946232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11</w:t>
            </w:r>
            <w:r w:rsidRPr="00F479D9">
              <w:rPr>
                <w:rFonts w:ascii="Times New Roman" w:hAnsi="Times New Roman" w:cs="Times New Roman"/>
                <w:noProof/>
                <w:webHidden/>
              </w:rPr>
              <w:fldChar w:fldCharType="end"/>
            </w:r>
          </w:hyperlink>
        </w:p>
        <w:p w14:paraId="0E4DAEAA" w14:textId="568A4E3D"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33" w:history="1">
            <w:r w:rsidRPr="00F479D9">
              <w:rPr>
                <w:rStyle w:val="Hyperlink"/>
                <w:rFonts w:ascii="Times New Roman" w:hAnsi="Times New Roman" w:cs="Times New Roman"/>
                <w:noProof/>
              </w:rPr>
              <w:t>Analysis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_Toc213946233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12</w:t>
            </w:r>
            <w:r w:rsidRPr="00F479D9">
              <w:rPr>
                <w:rFonts w:ascii="Times New Roman" w:hAnsi="Times New Roman" w:cs="Times New Roman"/>
                <w:noProof/>
                <w:webHidden/>
              </w:rPr>
              <w:fldChar w:fldCharType="end"/>
            </w:r>
          </w:hyperlink>
        </w:p>
        <w:p w14:paraId="55327657" w14:textId="77A04203"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34" w:history="1">
            <w:r w:rsidRPr="00F479D9">
              <w:rPr>
                <w:rStyle w:val="Hyperlink"/>
                <w:rFonts w:ascii="Times New Roman" w:hAnsi="Times New Roman" w:cs="Times New Roman"/>
                <w:noProof/>
              </w:rPr>
              <w:t>Conclusion</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_Toc213946234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12</w:t>
            </w:r>
            <w:r w:rsidRPr="00F479D9">
              <w:rPr>
                <w:rFonts w:ascii="Times New Roman" w:hAnsi="Times New Roman" w:cs="Times New Roman"/>
                <w:noProof/>
                <w:webHidden/>
              </w:rPr>
              <w:fldChar w:fldCharType="end"/>
            </w:r>
          </w:hyperlink>
        </w:p>
        <w:p w14:paraId="0BF2C57E" w14:textId="67A67E7E" w:rsidR="00F479D9" w:rsidRPr="00F479D9" w:rsidRDefault="00F479D9" w:rsidP="00F479D9">
          <w:pPr>
            <w:pStyle w:val="TOC2"/>
            <w:tabs>
              <w:tab w:val="right" w:leader="dot" w:pos="9016"/>
            </w:tabs>
            <w:spacing w:line="360" w:lineRule="auto"/>
            <w:rPr>
              <w:rFonts w:ascii="Times New Roman" w:eastAsiaTheme="minorEastAsia" w:hAnsi="Times New Roman" w:cs="Times New Roman"/>
              <w:noProof/>
            </w:rPr>
          </w:pPr>
          <w:hyperlink w:anchor="_Toc213946235" w:history="1">
            <w:r w:rsidRPr="00F479D9">
              <w:rPr>
                <w:rStyle w:val="Hyperlink"/>
                <w:rFonts w:ascii="Times New Roman" w:hAnsi="Times New Roman" w:cs="Times New Roman"/>
                <w:noProof/>
              </w:rPr>
              <w:t>Action Plan</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_Toc213946235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12</w:t>
            </w:r>
            <w:r w:rsidRPr="00F479D9">
              <w:rPr>
                <w:rFonts w:ascii="Times New Roman" w:hAnsi="Times New Roman" w:cs="Times New Roman"/>
                <w:noProof/>
                <w:webHidden/>
              </w:rPr>
              <w:fldChar w:fldCharType="end"/>
            </w:r>
          </w:hyperlink>
        </w:p>
        <w:p w14:paraId="7B8F3D19" w14:textId="7F1FDCAC" w:rsidR="00F479D9" w:rsidRPr="00F479D9" w:rsidRDefault="00F479D9" w:rsidP="00F479D9">
          <w:pPr>
            <w:pStyle w:val="TOC1"/>
            <w:tabs>
              <w:tab w:val="right" w:leader="dot" w:pos="9016"/>
            </w:tabs>
            <w:spacing w:line="360" w:lineRule="auto"/>
            <w:rPr>
              <w:rFonts w:ascii="Times New Roman" w:eastAsiaTheme="minorEastAsia" w:hAnsi="Times New Roman" w:cs="Times New Roman"/>
              <w:noProof/>
            </w:rPr>
          </w:pPr>
          <w:hyperlink w:anchor="_Toc213946236" w:history="1">
            <w:r w:rsidRPr="00F479D9">
              <w:rPr>
                <w:rStyle w:val="Hyperlink"/>
                <w:rFonts w:ascii="Times New Roman" w:hAnsi="Times New Roman" w:cs="Times New Roman"/>
                <w:noProof/>
                <w:lang w:val="en-GB"/>
              </w:rPr>
              <w:t>Conclusion</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_Toc213946236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13</w:t>
            </w:r>
            <w:r w:rsidRPr="00F479D9">
              <w:rPr>
                <w:rFonts w:ascii="Times New Roman" w:hAnsi="Times New Roman" w:cs="Times New Roman"/>
                <w:noProof/>
                <w:webHidden/>
              </w:rPr>
              <w:fldChar w:fldCharType="end"/>
            </w:r>
          </w:hyperlink>
        </w:p>
        <w:p w14:paraId="4127EF7A" w14:textId="30DD7509" w:rsidR="00F479D9" w:rsidRPr="00F479D9" w:rsidRDefault="00F479D9" w:rsidP="00F479D9">
          <w:pPr>
            <w:pStyle w:val="TOC1"/>
            <w:tabs>
              <w:tab w:val="right" w:leader="dot" w:pos="9016"/>
            </w:tabs>
            <w:spacing w:line="360" w:lineRule="auto"/>
            <w:rPr>
              <w:rFonts w:ascii="Times New Roman" w:eastAsiaTheme="minorEastAsia" w:hAnsi="Times New Roman" w:cs="Times New Roman"/>
              <w:noProof/>
            </w:rPr>
          </w:pPr>
          <w:hyperlink w:anchor="_Toc213946237" w:history="1">
            <w:r w:rsidRPr="00F479D9">
              <w:rPr>
                <w:rStyle w:val="Hyperlink"/>
                <w:rFonts w:ascii="Times New Roman" w:hAnsi="Times New Roman" w:cs="Times New Roman"/>
                <w:noProof/>
                <w:lang w:val="en-GB"/>
              </w:rPr>
              <w:t>References</w:t>
            </w:r>
            <w:r w:rsidRPr="00F479D9">
              <w:rPr>
                <w:rFonts w:ascii="Times New Roman" w:hAnsi="Times New Roman" w:cs="Times New Roman"/>
                <w:noProof/>
                <w:webHidden/>
              </w:rPr>
              <w:tab/>
            </w:r>
            <w:r w:rsidRPr="00F479D9">
              <w:rPr>
                <w:rFonts w:ascii="Times New Roman" w:hAnsi="Times New Roman" w:cs="Times New Roman"/>
                <w:noProof/>
                <w:webHidden/>
              </w:rPr>
              <w:fldChar w:fldCharType="begin"/>
            </w:r>
            <w:r w:rsidRPr="00F479D9">
              <w:rPr>
                <w:rFonts w:ascii="Times New Roman" w:hAnsi="Times New Roman" w:cs="Times New Roman"/>
                <w:noProof/>
                <w:webHidden/>
              </w:rPr>
              <w:instrText xml:space="preserve"> PAGEREF _Toc213946237 \h </w:instrText>
            </w:r>
            <w:r w:rsidRPr="00F479D9">
              <w:rPr>
                <w:rFonts w:ascii="Times New Roman" w:hAnsi="Times New Roman" w:cs="Times New Roman"/>
                <w:noProof/>
                <w:webHidden/>
              </w:rPr>
            </w:r>
            <w:r w:rsidRPr="00F479D9">
              <w:rPr>
                <w:rFonts w:ascii="Times New Roman" w:hAnsi="Times New Roman" w:cs="Times New Roman"/>
                <w:noProof/>
                <w:webHidden/>
              </w:rPr>
              <w:fldChar w:fldCharType="separate"/>
            </w:r>
            <w:r w:rsidRPr="00F479D9">
              <w:rPr>
                <w:rFonts w:ascii="Times New Roman" w:hAnsi="Times New Roman" w:cs="Times New Roman"/>
                <w:noProof/>
                <w:webHidden/>
              </w:rPr>
              <w:t>14</w:t>
            </w:r>
            <w:r w:rsidRPr="00F479D9">
              <w:rPr>
                <w:rFonts w:ascii="Times New Roman" w:hAnsi="Times New Roman" w:cs="Times New Roman"/>
                <w:noProof/>
                <w:webHidden/>
              </w:rPr>
              <w:fldChar w:fldCharType="end"/>
            </w:r>
          </w:hyperlink>
        </w:p>
        <w:p w14:paraId="32A1CD9C" w14:textId="0B79C501" w:rsidR="00F479D9" w:rsidRPr="00F479D9" w:rsidRDefault="00C84FE9" w:rsidP="00F479D9">
          <w:pPr>
            <w:spacing w:line="360" w:lineRule="auto"/>
          </w:pPr>
          <w:r w:rsidRPr="00F479D9">
            <w:rPr>
              <w:rFonts w:ascii="Times New Roman" w:hAnsi="Times New Roman" w:cs="Times New Roman"/>
              <w:b/>
              <w:bCs/>
              <w:noProof/>
              <w:szCs w:val="24"/>
            </w:rPr>
            <w:fldChar w:fldCharType="end"/>
          </w:r>
        </w:p>
      </w:sdtContent>
    </w:sdt>
    <w:bookmarkStart w:id="0" w:name="_Toc213946214" w:displacedByCustomXml="prev"/>
    <w:p w14:paraId="3DC5BF75" w14:textId="6E5E4C4B" w:rsidR="00C263C4" w:rsidRPr="00C84FE9" w:rsidRDefault="00C263C4" w:rsidP="00C84FE9">
      <w:pPr>
        <w:pStyle w:val="Heading1"/>
        <w:rPr>
          <w:lang w:val="en-GB"/>
        </w:rPr>
      </w:pPr>
      <w:r w:rsidRPr="00C84FE9">
        <w:rPr>
          <w:lang w:val="en-GB"/>
        </w:rPr>
        <w:lastRenderedPageBreak/>
        <w:t>Introduction</w:t>
      </w:r>
      <w:bookmarkEnd w:id="0"/>
    </w:p>
    <w:p w14:paraId="1E1E14E4"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National and international labour markets are changing rapidly due to technological innovation, demographic change and geopolitical uncertainty. Such changes are reorienting the way organisations handle people and resources, meaning that human resource management (HRM) and international human resource management (IHRM) are forced to become more adaptive and strategic. Artificial intelligence (AI), automation, and online platforms are transforming the organisation of work in the United Kingdom, as some of these technologies offer the opportunity to increase productivity, while also introducing challenges with upskilling and redesigning employment. Meanwhile, the availability and the mobility of talent are still determined by such factors as demographic ageing, regional skills imbalances, and even post-Brexit changes in the labour market. Worldwide, geopolitical volatility, migration patterns and digital globalisation make matters worse as multinationals strive to deal with diverse and diffused workforces. Therefore, HR specialists are required to devise creative approaches that will cover the reskilling of the workforce, diversity and inclusiveness, and talent mobility, with ethical and sustainable approaches. The present report is a critical analysis of the impact of the national and international labour-market forces on HRM and IHRM approaches, particularly through the technological, demographic and geopolitical lenses. It also examines how organisations can fill gaps in skills that remain common over time by strategic HRM, and finally ends with a reflective finding of the skills needed to succeed in a globalised, technology-based working environment.</w:t>
      </w:r>
    </w:p>
    <w:p w14:paraId="03143F3B"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w:t>
      </w:r>
    </w:p>
    <w:p w14:paraId="23DCC6EE" w14:textId="77777777" w:rsidR="00C84FE9" w:rsidRDefault="00C84FE9">
      <w:pPr>
        <w:rPr>
          <w:rFonts w:ascii="Times New Roman" w:hAnsi="Times New Roman" w:cs="Times New Roman"/>
          <w:szCs w:val="24"/>
          <w:lang w:val="en-GB"/>
        </w:rPr>
      </w:pPr>
      <w:r>
        <w:rPr>
          <w:rFonts w:ascii="Times New Roman" w:hAnsi="Times New Roman" w:cs="Times New Roman"/>
          <w:szCs w:val="24"/>
          <w:lang w:val="en-GB"/>
        </w:rPr>
        <w:br w:type="page"/>
      </w:r>
    </w:p>
    <w:p w14:paraId="3ACA6A17" w14:textId="497EE324" w:rsidR="00792B80" w:rsidRPr="00C84FE9" w:rsidRDefault="00792B80" w:rsidP="00C84FE9">
      <w:pPr>
        <w:pStyle w:val="Heading1"/>
        <w:rPr>
          <w:lang w:val="en-GB"/>
        </w:rPr>
      </w:pPr>
      <w:bookmarkStart w:id="1" w:name="_Toc213946215"/>
      <w:r w:rsidRPr="00C84FE9">
        <w:rPr>
          <w:lang w:val="en-GB"/>
        </w:rPr>
        <w:lastRenderedPageBreak/>
        <w:t>Technological Advancements and Their Implications for HRM and IHRM Strategies</w:t>
      </w:r>
      <w:bookmarkEnd w:id="1"/>
    </w:p>
    <w:p w14:paraId="0254BBEB"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The national and international labour markets are undergoing dramatic changes due to technological innovation, especially artificial intelligence (AI), automation and the digital platform. These technologies are redefining the need for both skills and work organisation in the UK, forcing human resource management (HRM) and international human resource management (IHRM) to change in a very short period of time.</w:t>
      </w:r>
    </w:p>
    <w:p w14:paraId="07B9DC66"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Artificial intelligence and various automation mean that AI and automation are major forces of labour-market change. The UK government approximates that AI would contribute up to 10% to the GDP by the year 2030, but also remove or completely change a large portion of the current positions (UK Government, 2021). It has been found that the impact of automation is widely occupation- and industry-differentiated (</w:t>
      </w:r>
      <w:proofErr w:type="spellStart"/>
      <w:r w:rsidRPr="00C84FE9">
        <w:rPr>
          <w:rFonts w:ascii="Times New Roman" w:hAnsi="Times New Roman" w:cs="Times New Roman"/>
          <w:szCs w:val="24"/>
          <w:lang w:val="en-GB"/>
        </w:rPr>
        <w:t>Tursunbayeva</w:t>
      </w:r>
      <w:proofErr w:type="spellEnd"/>
      <w:r w:rsidRPr="00C84FE9">
        <w:rPr>
          <w:rFonts w:ascii="Times New Roman" w:hAnsi="Times New Roman" w:cs="Times New Roman"/>
          <w:szCs w:val="24"/>
          <w:lang w:val="en-GB"/>
        </w:rPr>
        <w:t xml:space="preserve"> et al., 2024). In the case of HRM, this movement demands the change of the inertial workforce planning to the workforce in motion based on skills. Roles are being broken out into automatable tasks that can be extended, enhanced, or redesigned; thus, HR functions need to focus on reskilling and redesigning tasks and jobs instead of just replacing them with new ones (OECD, 2023).</w:t>
      </w:r>
    </w:p>
    <w:p w14:paraId="5F0CCE54" w14:textId="77777777" w:rsidR="00C84FE9" w:rsidRPr="00C84FE9" w:rsidRDefault="00C84FE9" w:rsidP="00C84FE9">
      <w:pPr>
        <w:keepNext/>
        <w:spacing w:line="360" w:lineRule="auto"/>
        <w:jc w:val="center"/>
        <w:rPr>
          <w:rFonts w:ascii="Times New Roman" w:hAnsi="Times New Roman" w:cs="Times New Roman"/>
          <w:szCs w:val="24"/>
          <w:lang w:val="en-GB"/>
        </w:rPr>
      </w:pPr>
      <w:r w:rsidRPr="00C84FE9">
        <w:rPr>
          <w:rFonts w:ascii="Times New Roman" w:hAnsi="Times New Roman" w:cs="Times New Roman"/>
          <w:noProof/>
          <w:szCs w:val="24"/>
          <w:lang w:bidi="ar-SA"/>
        </w:rPr>
        <w:drawing>
          <wp:inline distT="0" distB="0" distL="0" distR="0" wp14:anchorId="7D7D1E42" wp14:editId="00DFC60F">
            <wp:extent cx="3473532" cy="1721180"/>
            <wp:effectExtent l="0" t="0" r="0" b="0"/>
            <wp:docPr id="1303227004" name="Picture 1" descr="What is International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International Human Resource Manage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77819" cy="1723304"/>
                    </a:xfrm>
                    <a:prstGeom prst="rect">
                      <a:avLst/>
                    </a:prstGeom>
                    <a:noFill/>
                    <a:ln>
                      <a:noFill/>
                    </a:ln>
                  </pic:spPr>
                </pic:pic>
              </a:graphicData>
            </a:graphic>
          </wp:inline>
        </w:drawing>
      </w:r>
    </w:p>
    <w:p w14:paraId="6D19724D" w14:textId="08570BEE" w:rsidR="00C84FE9" w:rsidRPr="00C84FE9" w:rsidRDefault="00C84FE9" w:rsidP="00C84FE9">
      <w:pPr>
        <w:pStyle w:val="Caption"/>
        <w:spacing w:line="360" w:lineRule="auto"/>
        <w:jc w:val="center"/>
        <w:rPr>
          <w:rFonts w:ascii="Times New Roman" w:hAnsi="Times New Roman" w:cs="Times New Roman"/>
          <w:sz w:val="24"/>
          <w:szCs w:val="24"/>
          <w:lang w:val="en-GB"/>
        </w:rPr>
      </w:pPr>
      <w:r w:rsidRPr="00C84FE9">
        <w:rPr>
          <w:rFonts w:ascii="Times New Roman" w:hAnsi="Times New Roman" w:cs="Times New Roman"/>
          <w:sz w:val="24"/>
          <w:szCs w:val="24"/>
          <w:lang w:val="en-GB"/>
        </w:rPr>
        <w:t xml:space="preserve">Figure </w:t>
      </w:r>
      <w:r w:rsidRPr="00C84FE9">
        <w:rPr>
          <w:rFonts w:ascii="Times New Roman" w:hAnsi="Times New Roman" w:cs="Times New Roman"/>
          <w:sz w:val="24"/>
          <w:szCs w:val="24"/>
          <w:lang w:val="en-GB"/>
        </w:rPr>
        <w:fldChar w:fldCharType="begin"/>
      </w:r>
      <w:r w:rsidRPr="00C84FE9">
        <w:rPr>
          <w:rFonts w:ascii="Times New Roman" w:hAnsi="Times New Roman" w:cs="Times New Roman"/>
          <w:sz w:val="24"/>
          <w:szCs w:val="24"/>
          <w:lang w:val="en-GB"/>
        </w:rPr>
        <w:instrText xml:space="preserve"> SEQ Figure \* ARABIC </w:instrText>
      </w:r>
      <w:r w:rsidRPr="00C84FE9">
        <w:rPr>
          <w:rFonts w:ascii="Times New Roman" w:hAnsi="Times New Roman" w:cs="Times New Roman"/>
          <w:sz w:val="24"/>
          <w:szCs w:val="24"/>
          <w:lang w:val="en-GB"/>
        </w:rPr>
        <w:fldChar w:fldCharType="separate"/>
      </w:r>
      <w:r w:rsidRPr="00C84FE9">
        <w:rPr>
          <w:rFonts w:ascii="Times New Roman" w:hAnsi="Times New Roman" w:cs="Times New Roman"/>
          <w:noProof/>
          <w:sz w:val="24"/>
          <w:szCs w:val="24"/>
          <w:lang w:val="en-GB"/>
        </w:rPr>
        <w:t>1</w:t>
      </w:r>
      <w:r w:rsidRPr="00C84FE9">
        <w:rPr>
          <w:rFonts w:ascii="Times New Roman" w:hAnsi="Times New Roman" w:cs="Times New Roman"/>
          <w:sz w:val="24"/>
          <w:szCs w:val="24"/>
          <w:lang w:val="en-GB"/>
        </w:rPr>
        <w:fldChar w:fldCharType="end"/>
      </w:r>
      <w:r w:rsidRPr="00C84FE9">
        <w:rPr>
          <w:rFonts w:ascii="Times New Roman" w:hAnsi="Times New Roman" w:cs="Times New Roman"/>
          <w:sz w:val="24"/>
          <w:szCs w:val="24"/>
          <w:lang w:val="en-GB"/>
        </w:rPr>
        <w:t xml:space="preserve"> Objectives of IHRM</w:t>
      </w:r>
    </w:p>
    <w:p w14:paraId="44852A31" w14:textId="77777777" w:rsidR="00C84FE9" w:rsidRPr="00C84FE9" w:rsidRDefault="00C84FE9" w:rsidP="00C84FE9">
      <w:pPr>
        <w:spacing w:line="360" w:lineRule="auto"/>
        <w:jc w:val="center"/>
        <w:rPr>
          <w:rFonts w:ascii="Times New Roman" w:hAnsi="Times New Roman" w:cs="Times New Roman"/>
          <w:szCs w:val="24"/>
          <w:lang w:val="en-GB"/>
        </w:rPr>
      </w:pPr>
      <w:r w:rsidRPr="00C84FE9">
        <w:rPr>
          <w:rFonts w:ascii="Times New Roman" w:hAnsi="Times New Roman" w:cs="Times New Roman"/>
          <w:szCs w:val="24"/>
          <w:lang w:val="en-GB"/>
        </w:rPr>
        <w:t>Source: (</w:t>
      </w:r>
      <w:proofErr w:type="spellStart"/>
      <w:r w:rsidRPr="00C84FE9">
        <w:rPr>
          <w:rFonts w:ascii="Times New Roman" w:hAnsi="Times New Roman" w:cs="Times New Roman"/>
          <w:szCs w:val="24"/>
          <w:lang w:val="en-GB"/>
        </w:rPr>
        <w:t>Tursunbayeva</w:t>
      </w:r>
      <w:proofErr w:type="spellEnd"/>
      <w:r w:rsidRPr="00C84FE9">
        <w:rPr>
          <w:rFonts w:ascii="Times New Roman" w:hAnsi="Times New Roman" w:cs="Times New Roman"/>
          <w:szCs w:val="24"/>
          <w:lang w:val="en-GB"/>
        </w:rPr>
        <w:t>, 2024)</w:t>
      </w:r>
    </w:p>
    <w:p w14:paraId="0048E71D" w14:textId="1192B70D"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The use of generative AI specifically is facilitating such transformation by transforming knowledge work and changing the structure of high-skill jobs (Oxford University, 2025). The HR managers should thus include technological forecasting in their strategic planning to predict the nature of available work and the necessary abilities in the job. The job of HR is no longer about compliance or administration but also about leading organisations through </w:t>
      </w:r>
      <w:r w:rsidRPr="00C84FE9">
        <w:rPr>
          <w:rFonts w:ascii="Times New Roman" w:hAnsi="Times New Roman" w:cs="Times New Roman"/>
          <w:szCs w:val="24"/>
          <w:lang w:val="en-GB"/>
        </w:rPr>
        <w:lastRenderedPageBreak/>
        <w:t xml:space="preserve">digitalisation and making sure that the human-technology interface is ethical, transparent and inclusive (Malik and </w:t>
      </w:r>
      <w:proofErr w:type="spellStart"/>
      <w:r w:rsidRPr="00C84FE9">
        <w:rPr>
          <w:rFonts w:ascii="Times New Roman" w:hAnsi="Times New Roman" w:cs="Times New Roman"/>
          <w:szCs w:val="24"/>
          <w:lang w:val="en-GB"/>
        </w:rPr>
        <w:t>Budhwar</w:t>
      </w:r>
      <w:proofErr w:type="spellEnd"/>
      <w:r w:rsidRPr="00C84FE9">
        <w:rPr>
          <w:rFonts w:ascii="Times New Roman" w:hAnsi="Times New Roman" w:cs="Times New Roman"/>
          <w:szCs w:val="24"/>
          <w:lang w:val="en-GB"/>
        </w:rPr>
        <w:t>, 2023).</w:t>
      </w:r>
    </w:p>
    <w:p w14:paraId="07D6F488" w14:textId="1538B2AE"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On a global level, IHRM has to face the cross-border implications of digitalisation. The AI-based HR systems are used in global business environments when recruiting to analyse talent and performance (Malik and </w:t>
      </w:r>
      <w:proofErr w:type="spellStart"/>
      <w:r w:rsidRPr="00C84FE9">
        <w:rPr>
          <w:rFonts w:ascii="Times New Roman" w:hAnsi="Times New Roman" w:cs="Times New Roman"/>
          <w:szCs w:val="24"/>
          <w:lang w:val="en-GB"/>
        </w:rPr>
        <w:t>Budhwar</w:t>
      </w:r>
      <w:proofErr w:type="spellEnd"/>
      <w:r w:rsidRPr="00C84FE9">
        <w:rPr>
          <w:rFonts w:ascii="Times New Roman" w:hAnsi="Times New Roman" w:cs="Times New Roman"/>
          <w:szCs w:val="24"/>
          <w:lang w:val="en-GB"/>
        </w:rPr>
        <w:t>, 2023). Such international standardisation poses concerns of cultural adjustment, data security and algorithmic fairness across countries. The HR managers must strive to find a balance between integrating technologies at the global level and addressing national demands and national sovereignty through labour laws, cultural demands, and different levels of digital readiness.</w:t>
      </w:r>
    </w:p>
    <w:p w14:paraId="5C6FC80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Digitalisation is establishing new workforce segmentation in the UK labour market. According to the Office for National Statistics, 6.6 per cent of the working-age population had the skills to change and work in other occupations, which points to mobility and mismatch (ONS, 2024). HRS should thus promote internal levels of movement and ongoing learning to reduce the chances of redundancy. Even more, the demands in AI and data-connected skills exceed the supply; according to the survey of PwC employers, they report that they have serious issues with hiring personnel with high levels of digital skills (Tech Monitor, 2024).</w:t>
      </w:r>
    </w:p>
    <w:p w14:paraId="6EBB1125" w14:textId="0A32C692"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In the case of IHRM, technology uprooting alters the international talent movement. With remote work and digital connectivity making geographically dispersed work teams possible, organisations are able to hire workers based in other countries without them having to move physically. HR professionals have to operate virtual collaboration, cross-cultural communication, and performance monitoring across borders (Williams, 2024). This involves updating expatriate policies, world mobility models and online working standards.</w:t>
      </w:r>
    </w:p>
    <w:p w14:paraId="198DA4CA" w14:textId="77777777" w:rsidR="00792B80" w:rsidRPr="00C84FE9" w:rsidRDefault="00792B80" w:rsidP="00C84FE9">
      <w:pPr>
        <w:pStyle w:val="Heading1"/>
        <w:rPr>
          <w:lang w:val="en-GB"/>
        </w:rPr>
      </w:pPr>
      <w:bookmarkStart w:id="2" w:name="_Toc213946216"/>
      <w:r w:rsidRPr="00C84FE9">
        <w:rPr>
          <w:lang w:val="en-GB"/>
        </w:rPr>
        <w:t>Demographic and Geopolitical Factors Influencing Employment Markets and HR Challenges</w:t>
      </w:r>
      <w:bookmarkEnd w:id="2"/>
    </w:p>
    <w:p w14:paraId="69F7A608" w14:textId="77777777" w:rsidR="00792B80" w:rsidRPr="00C84FE9" w:rsidRDefault="00792B80" w:rsidP="00C84FE9">
      <w:pPr>
        <w:pStyle w:val="Heading2"/>
        <w:rPr>
          <w:lang w:val="en-GB"/>
        </w:rPr>
      </w:pPr>
      <w:bookmarkStart w:id="3" w:name="_Toc213946217"/>
      <w:r w:rsidRPr="00C84FE9">
        <w:rPr>
          <w:lang w:val="en-GB"/>
        </w:rPr>
        <w:t>Demographic Change</w:t>
      </w:r>
      <w:bookmarkEnd w:id="3"/>
    </w:p>
    <w:p w14:paraId="5CA97A24"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The population of the United Kingdom is growing older, with rising life expectancy and rising retirement age imposing pressure on the labour force. In the article, the Learning and Work Institute is concerned about increasing regional skills gaps, where people have more and more qualifications in London and the South East compared to the rest of the regions (The Guardian, 2025). According to the data provided by ONS, more than half of adults now have high-level </w:t>
      </w:r>
      <w:r w:rsidRPr="00C84FE9">
        <w:rPr>
          <w:rFonts w:ascii="Times New Roman" w:hAnsi="Times New Roman" w:cs="Times New Roman"/>
          <w:szCs w:val="24"/>
          <w:lang w:val="en-GB"/>
        </w:rPr>
        <w:lastRenderedPageBreak/>
        <w:t>skills as a result, but there are still significant gaps in the qualifications and job opportunities (ONS, 2024). In the case of HRM, this implies that they should structure retirements and succession of the ageing workforce and at the same time recruit and train the younger generation with new career demands.</w:t>
      </w:r>
    </w:p>
    <w:p w14:paraId="62144355" w14:textId="77777777" w:rsidR="00C84FE9" w:rsidRPr="00C84FE9" w:rsidRDefault="00C84FE9" w:rsidP="00C84FE9">
      <w:pPr>
        <w:keepNext/>
        <w:spacing w:line="360" w:lineRule="auto"/>
        <w:jc w:val="center"/>
        <w:rPr>
          <w:rFonts w:ascii="Times New Roman" w:hAnsi="Times New Roman" w:cs="Times New Roman"/>
          <w:szCs w:val="24"/>
          <w:lang w:val="en-GB"/>
        </w:rPr>
      </w:pPr>
      <w:r w:rsidRPr="00C84FE9">
        <w:rPr>
          <w:rFonts w:ascii="Times New Roman" w:hAnsi="Times New Roman" w:cs="Times New Roman"/>
          <w:noProof/>
          <w:szCs w:val="24"/>
          <w:lang w:bidi="ar-SA"/>
        </w:rPr>
        <w:drawing>
          <wp:inline distT="0" distB="0" distL="0" distR="0" wp14:anchorId="34F24A60" wp14:editId="085D18EC">
            <wp:extent cx="4322618" cy="2365433"/>
            <wp:effectExtent l="0" t="0" r="1905" b="0"/>
            <wp:docPr id="1991638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638795" name=""/>
                    <pic:cNvPicPr/>
                  </pic:nvPicPr>
                  <pic:blipFill>
                    <a:blip r:embed="rId11"/>
                    <a:stretch>
                      <a:fillRect/>
                    </a:stretch>
                  </pic:blipFill>
                  <pic:spPr>
                    <a:xfrm>
                      <a:off x="0" y="0"/>
                      <a:ext cx="4328338" cy="2368563"/>
                    </a:xfrm>
                    <a:prstGeom prst="rect">
                      <a:avLst/>
                    </a:prstGeom>
                  </pic:spPr>
                </pic:pic>
              </a:graphicData>
            </a:graphic>
          </wp:inline>
        </w:drawing>
      </w:r>
    </w:p>
    <w:p w14:paraId="1D08A8A2" w14:textId="2B0666D8" w:rsidR="00C84FE9" w:rsidRPr="00C84FE9" w:rsidRDefault="00C84FE9" w:rsidP="00C84FE9">
      <w:pPr>
        <w:pStyle w:val="Caption"/>
        <w:spacing w:line="360" w:lineRule="auto"/>
        <w:jc w:val="center"/>
        <w:rPr>
          <w:rFonts w:ascii="Times New Roman" w:hAnsi="Times New Roman" w:cs="Times New Roman"/>
          <w:sz w:val="24"/>
          <w:szCs w:val="24"/>
          <w:lang w:val="en-GB"/>
        </w:rPr>
      </w:pPr>
      <w:r w:rsidRPr="00C84FE9">
        <w:rPr>
          <w:rFonts w:ascii="Times New Roman" w:hAnsi="Times New Roman" w:cs="Times New Roman"/>
          <w:sz w:val="24"/>
          <w:szCs w:val="24"/>
          <w:lang w:val="en-GB"/>
        </w:rPr>
        <w:t xml:space="preserve">Figure </w:t>
      </w:r>
      <w:r w:rsidRPr="00C84FE9">
        <w:rPr>
          <w:rFonts w:ascii="Times New Roman" w:hAnsi="Times New Roman" w:cs="Times New Roman"/>
          <w:sz w:val="24"/>
          <w:szCs w:val="24"/>
          <w:lang w:val="en-GB"/>
        </w:rPr>
        <w:fldChar w:fldCharType="begin"/>
      </w:r>
      <w:r w:rsidRPr="00C84FE9">
        <w:rPr>
          <w:rFonts w:ascii="Times New Roman" w:hAnsi="Times New Roman" w:cs="Times New Roman"/>
          <w:sz w:val="24"/>
          <w:szCs w:val="24"/>
          <w:lang w:val="en-GB"/>
        </w:rPr>
        <w:instrText xml:space="preserve"> SEQ Figure \* ARABIC </w:instrText>
      </w:r>
      <w:r w:rsidRPr="00C84FE9">
        <w:rPr>
          <w:rFonts w:ascii="Times New Roman" w:hAnsi="Times New Roman" w:cs="Times New Roman"/>
          <w:sz w:val="24"/>
          <w:szCs w:val="24"/>
          <w:lang w:val="en-GB"/>
        </w:rPr>
        <w:fldChar w:fldCharType="separate"/>
      </w:r>
      <w:r w:rsidRPr="00C84FE9">
        <w:rPr>
          <w:rFonts w:ascii="Times New Roman" w:hAnsi="Times New Roman" w:cs="Times New Roman"/>
          <w:noProof/>
          <w:sz w:val="24"/>
          <w:szCs w:val="24"/>
          <w:lang w:val="en-GB"/>
        </w:rPr>
        <w:t>2</w:t>
      </w:r>
      <w:r w:rsidRPr="00C84FE9">
        <w:rPr>
          <w:rFonts w:ascii="Times New Roman" w:hAnsi="Times New Roman" w:cs="Times New Roman"/>
          <w:sz w:val="24"/>
          <w:szCs w:val="24"/>
          <w:lang w:val="en-GB"/>
        </w:rPr>
        <w:fldChar w:fldCharType="end"/>
      </w:r>
      <w:r w:rsidRPr="00C84FE9">
        <w:rPr>
          <w:rFonts w:ascii="Times New Roman" w:hAnsi="Times New Roman" w:cs="Times New Roman"/>
          <w:sz w:val="24"/>
          <w:szCs w:val="24"/>
          <w:lang w:val="en-GB"/>
        </w:rPr>
        <w:t xml:space="preserve"> Human Resource Management Market Size Report</w:t>
      </w:r>
    </w:p>
    <w:p w14:paraId="49658640" w14:textId="0D29C6AA" w:rsidR="00C84FE9" w:rsidRPr="00C84FE9" w:rsidRDefault="00C84FE9" w:rsidP="00C84FE9">
      <w:pPr>
        <w:spacing w:line="360" w:lineRule="auto"/>
        <w:jc w:val="center"/>
        <w:rPr>
          <w:rFonts w:ascii="Times New Roman" w:hAnsi="Times New Roman" w:cs="Times New Roman"/>
          <w:szCs w:val="24"/>
          <w:lang w:val="en-GB"/>
        </w:rPr>
      </w:pPr>
      <w:r w:rsidRPr="00C84FE9">
        <w:rPr>
          <w:rFonts w:ascii="Times New Roman" w:hAnsi="Times New Roman" w:cs="Times New Roman"/>
          <w:szCs w:val="24"/>
          <w:lang w:val="en-GB"/>
        </w:rPr>
        <w:t>Source: (ONS, 2024)</w:t>
      </w:r>
    </w:p>
    <w:p w14:paraId="6CBF8CDE"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The generational diversity also provides a new demand towards flexibility, purpose and digital use. Workers of younger generations value work-life balance and their impact on society, which forces HR to reconsider reward systems, performance measures and employee-experience policies (CIPD, 2025). In the meantime, reskilling can be provided to older workers to increase their job viability during periods of technological uproar.</w:t>
      </w:r>
    </w:p>
    <w:p w14:paraId="0B8C2008" w14:textId="7B8551ED" w:rsidR="00792B80" w:rsidRPr="00C84FE9" w:rsidRDefault="00792B80" w:rsidP="00C84FE9">
      <w:pPr>
        <w:pStyle w:val="Heading2"/>
        <w:rPr>
          <w:lang w:val="en-GB"/>
        </w:rPr>
      </w:pPr>
      <w:bookmarkStart w:id="4" w:name="_Toc213946218"/>
      <w:r w:rsidRPr="00C84FE9">
        <w:rPr>
          <w:lang w:val="en-GB"/>
        </w:rPr>
        <w:t>Dynamics of Migration and Post-Brexit</w:t>
      </w:r>
      <w:bookmarkEnd w:id="4"/>
    </w:p>
    <w:p w14:paraId="19B57E4B"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The immigration controls since Brexit have been driving labour shortages in a number of sectors in the UK, with one of them being the hospitality industry. The CIPD (2021) discovered that employers respond by expanding recruitment pathways and flexible employment with pay increases. As an HR professional, it will require new international hiring channels, employer branding in and out of the country, and adherence to new visa laws. IHRM needs to be able to align its global staffing and immigration strategies with such geopolitical realities to gain access to important talent pools.</w:t>
      </w:r>
    </w:p>
    <w:p w14:paraId="62BABD3D" w14:textId="0E94F43B" w:rsidR="00792B80" w:rsidRPr="00C84FE9" w:rsidRDefault="00792B80" w:rsidP="00C84FE9">
      <w:pPr>
        <w:pStyle w:val="Heading2"/>
        <w:rPr>
          <w:lang w:val="en-GB"/>
        </w:rPr>
      </w:pPr>
      <w:bookmarkStart w:id="5" w:name="_Toc213946219"/>
      <w:r w:rsidRPr="00C84FE9">
        <w:rPr>
          <w:lang w:val="en-GB"/>
        </w:rPr>
        <w:lastRenderedPageBreak/>
        <w:t>International Geopolitical Unpredictability</w:t>
      </w:r>
      <w:bookmarkEnd w:id="5"/>
    </w:p>
    <w:p w14:paraId="30FABDA1"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The instability in the world economy (disruptions in supply chains, inflationary pressures and wars) has an impact on the employment market. These occurrences shape the workforce planning and mobility decisions as well as the structure of costs. According to Training News (2025), crises in both energy and trade around the world have transformed the hiring priorities in the UK. This translates to the creation of resiliency as a result of workforce agility, scenario planning and risk-based talent strategies for HR.</w:t>
      </w:r>
    </w:p>
    <w:p w14:paraId="1E49959E"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There are other complexities of IHRM in multinational corporations. Exporting talents or limiting inflows of talents may be hindered by political tensions or sanctions on expatriate assignments. Under uncertain circumstances, IHRM needs to prepare contingency plans on the relocation of staff, virtual assignments and collaboration across borders (Notes </w:t>
      </w:r>
      <w:proofErr w:type="spellStart"/>
      <w:r w:rsidRPr="00C84FE9">
        <w:rPr>
          <w:rFonts w:ascii="Times New Roman" w:hAnsi="Times New Roman" w:cs="Times New Roman"/>
          <w:szCs w:val="24"/>
          <w:lang w:val="en-GB"/>
        </w:rPr>
        <w:t>Collegehive</w:t>
      </w:r>
      <w:proofErr w:type="spellEnd"/>
      <w:r w:rsidRPr="00C84FE9">
        <w:rPr>
          <w:rFonts w:ascii="Times New Roman" w:hAnsi="Times New Roman" w:cs="Times New Roman"/>
          <w:szCs w:val="24"/>
          <w:lang w:val="en-GB"/>
        </w:rPr>
        <w:t>, 2025). Geopolitical rivalry over high-tech talent has, in addition, augmented the necessity of global employer-of-choice branding and harmonised global reward tactics.</w:t>
      </w:r>
    </w:p>
    <w:p w14:paraId="07FD96DC" w14:textId="77777777" w:rsidR="00792B80" w:rsidRPr="00C84FE9" w:rsidRDefault="00792B80" w:rsidP="00C84FE9">
      <w:pPr>
        <w:pStyle w:val="Heading2"/>
        <w:rPr>
          <w:lang w:val="en-GB"/>
        </w:rPr>
      </w:pPr>
      <w:bookmarkStart w:id="6" w:name="_Toc213946220"/>
      <w:r w:rsidRPr="00C84FE9">
        <w:rPr>
          <w:lang w:val="en-GB"/>
        </w:rPr>
        <w:t>Diversity and Inclusion</w:t>
      </w:r>
      <w:bookmarkEnd w:id="6"/>
    </w:p>
    <w:p w14:paraId="26911BD6"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Changes in the demographics also require increased emphasis on diversity, equity and inclusion (DEI). Gender and ethnic differences in remuneration and security of contracts are still pronounced in the labour markets of the UK (</w:t>
      </w:r>
      <w:proofErr w:type="spellStart"/>
      <w:r w:rsidRPr="00C84FE9">
        <w:rPr>
          <w:rFonts w:ascii="Times New Roman" w:hAnsi="Times New Roman" w:cs="Times New Roman"/>
          <w:szCs w:val="24"/>
          <w:lang w:val="en-GB"/>
        </w:rPr>
        <w:t>Arxiv</w:t>
      </w:r>
      <w:proofErr w:type="spellEnd"/>
      <w:r w:rsidRPr="00C84FE9">
        <w:rPr>
          <w:rFonts w:ascii="Times New Roman" w:hAnsi="Times New Roman" w:cs="Times New Roman"/>
          <w:szCs w:val="24"/>
          <w:lang w:val="en-GB"/>
        </w:rPr>
        <w:t>, 2023). These should be dealt with by HR strategies such as inclusive recruitment, equal pay audits and specific leadership programmes. IHRM takes this accountability on a worldwide scale, where justices are upheld across cultural backgrounds and avoids unfairness in expatriate payment or career advancements.</w:t>
      </w:r>
    </w:p>
    <w:p w14:paraId="27E5B723" w14:textId="036A3954" w:rsidR="00792B80" w:rsidRPr="00C84FE9" w:rsidRDefault="00792B80" w:rsidP="00C84FE9">
      <w:pPr>
        <w:pStyle w:val="Heading2"/>
        <w:rPr>
          <w:lang w:val="en-GB"/>
        </w:rPr>
      </w:pPr>
      <w:bookmarkStart w:id="7" w:name="_Toc213946221"/>
      <w:r w:rsidRPr="00C84FE9">
        <w:rPr>
          <w:lang w:val="en-GB"/>
        </w:rPr>
        <w:t>Institutional Factors and Labour-Market Power</w:t>
      </w:r>
      <w:bookmarkEnd w:id="7"/>
    </w:p>
    <w:p w14:paraId="32AF7DC0"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Lastly, there are structural reasons like employer concentration which have an impact on labour results. According to the Competition and Markets Authority (2024), the market power of employers prevents an increase in wages and the free movement of workers. The challenge that confronts HR professionals is therefore how to retain limited talent while at the same time ensuring reasonable compensation in the concentrated labour markets.</w:t>
      </w:r>
    </w:p>
    <w:p w14:paraId="117805E5"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Finally, the employment is changing due to demographic ageing, migration changes, and geopolitical volatility. The HRM and IHRM are forced to react by considering the workforce solutions that are responsive, inclusive, and globally cohesive by balancing the short-term solutions to labour supply with long-term development of capability and social sustainability.</w:t>
      </w:r>
    </w:p>
    <w:p w14:paraId="4486DF2F"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w:t>
      </w:r>
    </w:p>
    <w:p w14:paraId="052CE25F" w14:textId="77777777" w:rsidR="00792B80" w:rsidRPr="00C84FE9" w:rsidRDefault="00792B80" w:rsidP="00C84FE9">
      <w:pPr>
        <w:pStyle w:val="Heading1"/>
        <w:rPr>
          <w:lang w:val="en-GB"/>
        </w:rPr>
      </w:pPr>
      <w:bookmarkStart w:id="8" w:name="_Toc213946222"/>
      <w:r w:rsidRPr="00C84FE9">
        <w:rPr>
          <w:lang w:val="en-GB"/>
        </w:rPr>
        <w:lastRenderedPageBreak/>
        <w:t>Addressing Skills Gaps and Talent Shortages through Strategic HRM</w:t>
      </w:r>
      <w:bookmarkEnd w:id="8"/>
    </w:p>
    <w:p w14:paraId="25F51740" w14:textId="77777777" w:rsidR="00792B80" w:rsidRPr="00C84FE9" w:rsidRDefault="00792B80" w:rsidP="00C84FE9">
      <w:pPr>
        <w:pStyle w:val="Heading2"/>
        <w:rPr>
          <w:lang w:val="en-GB"/>
        </w:rPr>
      </w:pPr>
      <w:bookmarkStart w:id="9" w:name="_Toc213946223"/>
      <w:r w:rsidRPr="00C84FE9">
        <w:rPr>
          <w:lang w:val="en-GB"/>
        </w:rPr>
        <w:t>Diagnosing Skills Gaps</w:t>
      </w:r>
      <w:bookmarkEnd w:id="9"/>
    </w:p>
    <w:p w14:paraId="4689C9B1"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According to the ManpowerGroup (2024) Survey on talent shortage, 80 per cent of employers in the UK complained that they had problems finding workers, the worst in 18 years. Estimates by the government predict that ten priority areas will have huge deficits by 2030 (UK Government, 2024). SHRM is thus required to incorporate labour-market analytics to map upcoming requirements of skills so as to utilise information to predict future jobs as opposed to responding to existing vacancies. As an example, the UK economy might lose an amount of £27.6 billion every year because of the limit of digital-skills shortage alone by 2030 (University of Birmingham, 2025).</w:t>
      </w:r>
    </w:p>
    <w:p w14:paraId="2F0B642B" w14:textId="77777777" w:rsidR="00792B80" w:rsidRPr="00C84FE9" w:rsidRDefault="00792B80" w:rsidP="00C84FE9">
      <w:pPr>
        <w:pStyle w:val="Heading2"/>
        <w:rPr>
          <w:lang w:val="en-GB"/>
        </w:rPr>
      </w:pPr>
      <w:bookmarkStart w:id="10" w:name="_Toc213946224"/>
      <w:r w:rsidRPr="00C84FE9">
        <w:rPr>
          <w:lang w:val="en-GB"/>
        </w:rPr>
        <w:t>From Qualifications to Capabilities</w:t>
      </w:r>
      <w:bookmarkEnd w:id="10"/>
    </w:p>
    <w:p w14:paraId="630E896E"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Employers are moving towards capability-based recruitment rather than hiring on a qualitative basis. Bone et al. (2023) discovered that the demand for AI and green-job skills is escalating at a higher pace than the degree attainment. Learning agility, problem-solving and problem adaptability rather than fixed requirements should therefore be the priority of HRM. Micro-credentials and continuous professional development (CPD) programmes and internal reskilling programmes allow workers to keep up with the changes in technology and the market.</w:t>
      </w:r>
    </w:p>
    <w:p w14:paraId="3FBB2990" w14:textId="77777777" w:rsidR="00792B80" w:rsidRPr="00C84FE9" w:rsidRDefault="00792B80" w:rsidP="00C84FE9">
      <w:pPr>
        <w:pStyle w:val="Heading2"/>
        <w:rPr>
          <w:lang w:val="en-GB"/>
        </w:rPr>
      </w:pPr>
      <w:bookmarkStart w:id="11" w:name="_Toc213946225"/>
      <w:r w:rsidRPr="00C84FE9">
        <w:rPr>
          <w:lang w:val="en-GB"/>
        </w:rPr>
        <w:t>In-House Talent Management</w:t>
      </w:r>
      <w:bookmarkEnd w:id="11"/>
    </w:p>
    <w:p w14:paraId="0A3642A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Existing employees can be developed to avoid reliance on unnecessary external recruitment. According to CIPD (2021), employment post-Brexit has increased investment in internal mobility, apprenticeships, and training. SHRM can improve this by incorporating professionally designed career paths, mentoring and cross-functional assignments. Collaborations with schools may develop curricula to suit industry demands so that there would be a constant supply of skilled applicants.</w:t>
      </w:r>
    </w:p>
    <w:p w14:paraId="5EA86D4A" w14:textId="77777777" w:rsidR="00792B80" w:rsidRPr="00C84FE9" w:rsidRDefault="00792B80" w:rsidP="00C84FE9">
      <w:pPr>
        <w:pStyle w:val="Heading2"/>
        <w:rPr>
          <w:lang w:val="en-GB"/>
        </w:rPr>
      </w:pPr>
      <w:bookmarkStart w:id="12" w:name="_Toc213946226"/>
      <w:r w:rsidRPr="00C84FE9">
        <w:rPr>
          <w:lang w:val="en-GB"/>
        </w:rPr>
        <w:t>Attraction and Retention Strategies</w:t>
      </w:r>
      <w:bookmarkEnd w:id="12"/>
    </w:p>
    <w:p w14:paraId="7E75A18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In industries where there are deficit-prone situations like healthcare and hospitality, HR should not merely rely on incentives based on pay. Flexibility, well-being and career development, which are part of employee-value propositions, enhance retention (CIPD, 2025). SHRM frameworks focus on adapting the organisational culture to the expectations of the employees </w:t>
      </w:r>
      <w:r w:rsidRPr="00C84FE9">
        <w:rPr>
          <w:rFonts w:ascii="Times New Roman" w:hAnsi="Times New Roman" w:cs="Times New Roman"/>
          <w:szCs w:val="24"/>
          <w:lang w:val="en-GB"/>
        </w:rPr>
        <w:lastRenderedPageBreak/>
        <w:t>to build engagement. From predictive analytics, it is possible to determine flight-risk employees and intervene early.</w:t>
      </w:r>
    </w:p>
    <w:p w14:paraId="01C366C2" w14:textId="77777777" w:rsidR="00792B80" w:rsidRPr="00C84FE9" w:rsidRDefault="00792B80" w:rsidP="00C84FE9">
      <w:pPr>
        <w:pStyle w:val="Heading2"/>
        <w:rPr>
          <w:lang w:val="en-GB"/>
        </w:rPr>
      </w:pPr>
      <w:bookmarkStart w:id="13" w:name="_Toc213946227"/>
      <w:r w:rsidRPr="00C84FE9">
        <w:rPr>
          <w:lang w:val="en-GB"/>
        </w:rPr>
        <w:t>Partnering and Cooperation with Externals</w:t>
      </w:r>
      <w:bookmarkEnd w:id="13"/>
    </w:p>
    <w:p w14:paraId="4049CD5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To overcome the problem related to the national skills shortage, a multi-stakeholder approach should be taken. Organisations are to collaborate with the government, universities and other sector organisations to develop apprenticeships and skills boot camps. Indicatively, according to the Productivity Insights Network (2025), the local productivity will rely on local collaborations between education providers and employers. IHRM brings another international dimension: domestic shortages can be relieved by sourcing talent internationally and hiring remote cross-border teams and expatriates, and this will enhance cultural diversity.</w:t>
      </w:r>
    </w:p>
    <w:p w14:paraId="6A5814B1" w14:textId="77777777" w:rsidR="00792B80" w:rsidRPr="00C84FE9" w:rsidRDefault="00792B80" w:rsidP="00C84FE9">
      <w:pPr>
        <w:pStyle w:val="Heading2"/>
        <w:rPr>
          <w:lang w:val="en-GB"/>
        </w:rPr>
      </w:pPr>
      <w:bookmarkStart w:id="14" w:name="_Toc213946228"/>
      <w:r w:rsidRPr="00C84FE9">
        <w:rPr>
          <w:lang w:val="en-GB"/>
        </w:rPr>
        <w:t>Building Workforce Agility</w:t>
      </w:r>
      <w:bookmarkEnd w:id="14"/>
    </w:p>
    <w:p w14:paraId="501ECC13"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Lastly, SHRM needs to nurture agile workforce frameworks, a combination of permanent, contingent, and platform-based employees, to respond to the demand variation. Skills can be dynamically allocated through scenario planning, marketplaces of talents and in-house gig systems (Workday Newsroom, 2025). HR will provide the resilience to technological and economic shocks, which is embedded by introducing flexibility.</w:t>
      </w:r>
    </w:p>
    <w:p w14:paraId="208878DD" w14:textId="55E7E59E"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In general, strategic HRM allows organisations to resolve the issue of skills shortages in the UK based on data-focused planning, ongoing skills development, all-encompassing attraction, and rapid design. It is not about seeking to fill the vacancy but developing a flexible human capital, which can ensure continued competitiveness.</w:t>
      </w:r>
    </w:p>
    <w:p w14:paraId="2CA11F9E" w14:textId="77777777" w:rsidR="00F479D9" w:rsidRDefault="00F479D9">
      <w:pPr>
        <w:rPr>
          <w:rFonts w:ascii="Times New Roman" w:eastAsiaTheme="majorEastAsia" w:hAnsi="Times New Roman" w:cstheme="majorBidi"/>
          <w:b/>
          <w:color w:val="2F5496" w:themeColor="accent1" w:themeShade="BF"/>
          <w:sz w:val="28"/>
          <w:szCs w:val="50"/>
          <w:lang w:val="en-GB"/>
        </w:rPr>
      </w:pPr>
      <w:r>
        <w:rPr>
          <w:lang w:val="en-GB"/>
        </w:rPr>
        <w:br w:type="page"/>
      </w:r>
    </w:p>
    <w:p w14:paraId="2E918C61" w14:textId="0A3BA121" w:rsidR="00792B80" w:rsidRPr="00C84FE9" w:rsidRDefault="00792B80" w:rsidP="00C84FE9">
      <w:pPr>
        <w:pStyle w:val="Heading1"/>
        <w:rPr>
          <w:lang w:val="en-GB"/>
        </w:rPr>
      </w:pPr>
      <w:bookmarkStart w:id="15" w:name="_Toc213946229"/>
      <w:r w:rsidRPr="00C84FE9">
        <w:rPr>
          <w:lang w:val="en-GB"/>
        </w:rPr>
        <w:lastRenderedPageBreak/>
        <w:t>Reflective Report on My Capabilities in an International Context</w:t>
      </w:r>
      <w:bookmarkEnd w:id="15"/>
    </w:p>
    <w:p w14:paraId="6DCF28F5" w14:textId="6AE6A47B" w:rsidR="00F479D9" w:rsidRPr="00AE2A23" w:rsidRDefault="00F479D9" w:rsidP="00F479D9">
      <w:pPr>
        <w:spacing w:line="360" w:lineRule="auto"/>
        <w:jc w:val="both"/>
        <w:rPr>
          <w:rFonts w:ascii="Times New Roman" w:hAnsi="Times New Roman" w:cs="Times New Roman"/>
        </w:rPr>
      </w:pPr>
      <w:r w:rsidRPr="002A31E5">
        <w:rPr>
          <w:rFonts w:ascii="Times New Roman" w:hAnsi="Times New Roman" w:cs="Times New Roman"/>
        </w:rPr>
        <w:t xml:space="preserve">In the modern world where </w:t>
      </w:r>
      <w:r w:rsidR="002A31E5" w:rsidRPr="002A31E5">
        <w:rPr>
          <w:rFonts w:ascii="Times New Roman" w:hAnsi="Times New Roman" w:cs="Times New Roman"/>
        </w:rPr>
        <w:t>globalization</w:t>
      </w:r>
      <w:r w:rsidRPr="002A31E5">
        <w:rPr>
          <w:rFonts w:ascii="Times New Roman" w:hAnsi="Times New Roman" w:cs="Times New Roman"/>
        </w:rPr>
        <w:t xml:space="preserve"> and technology influence the nature of operations by </w:t>
      </w:r>
      <w:r w:rsidR="002A31E5" w:rsidRPr="002A31E5">
        <w:rPr>
          <w:rFonts w:ascii="Times New Roman" w:hAnsi="Times New Roman" w:cs="Times New Roman"/>
        </w:rPr>
        <w:t>organizations</w:t>
      </w:r>
      <w:r w:rsidRPr="002A31E5">
        <w:rPr>
          <w:rFonts w:ascii="Times New Roman" w:hAnsi="Times New Roman" w:cs="Times New Roman"/>
        </w:rPr>
        <w:t>, there is a need to equip individuals with the capabilities of operating comfortably across boundaries (</w:t>
      </w:r>
      <w:proofErr w:type="spellStart"/>
      <w:r w:rsidRPr="002A31E5">
        <w:rPr>
          <w:rFonts w:ascii="Times New Roman" w:hAnsi="Times New Roman" w:cs="Times New Roman"/>
        </w:rPr>
        <w:t>Arxiv</w:t>
      </w:r>
      <w:proofErr w:type="spellEnd"/>
      <w:r w:rsidRPr="002A31E5">
        <w:rPr>
          <w:rFonts w:ascii="Times New Roman" w:hAnsi="Times New Roman" w:cs="Times New Roman"/>
        </w:rPr>
        <w:t xml:space="preserve">, 2023). As I look back to understand my skills in the fields of technology, communication, teamwork, leadership and self-directed learning, it has enabled me to see what I am good at, coupled with my areas of weakness. Through the help of the Reflective Cycle developed by Gibbs, I will </w:t>
      </w:r>
      <w:r w:rsidR="00D37894" w:rsidRPr="002A31E5">
        <w:rPr>
          <w:rFonts w:ascii="Times New Roman" w:hAnsi="Times New Roman" w:cs="Times New Roman"/>
        </w:rPr>
        <w:t>analyze</w:t>
      </w:r>
      <w:r w:rsidRPr="002A31E5">
        <w:rPr>
          <w:rFonts w:ascii="Times New Roman" w:hAnsi="Times New Roman" w:cs="Times New Roman"/>
        </w:rPr>
        <w:t xml:space="preserve"> my experience and develop an insightful strategy to become an even more efficient global </w:t>
      </w:r>
      <w:r w:rsidRPr="00AE2A23">
        <w:rPr>
          <w:rFonts w:ascii="Times New Roman" w:hAnsi="Times New Roman" w:cs="Times New Roman"/>
        </w:rPr>
        <w:t>professional.</w:t>
      </w:r>
    </w:p>
    <w:p w14:paraId="2FBE969A" w14:textId="286CB7AD" w:rsidR="00F479D9" w:rsidRPr="00F479D9" w:rsidRDefault="00F479D9" w:rsidP="00F479D9">
      <w:pPr>
        <w:pStyle w:val="Heading2"/>
      </w:pPr>
      <w:bookmarkStart w:id="16" w:name="_Toc213946230"/>
      <w:r w:rsidRPr="00F479D9">
        <w:t>Description</w:t>
      </w:r>
      <w:bookmarkEnd w:id="16"/>
    </w:p>
    <w:p w14:paraId="3DA452D5" w14:textId="073BE9EA" w:rsidR="00F479D9" w:rsidRPr="00FD7B23" w:rsidRDefault="00F479D9" w:rsidP="00F479D9">
      <w:pPr>
        <w:spacing w:line="360" w:lineRule="auto"/>
        <w:jc w:val="both"/>
        <w:rPr>
          <w:rFonts w:ascii="Times New Roman" w:hAnsi="Times New Roman" w:cs="Times New Roman"/>
        </w:rPr>
      </w:pPr>
      <w:r w:rsidRPr="00FD7B23">
        <w:rPr>
          <w:rFonts w:ascii="Times New Roman" w:hAnsi="Times New Roman" w:cs="Times New Roman"/>
        </w:rPr>
        <w:t xml:space="preserve">In the modern </w:t>
      </w:r>
      <w:r w:rsidR="00D37894" w:rsidRPr="00FD7B23">
        <w:rPr>
          <w:rFonts w:ascii="Times New Roman" w:hAnsi="Times New Roman" w:cs="Times New Roman"/>
        </w:rPr>
        <w:t>globalized</w:t>
      </w:r>
      <w:r w:rsidRPr="00FD7B23">
        <w:rPr>
          <w:rFonts w:ascii="Times New Roman" w:hAnsi="Times New Roman" w:cs="Times New Roman"/>
        </w:rPr>
        <w:t xml:space="preserve"> society full of technology, personal readiness to cross the borders is as significant as the international strategy of an </w:t>
      </w:r>
      <w:r w:rsidR="00D37894" w:rsidRPr="00FD7B23">
        <w:rPr>
          <w:rFonts w:ascii="Times New Roman" w:hAnsi="Times New Roman" w:cs="Times New Roman"/>
        </w:rPr>
        <w:t>organization</w:t>
      </w:r>
      <w:r w:rsidRPr="00FD7B23">
        <w:rPr>
          <w:rFonts w:ascii="Times New Roman" w:hAnsi="Times New Roman" w:cs="Times New Roman"/>
        </w:rPr>
        <w:t xml:space="preserve"> (CIPD, 2025). In the recent past, I have been able to reflect on my personal abilities in technology, communication, teamwork, leadership and self-directed learning. I have </w:t>
      </w:r>
      <w:r w:rsidR="00D37894" w:rsidRPr="00FD7B23">
        <w:rPr>
          <w:rFonts w:ascii="Times New Roman" w:hAnsi="Times New Roman" w:cs="Times New Roman"/>
        </w:rPr>
        <w:t>realized</w:t>
      </w:r>
      <w:r w:rsidRPr="00FD7B23">
        <w:rPr>
          <w:rFonts w:ascii="Times New Roman" w:hAnsi="Times New Roman" w:cs="Times New Roman"/>
        </w:rPr>
        <w:t xml:space="preserve"> that I possess a number of strengths that make me a suitable worker in global working, but there are some aspects I should focus on, because I will become more confident in operating in the multicultural and virtual working environment.</w:t>
      </w:r>
    </w:p>
    <w:p w14:paraId="640A9AC1" w14:textId="77777777" w:rsidR="00F479D9" w:rsidRPr="00F479D9" w:rsidRDefault="00F479D9" w:rsidP="00F479D9">
      <w:pPr>
        <w:pStyle w:val="Heading2"/>
      </w:pPr>
      <w:bookmarkStart w:id="17" w:name="_Toc213946231"/>
      <w:r w:rsidRPr="00F479D9">
        <w:t>Feelings</w:t>
      </w:r>
      <w:bookmarkEnd w:id="17"/>
    </w:p>
    <w:p w14:paraId="05DFD51A" w14:textId="255E70BD" w:rsidR="00F479D9" w:rsidRPr="00FD7B23" w:rsidRDefault="00F479D9" w:rsidP="00F479D9">
      <w:pPr>
        <w:spacing w:line="360" w:lineRule="auto"/>
        <w:jc w:val="both"/>
        <w:rPr>
          <w:rFonts w:ascii="Times New Roman" w:hAnsi="Times New Roman" w:cs="Times New Roman"/>
        </w:rPr>
      </w:pPr>
      <w:r w:rsidRPr="00FD7B23">
        <w:rPr>
          <w:rFonts w:ascii="Times New Roman" w:hAnsi="Times New Roman" w:cs="Times New Roman"/>
        </w:rPr>
        <w:t>Reflecting on my experiences, I was sure about what I am doing right at the moment, in terms of communication, working with teams, and the desire to continue learning. Meanwhile, I was a little worried about my insufficient level of digital skills and the fact that I feel a bit at a loss working with multicultural teams (</w:t>
      </w:r>
      <w:proofErr w:type="spellStart"/>
      <w:r w:rsidRPr="00FD7B23">
        <w:rPr>
          <w:rFonts w:ascii="Times New Roman" w:hAnsi="Times New Roman" w:cs="Times New Roman"/>
        </w:rPr>
        <w:t>Tursunbayeva</w:t>
      </w:r>
      <w:proofErr w:type="spellEnd"/>
      <w:r w:rsidRPr="00FD7B23">
        <w:rPr>
          <w:rFonts w:ascii="Times New Roman" w:hAnsi="Times New Roman" w:cs="Times New Roman"/>
        </w:rPr>
        <w:t xml:space="preserve">, 2024). This helped me to </w:t>
      </w:r>
      <w:r w:rsidR="005B2F4B" w:rsidRPr="00FD7B23">
        <w:rPr>
          <w:rFonts w:ascii="Times New Roman" w:hAnsi="Times New Roman" w:cs="Times New Roman"/>
        </w:rPr>
        <w:t>realize</w:t>
      </w:r>
      <w:r w:rsidRPr="00FD7B23">
        <w:rPr>
          <w:rFonts w:ascii="Times New Roman" w:hAnsi="Times New Roman" w:cs="Times New Roman"/>
        </w:rPr>
        <w:t xml:space="preserve"> that the process of getting ready to work internationally is an ongoing process that involves both skills development and understanding of oneself.</w:t>
      </w:r>
    </w:p>
    <w:p w14:paraId="76FF0B00" w14:textId="77777777" w:rsidR="00F479D9" w:rsidRPr="00F479D9" w:rsidRDefault="00F479D9" w:rsidP="00F479D9">
      <w:pPr>
        <w:pStyle w:val="Heading2"/>
      </w:pPr>
      <w:bookmarkStart w:id="18" w:name="_Toc213946232"/>
      <w:r w:rsidRPr="00F479D9">
        <w:t>Evaluation</w:t>
      </w:r>
      <w:bookmarkEnd w:id="18"/>
    </w:p>
    <w:p w14:paraId="315606EC" w14:textId="77777777" w:rsidR="00F479D9" w:rsidRPr="00FD7B23" w:rsidRDefault="00F479D9" w:rsidP="00F479D9">
      <w:pPr>
        <w:spacing w:line="360" w:lineRule="auto"/>
        <w:jc w:val="both"/>
        <w:rPr>
          <w:rFonts w:ascii="Times New Roman" w:hAnsi="Times New Roman" w:cs="Times New Roman"/>
        </w:rPr>
      </w:pPr>
      <w:r w:rsidRPr="00FD7B23">
        <w:rPr>
          <w:rFonts w:ascii="Times New Roman" w:hAnsi="Times New Roman" w:cs="Times New Roman"/>
        </w:rPr>
        <w:t>My performance had a number of positive sides. I have mastered the use of such online applications as Microsoft Teams and Excel through my academic and professional projects. I also speak well during the presentation sessions and group activities, and whenever I am in charge, I tend to be proactive. These are the strengths that have enabled me to work well with individuals of other countries.</w:t>
      </w:r>
    </w:p>
    <w:p w14:paraId="4C545264" w14:textId="2812E727" w:rsidR="00F479D9" w:rsidRPr="00FD7B23" w:rsidRDefault="00F479D9" w:rsidP="00F479D9">
      <w:pPr>
        <w:spacing w:line="360" w:lineRule="auto"/>
        <w:jc w:val="both"/>
        <w:rPr>
          <w:rFonts w:ascii="Times New Roman" w:hAnsi="Times New Roman" w:cs="Times New Roman"/>
        </w:rPr>
      </w:pPr>
      <w:r w:rsidRPr="00FD7B23">
        <w:rPr>
          <w:rFonts w:ascii="Times New Roman" w:hAnsi="Times New Roman" w:cs="Times New Roman"/>
        </w:rPr>
        <w:t xml:space="preserve">But not all the experiences were so smooth. At other times, there was a lack of understanding between cultures due to interaction (Malik and </w:t>
      </w:r>
      <w:proofErr w:type="spellStart"/>
      <w:r w:rsidRPr="00FD7B23">
        <w:rPr>
          <w:rFonts w:ascii="Times New Roman" w:hAnsi="Times New Roman" w:cs="Times New Roman"/>
        </w:rPr>
        <w:t>Budhwar</w:t>
      </w:r>
      <w:proofErr w:type="spellEnd"/>
      <w:r w:rsidRPr="00FD7B23">
        <w:rPr>
          <w:rFonts w:ascii="Times New Roman" w:hAnsi="Times New Roman" w:cs="Times New Roman"/>
        </w:rPr>
        <w:t xml:space="preserve">, 2023). I also learnt that at times, when </w:t>
      </w:r>
      <w:r w:rsidRPr="00FD7B23">
        <w:rPr>
          <w:rFonts w:ascii="Times New Roman" w:hAnsi="Times New Roman" w:cs="Times New Roman"/>
        </w:rPr>
        <w:lastRenderedPageBreak/>
        <w:t xml:space="preserve">the teamwork is not balanced, my attitude would be to assume more responsibilities rather than promoting the sense of shared responsibility. </w:t>
      </w:r>
    </w:p>
    <w:p w14:paraId="59E9AB2E" w14:textId="77777777" w:rsidR="00F479D9" w:rsidRPr="00F479D9" w:rsidRDefault="00F479D9" w:rsidP="00F479D9">
      <w:pPr>
        <w:pStyle w:val="Heading2"/>
      </w:pPr>
      <w:bookmarkStart w:id="19" w:name="_Toc213946233"/>
      <w:r w:rsidRPr="00F479D9">
        <w:t>Analysis</w:t>
      </w:r>
      <w:bookmarkEnd w:id="19"/>
    </w:p>
    <w:p w14:paraId="7458F047" w14:textId="77777777" w:rsidR="00F479D9" w:rsidRPr="00FD7B23" w:rsidRDefault="00F479D9" w:rsidP="00F479D9">
      <w:pPr>
        <w:spacing w:line="360" w:lineRule="auto"/>
        <w:jc w:val="both"/>
        <w:rPr>
          <w:rFonts w:ascii="Times New Roman" w:hAnsi="Times New Roman" w:cs="Times New Roman"/>
        </w:rPr>
      </w:pPr>
      <w:r w:rsidRPr="00FD7B23">
        <w:rPr>
          <w:rFonts w:ascii="Times New Roman" w:hAnsi="Times New Roman" w:cs="Times New Roman"/>
        </w:rPr>
        <w:t>The difficulties I encountered demonstrate the significance of being digitally savvy, culturally conscious and flexible. As it is stressed in research, HRM in the world is becoming more focused on digital literacy and cross-cultural sensitivity. This is the reason why cross-cultural misunderstandings have occurred when I applied idiomatic speech or when customs of a team did not align with their expectations due to the cultural differences (</w:t>
      </w:r>
      <w:proofErr w:type="spellStart"/>
      <w:r w:rsidRPr="00FD7B23">
        <w:rPr>
          <w:rFonts w:ascii="Times New Roman" w:hAnsi="Times New Roman" w:cs="Times New Roman"/>
        </w:rPr>
        <w:t>Tursunbayeva</w:t>
      </w:r>
      <w:proofErr w:type="spellEnd"/>
      <w:r w:rsidRPr="00FD7B23">
        <w:rPr>
          <w:rFonts w:ascii="Times New Roman" w:hAnsi="Times New Roman" w:cs="Times New Roman"/>
        </w:rPr>
        <w:t>, 2024).</w:t>
      </w:r>
    </w:p>
    <w:p w14:paraId="1306DB91" w14:textId="1045646F" w:rsidR="00F479D9" w:rsidRPr="00FD7B23" w:rsidRDefault="00F479D9" w:rsidP="00F479D9">
      <w:pPr>
        <w:spacing w:line="360" w:lineRule="auto"/>
        <w:jc w:val="both"/>
        <w:rPr>
          <w:rFonts w:ascii="Times New Roman" w:hAnsi="Times New Roman" w:cs="Times New Roman"/>
        </w:rPr>
      </w:pPr>
      <w:r w:rsidRPr="00FD7B23">
        <w:rPr>
          <w:rFonts w:ascii="Times New Roman" w:hAnsi="Times New Roman" w:cs="Times New Roman"/>
        </w:rPr>
        <w:t xml:space="preserve">My leadership experience also demonstrated some strong points, but to be a cross-cultural, cross-time zone leader, I needed better abilities in empathy, influence, and virtual coordination. I also </w:t>
      </w:r>
      <w:r w:rsidR="00FD7B23" w:rsidRPr="00FD7B23">
        <w:rPr>
          <w:rFonts w:ascii="Times New Roman" w:hAnsi="Times New Roman" w:cs="Times New Roman"/>
        </w:rPr>
        <w:t>realized</w:t>
      </w:r>
      <w:r w:rsidRPr="00FD7B23">
        <w:rPr>
          <w:rFonts w:ascii="Times New Roman" w:hAnsi="Times New Roman" w:cs="Times New Roman"/>
        </w:rPr>
        <w:t xml:space="preserve"> that I like studying; however, my process is not </w:t>
      </w:r>
      <w:r w:rsidR="00D37894" w:rsidRPr="00FD7B23">
        <w:rPr>
          <w:rFonts w:ascii="Times New Roman" w:hAnsi="Times New Roman" w:cs="Times New Roman"/>
        </w:rPr>
        <w:t>organized</w:t>
      </w:r>
      <w:r w:rsidRPr="00FD7B23">
        <w:rPr>
          <w:rFonts w:ascii="Times New Roman" w:hAnsi="Times New Roman" w:cs="Times New Roman"/>
        </w:rPr>
        <w:t xml:space="preserve"> and cannot help me to develop as much as I would like.</w:t>
      </w:r>
    </w:p>
    <w:p w14:paraId="09220240" w14:textId="77777777" w:rsidR="00F479D9" w:rsidRPr="00F479D9" w:rsidRDefault="00F479D9" w:rsidP="00F479D9">
      <w:pPr>
        <w:pStyle w:val="Heading2"/>
      </w:pPr>
      <w:bookmarkStart w:id="20" w:name="_Toc213946234"/>
      <w:r w:rsidRPr="00F479D9">
        <w:t>Conclusion</w:t>
      </w:r>
      <w:bookmarkEnd w:id="20"/>
    </w:p>
    <w:p w14:paraId="78BD0A0B" w14:textId="6CC5DA1C" w:rsidR="00F479D9" w:rsidRPr="006F7A4F" w:rsidRDefault="00F479D9" w:rsidP="00F479D9">
      <w:pPr>
        <w:spacing w:line="360" w:lineRule="auto"/>
        <w:jc w:val="both"/>
        <w:rPr>
          <w:rFonts w:ascii="Times New Roman" w:hAnsi="Times New Roman" w:cs="Times New Roman"/>
        </w:rPr>
      </w:pPr>
      <w:r w:rsidRPr="006F7A4F">
        <w:rPr>
          <w:rFonts w:ascii="Times New Roman" w:hAnsi="Times New Roman" w:cs="Times New Roman"/>
        </w:rPr>
        <w:t xml:space="preserve">Based on this reflection, I have </w:t>
      </w:r>
      <w:r w:rsidR="006F7A4F" w:rsidRPr="006F7A4F">
        <w:rPr>
          <w:rFonts w:ascii="Times New Roman" w:hAnsi="Times New Roman" w:cs="Times New Roman"/>
        </w:rPr>
        <w:t>realized</w:t>
      </w:r>
      <w:r w:rsidRPr="006F7A4F">
        <w:rPr>
          <w:rFonts w:ascii="Times New Roman" w:hAnsi="Times New Roman" w:cs="Times New Roman"/>
        </w:rPr>
        <w:t xml:space="preserve"> that despite my good foundation, I require additional training to work effectively across borders. Enhancing digital fluency, cultural communication, cross-cultural leadership, and being more strategic in planning my learning will contribute to me becoming a more productive global team member (</w:t>
      </w:r>
      <w:proofErr w:type="spellStart"/>
      <w:r w:rsidRPr="006F7A4F">
        <w:rPr>
          <w:rFonts w:ascii="Times New Roman" w:hAnsi="Times New Roman" w:cs="Times New Roman"/>
        </w:rPr>
        <w:t>Hibob</w:t>
      </w:r>
      <w:proofErr w:type="spellEnd"/>
      <w:r w:rsidRPr="006F7A4F">
        <w:rPr>
          <w:rFonts w:ascii="Times New Roman" w:hAnsi="Times New Roman" w:cs="Times New Roman"/>
        </w:rPr>
        <w:t xml:space="preserve">, 2024). I have strengths including initiative, communication, and teamwork, which provide me with a </w:t>
      </w:r>
      <w:r w:rsidR="006F7A4F" w:rsidRPr="006F7A4F">
        <w:rPr>
          <w:rFonts w:ascii="Times New Roman" w:hAnsi="Times New Roman" w:cs="Times New Roman"/>
        </w:rPr>
        <w:t>favorable</w:t>
      </w:r>
      <w:r w:rsidRPr="006F7A4F">
        <w:rPr>
          <w:rFonts w:ascii="Times New Roman" w:hAnsi="Times New Roman" w:cs="Times New Roman"/>
        </w:rPr>
        <w:t xml:space="preserve"> initial position, yet working on the latter areas is going to make me fully engage in international working environments.</w:t>
      </w:r>
    </w:p>
    <w:p w14:paraId="07373C10" w14:textId="77777777" w:rsidR="00F479D9" w:rsidRPr="00F479D9" w:rsidRDefault="00F479D9" w:rsidP="00F479D9">
      <w:pPr>
        <w:pStyle w:val="Heading2"/>
      </w:pPr>
      <w:bookmarkStart w:id="21" w:name="_Toc213946235"/>
      <w:r w:rsidRPr="00F479D9">
        <w:t>Action Plan</w:t>
      </w:r>
      <w:bookmarkEnd w:id="21"/>
    </w:p>
    <w:p w14:paraId="6D07F339" w14:textId="77777777" w:rsidR="00F479D9" w:rsidRPr="00263B22" w:rsidRDefault="00F479D9" w:rsidP="00F479D9">
      <w:pPr>
        <w:spacing w:line="360" w:lineRule="auto"/>
        <w:jc w:val="both"/>
        <w:rPr>
          <w:rFonts w:ascii="Times New Roman" w:hAnsi="Times New Roman" w:cs="Times New Roman"/>
        </w:rPr>
      </w:pPr>
      <w:r w:rsidRPr="00263B22">
        <w:rPr>
          <w:rFonts w:ascii="Times New Roman" w:hAnsi="Times New Roman" w:cs="Times New Roman"/>
        </w:rPr>
        <w:t>To improve, I will:</w:t>
      </w:r>
    </w:p>
    <w:p w14:paraId="650AC180" w14:textId="77777777" w:rsidR="00F479D9" w:rsidRPr="00263B22" w:rsidRDefault="00F479D9" w:rsidP="00F479D9">
      <w:pPr>
        <w:pStyle w:val="ListParagraph"/>
        <w:numPr>
          <w:ilvl w:val="0"/>
          <w:numId w:val="2"/>
        </w:numPr>
        <w:spacing w:line="360" w:lineRule="auto"/>
        <w:jc w:val="both"/>
        <w:rPr>
          <w:rFonts w:ascii="Times New Roman" w:hAnsi="Times New Roman" w:cs="Times New Roman"/>
        </w:rPr>
      </w:pPr>
      <w:r w:rsidRPr="00263B22">
        <w:rPr>
          <w:rFonts w:ascii="Times New Roman" w:hAnsi="Times New Roman" w:cs="Times New Roman"/>
        </w:rPr>
        <w:t>Take a course in intercultural communication and train on how to adjust the message to different parties.</w:t>
      </w:r>
    </w:p>
    <w:p w14:paraId="68AE25A3" w14:textId="77777777" w:rsidR="00F479D9" w:rsidRPr="00263B22" w:rsidRDefault="00F479D9" w:rsidP="00F479D9">
      <w:pPr>
        <w:pStyle w:val="ListParagraph"/>
        <w:numPr>
          <w:ilvl w:val="0"/>
          <w:numId w:val="2"/>
        </w:numPr>
        <w:spacing w:line="360" w:lineRule="auto"/>
        <w:jc w:val="both"/>
        <w:rPr>
          <w:rFonts w:ascii="Times New Roman" w:hAnsi="Times New Roman" w:cs="Times New Roman"/>
        </w:rPr>
      </w:pPr>
      <w:r w:rsidRPr="00263B22">
        <w:rPr>
          <w:rFonts w:ascii="Times New Roman" w:hAnsi="Times New Roman" w:cs="Times New Roman"/>
        </w:rPr>
        <w:t>Establish team responsibilities and charters to build more balanced teamwork.</w:t>
      </w:r>
    </w:p>
    <w:p w14:paraId="6023C0BE" w14:textId="77777777" w:rsidR="00F479D9" w:rsidRPr="00263B22" w:rsidRDefault="00F479D9" w:rsidP="00F479D9">
      <w:pPr>
        <w:pStyle w:val="ListParagraph"/>
        <w:numPr>
          <w:ilvl w:val="0"/>
          <w:numId w:val="2"/>
        </w:numPr>
        <w:spacing w:line="360" w:lineRule="auto"/>
        <w:jc w:val="both"/>
      </w:pPr>
      <w:r w:rsidRPr="00263B22">
        <w:rPr>
          <w:rFonts w:ascii="Times New Roman" w:hAnsi="Times New Roman" w:cs="Times New Roman"/>
        </w:rPr>
        <w:t>Develop a self-directed learning plan that contains weekly objectives and reflection journals to help guide regular self-directed learning.</w:t>
      </w:r>
    </w:p>
    <w:p w14:paraId="2307BD79" w14:textId="5E41B4B3" w:rsidR="00F479D9" w:rsidRPr="00F479D9" w:rsidRDefault="00F479D9" w:rsidP="00F479D9"/>
    <w:p w14:paraId="65D94A35" w14:textId="111D30A6" w:rsidR="00C84FE9" w:rsidRDefault="00C84FE9">
      <w:pPr>
        <w:rPr>
          <w:rFonts w:ascii="Times New Roman" w:hAnsi="Times New Roman" w:cs="Times New Roman"/>
          <w:szCs w:val="24"/>
          <w:lang w:val="en-GB"/>
        </w:rPr>
      </w:pPr>
    </w:p>
    <w:p w14:paraId="6F911C49" w14:textId="3C60BA56" w:rsidR="00792B80" w:rsidRPr="00C84FE9" w:rsidRDefault="00792B80" w:rsidP="00C84FE9">
      <w:pPr>
        <w:pStyle w:val="Heading1"/>
        <w:rPr>
          <w:lang w:val="en-GB"/>
        </w:rPr>
      </w:pPr>
      <w:bookmarkStart w:id="22" w:name="_Toc213946236"/>
      <w:r w:rsidRPr="00C84FE9">
        <w:rPr>
          <w:lang w:val="en-GB"/>
        </w:rPr>
        <w:lastRenderedPageBreak/>
        <w:t>Conclusion</w:t>
      </w:r>
      <w:bookmarkEnd w:id="22"/>
    </w:p>
    <w:p w14:paraId="2CF71E4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Technology, demographics and geopolitics are causing a radical change in national and international labour markets. In the case of HRM and IHRM, such changes require evidence-based, flexible and ethically sound approaches. Advancing technological advancements are skill-based and technology-fluent; demographic and geopolitical pressures necessitate flexible, inclusive and globally coherent HR systems, and perennial skills gaps necessitate strategic workforce planning and lifelong learning. The entrants of this environment should be able to integrate technological literacy, cross-cultural competence and self-directed learning. Both employees and organisations can succeed in the redefined global labour market through critical awareness and constant improvement of themselves.</w:t>
      </w:r>
    </w:p>
    <w:p w14:paraId="0E83CF4B" w14:textId="77777777" w:rsidR="00C263C4" w:rsidRPr="00C84FE9" w:rsidRDefault="00C263C4" w:rsidP="00C84FE9">
      <w:pPr>
        <w:spacing w:line="360" w:lineRule="auto"/>
        <w:jc w:val="both"/>
        <w:rPr>
          <w:rFonts w:ascii="Times New Roman" w:hAnsi="Times New Roman" w:cs="Times New Roman"/>
          <w:szCs w:val="24"/>
          <w:lang w:val="en-GB"/>
        </w:rPr>
      </w:pPr>
    </w:p>
    <w:p w14:paraId="26A04279" w14:textId="77777777" w:rsidR="00C84FE9" w:rsidRDefault="00C84FE9">
      <w:pPr>
        <w:rPr>
          <w:rFonts w:ascii="Times New Roman" w:hAnsi="Times New Roman" w:cs="Times New Roman"/>
          <w:szCs w:val="24"/>
          <w:lang w:val="en-GB"/>
        </w:rPr>
      </w:pPr>
      <w:r>
        <w:rPr>
          <w:rFonts w:ascii="Times New Roman" w:hAnsi="Times New Roman" w:cs="Times New Roman"/>
          <w:szCs w:val="24"/>
          <w:lang w:val="en-GB"/>
        </w:rPr>
        <w:br w:type="page"/>
      </w:r>
    </w:p>
    <w:p w14:paraId="58C96E1C" w14:textId="5C00D2B5" w:rsidR="00792B80" w:rsidRPr="00C84FE9" w:rsidRDefault="00792B80" w:rsidP="00C84FE9">
      <w:pPr>
        <w:pStyle w:val="Heading1"/>
        <w:rPr>
          <w:lang w:val="en-GB"/>
        </w:rPr>
      </w:pPr>
      <w:bookmarkStart w:id="23" w:name="_Toc213946237"/>
      <w:r w:rsidRPr="00C84FE9">
        <w:rPr>
          <w:lang w:val="en-GB"/>
        </w:rPr>
        <w:lastRenderedPageBreak/>
        <w:t>References</w:t>
      </w:r>
      <w:bookmarkEnd w:id="23"/>
    </w:p>
    <w:p w14:paraId="0F3DED6B" w14:textId="201390C4"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Bone, M., Ehlinger, E. and Stephany, F. (2023) ‘Skills or Degree? The Rise of Skill-Based Hiring for AI and Green Jobs’, </w:t>
      </w:r>
      <w:proofErr w:type="spellStart"/>
      <w:r w:rsidRPr="00C84FE9">
        <w:rPr>
          <w:rFonts w:ascii="Times New Roman" w:hAnsi="Times New Roman" w:cs="Times New Roman"/>
          <w:i/>
          <w:iCs/>
          <w:szCs w:val="24"/>
          <w:lang w:val="en-GB"/>
        </w:rPr>
        <w:t>arXiv</w:t>
      </w:r>
      <w:proofErr w:type="spellEnd"/>
      <w:r w:rsidRPr="00C84FE9">
        <w:rPr>
          <w:rFonts w:ascii="Times New Roman" w:hAnsi="Times New Roman" w:cs="Times New Roman"/>
          <w:i/>
          <w:iCs/>
          <w:szCs w:val="24"/>
          <w:lang w:val="en-GB"/>
        </w:rPr>
        <w:t xml:space="preserve"> preprint arXiv:2312.11942</w:t>
      </w:r>
      <w:r w:rsidRPr="00C84FE9">
        <w:rPr>
          <w:rFonts w:ascii="Times New Roman" w:hAnsi="Times New Roman" w:cs="Times New Roman"/>
          <w:szCs w:val="24"/>
          <w:lang w:val="en-GB"/>
        </w:rPr>
        <w:t xml:space="preserve">, pp. 1–25. </w:t>
      </w:r>
    </w:p>
    <w:p w14:paraId="55C9D38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CMA Microeconomics Unit (2024) </w:t>
      </w:r>
      <w:r w:rsidRPr="00C84FE9">
        <w:rPr>
          <w:rFonts w:ascii="Times New Roman" w:hAnsi="Times New Roman" w:cs="Times New Roman"/>
          <w:i/>
          <w:iCs/>
          <w:szCs w:val="24"/>
          <w:lang w:val="en-GB"/>
        </w:rPr>
        <w:t>Competition and Market Power in UK Labour Markets</w:t>
      </w:r>
      <w:r w:rsidRPr="00C84FE9">
        <w:rPr>
          <w:rFonts w:ascii="Times New Roman" w:hAnsi="Times New Roman" w:cs="Times New Roman"/>
          <w:szCs w:val="24"/>
          <w:lang w:val="en-GB"/>
        </w:rPr>
        <w:t xml:space="preserve">. London: Competition and Markets Authority, pp. 1–65. Available at: </w:t>
      </w:r>
      <w:hyperlink r:id="rId12" w:tgtFrame="_new" w:history="1">
        <w:r w:rsidRPr="00C84FE9">
          <w:rPr>
            <w:rStyle w:val="Hyperlink"/>
            <w:rFonts w:ascii="Times New Roman" w:hAnsi="Times New Roman" w:cs="Times New Roman"/>
            <w:szCs w:val="24"/>
            <w:lang w:val="en-GB"/>
          </w:rPr>
          <w:t>https://assets.publishing.service.gov.uk/media/67531c7221057d0ed56a0422/1._Competition_and_market_power_in_UK_labour_markets.pdf</w:t>
        </w:r>
      </w:hyperlink>
      <w:r w:rsidRPr="00C84FE9">
        <w:rPr>
          <w:rFonts w:ascii="Times New Roman" w:hAnsi="Times New Roman" w:cs="Times New Roman"/>
          <w:szCs w:val="24"/>
          <w:lang w:val="en-GB"/>
        </w:rPr>
        <w:t xml:space="preserve"> (Accessed: 6 November 2025).</w:t>
      </w:r>
    </w:p>
    <w:p w14:paraId="3AC58C1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CIPD (2021) </w:t>
      </w:r>
      <w:r w:rsidRPr="00C84FE9">
        <w:rPr>
          <w:rFonts w:ascii="Times New Roman" w:hAnsi="Times New Roman" w:cs="Times New Roman"/>
          <w:i/>
          <w:iCs/>
          <w:szCs w:val="24"/>
          <w:lang w:val="en-GB"/>
        </w:rPr>
        <w:t>Addressing Skills and Labour Shortages Post-Brexit</w:t>
      </w:r>
      <w:r w:rsidRPr="00C84FE9">
        <w:rPr>
          <w:rFonts w:ascii="Times New Roman" w:hAnsi="Times New Roman" w:cs="Times New Roman"/>
          <w:szCs w:val="24"/>
          <w:lang w:val="en-GB"/>
        </w:rPr>
        <w:t xml:space="preserve">. London: Chartered Institute of Personnel and Development, pp. 1–48. Available at: </w:t>
      </w:r>
      <w:hyperlink r:id="rId13" w:tgtFrame="_new" w:history="1">
        <w:r w:rsidRPr="00C84FE9">
          <w:rPr>
            <w:rStyle w:val="Hyperlink"/>
            <w:rFonts w:ascii="Times New Roman" w:hAnsi="Times New Roman" w:cs="Times New Roman"/>
            <w:szCs w:val="24"/>
            <w:lang w:val="en-GB"/>
          </w:rPr>
          <w:t>https://www.cipd.org/globalassets/media/knowledge/knowledge-hub/reports/addressing-skills-labour-shortages-post-brexit_tcm18-102313.pdf</w:t>
        </w:r>
      </w:hyperlink>
      <w:r w:rsidRPr="00C84FE9">
        <w:rPr>
          <w:rFonts w:ascii="Times New Roman" w:hAnsi="Times New Roman" w:cs="Times New Roman"/>
          <w:szCs w:val="24"/>
          <w:lang w:val="en-GB"/>
        </w:rPr>
        <w:t xml:space="preserve"> (Accessed: 6 November 2025).</w:t>
      </w:r>
    </w:p>
    <w:p w14:paraId="479CD760"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CIPD (2025) </w:t>
      </w:r>
      <w:r w:rsidRPr="00C84FE9">
        <w:rPr>
          <w:rFonts w:ascii="Times New Roman" w:hAnsi="Times New Roman" w:cs="Times New Roman"/>
          <w:i/>
          <w:iCs/>
          <w:szCs w:val="24"/>
          <w:lang w:val="en-GB"/>
        </w:rPr>
        <w:t>Labour Market Outlook – Summer 2025</w:t>
      </w:r>
      <w:r w:rsidRPr="00C84FE9">
        <w:rPr>
          <w:rFonts w:ascii="Times New Roman" w:hAnsi="Times New Roman" w:cs="Times New Roman"/>
          <w:szCs w:val="24"/>
          <w:lang w:val="en-GB"/>
        </w:rPr>
        <w:t xml:space="preserve">. London: Chartered Institute of Personnel and Development, pp. 1–40. Available at: </w:t>
      </w:r>
      <w:hyperlink r:id="rId14" w:tgtFrame="_new" w:history="1">
        <w:r w:rsidRPr="00C84FE9">
          <w:rPr>
            <w:rStyle w:val="Hyperlink"/>
            <w:rFonts w:ascii="Times New Roman" w:hAnsi="Times New Roman" w:cs="Times New Roman"/>
            <w:szCs w:val="24"/>
            <w:lang w:val="en-GB"/>
          </w:rPr>
          <w:t>https://www.cipd.org/uk/knowledge/reports/labour-market-outlook</w:t>
        </w:r>
      </w:hyperlink>
      <w:r w:rsidRPr="00C84FE9">
        <w:rPr>
          <w:rFonts w:ascii="Times New Roman" w:hAnsi="Times New Roman" w:cs="Times New Roman"/>
          <w:szCs w:val="24"/>
          <w:lang w:val="en-GB"/>
        </w:rPr>
        <w:t xml:space="preserve"> (Accessed: 6 November 2025).</w:t>
      </w:r>
    </w:p>
    <w:p w14:paraId="66FF6978"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Institute for Collaborative Working and Productivity Insights Network (2025) </w:t>
      </w:r>
      <w:r w:rsidRPr="00C84FE9">
        <w:rPr>
          <w:rFonts w:ascii="Times New Roman" w:hAnsi="Times New Roman" w:cs="Times New Roman"/>
          <w:i/>
          <w:iCs/>
          <w:szCs w:val="24"/>
          <w:lang w:val="en-GB"/>
        </w:rPr>
        <w:t>Skill Gaps and Labour Market – Thematic Guide</w:t>
      </w:r>
      <w:r w:rsidRPr="00C84FE9">
        <w:rPr>
          <w:rFonts w:ascii="Times New Roman" w:hAnsi="Times New Roman" w:cs="Times New Roman"/>
          <w:szCs w:val="24"/>
          <w:lang w:val="en-GB"/>
        </w:rPr>
        <w:t xml:space="preserve">. London: ICW / PIN, pp. 1–33. Available at: </w:t>
      </w:r>
      <w:hyperlink r:id="rId15" w:tgtFrame="_new" w:history="1">
        <w:r w:rsidRPr="00C84FE9">
          <w:rPr>
            <w:rStyle w:val="Hyperlink"/>
            <w:rFonts w:ascii="Times New Roman" w:hAnsi="Times New Roman" w:cs="Times New Roman"/>
            <w:szCs w:val="24"/>
            <w:lang w:val="en-GB"/>
          </w:rPr>
          <w:t>https://www.productivity.ac.uk/wp-content/uploads/2025/06/Thematic-guide-1-Skill-Gaps-and-Labour-June-2025.pdf</w:t>
        </w:r>
      </w:hyperlink>
      <w:r w:rsidRPr="00C84FE9">
        <w:rPr>
          <w:rFonts w:ascii="Times New Roman" w:hAnsi="Times New Roman" w:cs="Times New Roman"/>
          <w:szCs w:val="24"/>
          <w:lang w:val="en-GB"/>
        </w:rPr>
        <w:t xml:space="preserve"> (Accessed: 6 November 2025).</w:t>
      </w:r>
    </w:p>
    <w:p w14:paraId="6F7E1A80"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KPMG (2023) </w:t>
      </w:r>
      <w:r w:rsidRPr="00C84FE9">
        <w:rPr>
          <w:rFonts w:ascii="Times New Roman" w:hAnsi="Times New Roman" w:cs="Times New Roman"/>
          <w:i/>
          <w:iCs/>
          <w:szCs w:val="24"/>
          <w:lang w:val="en-GB"/>
        </w:rPr>
        <w:t>Generative AI and the UK Labour Market</w:t>
      </w:r>
      <w:r w:rsidRPr="00C84FE9">
        <w:rPr>
          <w:rFonts w:ascii="Times New Roman" w:hAnsi="Times New Roman" w:cs="Times New Roman"/>
          <w:szCs w:val="24"/>
          <w:lang w:val="en-GB"/>
        </w:rPr>
        <w:t xml:space="preserve">. London: KPMG LLP, pp. 1–52. Available at: </w:t>
      </w:r>
      <w:hyperlink r:id="rId16" w:tgtFrame="_new" w:history="1">
        <w:r w:rsidRPr="00C84FE9">
          <w:rPr>
            <w:rStyle w:val="Hyperlink"/>
            <w:rFonts w:ascii="Times New Roman" w:hAnsi="Times New Roman" w:cs="Times New Roman"/>
            <w:szCs w:val="24"/>
            <w:lang w:val="en-GB"/>
          </w:rPr>
          <w:t>https://assets.kpmg.com/content/dam/kpmgsites/uk/pdf/2023/06/generative-ai-and-the-uk-labour-market.pdf</w:t>
        </w:r>
      </w:hyperlink>
      <w:r w:rsidRPr="00C84FE9">
        <w:rPr>
          <w:rFonts w:ascii="Times New Roman" w:hAnsi="Times New Roman" w:cs="Times New Roman"/>
          <w:szCs w:val="24"/>
          <w:lang w:val="en-GB"/>
        </w:rPr>
        <w:t xml:space="preserve"> (Accessed: 6 November 2025).</w:t>
      </w:r>
    </w:p>
    <w:p w14:paraId="53CB8EA5"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Malik, A. and </w:t>
      </w:r>
      <w:proofErr w:type="spellStart"/>
      <w:r w:rsidRPr="00C84FE9">
        <w:rPr>
          <w:rFonts w:ascii="Times New Roman" w:hAnsi="Times New Roman" w:cs="Times New Roman"/>
          <w:szCs w:val="24"/>
          <w:lang w:val="en-GB"/>
        </w:rPr>
        <w:t>Budhwar</w:t>
      </w:r>
      <w:proofErr w:type="spellEnd"/>
      <w:r w:rsidRPr="00C84FE9">
        <w:rPr>
          <w:rFonts w:ascii="Times New Roman" w:hAnsi="Times New Roman" w:cs="Times New Roman"/>
          <w:szCs w:val="24"/>
          <w:lang w:val="en-GB"/>
        </w:rPr>
        <w:t xml:space="preserve">, P. (eds.) (2023) </w:t>
      </w:r>
      <w:r w:rsidRPr="00C84FE9">
        <w:rPr>
          <w:rFonts w:ascii="Times New Roman" w:hAnsi="Times New Roman" w:cs="Times New Roman"/>
          <w:i/>
          <w:iCs/>
          <w:szCs w:val="24"/>
          <w:lang w:val="en-GB"/>
        </w:rPr>
        <w:t>Artificial Intelligence and International HRM: Challenges, Opportunities and a Research Agenda</w:t>
      </w:r>
      <w:r w:rsidRPr="00C84FE9">
        <w:rPr>
          <w:rFonts w:ascii="Times New Roman" w:hAnsi="Times New Roman" w:cs="Times New Roman"/>
          <w:szCs w:val="24"/>
          <w:lang w:val="en-GB"/>
        </w:rPr>
        <w:t>. London: Routledge, pp. 1–320.</w:t>
      </w:r>
    </w:p>
    <w:p w14:paraId="432C2A61"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OECD (2023) </w:t>
      </w:r>
      <w:r w:rsidRPr="00C84FE9">
        <w:rPr>
          <w:rFonts w:ascii="Times New Roman" w:hAnsi="Times New Roman" w:cs="Times New Roman"/>
          <w:i/>
          <w:iCs/>
          <w:szCs w:val="24"/>
          <w:lang w:val="en-GB"/>
        </w:rPr>
        <w:t>OECD Employment Outlook 2023: Artificial Intelligence and the Labour Market</w:t>
      </w:r>
      <w:r w:rsidRPr="00C84FE9">
        <w:rPr>
          <w:rFonts w:ascii="Times New Roman" w:hAnsi="Times New Roman" w:cs="Times New Roman"/>
          <w:szCs w:val="24"/>
          <w:lang w:val="en-GB"/>
        </w:rPr>
        <w:t xml:space="preserve">. Paris: OECD Publishing, pp. 1–280. Available at: </w:t>
      </w:r>
      <w:hyperlink r:id="rId17" w:tgtFrame="_new" w:history="1">
        <w:r w:rsidRPr="00C84FE9">
          <w:rPr>
            <w:rStyle w:val="Hyperlink"/>
            <w:rFonts w:ascii="Times New Roman" w:hAnsi="Times New Roman" w:cs="Times New Roman"/>
            <w:szCs w:val="24"/>
            <w:lang w:val="en-GB"/>
          </w:rPr>
          <w:t>https://doi.org/10.1787/08785bba-en</w:t>
        </w:r>
      </w:hyperlink>
      <w:r w:rsidRPr="00C84FE9">
        <w:rPr>
          <w:rFonts w:ascii="Times New Roman" w:hAnsi="Times New Roman" w:cs="Times New Roman"/>
          <w:szCs w:val="24"/>
          <w:lang w:val="en-GB"/>
        </w:rPr>
        <w:t xml:space="preserve"> (Accessed: 6 November 2025).</w:t>
      </w:r>
    </w:p>
    <w:p w14:paraId="1062AE4C"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Oxford University (2025) ‘Expert Comment: How Generative AI is Transforming the Labour Market’, </w:t>
      </w:r>
      <w:r w:rsidRPr="00C84FE9">
        <w:rPr>
          <w:rFonts w:ascii="Times New Roman" w:hAnsi="Times New Roman" w:cs="Times New Roman"/>
          <w:i/>
          <w:iCs/>
          <w:szCs w:val="24"/>
          <w:lang w:val="en-GB"/>
        </w:rPr>
        <w:t>University of Oxford News</w:t>
      </w:r>
      <w:r w:rsidRPr="00C84FE9">
        <w:rPr>
          <w:rFonts w:ascii="Times New Roman" w:hAnsi="Times New Roman" w:cs="Times New Roman"/>
          <w:szCs w:val="24"/>
          <w:lang w:val="en-GB"/>
        </w:rPr>
        <w:t xml:space="preserve">, 3 February, pp. 1–3. Available at: </w:t>
      </w:r>
      <w:hyperlink r:id="rId18" w:tgtFrame="_new" w:history="1">
        <w:r w:rsidRPr="00C84FE9">
          <w:rPr>
            <w:rStyle w:val="Hyperlink"/>
            <w:rFonts w:ascii="Times New Roman" w:hAnsi="Times New Roman" w:cs="Times New Roman"/>
            <w:szCs w:val="24"/>
            <w:lang w:val="en-GB"/>
          </w:rPr>
          <w:t>https://www.ox.ac.uk/news/2025-02-03-expert-comment-how-generative-ai-transforming-labour-market</w:t>
        </w:r>
      </w:hyperlink>
      <w:r w:rsidRPr="00C84FE9">
        <w:rPr>
          <w:rFonts w:ascii="Times New Roman" w:hAnsi="Times New Roman" w:cs="Times New Roman"/>
          <w:szCs w:val="24"/>
          <w:lang w:val="en-GB"/>
        </w:rPr>
        <w:t xml:space="preserve"> (Accessed: 6 November 2025).</w:t>
      </w:r>
    </w:p>
    <w:p w14:paraId="34C55208" w14:textId="77777777" w:rsidR="00792B80" w:rsidRPr="00C84FE9" w:rsidRDefault="00792B80" w:rsidP="00C84FE9">
      <w:pPr>
        <w:spacing w:line="360" w:lineRule="auto"/>
        <w:jc w:val="both"/>
        <w:rPr>
          <w:rFonts w:ascii="Times New Roman" w:hAnsi="Times New Roman" w:cs="Times New Roman"/>
          <w:szCs w:val="24"/>
          <w:lang w:val="en-GB"/>
        </w:rPr>
      </w:pPr>
      <w:proofErr w:type="spellStart"/>
      <w:r w:rsidRPr="00C84FE9">
        <w:rPr>
          <w:rFonts w:ascii="Times New Roman" w:hAnsi="Times New Roman" w:cs="Times New Roman"/>
          <w:szCs w:val="24"/>
          <w:lang w:val="en-GB"/>
        </w:rPr>
        <w:t>Recruitonomics</w:t>
      </w:r>
      <w:proofErr w:type="spellEnd"/>
      <w:r w:rsidRPr="00C84FE9">
        <w:rPr>
          <w:rFonts w:ascii="Times New Roman" w:hAnsi="Times New Roman" w:cs="Times New Roman"/>
          <w:szCs w:val="24"/>
          <w:lang w:val="en-GB"/>
        </w:rPr>
        <w:t xml:space="preserve"> (2024) ‘Is the Skills Gap Getting Worse in the UK?’, </w:t>
      </w:r>
      <w:proofErr w:type="spellStart"/>
      <w:r w:rsidRPr="00C84FE9">
        <w:rPr>
          <w:rFonts w:ascii="Times New Roman" w:hAnsi="Times New Roman" w:cs="Times New Roman"/>
          <w:i/>
          <w:iCs/>
          <w:szCs w:val="24"/>
          <w:lang w:val="en-GB"/>
        </w:rPr>
        <w:t>Recruitonomics</w:t>
      </w:r>
      <w:proofErr w:type="spellEnd"/>
      <w:r w:rsidRPr="00C84FE9">
        <w:rPr>
          <w:rFonts w:ascii="Times New Roman" w:hAnsi="Times New Roman" w:cs="Times New Roman"/>
          <w:i/>
          <w:iCs/>
          <w:szCs w:val="24"/>
          <w:lang w:val="en-GB"/>
        </w:rPr>
        <w:t xml:space="preserve"> Research Brief</w:t>
      </w:r>
      <w:r w:rsidRPr="00C84FE9">
        <w:rPr>
          <w:rFonts w:ascii="Times New Roman" w:hAnsi="Times New Roman" w:cs="Times New Roman"/>
          <w:szCs w:val="24"/>
          <w:lang w:val="en-GB"/>
        </w:rPr>
        <w:t xml:space="preserve">, pp. 1–10. Available at: </w:t>
      </w:r>
      <w:hyperlink r:id="rId19" w:tgtFrame="_new" w:history="1">
        <w:r w:rsidRPr="00C84FE9">
          <w:rPr>
            <w:rStyle w:val="Hyperlink"/>
            <w:rFonts w:ascii="Times New Roman" w:hAnsi="Times New Roman" w:cs="Times New Roman"/>
            <w:szCs w:val="24"/>
            <w:lang w:val="en-GB"/>
          </w:rPr>
          <w:t>https://recruitonomics.com/is-the-skills-gap-getting-worse-in-the-uk</w:t>
        </w:r>
      </w:hyperlink>
      <w:r w:rsidRPr="00C84FE9">
        <w:rPr>
          <w:rFonts w:ascii="Times New Roman" w:hAnsi="Times New Roman" w:cs="Times New Roman"/>
          <w:szCs w:val="24"/>
          <w:lang w:val="en-GB"/>
        </w:rPr>
        <w:t xml:space="preserve"> (Accessed: 6 November 2025).</w:t>
      </w:r>
    </w:p>
    <w:p w14:paraId="10E8CE22" w14:textId="77777777" w:rsidR="00792B80" w:rsidRPr="00C84FE9" w:rsidRDefault="00792B80" w:rsidP="00C84FE9">
      <w:pPr>
        <w:spacing w:line="360" w:lineRule="auto"/>
        <w:jc w:val="both"/>
        <w:rPr>
          <w:rFonts w:ascii="Times New Roman" w:hAnsi="Times New Roman" w:cs="Times New Roman"/>
          <w:szCs w:val="24"/>
          <w:lang w:val="en-GB"/>
        </w:rPr>
      </w:pPr>
      <w:proofErr w:type="spellStart"/>
      <w:r w:rsidRPr="00C84FE9">
        <w:rPr>
          <w:rFonts w:ascii="Times New Roman" w:hAnsi="Times New Roman" w:cs="Times New Roman"/>
          <w:szCs w:val="24"/>
          <w:lang w:val="en-GB"/>
        </w:rPr>
        <w:t>Tursunbayeva</w:t>
      </w:r>
      <w:proofErr w:type="spellEnd"/>
      <w:r w:rsidRPr="00C84FE9">
        <w:rPr>
          <w:rFonts w:ascii="Times New Roman" w:hAnsi="Times New Roman" w:cs="Times New Roman"/>
          <w:szCs w:val="24"/>
          <w:lang w:val="en-GB"/>
        </w:rPr>
        <w:t xml:space="preserve">, A. (2024) ‘Contemporary Human Resource Management: Evolution, Trends and Factors of Influence’, in </w:t>
      </w:r>
      <w:r w:rsidRPr="00C84FE9">
        <w:rPr>
          <w:rFonts w:ascii="Times New Roman" w:hAnsi="Times New Roman" w:cs="Times New Roman"/>
          <w:i/>
          <w:iCs/>
          <w:szCs w:val="24"/>
          <w:lang w:val="en-GB"/>
        </w:rPr>
        <w:t>Contributions to Management Science</w:t>
      </w:r>
      <w:r w:rsidRPr="00C84FE9">
        <w:rPr>
          <w:rFonts w:ascii="Times New Roman" w:hAnsi="Times New Roman" w:cs="Times New Roman"/>
          <w:szCs w:val="24"/>
          <w:lang w:val="en-GB"/>
        </w:rPr>
        <w:t>, pp. 9–22.</w:t>
      </w:r>
    </w:p>
    <w:p w14:paraId="4E389DEE" w14:textId="77777777" w:rsidR="00792B80" w:rsidRPr="00C84FE9" w:rsidRDefault="00792B80" w:rsidP="00C84FE9">
      <w:pPr>
        <w:spacing w:line="360" w:lineRule="auto"/>
        <w:jc w:val="both"/>
        <w:rPr>
          <w:rFonts w:ascii="Times New Roman" w:hAnsi="Times New Roman" w:cs="Times New Roman"/>
          <w:szCs w:val="24"/>
          <w:lang w:val="en-GB"/>
        </w:rPr>
      </w:pPr>
      <w:proofErr w:type="spellStart"/>
      <w:r w:rsidRPr="00C84FE9">
        <w:rPr>
          <w:rFonts w:ascii="Times New Roman" w:hAnsi="Times New Roman" w:cs="Times New Roman"/>
          <w:szCs w:val="24"/>
          <w:lang w:val="en-GB"/>
        </w:rPr>
        <w:t>Tursunbayeva</w:t>
      </w:r>
      <w:proofErr w:type="spellEnd"/>
      <w:r w:rsidRPr="00C84FE9">
        <w:rPr>
          <w:rFonts w:ascii="Times New Roman" w:hAnsi="Times New Roman" w:cs="Times New Roman"/>
          <w:szCs w:val="24"/>
          <w:lang w:val="en-GB"/>
        </w:rPr>
        <w:t xml:space="preserve">, A., Pagliari, R. and </w:t>
      </w:r>
      <w:proofErr w:type="spellStart"/>
      <w:r w:rsidRPr="00C84FE9">
        <w:rPr>
          <w:rFonts w:ascii="Times New Roman" w:hAnsi="Times New Roman" w:cs="Times New Roman"/>
          <w:szCs w:val="24"/>
          <w:lang w:val="en-GB"/>
        </w:rPr>
        <w:t>Bunduchi</w:t>
      </w:r>
      <w:proofErr w:type="spellEnd"/>
      <w:r w:rsidRPr="00C84FE9">
        <w:rPr>
          <w:rFonts w:ascii="Times New Roman" w:hAnsi="Times New Roman" w:cs="Times New Roman"/>
          <w:szCs w:val="24"/>
          <w:lang w:val="en-GB"/>
        </w:rPr>
        <w:t xml:space="preserve">, R. (2024) ‘Looking Back to Look Forward: Disruption, Innovation and Future Trends in IHRM’, </w:t>
      </w:r>
      <w:r w:rsidRPr="00C84FE9">
        <w:rPr>
          <w:rFonts w:ascii="Times New Roman" w:hAnsi="Times New Roman" w:cs="Times New Roman"/>
          <w:i/>
          <w:iCs/>
          <w:szCs w:val="24"/>
          <w:lang w:val="en-GB"/>
        </w:rPr>
        <w:t>International Journal of Human Resource Management</w:t>
      </w:r>
      <w:r w:rsidRPr="00C84FE9">
        <w:rPr>
          <w:rFonts w:ascii="Times New Roman" w:hAnsi="Times New Roman" w:cs="Times New Roman"/>
          <w:szCs w:val="24"/>
          <w:lang w:val="en-GB"/>
        </w:rPr>
        <w:t>, 35(4), pp. 745–763.</w:t>
      </w:r>
    </w:p>
    <w:p w14:paraId="6D0F9A69" w14:textId="77777777"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United Kingdom Government (2021) </w:t>
      </w:r>
      <w:r w:rsidRPr="00C84FE9">
        <w:rPr>
          <w:rFonts w:ascii="Times New Roman" w:hAnsi="Times New Roman" w:cs="Times New Roman"/>
          <w:i/>
          <w:iCs/>
          <w:szCs w:val="24"/>
          <w:lang w:val="en-GB"/>
        </w:rPr>
        <w:t>The Potential Impact of AI on UK Employment and the Demand for Skills</w:t>
      </w:r>
      <w:r w:rsidRPr="00C84FE9">
        <w:rPr>
          <w:rFonts w:ascii="Times New Roman" w:hAnsi="Times New Roman" w:cs="Times New Roman"/>
          <w:szCs w:val="24"/>
          <w:lang w:val="en-GB"/>
        </w:rPr>
        <w:t xml:space="preserve"> (BEIS Research Report No. 2021/042). London: Department for Business, Energy and Industrial Strategy, pp. 1–88. Available at: </w:t>
      </w:r>
      <w:hyperlink r:id="rId20" w:tgtFrame="_new" w:history="1">
        <w:r w:rsidRPr="00C84FE9">
          <w:rPr>
            <w:rStyle w:val="Hyperlink"/>
            <w:rFonts w:ascii="Times New Roman" w:hAnsi="Times New Roman" w:cs="Times New Roman"/>
            <w:szCs w:val="24"/>
            <w:lang w:val="en-GB"/>
          </w:rPr>
          <w:t>https://www.gov.uk/government/publications/the-potential-impact-of-ai-on-uk-employment-and-the-demand-for-skills</w:t>
        </w:r>
      </w:hyperlink>
      <w:r w:rsidRPr="00C84FE9">
        <w:rPr>
          <w:rFonts w:ascii="Times New Roman" w:hAnsi="Times New Roman" w:cs="Times New Roman"/>
          <w:szCs w:val="24"/>
          <w:lang w:val="en-GB"/>
        </w:rPr>
        <w:t xml:space="preserve"> (Accessed: 6 November 2025).</w:t>
      </w:r>
    </w:p>
    <w:p w14:paraId="4B6DE90D" w14:textId="3C2C7318" w:rsidR="00792B80" w:rsidRPr="00C84FE9" w:rsidRDefault="00792B80" w:rsidP="00C84FE9">
      <w:pPr>
        <w:spacing w:line="360" w:lineRule="auto"/>
        <w:jc w:val="both"/>
        <w:rPr>
          <w:rFonts w:ascii="Times New Roman" w:hAnsi="Times New Roman" w:cs="Times New Roman"/>
          <w:szCs w:val="24"/>
          <w:lang w:val="en-GB"/>
        </w:rPr>
      </w:pPr>
      <w:r w:rsidRPr="00C84FE9">
        <w:rPr>
          <w:rFonts w:ascii="Times New Roman" w:hAnsi="Times New Roman" w:cs="Times New Roman"/>
          <w:szCs w:val="24"/>
          <w:lang w:val="en-GB"/>
        </w:rPr>
        <w:t xml:space="preserve">Williams, L. (2024) ‘How International Labour Laws Influence HRM Policies in UK-Based Global Companies: A Comprehensive Analysis’, </w:t>
      </w:r>
      <w:r w:rsidRPr="00C84FE9">
        <w:rPr>
          <w:rFonts w:ascii="Times New Roman" w:hAnsi="Times New Roman" w:cs="Times New Roman"/>
          <w:i/>
          <w:iCs/>
          <w:szCs w:val="24"/>
          <w:lang w:val="en-GB"/>
        </w:rPr>
        <w:t>Journal of Human Resource Management and Policies</w:t>
      </w:r>
      <w:r w:rsidRPr="00C84FE9">
        <w:rPr>
          <w:rFonts w:ascii="Times New Roman" w:hAnsi="Times New Roman" w:cs="Times New Roman"/>
          <w:szCs w:val="24"/>
          <w:lang w:val="en-GB"/>
        </w:rPr>
        <w:t xml:space="preserve">, 12(2), pp. 45–58. </w:t>
      </w:r>
    </w:p>
    <w:sectPr w:rsidR="00792B80" w:rsidRPr="00C84FE9" w:rsidSect="00C84FE9">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C3B32" w14:textId="77777777" w:rsidR="00725B12" w:rsidRDefault="00725B12" w:rsidP="00C84FE9">
      <w:pPr>
        <w:spacing w:after="0" w:line="240" w:lineRule="auto"/>
      </w:pPr>
      <w:r>
        <w:separator/>
      </w:r>
    </w:p>
  </w:endnote>
  <w:endnote w:type="continuationSeparator" w:id="0">
    <w:p w14:paraId="07519906" w14:textId="77777777" w:rsidR="00725B12" w:rsidRDefault="00725B12" w:rsidP="00C84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9886823"/>
      <w:docPartObj>
        <w:docPartGallery w:val="Page Numbers (Bottom of Page)"/>
        <w:docPartUnique/>
      </w:docPartObj>
    </w:sdtPr>
    <w:sdtEndPr>
      <w:rPr>
        <w:noProof/>
      </w:rPr>
    </w:sdtEndPr>
    <w:sdtContent>
      <w:p w14:paraId="34AEDF2C" w14:textId="58CD33DE" w:rsidR="00C84FE9" w:rsidRDefault="00C84FE9">
        <w:pPr>
          <w:pStyle w:val="Footer"/>
          <w:jc w:val="right"/>
        </w:pPr>
        <w:r>
          <w:fldChar w:fldCharType="begin"/>
        </w:r>
        <w:r>
          <w:instrText xml:space="preserve"> PAGE   \* MERGEFORMAT </w:instrText>
        </w:r>
        <w:r>
          <w:fldChar w:fldCharType="separate"/>
        </w:r>
        <w:r w:rsidR="00FC2181">
          <w:rPr>
            <w:noProof/>
          </w:rPr>
          <w:t>15</w:t>
        </w:r>
        <w:r>
          <w:rPr>
            <w:noProof/>
          </w:rPr>
          <w:fldChar w:fldCharType="end"/>
        </w:r>
      </w:p>
    </w:sdtContent>
  </w:sdt>
  <w:p w14:paraId="3A7B03A0" w14:textId="77777777" w:rsidR="00C84FE9" w:rsidRDefault="00C84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59CDB" w14:textId="77777777" w:rsidR="00725B12" w:rsidRDefault="00725B12" w:rsidP="00C84FE9">
      <w:pPr>
        <w:spacing w:after="0" w:line="240" w:lineRule="auto"/>
      </w:pPr>
      <w:r>
        <w:separator/>
      </w:r>
    </w:p>
  </w:footnote>
  <w:footnote w:type="continuationSeparator" w:id="0">
    <w:p w14:paraId="3513B2D4" w14:textId="77777777" w:rsidR="00725B12" w:rsidRDefault="00725B12" w:rsidP="00C84F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40BAB"/>
    <w:multiLevelType w:val="hybridMultilevel"/>
    <w:tmpl w:val="9CDC0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E31BD6"/>
    <w:multiLevelType w:val="multilevel"/>
    <w:tmpl w:val="1EDAD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1965875">
    <w:abstractNumId w:val="1"/>
  </w:num>
  <w:num w:numId="2" w16cid:durableId="530530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3C4"/>
    <w:rsid w:val="00263B22"/>
    <w:rsid w:val="00274B99"/>
    <w:rsid w:val="002A31E5"/>
    <w:rsid w:val="002F668E"/>
    <w:rsid w:val="00410817"/>
    <w:rsid w:val="0051292C"/>
    <w:rsid w:val="00515BD6"/>
    <w:rsid w:val="005B2F4B"/>
    <w:rsid w:val="005E6415"/>
    <w:rsid w:val="006506C3"/>
    <w:rsid w:val="00696E42"/>
    <w:rsid w:val="006F7A4F"/>
    <w:rsid w:val="00725B12"/>
    <w:rsid w:val="00792B80"/>
    <w:rsid w:val="007D073E"/>
    <w:rsid w:val="00901BF5"/>
    <w:rsid w:val="00963F56"/>
    <w:rsid w:val="00A63FC5"/>
    <w:rsid w:val="00AE2A23"/>
    <w:rsid w:val="00B5567D"/>
    <w:rsid w:val="00C217B5"/>
    <w:rsid w:val="00C25302"/>
    <w:rsid w:val="00C263C4"/>
    <w:rsid w:val="00C84FE9"/>
    <w:rsid w:val="00D37894"/>
    <w:rsid w:val="00DC3A40"/>
    <w:rsid w:val="00F41F6D"/>
    <w:rsid w:val="00F479D9"/>
    <w:rsid w:val="00FC2181"/>
    <w:rsid w:val="00FD7B23"/>
    <w:rsid w:val="00FF1E6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869CA"/>
  <w15:chartTrackingRefBased/>
  <w15:docId w15:val="{7A3ECC80-67D1-4633-B7F6-F36C0D0F9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4FE9"/>
    <w:pPr>
      <w:keepNext/>
      <w:keepLines/>
      <w:spacing w:before="360" w:after="80" w:line="360" w:lineRule="auto"/>
      <w:jc w:val="both"/>
      <w:outlineLvl w:val="0"/>
    </w:pPr>
    <w:rPr>
      <w:rFonts w:ascii="Times New Roman" w:eastAsiaTheme="majorEastAsia" w:hAnsi="Times New Roman" w:cstheme="majorBidi"/>
      <w:b/>
      <w:color w:val="2F5496" w:themeColor="accent1" w:themeShade="BF"/>
      <w:sz w:val="28"/>
      <w:szCs w:val="50"/>
    </w:rPr>
  </w:style>
  <w:style w:type="paragraph" w:styleId="Heading2">
    <w:name w:val="heading 2"/>
    <w:basedOn w:val="Normal"/>
    <w:next w:val="Normal"/>
    <w:link w:val="Heading2Char"/>
    <w:uiPriority w:val="9"/>
    <w:unhideWhenUsed/>
    <w:qFormat/>
    <w:rsid w:val="00C84FE9"/>
    <w:pPr>
      <w:keepNext/>
      <w:keepLines/>
      <w:spacing w:before="160" w:after="80" w:line="360" w:lineRule="auto"/>
      <w:jc w:val="both"/>
      <w:outlineLvl w:val="1"/>
    </w:pPr>
    <w:rPr>
      <w:rFonts w:ascii="Times New Roman" w:eastAsiaTheme="majorEastAsia" w:hAnsi="Times New Roman" w:cstheme="majorBidi"/>
      <w:b/>
      <w:color w:val="000000" w:themeColor="text1"/>
      <w:sz w:val="28"/>
      <w:szCs w:val="40"/>
    </w:rPr>
  </w:style>
  <w:style w:type="paragraph" w:styleId="Heading3">
    <w:name w:val="heading 3"/>
    <w:basedOn w:val="Normal"/>
    <w:next w:val="Normal"/>
    <w:link w:val="Heading3Char"/>
    <w:uiPriority w:val="9"/>
    <w:semiHidden/>
    <w:unhideWhenUsed/>
    <w:qFormat/>
    <w:rsid w:val="00C263C4"/>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C263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63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63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3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3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3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FE9"/>
    <w:rPr>
      <w:rFonts w:ascii="Times New Roman" w:eastAsiaTheme="majorEastAsia" w:hAnsi="Times New Roman" w:cstheme="majorBidi"/>
      <w:b/>
      <w:color w:val="2F5496" w:themeColor="accent1" w:themeShade="BF"/>
      <w:sz w:val="28"/>
      <w:szCs w:val="50"/>
    </w:rPr>
  </w:style>
  <w:style w:type="character" w:customStyle="1" w:styleId="Heading2Char">
    <w:name w:val="Heading 2 Char"/>
    <w:basedOn w:val="DefaultParagraphFont"/>
    <w:link w:val="Heading2"/>
    <w:uiPriority w:val="9"/>
    <w:rsid w:val="00C84FE9"/>
    <w:rPr>
      <w:rFonts w:ascii="Times New Roman" w:eastAsiaTheme="majorEastAsia" w:hAnsi="Times New Roman" w:cstheme="majorBidi"/>
      <w:b/>
      <w:color w:val="000000" w:themeColor="text1"/>
      <w:sz w:val="28"/>
      <w:szCs w:val="40"/>
    </w:rPr>
  </w:style>
  <w:style w:type="character" w:customStyle="1" w:styleId="Heading3Char">
    <w:name w:val="Heading 3 Char"/>
    <w:basedOn w:val="DefaultParagraphFont"/>
    <w:link w:val="Heading3"/>
    <w:uiPriority w:val="9"/>
    <w:semiHidden/>
    <w:rsid w:val="00C263C4"/>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C263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63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63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3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3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3C4"/>
    <w:rPr>
      <w:rFonts w:eastAsiaTheme="majorEastAsia" w:cstheme="majorBidi"/>
      <w:color w:val="272727" w:themeColor="text1" w:themeTint="D8"/>
    </w:rPr>
  </w:style>
  <w:style w:type="paragraph" w:styleId="Title">
    <w:name w:val="Title"/>
    <w:basedOn w:val="Normal"/>
    <w:next w:val="Normal"/>
    <w:link w:val="TitleChar"/>
    <w:uiPriority w:val="10"/>
    <w:qFormat/>
    <w:rsid w:val="00C263C4"/>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263C4"/>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263C4"/>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263C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263C4"/>
    <w:pPr>
      <w:spacing w:before="160"/>
      <w:jc w:val="center"/>
    </w:pPr>
    <w:rPr>
      <w:i/>
      <w:iCs/>
      <w:color w:val="404040" w:themeColor="text1" w:themeTint="BF"/>
    </w:rPr>
  </w:style>
  <w:style w:type="character" w:customStyle="1" w:styleId="QuoteChar">
    <w:name w:val="Quote Char"/>
    <w:basedOn w:val="DefaultParagraphFont"/>
    <w:link w:val="Quote"/>
    <w:uiPriority w:val="29"/>
    <w:rsid w:val="00C263C4"/>
    <w:rPr>
      <w:i/>
      <w:iCs/>
      <w:color w:val="404040" w:themeColor="text1" w:themeTint="BF"/>
    </w:rPr>
  </w:style>
  <w:style w:type="paragraph" w:styleId="ListParagraph">
    <w:name w:val="List Paragraph"/>
    <w:basedOn w:val="Normal"/>
    <w:uiPriority w:val="34"/>
    <w:qFormat/>
    <w:rsid w:val="00C263C4"/>
    <w:pPr>
      <w:ind w:left="720"/>
      <w:contextualSpacing/>
    </w:pPr>
  </w:style>
  <w:style w:type="character" w:styleId="IntenseEmphasis">
    <w:name w:val="Intense Emphasis"/>
    <w:basedOn w:val="DefaultParagraphFont"/>
    <w:uiPriority w:val="21"/>
    <w:qFormat/>
    <w:rsid w:val="00C263C4"/>
    <w:rPr>
      <w:i/>
      <w:iCs/>
      <w:color w:val="2F5496" w:themeColor="accent1" w:themeShade="BF"/>
    </w:rPr>
  </w:style>
  <w:style w:type="paragraph" w:styleId="IntenseQuote">
    <w:name w:val="Intense Quote"/>
    <w:basedOn w:val="Normal"/>
    <w:next w:val="Normal"/>
    <w:link w:val="IntenseQuoteChar"/>
    <w:uiPriority w:val="30"/>
    <w:qFormat/>
    <w:rsid w:val="00C263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63C4"/>
    <w:rPr>
      <w:i/>
      <w:iCs/>
      <w:color w:val="2F5496" w:themeColor="accent1" w:themeShade="BF"/>
    </w:rPr>
  </w:style>
  <w:style w:type="character" w:styleId="IntenseReference">
    <w:name w:val="Intense Reference"/>
    <w:basedOn w:val="DefaultParagraphFont"/>
    <w:uiPriority w:val="32"/>
    <w:qFormat/>
    <w:rsid w:val="00C263C4"/>
    <w:rPr>
      <w:b/>
      <w:bCs/>
      <w:smallCaps/>
      <w:color w:val="2F5496" w:themeColor="accent1" w:themeShade="BF"/>
      <w:spacing w:val="5"/>
    </w:rPr>
  </w:style>
  <w:style w:type="character" w:styleId="Hyperlink">
    <w:name w:val="Hyperlink"/>
    <w:basedOn w:val="DefaultParagraphFont"/>
    <w:uiPriority w:val="99"/>
    <w:unhideWhenUsed/>
    <w:rsid w:val="00792B80"/>
    <w:rPr>
      <w:color w:val="0563C1" w:themeColor="hyperlink"/>
      <w:u w:val="single"/>
    </w:rPr>
  </w:style>
  <w:style w:type="character" w:customStyle="1" w:styleId="UnresolvedMention1">
    <w:name w:val="Unresolved Mention1"/>
    <w:basedOn w:val="DefaultParagraphFont"/>
    <w:uiPriority w:val="99"/>
    <w:semiHidden/>
    <w:unhideWhenUsed/>
    <w:rsid w:val="00792B80"/>
    <w:rPr>
      <w:color w:val="605E5C"/>
      <w:shd w:val="clear" w:color="auto" w:fill="E1DFDD"/>
    </w:rPr>
  </w:style>
  <w:style w:type="paragraph" w:styleId="NoSpacing">
    <w:name w:val="No Spacing"/>
    <w:uiPriority w:val="1"/>
    <w:qFormat/>
    <w:rsid w:val="00C84FE9"/>
    <w:pPr>
      <w:spacing w:after="0" w:line="240" w:lineRule="auto"/>
    </w:pPr>
  </w:style>
  <w:style w:type="paragraph" w:styleId="Caption">
    <w:name w:val="caption"/>
    <w:basedOn w:val="Normal"/>
    <w:next w:val="Normal"/>
    <w:uiPriority w:val="35"/>
    <w:unhideWhenUsed/>
    <w:qFormat/>
    <w:rsid w:val="00C84FE9"/>
    <w:pPr>
      <w:spacing w:after="200" w:line="240" w:lineRule="auto"/>
    </w:pPr>
    <w:rPr>
      <w:i/>
      <w:iCs/>
      <w:color w:val="44546A" w:themeColor="text2"/>
      <w:sz w:val="18"/>
      <w:szCs w:val="22"/>
    </w:rPr>
  </w:style>
  <w:style w:type="paragraph" w:styleId="Header">
    <w:name w:val="header"/>
    <w:basedOn w:val="Normal"/>
    <w:link w:val="HeaderChar"/>
    <w:uiPriority w:val="99"/>
    <w:unhideWhenUsed/>
    <w:rsid w:val="00C84F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E9"/>
  </w:style>
  <w:style w:type="paragraph" w:styleId="Footer">
    <w:name w:val="footer"/>
    <w:basedOn w:val="Normal"/>
    <w:link w:val="FooterChar"/>
    <w:uiPriority w:val="99"/>
    <w:unhideWhenUsed/>
    <w:rsid w:val="00C84F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E9"/>
  </w:style>
  <w:style w:type="paragraph" w:styleId="TOCHeading">
    <w:name w:val="TOC Heading"/>
    <w:basedOn w:val="Heading1"/>
    <w:next w:val="Normal"/>
    <w:uiPriority w:val="39"/>
    <w:unhideWhenUsed/>
    <w:qFormat/>
    <w:rsid w:val="00C84FE9"/>
    <w:pPr>
      <w:spacing w:before="240" w:after="0" w:line="259" w:lineRule="auto"/>
      <w:jc w:val="left"/>
      <w:outlineLvl w:val="9"/>
    </w:pPr>
    <w:rPr>
      <w:rFonts w:asciiTheme="majorHAnsi" w:hAnsiTheme="majorHAnsi"/>
      <w:b w:val="0"/>
      <w:kern w:val="0"/>
      <w:sz w:val="32"/>
      <w:szCs w:val="32"/>
      <w:lang w:bidi="ar-SA"/>
      <w14:ligatures w14:val="none"/>
    </w:rPr>
  </w:style>
  <w:style w:type="paragraph" w:styleId="TOC1">
    <w:name w:val="toc 1"/>
    <w:basedOn w:val="Normal"/>
    <w:next w:val="Normal"/>
    <w:autoRedefine/>
    <w:uiPriority w:val="39"/>
    <w:unhideWhenUsed/>
    <w:rsid w:val="00C84FE9"/>
    <w:pPr>
      <w:spacing w:after="100"/>
    </w:pPr>
  </w:style>
  <w:style w:type="paragraph" w:styleId="TOC2">
    <w:name w:val="toc 2"/>
    <w:basedOn w:val="Normal"/>
    <w:next w:val="Normal"/>
    <w:autoRedefine/>
    <w:uiPriority w:val="39"/>
    <w:unhideWhenUsed/>
    <w:rsid w:val="00C84FE9"/>
    <w:pPr>
      <w:spacing w:after="100"/>
      <w:ind w:left="240"/>
    </w:pPr>
  </w:style>
  <w:style w:type="character" w:styleId="FollowedHyperlink">
    <w:name w:val="FollowedHyperlink"/>
    <w:basedOn w:val="DefaultParagraphFont"/>
    <w:uiPriority w:val="99"/>
    <w:semiHidden/>
    <w:unhideWhenUsed/>
    <w:rsid w:val="005E64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globalassets/media/knowledge/knowledge-hub/reports/addressing-skills-labour-shortages-post-brexit_tcm18-102313.pdf?utm_source=chatgpt.com" TargetMode="External"/><Relationship Id="rId18" Type="http://schemas.openxmlformats.org/officeDocument/2006/relationships/hyperlink" Target="https://www.ox.ac.uk/news/2025-02-03-expert-comment-how-generative-ai-transforming-labour-market?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ssets.publishing.service.gov.uk/media/67531c7221057d0ed56a0422/1._Competition_and_market_power_in_UK_labour_markets.pdf?utm_source=chatgpt.com" TargetMode="External"/><Relationship Id="rId17" Type="http://schemas.openxmlformats.org/officeDocument/2006/relationships/hyperlink" Target="https://doi.org/10.1787/08785bba-en" TargetMode="External"/><Relationship Id="rId2" Type="http://schemas.openxmlformats.org/officeDocument/2006/relationships/numbering" Target="numbering.xml"/><Relationship Id="rId16" Type="http://schemas.openxmlformats.org/officeDocument/2006/relationships/hyperlink" Target="https://assets.kpmg.com/content/dam/kpmgsites/uk/pdf/2023/06/generative-ai-and-the-uk-labour-market.pdf" TargetMode="External"/><Relationship Id="rId20" Type="http://schemas.openxmlformats.org/officeDocument/2006/relationships/hyperlink" Target="https://www.gov.uk/government/publications/the-potential-impact-of-ai-on-uk-employment-and-the-demand-for-skill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productivity.ac.uk/wp-content/uploads/2025/06/Thematic-guide-1-Skill-Gaps-and-Labour-June-2025.pdf?utm_source=chatgpt.com"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recruitonomics.com/is-the-skills-gap-getting-worse-in-the-uk?utm_source=chatgpt.com"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cipd.org/uk/knowledge/reports/labour-market-outlook?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3BFAD-F8C4-49CB-A27D-96028D617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15</Pages>
  <Words>4161</Words>
  <Characters>23719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Ahram Parvej Shanto</cp:lastModifiedBy>
  <cp:revision>37</cp:revision>
  <dcterms:created xsi:type="dcterms:W3CDTF">2025-11-06T03:08:00Z</dcterms:created>
  <dcterms:modified xsi:type="dcterms:W3CDTF">2025-11-13T18:33:00Z</dcterms:modified>
</cp:coreProperties>
</file>