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EED46" w14:textId="48CCAB8C" w:rsidR="000714A9" w:rsidRDefault="00B20C06" w:rsidP="00B20C06">
      <w:pPr>
        <w:spacing w:after="30" w:line="360" w:lineRule="auto"/>
        <w:jc w:val="center"/>
        <w:rPr>
          <w:b/>
          <w:bCs/>
          <w:sz w:val="24"/>
          <w:szCs w:val="24"/>
        </w:rPr>
      </w:pPr>
      <w:r>
        <w:rPr>
          <w:b/>
          <w:bCs/>
          <w:noProof/>
          <w:sz w:val="24"/>
          <w:szCs w:val="24"/>
        </w:rPr>
        <w:drawing>
          <wp:inline distT="0" distB="0" distL="0" distR="0" wp14:anchorId="6EDE5469" wp14:editId="1EB2B4BE">
            <wp:extent cx="3924300" cy="1428750"/>
            <wp:effectExtent l="0" t="0" r="0" b="0"/>
            <wp:docPr id="17476978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24300" cy="1428750"/>
                    </a:xfrm>
                    <a:prstGeom prst="rect">
                      <a:avLst/>
                    </a:prstGeom>
                    <a:noFill/>
                  </pic:spPr>
                </pic:pic>
              </a:graphicData>
            </a:graphic>
          </wp:inline>
        </w:drawing>
      </w:r>
    </w:p>
    <w:p w14:paraId="4D493AAD" w14:textId="77777777" w:rsidR="00EC386B" w:rsidRDefault="00EC386B" w:rsidP="009002D9">
      <w:pPr>
        <w:spacing w:after="30" w:line="360" w:lineRule="auto"/>
        <w:jc w:val="center"/>
        <w:rPr>
          <w:sz w:val="24"/>
          <w:szCs w:val="24"/>
          <w:u w:val="single"/>
        </w:rPr>
      </w:pPr>
    </w:p>
    <w:p w14:paraId="20FFA9EA" w14:textId="0BF23C80" w:rsidR="00BD532C" w:rsidRPr="000E649E" w:rsidRDefault="00BD532C" w:rsidP="00BD532C">
      <w:pPr>
        <w:spacing w:after="30" w:line="360" w:lineRule="auto"/>
        <w:jc w:val="center"/>
        <w:rPr>
          <w:b/>
          <w:bCs/>
          <w:sz w:val="32"/>
          <w:szCs w:val="32"/>
          <w:u w:val="single"/>
        </w:rPr>
      </w:pPr>
      <w:r w:rsidRPr="000E649E">
        <w:rPr>
          <w:b/>
          <w:bCs/>
          <w:sz w:val="32"/>
          <w:szCs w:val="32"/>
          <w:u w:val="single"/>
        </w:rPr>
        <w:t>Benefits and Challenges in Coaching and Mentoring Within the Health and Care Sector.</w:t>
      </w:r>
    </w:p>
    <w:p w14:paraId="3D92CDE1" w14:textId="77777777" w:rsidR="00EC386B" w:rsidRDefault="00EC386B" w:rsidP="009002D9">
      <w:pPr>
        <w:spacing w:after="30" w:line="360" w:lineRule="auto"/>
        <w:jc w:val="center"/>
        <w:rPr>
          <w:sz w:val="24"/>
          <w:szCs w:val="24"/>
          <w:u w:val="single"/>
        </w:rPr>
      </w:pPr>
    </w:p>
    <w:p w14:paraId="0E80A05A" w14:textId="77777777" w:rsidR="00EC386B" w:rsidRDefault="00EC386B" w:rsidP="009002D9">
      <w:pPr>
        <w:spacing w:after="30" w:line="360" w:lineRule="auto"/>
        <w:jc w:val="center"/>
        <w:rPr>
          <w:sz w:val="24"/>
          <w:szCs w:val="24"/>
          <w:u w:val="single"/>
        </w:rPr>
      </w:pPr>
    </w:p>
    <w:p w14:paraId="0DE33008" w14:textId="77777777" w:rsidR="00EC386B" w:rsidRDefault="00EC386B" w:rsidP="009002D9">
      <w:pPr>
        <w:spacing w:after="30" w:line="360" w:lineRule="auto"/>
        <w:jc w:val="center"/>
        <w:rPr>
          <w:sz w:val="24"/>
          <w:szCs w:val="24"/>
          <w:u w:val="single"/>
        </w:rPr>
      </w:pPr>
    </w:p>
    <w:p w14:paraId="7469D940" w14:textId="77777777" w:rsidR="00EC386B" w:rsidRDefault="00EC386B" w:rsidP="009002D9">
      <w:pPr>
        <w:spacing w:after="30" w:line="360" w:lineRule="auto"/>
        <w:jc w:val="center"/>
        <w:rPr>
          <w:sz w:val="24"/>
          <w:szCs w:val="24"/>
          <w:u w:val="single"/>
        </w:rPr>
      </w:pPr>
    </w:p>
    <w:p w14:paraId="3590CC9F" w14:textId="64EBB99C" w:rsidR="008A72EB" w:rsidRPr="00550E67" w:rsidRDefault="008A72EB" w:rsidP="00BD532C">
      <w:pPr>
        <w:spacing w:after="30" w:line="360" w:lineRule="auto"/>
        <w:jc w:val="center"/>
        <w:rPr>
          <w:sz w:val="24"/>
          <w:szCs w:val="24"/>
        </w:rPr>
      </w:pPr>
      <w:r>
        <w:rPr>
          <w:sz w:val="24"/>
          <w:szCs w:val="24"/>
          <w:u w:val="single"/>
        </w:rPr>
        <w:t>Student:</w:t>
      </w:r>
      <w:r w:rsidR="00550E67">
        <w:rPr>
          <w:sz w:val="24"/>
          <w:szCs w:val="24"/>
        </w:rPr>
        <w:t xml:space="preserve"> Stacey King</w:t>
      </w:r>
    </w:p>
    <w:p w14:paraId="6DDB7358" w14:textId="7359B223" w:rsidR="008A72EB" w:rsidRPr="0084484D" w:rsidRDefault="008A72EB" w:rsidP="00B20C06">
      <w:pPr>
        <w:spacing w:after="30" w:line="360" w:lineRule="auto"/>
        <w:jc w:val="center"/>
        <w:rPr>
          <w:sz w:val="24"/>
          <w:szCs w:val="24"/>
        </w:rPr>
      </w:pPr>
      <w:r>
        <w:rPr>
          <w:sz w:val="24"/>
          <w:szCs w:val="24"/>
          <w:u w:val="single"/>
        </w:rPr>
        <w:t>Student Number</w:t>
      </w:r>
      <w:r w:rsidR="00315471">
        <w:rPr>
          <w:sz w:val="24"/>
          <w:szCs w:val="24"/>
          <w:u w:val="single"/>
        </w:rPr>
        <w:t>:</w:t>
      </w:r>
      <w:r w:rsidR="0084484D">
        <w:rPr>
          <w:sz w:val="24"/>
          <w:szCs w:val="24"/>
          <w:u w:val="single"/>
        </w:rPr>
        <w:t xml:space="preserve"> </w:t>
      </w:r>
      <w:r w:rsidR="0084484D">
        <w:rPr>
          <w:sz w:val="24"/>
          <w:szCs w:val="24"/>
        </w:rPr>
        <w:t>2114341</w:t>
      </w:r>
    </w:p>
    <w:p w14:paraId="025EC8B4" w14:textId="77777777" w:rsidR="004154F0" w:rsidRDefault="008A72EB" w:rsidP="0084484D">
      <w:pPr>
        <w:spacing w:before="120" w:after="120"/>
        <w:jc w:val="center"/>
        <w:rPr>
          <w:rFonts w:ascii="Arial" w:hAnsi="Arial" w:cs="Arial"/>
          <w:bCs/>
        </w:rPr>
      </w:pPr>
      <w:r>
        <w:rPr>
          <w:sz w:val="24"/>
          <w:szCs w:val="24"/>
          <w:u w:val="single"/>
        </w:rPr>
        <w:t>Module:</w:t>
      </w:r>
      <w:r w:rsidR="0084484D" w:rsidRPr="0084484D">
        <w:rPr>
          <w:rFonts w:ascii="Arial" w:hAnsi="Arial" w:cs="Arial"/>
          <w:b/>
        </w:rPr>
        <w:t xml:space="preserve"> </w:t>
      </w:r>
      <w:r w:rsidR="0084484D" w:rsidRPr="0084484D">
        <w:rPr>
          <w:rFonts w:ascii="Arial" w:hAnsi="Arial" w:cs="Arial"/>
          <w:bCs/>
        </w:rPr>
        <w:t>Coaching, Mentoring and Professional Development in Health and Care</w:t>
      </w:r>
    </w:p>
    <w:p w14:paraId="26F88907" w14:textId="309D5A2C" w:rsidR="0084484D" w:rsidRPr="004154F0" w:rsidRDefault="004154F0" w:rsidP="0084484D">
      <w:pPr>
        <w:spacing w:before="120" w:after="120"/>
        <w:jc w:val="center"/>
        <w:rPr>
          <w:rFonts w:ascii="Arial" w:hAnsi="Arial" w:cs="Arial"/>
          <w:b/>
          <w:u w:val="single"/>
        </w:rPr>
      </w:pPr>
      <w:r w:rsidRPr="004154F0">
        <w:rPr>
          <w:rFonts w:ascii="Arial" w:hAnsi="Arial" w:cs="Arial"/>
          <w:bCs/>
          <w:u w:val="single"/>
        </w:rPr>
        <w:t>Module Code:</w:t>
      </w:r>
      <w:r w:rsidR="0084484D" w:rsidRPr="004154F0">
        <w:rPr>
          <w:rFonts w:ascii="Arial" w:hAnsi="Arial" w:cs="Arial"/>
          <w:b/>
          <w:u w:val="single"/>
        </w:rPr>
        <w:t xml:space="preserve">  </w:t>
      </w:r>
      <w:r w:rsidR="00697493" w:rsidRPr="00697493">
        <w:rPr>
          <w:rFonts w:ascii="Arial" w:hAnsi="Arial" w:cs="Arial"/>
          <w:bCs/>
        </w:rPr>
        <w:t>BMHP6024</w:t>
      </w:r>
    </w:p>
    <w:p w14:paraId="10132C4E" w14:textId="73256A76" w:rsidR="0089578A" w:rsidRDefault="00B61106" w:rsidP="007120BC">
      <w:pPr>
        <w:spacing w:before="120" w:after="120"/>
        <w:jc w:val="center"/>
        <w:rPr>
          <w:rFonts w:ascii="Arial" w:hAnsi="Arial" w:cs="Arial"/>
          <w:b/>
          <w:bCs/>
        </w:rPr>
      </w:pPr>
      <w:r>
        <w:rPr>
          <w:sz w:val="24"/>
          <w:szCs w:val="24"/>
          <w:u w:val="single"/>
        </w:rPr>
        <w:t>Lecture</w:t>
      </w:r>
      <w:r w:rsidR="0089578A">
        <w:rPr>
          <w:sz w:val="24"/>
          <w:szCs w:val="24"/>
          <w:u w:val="single"/>
        </w:rPr>
        <w:t>r</w:t>
      </w:r>
      <w:r>
        <w:rPr>
          <w:sz w:val="24"/>
          <w:szCs w:val="24"/>
          <w:u w:val="single"/>
        </w:rPr>
        <w:t>:</w:t>
      </w:r>
      <w:r w:rsidR="0089578A">
        <w:rPr>
          <w:sz w:val="24"/>
          <w:szCs w:val="24"/>
          <w:u w:val="single"/>
        </w:rPr>
        <w:t xml:space="preserve"> </w:t>
      </w:r>
      <w:r w:rsidR="0089578A" w:rsidRPr="0089578A">
        <w:rPr>
          <w:rFonts w:ascii="Arial" w:hAnsi="Arial" w:cs="Arial"/>
        </w:rPr>
        <w:t>Janet Howells-Johnson</w:t>
      </w:r>
    </w:p>
    <w:p w14:paraId="648553B5" w14:textId="33C41BC3" w:rsidR="008A72EB" w:rsidRDefault="007120BC" w:rsidP="00B20C06">
      <w:pPr>
        <w:spacing w:after="30" w:line="360" w:lineRule="auto"/>
        <w:jc w:val="center"/>
        <w:rPr>
          <w:sz w:val="24"/>
          <w:szCs w:val="24"/>
        </w:rPr>
      </w:pPr>
      <w:r>
        <w:rPr>
          <w:sz w:val="24"/>
          <w:szCs w:val="24"/>
          <w:u w:val="single"/>
        </w:rPr>
        <w:t xml:space="preserve">Assignment: </w:t>
      </w:r>
      <w:r w:rsidRPr="007120BC">
        <w:rPr>
          <w:sz w:val="24"/>
          <w:szCs w:val="24"/>
        </w:rPr>
        <w:t>Written assignment- 4000 Words</w:t>
      </w:r>
    </w:p>
    <w:p w14:paraId="426A51C6" w14:textId="77777777" w:rsidR="00283316" w:rsidRPr="00283316" w:rsidRDefault="004154F0" w:rsidP="00283316">
      <w:pPr>
        <w:spacing w:after="30" w:line="360" w:lineRule="auto"/>
        <w:jc w:val="center"/>
        <w:rPr>
          <w:sz w:val="24"/>
          <w:szCs w:val="24"/>
        </w:rPr>
      </w:pPr>
      <w:r w:rsidRPr="004154F0">
        <w:rPr>
          <w:sz w:val="24"/>
          <w:szCs w:val="24"/>
          <w:u w:val="single"/>
        </w:rPr>
        <w:t>Submission Date:</w:t>
      </w:r>
      <w:r w:rsidR="00697493">
        <w:rPr>
          <w:sz w:val="24"/>
          <w:szCs w:val="24"/>
          <w:u w:val="single"/>
        </w:rPr>
        <w:t xml:space="preserve"> </w:t>
      </w:r>
      <w:r w:rsidR="00283316" w:rsidRPr="00283316">
        <w:rPr>
          <w:sz w:val="24"/>
          <w:szCs w:val="24"/>
        </w:rPr>
        <w:t>Friday 12</w:t>
      </w:r>
      <w:r w:rsidR="00283316" w:rsidRPr="00283316">
        <w:rPr>
          <w:sz w:val="24"/>
          <w:szCs w:val="24"/>
          <w:vertAlign w:val="superscript"/>
        </w:rPr>
        <w:t>th</w:t>
      </w:r>
      <w:r w:rsidR="00283316" w:rsidRPr="00283316">
        <w:rPr>
          <w:sz w:val="24"/>
          <w:szCs w:val="24"/>
        </w:rPr>
        <w:t xml:space="preserve"> December 2025 </w:t>
      </w:r>
    </w:p>
    <w:p w14:paraId="7C889496" w14:textId="77777777" w:rsidR="005A1C54" w:rsidRDefault="005A1C54" w:rsidP="00DF6803">
      <w:pPr>
        <w:spacing w:after="30" w:line="360" w:lineRule="auto"/>
        <w:rPr>
          <w:sz w:val="24"/>
          <w:szCs w:val="24"/>
        </w:rPr>
      </w:pPr>
    </w:p>
    <w:p w14:paraId="02BEBAC9" w14:textId="77777777" w:rsidR="00BD532C" w:rsidRDefault="00BD532C" w:rsidP="00165582">
      <w:pPr>
        <w:spacing w:after="30" w:line="360" w:lineRule="auto"/>
        <w:jc w:val="center"/>
        <w:rPr>
          <w:b/>
          <w:bCs/>
          <w:sz w:val="24"/>
          <w:szCs w:val="24"/>
          <w:u w:val="single"/>
        </w:rPr>
      </w:pPr>
    </w:p>
    <w:p w14:paraId="0EE6F09A" w14:textId="77777777" w:rsidR="00BD532C" w:rsidRDefault="00BD532C" w:rsidP="00165582">
      <w:pPr>
        <w:spacing w:after="30" w:line="360" w:lineRule="auto"/>
        <w:jc w:val="center"/>
        <w:rPr>
          <w:b/>
          <w:bCs/>
          <w:sz w:val="24"/>
          <w:szCs w:val="24"/>
          <w:u w:val="single"/>
        </w:rPr>
      </w:pPr>
    </w:p>
    <w:p w14:paraId="0BF19BD6" w14:textId="77777777" w:rsidR="00BD532C" w:rsidRDefault="00BD532C" w:rsidP="00165582">
      <w:pPr>
        <w:spacing w:after="30" w:line="360" w:lineRule="auto"/>
        <w:jc w:val="center"/>
        <w:rPr>
          <w:b/>
          <w:bCs/>
          <w:sz w:val="24"/>
          <w:szCs w:val="24"/>
          <w:u w:val="single"/>
        </w:rPr>
      </w:pPr>
    </w:p>
    <w:p w14:paraId="06B82300" w14:textId="77777777" w:rsidR="00BD532C" w:rsidRDefault="00BD532C" w:rsidP="00165582">
      <w:pPr>
        <w:spacing w:after="30" w:line="360" w:lineRule="auto"/>
        <w:jc w:val="center"/>
        <w:rPr>
          <w:b/>
          <w:bCs/>
          <w:sz w:val="24"/>
          <w:szCs w:val="24"/>
          <w:u w:val="single"/>
        </w:rPr>
      </w:pPr>
    </w:p>
    <w:p w14:paraId="25F524CA" w14:textId="77777777" w:rsidR="00BD532C" w:rsidRDefault="00BD532C" w:rsidP="00165582">
      <w:pPr>
        <w:spacing w:after="30" w:line="360" w:lineRule="auto"/>
        <w:jc w:val="center"/>
        <w:rPr>
          <w:b/>
          <w:bCs/>
          <w:sz w:val="24"/>
          <w:szCs w:val="24"/>
          <w:u w:val="single"/>
        </w:rPr>
      </w:pPr>
    </w:p>
    <w:p w14:paraId="01565233" w14:textId="77777777" w:rsidR="00BD532C" w:rsidRDefault="00BD532C" w:rsidP="00165582">
      <w:pPr>
        <w:spacing w:after="30" w:line="360" w:lineRule="auto"/>
        <w:jc w:val="center"/>
        <w:rPr>
          <w:b/>
          <w:bCs/>
          <w:sz w:val="24"/>
          <w:szCs w:val="24"/>
          <w:u w:val="single"/>
        </w:rPr>
      </w:pPr>
    </w:p>
    <w:p w14:paraId="6B195A50" w14:textId="77777777" w:rsidR="00BD532C" w:rsidRDefault="00BD532C" w:rsidP="00165582">
      <w:pPr>
        <w:spacing w:after="30" w:line="360" w:lineRule="auto"/>
        <w:jc w:val="center"/>
        <w:rPr>
          <w:b/>
          <w:bCs/>
          <w:sz w:val="24"/>
          <w:szCs w:val="24"/>
          <w:u w:val="single"/>
        </w:rPr>
      </w:pPr>
    </w:p>
    <w:p w14:paraId="3E3B047C" w14:textId="77777777" w:rsidR="00F763AF" w:rsidRDefault="00F763AF" w:rsidP="00165582">
      <w:pPr>
        <w:spacing w:after="30" w:line="360" w:lineRule="auto"/>
        <w:jc w:val="center"/>
        <w:rPr>
          <w:b/>
          <w:bCs/>
          <w:sz w:val="24"/>
          <w:szCs w:val="24"/>
          <w:u w:val="single"/>
        </w:rPr>
      </w:pPr>
    </w:p>
    <w:p w14:paraId="45A98D56" w14:textId="38555F6F" w:rsidR="005A1C54" w:rsidRPr="001D39E4" w:rsidRDefault="001D39E4" w:rsidP="00165582">
      <w:pPr>
        <w:spacing w:after="30" w:line="360" w:lineRule="auto"/>
        <w:jc w:val="center"/>
        <w:rPr>
          <w:b/>
          <w:bCs/>
          <w:sz w:val="24"/>
          <w:szCs w:val="24"/>
          <w:u w:val="single"/>
        </w:rPr>
      </w:pPr>
      <w:r>
        <w:rPr>
          <w:b/>
          <w:bCs/>
          <w:sz w:val="24"/>
          <w:szCs w:val="24"/>
          <w:u w:val="single"/>
        </w:rPr>
        <w:lastRenderedPageBreak/>
        <w:t xml:space="preserve">Benefits and Challenges </w:t>
      </w:r>
      <w:r w:rsidR="00871CA3">
        <w:rPr>
          <w:b/>
          <w:bCs/>
          <w:sz w:val="24"/>
          <w:szCs w:val="24"/>
          <w:u w:val="single"/>
        </w:rPr>
        <w:t xml:space="preserve">in </w:t>
      </w:r>
      <w:r w:rsidR="00165582">
        <w:rPr>
          <w:b/>
          <w:bCs/>
          <w:sz w:val="24"/>
          <w:szCs w:val="24"/>
          <w:u w:val="single"/>
        </w:rPr>
        <w:t>C</w:t>
      </w:r>
      <w:r w:rsidR="00871CA3">
        <w:rPr>
          <w:b/>
          <w:bCs/>
          <w:sz w:val="24"/>
          <w:szCs w:val="24"/>
          <w:u w:val="single"/>
        </w:rPr>
        <w:t xml:space="preserve">oaching and </w:t>
      </w:r>
      <w:r w:rsidR="00165582">
        <w:rPr>
          <w:b/>
          <w:bCs/>
          <w:sz w:val="24"/>
          <w:szCs w:val="24"/>
          <w:u w:val="single"/>
        </w:rPr>
        <w:t>M</w:t>
      </w:r>
      <w:r w:rsidR="00871CA3">
        <w:rPr>
          <w:b/>
          <w:bCs/>
          <w:sz w:val="24"/>
          <w:szCs w:val="24"/>
          <w:u w:val="single"/>
        </w:rPr>
        <w:t xml:space="preserve">entoring </w:t>
      </w:r>
      <w:r w:rsidR="00165582">
        <w:rPr>
          <w:b/>
          <w:bCs/>
          <w:sz w:val="24"/>
          <w:szCs w:val="24"/>
          <w:u w:val="single"/>
        </w:rPr>
        <w:t>W</w:t>
      </w:r>
      <w:r w:rsidR="00871CA3">
        <w:rPr>
          <w:b/>
          <w:bCs/>
          <w:sz w:val="24"/>
          <w:szCs w:val="24"/>
          <w:u w:val="single"/>
        </w:rPr>
        <w:t xml:space="preserve">ithin </w:t>
      </w:r>
      <w:r w:rsidR="00165582">
        <w:rPr>
          <w:b/>
          <w:bCs/>
          <w:sz w:val="24"/>
          <w:szCs w:val="24"/>
          <w:u w:val="single"/>
        </w:rPr>
        <w:t>the</w:t>
      </w:r>
      <w:r w:rsidR="00871CA3">
        <w:rPr>
          <w:b/>
          <w:bCs/>
          <w:sz w:val="24"/>
          <w:szCs w:val="24"/>
          <w:u w:val="single"/>
        </w:rPr>
        <w:t xml:space="preserve"> </w:t>
      </w:r>
      <w:r w:rsidR="00165582">
        <w:rPr>
          <w:b/>
          <w:bCs/>
          <w:sz w:val="24"/>
          <w:szCs w:val="24"/>
          <w:u w:val="single"/>
        </w:rPr>
        <w:t>H</w:t>
      </w:r>
      <w:r w:rsidR="00871CA3">
        <w:rPr>
          <w:b/>
          <w:bCs/>
          <w:sz w:val="24"/>
          <w:szCs w:val="24"/>
          <w:u w:val="single"/>
        </w:rPr>
        <w:t xml:space="preserve">ealth and </w:t>
      </w:r>
      <w:r w:rsidR="00165582">
        <w:rPr>
          <w:b/>
          <w:bCs/>
          <w:sz w:val="24"/>
          <w:szCs w:val="24"/>
          <w:u w:val="single"/>
        </w:rPr>
        <w:t>C</w:t>
      </w:r>
      <w:r w:rsidR="00871CA3">
        <w:rPr>
          <w:b/>
          <w:bCs/>
          <w:sz w:val="24"/>
          <w:szCs w:val="24"/>
          <w:u w:val="single"/>
        </w:rPr>
        <w:t xml:space="preserve">are </w:t>
      </w:r>
      <w:r w:rsidR="00165582">
        <w:rPr>
          <w:b/>
          <w:bCs/>
          <w:sz w:val="24"/>
          <w:szCs w:val="24"/>
          <w:u w:val="single"/>
        </w:rPr>
        <w:t>S</w:t>
      </w:r>
      <w:r w:rsidR="00871CA3">
        <w:rPr>
          <w:b/>
          <w:bCs/>
          <w:sz w:val="24"/>
          <w:szCs w:val="24"/>
          <w:u w:val="single"/>
        </w:rPr>
        <w:t>ector</w:t>
      </w:r>
      <w:r w:rsidR="00165582">
        <w:rPr>
          <w:b/>
          <w:bCs/>
          <w:sz w:val="24"/>
          <w:szCs w:val="24"/>
          <w:u w:val="single"/>
        </w:rPr>
        <w:t>.</w:t>
      </w:r>
    </w:p>
    <w:p w14:paraId="1EF1501E" w14:textId="0D90869B" w:rsidR="00492A63" w:rsidRPr="00492A63" w:rsidRDefault="00492A63" w:rsidP="00DF6803">
      <w:pPr>
        <w:spacing w:after="30" w:line="360" w:lineRule="auto"/>
        <w:rPr>
          <w:b/>
          <w:bCs/>
          <w:sz w:val="24"/>
          <w:szCs w:val="24"/>
        </w:rPr>
      </w:pPr>
      <w:r w:rsidRPr="00492A63">
        <w:rPr>
          <w:b/>
          <w:bCs/>
          <w:sz w:val="24"/>
          <w:szCs w:val="24"/>
        </w:rPr>
        <w:t>Abstract</w:t>
      </w:r>
    </w:p>
    <w:p w14:paraId="2A9B44D9" w14:textId="77777777" w:rsidR="00492A63" w:rsidRPr="00492A63" w:rsidRDefault="00492A63" w:rsidP="00DF6803">
      <w:pPr>
        <w:spacing w:after="30" w:line="360" w:lineRule="auto"/>
        <w:rPr>
          <w:sz w:val="24"/>
          <w:szCs w:val="24"/>
        </w:rPr>
      </w:pPr>
      <w:r w:rsidRPr="00492A63">
        <w:rPr>
          <w:sz w:val="24"/>
          <w:szCs w:val="24"/>
        </w:rPr>
        <w:t>Coaching and mentoring have become integral strategies for developing healthcare practitioners, enhancing leadership capacity, and fostering organisational resilience in increasingly complex healthcare systems. Modern healthcare environments are characterised by rising patient demand, workforce shortages, high staff turnover, and the pressures of technological transformation, all of which place significant demands on practitioners’ clinical competence, emotional resilience, and adaptive capacity (Health Education England, 2019; NHS England, 2020). Traditional professional development, while essential for technical skill acquisition, often inadequately addresses reflective practice, interprofessional collaboration, and psychosocial support. Coaching and mentoring bridge these gaps by providing structured, relational, and experiential learning opportunities that promote personal growth, professional identity formation, and adaptive decision-making (Whitmore, 2017; Clutterbuck, 2014).</w:t>
      </w:r>
    </w:p>
    <w:p w14:paraId="21AD0A48" w14:textId="49C5E4AB" w:rsidR="00492A63" w:rsidRPr="00492A63" w:rsidRDefault="00492A63" w:rsidP="00DF6803">
      <w:pPr>
        <w:spacing w:after="30" w:line="360" w:lineRule="auto"/>
        <w:rPr>
          <w:sz w:val="24"/>
          <w:szCs w:val="24"/>
        </w:rPr>
      </w:pPr>
      <w:r w:rsidRPr="00492A63">
        <w:rPr>
          <w:sz w:val="24"/>
          <w:szCs w:val="24"/>
        </w:rPr>
        <w:t xml:space="preserve">Although often conflated, coaching and mentoring serve distinct functions. Coaching is typically short- to medium-term, goal-focused, and structured, facilitating skill enhancement, problem-solving, and reflective practice (Grant, 2017). Mentoring is relational, long-term, and developmental, providing guidance, role modelling, and psychosocial support to foster professional growth, confidence, and career progression (Kram, 1985; </w:t>
      </w:r>
      <w:r w:rsidR="00FD004D">
        <w:rPr>
          <w:sz w:val="24"/>
          <w:szCs w:val="24"/>
        </w:rPr>
        <w:t>Hoover</w:t>
      </w:r>
      <w:r w:rsidRPr="00492A63">
        <w:rPr>
          <w:sz w:val="24"/>
          <w:szCs w:val="24"/>
        </w:rPr>
        <w:t>, 2020). Both interventions are complementary: mentoring strengthens professional identity and resilience, while coaching enhances reflective capacity, goal attainment, and situational problem-solving.</w:t>
      </w:r>
    </w:p>
    <w:p w14:paraId="067030A5" w14:textId="77777777" w:rsidR="00492A63" w:rsidRPr="00492A63" w:rsidRDefault="00492A63" w:rsidP="00DF6803">
      <w:pPr>
        <w:spacing w:after="30" w:line="360" w:lineRule="auto"/>
        <w:rPr>
          <w:sz w:val="24"/>
          <w:szCs w:val="24"/>
        </w:rPr>
      </w:pPr>
      <w:r w:rsidRPr="00492A63">
        <w:rPr>
          <w:sz w:val="24"/>
          <w:szCs w:val="24"/>
        </w:rPr>
        <w:t>Evidence demonstrates benefits at multiple levels. Individually, practitioners experience increased confidence, competence, emotional intelligence, and career development. Teams benefit through improved collaboration, communication, and shared accountability, reducing role confusion and enhancing interprofessional practice (Reeves et al., 2017; Passmore, 2016). Organisationally, coaching and mentoring support retention, succession planning, leadership development, and a culture of continuous learning, which positively impacts patient safety and quality of care (West et al., 2014; Health Education England, 2019).</w:t>
      </w:r>
    </w:p>
    <w:p w14:paraId="1906DE2B" w14:textId="77777777" w:rsidR="00492A63" w:rsidRPr="00492A63" w:rsidRDefault="00492A63" w:rsidP="00DF6803">
      <w:pPr>
        <w:spacing w:after="30" w:line="360" w:lineRule="auto"/>
        <w:rPr>
          <w:sz w:val="24"/>
          <w:szCs w:val="24"/>
        </w:rPr>
      </w:pPr>
      <w:r w:rsidRPr="00492A63">
        <w:rPr>
          <w:sz w:val="24"/>
          <w:szCs w:val="24"/>
        </w:rPr>
        <w:lastRenderedPageBreak/>
        <w:t>However, challenges such as time pressures, inconsistent programme quality, inequitable access, and cultural barriers can limit effectiveness (Garvey, 2017). Best practice requires structured programme design, trained mentors and coaches, protected time, equity of access, evaluation, and integration with organisational objectives. This paper critically explores the theoretical foundations, practical applications, and multi-level benefits of coaching and mentoring in healthcare, arguing that, when implemented strategically, these interventions are essential for fostering resilient, competent, and adaptive healthcare practitioners and organisations.</w:t>
      </w:r>
    </w:p>
    <w:p w14:paraId="66301CFF" w14:textId="77777777" w:rsidR="00907AE1" w:rsidRPr="00DF6803" w:rsidRDefault="00907AE1" w:rsidP="00DF6803">
      <w:pPr>
        <w:spacing w:after="30" w:line="360" w:lineRule="auto"/>
        <w:rPr>
          <w:sz w:val="24"/>
          <w:szCs w:val="24"/>
        </w:rPr>
      </w:pPr>
    </w:p>
    <w:p w14:paraId="7ABC7D91" w14:textId="77777777" w:rsidR="00492A63" w:rsidRPr="00DF6803" w:rsidRDefault="00492A63" w:rsidP="00DF6803">
      <w:pPr>
        <w:spacing w:after="30" w:line="360" w:lineRule="auto"/>
        <w:rPr>
          <w:sz w:val="24"/>
          <w:szCs w:val="24"/>
        </w:rPr>
      </w:pPr>
    </w:p>
    <w:p w14:paraId="688C9673" w14:textId="77777777" w:rsidR="00492A63" w:rsidRPr="00DF6803" w:rsidRDefault="00492A63" w:rsidP="00DF6803">
      <w:pPr>
        <w:spacing w:after="30" w:line="360" w:lineRule="auto"/>
        <w:rPr>
          <w:sz w:val="24"/>
          <w:szCs w:val="24"/>
        </w:rPr>
      </w:pPr>
    </w:p>
    <w:p w14:paraId="3B6ED69C" w14:textId="77777777" w:rsidR="00492A63" w:rsidRPr="00DF6803" w:rsidRDefault="00492A63" w:rsidP="00DF6803">
      <w:pPr>
        <w:spacing w:after="30" w:line="360" w:lineRule="auto"/>
        <w:rPr>
          <w:sz w:val="24"/>
          <w:szCs w:val="24"/>
        </w:rPr>
      </w:pPr>
    </w:p>
    <w:p w14:paraId="7D6B67F8" w14:textId="77777777" w:rsidR="00492A63" w:rsidRPr="00DF6803" w:rsidRDefault="00492A63" w:rsidP="00DF6803">
      <w:pPr>
        <w:spacing w:after="30" w:line="360" w:lineRule="auto"/>
        <w:rPr>
          <w:sz w:val="24"/>
          <w:szCs w:val="24"/>
        </w:rPr>
      </w:pPr>
    </w:p>
    <w:p w14:paraId="0AFAE139" w14:textId="77777777" w:rsidR="00492A63" w:rsidRPr="00DF6803" w:rsidRDefault="00492A63" w:rsidP="00DF6803">
      <w:pPr>
        <w:spacing w:after="30" w:line="360" w:lineRule="auto"/>
        <w:rPr>
          <w:sz w:val="24"/>
          <w:szCs w:val="24"/>
        </w:rPr>
      </w:pPr>
    </w:p>
    <w:p w14:paraId="50339EF1" w14:textId="77777777" w:rsidR="00492A63" w:rsidRPr="00DF6803" w:rsidRDefault="00492A63" w:rsidP="00DF6803">
      <w:pPr>
        <w:spacing w:after="30" w:line="360" w:lineRule="auto"/>
        <w:rPr>
          <w:sz w:val="24"/>
          <w:szCs w:val="24"/>
        </w:rPr>
      </w:pPr>
    </w:p>
    <w:p w14:paraId="26A950A7" w14:textId="77777777" w:rsidR="00DF6803" w:rsidRDefault="00DF6803" w:rsidP="00DF6803">
      <w:pPr>
        <w:spacing w:after="30" w:line="360" w:lineRule="auto"/>
        <w:rPr>
          <w:b/>
          <w:bCs/>
          <w:sz w:val="24"/>
          <w:szCs w:val="24"/>
        </w:rPr>
      </w:pPr>
    </w:p>
    <w:p w14:paraId="1D9EF0E4" w14:textId="77777777" w:rsidR="00DF6803" w:rsidRDefault="00DF6803" w:rsidP="00DF6803">
      <w:pPr>
        <w:spacing w:after="30" w:line="360" w:lineRule="auto"/>
        <w:rPr>
          <w:b/>
          <w:bCs/>
          <w:sz w:val="24"/>
          <w:szCs w:val="24"/>
        </w:rPr>
      </w:pPr>
    </w:p>
    <w:p w14:paraId="1A0A8CA1" w14:textId="77777777" w:rsidR="00DF6803" w:rsidRDefault="00DF6803" w:rsidP="00DF6803">
      <w:pPr>
        <w:spacing w:after="30" w:line="360" w:lineRule="auto"/>
        <w:rPr>
          <w:b/>
          <w:bCs/>
          <w:sz w:val="24"/>
          <w:szCs w:val="24"/>
        </w:rPr>
      </w:pPr>
    </w:p>
    <w:p w14:paraId="21A1C4B6" w14:textId="77777777" w:rsidR="00DF6803" w:rsidRDefault="00DF6803" w:rsidP="00DF6803">
      <w:pPr>
        <w:spacing w:after="30" w:line="360" w:lineRule="auto"/>
        <w:rPr>
          <w:b/>
          <w:bCs/>
          <w:sz w:val="24"/>
          <w:szCs w:val="24"/>
        </w:rPr>
      </w:pPr>
    </w:p>
    <w:p w14:paraId="7B4A1B62" w14:textId="77777777" w:rsidR="00DF6803" w:rsidRDefault="00DF6803" w:rsidP="00DF6803">
      <w:pPr>
        <w:spacing w:after="30" w:line="360" w:lineRule="auto"/>
        <w:rPr>
          <w:b/>
          <w:bCs/>
          <w:sz w:val="24"/>
          <w:szCs w:val="24"/>
        </w:rPr>
      </w:pPr>
    </w:p>
    <w:p w14:paraId="3A0762ED" w14:textId="77777777" w:rsidR="00DF6803" w:rsidRDefault="00DF6803" w:rsidP="00DF6803">
      <w:pPr>
        <w:spacing w:after="30" w:line="360" w:lineRule="auto"/>
        <w:rPr>
          <w:b/>
          <w:bCs/>
          <w:sz w:val="24"/>
          <w:szCs w:val="24"/>
        </w:rPr>
      </w:pPr>
    </w:p>
    <w:p w14:paraId="49CDAE56" w14:textId="77777777" w:rsidR="00DF6803" w:rsidRDefault="00DF6803" w:rsidP="00DF6803">
      <w:pPr>
        <w:spacing w:after="30" w:line="360" w:lineRule="auto"/>
        <w:rPr>
          <w:b/>
          <w:bCs/>
          <w:sz w:val="24"/>
          <w:szCs w:val="24"/>
        </w:rPr>
      </w:pPr>
    </w:p>
    <w:p w14:paraId="61A232DD" w14:textId="77777777" w:rsidR="00DF6803" w:rsidRDefault="00DF6803" w:rsidP="00DF6803">
      <w:pPr>
        <w:spacing w:after="30" w:line="360" w:lineRule="auto"/>
        <w:rPr>
          <w:b/>
          <w:bCs/>
          <w:sz w:val="24"/>
          <w:szCs w:val="24"/>
        </w:rPr>
      </w:pPr>
    </w:p>
    <w:p w14:paraId="033F72A5" w14:textId="77777777" w:rsidR="00DF6803" w:rsidRDefault="00DF6803" w:rsidP="00DF6803">
      <w:pPr>
        <w:spacing w:after="30" w:line="360" w:lineRule="auto"/>
        <w:rPr>
          <w:b/>
          <w:bCs/>
          <w:sz w:val="24"/>
          <w:szCs w:val="24"/>
        </w:rPr>
      </w:pPr>
    </w:p>
    <w:p w14:paraId="78902D86" w14:textId="77777777" w:rsidR="00DF6803" w:rsidRDefault="00DF6803" w:rsidP="00DF6803">
      <w:pPr>
        <w:spacing w:after="30" w:line="360" w:lineRule="auto"/>
        <w:rPr>
          <w:b/>
          <w:bCs/>
          <w:sz w:val="24"/>
          <w:szCs w:val="24"/>
        </w:rPr>
      </w:pPr>
    </w:p>
    <w:p w14:paraId="0C2CEDB6" w14:textId="77777777" w:rsidR="00DF6803" w:rsidRDefault="00DF6803" w:rsidP="00DF6803">
      <w:pPr>
        <w:spacing w:after="30" w:line="360" w:lineRule="auto"/>
        <w:rPr>
          <w:b/>
          <w:bCs/>
          <w:sz w:val="24"/>
          <w:szCs w:val="24"/>
        </w:rPr>
      </w:pPr>
    </w:p>
    <w:p w14:paraId="76BE2D4A" w14:textId="77777777" w:rsidR="00DF6803" w:rsidRDefault="00DF6803" w:rsidP="00DF6803">
      <w:pPr>
        <w:spacing w:after="30" w:line="360" w:lineRule="auto"/>
        <w:rPr>
          <w:b/>
          <w:bCs/>
          <w:sz w:val="24"/>
          <w:szCs w:val="24"/>
        </w:rPr>
      </w:pPr>
    </w:p>
    <w:p w14:paraId="3C0CAA6E" w14:textId="77777777" w:rsidR="00DF6803" w:rsidRDefault="00DF6803" w:rsidP="00DF6803">
      <w:pPr>
        <w:spacing w:after="30" w:line="360" w:lineRule="auto"/>
        <w:rPr>
          <w:b/>
          <w:bCs/>
          <w:sz w:val="24"/>
          <w:szCs w:val="24"/>
        </w:rPr>
      </w:pPr>
    </w:p>
    <w:p w14:paraId="26A550F9" w14:textId="77777777" w:rsidR="00DF6803" w:rsidRDefault="00DF6803" w:rsidP="00DF6803">
      <w:pPr>
        <w:spacing w:after="30" w:line="360" w:lineRule="auto"/>
        <w:rPr>
          <w:b/>
          <w:bCs/>
          <w:sz w:val="24"/>
          <w:szCs w:val="24"/>
        </w:rPr>
      </w:pPr>
    </w:p>
    <w:p w14:paraId="5417B33F" w14:textId="77777777" w:rsidR="00F763AF" w:rsidRDefault="00F763AF" w:rsidP="00DF6803">
      <w:pPr>
        <w:spacing w:after="30" w:line="360" w:lineRule="auto"/>
        <w:rPr>
          <w:b/>
          <w:bCs/>
          <w:sz w:val="24"/>
          <w:szCs w:val="24"/>
        </w:rPr>
      </w:pPr>
    </w:p>
    <w:p w14:paraId="6BAEC5D3" w14:textId="49E0E756" w:rsidR="00492A63" w:rsidRPr="00492A63" w:rsidRDefault="00492A63" w:rsidP="00DF6803">
      <w:pPr>
        <w:spacing w:after="30" w:line="360" w:lineRule="auto"/>
        <w:rPr>
          <w:b/>
          <w:bCs/>
          <w:sz w:val="24"/>
          <w:szCs w:val="24"/>
        </w:rPr>
      </w:pPr>
      <w:r w:rsidRPr="00492A63">
        <w:rPr>
          <w:b/>
          <w:bCs/>
          <w:sz w:val="24"/>
          <w:szCs w:val="24"/>
        </w:rPr>
        <w:lastRenderedPageBreak/>
        <w:t>Introduction</w:t>
      </w:r>
    </w:p>
    <w:p w14:paraId="2AE82DAF" w14:textId="77777777" w:rsidR="00492A63" w:rsidRPr="00492A63" w:rsidRDefault="00492A63" w:rsidP="00DF6803">
      <w:pPr>
        <w:spacing w:after="30" w:line="360" w:lineRule="auto"/>
        <w:rPr>
          <w:sz w:val="24"/>
          <w:szCs w:val="24"/>
        </w:rPr>
      </w:pPr>
      <w:r w:rsidRPr="00492A63">
        <w:rPr>
          <w:sz w:val="24"/>
          <w:szCs w:val="24"/>
        </w:rPr>
        <w:t>Healthcare today operates within a highly dynamic and complex environment, characterised by increasing patient demand, workforce shortages, rapid technological advancement, and continuous organisational reform (WHO, 2020; NHS England, 2019). Practitioners are required not only to maintain technical competence but also to demonstrate resilience, effective communication, ethical decision-making, and adaptability in high-pressure settings. Traditional professional development approaches, while essential for knowledge acquisition, often fail to provide sufficient support for reflective practice, leadership development, or the psychosocial challenges of clinical work (Health Education England, 2019).</w:t>
      </w:r>
    </w:p>
    <w:p w14:paraId="282D5A22" w14:textId="77777777" w:rsidR="00492A63" w:rsidRPr="00492A63" w:rsidRDefault="00492A63" w:rsidP="00DF6803">
      <w:pPr>
        <w:spacing w:after="30" w:line="360" w:lineRule="auto"/>
        <w:rPr>
          <w:sz w:val="24"/>
          <w:szCs w:val="24"/>
        </w:rPr>
      </w:pPr>
      <w:r w:rsidRPr="00492A63">
        <w:rPr>
          <w:sz w:val="24"/>
          <w:szCs w:val="24"/>
        </w:rPr>
        <w:t>In response, coaching and mentoring have emerged as complementary strategies for workforce development, enhancing individual, team, and organisational capacity. Coaching is typically structured, time-bound, and goal-oriented, focusing on performance improvement, skill development, and reflective problem-solving (Whitmore, 2017; Grant, 2017). Mentoring, by contrast, involves long-term, relational support, providing career guidance, psychosocial assistance, and role modelling to foster professional identity, confidence, and integration into organisational culture (Kram, 1985; Clutterbuck, 2014).</w:t>
      </w:r>
    </w:p>
    <w:p w14:paraId="6EE78FBC" w14:textId="77777777" w:rsidR="00492A63" w:rsidRPr="00492A63" w:rsidRDefault="00492A63" w:rsidP="00DF6803">
      <w:pPr>
        <w:spacing w:after="30" w:line="360" w:lineRule="auto"/>
        <w:rPr>
          <w:sz w:val="24"/>
          <w:szCs w:val="24"/>
        </w:rPr>
      </w:pPr>
      <w:r w:rsidRPr="00492A63">
        <w:rPr>
          <w:sz w:val="24"/>
          <w:szCs w:val="24"/>
        </w:rPr>
        <w:t>Policy initiatives such as the NHS Long Term Plan and NHS People Plan emphasise workforce wellbeing, continuous professional development, and leadership capacity, highlighting the importance of strategies that extend beyond traditional education (NHS England, 2019; 2020). Coaching and mentoring align closely with these priorities, offering evidence-based mechanisms to support reflective practice, resilience, interprofessional collaboration, and adaptive decision-making.</w:t>
      </w:r>
    </w:p>
    <w:p w14:paraId="448200C7" w14:textId="77777777" w:rsidR="00492A63" w:rsidRPr="00492A63" w:rsidRDefault="00492A63" w:rsidP="00DF6803">
      <w:pPr>
        <w:spacing w:after="30" w:line="360" w:lineRule="auto"/>
        <w:rPr>
          <w:sz w:val="24"/>
          <w:szCs w:val="24"/>
        </w:rPr>
      </w:pPr>
      <w:r w:rsidRPr="00492A63">
        <w:rPr>
          <w:sz w:val="24"/>
          <w:szCs w:val="24"/>
        </w:rPr>
        <w:t>This paper critically explores the benefits of coaching and mentoring in healthcare, examining theoretical foundations, practical applications, and multi-level impacts on individuals, teams, and organisations. It also considers challenges, barriers, and best practice recommendations, positioning coaching and mentoring as essential components of sustainable, patient-centred healthcare systems.</w:t>
      </w:r>
    </w:p>
    <w:p w14:paraId="5325A812" w14:textId="77777777" w:rsidR="00F763AF" w:rsidRDefault="00F763AF" w:rsidP="00DF6803">
      <w:pPr>
        <w:spacing w:after="30" w:line="360" w:lineRule="auto"/>
        <w:rPr>
          <w:b/>
          <w:bCs/>
          <w:sz w:val="24"/>
          <w:szCs w:val="24"/>
        </w:rPr>
      </w:pPr>
    </w:p>
    <w:p w14:paraId="2D0254D3" w14:textId="77777777" w:rsidR="00F763AF" w:rsidRDefault="00F763AF" w:rsidP="00DF6803">
      <w:pPr>
        <w:spacing w:after="30" w:line="360" w:lineRule="auto"/>
        <w:rPr>
          <w:b/>
          <w:bCs/>
          <w:sz w:val="24"/>
          <w:szCs w:val="24"/>
        </w:rPr>
      </w:pPr>
    </w:p>
    <w:p w14:paraId="2E11B111" w14:textId="66AD9A38" w:rsidR="00492A63" w:rsidRPr="00492A63" w:rsidRDefault="00492A63" w:rsidP="00DF6803">
      <w:pPr>
        <w:spacing w:after="30" w:line="360" w:lineRule="auto"/>
        <w:rPr>
          <w:b/>
          <w:bCs/>
          <w:sz w:val="24"/>
          <w:szCs w:val="24"/>
        </w:rPr>
      </w:pPr>
      <w:r w:rsidRPr="00492A63">
        <w:rPr>
          <w:b/>
          <w:bCs/>
          <w:sz w:val="24"/>
          <w:szCs w:val="24"/>
        </w:rPr>
        <w:lastRenderedPageBreak/>
        <w:t>Coaching and Mentoring Roles in Healthcare</w:t>
      </w:r>
    </w:p>
    <w:p w14:paraId="77C29664" w14:textId="77777777" w:rsidR="00492A63" w:rsidRPr="00492A63" w:rsidRDefault="00492A63" w:rsidP="00DF6803">
      <w:pPr>
        <w:spacing w:after="30" w:line="360" w:lineRule="auto"/>
        <w:rPr>
          <w:sz w:val="24"/>
          <w:szCs w:val="24"/>
        </w:rPr>
      </w:pPr>
      <w:r w:rsidRPr="00492A63">
        <w:rPr>
          <w:sz w:val="24"/>
          <w:szCs w:val="24"/>
        </w:rPr>
        <w:t>Coaching and mentoring play complementary yet distinct roles within healthcare, each addressing different aspects of professional development and organisational effectiveness. Coaching is a structured, goal-oriented process designed to enhance performance, develop specific competencies, and foster reflective practice (Whitmore, 2017). Through collaborative dialogue, coaching enables practitioners to clarify objectives, assess challenges, generate solutions, and commit to actionable strategies. It is particularly effective in addressing skill gaps, supporting decision-making, and promoting adaptive problem-solving in complex clinical environments (Grant, 2017).</w:t>
      </w:r>
    </w:p>
    <w:p w14:paraId="7F106386" w14:textId="657EEF2E" w:rsidR="00492A63" w:rsidRPr="00492A63" w:rsidRDefault="00492A63" w:rsidP="00DF6803">
      <w:pPr>
        <w:spacing w:after="30" w:line="360" w:lineRule="auto"/>
        <w:rPr>
          <w:sz w:val="24"/>
          <w:szCs w:val="24"/>
        </w:rPr>
      </w:pPr>
      <w:r w:rsidRPr="00492A63">
        <w:rPr>
          <w:sz w:val="24"/>
          <w:szCs w:val="24"/>
        </w:rPr>
        <w:t>Mentoring, in contrast, is relational, long-term, and developmental, focusing on career guidance, psychosocial support, and professional identity formation (Kram, 1985; Clutterbuck, 2014). Mentors act as role models, providing guidance, feedback, and reassurance, which facilitates the integration of new practitioners into organisational culture. Mentoring is especially critical for novice healthcare staff transitioning from education to practice, a period often described as “transition shock,” during which practitioners may feel overwhelmed by clinical responsibilities, ethical dilemmas, and interpersonal demands (Duchscher, 2009; Huybrecht et al., 2011). By offering advice, modelling professional behaviour, and providing emotional support, mentoring helps mitigate anxiety, accelerates skill acquisition, and fosters confidence in clinical practice (</w:t>
      </w:r>
      <w:r w:rsidR="00FD004D">
        <w:rPr>
          <w:sz w:val="24"/>
          <w:szCs w:val="24"/>
        </w:rPr>
        <w:t>Hoover</w:t>
      </w:r>
      <w:r w:rsidRPr="00492A63">
        <w:rPr>
          <w:sz w:val="24"/>
          <w:szCs w:val="24"/>
        </w:rPr>
        <w:t>, 2020).</w:t>
      </w:r>
    </w:p>
    <w:p w14:paraId="32C70CC8" w14:textId="77777777" w:rsidR="00492A63" w:rsidRPr="00492A63" w:rsidRDefault="00492A63" w:rsidP="00DF6803">
      <w:pPr>
        <w:spacing w:after="30" w:line="360" w:lineRule="auto"/>
        <w:rPr>
          <w:sz w:val="24"/>
          <w:szCs w:val="24"/>
        </w:rPr>
      </w:pPr>
      <w:r w:rsidRPr="00492A63">
        <w:rPr>
          <w:sz w:val="24"/>
          <w:szCs w:val="24"/>
        </w:rPr>
        <w:t>At the leadership level, coaching supports reflective decision-making, resilience, and strategic thinking in managers and clinical leaders (West et al., 2014). Mentoring connects emerging leaders with experienced colleagues, providing institutional knowledge, career guidance, and psychosocial support that strengthens succession planning and organisational stability. Both approaches are also instrumental in promoting interprofessional collaboration. Cross-professional mentoring enhances understanding of diverse roles, reduces siloed working, and improves coordination of patient care (Reeves et al., 2017). Team coaching further supports collective problem-solving, effective communication, and shared accountability, improving overall team performance and patient safety (Passmore, 2016).</w:t>
      </w:r>
    </w:p>
    <w:p w14:paraId="19422D4D" w14:textId="77777777" w:rsidR="00492A63" w:rsidRPr="00492A63" w:rsidRDefault="00492A63" w:rsidP="00DF6803">
      <w:pPr>
        <w:spacing w:after="30" w:line="360" w:lineRule="auto"/>
        <w:rPr>
          <w:sz w:val="24"/>
          <w:szCs w:val="24"/>
        </w:rPr>
      </w:pPr>
      <w:r w:rsidRPr="00492A63">
        <w:rPr>
          <w:sz w:val="24"/>
          <w:szCs w:val="24"/>
        </w:rPr>
        <w:lastRenderedPageBreak/>
        <w:t>Importantly, coaching and mentoring indirectly impact patient outcomes. Practitioners who receive structured support demonstrate improved situational awareness, clinical judgment, and interpersonal skills, contributing to safer and more effective care (Health Education England, 2019). For example, mentoring programs for new nurses have been linked to lower error rates, higher job satisfaction, and reduced turnover (Huybrecht et al., 2011). Similarly, coaching interventions for senior clinicians have enhanced decision-making under pressure, resilience during organisational change, and engagement in continuous quality improvement initiatives (West et al., 2014).</w:t>
      </w:r>
    </w:p>
    <w:p w14:paraId="1AD091E1" w14:textId="77777777" w:rsidR="00492A63" w:rsidRPr="00492A63" w:rsidRDefault="00492A63" w:rsidP="00DF6803">
      <w:pPr>
        <w:spacing w:after="30" w:line="360" w:lineRule="auto"/>
        <w:rPr>
          <w:sz w:val="24"/>
          <w:szCs w:val="24"/>
        </w:rPr>
      </w:pPr>
      <w:r w:rsidRPr="00492A63">
        <w:rPr>
          <w:sz w:val="24"/>
          <w:szCs w:val="24"/>
        </w:rPr>
        <w:t>Despite their benefits, the effectiveness of coaching and mentoring depends on careful implementation. Without sufficient time, training, or organisational support, interventions risk becoming superficial, tokenistic, or inconsistently applied, which can undermine trust and reduce impact (Garvey, 2017). Equitable access is also critical, as women, minority ethnic staff, and part-time workers may face barriers to participation, limiting the reach and inclusivity of programs (NHS England, 2020).</w:t>
      </w:r>
    </w:p>
    <w:p w14:paraId="1480962F" w14:textId="77777777" w:rsidR="00492A63" w:rsidRPr="00492A63" w:rsidRDefault="00492A63" w:rsidP="00DF6803">
      <w:pPr>
        <w:spacing w:after="30" w:line="360" w:lineRule="auto"/>
        <w:rPr>
          <w:b/>
          <w:bCs/>
          <w:sz w:val="24"/>
          <w:szCs w:val="24"/>
        </w:rPr>
      </w:pPr>
      <w:r w:rsidRPr="00492A63">
        <w:rPr>
          <w:b/>
          <w:bCs/>
          <w:sz w:val="24"/>
          <w:szCs w:val="24"/>
        </w:rPr>
        <w:t>Theoretical Foundations</w:t>
      </w:r>
    </w:p>
    <w:p w14:paraId="240E4818" w14:textId="77777777" w:rsidR="00492A63" w:rsidRPr="00492A63" w:rsidRDefault="00492A63" w:rsidP="00DF6803">
      <w:pPr>
        <w:spacing w:after="30" w:line="360" w:lineRule="auto"/>
        <w:rPr>
          <w:sz w:val="24"/>
          <w:szCs w:val="24"/>
        </w:rPr>
      </w:pPr>
      <w:r w:rsidRPr="00492A63">
        <w:rPr>
          <w:sz w:val="24"/>
          <w:szCs w:val="24"/>
        </w:rPr>
        <w:t>The effectiveness of coaching and mentoring in healthcare is underpinned by a range of well-established theoretical frameworks that explain how individuals learn, develop, and adapt within professional environments. One of the most widely applied models in coaching is Whitmore’s GROW framework, which structures conversations around Goal, Reality, Options, and Will (Whitmore, 2017). This model facilitates reflective dialogue, enabling practitioners to identify specific objectives, assess their current circumstances, explore potential strategies, and commit to actionable steps. In clinical practice, the GROW model is particularly useful for developing problem-solving skills, managing complex patient cases, and fostering self-directed professional growth (Grant, 2017).</w:t>
      </w:r>
    </w:p>
    <w:p w14:paraId="52F081FB" w14:textId="571A29DA" w:rsidR="00492A63" w:rsidRPr="00492A63" w:rsidRDefault="00492A63" w:rsidP="00DF6803">
      <w:pPr>
        <w:spacing w:after="30" w:line="360" w:lineRule="auto"/>
        <w:rPr>
          <w:sz w:val="24"/>
          <w:szCs w:val="24"/>
        </w:rPr>
      </w:pPr>
      <w:r w:rsidRPr="00492A63">
        <w:rPr>
          <w:sz w:val="24"/>
          <w:szCs w:val="24"/>
        </w:rPr>
        <w:t xml:space="preserve">From a mentoring perspective, Kram’s (1985) model identifies two key functions: career development and psychosocial support. Career development involves sponsorship, exposure, coaching, and skill enhancement, while psychosocial support encompasses role modelling, counselling, and affirmation. Mentoring relationships therefore contribute not only to technical competence but also to professional identity formation, confidence building, and integration into organisational culture (Clutterbuck, 2014; </w:t>
      </w:r>
      <w:r w:rsidR="00FD004D">
        <w:rPr>
          <w:sz w:val="24"/>
          <w:szCs w:val="24"/>
        </w:rPr>
        <w:lastRenderedPageBreak/>
        <w:t>Hoover</w:t>
      </w:r>
      <w:r w:rsidRPr="00492A63">
        <w:rPr>
          <w:sz w:val="24"/>
          <w:szCs w:val="24"/>
        </w:rPr>
        <w:t>, 2020). For novice practitioners, these functions are critical in mitigating transition shock and promoting engagement with professional norms and expectations (Duchscher, 2009).</w:t>
      </w:r>
    </w:p>
    <w:p w14:paraId="6FB75C0A" w14:textId="77777777" w:rsidR="00492A63" w:rsidRPr="00492A63" w:rsidRDefault="00492A63" w:rsidP="00DF6803">
      <w:pPr>
        <w:spacing w:after="30" w:line="360" w:lineRule="auto"/>
        <w:rPr>
          <w:sz w:val="24"/>
          <w:szCs w:val="24"/>
        </w:rPr>
      </w:pPr>
      <w:r w:rsidRPr="00492A63">
        <w:rPr>
          <w:sz w:val="24"/>
          <w:szCs w:val="24"/>
        </w:rPr>
        <w:t>Kolb’s experiential learning theory (1984) provides a further framework, conceptualising learning as a cyclical process of concrete experience, reflective observation, abstract conceptualisation, and active experimentation. Coaching and mentoring facilitate this cycle by encouraging practitioners to reflect on clinical experiences, extract lessons, and apply insights in practice. Transformative learning theory, as proposed by Mezirow (1991), emphasises critical reflection and the reassessment of assumptions. Coaching can stimulate transformative learning by challenging deeply held beliefs, enhancing ethical reasoning, and supporting adaptive decision-making in complex or ambiguous clinical situations.</w:t>
      </w:r>
    </w:p>
    <w:p w14:paraId="6852CE03" w14:textId="77777777" w:rsidR="00492A63" w:rsidRPr="00492A63" w:rsidRDefault="00492A63" w:rsidP="00DF6803">
      <w:pPr>
        <w:spacing w:after="30" w:line="360" w:lineRule="auto"/>
        <w:rPr>
          <w:sz w:val="24"/>
          <w:szCs w:val="24"/>
        </w:rPr>
      </w:pPr>
      <w:r w:rsidRPr="00492A63">
        <w:rPr>
          <w:sz w:val="24"/>
          <w:szCs w:val="24"/>
        </w:rPr>
        <w:t>Social learning theory (Bandura, 1977) underscores the role of observation, modelling, and reinforcement in professional development. Mentoring allows less experienced practitioners to observe competent role models, internalise professional behaviours, and receive feedback in a supportive environment. Self-Determination Theory (Deci and Ryan, 2000) further explains motivation and engagement by highlighting the importance of autonomy, competence, and relatedness. Coaching and mentoring support these needs by providing choice, skill-building opportunities, and relational support, fostering intrinsic motivation and sustained learning.</w:t>
      </w:r>
    </w:p>
    <w:p w14:paraId="4BB635F6" w14:textId="77777777" w:rsidR="00492A63" w:rsidRPr="00492A63" w:rsidRDefault="00492A63" w:rsidP="00DF6803">
      <w:pPr>
        <w:spacing w:after="30" w:line="360" w:lineRule="auto"/>
        <w:rPr>
          <w:sz w:val="24"/>
          <w:szCs w:val="24"/>
        </w:rPr>
      </w:pPr>
      <w:r w:rsidRPr="00492A63">
        <w:rPr>
          <w:sz w:val="24"/>
          <w:szCs w:val="24"/>
        </w:rPr>
        <w:t>While these frameworks offer valuable guidance, critics argue that rigid adherence can oversimplify the complexities of healthcare practice (Garvey, 2017). Effective coaching and mentoring require flexibility, relational skill, and contextual awareness to adapt theoretical principles to individual, team, and organisational needs. Nevertheless, the integration of these models demonstrates that coaching and mentoring are not ad hoc interventions but systematic, evidence-based approaches capable of fostering competence, resilience, reflective practice, and professional identity formation.</w:t>
      </w:r>
    </w:p>
    <w:p w14:paraId="29462B1E" w14:textId="77777777" w:rsidR="00492A63" w:rsidRPr="00492A63" w:rsidRDefault="00492A63" w:rsidP="00DF6803">
      <w:pPr>
        <w:spacing w:after="30" w:line="360" w:lineRule="auto"/>
        <w:rPr>
          <w:b/>
          <w:bCs/>
          <w:sz w:val="24"/>
          <w:szCs w:val="24"/>
        </w:rPr>
      </w:pPr>
      <w:r w:rsidRPr="00492A63">
        <w:rPr>
          <w:b/>
          <w:bCs/>
          <w:sz w:val="24"/>
          <w:szCs w:val="24"/>
        </w:rPr>
        <w:t>Value for Individuals, Teams, and Organisations</w:t>
      </w:r>
    </w:p>
    <w:p w14:paraId="03F0F8A4" w14:textId="32F0D9D3" w:rsidR="00492A63" w:rsidRPr="00492A63" w:rsidRDefault="00492A63" w:rsidP="00DF6803">
      <w:pPr>
        <w:spacing w:after="30" w:line="360" w:lineRule="auto"/>
        <w:rPr>
          <w:sz w:val="24"/>
          <w:szCs w:val="24"/>
        </w:rPr>
      </w:pPr>
      <w:r w:rsidRPr="00492A63">
        <w:rPr>
          <w:sz w:val="24"/>
          <w:szCs w:val="24"/>
        </w:rPr>
        <w:t xml:space="preserve">Coaching and mentoring provide substantial benefits across individual, team, and organisational levels, reinforcing professional growth, enhancing collaboration, and promoting high-quality patient care. At the individual level, these interventions improve </w:t>
      </w:r>
      <w:r w:rsidRPr="00492A63">
        <w:rPr>
          <w:sz w:val="24"/>
          <w:szCs w:val="24"/>
        </w:rPr>
        <w:lastRenderedPageBreak/>
        <w:t>competence, confidence, resilience, and emotional intelligence. Novice healthcare practitioners often experience stress, anxiety, and uncertainty when transitioning from academic study to clinical practice, a period described as “transition shock” (Duchscher, 2009; Huybrecht et al., 2011). Mentoring offers guidance, reassurance, and professional role modelling, facilitating smoother adaptation, accelerated skill acquisition, and professional identity formation (</w:t>
      </w:r>
      <w:r w:rsidR="00FD004D">
        <w:rPr>
          <w:sz w:val="24"/>
          <w:szCs w:val="24"/>
        </w:rPr>
        <w:t>Hoover</w:t>
      </w:r>
      <w:r w:rsidRPr="00492A63">
        <w:rPr>
          <w:sz w:val="24"/>
          <w:szCs w:val="24"/>
        </w:rPr>
        <w:t>, 2020). By developing reflective practice, mentoring supports the application of theoretical knowledge to complex, real-world clinical scenarios.</w:t>
      </w:r>
    </w:p>
    <w:p w14:paraId="4E7F5DC8" w14:textId="77777777" w:rsidR="00492A63" w:rsidRPr="00492A63" w:rsidRDefault="00492A63" w:rsidP="00DF6803">
      <w:pPr>
        <w:spacing w:after="30" w:line="360" w:lineRule="auto"/>
        <w:rPr>
          <w:sz w:val="24"/>
          <w:szCs w:val="24"/>
        </w:rPr>
      </w:pPr>
      <w:r w:rsidRPr="00492A63">
        <w:rPr>
          <w:sz w:val="24"/>
          <w:szCs w:val="24"/>
        </w:rPr>
        <w:t>Coaching complements mentoring by focusing on goal-directed development, problem-solving, and self-awareness (Grant, 2017). Structured coaching sessions enable individuals to clarify objectives, assess barriers, and implement actionable strategies for clinical and professional challenges. This enhances decision-making, prioritisation, and adaptive problem-solving, fostering a sense of autonomy and competence (Whitmore, 2017). Both mentoring and coaching contribute to the development of “soft skills,” including empathy, communication, teamwork, and emotional regulation, which are essential for patient-centred care and effective interprofessional collaboration (Goleman, 1998; Cherniss, 2010).</w:t>
      </w:r>
    </w:p>
    <w:p w14:paraId="073D8FF6" w14:textId="77777777" w:rsidR="00492A63" w:rsidRPr="00492A63" w:rsidRDefault="00492A63" w:rsidP="00DF6803">
      <w:pPr>
        <w:spacing w:after="30" w:line="360" w:lineRule="auto"/>
        <w:rPr>
          <w:sz w:val="24"/>
          <w:szCs w:val="24"/>
        </w:rPr>
      </w:pPr>
      <w:r w:rsidRPr="00492A63">
        <w:rPr>
          <w:sz w:val="24"/>
          <w:szCs w:val="24"/>
        </w:rPr>
        <w:t>At the team level, coaching strengthens cohesion, clarifies roles, and facilitates collective problem-solving (Passmore, 2016). Teams exposed to structured coaching demonstrate improved communication, conflict resolution, and shared accountability, which directly impacts patient safety and service delivery (Health Education England, 2019). Cross-professional mentoring initiatives enhance mutual understanding, respect, and collaboration among multidisciplinary teams, reducing role confusion and improving coordination of care (Reeves et al., 2017). Team coaching encourages reflective dialogue, enabling members to identify systemic issues, implement solutions collaboratively, and sustain performance improvements.</w:t>
      </w:r>
    </w:p>
    <w:p w14:paraId="5FC87CB9" w14:textId="381590DD" w:rsidR="00492A63" w:rsidRPr="00492A63" w:rsidRDefault="00492A63" w:rsidP="00DF6803">
      <w:pPr>
        <w:spacing w:after="30" w:line="360" w:lineRule="auto"/>
        <w:rPr>
          <w:sz w:val="24"/>
          <w:szCs w:val="24"/>
        </w:rPr>
      </w:pPr>
      <w:r w:rsidRPr="00492A63">
        <w:rPr>
          <w:sz w:val="24"/>
          <w:szCs w:val="24"/>
        </w:rPr>
        <w:t xml:space="preserve">Organisationally, coaching and mentoring support workforce retention, succession planning, and leadership development. Employees who perceive organisational investment in their growth through mentoring or coaching report higher job satisfaction, engagement, and loyalty, reducing turnover and associated recruitment costs (Eby et al., 2000; Clutterbuck, 2014). Coaching interventions enhance leadership capacity, </w:t>
      </w:r>
      <w:r w:rsidRPr="00492A63">
        <w:rPr>
          <w:sz w:val="24"/>
          <w:szCs w:val="24"/>
        </w:rPr>
        <w:lastRenderedPageBreak/>
        <w:t>enabling managers and senior clinicians to navigate change, develop strategic thinking, and cultivate resilient teams (West et al., 2014). By embedding reflective practice and continuous learning, organisations foster cultures of innovation, psychological safety, and shared responsibility, which contribute to improved patient outcomes, reduced clinical errors, and sustainable service delivery (</w:t>
      </w:r>
      <w:r w:rsidR="00FD004D">
        <w:rPr>
          <w:sz w:val="24"/>
          <w:szCs w:val="24"/>
        </w:rPr>
        <w:t>Hoover</w:t>
      </w:r>
      <w:r w:rsidRPr="00492A63">
        <w:rPr>
          <w:sz w:val="24"/>
          <w:szCs w:val="24"/>
        </w:rPr>
        <w:t>, 2020).</w:t>
      </w:r>
    </w:p>
    <w:p w14:paraId="2965B36E" w14:textId="77777777" w:rsidR="00492A63" w:rsidRPr="00492A63" w:rsidRDefault="00492A63" w:rsidP="00DF6803">
      <w:pPr>
        <w:spacing w:after="30" w:line="360" w:lineRule="auto"/>
        <w:rPr>
          <w:sz w:val="24"/>
          <w:szCs w:val="24"/>
        </w:rPr>
      </w:pPr>
      <w:r w:rsidRPr="00492A63">
        <w:rPr>
          <w:sz w:val="24"/>
          <w:szCs w:val="24"/>
        </w:rPr>
        <w:t>However, the benefits are contingent on careful programme implementation. Time constraints, inconsistent mentor or coach quality, and inequitable access can limit effectiveness, while poorly designed initiatives may reinforce power imbalances or be perceived as tokenistic (Garvey, 2017; NHS England, 2020). Ensuring structured programme design, trained mentors and coaches, protected time for participation, and equitable access is essential to maximise impact.</w:t>
      </w:r>
    </w:p>
    <w:p w14:paraId="1139AD24" w14:textId="77777777" w:rsidR="00492A63" w:rsidRPr="00492A63" w:rsidRDefault="00492A63" w:rsidP="00DF6803">
      <w:pPr>
        <w:spacing w:after="30" w:line="360" w:lineRule="auto"/>
        <w:rPr>
          <w:b/>
          <w:bCs/>
          <w:sz w:val="24"/>
          <w:szCs w:val="24"/>
        </w:rPr>
      </w:pPr>
      <w:r w:rsidRPr="00492A63">
        <w:rPr>
          <w:b/>
          <w:bCs/>
          <w:sz w:val="24"/>
          <w:szCs w:val="24"/>
        </w:rPr>
        <w:t>Professional Development: Skills, Competencies, and Digital Adaptation</w:t>
      </w:r>
    </w:p>
    <w:p w14:paraId="6CB40BA0" w14:textId="77777777" w:rsidR="00492A63" w:rsidRPr="00492A63" w:rsidRDefault="00492A63" w:rsidP="00DF6803">
      <w:pPr>
        <w:spacing w:after="30" w:line="360" w:lineRule="auto"/>
        <w:rPr>
          <w:sz w:val="24"/>
          <w:szCs w:val="24"/>
        </w:rPr>
      </w:pPr>
      <w:r w:rsidRPr="00492A63">
        <w:rPr>
          <w:sz w:val="24"/>
          <w:szCs w:val="24"/>
        </w:rPr>
        <w:t>Professional development in healthcare is a continuous, multi-dimensional process that encompasses the acquisition of technical skills, the enhancement of interpersonal competencies, and the cultivation of adaptive capacity in increasingly complex clinical environments (WHO, 2020). Coaching and mentoring complement formal education and training by providing relational, experiential, and reflective learning opportunities that bridge the gap between theory and practice (Clutterbuck, 2014). These interventions support practitioners in developing the full spectrum of competencies necessary to meet evolving organisational demands and patient care expectations.</w:t>
      </w:r>
    </w:p>
    <w:p w14:paraId="522EF940" w14:textId="4D2D8796" w:rsidR="00492A63" w:rsidRPr="00492A63" w:rsidRDefault="00492A63" w:rsidP="00DF6803">
      <w:pPr>
        <w:spacing w:after="30" w:line="360" w:lineRule="auto"/>
        <w:rPr>
          <w:sz w:val="24"/>
          <w:szCs w:val="24"/>
        </w:rPr>
      </w:pPr>
      <w:r w:rsidRPr="00492A63">
        <w:rPr>
          <w:sz w:val="24"/>
          <w:szCs w:val="24"/>
        </w:rPr>
        <w:t>Soft skills development is a critical aspect of professional growth. Through coaching, practitioners engage in structured reflective practice, which promotes self-awareness, emotional regulation, effective communication, and problem-solving skills (Grant, 2017; Goleman, 1998). Mentoring provides opportunities to observe professional role models, receive feedback, and integrate ethical reasoning into daily practice, contributing to the development of professional identity and confidence (</w:t>
      </w:r>
      <w:r w:rsidR="00701323">
        <w:rPr>
          <w:sz w:val="24"/>
          <w:szCs w:val="24"/>
        </w:rPr>
        <w:t>Hoover</w:t>
      </w:r>
      <w:r w:rsidRPr="00492A63">
        <w:rPr>
          <w:sz w:val="24"/>
          <w:szCs w:val="24"/>
        </w:rPr>
        <w:t>, 2020). Together, coaching and mentoring enhance interpersonal competencies that underpin patient-centred care, multidisciplinary collaboration, and leadership effectiveness.</w:t>
      </w:r>
    </w:p>
    <w:p w14:paraId="6F1CFD77" w14:textId="3D824E62" w:rsidR="00492A63" w:rsidRPr="00492A63" w:rsidRDefault="00492A63" w:rsidP="00DF6803">
      <w:pPr>
        <w:spacing w:after="30" w:line="360" w:lineRule="auto"/>
        <w:rPr>
          <w:sz w:val="24"/>
          <w:szCs w:val="24"/>
        </w:rPr>
      </w:pPr>
      <w:r w:rsidRPr="00492A63">
        <w:rPr>
          <w:sz w:val="24"/>
          <w:szCs w:val="24"/>
        </w:rPr>
        <w:t xml:space="preserve">The digital transformation of healthcare further underscores the importance of coaching and mentoring in professional development. Technologies such as electronic health records, telehealth platforms, artificial intelligence, and data-driven decision </w:t>
      </w:r>
      <w:r w:rsidRPr="00492A63">
        <w:rPr>
          <w:sz w:val="24"/>
          <w:szCs w:val="24"/>
        </w:rPr>
        <w:lastRenderedPageBreak/>
        <w:t>support systems require practitioners to adapt rapidly while maintaining clinical and ethical standards (Topol, 2019). Coaching supports reflection and problem-solving in navigating these technological changes, while mentoring provides reassurance, guidance, and contextual understanding of how digital tools can be integrated safely into practice. Reverse mentoring, in which younger staff guide senior practitioners in digital literacy, also promotes intergenerational learning, fostering inclusivity and enhancing organisational adaptability.</w:t>
      </w:r>
    </w:p>
    <w:p w14:paraId="4634A9AD" w14:textId="77777777" w:rsidR="00492A63" w:rsidRPr="00492A63" w:rsidRDefault="00492A63" w:rsidP="00DF6803">
      <w:pPr>
        <w:spacing w:after="30" w:line="360" w:lineRule="auto"/>
        <w:rPr>
          <w:sz w:val="24"/>
          <w:szCs w:val="24"/>
        </w:rPr>
      </w:pPr>
      <w:r w:rsidRPr="00492A63">
        <w:rPr>
          <w:sz w:val="24"/>
          <w:szCs w:val="24"/>
        </w:rPr>
        <w:t>Career progression and lifelong learning are additionally facilitated through coaching and mentoring. Practitioners gain access to professional networks, feedback mechanisms, and leadership development opportunities, equipping them to pursue advanced roles, specialisations, or managerial positions (West et al., 2014). By fostering reflective practice and adaptive problem-solving, these interventions cultivate a mindset of continuous improvement and lifelong learning, ensuring that individual development contributes to broader organisational objectives.</w:t>
      </w:r>
    </w:p>
    <w:p w14:paraId="6D5E3DF7" w14:textId="77777777" w:rsidR="00492A63" w:rsidRPr="00492A63" w:rsidRDefault="00492A63" w:rsidP="00DF6803">
      <w:pPr>
        <w:spacing w:after="30" w:line="360" w:lineRule="auto"/>
        <w:rPr>
          <w:sz w:val="24"/>
          <w:szCs w:val="24"/>
        </w:rPr>
      </w:pPr>
      <w:r w:rsidRPr="00492A63">
        <w:rPr>
          <w:sz w:val="24"/>
          <w:szCs w:val="24"/>
        </w:rPr>
        <w:t>Importantly, coaching and mentoring should not be viewed as substitutes for formal training programs. Instead, they are most effective when integrated into a comprehensive professional development strategy that includes technical training, continuous education, and organisational support (Garvey, 2017). High-quality coaching and mentoring interventions can accelerate skill acquisition, enhance soft skills, support digital competence, and prepare practitioners for leadership and complex decision-making roles, all of which contribute to improved patient care and workforce sustainability.</w:t>
      </w:r>
    </w:p>
    <w:p w14:paraId="537C310E" w14:textId="103ED3DB" w:rsidR="00492A63" w:rsidRPr="00492A63" w:rsidRDefault="00492A63" w:rsidP="00DF6803">
      <w:pPr>
        <w:spacing w:after="30" w:line="360" w:lineRule="auto"/>
        <w:rPr>
          <w:sz w:val="24"/>
          <w:szCs w:val="24"/>
        </w:rPr>
      </w:pPr>
      <w:r w:rsidRPr="00492A63">
        <w:rPr>
          <w:sz w:val="24"/>
          <w:szCs w:val="24"/>
        </w:rPr>
        <w:t>coaching and mentoring are integral to professional development in healthcare, supporting skill acquisition, interpersonal growth, digital adaptation, and career progression. By combining reflective, relational, and experiential learning approaches, these interventions enhance both individual competence and organisational capacity, ensuring that healthcare practitioners are equipped to deliver safe, effective, and patient-centred care in a rapidly evolving environment.</w:t>
      </w:r>
    </w:p>
    <w:p w14:paraId="4CB0594F" w14:textId="77777777" w:rsidR="00F763AF" w:rsidRDefault="00F763AF" w:rsidP="00DF6803">
      <w:pPr>
        <w:spacing w:after="30" w:line="360" w:lineRule="auto"/>
        <w:rPr>
          <w:b/>
          <w:bCs/>
          <w:sz w:val="24"/>
          <w:szCs w:val="24"/>
        </w:rPr>
      </w:pPr>
    </w:p>
    <w:p w14:paraId="6F1BF181" w14:textId="77777777" w:rsidR="00F763AF" w:rsidRDefault="00F763AF" w:rsidP="00DF6803">
      <w:pPr>
        <w:spacing w:after="30" w:line="360" w:lineRule="auto"/>
        <w:rPr>
          <w:b/>
          <w:bCs/>
          <w:sz w:val="24"/>
          <w:szCs w:val="24"/>
        </w:rPr>
      </w:pPr>
    </w:p>
    <w:p w14:paraId="3B84E1C9" w14:textId="77777777" w:rsidR="00701323" w:rsidRDefault="00701323" w:rsidP="00DF6803">
      <w:pPr>
        <w:spacing w:after="30" w:line="360" w:lineRule="auto"/>
        <w:rPr>
          <w:b/>
          <w:bCs/>
          <w:sz w:val="24"/>
          <w:szCs w:val="24"/>
        </w:rPr>
      </w:pPr>
    </w:p>
    <w:p w14:paraId="6D5BE97E" w14:textId="4B05E090" w:rsidR="00492A63" w:rsidRPr="00492A63" w:rsidRDefault="00492A63" w:rsidP="00DF6803">
      <w:pPr>
        <w:spacing w:after="30" w:line="360" w:lineRule="auto"/>
        <w:rPr>
          <w:b/>
          <w:bCs/>
          <w:sz w:val="24"/>
          <w:szCs w:val="24"/>
        </w:rPr>
      </w:pPr>
      <w:r w:rsidRPr="00492A63">
        <w:rPr>
          <w:b/>
          <w:bCs/>
          <w:sz w:val="24"/>
          <w:szCs w:val="24"/>
        </w:rPr>
        <w:lastRenderedPageBreak/>
        <w:t>Organisational Culture and Psychological Safety</w:t>
      </w:r>
    </w:p>
    <w:p w14:paraId="7A19681A" w14:textId="77777777" w:rsidR="00492A63" w:rsidRPr="00492A63" w:rsidRDefault="00492A63" w:rsidP="00DF6803">
      <w:pPr>
        <w:spacing w:after="30" w:line="360" w:lineRule="auto"/>
        <w:rPr>
          <w:sz w:val="24"/>
          <w:szCs w:val="24"/>
        </w:rPr>
      </w:pPr>
      <w:r w:rsidRPr="00492A63">
        <w:rPr>
          <w:sz w:val="24"/>
          <w:szCs w:val="24"/>
        </w:rPr>
        <w:t>Organisational culture plays a pivotal role in shaping staff behaviour, engagement, wellbeing, and patient outcomes. In healthcare, a positive culture promotes reflective practice, collaborative working, and a commitment to continuous learning, all of which are crucial for delivering safe, high-quality care (Edmondson, 1999; Health Education England, 2019). Coaching and mentoring interventions are central to fostering such cultures, as they embed values of support, inclusivity, and shared responsibility across all levels of the workforce.</w:t>
      </w:r>
    </w:p>
    <w:p w14:paraId="3BBBABDA" w14:textId="047FBD7E" w:rsidR="00492A63" w:rsidRPr="00492A63" w:rsidRDefault="00492A63" w:rsidP="00DF6803">
      <w:pPr>
        <w:spacing w:after="30" w:line="360" w:lineRule="auto"/>
        <w:rPr>
          <w:sz w:val="24"/>
          <w:szCs w:val="24"/>
        </w:rPr>
      </w:pPr>
      <w:r w:rsidRPr="00492A63">
        <w:rPr>
          <w:sz w:val="24"/>
          <w:szCs w:val="24"/>
        </w:rPr>
        <w:t xml:space="preserve">Mentoring relationships signal organisational investment in staff, demonstrating that the development, growth, and wellbeing of employees are valued. For new or less experienced practitioners, this reassurance enhances confidence, supports professional identity formation, and reduces stress during transitions into practice (Duchscher, 2009; </w:t>
      </w:r>
      <w:r w:rsidR="00701323">
        <w:rPr>
          <w:sz w:val="24"/>
          <w:szCs w:val="24"/>
        </w:rPr>
        <w:t>Hoover</w:t>
      </w:r>
      <w:r w:rsidRPr="00492A63">
        <w:rPr>
          <w:sz w:val="24"/>
          <w:szCs w:val="24"/>
        </w:rPr>
        <w:t>, 2020). Similarly, coaching interventions promote reflective practice, resilience, and adaptive decision-making, equipping staff to manage workplace pressures, navigate change, and respond effectively to complex patient needs (Grant, 2017; Passmore, 2016).</w:t>
      </w:r>
    </w:p>
    <w:p w14:paraId="29BC8E28" w14:textId="324A2B44" w:rsidR="00492A63" w:rsidRPr="00492A63" w:rsidRDefault="00492A63" w:rsidP="00DF6803">
      <w:pPr>
        <w:spacing w:after="30" w:line="360" w:lineRule="auto"/>
        <w:rPr>
          <w:sz w:val="24"/>
          <w:szCs w:val="24"/>
        </w:rPr>
      </w:pPr>
      <w:r w:rsidRPr="00492A63">
        <w:rPr>
          <w:sz w:val="24"/>
          <w:szCs w:val="24"/>
        </w:rPr>
        <w:t>Coaching and mentoring also enhance psychological safety</w:t>
      </w:r>
      <w:r w:rsidR="00DF6803">
        <w:rPr>
          <w:sz w:val="24"/>
          <w:szCs w:val="24"/>
        </w:rPr>
        <w:t xml:space="preserve">, </w:t>
      </w:r>
      <w:r w:rsidRPr="00492A63">
        <w:rPr>
          <w:sz w:val="24"/>
          <w:szCs w:val="24"/>
        </w:rPr>
        <w:t>the belief that individuals can speak up, share ideas, or raise concerns without fear of negative consequences (Edmondson, 1999). This is particularly important in high-risk environments such as healthcare, where staff reluctance to escalate concerns can result in errors or compromised patient safety. Mentors provide a safe space for discussion and guidance, while coaches facilitate reflective dialogue that encourages problem-solving, innovation, and shared learning. When integrated into organisational routines, these interventions support a culture where staff feel empowered to engage, contribute, and take responsibility for improving practice (West et al., 2014).</w:t>
      </w:r>
    </w:p>
    <w:p w14:paraId="41A664B4" w14:textId="77777777" w:rsidR="00492A63" w:rsidRPr="00492A63" w:rsidRDefault="00492A63" w:rsidP="00DF6803">
      <w:pPr>
        <w:spacing w:after="30" w:line="360" w:lineRule="auto"/>
        <w:rPr>
          <w:sz w:val="24"/>
          <w:szCs w:val="24"/>
        </w:rPr>
      </w:pPr>
      <w:r w:rsidRPr="00492A63">
        <w:rPr>
          <w:sz w:val="24"/>
          <w:szCs w:val="24"/>
        </w:rPr>
        <w:t xml:space="preserve">Interprofessional collaboration is another key cultural benefit. Mentoring across disciplines fosters understanding of diverse professional roles, reduces siloed working, and improves coordination of care (Reeves et al., 2017). Team coaching strengthens cohesion, clarifies responsibilities, and promotes accountability, contributing to collective efficacy and improved patient outcomes. Organisations that prioritise coaching and mentoring are better positioned to implement initiatives such as </w:t>
      </w:r>
      <w:r w:rsidRPr="00492A63">
        <w:rPr>
          <w:sz w:val="24"/>
          <w:szCs w:val="24"/>
        </w:rPr>
        <w:lastRenderedPageBreak/>
        <w:t>collective leadership, shared governance, and continuous quality improvement, which align with NHS strategies for workforce development and service transformation (Health Education England, 2019).</w:t>
      </w:r>
    </w:p>
    <w:p w14:paraId="277234DE" w14:textId="6DD91B44" w:rsidR="00492A63" w:rsidRPr="00492A63" w:rsidRDefault="00492A63" w:rsidP="00DF6803">
      <w:pPr>
        <w:spacing w:after="30" w:line="360" w:lineRule="auto"/>
        <w:rPr>
          <w:sz w:val="24"/>
          <w:szCs w:val="24"/>
        </w:rPr>
      </w:pPr>
      <w:r w:rsidRPr="00492A63">
        <w:rPr>
          <w:sz w:val="24"/>
          <w:szCs w:val="24"/>
        </w:rPr>
        <w:t xml:space="preserve">However, challenges exist. Mentoring relationships may inadvertently reinforce hierarchical structures if not carefully </w:t>
      </w:r>
      <w:r w:rsidR="00701323" w:rsidRPr="00492A63">
        <w:rPr>
          <w:sz w:val="24"/>
          <w:szCs w:val="24"/>
        </w:rPr>
        <w:t>managed and</w:t>
      </w:r>
      <w:r w:rsidRPr="00492A63">
        <w:rPr>
          <w:sz w:val="24"/>
          <w:szCs w:val="24"/>
        </w:rPr>
        <w:t xml:space="preserve"> coaching that focuses narrowly on performance metrics risks neglecting staff wellbeing. Toxic mentoring</w:t>
      </w:r>
      <w:r w:rsidR="00701323">
        <w:rPr>
          <w:sz w:val="24"/>
          <w:szCs w:val="24"/>
        </w:rPr>
        <w:t xml:space="preserve"> </w:t>
      </w:r>
      <w:r w:rsidRPr="00492A63">
        <w:rPr>
          <w:sz w:val="24"/>
          <w:szCs w:val="24"/>
        </w:rPr>
        <w:t>characterised by biased, self-serving, or poor-quality guidance</w:t>
      </w:r>
      <w:r w:rsidR="00701323">
        <w:rPr>
          <w:sz w:val="24"/>
          <w:szCs w:val="24"/>
        </w:rPr>
        <w:t xml:space="preserve"> </w:t>
      </w:r>
      <w:r w:rsidRPr="00492A63">
        <w:rPr>
          <w:sz w:val="24"/>
          <w:szCs w:val="24"/>
        </w:rPr>
        <w:t>can undermine confidence and engagement (Eby et al., 2000). To genuinely enhance culture, programmes must prioritise equity, inclusivity, trust, and reflective practice, supported by organisational commitment, robust training, and evaluation mechanisms.</w:t>
      </w:r>
    </w:p>
    <w:p w14:paraId="6D61636F" w14:textId="77777777" w:rsidR="00492A63" w:rsidRPr="00492A63" w:rsidRDefault="00492A63" w:rsidP="00DF6803">
      <w:pPr>
        <w:spacing w:after="30" w:line="360" w:lineRule="auto"/>
        <w:rPr>
          <w:b/>
          <w:bCs/>
          <w:sz w:val="24"/>
          <w:szCs w:val="24"/>
        </w:rPr>
      </w:pPr>
      <w:r w:rsidRPr="00492A63">
        <w:rPr>
          <w:b/>
          <w:bCs/>
          <w:sz w:val="24"/>
          <w:szCs w:val="24"/>
        </w:rPr>
        <w:t>Challenges and Best Practices</w:t>
      </w:r>
    </w:p>
    <w:p w14:paraId="4C309674" w14:textId="77777777" w:rsidR="00492A63" w:rsidRPr="00492A63" w:rsidRDefault="00492A63" w:rsidP="00DF6803">
      <w:pPr>
        <w:spacing w:after="30" w:line="360" w:lineRule="auto"/>
        <w:rPr>
          <w:sz w:val="24"/>
          <w:szCs w:val="24"/>
        </w:rPr>
      </w:pPr>
      <w:r w:rsidRPr="00492A63">
        <w:rPr>
          <w:sz w:val="24"/>
          <w:szCs w:val="24"/>
        </w:rPr>
        <w:t>Despite the well-documented benefits of coaching and mentoring in healthcare, their implementation is not without challenges. Effective delivery requires careful planning, organisational support, and ongoing evaluation. One significant challenge is time constraints. Healthcare practitioners often face high workloads, shift patterns, and patient care responsibilities, making it difficult to allocate sufficient time for mentoring or coaching sessions (NHS England, 2020). Without protected time, programmes risk inconsistent engagement, superficial participation, and reduced effectiveness.</w:t>
      </w:r>
    </w:p>
    <w:p w14:paraId="7F08C72A" w14:textId="77777777" w:rsidR="00492A63" w:rsidRPr="00492A63" w:rsidRDefault="00492A63" w:rsidP="00DF6803">
      <w:pPr>
        <w:spacing w:after="30" w:line="360" w:lineRule="auto"/>
        <w:rPr>
          <w:sz w:val="24"/>
          <w:szCs w:val="24"/>
        </w:rPr>
      </w:pPr>
      <w:r w:rsidRPr="00492A63">
        <w:rPr>
          <w:sz w:val="24"/>
          <w:szCs w:val="24"/>
        </w:rPr>
        <w:t>Another challenge is inconsistent quality. Mentoring and coaching depend heavily on the skills, experience, and commitment of the mentor or coach. Untrained individuals may provide guidance that is either ineffective or inappropriate, limiting developmental outcomes and potentially undermining trust (Garvey, 2017). Organisations that rely on voluntary or informal mentoring may experience variability in programme quality, creating inequities among staff.</w:t>
      </w:r>
    </w:p>
    <w:p w14:paraId="0ECD8D19" w14:textId="77777777" w:rsidR="00492A63" w:rsidRPr="00492A63" w:rsidRDefault="00492A63" w:rsidP="00DF6803">
      <w:pPr>
        <w:spacing w:after="30" w:line="360" w:lineRule="auto"/>
        <w:rPr>
          <w:sz w:val="24"/>
          <w:szCs w:val="24"/>
        </w:rPr>
      </w:pPr>
      <w:r w:rsidRPr="00492A63">
        <w:rPr>
          <w:sz w:val="24"/>
          <w:szCs w:val="24"/>
        </w:rPr>
        <w:t>Equity and accessibility are also pressing concerns. Women, minority ethnic staff, and part-time employees may encounter barriers to participation due to scheduling conflicts, limited networks, or unconscious bias (NHS England, 2020). Without deliberate strategies to promote inclusion, mentoring and coaching programmes risk reinforcing existing inequalities, rather than supporting all members of the workforce.</w:t>
      </w:r>
    </w:p>
    <w:p w14:paraId="7EAAAEDA" w14:textId="77777777" w:rsidR="00492A63" w:rsidRPr="00492A63" w:rsidRDefault="00492A63" w:rsidP="00DF6803">
      <w:pPr>
        <w:spacing w:after="30" w:line="360" w:lineRule="auto"/>
        <w:rPr>
          <w:sz w:val="24"/>
          <w:szCs w:val="24"/>
        </w:rPr>
      </w:pPr>
      <w:r w:rsidRPr="00492A63">
        <w:rPr>
          <w:sz w:val="24"/>
          <w:szCs w:val="24"/>
        </w:rPr>
        <w:t xml:space="preserve">Cultural and structural barriers further complicate implementation. Hierarchical organisational structures, performance-focused cultures, and resistance to reflective </w:t>
      </w:r>
      <w:r w:rsidRPr="00492A63">
        <w:rPr>
          <w:sz w:val="24"/>
          <w:szCs w:val="24"/>
        </w:rPr>
        <w:lastRenderedPageBreak/>
        <w:t>practice can limit the effectiveness of coaching and mentoring (Garvey, 2017). Toxic mentoring, where guidance is biased, self-serving, or undermines confidence, poses additional risks (Eby et al., 2000). Similarly, coaching interventions narrowly focused on metrics rather than holistic development may neglect practitioner wellbeing and engagement.</w:t>
      </w:r>
    </w:p>
    <w:p w14:paraId="7502D8EE" w14:textId="77777777" w:rsidR="00492A63" w:rsidRPr="00492A63" w:rsidRDefault="00492A63" w:rsidP="00DF6803">
      <w:pPr>
        <w:spacing w:after="30" w:line="360" w:lineRule="auto"/>
        <w:rPr>
          <w:sz w:val="24"/>
          <w:szCs w:val="24"/>
        </w:rPr>
      </w:pPr>
      <w:r w:rsidRPr="00492A63">
        <w:rPr>
          <w:sz w:val="24"/>
          <w:szCs w:val="24"/>
        </w:rPr>
        <w:t>Best practices have been identified to address these challenges and maximise the effectiveness of coaching and mentoring programmes. First, programmes should be strategically designed, with clearly defined objectives, roles, responsibilities, and expectations for both mentors and mentees (Clutterbuck, 2014). Structured frameworks, such as the GROW model or Kolb’s experiential learning cycle, provide guidance for consistent, evidence-based practice (Whitmore, 2017; Kolb, 1984).</w:t>
      </w:r>
    </w:p>
    <w:p w14:paraId="0949067E" w14:textId="77777777" w:rsidR="00492A63" w:rsidRPr="00492A63" w:rsidRDefault="00492A63" w:rsidP="00DF6803">
      <w:pPr>
        <w:spacing w:after="30" w:line="360" w:lineRule="auto"/>
        <w:rPr>
          <w:sz w:val="24"/>
          <w:szCs w:val="24"/>
        </w:rPr>
      </w:pPr>
      <w:r w:rsidRPr="00492A63">
        <w:rPr>
          <w:sz w:val="24"/>
          <w:szCs w:val="24"/>
        </w:rPr>
        <w:t>Training and development for mentors and coaches are essential, equipping them with skills in reflective facilitation, ethical guidance, and relational support (Staniforth, 2020). Ensuring protected time for participation allows staff to engage fully without compromising clinical responsibilities. Programmes should also incorporate equity measures, ensuring accessibility for all staff, regardless of gender, ethnicity, role, or work pattern, to promote inclusivity and fairness (NHS England, 2020).</w:t>
      </w:r>
    </w:p>
    <w:p w14:paraId="518AD621" w14:textId="27F93340" w:rsidR="00492A63" w:rsidRPr="00492A63" w:rsidRDefault="00492A63" w:rsidP="00DF6803">
      <w:pPr>
        <w:spacing w:after="30" w:line="360" w:lineRule="auto"/>
        <w:rPr>
          <w:sz w:val="24"/>
          <w:szCs w:val="24"/>
        </w:rPr>
      </w:pPr>
      <w:r w:rsidRPr="00492A63">
        <w:rPr>
          <w:sz w:val="24"/>
          <w:szCs w:val="24"/>
        </w:rPr>
        <w:t>Evaluation and feedback mechanisms are critical. Metrics such as staff retention, job satisfaction, wellbeing, competency development, and patient safety outcomes help monitor effectiveness and inform ongoing programme refinement (Health Education England, 2019). Innovative approaches, including digital mentoring, reverse mentoring, peer coaching, and interprofessional initiatives, can enhance engagement, flexibility, and reach (Topol, 2019).</w:t>
      </w:r>
    </w:p>
    <w:p w14:paraId="56459F55" w14:textId="77777777" w:rsidR="00492A63" w:rsidRPr="00492A63" w:rsidRDefault="00492A63" w:rsidP="00DF6803">
      <w:pPr>
        <w:spacing w:after="30" w:line="360" w:lineRule="auto"/>
        <w:rPr>
          <w:sz w:val="24"/>
          <w:szCs w:val="24"/>
        </w:rPr>
      </w:pPr>
      <w:r w:rsidRPr="00492A63">
        <w:rPr>
          <w:sz w:val="24"/>
          <w:szCs w:val="24"/>
        </w:rPr>
        <w:t>Finally, alignment with organisational strategy ensures that coaching and mentoring contribute to broader workforce objectives, quality improvement initiatives, and service transformation. When implemented strategically, these programmes cultivate a learning culture characterised by reflection, inclusivity, resilience, and continuous improvement, ultimately benefiting practitioners, teams, and patients alike (West et al., 2014).</w:t>
      </w:r>
    </w:p>
    <w:p w14:paraId="47FE5692" w14:textId="77777777" w:rsidR="00492A63" w:rsidRPr="00492A63" w:rsidRDefault="00492A63" w:rsidP="00DF6803">
      <w:pPr>
        <w:spacing w:after="30" w:line="360" w:lineRule="auto"/>
        <w:rPr>
          <w:sz w:val="24"/>
          <w:szCs w:val="24"/>
        </w:rPr>
      </w:pPr>
      <w:r w:rsidRPr="00492A63">
        <w:rPr>
          <w:sz w:val="24"/>
          <w:szCs w:val="24"/>
        </w:rPr>
        <w:t xml:space="preserve">In conclusion, while challenges such as time pressures, inconsistent quality, and inequitable access can hinder effectiveness, adherence to best practice principles </w:t>
      </w:r>
      <w:r w:rsidRPr="00492A63">
        <w:rPr>
          <w:sz w:val="24"/>
          <w:szCs w:val="24"/>
        </w:rPr>
        <w:lastRenderedPageBreak/>
        <w:t>enables organisations to realise the full potential of coaching and mentoring. Strategic implementation, supported by training, evaluation, equity measures, and integration with organisational objectives, ensures these interventions enhance professional development, organisational culture, and patient outcomes.</w:t>
      </w:r>
    </w:p>
    <w:p w14:paraId="1C2D5521" w14:textId="77777777" w:rsidR="00492A63" w:rsidRPr="00492A63" w:rsidRDefault="00492A63" w:rsidP="00DF6803">
      <w:pPr>
        <w:spacing w:after="30" w:line="360" w:lineRule="auto"/>
        <w:rPr>
          <w:b/>
          <w:bCs/>
          <w:sz w:val="24"/>
          <w:szCs w:val="24"/>
        </w:rPr>
      </w:pPr>
      <w:r w:rsidRPr="00492A63">
        <w:rPr>
          <w:b/>
          <w:bCs/>
          <w:sz w:val="24"/>
          <w:szCs w:val="24"/>
        </w:rPr>
        <w:t>Conclusion</w:t>
      </w:r>
    </w:p>
    <w:p w14:paraId="122795E7" w14:textId="1498C841" w:rsidR="00492A63" w:rsidRPr="00492A63" w:rsidRDefault="00492A63" w:rsidP="00DF6803">
      <w:pPr>
        <w:spacing w:after="30" w:line="360" w:lineRule="auto"/>
        <w:rPr>
          <w:sz w:val="24"/>
          <w:szCs w:val="24"/>
        </w:rPr>
      </w:pPr>
      <w:r w:rsidRPr="00492A63">
        <w:rPr>
          <w:sz w:val="24"/>
          <w:szCs w:val="24"/>
        </w:rPr>
        <w:t xml:space="preserve">Coaching and mentoring represent fundamental strategies for supporting healthcare practitioners, teams, and organisations in delivering high-quality, patient-centred care. The evidence demonstrates that, when implemented effectively, these interventions enhance individual competence, resilience, professional identity, and reflective capacity, while also strengthening team collaboration and fostering positive organisational culture (Health Education England, 2019; </w:t>
      </w:r>
      <w:r w:rsidR="00701323">
        <w:rPr>
          <w:sz w:val="24"/>
          <w:szCs w:val="24"/>
        </w:rPr>
        <w:t>Hoover</w:t>
      </w:r>
      <w:r w:rsidRPr="00492A63">
        <w:rPr>
          <w:sz w:val="24"/>
          <w:szCs w:val="24"/>
        </w:rPr>
        <w:t>, 2020). In an era of increasing healthcare complexity, workforce shortages, and rapidly evolving technology, coaching and mentoring provide structured, relational, and experiential mechanisms to support adaptive practice and continuous learning (Whitmore, 2017; Topol, 2019).</w:t>
      </w:r>
    </w:p>
    <w:p w14:paraId="13AE7A44" w14:textId="6AB3C773" w:rsidR="00492A63" w:rsidRPr="00492A63" w:rsidRDefault="00492A63" w:rsidP="00DF6803">
      <w:pPr>
        <w:spacing w:after="30" w:line="360" w:lineRule="auto"/>
        <w:rPr>
          <w:sz w:val="24"/>
          <w:szCs w:val="24"/>
        </w:rPr>
      </w:pPr>
      <w:r w:rsidRPr="00492A63">
        <w:rPr>
          <w:sz w:val="24"/>
          <w:szCs w:val="24"/>
        </w:rPr>
        <w:t xml:space="preserve">At the individual level, coaching facilitates goal-focused development, problem-solving, and reflective practice, enabling practitioners to navigate complex clinical situations, manage stress, and develop essential “soft skills” such as empathy, communication, and emotional intelligence (Grant, 2017; Goleman, 1998). Mentoring, in turn, provides long-term relational support, role modelling, and career guidance, supporting the integration of novice practitioners into organisational culture, accelerating skill acquisition, and strengthening professional identity (Kram, 1985; </w:t>
      </w:r>
      <w:r w:rsidR="00701323">
        <w:rPr>
          <w:sz w:val="24"/>
          <w:szCs w:val="24"/>
        </w:rPr>
        <w:t>Hoover</w:t>
      </w:r>
      <w:r w:rsidRPr="00492A63">
        <w:rPr>
          <w:sz w:val="24"/>
          <w:szCs w:val="24"/>
        </w:rPr>
        <w:t>, 2020). Together, these approaches address both the technical and psychosocial aspects of professional development, bridging the gap between formal education and practice.</w:t>
      </w:r>
    </w:p>
    <w:p w14:paraId="279530C9" w14:textId="77777777" w:rsidR="00492A63" w:rsidRPr="00492A63" w:rsidRDefault="00492A63" w:rsidP="00DF6803">
      <w:pPr>
        <w:spacing w:after="30" w:line="360" w:lineRule="auto"/>
        <w:rPr>
          <w:sz w:val="24"/>
          <w:szCs w:val="24"/>
        </w:rPr>
      </w:pPr>
      <w:r w:rsidRPr="00492A63">
        <w:rPr>
          <w:sz w:val="24"/>
          <w:szCs w:val="24"/>
        </w:rPr>
        <w:t>Teams benefit from coaching and mentoring through improved communication, cohesion, and problem-solving capacity. Interprofessional mentoring enhances understanding across professional boundaries, reduces role confusion, and fosters collaboration, while team coaching supports shared accountability, reflective learning, and collective efficacy (Reeves et al., 2017; Passmore, 2016). By creating an environment that encourages dialogue, feedback, and mutual support, these interventions contribute to enhanced patient safety, service quality, and overall team performance.</w:t>
      </w:r>
    </w:p>
    <w:p w14:paraId="217D5DB2" w14:textId="5F37A2CF" w:rsidR="00492A63" w:rsidRPr="00492A63" w:rsidRDefault="00492A63" w:rsidP="00DF6803">
      <w:pPr>
        <w:spacing w:after="30" w:line="360" w:lineRule="auto"/>
        <w:rPr>
          <w:sz w:val="24"/>
          <w:szCs w:val="24"/>
        </w:rPr>
      </w:pPr>
      <w:r w:rsidRPr="00492A63">
        <w:rPr>
          <w:sz w:val="24"/>
          <w:szCs w:val="24"/>
        </w:rPr>
        <w:lastRenderedPageBreak/>
        <w:t>Organisationally, coaching and mentoring promote retention, succession planning, leadership development, and the cultivation of a positive workplace culture. Programmes that are strategically aligned with organisational goals encourage reflective practice, innovation, and psychological safety, fostering a learning culture that values staff wellbeing and professional growth (West et al., 2014; Health Education England, 2019). Furthermore, initiatives such as digital mentoring and reverse mentoring enhance adaptability in the face of technological change, supporting both clinical effectiveness and workforce readiness (Topol, 2019).</w:t>
      </w:r>
    </w:p>
    <w:p w14:paraId="618044DD" w14:textId="77777777" w:rsidR="00492A63" w:rsidRPr="00492A63" w:rsidRDefault="00492A63" w:rsidP="00DF6803">
      <w:pPr>
        <w:spacing w:after="30" w:line="360" w:lineRule="auto"/>
        <w:rPr>
          <w:sz w:val="24"/>
          <w:szCs w:val="24"/>
        </w:rPr>
      </w:pPr>
      <w:r w:rsidRPr="00492A63">
        <w:rPr>
          <w:sz w:val="24"/>
          <w:szCs w:val="24"/>
        </w:rPr>
        <w:t>Despite their considerable benefits, coaching and mentoring are not without challenges. Barriers such as time constraints, inconsistent programme quality, inequitable access, hierarchical cultural structures, and the potential for toxic mentoring or poorly focused coaching can limit effectiveness (Garvey, 2017; Eby et al., 2000; NHS England, 2020). Addressing these challenges requires careful programme design, including structured frameworks, training for mentors and coaches, protected participation time, equity measures, and ongoing evaluation. By embedding these elements, organisations can maximise engagement, ensure fairness, and achieve measurable outcomes at the individual, team, and organisational levels.</w:t>
      </w:r>
    </w:p>
    <w:p w14:paraId="10DEABE7" w14:textId="77777777" w:rsidR="00492A63" w:rsidRPr="00492A63" w:rsidRDefault="00492A63" w:rsidP="00DF6803">
      <w:pPr>
        <w:spacing w:after="30" w:line="360" w:lineRule="auto"/>
        <w:rPr>
          <w:sz w:val="24"/>
          <w:szCs w:val="24"/>
        </w:rPr>
      </w:pPr>
      <w:r w:rsidRPr="00492A63">
        <w:rPr>
          <w:sz w:val="24"/>
          <w:szCs w:val="24"/>
        </w:rPr>
        <w:t>In conclusion, coaching and mentoring are evidence-based, complementary approaches that support workforce development across multiple dimensions in healthcare. They enhance technical and interpersonal competencies, promote reflective and adaptive practice, strengthen professional identity, and contribute to positive organisational culture and psychological safety. Strategic implementation, underpinned by best practice principles, ensures that these interventions deliver sustainable benefits, including improved patient outcomes, staff wellbeing, and organisational performance. As healthcare continues to evolve in complexity and demand, coaching and mentoring will remain essential tools for building resilient, capable, and adaptive healthcare systems, ensuring that practitioners are equipped to meet the challenges of modern patient care while fostering a culture of continuous improvement and professional excellence.</w:t>
      </w:r>
    </w:p>
    <w:p w14:paraId="38C4DF98" w14:textId="77777777" w:rsidR="00492A63" w:rsidRPr="00DF6803" w:rsidRDefault="00492A63" w:rsidP="00DF6803">
      <w:pPr>
        <w:spacing w:after="30" w:line="360" w:lineRule="auto"/>
        <w:rPr>
          <w:sz w:val="24"/>
          <w:szCs w:val="24"/>
        </w:rPr>
      </w:pPr>
    </w:p>
    <w:p w14:paraId="197991CB" w14:textId="77777777" w:rsidR="00F763AF" w:rsidRDefault="00F763AF" w:rsidP="00DF6803">
      <w:pPr>
        <w:spacing w:after="30" w:line="360" w:lineRule="auto"/>
        <w:rPr>
          <w:sz w:val="24"/>
          <w:szCs w:val="24"/>
        </w:rPr>
      </w:pPr>
    </w:p>
    <w:p w14:paraId="51BC62A7" w14:textId="57511887" w:rsidR="00F763AF" w:rsidRPr="00F763AF" w:rsidRDefault="00F763AF" w:rsidP="00DF6803">
      <w:pPr>
        <w:spacing w:after="30" w:line="360" w:lineRule="auto"/>
        <w:rPr>
          <w:b/>
          <w:bCs/>
          <w:sz w:val="24"/>
          <w:szCs w:val="24"/>
          <w:u w:val="single"/>
        </w:rPr>
      </w:pPr>
      <w:r>
        <w:rPr>
          <w:b/>
          <w:bCs/>
          <w:sz w:val="24"/>
          <w:szCs w:val="24"/>
          <w:u w:val="single"/>
        </w:rPr>
        <w:lastRenderedPageBreak/>
        <w:t>Reference List.</w:t>
      </w:r>
    </w:p>
    <w:p w14:paraId="2E0475A4" w14:textId="77777777" w:rsidR="00FD004D" w:rsidRPr="00492A63" w:rsidRDefault="00FD004D" w:rsidP="00DF6803">
      <w:pPr>
        <w:spacing w:after="30" w:line="360" w:lineRule="auto"/>
        <w:rPr>
          <w:sz w:val="24"/>
          <w:szCs w:val="24"/>
        </w:rPr>
      </w:pPr>
      <w:r w:rsidRPr="00492A63">
        <w:rPr>
          <w:sz w:val="24"/>
          <w:szCs w:val="24"/>
        </w:rPr>
        <w:t xml:space="preserve">Bandura, A. (1977) </w:t>
      </w:r>
      <w:r w:rsidRPr="00492A63">
        <w:rPr>
          <w:i/>
          <w:iCs/>
          <w:sz w:val="24"/>
          <w:szCs w:val="24"/>
        </w:rPr>
        <w:t>Social Learning Theory</w:t>
      </w:r>
      <w:r w:rsidRPr="00492A63">
        <w:rPr>
          <w:sz w:val="24"/>
          <w:szCs w:val="24"/>
        </w:rPr>
        <w:t>. Englewood Cliffs, NJ: Prentice Hall.</w:t>
      </w:r>
    </w:p>
    <w:p w14:paraId="688C22A9" w14:textId="77777777" w:rsidR="00FD004D" w:rsidRDefault="00FD004D" w:rsidP="00DF6803">
      <w:pPr>
        <w:spacing w:after="30" w:line="360" w:lineRule="auto"/>
        <w:rPr>
          <w:sz w:val="24"/>
          <w:szCs w:val="24"/>
        </w:rPr>
      </w:pPr>
    </w:p>
    <w:p w14:paraId="7C21E50C" w14:textId="44E03633" w:rsidR="00FD004D" w:rsidRPr="00492A63" w:rsidRDefault="00FD004D" w:rsidP="00DF6803">
      <w:pPr>
        <w:spacing w:after="30" w:line="360" w:lineRule="auto"/>
        <w:rPr>
          <w:sz w:val="24"/>
          <w:szCs w:val="24"/>
        </w:rPr>
      </w:pPr>
      <w:r w:rsidRPr="00492A63">
        <w:rPr>
          <w:sz w:val="24"/>
          <w:szCs w:val="24"/>
        </w:rPr>
        <w:t xml:space="preserve">Boud, D., Keogh, R. and Walker, D. (1985) </w:t>
      </w:r>
      <w:r w:rsidRPr="00492A63">
        <w:rPr>
          <w:i/>
          <w:iCs/>
          <w:sz w:val="24"/>
          <w:szCs w:val="24"/>
        </w:rPr>
        <w:t>Reflection: Turning Experience into Learning</w:t>
      </w:r>
      <w:r w:rsidRPr="00492A63">
        <w:rPr>
          <w:sz w:val="24"/>
          <w:szCs w:val="24"/>
        </w:rPr>
        <w:t>. London: Kogan Page.</w:t>
      </w:r>
    </w:p>
    <w:p w14:paraId="0DBCC3B6" w14:textId="77777777" w:rsidR="00FD004D" w:rsidRDefault="00FD004D" w:rsidP="00DF6803">
      <w:pPr>
        <w:spacing w:after="30" w:line="360" w:lineRule="auto"/>
        <w:rPr>
          <w:sz w:val="24"/>
          <w:szCs w:val="24"/>
        </w:rPr>
      </w:pPr>
    </w:p>
    <w:p w14:paraId="3B5D00B6" w14:textId="631A946B" w:rsidR="00FD004D" w:rsidRPr="00492A63" w:rsidRDefault="00FD004D" w:rsidP="00DF6803">
      <w:pPr>
        <w:spacing w:after="30" w:line="360" w:lineRule="auto"/>
        <w:rPr>
          <w:sz w:val="24"/>
          <w:szCs w:val="24"/>
        </w:rPr>
      </w:pPr>
      <w:r w:rsidRPr="00492A63">
        <w:rPr>
          <w:sz w:val="24"/>
          <w:szCs w:val="24"/>
        </w:rPr>
        <w:t xml:space="preserve">Cherniss, C. (2010) ‘Emotional intelligence: Toward clarification of a concept’, </w:t>
      </w:r>
      <w:r w:rsidRPr="00492A63">
        <w:rPr>
          <w:i/>
          <w:iCs/>
          <w:sz w:val="24"/>
          <w:szCs w:val="24"/>
        </w:rPr>
        <w:t>Industrial and Organizational Psychology</w:t>
      </w:r>
      <w:r w:rsidRPr="00492A63">
        <w:rPr>
          <w:sz w:val="24"/>
          <w:szCs w:val="24"/>
        </w:rPr>
        <w:t>, 3(2), pp. 110–126.</w:t>
      </w:r>
      <w:r>
        <w:rPr>
          <w:sz w:val="24"/>
          <w:szCs w:val="24"/>
        </w:rPr>
        <w:t xml:space="preserve"> Available at: </w:t>
      </w:r>
      <w:hyperlink r:id="rId9" w:history="1">
        <w:r w:rsidRPr="00CA43C2">
          <w:rPr>
            <w:rStyle w:val="Hyperlink"/>
            <w:sz w:val="24"/>
            <w:szCs w:val="24"/>
          </w:rPr>
          <w:t>https://psycnet.apa.org/doi/10.1111/j.1754-9434.2010.01231.x</w:t>
        </w:r>
      </w:hyperlink>
      <w:r>
        <w:rPr>
          <w:sz w:val="24"/>
          <w:szCs w:val="24"/>
        </w:rPr>
        <w:t>. Accessed on: 12</w:t>
      </w:r>
      <w:r w:rsidRPr="0097096B">
        <w:rPr>
          <w:sz w:val="24"/>
          <w:szCs w:val="24"/>
          <w:vertAlign w:val="superscript"/>
        </w:rPr>
        <w:t>th</w:t>
      </w:r>
      <w:r>
        <w:rPr>
          <w:sz w:val="24"/>
          <w:szCs w:val="24"/>
        </w:rPr>
        <w:t xml:space="preserve"> November 2025.</w:t>
      </w:r>
    </w:p>
    <w:p w14:paraId="0A43E376" w14:textId="77777777" w:rsidR="00FD004D" w:rsidRDefault="00FD004D" w:rsidP="00DF6803">
      <w:pPr>
        <w:spacing w:after="30" w:line="360" w:lineRule="auto"/>
        <w:rPr>
          <w:sz w:val="24"/>
          <w:szCs w:val="24"/>
        </w:rPr>
      </w:pPr>
    </w:p>
    <w:p w14:paraId="79F109A0" w14:textId="1DACD3BE" w:rsidR="00FD004D" w:rsidRPr="00492A63" w:rsidRDefault="00FD004D" w:rsidP="00DF6803">
      <w:pPr>
        <w:spacing w:after="30" w:line="360" w:lineRule="auto"/>
        <w:rPr>
          <w:sz w:val="24"/>
          <w:szCs w:val="24"/>
        </w:rPr>
      </w:pPr>
      <w:r w:rsidRPr="00492A63">
        <w:rPr>
          <w:sz w:val="24"/>
          <w:szCs w:val="24"/>
        </w:rPr>
        <w:t xml:space="preserve">Clutterbuck, D. (2014) </w:t>
      </w:r>
      <w:r w:rsidRPr="00492A63">
        <w:rPr>
          <w:i/>
          <w:iCs/>
          <w:sz w:val="24"/>
          <w:szCs w:val="24"/>
        </w:rPr>
        <w:t>Everyone Needs a Mentor: Fostering Talent in Your Organisation</w:t>
      </w:r>
      <w:r w:rsidRPr="00492A63">
        <w:rPr>
          <w:sz w:val="24"/>
          <w:szCs w:val="24"/>
        </w:rPr>
        <w:t xml:space="preserve">. 5th </w:t>
      </w:r>
      <w:proofErr w:type="spellStart"/>
      <w:r w:rsidRPr="00492A63">
        <w:rPr>
          <w:sz w:val="24"/>
          <w:szCs w:val="24"/>
        </w:rPr>
        <w:t>edn</w:t>
      </w:r>
      <w:proofErr w:type="spellEnd"/>
      <w:r w:rsidRPr="00492A63">
        <w:rPr>
          <w:sz w:val="24"/>
          <w:szCs w:val="24"/>
        </w:rPr>
        <w:t>. London: Chartered Institute of Personnel and Development.</w:t>
      </w:r>
    </w:p>
    <w:p w14:paraId="05513717" w14:textId="77777777" w:rsidR="00FD004D" w:rsidRDefault="00FD004D" w:rsidP="00DF6803">
      <w:pPr>
        <w:spacing w:after="30" w:line="360" w:lineRule="auto"/>
        <w:rPr>
          <w:sz w:val="24"/>
          <w:szCs w:val="24"/>
        </w:rPr>
      </w:pPr>
    </w:p>
    <w:p w14:paraId="2F0B3237" w14:textId="6979EBA0" w:rsidR="00FD004D" w:rsidRPr="00492A63" w:rsidRDefault="00FD004D" w:rsidP="00DF6803">
      <w:pPr>
        <w:spacing w:after="30" w:line="360" w:lineRule="auto"/>
        <w:rPr>
          <w:sz w:val="24"/>
          <w:szCs w:val="24"/>
        </w:rPr>
      </w:pPr>
      <w:r w:rsidRPr="00492A63">
        <w:rPr>
          <w:sz w:val="24"/>
          <w:szCs w:val="24"/>
        </w:rPr>
        <w:t xml:space="preserve">Deci, E.L. and Ryan, R.M. (2000) ‘Self-determination theory and the facilitation of intrinsic motivation, social development, and well-being’, </w:t>
      </w:r>
      <w:r w:rsidRPr="00492A63">
        <w:rPr>
          <w:i/>
          <w:iCs/>
          <w:sz w:val="24"/>
          <w:szCs w:val="24"/>
        </w:rPr>
        <w:t>American Psychologist</w:t>
      </w:r>
      <w:r w:rsidRPr="00492A63">
        <w:rPr>
          <w:sz w:val="24"/>
          <w:szCs w:val="24"/>
        </w:rPr>
        <w:t>, 55(1), pp. 68–78.</w:t>
      </w:r>
      <w:r>
        <w:rPr>
          <w:sz w:val="24"/>
          <w:szCs w:val="24"/>
        </w:rPr>
        <w:t xml:space="preserve"> Available at: </w:t>
      </w:r>
      <w:hyperlink r:id="rId10" w:history="1">
        <w:r w:rsidRPr="00066F67">
          <w:rPr>
            <w:rStyle w:val="Hyperlink"/>
            <w:sz w:val="24"/>
            <w:szCs w:val="24"/>
          </w:rPr>
          <w:t>0080.tif</w:t>
        </w:r>
      </w:hyperlink>
      <w:r>
        <w:rPr>
          <w:sz w:val="24"/>
          <w:szCs w:val="24"/>
        </w:rPr>
        <w:t>. accessed on 12</w:t>
      </w:r>
      <w:r w:rsidRPr="00066F67">
        <w:rPr>
          <w:sz w:val="24"/>
          <w:szCs w:val="24"/>
          <w:vertAlign w:val="superscript"/>
        </w:rPr>
        <w:t>th</w:t>
      </w:r>
      <w:r>
        <w:rPr>
          <w:sz w:val="24"/>
          <w:szCs w:val="24"/>
        </w:rPr>
        <w:t xml:space="preserve"> November 2025.</w:t>
      </w:r>
    </w:p>
    <w:p w14:paraId="7F9FABCA" w14:textId="77777777" w:rsidR="00FD004D" w:rsidRDefault="00FD004D" w:rsidP="00DF6803">
      <w:pPr>
        <w:spacing w:after="30" w:line="360" w:lineRule="auto"/>
        <w:rPr>
          <w:sz w:val="24"/>
          <w:szCs w:val="24"/>
        </w:rPr>
      </w:pPr>
    </w:p>
    <w:p w14:paraId="5B9241D1" w14:textId="17BB184B" w:rsidR="00FD004D" w:rsidRPr="00492A63" w:rsidRDefault="00FD004D" w:rsidP="00DF6803">
      <w:pPr>
        <w:spacing w:after="30" w:line="360" w:lineRule="auto"/>
        <w:rPr>
          <w:sz w:val="24"/>
          <w:szCs w:val="24"/>
        </w:rPr>
      </w:pPr>
      <w:r w:rsidRPr="00492A63">
        <w:rPr>
          <w:sz w:val="24"/>
          <w:szCs w:val="24"/>
        </w:rPr>
        <w:t xml:space="preserve">Duchscher, J.B. (2009) ‘Transition shock: The initial stage of role adaptation for newly graduated registered nurses’, </w:t>
      </w:r>
      <w:r w:rsidRPr="00492A63">
        <w:rPr>
          <w:i/>
          <w:iCs/>
          <w:sz w:val="24"/>
          <w:szCs w:val="24"/>
        </w:rPr>
        <w:t>Journal of Advanced Nursing</w:t>
      </w:r>
      <w:r w:rsidRPr="00492A63">
        <w:rPr>
          <w:sz w:val="24"/>
          <w:szCs w:val="24"/>
        </w:rPr>
        <w:t>, 65(5), pp. 1103–1113.</w:t>
      </w:r>
      <w:r>
        <w:rPr>
          <w:sz w:val="24"/>
          <w:szCs w:val="24"/>
        </w:rPr>
        <w:t xml:space="preserve"> Available at: </w:t>
      </w:r>
      <w:hyperlink r:id="rId11" w:history="1">
        <w:r w:rsidRPr="00CA43C2">
          <w:rPr>
            <w:rStyle w:val="Hyperlink"/>
            <w:sz w:val="24"/>
            <w:szCs w:val="24"/>
          </w:rPr>
          <w:t>https://doi.org/10.1111/j.1365-2648.2008.04898.x</w:t>
        </w:r>
      </w:hyperlink>
      <w:r>
        <w:rPr>
          <w:sz w:val="24"/>
          <w:szCs w:val="24"/>
        </w:rPr>
        <w:t>. Accessed on: 12</w:t>
      </w:r>
      <w:r w:rsidRPr="00066F67">
        <w:rPr>
          <w:sz w:val="24"/>
          <w:szCs w:val="24"/>
          <w:vertAlign w:val="superscript"/>
        </w:rPr>
        <w:t>th</w:t>
      </w:r>
      <w:r>
        <w:rPr>
          <w:sz w:val="24"/>
          <w:szCs w:val="24"/>
        </w:rPr>
        <w:t xml:space="preserve"> November 2025.</w:t>
      </w:r>
    </w:p>
    <w:p w14:paraId="120E90B9" w14:textId="77777777" w:rsidR="00FD004D" w:rsidRDefault="00FD004D" w:rsidP="00DF6803">
      <w:pPr>
        <w:spacing w:after="30" w:line="360" w:lineRule="auto"/>
        <w:rPr>
          <w:sz w:val="24"/>
          <w:szCs w:val="24"/>
        </w:rPr>
      </w:pPr>
    </w:p>
    <w:p w14:paraId="14F3E6F7" w14:textId="2B8E6D94" w:rsidR="00FD004D" w:rsidRDefault="00FD004D" w:rsidP="00DF6803">
      <w:pPr>
        <w:spacing w:after="30" w:line="360" w:lineRule="auto"/>
        <w:rPr>
          <w:sz w:val="24"/>
          <w:szCs w:val="24"/>
        </w:rPr>
      </w:pPr>
      <w:r w:rsidRPr="00066F67">
        <w:rPr>
          <w:sz w:val="24"/>
          <w:szCs w:val="24"/>
        </w:rPr>
        <w:t>Eby, L. T., Allen, T. D., Evans, S. C., Ng, T., &amp; Dubois, D. (2008). Does Mentoring Matter? A Multidisciplinary Meta-Analysis Comparing Mentored and Non-Mentored Individuals. </w:t>
      </w:r>
      <w:r w:rsidRPr="00066F67">
        <w:rPr>
          <w:i/>
          <w:iCs/>
          <w:sz w:val="24"/>
          <w:szCs w:val="24"/>
        </w:rPr>
        <w:t xml:space="preserve">Journal of vocational </w:t>
      </w:r>
      <w:proofErr w:type="spellStart"/>
      <w:r w:rsidRPr="00066F67">
        <w:rPr>
          <w:i/>
          <w:iCs/>
          <w:sz w:val="24"/>
          <w:szCs w:val="24"/>
        </w:rPr>
        <w:t>behavior</w:t>
      </w:r>
      <w:proofErr w:type="spellEnd"/>
      <w:r w:rsidRPr="00066F67">
        <w:rPr>
          <w:sz w:val="24"/>
          <w:szCs w:val="24"/>
        </w:rPr>
        <w:t>, </w:t>
      </w:r>
      <w:r w:rsidRPr="00066F67">
        <w:rPr>
          <w:i/>
          <w:iCs/>
          <w:sz w:val="24"/>
          <w:szCs w:val="24"/>
        </w:rPr>
        <w:t>72</w:t>
      </w:r>
      <w:r w:rsidRPr="00066F67">
        <w:rPr>
          <w:sz w:val="24"/>
          <w:szCs w:val="24"/>
        </w:rPr>
        <w:t xml:space="preserve">(2), 254–267. </w:t>
      </w:r>
      <w:hyperlink r:id="rId12" w:history="1">
        <w:r w:rsidRPr="00CA43C2">
          <w:rPr>
            <w:rStyle w:val="Hyperlink"/>
            <w:sz w:val="24"/>
            <w:szCs w:val="24"/>
          </w:rPr>
          <w:t>https://doi.org/10.1016/j.jvb.2007.04.005</w:t>
        </w:r>
      </w:hyperlink>
      <w:r>
        <w:rPr>
          <w:sz w:val="24"/>
          <w:szCs w:val="24"/>
        </w:rPr>
        <w:t>. Accessed on: 11</w:t>
      </w:r>
      <w:r w:rsidRPr="00066F67">
        <w:rPr>
          <w:sz w:val="24"/>
          <w:szCs w:val="24"/>
          <w:vertAlign w:val="superscript"/>
        </w:rPr>
        <w:t>th</w:t>
      </w:r>
      <w:r>
        <w:rPr>
          <w:sz w:val="24"/>
          <w:szCs w:val="24"/>
        </w:rPr>
        <w:t xml:space="preserve"> November 2025.</w:t>
      </w:r>
    </w:p>
    <w:p w14:paraId="583864C0" w14:textId="77777777" w:rsidR="00FD004D" w:rsidRDefault="00FD004D" w:rsidP="00DF6803">
      <w:pPr>
        <w:spacing w:after="30" w:line="360" w:lineRule="auto"/>
        <w:rPr>
          <w:sz w:val="24"/>
          <w:szCs w:val="24"/>
        </w:rPr>
      </w:pPr>
    </w:p>
    <w:p w14:paraId="6BF044C1" w14:textId="53D2C766" w:rsidR="00FD004D" w:rsidRPr="00492A63" w:rsidRDefault="00FD004D" w:rsidP="00DF6803">
      <w:pPr>
        <w:spacing w:after="30" w:line="360" w:lineRule="auto"/>
        <w:rPr>
          <w:sz w:val="24"/>
          <w:szCs w:val="24"/>
        </w:rPr>
      </w:pPr>
      <w:r w:rsidRPr="00492A63">
        <w:rPr>
          <w:sz w:val="24"/>
          <w:szCs w:val="24"/>
        </w:rPr>
        <w:t xml:space="preserve">Edmondson, A.C. (1999) ‘Psychological safety and learning </w:t>
      </w:r>
      <w:proofErr w:type="spellStart"/>
      <w:r w:rsidRPr="00492A63">
        <w:rPr>
          <w:sz w:val="24"/>
          <w:szCs w:val="24"/>
        </w:rPr>
        <w:t>behavior</w:t>
      </w:r>
      <w:proofErr w:type="spellEnd"/>
      <w:r w:rsidRPr="00492A63">
        <w:rPr>
          <w:sz w:val="24"/>
          <w:szCs w:val="24"/>
        </w:rPr>
        <w:t xml:space="preserve"> in work teams’, </w:t>
      </w:r>
      <w:r w:rsidRPr="00492A63">
        <w:rPr>
          <w:i/>
          <w:iCs/>
          <w:sz w:val="24"/>
          <w:szCs w:val="24"/>
        </w:rPr>
        <w:t>Administrative Science Quarterly</w:t>
      </w:r>
      <w:r w:rsidRPr="00492A63">
        <w:rPr>
          <w:sz w:val="24"/>
          <w:szCs w:val="24"/>
        </w:rPr>
        <w:t>, 44(2), pp. 350–383.</w:t>
      </w:r>
      <w:r>
        <w:rPr>
          <w:sz w:val="24"/>
          <w:szCs w:val="24"/>
        </w:rPr>
        <w:t xml:space="preserve"> Available at: </w:t>
      </w:r>
      <w:hyperlink r:id="rId13" w:history="1">
        <w:r w:rsidRPr="00CA43C2">
          <w:rPr>
            <w:rStyle w:val="Hyperlink"/>
            <w:sz w:val="24"/>
            <w:szCs w:val="24"/>
          </w:rPr>
          <w:t>https://doi.org/10.2307/2666999</w:t>
        </w:r>
      </w:hyperlink>
      <w:r>
        <w:rPr>
          <w:sz w:val="24"/>
          <w:szCs w:val="24"/>
        </w:rPr>
        <w:t>. Accessed on: 11</w:t>
      </w:r>
      <w:r w:rsidRPr="00066F67">
        <w:rPr>
          <w:sz w:val="24"/>
          <w:szCs w:val="24"/>
          <w:vertAlign w:val="superscript"/>
        </w:rPr>
        <w:t>th</w:t>
      </w:r>
      <w:r>
        <w:rPr>
          <w:sz w:val="24"/>
          <w:szCs w:val="24"/>
        </w:rPr>
        <w:t xml:space="preserve"> November 2025</w:t>
      </w:r>
    </w:p>
    <w:p w14:paraId="7B8A94B3" w14:textId="77777777" w:rsidR="00FD004D" w:rsidRPr="00492A63" w:rsidRDefault="00FD004D" w:rsidP="00DF6803">
      <w:pPr>
        <w:spacing w:after="30" w:line="360" w:lineRule="auto"/>
        <w:rPr>
          <w:sz w:val="24"/>
          <w:szCs w:val="24"/>
        </w:rPr>
      </w:pPr>
      <w:r w:rsidRPr="00492A63">
        <w:rPr>
          <w:sz w:val="24"/>
          <w:szCs w:val="24"/>
        </w:rPr>
        <w:lastRenderedPageBreak/>
        <w:t xml:space="preserve">Elliott, R., Fischer, C.T. and Rennie, D.L. (1999) ‘Evolving guidelines for publication of qualitative research studies in psychology and related fields’, </w:t>
      </w:r>
      <w:r w:rsidRPr="00492A63">
        <w:rPr>
          <w:i/>
          <w:iCs/>
          <w:sz w:val="24"/>
          <w:szCs w:val="24"/>
        </w:rPr>
        <w:t>British Journal of Clinical Psychology</w:t>
      </w:r>
      <w:r w:rsidRPr="00492A63">
        <w:rPr>
          <w:sz w:val="24"/>
          <w:szCs w:val="24"/>
        </w:rPr>
        <w:t>, 38(3), pp. 215–229.</w:t>
      </w:r>
      <w:r>
        <w:rPr>
          <w:sz w:val="24"/>
          <w:szCs w:val="24"/>
        </w:rPr>
        <w:t xml:space="preserve"> Available at: </w:t>
      </w:r>
      <w:r w:rsidRPr="00092363">
        <w:rPr>
          <w:sz w:val="24"/>
          <w:szCs w:val="24"/>
        </w:rPr>
        <w:t>https://doi.org/10.1348/014466599162782</w:t>
      </w:r>
      <w:r>
        <w:rPr>
          <w:sz w:val="24"/>
          <w:szCs w:val="24"/>
        </w:rPr>
        <w:t>. Accessed on: 11</w:t>
      </w:r>
      <w:r w:rsidRPr="00A50EA4">
        <w:rPr>
          <w:sz w:val="24"/>
          <w:szCs w:val="24"/>
          <w:vertAlign w:val="superscript"/>
        </w:rPr>
        <w:t>th</w:t>
      </w:r>
      <w:r>
        <w:rPr>
          <w:sz w:val="24"/>
          <w:szCs w:val="24"/>
        </w:rPr>
        <w:t xml:space="preserve"> November 2025.</w:t>
      </w:r>
    </w:p>
    <w:p w14:paraId="2C917004" w14:textId="77777777" w:rsidR="00FD004D" w:rsidRDefault="00FD004D" w:rsidP="00DF6803">
      <w:pPr>
        <w:spacing w:after="30" w:line="360" w:lineRule="auto"/>
        <w:rPr>
          <w:sz w:val="24"/>
          <w:szCs w:val="24"/>
        </w:rPr>
      </w:pPr>
    </w:p>
    <w:p w14:paraId="0E778926" w14:textId="067E0BA5" w:rsidR="00FD004D" w:rsidRPr="00492A63" w:rsidRDefault="00FD004D" w:rsidP="00DF6803">
      <w:pPr>
        <w:spacing w:after="30" w:line="360" w:lineRule="auto"/>
        <w:rPr>
          <w:sz w:val="24"/>
          <w:szCs w:val="24"/>
        </w:rPr>
      </w:pPr>
      <w:r w:rsidRPr="00492A63">
        <w:rPr>
          <w:sz w:val="24"/>
          <w:szCs w:val="24"/>
        </w:rPr>
        <w:t xml:space="preserve">Eraut, M. (2004) ‘Informal learning in the workplace’, </w:t>
      </w:r>
      <w:r w:rsidRPr="00492A63">
        <w:rPr>
          <w:i/>
          <w:iCs/>
          <w:sz w:val="24"/>
          <w:szCs w:val="24"/>
        </w:rPr>
        <w:t>Studies in Continuing Education</w:t>
      </w:r>
      <w:r w:rsidRPr="00492A63">
        <w:rPr>
          <w:sz w:val="24"/>
          <w:szCs w:val="24"/>
        </w:rPr>
        <w:t>, 26(2), pp. 247–273.</w:t>
      </w:r>
      <w:r>
        <w:rPr>
          <w:sz w:val="24"/>
          <w:szCs w:val="24"/>
        </w:rPr>
        <w:t xml:space="preserve"> Available at: </w:t>
      </w:r>
      <w:hyperlink r:id="rId14" w:history="1">
        <w:r w:rsidRPr="00CA43C2">
          <w:rPr>
            <w:rStyle w:val="Hyperlink"/>
            <w:sz w:val="24"/>
            <w:szCs w:val="24"/>
          </w:rPr>
          <w:t>https://doi.org/10.1080/158037042000225245</w:t>
        </w:r>
      </w:hyperlink>
      <w:r>
        <w:rPr>
          <w:sz w:val="24"/>
          <w:szCs w:val="24"/>
        </w:rPr>
        <w:t>. Accessed on: 12</w:t>
      </w:r>
      <w:r w:rsidRPr="00066F67">
        <w:rPr>
          <w:sz w:val="24"/>
          <w:szCs w:val="24"/>
          <w:vertAlign w:val="superscript"/>
        </w:rPr>
        <w:t>th</w:t>
      </w:r>
      <w:r>
        <w:rPr>
          <w:sz w:val="24"/>
          <w:szCs w:val="24"/>
        </w:rPr>
        <w:t xml:space="preserve"> November 2025.</w:t>
      </w:r>
    </w:p>
    <w:p w14:paraId="591686A3" w14:textId="77777777" w:rsidR="00FD004D" w:rsidRDefault="00FD004D" w:rsidP="00DF6803">
      <w:pPr>
        <w:spacing w:after="30" w:line="360" w:lineRule="auto"/>
        <w:rPr>
          <w:sz w:val="24"/>
          <w:szCs w:val="24"/>
        </w:rPr>
      </w:pPr>
    </w:p>
    <w:p w14:paraId="1AD51C7F" w14:textId="62831055" w:rsidR="00FD004D" w:rsidRPr="00492A63" w:rsidRDefault="00FD004D" w:rsidP="00DF6803">
      <w:pPr>
        <w:spacing w:after="30" w:line="360" w:lineRule="auto"/>
        <w:rPr>
          <w:sz w:val="24"/>
          <w:szCs w:val="24"/>
        </w:rPr>
      </w:pPr>
      <w:r w:rsidRPr="00492A63">
        <w:rPr>
          <w:sz w:val="24"/>
          <w:szCs w:val="24"/>
        </w:rPr>
        <w:t xml:space="preserve">Garvey, B. (2017) </w:t>
      </w:r>
      <w:r w:rsidRPr="00492A63">
        <w:rPr>
          <w:i/>
          <w:iCs/>
          <w:sz w:val="24"/>
          <w:szCs w:val="24"/>
        </w:rPr>
        <w:t>Coaching, Mentoring and Supervision in Healthcare</w:t>
      </w:r>
      <w:r w:rsidRPr="00492A63">
        <w:rPr>
          <w:sz w:val="24"/>
          <w:szCs w:val="24"/>
        </w:rPr>
        <w:t>. London: SAGE Publications.</w:t>
      </w:r>
    </w:p>
    <w:p w14:paraId="0EB540C5" w14:textId="77777777" w:rsidR="00FD004D" w:rsidRDefault="00FD004D" w:rsidP="00DF6803">
      <w:pPr>
        <w:spacing w:after="30" w:line="360" w:lineRule="auto"/>
        <w:rPr>
          <w:sz w:val="24"/>
          <w:szCs w:val="24"/>
        </w:rPr>
      </w:pPr>
    </w:p>
    <w:p w14:paraId="7CB2F59F" w14:textId="5037FB6C" w:rsidR="00FD004D" w:rsidRPr="00492A63" w:rsidRDefault="00FD004D" w:rsidP="00DF6803">
      <w:pPr>
        <w:spacing w:after="30" w:line="360" w:lineRule="auto"/>
        <w:rPr>
          <w:sz w:val="24"/>
          <w:szCs w:val="24"/>
        </w:rPr>
      </w:pPr>
      <w:r w:rsidRPr="00492A63">
        <w:rPr>
          <w:sz w:val="24"/>
          <w:szCs w:val="24"/>
        </w:rPr>
        <w:t xml:space="preserve">Gibbs, G. (1988) </w:t>
      </w:r>
      <w:r w:rsidRPr="00492A63">
        <w:rPr>
          <w:i/>
          <w:iCs/>
          <w:sz w:val="24"/>
          <w:szCs w:val="24"/>
        </w:rPr>
        <w:t>Learning by Doing: A Guide to Teaching and Learning Methods</w:t>
      </w:r>
      <w:r w:rsidRPr="00492A63">
        <w:rPr>
          <w:sz w:val="24"/>
          <w:szCs w:val="24"/>
        </w:rPr>
        <w:t>. Oxford: Oxford Polytechnic.</w:t>
      </w:r>
    </w:p>
    <w:p w14:paraId="5998961C" w14:textId="77777777" w:rsidR="00FD004D" w:rsidRDefault="00FD004D" w:rsidP="00DF6803">
      <w:pPr>
        <w:spacing w:after="30" w:line="360" w:lineRule="auto"/>
        <w:rPr>
          <w:sz w:val="24"/>
          <w:szCs w:val="24"/>
        </w:rPr>
      </w:pPr>
    </w:p>
    <w:p w14:paraId="7885CB85" w14:textId="5A827392" w:rsidR="00FD004D" w:rsidRPr="00492A63" w:rsidRDefault="00FD004D" w:rsidP="00DF6803">
      <w:pPr>
        <w:spacing w:after="30" w:line="360" w:lineRule="auto"/>
        <w:rPr>
          <w:sz w:val="24"/>
          <w:szCs w:val="24"/>
        </w:rPr>
      </w:pPr>
      <w:r w:rsidRPr="00492A63">
        <w:rPr>
          <w:sz w:val="24"/>
          <w:szCs w:val="24"/>
        </w:rPr>
        <w:t xml:space="preserve">Goleman, D. (1998) </w:t>
      </w:r>
      <w:r w:rsidRPr="00492A63">
        <w:rPr>
          <w:i/>
          <w:iCs/>
          <w:sz w:val="24"/>
          <w:szCs w:val="24"/>
        </w:rPr>
        <w:t>Working with Emotional Intelligence</w:t>
      </w:r>
      <w:r w:rsidRPr="00492A63">
        <w:rPr>
          <w:sz w:val="24"/>
          <w:szCs w:val="24"/>
        </w:rPr>
        <w:t>. New York: Bantam Books.</w:t>
      </w:r>
    </w:p>
    <w:p w14:paraId="60985203" w14:textId="77777777" w:rsidR="00FD004D" w:rsidRDefault="00FD004D" w:rsidP="00DF6803">
      <w:pPr>
        <w:spacing w:after="30" w:line="360" w:lineRule="auto"/>
        <w:rPr>
          <w:sz w:val="24"/>
          <w:szCs w:val="24"/>
        </w:rPr>
      </w:pPr>
    </w:p>
    <w:p w14:paraId="3FDDA9C6" w14:textId="4DC3837E" w:rsidR="00FD004D" w:rsidRPr="00492A63" w:rsidRDefault="00FD004D" w:rsidP="00DF6803">
      <w:pPr>
        <w:spacing w:after="30" w:line="360" w:lineRule="auto"/>
        <w:rPr>
          <w:sz w:val="24"/>
          <w:szCs w:val="24"/>
        </w:rPr>
      </w:pPr>
      <w:r w:rsidRPr="00492A63">
        <w:rPr>
          <w:sz w:val="24"/>
          <w:szCs w:val="24"/>
        </w:rPr>
        <w:t xml:space="preserve">Grant, A.M. (2017) ‘Coaching as evidence-based practice: The view through a translational research lens’, </w:t>
      </w:r>
      <w:r w:rsidRPr="00492A63">
        <w:rPr>
          <w:i/>
          <w:iCs/>
          <w:sz w:val="24"/>
          <w:szCs w:val="24"/>
        </w:rPr>
        <w:t>Coaching: An International Journal of Theory, Research and Practice</w:t>
      </w:r>
      <w:r w:rsidRPr="00492A63">
        <w:rPr>
          <w:sz w:val="24"/>
          <w:szCs w:val="24"/>
        </w:rPr>
        <w:t>, 10(1), pp. 6–23.</w:t>
      </w:r>
      <w:r>
        <w:rPr>
          <w:sz w:val="24"/>
          <w:szCs w:val="24"/>
        </w:rPr>
        <w:t xml:space="preserve"> Available at: </w:t>
      </w:r>
      <w:hyperlink r:id="rId15" w:history="1">
        <w:r w:rsidRPr="00CA43C2">
          <w:rPr>
            <w:rStyle w:val="Hyperlink"/>
            <w:sz w:val="24"/>
            <w:szCs w:val="24"/>
          </w:rPr>
          <w:t>https://doi.org/10.53841/bpstcp.2019.15.1.3</w:t>
        </w:r>
      </w:hyperlink>
      <w:r>
        <w:rPr>
          <w:sz w:val="24"/>
          <w:szCs w:val="24"/>
        </w:rPr>
        <w:t>. Accessed on: 12</w:t>
      </w:r>
      <w:r w:rsidRPr="0097096B">
        <w:rPr>
          <w:sz w:val="24"/>
          <w:szCs w:val="24"/>
          <w:vertAlign w:val="superscript"/>
        </w:rPr>
        <w:t>th</w:t>
      </w:r>
      <w:r>
        <w:rPr>
          <w:sz w:val="24"/>
          <w:szCs w:val="24"/>
        </w:rPr>
        <w:t xml:space="preserve"> November 2025.</w:t>
      </w:r>
    </w:p>
    <w:p w14:paraId="645B0404" w14:textId="77777777" w:rsidR="00FD004D" w:rsidRDefault="00FD004D" w:rsidP="00DF6803">
      <w:pPr>
        <w:spacing w:after="30" w:line="360" w:lineRule="auto"/>
        <w:rPr>
          <w:sz w:val="24"/>
          <w:szCs w:val="24"/>
        </w:rPr>
      </w:pPr>
    </w:p>
    <w:p w14:paraId="35C6DF88" w14:textId="4E8F23BE" w:rsidR="00FD004D" w:rsidRPr="00492A63" w:rsidRDefault="00FD004D" w:rsidP="00DF6803">
      <w:pPr>
        <w:spacing w:after="30" w:line="360" w:lineRule="auto"/>
        <w:rPr>
          <w:sz w:val="24"/>
          <w:szCs w:val="24"/>
        </w:rPr>
      </w:pPr>
      <w:r w:rsidRPr="00492A63">
        <w:rPr>
          <w:sz w:val="24"/>
          <w:szCs w:val="24"/>
        </w:rPr>
        <w:t xml:space="preserve">Grant, A.M. and Cavanagh, M.J. (2007) ‘The goal-focused coaching skills questionnaire: Preliminary findings’, </w:t>
      </w:r>
      <w:r w:rsidRPr="00492A63">
        <w:rPr>
          <w:i/>
          <w:iCs/>
          <w:sz w:val="24"/>
          <w:szCs w:val="24"/>
        </w:rPr>
        <w:t xml:space="preserve">Social </w:t>
      </w:r>
      <w:proofErr w:type="spellStart"/>
      <w:r w:rsidRPr="00492A63">
        <w:rPr>
          <w:i/>
          <w:iCs/>
          <w:sz w:val="24"/>
          <w:szCs w:val="24"/>
        </w:rPr>
        <w:t>Behavior</w:t>
      </w:r>
      <w:proofErr w:type="spellEnd"/>
      <w:r w:rsidRPr="00492A63">
        <w:rPr>
          <w:i/>
          <w:iCs/>
          <w:sz w:val="24"/>
          <w:szCs w:val="24"/>
        </w:rPr>
        <w:t xml:space="preserve"> and Personality</w:t>
      </w:r>
      <w:r w:rsidRPr="00492A63">
        <w:rPr>
          <w:sz w:val="24"/>
          <w:szCs w:val="24"/>
        </w:rPr>
        <w:t>, 35(6), pp. 751–760.</w:t>
      </w:r>
      <w:r>
        <w:rPr>
          <w:sz w:val="24"/>
          <w:szCs w:val="24"/>
        </w:rPr>
        <w:t xml:space="preserve"> Available at: </w:t>
      </w:r>
      <w:r w:rsidRPr="00A50EA4">
        <w:rPr>
          <w:sz w:val="24"/>
          <w:szCs w:val="24"/>
        </w:rPr>
        <w:t>https://psycnet.apa.org/doi/10.2224/sbp.2007.35.6.751</w:t>
      </w:r>
      <w:r>
        <w:rPr>
          <w:sz w:val="24"/>
          <w:szCs w:val="24"/>
        </w:rPr>
        <w:t>. Accessed on: 11</w:t>
      </w:r>
      <w:r w:rsidRPr="00A50EA4">
        <w:rPr>
          <w:sz w:val="24"/>
          <w:szCs w:val="24"/>
          <w:vertAlign w:val="superscript"/>
        </w:rPr>
        <w:t>th</w:t>
      </w:r>
      <w:r>
        <w:rPr>
          <w:sz w:val="24"/>
          <w:szCs w:val="24"/>
        </w:rPr>
        <w:t xml:space="preserve"> November 2025.</w:t>
      </w:r>
    </w:p>
    <w:p w14:paraId="6B0630EB" w14:textId="77777777" w:rsidR="00FD004D" w:rsidRDefault="00FD004D" w:rsidP="00DF6803">
      <w:pPr>
        <w:spacing w:after="30" w:line="360" w:lineRule="auto"/>
        <w:rPr>
          <w:sz w:val="24"/>
          <w:szCs w:val="24"/>
        </w:rPr>
      </w:pPr>
    </w:p>
    <w:p w14:paraId="297A2CA4" w14:textId="12B5FF0C" w:rsidR="00FD004D" w:rsidRPr="00492A63" w:rsidRDefault="00FD004D" w:rsidP="00DF6803">
      <w:pPr>
        <w:spacing w:after="30" w:line="360" w:lineRule="auto"/>
        <w:rPr>
          <w:sz w:val="24"/>
          <w:szCs w:val="24"/>
        </w:rPr>
      </w:pPr>
      <w:r w:rsidRPr="00492A63">
        <w:rPr>
          <w:sz w:val="24"/>
          <w:szCs w:val="24"/>
        </w:rPr>
        <w:t xml:space="preserve">Health Education England (2019) </w:t>
      </w:r>
      <w:r w:rsidRPr="00492A63">
        <w:rPr>
          <w:i/>
          <w:iCs/>
          <w:sz w:val="24"/>
          <w:szCs w:val="24"/>
        </w:rPr>
        <w:t>Coaching and Mentoring: Strategic Framework</w:t>
      </w:r>
      <w:r w:rsidRPr="00492A63">
        <w:rPr>
          <w:sz w:val="24"/>
          <w:szCs w:val="24"/>
        </w:rPr>
        <w:t>. London: NHS Health Education England.</w:t>
      </w:r>
    </w:p>
    <w:p w14:paraId="4F0F46F3" w14:textId="77777777" w:rsidR="00FD004D" w:rsidRDefault="00FD004D" w:rsidP="00DF6803">
      <w:pPr>
        <w:spacing w:after="30" w:line="360" w:lineRule="auto"/>
        <w:rPr>
          <w:sz w:val="24"/>
          <w:szCs w:val="24"/>
        </w:rPr>
      </w:pPr>
      <w:r w:rsidRPr="00092363">
        <w:rPr>
          <w:sz w:val="24"/>
          <w:szCs w:val="24"/>
        </w:rPr>
        <w:lastRenderedPageBreak/>
        <w:t>Hoover, J., Koon, A.D., Rosser, E.N. </w:t>
      </w:r>
      <w:r w:rsidRPr="00092363">
        <w:rPr>
          <w:i/>
          <w:iCs/>
          <w:sz w:val="24"/>
          <w:szCs w:val="24"/>
        </w:rPr>
        <w:t>et al.</w:t>
      </w:r>
      <w:r w:rsidRPr="00092363">
        <w:rPr>
          <w:sz w:val="24"/>
          <w:szCs w:val="24"/>
        </w:rPr>
        <w:t> Mentoring the working nurse: a scoping review. </w:t>
      </w:r>
      <w:r w:rsidRPr="00092363">
        <w:rPr>
          <w:i/>
          <w:iCs/>
          <w:sz w:val="24"/>
          <w:szCs w:val="24"/>
        </w:rPr>
        <w:t xml:space="preserve">Hum </w:t>
      </w:r>
      <w:proofErr w:type="spellStart"/>
      <w:r w:rsidRPr="00092363">
        <w:rPr>
          <w:i/>
          <w:iCs/>
          <w:sz w:val="24"/>
          <w:szCs w:val="24"/>
        </w:rPr>
        <w:t>Resour</w:t>
      </w:r>
      <w:proofErr w:type="spellEnd"/>
      <w:r w:rsidRPr="00092363">
        <w:rPr>
          <w:i/>
          <w:iCs/>
          <w:sz w:val="24"/>
          <w:szCs w:val="24"/>
        </w:rPr>
        <w:t xml:space="preserve"> Health</w:t>
      </w:r>
      <w:r w:rsidRPr="00092363">
        <w:rPr>
          <w:sz w:val="24"/>
          <w:szCs w:val="24"/>
        </w:rPr>
        <w:t> </w:t>
      </w:r>
      <w:r w:rsidRPr="00092363">
        <w:rPr>
          <w:b/>
          <w:bCs/>
          <w:sz w:val="24"/>
          <w:szCs w:val="24"/>
        </w:rPr>
        <w:t>18</w:t>
      </w:r>
      <w:r w:rsidRPr="00092363">
        <w:rPr>
          <w:sz w:val="24"/>
          <w:szCs w:val="24"/>
        </w:rPr>
        <w:t>, 52 (2020).</w:t>
      </w:r>
      <w:r>
        <w:rPr>
          <w:sz w:val="24"/>
          <w:szCs w:val="24"/>
        </w:rPr>
        <w:t xml:space="preserve"> Available at:</w:t>
      </w:r>
      <w:r w:rsidRPr="00092363">
        <w:rPr>
          <w:sz w:val="24"/>
          <w:szCs w:val="24"/>
        </w:rPr>
        <w:t xml:space="preserve"> </w:t>
      </w:r>
      <w:hyperlink r:id="rId16" w:history="1">
        <w:r w:rsidRPr="00CA43C2">
          <w:rPr>
            <w:rStyle w:val="Hyperlink"/>
            <w:sz w:val="24"/>
            <w:szCs w:val="24"/>
          </w:rPr>
          <w:t>https://doi.org/10.1186/s12960-020-00491-x</w:t>
        </w:r>
      </w:hyperlink>
      <w:r>
        <w:rPr>
          <w:sz w:val="24"/>
          <w:szCs w:val="24"/>
        </w:rPr>
        <w:t>. accessed on: 11</w:t>
      </w:r>
      <w:r w:rsidRPr="00092363">
        <w:rPr>
          <w:sz w:val="24"/>
          <w:szCs w:val="24"/>
          <w:vertAlign w:val="superscript"/>
        </w:rPr>
        <w:t>th</w:t>
      </w:r>
      <w:r>
        <w:rPr>
          <w:sz w:val="24"/>
          <w:szCs w:val="24"/>
        </w:rPr>
        <w:t xml:space="preserve"> November 2025.</w:t>
      </w:r>
    </w:p>
    <w:p w14:paraId="0CBDA87F" w14:textId="77777777" w:rsidR="00FD004D" w:rsidRDefault="00FD004D" w:rsidP="00DF6803">
      <w:pPr>
        <w:spacing w:after="30" w:line="360" w:lineRule="auto"/>
        <w:rPr>
          <w:sz w:val="24"/>
          <w:szCs w:val="24"/>
        </w:rPr>
      </w:pPr>
    </w:p>
    <w:p w14:paraId="1821BB09" w14:textId="678FA519" w:rsidR="00FD004D" w:rsidRPr="00492A63" w:rsidRDefault="00FD004D" w:rsidP="00DF6803">
      <w:pPr>
        <w:spacing w:after="30" w:line="360" w:lineRule="auto"/>
        <w:rPr>
          <w:sz w:val="24"/>
          <w:szCs w:val="24"/>
        </w:rPr>
      </w:pPr>
      <w:r w:rsidRPr="00492A63">
        <w:rPr>
          <w:sz w:val="24"/>
          <w:szCs w:val="24"/>
        </w:rPr>
        <w:t xml:space="preserve">Huybrecht, S., Loeckx, W., </w:t>
      </w:r>
      <w:proofErr w:type="spellStart"/>
      <w:r w:rsidRPr="00492A63">
        <w:rPr>
          <w:sz w:val="24"/>
          <w:szCs w:val="24"/>
        </w:rPr>
        <w:t>Quaeyhaegens</w:t>
      </w:r>
      <w:proofErr w:type="spellEnd"/>
      <w:r w:rsidRPr="00492A63">
        <w:rPr>
          <w:sz w:val="24"/>
          <w:szCs w:val="24"/>
        </w:rPr>
        <w:t xml:space="preserve">, Y., De Tobel, D. and Van Maele, G. (2011) ‘Mentoring in nursing education: Perceived characteristics of mentors and the consequences of mentorship’, </w:t>
      </w:r>
      <w:r w:rsidRPr="00492A63">
        <w:rPr>
          <w:i/>
          <w:iCs/>
          <w:sz w:val="24"/>
          <w:szCs w:val="24"/>
        </w:rPr>
        <w:t>Nurse Education Today</w:t>
      </w:r>
      <w:r w:rsidRPr="00492A63">
        <w:rPr>
          <w:sz w:val="24"/>
          <w:szCs w:val="24"/>
        </w:rPr>
        <w:t>, 31(3), pp. 274–278.</w:t>
      </w:r>
      <w:r>
        <w:rPr>
          <w:sz w:val="24"/>
          <w:szCs w:val="24"/>
        </w:rPr>
        <w:t xml:space="preserve"> Available at: </w:t>
      </w:r>
      <w:hyperlink r:id="rId17" w:history="1">
        <w:r w:rsidRPr="00CA43C2">
          <w:rPr>
            <w:rStyle w:val="Hyperlink"/>
            <w:sz w:val="24"/>
            <w:szCs w:val="24"/>
          </w:rPr>
          <w:t>https://doi.org/10.1016/j.nedt.2010.10.022</w:t>
        </w:r>
      </w:hyperlink>
      <w:r>
        <w:rPr>
          <w:sz w:val="24"/>
          <w:szCs w:val="24"/>
        </w:rPr>
        <w:t>. Accessed on: 12</w:t>
      </w:r>
      <w:r w:rsidRPr="0097096B">
        <w:rPr>
          <w:sz w:val="24"/>
          <w:szCs w:val="24"/>
          <w:vertAlign w:val="superscript"/>
        </w:rPr>
        <w:t>th</w:t>
      </w:r>
      <w:r>
        <w:rPr>
          <w:sz w:val="24"/>
          <w:szCs w:val="24"/>
        </w:rPr>
        <w:t xml:space="preserve"> November 2025.</w:t>
      </w:r>
    </w:p>
    <w:p w14:paraId="08C5D691" w14:textId="77777777" w:rsidR="00FD004D" w:rsidRDefault="00FD004D" w:rsidP="00DF6803">
      <w:pPr>
        <w:spacing w:after="30" w:line="360" w:lineRule="auto"/>
        <w:rPr>
          <w:sz w:val="24"/>
          <w:szCs w:val="24"/>
        </w:rPr>
      </w:pPr>
    </w:p>
    <w:p w14:paraId="61110B2E" w14:textId="62F5BFA4" w:rsidR="00FD004D" w:rsidRPr="00492A63" w:rsidRDefault="00FD004D" w:rsidP="00DF6803">
      <w:pPr>
        <w:spacing w:after="30" w:line="360" w:lineRule="auto"/>
        <w:rPr>
          <w:sz w:val="24"/>
          <w:szCs w:val="24"/>
        </w:rPr>
      </w:pPr>
      <w:r w:rsidRPr="00492A63">
        <w:rPr>
          <w:sz w:val="24"/>
          <w:szCs w:val="24"/>
        </w:rPr>
        <w:t xml:space="preserve">Ives, B. and Holton, E.F. (2009) </w:t>
      </w:r>
      <w:r w:rsidRPr="00492A63">
        <w:rPr>
          <w:i/>
          <w:iCs/>
          <w:sz w:val="24"/>
          <w:szCs w:val="24"/>
        </w:rPr>
        <w:t>Research in Organizational Learning and Development</w:t>
      </w:r>
      <w:r w:rsidRPr="00492A63">
        <w:rPr>
          <w:sz w:val="24"/>
          <w:szCs w:val="24"/>
        </w:rPr>
        <w:t>. Charlotte, NC: Information Age Publishing.</w:t>
      </w:r>
    </w:p>
    <w:p w14:paraId="2D671AEC" w14:textId="77777777" w:rsidR="00FD004D" w:rsidRDefault="00FD004D" w:rsidP="0097096B">
      <w:pPr>
        <w:spacing w:after="30" w:line="360" w:lineRule="auto"/>
        <w:rPr>
          <w:sz w:val="24"/>
          <w:szCs w:val="24"/>
        </w:rPr>
      </w:pPr>
    </w:p>
    <w:p w14:paraId="65E6C56A" w14:textId="28C51FF1" w:rsidR="00FD004D" w:rsidRPr="0097096B" w:rsidRDefault="00FD004D" w:rsidP="0097096B">
      <w:pPr>
        <w:spacing w:after="30" w:line="360" w:lineRule="auto"/>
        <w:rPr>
          <w:sz w:val="24"/>
          <w:szCs w:val="24"/>
        </w:rPr>
      </w:pPr>
      <w:r w:rsidRPr="00492A63">
        <w:rPr>
          <w:sz w:val="24"/>
          <w:szCs w:val="24"/>
        </w:rPr>
        <w:t xml:space="preserve">Jackson, D., Firtko, A. and Edenborough, M. (2007) ‘Personal resilience as a strategy for surviving and thriving in the face of workplace adversity: A literature review’, </w:t>
      </w:r>
      <w:r w:rsidRPr="00492A63">
        <w:rPr>
          <w:i/>
          <w:iCs/>
          <w:sz w:val="24"/>
          <w:szCs w:val="24"/>
        </w:rPr>
        <w:t>Journal of Advanced Nursing</w:t>
      </w:r>
      <w:r w:rsidRPr="00492A63">
        <w:rPr>
          <w:sz w:val="24"/>
          <w:szCs w:val="24"/>
        </w:rPr>
        <w:t>, 60(1), pp. 1–9.</w:t>
      </w:r>
      <w:r>
        <w:rPr>
          <w:sz w:val="24"/>
          <w:szCs w:val="24"/>
        </w:rPr>
        <w:t xml:space="preserve"> Available at: </w:t>
      </w:r>
      <w:r w:rsidRPr="0097096B">
        <w:rPr>
          <w:sz w:val="24"/>
          <w:szCs w:val="24"/>
        </w:rPr>
        <w:t>DOI: </w:t>
      </w:r>
      <w:hyperlink r:id="rId18" w:tgtFrame="_blank" w:history="1">
        <w:r w:rsidRPr="0097096B">
          <w:rPr>
            <w:rStyle w:val="Hyperlink"/>
            <w:sz w:val="24"/>
            <w:szCs w:val="24"/>
          </w:rPr>
          <w:t>10.1111/j.1365-2648.2007.04412.x</w:t>
        </w:r>
      </w:hyperlink>
      <w:r>
        <w:rPr>
          <w:sz w:val="24"/>
          <w:szCs w:val="24"/>
        </w:rPr>
        <w:t xml:space="preserve"> accessed on: 12</w:t>
      </w:r>
      <w:r w:rsidRPr="0097096B">
        <w:rPr>
          <w:sz w:val="24"/>
          <w:szCs w:val="24"/>
          <w:vertAlign w:val="superscript"/>
        </w:rPr>
        <w:t>th</w:t>
      </w:r>
      <w:r>
        <w:rPr>
          <w:sz w:val="24"/>
          <w:szCs w:val="24"/>
        </w:rPr>
        <w:t xml:space="preserve"> November 2025.</w:t>
      </w:r>
    </w:p>
    <w:p w14:paraId="4B137F50" w14:textId="77777777" w:rsidR="00FD004D" w:rsidRDefault="00FD004D" w:rsidP="00DF6803">
      <w:pPr>
        <w:spacing w:after="30" w:line="360" w:lineRule="auto"/>
        <w:rPr>
          <w:sz w:val="24"/>
          <w:szCs w:val="24"/>
        </w:rPr>
      </w:pPr>
    </w:p>
    <w:p w14:paraId="61306E50" w14:textId="67809651" w:rsidR="00FD004D" w:rsidRPr="00492A63" w:rsidRDefault="00FD004D" w:rsidP="00DF6803">
      <w:pPr>
        <w:spacing w:after="30" w:line="360" w:lineRule="auto"/>
        <w:rPr>
          <w:sz w:val="24"/>
          <w:szCs w:val="24"/>
        </w:rPr>
      </w:pPr>
      <w:r w:rsidRPr="00492A63">
        <w:rPr>
          <w:sz w:val="24"/>
          <w:szCs w:val="24"/>
        </w:rPr>
        <w:t xml:space="preserve">Kirkpatrick, D.L. and Kirkpatrick, J.D. (2006) </w:t>
      </w:r>
      <w:r w:rsidRPr="00492A63">
        <w:rPr>
          <w:i/>
          <w:iCs/>
          <w:sz w:val="24"/>
          <w:szCs w:val="24"/>
        </w:rPr>
        <w:t>Evaluating Training Programs: The Four Levels</w:t>
      </w:r>
      <w:r w:rsidRPr="00492A63">
        <w:rPr>
          <w:sz w:val="24"/>
          <w:szCs w:val="24"/>
        </w:rPr>
        <w:t xml:space="preserve">. 3rd </w:t>
      </w:r>
      <w:proofErr w:type="spellStart"/>
      <w:r w:rsidRPr="00492A63">
        <w:rPr>
          <w:sz w:val="24"/>
          <w:szCs w:val="24"/>
        </w:rPr>
        <w:t>edn</w:t>
      </w:r>
      <w:proofErr w:type="spellEnd"/>
      <w:r w:rsidRPr="00492A63">
        <w:rPr>
          <w:sz w:val="24"/>
          <w:szCs w:val="24"/>
        </w:rPr>
        <w:t>. San Francisco: Berrett-Koehler.</w:t>
      </w:r>
    </w:p>
    <w:p w14:paraId="38B7DF5C" w14:textId="77777777" w:rsidR="00FD004D" w:rsidRDefault="00FD004D" w:rsidP="00DF6803">
      <w:pPr>
        <w:spacing w:after="30" w:line="360" w:lineRule="auto"/>
        <w:rPr>
          <w:sz w:val="24"/>
          <w:szCs w:val="24"/>
        </w:rPr>
      </w:pPr>
    </w:p>
    <w:p w14:paraId="1A04E81A" w14:textId="4607EA64" w:rsidR="00FD004D" w:rsidRPr="00492A63" w:rsidRDefault="00FD004D" w:rsidP="00DF6803">
      <w:pPr>
        <w:spacing w:after="30" w:line="360" w:lineRule="auto"/>
        <w:rPr>
          <w:sz w:val="24"/>
          <w:szCs w:val="24"/>
        </w:rPr>
      </w:pPr>
      <w:r w:rsidRPr="00492A63">
        <w:rPr>
          <w:sz w:val="24"/>
          <w:szCs w:val="24"/>
        </w:rPr>
        <w:t xml:space="preserve">Kolb, D.A. (1984) </w:t>
      </w:r>
      <w:r w:rsidRPr="00492A63">
        <w:rPr>
          <w:i/>
          <w:iCs/>
          <w:sz w:val="24"/>
          <w:szCs w:val="24"/>
        </w:rPr>
        <w:t>Experiential Learning: Experience as the Source of Learning and Development</w:t>
      </w:r>
      <w:r w:rsidRPr="00492A63">
        <w:rPr>
          <w:sz w:val="24"/>
          <w:szCs w:val="24"/>
        </w:rPr>
        <w:t>. Englewood Cliffs, NJ: Prentice Hall.</w:t>
      </w:r>
      <w:r>
        <w:rPr>
          <w:sz w:val="24"/>
          <w:szCs w:val="24"/>
        </w:rPr>
        <w:t xml:space="preserve"> Available at: </w:t>
      </w:r>
      <w:hyperlink r:id="rId19" w:history="1">
        <w:r w:rsidRPr="007A399A">
          <w:rPr>
            <w:rStyle w:val="Hyperlink"/>
            <w:sz w:val="24"/>
            <w:szCs w:val="24"/>
          </w:rPr>
          <w:t>(PDF) Experiential Learning: Experience As The Source Of Learning And Development</w:t>
        </w:r>
      </w:hyperlink>
      <w:r>
        <w:rPr>
          <w:sz w:val="24"/>
          <w:szCs w:val="24"/>
        </w:rPr>
        <w:t>. Accessed on: 12</w:t>
      </w:r>
      <w:r w:rsidRPr="007A399A">
        <w:rPr>
          <w:sz w:val="24"/>
          <w:szCs w:val="24"/>
          <w:vertAlign w:val="superscript"/>
        </w:rPr>
        <w:t>th</w:t>
      </w:r>
      <w:r>
        <w:rPr>
          <w:sz w:val="24"/>
          <w:szCs w:val="24"/>
        </w:rPr>
        <w:t xml:space="preserve"> November 2025.</w:t>
      </w:r>
    </w:p>
    <w:p w14:paraId="1241BB24" w14:textId="77777777" w:rsidR="00FD004D" w:rsidRDefault="00FD004D" w:rsidP="00DF6803">
      <w:pPr>
        <w:spacing w:after="30" w:line="360" w:lineRule="auto"/>
        <w:rPr>
          <w:sz w:val="24"/>
          <w:szCs w:val="24"/>
        </w:rPr>
      </w:pPr>
    </w:p>
    <w:p w14:paraId="4948FCA5" w14:textId="0100AEE2" w:rsidR="00FD004D" w:rsidRPr="00492A63" w:rsidRDefault="00FD004D" w:rsidP="00DF6803">
      <w:pPr>
        <w:spacing w:after="30" w:line="360" w:lineRule="auto"/>
        <w:rPr>
          <w:sz w:val="24"/>
          <w:szCs w:val="24"/>
        </w:rPr>
      </w:pPr>
      <w:r w:rsidRPr="00492A63">
        <w:rPr>
          <w:sz w:val="24"/>
          <w:szCs w:val="24"/>
        </w:rPr>
        <w:t xml:space="preserve">Kram, K.E. (1985) </w:t>
      </w:r>
      <w:r w:rsidRPr="00492A63">
        <w:rPr>
          <w:i/>
          <w:iCs/>
          <w:sz w:val="24"/>
          <w:szCs w:val="24"/>
        </w:rPr>
        <w:t>Mentoring at Work: Developmental Relationships in Organisational Life</w:t>
      </w:r>
      <w:r w:rsidRPr="00492A63">
        <w:rPr>
          <w:sz w:val="24"/>
          <w:szCs w:val="24"/>
        </w:rPr>
        <w:t>. Boston: Scott, Foresman and Company.</w:t>
      </w:r>
      <w:r>
        <w:rPr>
          <w:sz w:val="24"/>
          <w:szCs w:val="24"/>
        </w:rPr>
        <w:t xml:space="preserve"> Available at: </w:t>
      </w:r>
      <w:hyperlink r:id="rId20" w:history="1">
        <w:r w:rsidRPr="007A399A">
          <w:rPr>
            <w:rStyle w:val="Hyperlink"/>
            <w:sz w:val="24"/>
            <w:szCs w:val="24"/>
          </w:rPr>
          <w:t>Kram, K.E. (1985) Mentoring at Work: Developmental... - Google Scholar</w:t>
        </w:r>
      </w:hyperlink>
      <w:r>
        <w:rPr>
          <w:sz w:val="24"/>
          <w:szCs w:val="24"/>
        </w:rPr>
        <w:t>. Accessed on: 12th November 2025</w:t>
      </w:r>
    </w:p>
    <w:p w14:paraId="0595E5BB" w14:textId="77777777" w:rsidR="00FD004D" w:rsidRDefault="00FD004D" w:rsidP="00DF6803">
      <w:pPr>
        <w:spacing w:after="30" w:line="360" w:lineRule="auto"/>
        <w:rPr>
          <w:sz w:val="24"/>
          <w:szCs w:val="24"/>
        </w:rPr>
      </w:pPr>
    </w:p>
    <w:p w14:paraId="10111F8F" w14:textId="7EB51FE7" w:rsidR="00FD004D" w:rsidRPr="00492A63" w:rsidRDefault="00FD004D" w:rsidP="00DF6803">
      <w:pPr>
        <w:spacing w:after="30" w:line="360" w:lineRule="auto"/>
        <w:rPr>
          <w:sz w:val="24"/>
          <w:szCs w:val="24"/>
        </w:rPr>
      </w:pPr>
      <w:r w:rsidRPr="00492A63">
        <w:rPr>
          <w:sz w:val="24"/>
          <w:szCs w:val="24"/>
        </w:rPr>
        <w:lastRenderedPageBreak/>
        <w:t xml:space="preserve">Lave, J. and Wenger, E. (1991) </w:t>
      </w:r>
      <w:r w:rsidRPr="00492A63">
        <w:rPr>
          <w:i/>
          <w:iCs/>
          <w:sz w:val="24"/>
          <w:szCs w:val="24"/>
        </w:rPr>
        <w:t>Situated Learning: Legitimate Peripheral Participation</w:t>
      </w:r>
      <w:r w:rsidRPr="00492A63">
        <w:rPr>
          <w:sz w:val="24"/>
          <w:szCs w:val="24"/>
        </w:rPr>
        <w:t>. Cambridge: Cambridge University Press.</w:t>
      </w:r>
      <w:r>
        <w:rPr>
          <w:sz w:val="24"/>
          <w:szCs w:val="24"/>
        </w:rPr>
        <w:t xml:space="preserve"> Available at: </w:t>
      </w:r>
      <w:hyperlink r:id="rId21" w:anchor="overview" w:history="1">
        <w:r w:rsidRPr="007A399A">
          <w:rPr>
            <w:rStyle w:val="Hyperlink"/>
            <w:sz w:val="24"/>
            <w:szCs w:val="24"/>
          </w:rPr>
          <w:t>Situated Learning | Cambridge Aspire website</w:t>
        </w:r>
      </w:hyperlink>
      <w:r>
        <w:rPr>
          <w:sz w:val="24"/>
          <w:szCs w:val="24"/>
        </w:rPr>
        <w:t>. Accessed on: 11</w:t>
      </w:r>
      <w:r w:rsidRPr="007A399A">
        <w:rPr>
          <w:sz w:val="24"/>
          <w:szCs w:val="24"/>
          <w:vertAlign w:val="superscript"/>
        </w:rPr>
        <w:t>th</w:t>
      </w:r>
      <w:r>
        <w:rPr>
          <w:sz w:val="24"/>
          <w:szCs w:val="24"/>
        </w:rPr>
        <w:t xml:space="preserve"> November 2025.</w:t>
      </w:r>
    </w:p>
    <w:p w14:paraId="6EC5F14B" w14:textId="77777777" w:rsidR="00FD004D" w:rsidRDefault="00FD004D" w:rsidP="00DF6803">
      <w:pPr>
        <w:spacing w:after="30" w:line="360" w:lineRule="auto"/>
        <w:rPr>
          <w:sz w:val="24"/>
          <w:szCs w:val="24"/>
        </w:rPr>
      </w:pPr>
    </w:p>
    <w:p w14:paraId="7BF46DB6" w14:textId="629AFC17" w:rsidR="00FD004D" w:rsidRPr="00492A63" w:rsidRDefault="00FD004D" w:rsidP="00DF6803">
      <w:pPr>
        <w:spacing w:after="30" w:line="360" w:lineRule="auto"/>
        <w:rPr>
          <w:sz w:val="24"/>
          <w:szCs w:val="24"/>
        </w:rPr>
      </w:pPr>
      <w:r w:rsidRPr="00492A63">
        <w:rPr>
          <w:sz w:val="24"/>
          <w:szCs w:val="24"/>
        </w:rPr>
        <w:t xml:space="preserve">Levinson, D.J., Darrow, C.N., Klein, E.B., Levinson, M.H. and McKee, B. (1978) </w:t>
      </w:r>
      <w:r w:rsidRPr="00492A63">
        <w:rPr>
          <w:i/>
          <w:iCs/>
          <w:sz w:val="24"/>
          <w:szCs w:val="24"/>
        </w:rPr>
        <w:t>The Seasons of a Man’s Life</w:t>
      </w:r>
      <w:r w:rsidRPr="00492A63">
        <w:rPr>
          <w:sz w:val="24"/>
          <w:szCs w:val="24"/>
        </w:rPr>
        <w:t>. New York: Knopf.</w:t>
      </w:r>
      <w:r>
        <w:rPr>
          <w:sz w:val="24"/>
          <w:szCs w:val="24"/>
        </w:rPr>
        <w:t xml:space="preserve"> Available at: </w:t>
      </w:r>
      <w:r w:rsidRPr="007A399A">
        <w:rPr>
          <w:sz w:val="24"/>
          <w:szCs w:val="24"/>
        </w:rPr>
        <w:t>doi:10.1017/S0021932000012426</w:t>
      </w:r>
      <w:r>
        <w:rPr>
          <w:sz w:val="24"/>
          <w:szCs w:val="24"/>
        </w:rPr>
        <w:t>. Accessed on: 11</w:t>
      </w:r>
      <w:r w:rsidRPr="007A399A">
        <w:rPr>
          <w:sz w:val="24"/>
          <w:szCs w:val="24"/>
          <w:vertAlign w:val="superscript"/>
        </w:rPr>
        <w:t>th</w:t>
      </w:r>
      <w:r>
        <w:rPr>
          <w:sz w:val="24"/>
          <w:szCs w:val="24"/>
        </w:rPr>
        <w:t xml:space="preserve"> November 2025.</w:t>
      </w:r>
    </w:p>
    <w:p w14:paraId="753AC793" w14:textId="77777777" w:rsidR="00FD004D" w:rsidRDefault="00FD004D" w:rsidP="00DF6803">
      <w:pPr>
        <w:spacing w:after="30" w:line="360" w:lineRule="auto"/>
        <w:rPr>
          <w:sz w:val="24"/>
          <w:szCs w:val="24"/>
        </w:rPr>
      </w:pPr>
    </w:p>
    <w:p w14:paraId="6B21EB3B" w14:textId="3AC6BC83" w:rsidR="00FD004D" w:rsidRPr="00492A63" w:rsidRDefault="00FD004D" w:rsidP="00DF6803">
      <w:pPr>
        <w:spacing w:after="30" w:line="360" w:lineRule="auto"/>
        <w:rPr>
          <w:sz w:val="24"/>
          <w:szCs w:val="24"/>
        </w:rPr>
      </w:pPr>
      <w:r w:rsidRPr="00492A63">
        <w:rPr>
          <w:sz w:val="24"/>
          <w:szCs w:val="24"/>
        </w:rPr>
        <w:t xml:space="preserve">Mezirow, J. (1991) </w:t>
      </w:r>
      <w:r w:rsidRPr="00492A63">
        <w:rPr>
          <w:i/>
          <w:iCs/>
          <w:sz w:val="24"/>
          <w:szCs w:val="24"/>
        </w:rPr>
        <w:t>Transformative Dimensions of Adult Learning</w:t>
      </w:r>
      <w:r w:rsidRPr="00492A63">
        <w:rPr>
          <w:sz w:val="24"/>
          <w:szCs w:val="24"/>
        </w:rPr>
        <w:t>. San Francisco: Jossey-Bass.</w:t>
      </w:r>
      <w:r>
        <w:rPr>
          <w:sz w:val="24"/>
          <w:szCs w:val="24"/>
        </w:rPr>
        <w:t xml:space="preserve"> Available at: </w:t>
      </w:r>
      <w:hyperlink r:id="rId22" w:history="1">
        <w:r w:rsidRPr="00CA43C2">
          <w:rPr>
            <w:rStyle w:val="Hyperlink"/>
            <w:sz w:val="24"/>
            <w:szCs w:val="24"/>
          </w:rPr>
          <w:t>https://doi.org/10.1177/074171369204200309</w:t>
        </w:r>
      </w:hyperlink>
      <w:r>
        <w:rPr>
          <w:sz w:val="24"/>
          <w:szCs w:val="24"/>
        </w:rPr>
        <w:t>. Accessed on: 12</w:t>
      </w:r>
      <w:r w:rsidRPr="007A399A">
        <w:rPr>
          <w:sz w:val="24"/>
          <w:szCs w:val="24"/>
          <w:vertAlign w:val="superscript"/>
        </w:rPr>
        <w:t>th</w:t>
      </w:r>
      <w:r>
        <w:rPr>
          <w:sz w:val="24"/>
          <w:szCs w:val="24"/>
        </w:rPr>
        <w:t xml:space="preserve"> November 2025.</w:t>
      </w:r>
    </w:p>
    <w:p w14:paraId="13D62C06" w14:textId="77777777" w:rsidR="00FD004D" w:rsidRDefault="00FD004D" w:rsidP="00DF6803">
      <w:pPr>
        <w:spacing w:after="30" w:line="360" w:lineRule="auto"/>
        <w:rPr>
          <w:sz w:val="24"/>
          <w:szCs w:val="24"/>
        </w:rPr>
      </w:pPr>
    </w:p>
    <w:p w14:paraId="0F4A2A0D" w14:textId="6B07585F" w:rsidR="00FD004D" w:rsidRPr="00492A63" w:rsidRDefault="00FD004D" w:rsidP="00DF6803">
      <w:pPr>
        <w:spacing w:after="30" w:line="360" w:lineRule="auto"/>
        <w:rPr>
          <w:sz w:val="24"/>
          <w:szCs w:val="24"/>
        </w:rPr>
      </w:pPr>
      <w:r w:rsidRPr="00492A63">
        <w:rPr>
          <w:sz w:val="24"/>
          <w:szCs w:val="24"/>
        </w:rPr>
        <w:t xml:space="preserve">Miller, G.E. (1990) ‘The assessment of clinical skills/competence/performance’, </w:t>
      </w:r>
      <w:r w:rsidRPr="00492A63">
        <w:rPr>
          <w:i/>
          <w:iCs/>
          <w:sz w:val="24"/>
          <w:szCs w:val="24"/>
        </w:rPr>
        <w:t>Academic Medicine</w:t>
      </w:r>
      <w:r w:rsidRPr="00492A63">
        <w:rPr>
          <w:sz w:val="24"/>
          <w:szCs w:val="24"/>
        </w:rPr>
        <w:t>, 65(9), pp. S63–S67.</w:t>
      </w:r>
      <w:r>
        <w:rPr>
          <w:sz w:val="24"/>
          <w:szCs w:val="24"/>
        </w:rPr>
        <w:t xml:space="preserve"> Available at: </w:t>
      </w:r>
      <w:r w:rsidRPr="00A50EA4">
        <w:rPr>
          <w:sz w:val="24"/>
          <w:szCs w:val="24"/>
        </w:rPr>
        <w:t>https://doi.org/10.1097/00001888-199009000-00045</w:t>
      </w:r>
      <w:r>
        <w:rPr>
          <w:sz w:val="24"/>
          <w:szCs w:val="24"/>
        </w:rPr>
        <w:t>. Accessed on: 11</w:t>
      </w:r>
      <w:r w:rsidRPr="00A50EA4">
        <w:rPr>
          <w:sz w:val="24"/>
          <w:szCs w:val="24"/>
          <w:vertAlign w:val="superscript"/>
        </w:rPr>
        <w:t>th</w:t>
      </w:r>
      <w:r>
        <w:rPr>
          <w:sz w:val="24"/>
          <w:szCs w:val="24"/>
        </w:rPr>
        <w:t xml:space="preserve"> November 2025.</w:t>
      </w:r>
    </w:p>
    <w:p w14:paraId="7D92F01C" w14:textId="77777777" w:rsidR="00FD004D" w:rsidRDefault="00FD004D" w:rsidP="00DF6803">
      <w:pPr>
        <w:spacing w:after="30" w:line="360" w:lineRule="auto"/>
        <w:rPr>
          <w:sz w:val="24"/>
          <w:szCs w:val="24"/>
        </w:rPr>
      </w:pPr>
    </w:p>
    <w:p w14:paraId="2B3BF2B1" w14:textId="1A63B13B" w:rsidR="00FD004D" w:rsidRPr="00492A63" w:rsidRDefault="00FD004D" w:rsidP="00DF6803">
      <w:pPr>
        <w:spacing w:after="30" w:line="360" w:lineRule="auto"/>
        <w:rPr>
          <w:sz w:val="24"/>
          <w:szCs w:val="24"/>
        </w:rPr>
      </w:pPr>
      <w:r w:rsidRPr="00492A63">
        <w:rPr>
          <w:sz w:val="24"/>
          <w:szCs w:val="24"/>
        </w:rPr>
        <w:t xml:space="preserve">NHS England (2019) </w:t>
      </w:r>
      <w:r w:rsidRPr="00492A63">
        <w:rPr>
          <w:i/>
          <w:iCs/>
          <w:sz w:val="24"/>
          <w:szCs w:val="24"/>
        </w:rPr>
        <w:t>The NHS Long Term Plan</w:t>
      </w:r>
      <w:r w:rsidRPr="00492A63">
        <w:rPr>
          <w:sz w:val="24"/>
          <w:szCs w:val="24"/>
        </w:rPr>
        <w:t>. London: NHS England. Available at: https://www.longtermplan.nhs.uk (Accessed: 1</w:t>
      </w:r>
      <w:r>
        <w:rPr>
          <w:sz w:val="24"/>
          <w:szCs w:val="24"/>
        </w:rPr>
        <w:t>2</w:t>
      </w:r>
      <w:r w:rsidRPr="007A399A">
        <w:rPr>
          <w:sz w:val="24"/>
          <w:szCs w:val="24"/>
          <w:vertAlign w:val="superscript"/>
        </w:rPr>
        <w:t>th</w:t>
      </w:r>
      <w:r>
        <w:rPr>
          <w:sz w:val="24"/>
          <w:szCs w:val="24"/>
        </w:rPr>
        <w:t xml:space="preserve"> November</w:t>
      </w:r>
      <w:r w:rsidRPr="00492A63">
        <w:rPr>
          <w:sz w:val="24"/>
          <w:szCs w:val="24"/>
        </w:rPr>
        <w:t xml:space="preserve"> 2025).</w:t>
      </w:r>
    </w:p>
    <w:p w14:paraId="1E35B294" w14:textId="77777777" w:rsidR="00FD004D" w:rsidRDefault="00FD004D" w:rsidP="00DF6803">
      <w:pPr>
        <w:spacing w:after="30" w:line="360" w:lineRule="auto"/>
        <w:rPr>
          <w:sz w:val="24"/>
          <w:szCs w:val="24"/>
        </w:rPr>
      </w:pPr>
    </w:p>
    <w:p w14:paraId="35DA2C18" w14:textId="09124D8C" w:rsidR="00FD004D" w:rsidRPr="00492A63" w:rsidRDefault="00FD004D" w:rsidP="00DF6803">
      <w:pPr>
        <w:spacing w:after="30" w:line="360" w:lineRule="auto"/>
        <w:rPr>
          <w:sz w:val="24"/>
          <w:szCs w:val="24"/>
        </w:rPr>
      </w:pPr>
      <w:r w:rsidRPr="00492A63">
        <w:rPr>
          <w:sz w:val="24"/>
          <w:szCs w:val="24"/>
        </w:rPr>
        <w:t xml:space="preserve">NHS England (2020) </w:t>
      </w:r>
      <w:r w:rsidRPr="00492A63">
        <w:rPr>
          <w:i/>
          <w:iCs/>
          <w:sz w:val="24"/>
          <w:szCs w:val="24"/>
        </w:rPr>
        <w:t>The NHS People Plan 2020/21: Action for Us All</w:t>
      </w:r>
      <w:r w:rsidRPr="00492A63">
        <w:rPr>
          <w:sz w:val="24"/>
          <w:szCs w:val="24"/>
        </w:rPr>
        <w:t>. London: NHS England. Available at: https://www.england.nhs.uk/peopleplan Accessed</w:t>
      </w:r>
      <w:r>
        <w:rPr>
          <w:sz w:val="24"/>
          <w:szCs w:val="24"/>
        </w:rPr>
        <w:t xml:space="preserve"> on</w:t>
      </w:r>
      <w:r w:rsidRPr="00492A63">
        <w:rPr>
          <w:sz w:val="24"/>
          <w:szCs w:val="24"/>
        </w:rPr>
        <w:t>: 1</w:t>
      </w:r>
      <w:r>
        <w:rPr>
          <w:sz w:val="24"/>
          <w:szCs w:val="24"/>
        </w:rPr>
        <w:t>1</w:t>
      </w:r>
      <w:r w:rsidRPr="00092363">
        <w:rPr>
          <w:sz w:val="24"/>
          <w:szCs w:val="24"/>
          <w:vertAlign w:val="superscript"/>
        </w:rPr>
        <w:t>th</w:t>
      </w:r>
      <w:r>
        <w:rPr>
          <w:sz w:val="24"/>
          <w:szCs w:val="24"/>
        </w:rPr>
        <w:t xml:space="preserve"> November</w:t>
      </w:r>
      <w:r w:rsidRPr="00492A63">
        <w:rPr>
          <w:sz w:val="24"/>
          <w:szCs w:val="24"/>
        </w:rPr>
        <w:t xml:space="preserve"> 2025).</w:t>
      </w:r>
    </w:p>
    <w:p w14:paraId="4EEB78FF" w14:textId="77777777" w:rsidR="00FD004D" w:rsidRDefault="00FD004D" w:rsidP="00DF6803">
      <w:pPr>
        <w:spacing w:after="30" w:line="360" w:lineRule="auto"/>
        <w:rPr>
          <w:sz w:val="24"/>
          <w:szCs w:val="24"/>
        </w:rPr>
      </w:pPr>
    </w:p>
    <w:p w14:paraId="0DDA6C9D" w14:textId="0D108C85" w:rsidR="00FD004D" w:rsidRPr="00492A63" w:rsidRDefault="00FD004D" w:rsidP="00DF6803">
      <w:pPr>
        <w:spacing w:after="30" w:line="360" w:lineRule="auto"/>
        <w:rPr>
          <w:sz w:val="24"/>
          <w:szCs w:val="24"/>
        </w:rPr>
      </w:pPr>
      <w:r w:rsidRPr="00492A63">
        <w:rPr>
          <w:sz w:val="24"/>
          <w:szCs w:val="24"/>
        </w:rPr>
        <w:t xml:space="preserve">Passmore, J. (2016) </w:t>
      </w:r>
      <w:r w:rsidRPr="00492A63">
        <w:rPr>
          <w:i/>
          <w:iCs/>
          <w:sz w:val="24"/>
          <w:szCs w:val="24"/>
        </w:rPr>
        <w:t>Excellence in Coaching: The Industry Guide</w:t>
      </w:r>
      <w:r w:rsidRPr="00492A63">
        <w:rPr>
          <w:sz w:val="24"/>
          <w:szCs w:val="24"/>
        </w:rPr>
        <w:t xml:space="preserve">. 3rd </w:t>
      </w:r>
      <w:proofErr w:type="spellStart"/>
      <w:r w:rsidRPr="00492A63">
        <w:rPr>
          <w:sz w:val="24"/>
          <w:szCs w:val="24"/>
        </w:rPr>
        <w:t>edn</w:t>
      </w:r>
      <w:proofErr w:type="spellEnd"/>
      <w:r w:rsidRPr="00492A63">
        <w:rPr>
          <w:sz w:val="24"/>
          <w:szCs w:val="24"/>
        </w:rPr>
        <w:t>. London: Kogan Page.</w:t>
      </w:r>
    </w:p>
    <w:p w14:paraId="6873B742" w14:textId="77777777" w:rsidR="00FD004D" w:rsidRDefault="00FD004D" w:rsidP="00DF6803">
      <w:pPr>
        <w:spacing w:after="30" w:line="360" w:lineRule="auto"/>
        <w:rPr>
          <w:sz w:val="24"/>
          <w:szCs w:val="24"/>
        </w:rPr>
      </w:pPr>
    </w:p>
    <w:p w14:paraId="0F8578FD" w14:textId="3A8DAEB2" w:rsidR="00FD004D" w:rsidRPr="00492A63" w:rsidRDefault="00FD004D" w:rsidP="00DF6803">
      <w:pPr>
        <w:spacing w:after="30" w:line="360" w:lineRule="auto"/>
        <w:rPr>
          <w:sz w:val="24"/>
          <w:szCs w:val="24"/>
        </w:rPr>
      </w:pPr>
      <w:r w:rsidRPr="00492A63">
        <w:rPr>
          <w:sz w:val="24"/>
          <w:szCs w:val="24"/>
        </w:rPr>
        <w:t xml:space="preserve">Reeves, S., Fletcher, S., Barr, H., Birch, I., Boet, S., Davies, N., McFadyen, A., Rivera, J. and Kitto, S. (2017) ‘A BEME systematic review of the effects of interprofessional education: BEME Guide No. 39’, </w:t>
      </w:r>
      <w:r w:rsidRPr="00492A63">
        <w:rPr>
          <w:i/>
          <w:iCs/>
          <w:sz w:val="24"/>
          <w:szCs w:val="24"/>
        </w:rPr>
        <w:t>Medical Teacher</w:t>
      </w:r>
      <w:r w:rsidRPr="00492A63">
        <w:rPr>
          <w:sz w:val="24"/>
          <w:szCs w:val="24"/>
        </w:rPr>
        <w:t>, 38(7), pp. 656–668.</w:t>
      </w:r>
      <w:r>
        <w:rPr>
          <w:sz w:val="24"/>
          <w:szCs w:val="24"/>
        </w:rPr>
        <w:t xml:space="preserve"> Available at: </w:t>
      </w:r>
      <w:hyperlink r:id="rId23" w:history="1">
        <w:r w:rsidRPr="00CA43C2">
          <w:rPr>
            <w:rStyle w:val="Hyperlink"/>
            <w:sz w:val="24"/>
            <w:szCs w:val="24"/>
          </w:rPr>
          <w:t>https://www.google.com/url?sa=t&amp;rct=j&amp;q=&amp;esrc=s&amp;source=web&amp;cd=&amp;ved=2ahUKEwj</w:t>
        </w:r>
        <w:r w:rsidRPr="00CA43C2">
          <w:rPr>
            <w:rStyle w:val="Hyperlink"/>
            <w:sz w:val="24"/>
            <w:szCs w:val="24"/>
          </w:rPr>
          <w:lastRenderedPageBreak/>
          <w:t>Ih6CZxPSQAxVYUUEAHXB6IRQQFnoECB4QAQ&amp;url=https%3A%2F%2Fuobrep.openrepository.com%2Fbitstream%2Fhandle%2F10547%2F624264%2FReeves-S-34885-AAM.pdf%3Fsequence%3D2%26isAllowed%3Dy&amp;usg=AOvVaw0P6KJBOIGUbBQT_6Wf3aJb&amp;opi=89978449</w:t>
        </w:r>
      </w:hyperlink>
      <w:r>
        <w:rPr>
          <w:sz w:val="24"/>
          <w:szCs w:val="24"/>
        </w:rPr>
        <w:t>. Accessed on 11</w:t>
      </w:r>
      <w:r w:rsidRPr="007A399A">
        <w:rPr>
          <w:sz w:val="24"/>
          <w:szCs w:val="24"/>
          <w:vertAlign w:val="superscript"/>
        </w:rPr>
        <w:t>th</w:t>
      </w:r>
      <w:r>
        <w:rPr>
          <w:sz w:val="24"/>
          <w:szCs w:val="24"/>
        </w:rPr>
        <w:t xml:space="preserve"> November 2025.</w:t>
      </w:r>
    </w:p>
    <w:p w14:paraId="4CDCD6D0" w14:textId="77777777" w:rsidR="00FD004D" w:rsidRDefault="00FD004D" w:rsidP="00DF6803">
      <w:pPr>
        <w:spacing w:after="30" w:line="360" w:lineRule="auto"/>
        <w:rPr>
          <w:sz w:val="24"/>
          <w:szCs w:val="24"/>
        </w:rPr>
      </w:pPr>
    </w:p>
    <w:p w14:paraId="0E7F2CFF" w14:textId="3A4A3B97" w:rsidR="00FD004D" w:rsidRPr="00492A63" w:rsidRDefault="00FD004D" w:rsidP="00DF6803">
      <w:pPr>
        <w:spacing w:after="30" w:line="360" w:lineRule="auto"/>
        <w:rPr>
          <w:sz w:val="24"/>
          <w:szCs w:val="24"/>
        </w:rPr>
      </w:pPr>
      <w:r w:rsidRPr="00492A63">
        <w:rPr>
          <w:sz w:val="24"/>
          <w:szCs w:val="24"/>
        </w:rPr>
        <w:t xml:space="preserve">Schön, D.A. (1983) </w:t>
      </w:r>
      <w:r w:rsidRPr="00492A63">
        <w:rPr>
          <w:i/>
          <w:iCs/>
          <w:sz w:val="24"/>
          <w:szCs w:val="24"/>
        </w:rPr>
        <w:t>The Reflective Practitioner: How Professionals Think in Action</w:t>
      </w:r>
      <w:r w:rsidRPr="00492A63">
        <w:rPr>
          <w:sz w:val="24"/>
          <w:szCs w:val="24"/>
        </w:rPr>
        <w:t>. New York: Basic Books.</w:t>
      </w:r>
    </w:p>
    <w:p w14:paraId="104E3730" w14:textId="77777777" w:rsidR="00FD004D" w:rsidRDefault="00FD004D" w:rsidP="00DF6803">
      <w:pPr>
        <w:spacing w:after="30" w:line="360" w:lineRule="auto"/>
        <w:rPr>
          <w:sz w:val="24"/>
          <w:szCs w:val="24"/>
        </w:rPr>
      </w:pPr>
    </w:p>
    <w:p w14:paraId="3FEDF71F" w14:textId="4F29C3ED" w:rsidR="00FD004D" w:rsidRPr="00492A63" w:rsidRDefault="00FD004D" w:rsidP="00DF6803">
      <w:pPr>
        <w:spacing w:after="30" w:line="360" w:lineRule="auto"/>
        <w:rPr>
          <w:sz w:val="24"/>
          <w:szCs w:val="24"/>
        </w:rPr>
      </w:pPr>
      <w:r w:rsidRPr="00492A63">
        <w:rPr>
          <w:sz w:val="24"/>
          <w:szCs w:val="24"/>
        </w:rPr>
        <w:t xml:space="preserve">Stern, D.N. (1985) </w:t>
      </w:r>
      <w:r w:rsidRPr="00492A63">
        <w:rPr>
          <w:i/>
          <w:iCs/>
          <w:sz w:val="24"/>
          <w:szCs w:val="24"/>
        </w:rPr>
        <w:t>The Interpersonal World of the Infant</w:t>
      </w:r>
      <w:r w:rsidRPr="00492A63">
        <w:rPr>
          <w:sz w:val="24"/>
          <w:szCs w:val="24"/>
        </w:rPr>
        <w:t>. New York: Basic Books.</w:t>
      </w:r>
    </w:p>
    <w:p w14:paraId="7BA1B607" w14:textId="77777777" w:rsidR="00FD004D" w:rsidRDefault="00FD004D" w:rsidP="00DF6803">
      <w:pPr>
        <w:spacing w:after="30" w:line="360" w:lineRule="auto"/>
        <w:rPr>
          <w:sz w:val="24"/>
          <w:szCs w:val="24"/>
        </w:rPr>
      </w:pPr>
    </w:p>
    <w:p w14:paraId="272E3ADA" w14:textId="23A7E8FB" w:rsidR="00FD004D" w:rsidRPr="00492A63" w:rsidRDefault="00FD004D" w:rsidP="00DF6803">
      <w:pPr>
        <w:spacing w:after="30" w:line="360" w:lineRule="auto"/>
        <w:rPr>
          <w:sz w:val="24"/>
          <w:szCs w:val="24"/>
        </w:rPr>
      </w:pPr>
      <w:r w:rsidRPr="00492A63">
        <w:rPr>
          <w:sz w:val="24"/>
          <w:szCs w:val="24"/>
        </w:rPr>
        <w:t xml:space="preserve">Topol, E. (2019) </w:t>
      </w:r>
      <w:r w:rsidRPr="00492A63">
        <w:rPr>
          <w:i/>
          <w:iCs/>
          <w:sz w:val="24"/>
          <w:szCs w:val="24"/>
        </w:rPr>
        <w:t>The Topol Review: Preparing the Healthcare Workforce to Deliver the Digital Future</w:t>
      </w:r>
      <w:r w:rsidRPr="00492A63">
        <w:rPr>
          <w:sz w:val="24"/>
          <w:szCs w:val="24"/>
        </w:rPr>
        <w:t>. London: NHS Health Education England.</w:t>
      </w:r>
      <w:r>
        <w:rPr>
          <w:sz w:val="24"/>
          <w:szCs w:val="24"/>
        </w:rPr>
        <w:t xml:space="preserve"> Available at: </w:t>
      </w:r>
      <w:hyperlink r:id="rId24" w:history="1">
        <w:r w:rsidRPr="00092363">
          <w:rPr>
            <w:rStyle w:val="Hyperlink"/>
            <w:sz w:val="24"/>
            <w:szCs w:val="24"/>
          </w:rPr>
          <w:t>Topol Review interim report_0.pdf</w:t>
        </w:r>
      </w:hyperlink>
      <w:r>
        <w:rPr>
          <w:sz w:val="24"/>
          <w:szCs w:val="24"/>
        </w:rPr>
        <w:t>. accessed on 11</w:t>
      </w:r>
      <w:r w:rsidRPr="00092363">
        <w:rPr>
          <w:sz w:val="24"/>
          <w:szCs w:val="24"/>
          <w:vertAlign w:val="superscript"/>
        </w:rPr>
        <w:t>th</w:t>
      </w:r>
      <w:r>
        <w:rPr>
          <w:sz w:val="24"/>
          <w:szCs w:val="24"/>
        </w:rPr>
        <w:t xml:space="preserve"> November 2025.</w:t>
      </w:r>
    </w:p>
    <w:p w14:paraId="445353DB" w14:textId="77777777" w:rsidR="00FD004D" w:rsidRDefault="00FD004D" w:rsidP="00DF6803">
      <w:pPr>
        <w:spacing w:after="30" w:line="360" w:lineRule="auto"/>
        <w:rPr>
          <w:sz w:val="24"/>
          <w:szCs w:val="24"/>
        </w:rPr>
      </w:pPr>
    </w:p>
    <w:p w14:paraId="339487D3" w14:textId="05D12A60" w:rsidR="00FD004D" w:rsidRPr="00492A63" w:rsidRDefault="00FD004D" w:rsidP="00DF6803">
      <w:pPr>
        <w:spacing w:after="30" w:line="360" w:lineRule="auto"/>
        <w:rPr>
          <w:sz w:val="24"/>
          <w:szCs w:val="24"/>
        </w:rPr>
      </w:pPr>
      <w:r w:rsidRPr="00492A63">
        <w:rPr>
          <w:sz w:val="24"/>
          <w:szCs w:val="24"/>
        </w:rPr>
        <w:t xml:space="preserve">West, M.A., Eckert, R., Steward, K. and Pasmore, B. (2014) </w:t>
      </w:r>
      <w:r w:rsidRPr="00492A63">
        <w:rPr>
          <w:i/>
          <w:iCs/>
          <w:sz w:val="24"/>
          <w:szCs w:val="24"/>
        </w:rPr>
        <w:t>Developing Collective Leadership for Health Care</w:t>
      </w:r>
      <w:r w:rsidRPr="00492A63">
        <w:rPr>
          <w:sz w:val="24"/>
          <w:szCs w:val="24"/>
        </w:rPr>
        <w:t>. London: The King’s Fund.</w:t>
      </w:r>
      <w:r>
        <w:rPr>
          <w:sz w:val="24"/>
          <w:szCs w:val="24"/>
        </w:rPr>
        <w:t xml:space="preserve"> Available at: </w:t>
      </w:r>
      <w:hyperlink r:id="rId25" w:history="1">
        <w:r w:rsidRPr="00092363">
          <w:rPr>
            <w:rStyle w:val="Hyperlink"/>
            <w:sz w:val="24"/>
            <w:szCs w:val="24"/>
          </w:rPr>
          <w:t>Developing collective leadership for health care May 2014</w:t>
        </w:r>
      </w:hyperlink>
      <w:r>
        <w:rPr>
          <w:sz w:val="24"/>
          <w:szCs w:val="24"/>
        </w:rPr>
        <w:t>. Accessed on 11</w:t>
      </w:r>
      <w:r w:rsidRPr="00092363">
        <w:rPr>
          <w:sz w:val="24"/>
          <w:szCs w:val="24"/>
          <w:vertAlign w:val="superscript"/>
        </w:rPr>
        <w:t>th</w:t>
      </w:r>
      <w:r>
        <w:rPr>
          <w:sz w:val="24"/>
          <w:szCs w:val="24"/>
        </w:rPr>
        <w:t xml:space="preserve"> November 2025.</w:t>
      </w:r>
    </w:p>
    <w:p w14:paraId="58248C19" w14:textId="77777777" w:rsidR="00FD004D" w:rsidRDefault="00FD004D" w:rsidP="00DF6803">
      <w:pPr>
        <w:spacing w:after="30" w:line="360" w:lineRule="auto"/>
        <w:rPr>
          <w:sz w:val="24"/>
          <w:szCs w:val="24"/>
        </w:rPr>
      </w:pPr>
    </w:p>
    <w:p w14:paraId="642B8031" w14:textId="4BC4CE20" w:rsidR="00FD004D" w:rsidRPr="00492A63" w:rsidRDefault="00FD004D" w:rsidP="00DF6803">
      <w:pPr>
        <w:spacing w:after="30" w:line="360" w:lineRule="auto"/>
        <w:rPr>
          <w:sz w:val="24"/>
          <w:szCs w:val="24"/>
        </w:rPr>
      </w:pPr>
      <w:r w:rsidRPr="00492A63">
        <w:rPr>
          <w:sz w:val="24"/>
          <w:szCs w:val="24"/>
        </w:rPr>
        <w:t xml:space="preserve">Whitmore, J. (2017) </w:t>
      </w:r>
      <w:r w:rsidRPr="00492A63">
        <w:rPr>
          <w:i/>
          <w:iCs/>
          <w:sz w:val="24"/>
          <w:szCs w:val="24"/>
        </w:rPr>
        <w:t>Coaching for Performance: Growing People, Performance and Purpose</w:t>
      </w:r>
      <w:r w:rsidRPr="00492A63">
        <w:rPr>
          <w:sz w:val="24"/>
          <w:szCs w:val="24"/>
        </w:rPr>
        <w:t xml:space="preserve">. 5th </w:t>
      </w:r>
      <w:proofErr w:type="spellStart"/>
      <w:r w:rsidRPr="00492A63">
        <w:rPr>
          <w:sz w:val="24"/>
          <w:szCs w:val="24"/>
        </w:rPr>
        <w:t>edn</w:t>
      </w:r>
      <w:proofErr w:type="spellEnd"/>
      <w:r w:rsidRPr="00492A63">
        <w:rPr>
          <w:sz w:val="24"/>
          <w:szCs w:val="24"/>
        </w:rPr>
        <w:t>. London: Nicholas Brealey Publishing.</w:t>
      </w:r>
    </w:p>
    <w:p w14:paraId="0B792C0A" w14:textId="77777777" w:rsidR="00FD004D" w:rsidRDefault="00FD004D" w:rsidP="00DF6803">
      <w:pPr>
        <w:spacing w:after="30" w:line="360" w:lineRule="auto"/>
        <w:rPr>
          <w:sz w:val="24"/>
          <w:szCs w:val="24"/>
        </w:rPr>
      </w:pPr>
    </w:p>
    <w:p w14:paraId="73E1D022" w14:textId="0D1F7932" w:rsidR="00FD004D" w:rsidRPr="00492A63" w:rsidRDefault="00FD004D" w:rsidP="00DF6803">
      <w:pPr>
        <w:spacing w:after="30" w:line="360" w:lineRule="auto"/>
        <w:rPr>
          <w:sz w:val="24"/>
          <w:szCs w:val="24"/>
        </w:rPr>
      </w:pPr>
      <w:r w:rsidRPr="00492A63">
        <w:rPr>
          <w:sz w:val="24"/>
          <w:szCs w:val="24"/>
        </w:rPr>
        <w:t xml:space="preserve">WHO (2020) </w:t>
      </w:r>
      <w:r w:rsidRPr="00492A63">
        <w:rPr>
          <w:i/>
          <w:iCs/>
          <w:sz w:val="24"/>
          <w:szCs w:val="24"/>
        </w:rPr>
        <w:t>Global Strategy on Human Resources for Health: Workforce 2030</w:t>
      </w:r>
      <w:r w:rsidRPr="00492A63">
        <w:rPr>
          <w:sz w:val="24"/>
          <w:szCs w:val="24"/>
        </w:rPr>
        <w:t>. Geneva: World Health Organization.</w:t>
      </w:r>
      <w:r>
        <w:rPr>
          <w:sz w:val="24"/>
          <w:szCs w:val="24"/>
        </w:rPr>
        <w:t xml:space="preserve"> Available at:</w:t>
      </w:r>
      <w:r w:rsidRPr="00092363">
        <w:t xml:space="preserve"> </w:t>
      </w:r>
      <w:hyperlink r:id="rId26" w:history="1">
        <w:r w:rsidRPr="00092363">
          <w:rPr>
            <w:rStyle w:val="Hyperlink"/>
            <w:sz w:val="24"/>
            <w:szCs w:val="24"/>
          </w:rPr>
          <w:t>Global strategy on human resources for health: Workforce 2030</w:t>
        </w:r>
      </w:hyperlink>
      <w:r>
        <w:rPr>
          <w:sz w:val="24"/>
          <w:szCs w:val="24"/>
        </w:rPr>
        <w:t>. Accessed on: 11th November 2025.</w:t>
      </w:r>
    </w:p>
    <w:p w14:paraId="55A4BFC4" w14:textId="77777777" w:rsidR="00FD004D" w:rsidRDefault="00FD004D" w:rsidP="00DF6803">
      <w:pPr>
        <w:spacing w:after="30" w:line="360" w:lineRule="auto"/>
        <w:rPr>
          <w:sz w:val="24"/>
          <w:szCs w:val="24"/>
        </w:rPr>
      </w:pPr>
    </w:p>
    <w:p w14:paraId="38FA9D9D" w14:textId="429B29F0" w:rsidR="00FD004D" w:rsidRPr="00492A63" w:rsidRDefault="00FD004D" w:rsidP="00DF6803">
      <w:pPr>
        <w:spacing w:after="30" w:line="360" w:lineRule="auto"/>
        <w:rPr>
          <w:sz w:val="24"/>
          <w:szCs w:val="24"/>
        </w:rPr>
      </w:pPr>
      <w:r w:rsidRPr="00492A63">
        <w:rPr>
          <w:sz w:val="24"/>
          <w:szCs w:val="24"/>
        </w:rPr>
        <w:t xml:space="preserve">Wright, L.M. and Leahey, M. (2013) </w:t>
      </w:r>
      <w:r w:rsidRPr="00492A63">
        <w:rPr>
          <w:i/>
          <w:iCs/>
          <w:sz w:val="24"/>
          <w:szCs w:val="24"/>
        </w:rPr>
        <w:t>Nurses and Families: A Guide to Family Assessment and Intervention</w:t>
      </w:r>
      <w:r w:rsidRPr="00492A63">
        <w:rPr>
          <w:sz w:val="24"/>
          <w:szCs w:val="24"/>
        </w:rPr>
        <w:t xml:space="preserve">. 6th </w:t>
      </w:r>
      <w:proofErr w:type="spellStart"/>
      <w:r w:rsidRPr="00492A63">
        <w:rPr>
          <w:sz w:val="24"/>
          <w:szCs w:val="24"/>
        </w:rPr>
        <w:t>edn</w:t>
      </w:r>
      <w:proofErr w:type="spellEnd"/>
      <w:r w:rsidRPr="00492A63">
        <w:rPr>
          <w:sz w:val="24"/>
          <w:szCs w:val="24"/>
        </w:rPr>
        <w:t>. Philadelphia: F.A. Davis.</w:t>
      </w:r>
    </w:p>
    <w:p w14:paraId="20856929" w14:textId="77777777" w:rsidR="00FD004D" w:rsidRDefault="00FD004D" w:rsidP="00DF6803">
      <w:pPr>
        <w:spacing w:after="30" w:line="360" w:lineRule="auto"/>
        <w:rPr>
          <w:sz w:val="24"/>
          <w:szCs w:val="24"/>
        </w:rPr>
      </w:pPr>
    </w:p>
    <w:p w14:paraId="017D7438" w14:textId="2C5DAB67" w:rsidR="00FD004D" w:rsidRPr="00492A63" w:rsidRDefault="00FD004D" w:rsidP="00DF6803">
      <w:pPr>
        <w:spacing w:after="30" w:line="360" w:lineRule="auto"/>
        <w:rPr>
          <w:sz w:val="24"/>
          <w:szCs w:val="24"/>
        </w:rPr>
      </w:pPr>
      <w:r w:rsidRPr="00492A63">
        <w:rPr>
          <w:sz w:val="24"/>
          <w:szCs w:val="24"/>
        </w:rPr>
        <w:t xml:space="preserve">Zimmerman, B.J. (2002) ‘Becoming a self-regulated learner: An overview’, </w:t>
      </w:r>
      <w:r w:rsidRPr="00492A63">
        <w:rPr>
          <w:i/>
          <w:iCs/>
          <w:sz w:val="24"/>
          <w:szCs w:val="24"/>
        </w:rPr>
        <w:t xml:space="preserve">Theory </w:t>
      </w:r>
      <w:proofErr w:type="gramStart"/>
      <w:r w:rsidRPr="00492A63">
        <w:rPr>
          <w:i/>
          <w:iCs/>
          <w:sz w:val="24"/>
          <w:szCs w:val="24"/>
        </w:rPr>
        <w:t>Into</w:t>
      </w:r>
      <w:proofErr w:type="gramEnd"/>
      <w:r w:rsidRPr="00492A63">
        <w:rPr>
          <w:i/>
          <w:iCs/>
          <w:sz w:val="24"/>
          <w:szCs w:val="24"/>
        </w:rPr>
        <w:t xml:space="preserve"> Practice</w:t>
      </w:r>
      <w:r w:rsidRPr="00492A63">
        <w:rPr>
          <w:sz w:val="24"/>
          <w:szCs w:val="24"/>
        </w:rPr>
        <w:t>, 41(2), pp. 64–70.</w:t>
      </w:r>
      <w:r>
        <w:rPr>
          <w:sz w:val="24"/>
          <w:szCs w:val="24"/>
        </w:rPr>
        <w:t xml:space="preserve"> Available at: </w:t>
      </w:r>
      <w:hyperlink r:id="rId27" w:history="1">
        <w:r w:rsidRPr="003903C9">
          <w:rPr>
            <w:rStyle w:val="Hyperlink"/>
            <w:sz w:val="24"/>
            <w:szCs w:val="24"/>
          </w:rPr>
          <w:t>https://doi.org/10.1207/s15430421tip4102_2</w:t>
        </w:r>
      </w:hyperlink>
      <w:r>
        <w:rPr>
          <w:sz w:val="24"/>
          <w:szCs w:val="24"/>
        </w:rPr>
        <w:t>. Accessed on: 11</w:t>
      </w:r>
      <w:r w:rsidRPr="00092363">
        <w:rPr>
          <w:sz w:val="24"/>
          <w:szCs w:val="24"/>
          <w:vertAlign w:val="superscript"/>
        </w:rPr>
        <w:t>th</w:t>
      </w:r>
      <w:r>
        <w:rPr>
          <w:sz w:val="24"/>
          <w:szCs w:val="24"/>
        </w:rPr>
        <w:t xml:space="preserve"> November 2025.</w:t>
      </w:r>
    </w:p>
    <w:p w14:paraId="07EF2EB3" w14:textId="77777777" w:rsidR="00BA5FDF" w:rsidRDefault="00BA5FDF" w:rsidP="00DF6803">
      <w:pPr>
        <w:spacing w:after="30" w:line="360" w:lineRule="auto"/>
        <w:rPr>
          <w:sz w:val="24"/>
          <w:szCs w:val="24"/>
        </w:rPr>
      </w:pPr>
    </w:p>
    <w:p w14:paraId="63DCAC3C" w14:textId="77777777" w:rsidR="00492A63" w:rsidRPr="00DF6803" w:rsidRDefault="00492A63" w:rsidP="00DF6803">
      <w:pPr>
        <w:spacing w:after="30" w:line="360" w:lineRule="auto"/>
        <w:rPr>
          <w:sz w:val="24"/>
          <w:szCs w:val="24"/>
        </w:rPr>
      </w:pPr>
    </w:p>
    <w:sectPr w:rsidR="00492A63" w:rsidRPr="00DF68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105CF"/>
    <w:multiLevelType w:val="multilevel"/>
    <w:tmpl w:val="1C986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2F402D"/>
    <w:multiLevelType w:val="multilevel"/>
    <w:tmpl w:val="5A12B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A554C2"/>
    <w:multiLevelType w:val="multilevel"/>
    <w:tmpl w:val="CA906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28411E"/>
    <w:multiLevelType w:val="multilevel"/>
    <w:tmpl w:val="C70A5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AD0047"/>
    <w:multiLevelType w:val="multilevel"/>
    <w:tmpl w:val="80B64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381D25"/>
    <w:multiLevelType w:val="multilevel"/>
    <w:tmpl w:val="7ACEC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835F56"/>
    <w:multiLevelType w:val="multilevel"/>
    <w:tmpl w:val="60842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2A6BDB"/>
    <w:multiLevelType w:val="multilevel"/>
    <w:tmpl w:val="FEF6E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374BD0"/>
    <w:multiLevelType w:val="multilevel"/>
    <w:tmpl w:val="5FBC1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5970382">
    <w:abstractNumId w:val="1"/>
  </w:num>
  <w:num w:numId="2" w16cid:durableId="1928298103">
    <w:abstractNumId w:val="3"/>
  </w:num>
  <w:num w:numId="3" w16cid:durableId="186414417">
    <w:abstractNumId w:val="5"/>
  </w:num>
  <w:num w:numId="4" w16cid:durableId="1147748463">
    <w:abstractNumId w:val="6"/>
  </w:num>
  <w:num w:numId="5" w16cid:durableId="148832575">
    <w:abstractNumId w:val="2"/>
  </w:num>
  <w:num w:numId="6" w16cid:durableId="2122606822">
    <w:abstractNumId w:val="8"/>
  </w:num>
  <w:num w:numId="7" w16cid:durableId="1184442413">
    <w:abstractNumId w:val="7"/>
  </w:num>
  <w:num w:numId="8" w16cid:durableId="1810709509">
    <w:abstractNumId w:val="0"/>
  </w:num>
  <w:num w:numId="9" w16cid:durableId="1768470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BF4"/>
    <w:rsid w:val="000436D6"/>
    <w:rsid w:val="00066F67"/>
    <w:rsid w:val="000714A9"/>
    <w:rsid w:val="000727EE"/>
    <w:rsid w:val="00092363"/>
    <w:rsid w:val="000E587F"/>
    <w:rsid w:val="000E649E"/>
    <w:rsid w:val="00165582"/>
    <w:rsid w:val="001D39E4"/>
    <w:rsid w:val="00283316"/>
    <w:rsid w:val="00315471"/>
    <w:rsid w:val="00341D10"/>
    <w:rsid w:val="004042F5"/>
    <w:rsid w:val="004154F0"/>
    <w:rsid w:val="00437455"/>
    <w:rsid w:val="00475DC3"/>
    <w:rsid w:val="00492A63"/>
    <w:rsid w:val="00535A05"/>
    <w:rsid w:val="00550E67"/>
    <w:rsid w:val="005A1C54"/>
    <w:rsid w:val="00697493"/>
    <w:rsid w:val="00701323"/>
    <w:rsid w:val="007120BC"/>
    <w:rsid w:val="007A399A"/>
    <w:rsid w:val="00831C6E"/>
    <w:rsid w:val="0084484D"/>
    <w:rsid w:val="00871CA3"/>
    <w:rsid w:val="0089578A"/>
    <w:rsid w:val="008A72EB"/>
    <w:rsid w:val="009002D9"/>
    <w:rsid w:val="00907AE1"/>
    <w:rsid w:val="00910AB3"/>
    <w:rsid w:val="0097096B"/>
    <w:rsid w:val="00A50EA4"/>
    <w:rsid w:val="00B20C06"/>
    <w:rsid w:val="00B61106"/>
    <w:rsid w:val="00BA5FDF"/>
    <w:rsid w:val="00BD532C"/>
    <w:rsid w:val="00C42D24"/>
    <w:rsid w:val="00D06CD4"/>
    <w:rsid w:val="00D1543F"/>
    <w:rsid w:val="00DF6803"/>
    <w:rsid w:val="00EC386B"/>
    <w:rsid w:val="00EC4A8A"/>
    <w:rsid w:val="00ED6FED"/>
    <w:rsid w:val="00F31BF4"/>
    <w:rsid w:val="00F71945"/>
    <w:rsid w:val="00F763AF"/>
    <w:rsid w:val="00FD00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EB0E5"/>
  <w15:chartTrackingRefBased/>
  <w15:docId w15:val="{9443E8CE-2DCC-4D12-B4DE-F3450F51A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1B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1B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1B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1B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1B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1B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1B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1B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1B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B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1B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1B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1B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1B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1B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1B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1B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1BF4"/>
    <w:rPr>
      <w:rFonts w:eastAsiaTheme="majorEastAsia" w:cstheme="majorBidi"/>
      <w:color w:val="272727" w:themeColor="text1" w:themeTint="D8"/>
    </w:rPr>
  </w:style>
  <w:style w:type="paragraph" w:styleId="Title">
    <w:name w:val="Title"/>
    <w:basedOn w:val="Normal"/>
    <w:next w:val="Normal"/>
    <w:link w:val="TitleChar"/>
    <w:uiPriority w:val="10"/>
    <w:qFormat/>
    <w:rsid w:val="00F31B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1B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1B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1B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1BF4"/>
    <w:pPr>
      <w:spacing w:before="160"/>
      <w:jc w:val="center"/>
    </w:pPr>
    <w:rPr>
      <w:i/>
      <w:iCs/>
      <w:color w:val="404040" w:themeColor="text1" w:themeTint="BF"/>
    </w:rPr>
  </w:style>
  <w:style w:type="character" w:customStyle="1" w:styleId="QuoteChar">
    <w:name w:val="Quote Char"/>
    <w:basedOn w:val="DefaultParagraphFont"/>
    <w:link w:val="Quote"/>
    <w:uiPriority w:val="29"/>
    <w:rsid w:val="00F31BF4"/>
    <w:rPr>
      <w:i/>
      <w:iCs/>
      <w:color w:val="404040" w:themeColor="text1" w:themeTint="BF"/>
    </w:rPr>
  </w:style>
  <w:style w:type="paragraph" w:styleId="ListParagraph">
    <w:name w:val="List Paragraph"/>
    <w:basedOn w:val="Normal"/>
    <w:uiPriority w:val="34"/>
    <w:qFormat/>
    <w:rsid w:val="00F31BF4"/>
    <w:pPr>
      <w:ind w:left="720"/>
      <w:contextualSpacing/>
    </w:pPr>
  </w:style>
  <w:style w:type="character" w:styleId="IntenseEmphasis">
    <w:name w:val="Intense Emphasis"/>
    <w:basedOn w:val="DefaultParagraphFont"/>
    <w:uiPriority w:val="21"/>
    <w:qFormat/>
    <w:rsid w:val="00F31BF4"/>
    <w:rPr>
      <w:i/>
      <w:iCs/>
      <w:color w:val="0F4761" w:themeColor="accent1" w:themeShade="BF"/>
    </w:rPr>
  </w:style>
  <w:style w:type="paragraph" w:styleId="IntenseQuote">
    <w:name w:val="Intense Quote"/>
    <w:basedOn w:val="Normal"/>
    <w:next w:val="Normal"/>
    <w:link w:val="IntenseQuoteChar"/>
    <w:uiPriority w:val="30"/>
    <w:qFormat/>
    <w:rsid w:val="00F31B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1BF4"/>
    <w:rPr>
      <w:i/>
      <w:iCs/>
      <w:color w:val="0F4761" w:themeColor="accent1" w:themeShade="BF"/>
    </w:rPr>
  </w:style>
  <w:style w:type="character" w:styleId="IntenseReference">
    <w:name w:val="Intense Reference"/>
    <w:basedOn w:val="DefaultParagraphFont"/>
    <w:uiPriority w:val="32"/>
    <w:qFormat/>
    <w:rsid w:val="00F31BF4"/>
    <w:rPr>
      <w:b/>
      <w:bCs/>
      <w:smallCaps/>
      <w:color w:val="0F4761" w:themeColor="accent1" w:themeShade="BF"/>
      <w:spacing w:val="5"/>
    </w:rPr>
  </w:style>
  <w:style w:type="character" w:styleId="Hyperlink">
    <w:name w:val="Hyperlink"/>
    <w:basedOn w:val="DefaultParagraphFont"/>
    <w:uiPriority w:val="99"/>
    <w:unhideWhenUsed/>
    <w:rsid w:val="00492A63"/>
    <w:rPr>
      <w:color w:val="467886" w:themeColor="hyperlink"/>
      <w:u w:val="single"/>
    </w:rPr>
  </w:style>
  <w:style w:type="character" w:styleId="UnresolvedMention">
    <w:name w:val="Unresolved Mention"/>
    <w:basedOn w:val="DefaultParagraphFont"/>
    <w:uiPriority w:val="99"/>
    <w:semiHidden/>
    <w:unhideWhenUsed/>
    <w:rsid w:val="00492A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2307/2666999" TargetMode="External"/><Relationship Id="rId18" Type="http://schemas.openxmlformats.org/officeDocument/2006/relationships/hyperlink" Target="https://doi.org/10.1111/j.1365-2648.2007.04412.x" TargetMode="External"/><Relationship Id="rId26" Type="http://schemas.openxmlformats.org/officeDocument/2006/relationships/hyperlink" Target="https://www.who.int/publications/i/item/9789241511131" TargetMode="External"/><Relationship Id="rId3" Type="http://schemas.openxmlformats.org/officeDocument/2006/relationships/customXml" Target="../customXml/item3.xml"/><Relationship Id="rId21" Type="http://schemas.openxmlformats.org/officeDocument/2006/relationships/hyperlink" Target="https://www.cambridge.org/highereducation/books/situated-learning/6915ABD21C8E4619F750A4D4ACA616CD" TargetMode="External"/><Relationship Id="rId7" Type="http://schemas.openxmlformats.org/officeDocument/2006/relationships/webSettings" Target="webSettings.xml"/><Relationship Id="rId12" Type="http://schemas.openxmlformats.org/officeDocument/2006/relationships/hyperlink" Target="https://doi.org/10.1016/j.jvb.2007.04.005" TargetMode="External"/><Relationship Id="rId17" Type="http://schemas.openxmlformats.org/officeDocument/2006/relationships/hyperlink" Target="https://doi.org/10.1016/j.nedt.2010.10.022" TargetMode="External"/><Relationship Id="rId25" Type="http://schemas.openxmlformats.org/officeDocument/2006/relationships/hyperlink" Target="https://assets.kingsfund.org.uk/f/256914/x/9406fe95d0/developing_collective_leadership_2014.pdf" TargetMode="External"/><Relationship Id="rId2" Type="http://schemas.openxmlformats.org/officeDocument/2006/relationships/customXml" Target="../customXml/item2.xml"/><Relationship Id="rId16" Type="http://schemas.openxmlformats.org/officeDocument/2006/relationships/hyperlink" Target="https://doi.org/10.1186/s12960-020-00491-x" TargetMode="External"/><Relationship Id="rId20" Type="http://schemas.openxmlformats.org/officeDocument/2006/relationships/hyperlink" Target="https://scholar.google.co.uk/scholar?q=Kram,+K.E.+(1985)+Mentoring+at+Work:+Developmental+Relationships+in+Organisational+Life.+Boston:+Scott,+Foresman+and+Company.&amp;hl=en&amp;as_sdt=0&amp;as_vis=1&amp;oi=scholar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111/j.1365-2648.2008.04898.x" TargetMode="External"/><Relationship Id="rId24" Type="http://schemas.openxmlformats.org/officeDocument/2006/relationships/hyperlink" Target="https://www.hee.nhs.uk/sites/default/files/documents/Topol%20Review%20interim%20report_0.pdf" TargetMode="External"/><Relationship Id="rId5" Type="http://schemas.openxmlformats.org/officeDocument/2006/relationships/styles" Target="styles.xml"/><Relationship Id="rId15" Type="http://schemas.openxmlformats.org/officeDocument/2006/relationships/hyperlink" Target="https://doi.org/10.53841/bpstcp.2019.15.1.3" TargetMode="External"/><Relationship Id="rId23" Type="http://schemas.openxmlformats.org/officeDocument/2006/relationships/hyperlink" Target="https://www.google.com/url?sa=t&amp;rct=j&amp;q=&amp;esrc=s&amp;source=web&amp;cd=&amp;ved=2ahUKEwjIh6CZxPSQAxVYUUEAHXB6IRQQFnoECB4QAQ&amp;url=https%3A%2F%2Fuobrep.openrepository.com%2Fbitstream%2Fhandle%2F10547%2F624264%2FReeves-S-34885-AAM.pdf%3Fsequence%3D2%26isAllowed%3Dy&amp;usg=AOvVaw0P6KJBOIGUbBQT_6Wf3aJb&amp;opi=89978449" TargetMode="External"/><Relationship Id="rId28" Type="http://schemas.openxmlformats.org/officeDocument/2006/relationships/fontTable" Target="fontTable.xml"/><Relationship Id="rId10" Type="http://schemas.openxmlformats.org/officeDocument/2006/relationships/hyperlink" Target="https://selfdeterminationtheory.org/SDT/documents/2000_RyanDeci_SDT.pdf" TargetMode="External"/><Relationship Id="rId19" Type="http://schemas.openxmlformats.org/officeDocument/2006/relationships/hyperlink" Target="https://www.researchgate.net/publication/235701029_Experiential_Learning_Experience_As_The_Source_Of_Learning_And_Development" TargetMode="External"/><Relationship Id="rId4" Type="http://schemas.openxmlformats.org/officeDocument/2006/relationships/numbering" Target="numbering.xml"/><Relationship Id="rId9" Type="http://schemas.openxmlformats.org/officeDocument/2006/relationships/hyperlink" Target="https://psycnet.apa.org/doi/10.1111/j.1754-9434.2010.01231.x" TargetMode="External"/><Relationship Id="rId14" Type="http://schemas.openxmlformats.org/officeDocument/2006/relationships/hyperlink" Target="https://doi.org/10.1080/158037042000225245" TargetMode="External"/><Relationship Id="rId22" Type="http://schemas.openxmlformats.org/officeDocument/2006/relationships/hyperlink" Target="https://doi.org/10.1177/074171369204200309" TargetMode="External"/><Relationship Id="rId27" Type="http://schemas.openxmlformats.org/officeDocument/2006/relationships/hyperlink" Target="https://doi.org/10.1207/s15430421tip4102_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4D2DDB2-ECEA-4562-9252-9D4E41E7E36A}">
  <we:reference id="8c1c3d44-57e9-40d7-86e4-4adf61fea1dd" version="2.1.0.2" store="EXCatalog" storeType="EXCatalog"/>
  <we:alternateReferences>
    <we:reference id="WA104380122" version="2.1.0.2"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066ecbb241253d459fa65ac82dffb91b">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963421b099d42a1548c0a9600d269c33"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GenerationTime" minOccurs="0"/>
                <xsd:element ref="ns3:MediaServiceEventHashCode" minOccurs="0"/>
                <xsd:element ref="ns3:MediaServiceSystemTags" minOccurs="0"/>
                <xsd:element ref="ns3:MediaLengthInSecond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564633-624E-4FAE-9214-A4F8840FC432}">
  <ds:schemaRefs>
    <ds:schemaRef ds:uri="http://schemas.microsoft.com/office/2006/metadata/properties"/>
    <ds:schemaRef ds:uri="http://schemas.microsoft.com/office/infopath/2007/PartnerControls"/>
    <ds:schemaRef ds:uri="95817cb9-f0eb-4f4d-892c-47ab9f8957c0"/>
  </ds:schemaRefs>
</ds:datastoreItem>
</file>

<file path=customXml/itemProps2.xml><?xml version="1.0" encoding="utf-8"?>
<ds:datastoreItem xmlns:ds="http://schemas.openxmlformats.org/officeDocument/2006/customXml" ds:itemID="{8354522B-3266-4F12-B8CE-8C69ABDDCB51}">
  <ds:schemaRefs>
    <ds:schemaRef ds:uri="http://schemas.microsoft.com/sharepoint/v3/contenttype/forms"/>
  </ds:schemaRefs>
</ds:datastoreItem>
</file>

<file path=customXml/itemProps3.xml><?xml version="1.0" encoding="utf-8"?>
<ds:datastoreItem xmlns:ds="http://schemas.openxmlformats.org/officeDocument/2006/customXml" ds:itemID="{71064A9D-4D89-4A75-B8A7-C96ED3AF3B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21</Pages>
  <Words>6218</Words>
  <Characters>35446</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King (2114341)</dc:creator>
  <cp:keywords/>
  <dc:description/>
  <cp:lastModifiedBy>Stacey King (2114341)</cp:lastModifiedBy>
  <cp:revision>3</cp:revision>
  <cp:lastPrinted>2025-10-01T21:47:00Z</cp:lastPrinted>
  <dcterms:created xsi:type="dcterms:W3CDTF">2025-10-02T07:38:00Z</dcterms:created>
  <dcterms:modified xsi:type="dcterms:W3CDTF">2025-11-15T16:47:00Z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