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15FE3EA" w14:textId="52D2377F" w:rsidR="008E39E3" w:rsidRPr="005A7AA0" w:rsidRDefault="00E722F4" w:rsidP="00B06F53">
      <w:pPr>
        <w:jc w:val="center"/>
      </w:pPr>
      <w:r w:rsidRPr="005A7AA0">
        <w:rPr>
          <w:noProof/>
        </w:rPr>
        <w:drawing>
          <wp:inline distT="114300" distB="114300" distL="114300" distR="114300" wp14:anchorId="15C1B043" wp14:editId="4293B875">
            <wp:extent cx="2400300" cy="10001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400300" cy="1000125"/>
                    </a:xfrm>
                    <a:prstGeom prst="rect">
                      <a:avLst/>
                    </a:prstGeom>
                    <a:ln/>
                  </pic:spPr>
                </pic:pic>
              </a:graphicData>
            </a:graphic>
          </wp:inline>
        </w:drawing>
      </w:r>
    </w:p>
    <w:p w14:paraId="46B75D93" w14:textId="77777777" w:rsidR="008E39E3" w:rsidRPr="005A7AA0" w:rsidRDefault="00E722F4" w:rsidP="00B06F53">
      <w:pPr>
        <w:jc w:val="center"/>
        <w:rPr>
          <w:b/>
          <w:bCs/>
        </w:rPr>
      </w:pPr>
      <w:r w:rsidRPr="005A7AA0">
        <w:rPr>
          <w:b/>
          <w:bCs/>
        </w:rPr>
        <w:t>Programme: Certificate of Higher Education Skills for the Workplace (Health &amp; Social Care)</w:t>
      </w:r>
    </w:p>
    <w:p w14:paraId="038DBAE1" w14:textId="77777777" w:rsidR="008E39E3" w:rsidRPr="005A7AA0" w:rsidRDefault="00E722F4" w:rsidP="00B06F53">
      <w:pPr>
        <w:jc w:val="center"/>
        <w:rPr>
          <w:b/>
          <w:bCs/>
        </w:rPr>
      </w:pPr>
      <w:r w:rsidRPr="005A7AA0">
        <w:rPr>
          <w:b/>
          <w:bCs/>
        </w:rPr>
        <w:t>Module: Introduction to Health and Social Care</w:t>
      </w:r>
    </w:p>
    <w:p w14:paraId="762DF976" w14:textId="77777777" w:rsidR="00D046A7" w:rsidRDefault="00E722F4" w:rsidP="00B06F53">
      <w:pPr>
        <w:jc w:val="center"/>
        <w:rPr>
          <w:b/>
          <w:bCs/>
        </w:rPr>
      </w:pPr>
      <w:r w:rsidRPr="005A7AA0">
        <w:rPr>
          <w:b/>
          <w:bCs/>
        </w:rPr>
        <w:t>Module code: LCHS4003</w:t>
      </w:r>
    </w:p>
    <w:p w14:paraId="6FF95003" w14:textId="77777777" w:rsidR="002B6916" w:rsidRDefault="00D046A7" w:rsidP="00B06F53">
      <w:pPr>
        <w:jc w:val="center"/>
        <w:rPr>
          <w:b/>
          <w:bCs/>
        </w:rPr>
      </w:pPr>
      <w:r>
        <w:rPr>
          <w:b/>
          <w:bCs/>
        </w:rPr>
        <w:t>Name: Andrei-Martin-Iancu</w:t>
      </w:r>
    </w:p>
    <w:p w14:paraId="56FEF010" w14:textId="77777777" w:rsidR="00565E32" w:rsidRDefault="002B6916" w:rsidP="00B06F53">
      <w:pPr>
        <w:jc w:val="center"/>
        <w:rPr>
          <w:b/>
          <w:bCs/>
        </w:rPr>
      </w:pPr>
      <w:r>
        <w:rPr>
          <w:b/>
          <w:bCs/>
        </w:rPr>
        <w:t>Student ID:</w:t>
      </w:r>
      <w:r w:rsidR="00565E32">
        <w:rPr>
          <w:b/>
          <w:bCs/>
        </w:rPr>
        <w:t>2530102</w:t>
      </w:r>
    </w:p>
    <w:p w14:paraId="6F47017B" w14:textId="551D1016" w:rsidR="008E39E3" w:rsidRPr="005A7AA0" w:rsidRDefault="00E722F4" w:rsidP="00565E32">
      <w:pPr>
        <w:rPr>
          <w:b/>
          <w:bCs/>
        </w:rPr>
      </w:pPr>
      <w:r w:rsidRPr="005A7AA0">
        <w:br w:type="page"/>
      </w:r>
    </w:p>
    <w:bookmarkStart w:id="0" w:name="_bxno1daygf9e" w:colFirst="0" w:colLast="0" w:displacedByCustomXml="next"/>
    <w:bookmarkEnd w:id="0" w:displacedByCustomXml="next"/>
    <w:sdt>
      <w:sdtPr>
        <w:rPr>
          <w:rFonts w:ascii="Arial" w:eastAsia="Arial" w:hAnsi="Arial" w:cs="Arial"/>
          <w:color w:val="auto"/>
          <w:sz w:val="22"/>
          <w:szCs w:val="22"/>
        </w:rPr>
        <w:id w:val="-2084911361"/>
        <w:docPartObj>
          <w:docPartGallery w:val="Table of Contents"/>
          <w:docPartUnique/>
        </w:docPartObj>
      </w:sdtPr>
      <w:sdtEndPr>
        <w:rPr>
          <w:b/>
          <w:bCs/>
        </w:rPr>
      </w:sdtEndPr>
      <w:sdtContent>
        <w:p w14:paraId="79E1CF21" w14:textId="1F619BD3" w:rsidR="00B06F53" w:rsidRPr="005A7AA0" w:rsidRDefault="00B06F53" w:rsidP="00B06F53">
          <w:pPr>
            <w:pStyle w:val="Titlucuprins"/>
            <w:spacing w:line="360" w:lineRule="auto"/>
            <w:jc w:val="center"/>
            <w:rPr>
              <w:rFonts w:ascii="Arial" w:hAnsi="Arial" w:cs="Arial"/>
              <w:b/>
              <w:bCs/>
              <w:color w:val="000000" w:themeColor="text1"/>
              <w:sz w:val="22"/>
              <w:szCs w:val="22"/>
            </w:rPr>
          </w:pPr>
          <w:r w:rsidRPr="005A7AA0">
            <w:rPr>
              <w:rFonts w:ascii="Arial" w:hAnsi="Arial" w:cs="Arial"/>
              <w:b/>
              <w:bCs/>
              <w:color w:val="000000" w:themeColor="text1"/>
              <w:sz w:val="22"/>
              <w:szCs w:val="22"/>
            </w:rPr>
            <w:t>Table of Contents</w:t>
          </w:r>
        </w:p>
        <w:p w14:paraId="257B72F4" w14:textId="0739A24F" w:rsidR="00A51173" w:rsidRPr="005A7AA0" w:rsidRDefault="00B06F53">
          <w:pPr>
            <w:pStyle w:val="Cuprins1"/>
            <w:tabs>
              <w:tab w:val="right" w:leader="dot" w:pos="9350"/>
            </w:tabs>
            <w:rPr>
              <w:rFonts w:asciiTheme="minorHAnsi" w:eastAsiaTheme="minorEastAsia" w:hAnsiTheme="minorHAnsi" w:cstheme="minorBidi"/>
              <w:kern w:val="2"/>
              <w:sz w:val="24"/>
              <w:szCs w:val="24"/>
              <w14:ligatures w14:val="standardContextual"/>
            </w:rPr>
          </w:pPr>
          <w:r w:rsidRPr="005A7AA0">
            <w:fldChar w:fldCharType="begin"/>
          </w:r>
          <w:r w:rsidRPr="005A7AA0">
            <w:instrText xml:space="preserve"> TOC \o "1-3" \h \z \u </w:instrText>
          </w:r>
          <w:r w:rsidRPr="005A7AA0">
            <w:fldChar w:fldCharType="separate"/>
          </w:r>
          <w:hyperlink w:anchor="_Toc237452519" w:history="1">
            <w:r w:rsidR="00A51173" w:rsidRPr="005A7AA0">
              <w:rPr>
                <w:rStyle w:val="Hyperlink"/>
              </w:rPr>
              <w:t>Introduction</w:t>
            </w:r>
            <w:r w:rsidR="00A51173" w:rsidRPr="005A7AA0">
              <w:rPr>
                <w:webHidden/>
              </w:rPr>
              <w:tab/>
            </w:r>
            <w:r w:rsidR="00A51173" w:rsidRPr="005A7AA0">
              <w:rPr>
                <w:webHidden/>
              </w:rPr>
              <w:fldChar w:fldCharType="begin"/>
            </w:r>
            <w:r w:rsidR="00A51173" w:rsidRPr="005A7AA0">
              <w:rPr>
                <w:webHidden/>
              </w:rPr>
              <w:instrText xml:space="preserve"> PAGEREF _Toc237452519 \h </w:instrText>
            </w:r>
            <w:r w:rsidR="00A51173" w:rsidRPr="005A7AA0">
              <w:rPr>
                <w:webHidden/>
              </w:rPr>
            </w:r>
            <w:r w:rsidR="00A51173" w:rsidRPr="005A7AA0">
              <w:rPr>
                <w:webHidden/>
              </w:rPr>
              <w:fldChar w:fldCharType="separate"/>
            </w:r>
            <w:r w:rsidR="00A51173" w:rsidRPr="005A7AA0">
              <w:rPr>
                <w:webHidden/>
              </w:rPr>
              <w:t>3</w:t>
            </w:r>
            <w:r w:rsidR="00A51173" w:rsidRPr="005A7AA0">
              <w:rPr>
                <w:webHidden/>
              </w:rPr>
              <w:fldChar w:fldCharType="end"/>
            </w:r>
          </w:hyperlink>
        </w:p>
        <w:p w14:paraId="0BF5C6C5" w14:textId="2FE3720B" w:rsidR="00A51173" w:rsidRPr="005A7AA0" w:rsidRDefault="00A51173">
          <w:pPr>
            <w:pStyle w:val="Cuprins1"/>
            <w:tabs>
              <w:tab w:val="right" w:leader="dot" w:pos="9350"/>
            </w:tabs>
            <w:rPr>
              <w:rFonts w:asciiTheme="minorHAnsi" w:eastAsiaTheme="minorEastAsia" w:hAnsiTheme="minorHAnsi" w:cstheme="minorBidi"/>
              <w:kern w:val="2"/>
              <w:sz w:val="24"/>
              <w:szCs w:val="24"/>
              <w14:ligatures w14:val="standardContextual"/>
            </w:rPr>
          </w:pPr>
          <w:hyperlink w:anchor="_Toc237452520" w:history="1">
            <w:r w:rsidRPr="005A7AA0">
              <w:rPr>
                <w:rStyle w:val="Hyperlink"/>
              </w:rPr>
              <w:t>Effective communication</w:t>
            </w:r>
            <w:r w:rsidRPr="005A7AA0">
              <w:rPr>
                <w:webHidden/>
              </w:rPr>
              <w:tab/>
            </w:r>
            <w:r w:rsidRPr="005A7AA0">
              <w:rPr>
                <w:webHidden/>
              </w:rPr>
              <w:fldChar w:fldCharType="begin"/>
            </w:r>
            <w:r w:rsidRPr="005A7AA0">
              <w:rPr>
                <w:webHidden/>
              </w:rPr>
              <w:instrText xml:space="preserve"> PAGEREF _Toc237452520 \h </w:instrText>
            </w:r>
            <w:r w:rsidRPr="005A7AA0">
              <w:rPr>
                <w:webHidden/>
              </w:rPr>
            </w:r>
            <w:r w:rsidRPr="005A7AA0">
              <w:rPr>
                <w:webHidden/>
              </w:rPr>
              <w:fldChar w:fldCharType="separate"/>
            </w:r>
            <w:r w:rsidRPr="005A7AA0">
              <w:rPr>
                <w:webHidden/>
              </w:rPr>
              <w:t>3</w:t>
            </w:r>
            <w:r w:rsidRPr="005A7AA0">
              <w:rPr>
                <w:webHidden/>
              </w:rPr>
              <w:fldChar w:fldCharType="end"/>
            </w:r>
          </w:hyperlink>
        </w:p>
        <w:p w14:paraId="6ED73C05" w14:textId="295CE4AA" w:rsidR="00A51173" w:rsidRPr="005A7AA0" w:rsidRDefault="00A51173">
          <w:pPr>
            <w:pStyle w:val="Cuprins1"/>
            <w:tabs>
              <w:tab w:val="right" w:leader="dot" w:pos="9350"/>
            </w:tabs>
            <w:rPr>
              <w:rFonts w:asciiTheme="minorHAnsi" w:eastAsiaTheme="minorEastAsia" w:hAnsiTheme="minorHAnsi" w:cstheme="minorBidi"/>
              <w:kern w:val="2"/>
              <w:sz w:val="24"/>
              <w:szCs w:val="24"/>
              <w14:ligatures w14:val="standardContextual"/>
            </w:rPr>
          </w:pPr>
          <w:hyperlink w:anchor="_Toc237452521" w:history="1">
            <w:r w:rsidRPr="005A7AA0">
              <w:rPr>
                <w:rStyle w:val="Hyperlink"/>
              </w:rPr>
              <w:t>Administrative skills, records and legislation</w:t>
            </w:r>
            <w:r w:rsidRPr="005A7AA0">
              <w:rPr>
                <w:webHidden/>
              </w:rPr>
              <w:tab/>
            </w:r>
            <w:r w:rsidRPr="005A7AA0">
              <w:rPr>
                <w:webHidden/>
              </w:rPr>
              <w:fldChar w:fldCharType="begin"/>
            </w:r>
            <w:r w:rsidRPr="005A7AA0">
              <w:rPr>
                <w:webHidden/>
              </w:rPr>
              <w:instrText xml:space="preserve"> PAGEREF _Toc237452521 \h </w:instrText>
            </w:r>
            <w:r w:rsidRPr="005A7AA0">
              <w:rPr>
                <w:webHidden/>
              </w:rPr>
            </w:r>
            <w:r w:rsidRPr="005A7AA0">
              <w:rPr>
                <w:webHidden/>
              </w:rPr>
              <w:fldChar w:fldCharType="separate"/>
            </w:r>
            <w:r w:rsidRPr="005A7AA0">
              <w:rPr>
                <w:webHidden/>
              </w:rPr>
              <w:t>4</w:t>
            </w:r>
            <w:r w:rsidRPr="005A7AA0">
              <w:rPr>
                <w:webHidden/>
              </w:rPr>
              <w:fldChar w:fldCharType="end"/>
            </w:r>
          </w:hyperlink>
        </w:p>
        <w:p w14:paraId="52267E75" w14:textId="51EA12A9" w:rsidR="00A51173" w:rsidRPr="005A7AA0" w:rsidRDefault="00A51173">
          <w:pPr>
            <w:pStyle w:val="Cuprins1"/>
            <w:tabs>
              <w:tab w:val="right" w:leader="dot" w:pos="9350"/>
            </w:tabs>
            <w:rPr>
              <w:rFonts w:asciiTheme="minorHAnsi" w:eastAsiaTheme="minorEastAsia" w:hAnsiTheme="minorHAnsi" w:cstheme="minorBidi"/>
              <w:kern w:val="2"/>
              <w:sz w:val="24"/>
              <w:szCs w:val="24"/>
              <w14:ligatures w14:val="standardContextual"/>
            </w:rPr>
          </w:pPr>
          <w:hyperlink w:anchor="_Toc237452522" w:history="1">
            <w:r w:rsidRPr="005A7AA0">
              <w:rPr>
                <w:rStyle w:val="Hyperlink"/>
              </w:rPr>
              <w:t>Collaborative/multi-agency working</w:t>
            </w:r>
            <w:r w:rsidRPr="005A7AA0">
              <w:rPr>
                <w:webHidden/>
              </w:rPr>
              <w:tab/>
            </w:r>
            <w:r w:rsidRPr="005A7AA0">
              <w:rPr>
                <w:webHidden/>
              </w:rPr>
              <w:fldChar w:fldCharType="begin"/>
            </w:r>
            <w:r w:rsidRPr="005A7AA0">
              <w:rPr>
                <w:webHidden/>
              </w:rPr>
              <w:instrText xml:space="preserve"> PAGEREF _Toc237452522 \h </w:instrText>
            </w:r>
            <w:r w:rsidRPr="005A7AA0">
              <w:rPr>
                <w:webHidden/>
              </w:rPr>
            </w:r>
            <w:r w:rsidRPr="005A7AA0">
              <w:rPr>
                <w:webHidden/>
              </w:rPr>
              <w:fldChar w:fldCharType="separate"/>
            </w:r>
            <w:r w:rsidRPr="005A7AA0">
              <w:rPr>
                <w:webHidden/>
              </w:rPr>
              <w:t>5</w:t>
            </w:r>
            <w:r w:rsidRPr="005A7AA0">
              <w:rPr>
                <w:webHidden/>
              </w:rPr>
              <w:fldChar w:fldCharType="end"/>
            </w:r>
          </w:hyperlink>
        </w:p>
        <w:p w14:paraId="29CE250C" w14:textId="308C0C48" w:rsidR="00A51173" w:rsidRPr="005A7AA0" w:rsidRDefault="00A51173">
          <w:pPr>
            <w:pStyle w:val="Cuprins1"/>
            <w:tabs>
              <w:tab w:val="right" w:leader="dot" w:pos="9350"/>
            </w:tabs>
            <w:rPr>
              <w:rFonts w:asciiTheme="minorHAnsi" w:eastAsiaTheme="minorEastAsia" w:hAnsiTheme="minorHAnsi" w:cstheme="minorBidi"/>
              <w:kern w:val="2"/>
              <w:sz w:val="24"/>
              <w:szCs w:val="24"/>
              <w14:ligatures w14:val="standardContextual"/>
            </w:rPr>
          </w:pPr>
          <w:hyperlink w:anchor="_Toc237452523" w:history="1">
            <w:r w:rsidRPr="005A7AA0">
              <w:rPr>
                <w:rStyle w:val="Hyperlink"/>
              </w:rPr>
              <w:t>Conclusion</w:t>
            </w:r>
            <w:r w:rsidRPr="005A7AA0">
              <w:rPr>
                <w:webHidden/>
              </w:rPr>
              <w:tab/>
            </w:r>
            <w:r w:rsidRPr="005A7AA0">
              <w:rPr>
                <w:webHidden/>
              </w:rPr>
              <w:fldChar w:fldCharType="begin"/>
            </w:r>
            <w:r w:rsidRPr="005A7AA0">
              <w:rPr>
                <w:webHidden/>
              </w:rPr>
              <w:instrText xml:space="preserve"> PAGEREF _Toc237452523 \h </w:instrText>
            </w:r>
            <w:r w:rsidRPr="005A7AA0">
              <w:rPr>
                <w:webHidden/>
              </w:rPr>
            </w:r>
            <w:r w:rsidRPr="005A7AA0">
              <w:rPr>
                <w:webHidden/>
              </w:rPr>
              <w:fldChar w:fldCharType="separate"/>
            </w:r>
            <w:r w:rsidRPr="005A7AA0">
              <w:rPr>
                <w:webHidden/>
              </w:rPr>
              <w:t>6</w:t>
            </w:r>
            <w:r w:rsidRPr="005A7AA0">
              <w:rPr>
                <w:webHidden/>
              </w:rPr>
              <w:fldChar w:fldCharType="end"/>
            </w:r>
          </w:hyperlink>
        </w:p>
        <w:p w14:paraId="64700F54" w14:textId="68E14CEE" w:rsidR="00A51173" w:rsidRPr="005A7AA0" w:rsidRDefault="00A51173">
          <w:pPr>
            <w:pStyle w:val="Cuprins1"/>
            <w:tabs>
              <w:tab w:val="right" w:leader="dot" w:pos="9350"/>
            </w:tabs>
            <w:rPr>
              <w:rFonts w:asciiTheme="minorHAnsi" w:eastAsiaTheme="minorEastAsia" w:hAnsiTheme="minorHAnsi" w:cstheme="minorBidi"/>
              <w:kern w:val="2"/>
              <w:sz w:val="24"/>
              <w:szCs w:val="24"/>
              <w14:ligatures w14:val="standardContextual"/>
            </w:rPr>
          </w:pPr>
          <w:hyperlink w:anchor="_Toc237452524" w:history="1">
            <w:r w:rsidRPr="005A7AA0">
              <w:rPr>
                <w:rStyle w:val="Hyperlink"/>
              </w:rPr>
              <w:t>References</w:t>
            </w:r>
            <w:r w:rsidRPr="005A7AA0">
              <w:rPr>
                <w:webHidden/>
              </w:rPr>
              <w:tab/>
            </w:r>
            <w:r w:rsidRPr="005A7AA0">
              <w:rPr>
                <w:webHidden/>
              </w:rPr>
              <w:fldChar w:fldCharType="begin"/>
            </w:r>
            <w:r w:rsidRPr="005A7AA0">
              <w:rPr>
                <w:webHidden/>
              </w:rPr>
              <w:instrText xml:space="preserve"> PAGEREF _Toc237452524 \h </w:instrText>
            </w:r>
            <w:r w:rsidRPr="005A7AA0">
              <w:rPr>
                <w:webHidden/>
              </w:rPr>
            </w:r>
            <w:r w:rsidRPr="005A7AA0">
              <w:rPr>
                <w:webHidden/>
              </w:rPr>
              <w:fldChar w:fldCharType="separate"/>
            </w:r>
            <w:r w:rsidRPr="005A7AA0">
              <w:rPr>
                <w:webHidden/>
              </w:rPr>
              <w:t>7</w:t>
            </w:r>
            <w:r w:rsidRPr="005A7AA0">
              <w:rPr>
                <w:webHidden/>
              </w:rPr>
              <w:fldChar w:fldCharType="end"/>
            </w:r>
          </w:hyperlink>
        </w:p>
        <w:p w14:paraId="66D42C15" w14:textId="3A08FEC7" w:rsidR="00B06F53" w:rsidRPr="005A7AA0" w:rsidRDefault="00B06F53" w:rsidP="00B06F53">
          <w:r w:rsidRPr="005A7AA0">
            <w:rPr>
              <w:b/>
              <w:bCs/>
            </w:rPr>
            <w:fldChar w:fldCharType="end"/>
          </w:r>
        </w:p>
      </w:sdtContent>
    </w:sdt>
    <w:p w14:paraId="75961241" w14:textId="77777777" w:rsidR="00B06F53" w:rsidRPr="005A7AA0" w:rsidRDefault="00B06F53" w:rsidP="00B06F53">
      <w:pPr>
        <w:rPr>
          <w:b/>
          <w:bCs/>
          <w:color w:val="0E101A"/>
        </w:rPr>
      </w:pPr>
      <w:r w:rsidRPr="005A7AA0">
        <w:br w:type="page"/>
      </w:r>
    </w:p>
    <w:p w14:paraId="1210D149" w14:textId="58093DD6" w:rsidR="008E39E3" w:rsidRPr="005A7AA0" w:rsidRDefault="00E722F4" w:rsidP="00B06F53">
      <w:pPr>
        <w:pStyle w:val="Titlu1"/>
      </w:pPr>
      <w:bookmarkStart w:id="1" w:name="_Toc237452519"/>
      <w:r w:rsidRPr="005A7AA0">
        <w:lastRenderedPageBreak/>
        <w:t>Introduction</w:t>
      </w:r>
      <w:bookmarkEnd w:id="1"/>
    </w:p>
    <w:p w14:paraId="2A398BE7" w14:textId="77777777" w:rsidR="008E39E3" w:rsidRPr="005A7AA0" w:rsidRDefault="00E722F4" w:rsidP="00B06F53">
      <w:pPr>
        <w:rPr>
          <w:color w:val="0E101A"/>
        </w:rPr>
      </w:pPr>
      <w:r w:rsidRPr="005A7AA0">
        <w:rPr>
          <w:color w:val="0E101A"/>
        </w:rPr>
        <w:t xml:space="preserve">As per the information, dementia is considered that Dementia would be considered as the loss of memory, issues related to language and thinking abilities and other symptoms (Moroz </w:t>
      </w:r>
      <w:r w:rsidRPr="005A7AA0">
        <w:rPr>
          <w:i/>
          <w:iCs/>
          <w:color w:val="0E101A"/>
        </w:rPr>
        <w:t>et al</w:t>
      </w:r>
      <w:r w:rsidRPr="005A7AA0">
        <w:rPr>
          <w:color w:val="0E101A"/>
        </w:rPr>
        <w:t>., 20224). It is one of the diseases that takes place in elderly people and presents with various symptoms. This report is based on Mrs Thompson, who is 84 years old and was discharged from the hospital after suffering from pneumonia. After returning back home, she has faced definite issues with symptoms of dementia. Hence, this is the report that would speak on the basis of effective communication, good administrative skills, collaborative working strategies and others. The procedure of fostering collabora</w:t>
      </w:r>
      <w:r w:rsidRPr="005A7AA0">
        <w:rPr>
          <w:color w:val="0E101A"/>
        </w:rPr>
        <w:t xml:space="preserve">tion would also be discussed, and along with that, it would also address the challenges that are incorporated within it. The report would focus on describing the procedure vividly.    </w:t>
      </w:r>
    </w:p>
    <w:p w14:paraId="7CB8E119" w14:textId="77777777" w:rsidR="008E39E3" w:rsidRPr="005A7AA0" w:rsidRDefault="00E722F4" w:rsidP="00B06F53">
      <w:pPr>
        <w:pStyle w:val="Titlu1"/>
      </w:pPr>
      <w:bookmarkStart w:id="2" w:name="_xiurjbxtzmkx" w:colFirst="0" w:colLast="0"/>
      <w:bookmarkStart w:id="3" w:name="_Toc237452520"/>
      <w:bookmarkEnd w:id="2"/>
      <w:r w:rsidRPr="005A7AA0">
        <w:t>Effective communication</w:t>
      </w:r>
      <w:bookmarkEnd w:id="3"/>
      <w:r w:rsidRPr="005A7AA0">
        <w:t xml:space="preserve"> </w:t>
      </w:r>
    </w:p>
    <w:p w14:paraId="5BA08786" w14:textId="77777777" w:rsidR="008E39E3" w:rsidRPr="005A7AA0" w:rsidRDefault="00E722F4" w:rsidP="00B06F53">
      <w:pPr>
        <w:rPr>
          <w:color w:val="0E101A"/>
        </w:rPr>
      </w:pPr>
      <w:r w:rsidRPr="005A7AA0">
        <w:rPr>
          <w:color w:val="0E101A"/>
        </w:rPr>
        <w:t>As per the case study, it has been identified that Mrs Thompson is suffering from dementia, and the symptoms that are related to the procedure include that she forgot to take her medicine on time, she was confused about the procedure, she went out in the cold winter and others. The first step incorporated to cure the patients includes effective communication. The communication procedure would be depicted as the part of the treatment procedure that would help the patient get cured faster.</w:t>
      </w:r>
    </w:p>
    <w:p w14:paraId="387BFADE" w14:textId="77777777" w:rsidR="008E39E3" w:rsidRPr="005A7AA0" w:rsidRDefault="00E722F4" w:rsidP="00B06F53">
      <w:pPr>
        <w:rPr>
          <w:color w:val="0E101A"/>
        </w:rPr>
      </w:pPr>
      <w:r w:rsidRPr="005A7AA0">
        <w:rPr>
          <w:color w:val="0E101A"/>
        </w:rPr>
        <w:t xml:space="preserve">The first step that would be incorporated includes the emotional connection to test the memory power of the patients. The communication skills of the service care provider would be stated as a supportive factor to cure the issues of Dementia (Sunjaya </w:t>
      </w:r>
      <w:r w:rsidRPr="005A7AA0">
        <w:rPr>
          <w:i/>
          <w:iCs/>
          <w:color w:val="0E101A"/>
        </w:rPr>
        <w:t>et al</w:t>
      </w:r>
      <w:r w:rsidRPr="005A7AA0">
        <w:rPr>
          <w:color w:val="0E101A"/>
        </w:rPr>
        <w:t xml:space="preserve">., 2025). Hence, the steps that are included within it are to get her attention and check the comfort zone of Mrs Thompson. The third step would be to reduce the background noise which would create the disturbance, and the last one would be to follow up on the body language of the patient. </w:t>
      </w:r>
    </w:p>
    <w:p w14:paraId="0753F2AA" w14:textId="77777777" w:rsidR="008E39E3" w:rsidRPr="005A7AA0" w:rsidRDefault="00E722F4" w:rsidP="00B06F53">
      <w:pPr>
        <w:rPr>
          <w:color w:val="0E101A"/>
        </w:rPr>
      </w:pPr>
      <w:r w:rsidRPr="005A7AA0">
        <w:rPr>
          <w:color w:val="0E101A"/>
        </w:rPr>
        <w:t xml:space="preserve">Attention would be gathered by calling her name; checking out the comfort zone would include the procedure in which she is comfortable. The last strategy would be to follow up on the body language of the patient and deal with her with friendly expressions.  </w:t>
      </w:r>
    </w:p>
    <w:p w14:paraId="3A911955" w14:textId="77777777" w:rsidR="008E39E3" w:rsidRPr="005A7AA0" w:rsidRDefault="00E722F4" w:rsidP="00B06F53">
      <w:pPr>
        <w:rPr>
          <w:color w:val="0E101A"/>
        </w:rPr>
      </w:pPr>
      <w:r w:rsidRPr="005A7AA0">
        <w:rPr>
          <w:color w:val="0E101A"/>
        </w:rPr>
        <w:t xml:space="preserve">In terms of Dementia, in most cases the patients suffer from loneliness and anxiety (Karska </w:t>
      </w:r>
      <w:r w:rsidRPr="005A7AA0">
        <w:rPr>
          <w:i/>
          <w:iCs/>
          <w:color w:val="0E101A"/>
        </w:rPr>
        <w:t>et al</w:t>
      </w:r>
      <w:r w:rsidRPr="005A7AA0">
        <w:rPr>
          <w:color w:val="0E101A"/>
        </w:rPr>
        <w:t>., 2023). In those scenarios, the service care provider focuses on engaging the family members in the procedure. The work would be to connect the family members emotionally so that the patients do not feel lonely. This would also be responsible for acknowledging the stress and providing them with empathy.</w:t>
      </w:r>
    </w:p>
    <w:p w14:paraId="6B85A6D8" w14:textId="77777777" w:rsidR="008E39E3" w:rsidRPr="005A7AA0" w:rsidRDefault="00E722F4" w:rsidP="00B06F53">
      <w:pPr>
        <w:rPr>
          <w:color w:val="0E101A"/>
        </w:rPr>
      </w:pPr>
      <w:r w:rsidRPr="005A7AA0">
        <w:rPr>
          <w:color w:val="0E101A"/>
        </w:rPr>
        <w:t xml:space="preserve">The procedure would also be connected with the Core Principles of the Equality Act 2010. As per this act, it would be responsible for protecting the individual from different forms of discrimination </w:t>
      </w:r>
      <w:r w:rsidRPr="005A7AA0">
        <w:rPr>
          <w:color w:val="0E101A"/>
        </w:rPr>
        <w:lastRenderedPageBreak/>
        <w:t>and providing them with treatment. The other strategies include the prohibition of discrimination, the development of reasonable adjustments, advancing equality and others (GOV.UK, 2026). This would be responsible for prohibiting direct discrimination, bans on discrimination, harassment and victimisation. The protection of the individual is directly connected with the procedure that helps towards the protection strategies of Mrs Thompson. It would also be involved with a different theory or model that inclu</w:t>
      </w:r>
      <w:r w:rsidRPr="005A7AA0">
        <w:rPr>
          <w:color w:val="0E101A"/>
        </w:rPr>
        <w:t xml:space="preserve">des the communication model. </w:t>
      </w:r>
    </w:p>
    <w:p w14:paraId="015EABED" w14:textId="77777777" w:rsidR="008E39E3" w:rsidRPr="005A7AA0" w:rsidRDefault="00E722F4" w:rsidP="00B06F53">
      <w:pPr>
        <w:rPr>
          <w:color w:val="0E101A"/>
        </w:rPr>
      </w:pPr>
      <w:r w:rsidRPr="005A7AA0">
        <w:rPr>
          <w:color w:val="0E101A"/>
        </w:rPr>
        <w:t xml:space="preserve">As part of the communication model, the interactive model would be followed, where the sender and the receiver would both be included in the procedure for the exchange of knowledge and information (Yassi </w:t>
      </w:r>
      <w:r w:rsidRPr="005A7AA0">
        <w:rPr>
          <w:i/>
          <w:iCs/>
          <w:color w:val="0E101A"/>
        </w:rPr>
        <w:t>et al.</w:t>
      </w:r>
      <w:r w:rsidRPr="005A7AA0">
        <w:rPr>
          <w:color w:val="0E101A"/>
        </w:rPr>
        <w:t xml:space="preserve">, 2023). It would be developed for Mrs Thompson to help her overcome the issues and lead a normal lifestyle. Hence it would be classified that the communication strategies would be supportive for the care provider to cure the patients and at the same time interact with them with the superior interaction strategies. This would make them supportive to convey the ethics and cure the people in a supportive way.                     </w:t>
      </w:r>
    </w:p>
    <w:p w14:paraId="27F65587" w14:textId="77777777" w:rsidR="008E39E3" w:rsidRPr="005A7AA0" w:rsidRDefault="00E722F4" w:rsidP="00B06F53">
      <w:pPr>
        <w:pStyle w:val="Titlu1"/>
      </w:pPr>
      <w:bookmarkStart w:id="4" w:name="_8q0vjusx9em8" w:colFirst="0" w:colLast="0"/>
      <w:bookmarkStart w:id="5" w:name="_Toc237452521"/>
      <w:bookmarkEnd w:id="4"/>
      <w:r w:rsidRPr="005A7AA0">
        <w:t>Administrative skills, records and legislation</w:t>
      </w:r>
      <w:bookmarkEnd w:id="5"/>
      <w:r w:rsidRPr="005A7AA0">
        <w:t xml:space="preserve"> </w:t>
      </w:r>
    </w:p>
    <w:p w14:paraId="303BD8E3" w14:textId="77777777" w:rsidR="008E39E3" w:rsidRPr="005A7AA0" w:rsidRDefault="00E722F4" w:rsidP="00B06F53">
      <w:pPr>
        <w:rPr>
          <w:color w:val="0E101A"/>
        </w:rPr>
      </w:pPr>
      <w:r w:rsidRPr="005A7AA0">
        <w:rPr>
          <w:color w:val="0E101A"/>
        </w:rPr>
        <w:t xml:space="preserve">There is definite importance to administrative skills, which include driving workplace efficiency, minimising cost errors, and developing day-to-day operations (Divakaran, 2026). The effectiveness within the procedure includes clear communication, the effective problem solving strategies, enhancing the efficiency and the others. These skills would definitely be implemented in terms of Mrs Thomson's care procedure. The procedure that is included in the effectiveness of the administrative skills includes the </w:t>
      </w:r>
      <w:r w:rsidRPr="005A7AA0">
        <w:rPr>
          <w:color w:val="0E101A"/>
        </w:rPr>
        <w:t xml:space="preserve">record-keeping procedure, the Data Protection Act 2018, the relevant legislation strategies, the health and social care policy framework and others. </w:t>
      </w:r>
    </w:p>
    <w:p w14:paraId="02FC4E54" w14:textId="77777777" w:rsidR="008E39E3" w:rsidRPr="005A7AA0" w:rsidRDefault="00E722F4" w:rsidP="00B06F53">
      <w:pPr>
        <w:rPr>
          <w:color w:val="0E101A"/>
        </w:rPr>
      </w:pPr>
      <w:r w:rsidRPr="005A7AA0">
        <w:rPr>
          <w:color w:val="0E101A"/>
        </w:rPr>
        <w:t xml:space="preserve">The specified patients would be treated using the record-keeping procedure. It would hold information on managing and maintaining paper documents for the care plan structure and enhancing the financial data procedure. The list of entities would be kept in a step-by-step order that would be effective for managing the list of procedures and making the strategies noted to cure the patients in the least duration of the time period.      </w:t>
      </w:r>
    </w:p>
    <w:p w14:paraId="24559DC8" w14:textId="77777777" w:rsidR="008E39E3" w:rsidRPr="005A7AA0" w:rsidRDefault="00E722F4" w:rsidP="00B06F53">
      <w:pPr>
        <w:rPr>
          <w:color w:val="0E101A"/>
        </w:rPr>
      </w:pPr>
      <w:r w:rsidRPr="005A7AA0">
        <w:rPr>
          <w:color w:val="0E101A"/>
        </w:rPr>
        <w:t xml:space="preserve">It would directly be linked up to the strategies of the Data Protection Act of 2018 for controlling personal data usage strategies and the Data Privacy Act strategies and the interactions (Davey </w:t>
      </w:r>
      <w:r w:rsidRPr="005A7AA0">
        <w:rPr>
          <w:i/>
          <w:iCs/>
          <w:color w:val="0E101A"/>
        </w:rPr>
        <w:t>et al</w:t>
      </w:r>
      <w:r w:rsidRPr="005A7AA0">
        <w:rPr>
          <w:color w:val="0E101A"/>
        </w:rPr>
        <w:t xml:space="preserve">., 2018). This would also be implemented by the service care provider, which would help with the strategies of safeguarding the data related to treating patients. </w:t>
      </w:r>
    </w:p>
    <w:p w14:paraId="0392D8C4" w14:textId="77777777" w:rsidR="008E39E3" w:rsidRPr="005A7AA0" w:rsidRDefault="00E722F4" w:rsidP="00B06F53">
      <w:pPr>
        <w:rPr>
          <w:color w:val="0E101A"/>
        </w:rPr>
      </w:pPr>
      <w:r w:rsidRPr="005A7AA0">
        <w:rPr>
          <w:color w:val="0E101A"/>
        </w:rPr>
        <w:t xml:space="preserve">The Data Protection Act would also be linked to enhancing the privacy rights that are developed for maintaining confidentiality. It would also be related to the Health and Social Care Act, which sets out the regulatory standards for providing safe care delivery and maintaining the effectiveness of the process. </w:t>
      </w:r>
    </w:p>
    <w:p w14:paraId="33929488" w14:textId="77777777" w:rsidR="008E39E3" w:rsidRPr="005A7AA0" w:rsidRDefault="00E722F4" w:rsidP="00B06F53">
      <w:pPr>
        <w:rPr>
          <w:color w:val="0E101A"/>
        </w:rPr>
      </w:pPr>
      <w:r w:rsidRPr="005A7AA0">
        <w:rPr>
          <w:color w:val="0E101A"/>
        </w:rPr>
        <w:lastRenderedPageBreak/>
        <w:t xml:space="preserve">Mrs Thomson would also refer to the Human Rights Act to provide the individual rights and the definite strategies incorporated within it. The decision-making procedure would be incorporated within it from the perspective of making decisions in terms of the person-centred care framework.  </w:t>
      </w:r>
    </w:p>
    <w:p w14:paraId="195905E1" w14:textId="77777777" w:rsidR="008E39E3" w:rsidRPr="005A7AA0" w:rsidRDefault="00E722F4" w:rsidP="00B06F53">
      <w:pPr>
        <w:rPr>
          <w:color w:val="0E101A"/>
        </w:rPr>
      </w:pPr>
      <w:r w:rsidRPr="005A7AA0">
        <w:rPr>
          <w:color w:val="0E101A"/>
        </w:rPr>
        <w:t>The safeguarding policies would also be incorporated with the risk management policies for balancing safety and human rights with physical and mental health.</w:t>
      </w:r>
    </w:p>
    <w:p w14:paraId="07434A1E" w14:textId="77777777" w:rsidR="008E39E3" w:rsidRPr="005A7AA0" w:rsidRDefault="00E722F4" w:rsidP="00B06F53">
      <w:pPr>
        <w:rPr>
          <w:color w:val="0E101A"/>
        </w:rPr>
      </w:pPr>
      <w:r w:rsidRPr="005A7AA0">
        <w:rPr>
          <w:color w:val="0E101A"/>
        </w:rPr>
        <w:t xml:space="preserve">After the utilisation of the procedure, it would be classified that the patients would be provided with a medication review, decreasing the level of confusion, documentation of the procedure, making the patients feel proud of the process, and at the same time, sharing the information for the appropriate cure and making them feel free.   </w:t>
      </w:r>
    </w:p>
    <w:p w14:paraId="3B7F13AA" w14:textId="77777777" w:rsidR="008E39E3" w:rsidRPr="005A7AA0" w:rsidRDefault="00E722F4" w:rsidP="00B06F53">
      <w:pPr>
        <w:pStyle w:val="Titlu1"/>
      </w:pPr>
      <w:bookmarkStart w:id="6" w:name="_vgev9fmsy2w1" w:colFirst="0" w:colLast="0"/>
      <w:bookmarkStart w:id="7" w:name="_Toc237452522"/>
      <w:bookmarkEnd w:id="6"/>
      <w:r w:rsidRPr="005A7AA0">
        <w:t>Collaborative/multi-agency working</w:t>
      </w:r>
      <w:bookmarkEnd w:id="7"/>
      <w:r w:rsidRPr="005A7AA0">
        <w:t xml:space="preserve"> </w:t>
      </w:r>
    </w:p>
    <w:p w14:paraId="152229C7" w14:textId="77777777" w:rsidR="008E39E3" w:rsidRPr="005A7AA0" w:rsidRDefault="00E722F4" w:rsidP="00B06F53">
      <w:pPr>
        <w:rPr>
          <w:color w:val="0E101A"/>
        </w:rPr>
      </w:pPr>
      <w:r w:rsidRPr="005A7AA0">
        <w:rPr>
          <w:color w:val="0E101A"/>
        </w:rPr>
        <w:t>The collaborative working strategies would be stated as the procedure to share the information, align with the goals and the collaborative working strategies, and at the same time support the vulnerable individual. The key components that are linked to the strategies include sharing information, developing joint planning, delivering the interventions of the work and at the same time avoiding the gap (Armstrong, 2025). The collaborative action strategy is also responsible for making collective decisions, pro</w:t>
      </w:r>
      <w:r w:rsidRPr="005A7AA0">
        <w:rPr>
          <w:color w:val="0E101A"/>
        </w:rPr>
        <w:t xml:space="preserve">tecting and supporting the individual. The collaborative action includes the general practitioner, community nurse, and domiciliary care worker.  </w:t>
      </w:r>
    </w:p>
    <w:p w14:paraId="5AA97E53" w14:textId="77777777" w:rsidR="008E39E3" w:rsidRPr="005A7AA0" w:rsidRDefault="00E722F4" w:rsidP="00B06F53">
      <w:pPr>
        <w:rPr>
          <w:color w:val="0E101A"/>
        </w:rPr>
      </w:pPr>
      <w:r w:rsidRPr="005A7AA0">
        <w:rPr>
          <w:color w:val="0E101A"/>
        </w:rPr>
        <w:t xml:space="preserve">At the initial stages, the social care services would work to provide general care services. The procedures that would be incorporated include the treatment of the illness, prescribing medicines and managing the chronic conditions.       </w:t>
      </w:r>
    </w:p>
    <w:p w14:paraId="3360177C" w14:textId="77777777" w:rsidR="008E39E3" w:rsidRPr="005A7AA0" w:rsidRDefault="00E722F4" w:rsidP="00B06F53">
      <w:pPr>
        <w:rPr>
          <w:color w:val="0E101A"/>
        </w:rPr>
      </w:pPr>
      <w:r w:rsidRPr="005A7AA0">
        <w:rPr>
          <w:color w:val="0E101A"/>
        </w:rPr>
        <w:t>The next strategy would be initiating the help of the nurse to improve the quality of the treatment. It would have been implemented for the purpose of curing Mrs Thompson. In the initial stages, the service care provider would start with the general practitioner's practice and diagnosis of the disease. The next treatment would be dealing with the nursing community, which includes taking the help of the hospitals and providing direct clinical care that includes administering and monitoring the vital signs an</w:t>
      </w:r>
      <w:r w:rsidRPr="005A7AA0">
        <w:rPr>
          <w:color w:val="0E101A"/>
        </w:rPr>
        <w:t xml:space="preserve">d, at the same time, providing long-term illness care services. </w:t>
      </w:r>
    </w:p>
    <w:p w14:paraId="0871C804" w14:textId="77777777" w:rsidR="008E39E3" w:rsidRPr="005A7AA0" w:rsidRDefault="00E722F4" w:rsidP="00B06F53">
      <w:pPr>
        <w:rPr>
          <w:color w:val="0E101A"/>
        </w:rPr>
      </w:pPr>
      <w:r w:rsidRPr="005A7AA0">
        <w:rPr>
          <w:color w:val="0E101A"/>
        </w:rPr>
        <w:t>At the same time, the third option includes the domiciliary care worker who provides daily living assistance. To provide different care for Mrs Thompson, these activities would be followed to help the patient complete daily activities that include bathing, dressing, eating, and taking non-prescription medications. The daily support in the work would help the organisation or the service provider to make them aware of the facts. Following this concept and its effectiveness, it would be stated that Mrs Thompso</w:t>
      </w:r>
      <w:r w:rsidRPr="005A7AA0">
        <w:rPr>
          <w:color w:val="0E101A"/>
        </w:rPr>
        <w:t xml:space="preserve">n would be able to be cured of the process.         </w:t>
      </w:r>
    </w:p>
    <w:p w14:paraId="1012FE60" w14:textId="77777777" w:rsidR="008E39E3" w:rsidRPr="005A7AA0" w:rsidRDefault="00E722F4" w:rsidP="00B06F53">
      <w:pPr>
        <w:pStyle w:val="Titlu1"/>
      </w:pPr>
      <w:bookmarkStart w:id="8" w:name="_svna73z3jxi0" w:colFirst="0" w:colLast="0"/>
      <w:bookmarkStart w:id="9" w:name="_Toc237452523"/>
      <w:bookmarkEnd w:id="8"/>
      <w:r w:rsidRPr="005A7AA0">
        <w:lastRenderedPageBreak/>
        <w:t>Conclusion</w:t>
      </w:r>
      <w:bookmarkEnd w:id="9"/>
      <w:r w:rsidRPr="005A7AA0">
        <w:t xml:space="preserve"> </w:t>
      </w:r>
    </w:p>
    <w:p w14:paraId="43B54FD6" w14:textId="77777777" w:rsidR="008E39E3" w:rsidRPr="005A7AA0" w:rsidRDefault="00E722F4" w:rsidP="00B06F53">
      <w:pPr>
        <w:rPr>
          <w:color w:val="0E101A"/>
        </w:rPr>
      </w:pPr>
      <w:r w:rsidRPr="005A7AA0">
        <w:rPr>
          <w:color w:val="0E101A"/>
        </w:rPr>
        <w:t>As per the above information, it would be concluded that Mrs Thompson has been suffering from dementia and that she is being cured with the help of the definite strategies that include suitable communication skills, collaborative skills and administrative skills. Communication would be stated as one of the supportive ones that helps the patients to get cured of anxiety and loneliness. The administrative skills include the procedure of data protection, which would be incorporated with the protection of the d</w:t>
      </w:r>
      <w:r w:rsidRPr="005A7AA0">
        <w:rPr>
          <w:color w:val="0E101A"/>
        </w:rPr>
        <w:t xml:space="preserve">ata, and following up the legislation act and the definite strategies. The last one is the collaborative working form that includes community enhancement, domiciliary care workers and others. This would help the patients to recover from the procedure.  </w:t>
      </w:r>
    </w:p>
    <w:p w14:paraId="1DC4AFF8" w14:textId="77777777" w:rsidR="008E39E3" w:rsidRPr="005A7AA0" w:rsidRDefault="008E39E3" w:rsidP="00B06F53">
      <w:pPr>
        <w:rPr>
          <w:b/>
          <w:bCs/>
        </w:rPr>
      </w:pPr>
    </w:p>
    <w:p w14:paraId="1D9F6DCD" w14:textId="77777777" w:rsidR="008E39E3" w:rsidRPr="005A7AA0" w:rsidRDefault="00E722F4" w:rsidP="00B06F53">
      <w:r w:rsidRPr="005A7AA0">
        <w:br w:type="page"/>
      </w:r>
    </w:p>
    <w:p w14:paraId="08440780" w14:textId="77777777" w:rsidR="008E39E3" w:rsidRPr="005A7AA0" w:rsidRDefault="00E722F4" w:rsidP="00B06F53">
      <w:pPr>
        <w:pStyle w:val="Titlu1"/>
      </w:pPr>
      <w:bookmarkStart w:id="10" w:name="_7tkmpaj7xcq3" w:colFirst="0" w:colLast="0"/>
      <w:bookmarkStart w:id="11" w:name="_Toc237452524"/>
      <w:bookmarkEnd w:id="10"/>
      <w:r w:rsidRPr="005A7AA0">
        <w:t>References</w:t>
      </w:r>
      <w:bookmarkEnd w:id="11"/>
      <w:r w:rsidRPr="005A7AA0">
        <w:t xml:space="preserve">  </w:t>
      </w:r>
    </w:p>
    <w:p w14:paraId="7041B3E4" w14:textId="77777777" w:rsidR="00B06F53" w:rsidRPr="005A7AA0" w:rsidRDefault="00B06F53" w:rsidP="00B06F53">
      <w:pPr>
        <w:spacing w:before="100" w:after="100"/>
      </w:pPr>
      <w:r w:rsidRPr="005A7AA0">
        <w:t xml:space="preserve">Armstrong, M., (2025). Collaborative Success: Aligning Personal and Organizational Objectives in the Workplace. Library Leadership &amp; Management, 39(1). https://llm.corejournals.org/llm/article/view/7690    </w:t>
      </w:r>
    </w:p>
    <w:p w14:paraId="239F19E8" w14:textId="77777777" w:rsidR="00B06F53" w:rsidRPr="005A7AA0" w:rsidRDefault="00B06F53" w:rsidP="00B06F53">
      <w:pPr>
        <w:spacing w:before="100" w:after="100"/>
      </w:pPr>
      <w:r w:rsidRPr="005A7AA0">
        <w:t xml:space="preserve">Davey, M.G., O’Donnell, J.P., Maher, E., McMenamin, C., McAnena, P.F., Kerin, M.J., Miller, N. and Lowery, A.J., (2022). General data protection regulations (2018) and clinical research: perspectives of patients and doctors in an Irish university teaching hospital. Irish Journal of Medical Science (1971-), 191(4), pp.1513-1519. </w:t>
      </w:r>
      <w:hyperlink r:id="rId8">
        <w:r w:rsidRPr="005A7AA0">
          <w:rPr>
            <w:color w:val="1155CC"/>
            <w:u w:val="single"/>
          </w:rPr>
          <w:t>https://link.springer.com/article/10.1007/s11845-021-02789-8</w:t>
        </w:r>
      </w:hyperlink>
    </w:p>
    <w:p w14:paraId="29B1984C" w14:textId="77777777" w:rsidR="00B06F53" w:rsidRPr="005A7AA0" w:rsidRDefault="00B06F53" w:rsidP="00B06F53">
      <w:pPr>
        <w:spacing w:before="100" w:after="100"/>
      </w:pPr>
      <w:r w:rsidRPr="005A7AA0">
        <w:t xml:space="preserve">Divakaran, M.T., (2026). Impact of Workforce Skill Development on Cost Optimization in Logistics Operations: An Analytical Study. The Journal, 7. </w:t>
      </w:r>
      <w:hyperlink r:id="rId9">
        <w:r w:rsidRPr="005A7AA0">
          <w:rPr>
            <w:color w:val="1155CC"/>
            <w:u w:val="single"/>
          </w:rPr>
          <w:t>https://www.researchgate.net/profile/Divakaran-T/publication/404442224_ABDC_Listed_Issue_1_The_Journal_of_African_Development_Year_2026_Volume_72026_Impact_of_Workforce_Skill_Development_on_Cost_Optimization_in_Logistics_Operations_An_Analytical_Study/links/69f9b14eb1dace04f1441963/ABDC-Listed-Issue-1-The-Journal-of-African-Development-Year-2026-Volume-72026-Impact-of-Workforce-Skill-Development-on-Cost-Optimization-in-Logistics-Operations-An-Analytical-Study.pdf</w:t>
        </w:r>
      </w:hyperlink>
    </w:p>
    <w:p w14:paraId="1D2C6C3C" w14:textId="77777777" w:rsidR="00B06F53" w:rsidRPr="005A7AA0" w:rsidRDefault="00B06F53" w:rsidP="00B06F53">
      <w:pPr>
        <w:spacing w:before="100" w:after="100"/>
        <w:rPr>
          <w:rFonts w:eastAsia="Times New Roman"/>
        </w:rPr>
      </w:pPr>
      <w:r w:rsidRPr="005A7AA0">
        <w:rPr>
          <w:rFonts w:eastAsia="Times New Roman"/>
        </w:rPr>
        <w:t xml:space="preserve">GOV.UK (2026) </w:t>
      </w:r>
      <w:r w:rsidRPr="005A7AA0">
        <w:rPr>
          <w:rFonts w:eastAsia="Times New Roman"/>
          <w:i/>
          <w:iCs/>
        </w:rPr>
        <w:t>Equality act 2010</w:t>
      </w:r>
      <w:r w:rsidRPr="005A7AA0">
        <w:rPr>
          <w:rFonts w:eastAsia="Times New Roman"/>
        </w:rPr>
        <w:t xml:space="preserve">, </w:t>
      </w:r>
      <w:r w:rsidRPr="005A7AA0">
        <w:rPr>
          <w:rFonts w:eastAsia="Times New Roman"/>
          <w:i/>
          <w:iCs/>
        </w:rPr>
        <w:t>Legislation.gov.uk</w:t>
      </w:r>
      <w:r w:rsidRPr="005A7AA0">
        <w:rPr>
          <w:rFonts w:eastAsia="Times New Roman"/>
        </w:rPr>
        <w:t>. Gov.uk. Available at: https://www.legislation.gov.uk/ukpga/2010/15/contents (Accessed: August 12, 2026).</w:t>
      </w:r>
    </w:p>
    <w:p w14:paraId="4C40FE5B" w14:textId="77777777" w:rsidR="00B06F53" w:rsidRPr="005A7AA0" w:rsidRDefault="00B06F53" w:rsidP="00B06F53">
      <w:pPr>
        <w:spacing w:before="100" w:after="100"/>
      </w:pPr>
      <w:r w:rsidRPr="005A7AA0">
        <w:t xml:space="preserve">Karska, J., Pszczołowska, M., Gładka, A. and Leszek, J., (2023). Correlations between dementia and loneliness. International Journal of Molecular Sciences, 25(1), p.271. </w:t>
      </w:r>
      <w:hyperlink r:id="rId10">
        <w:r w:rsidRPr="005A7AA0">
          <w:rPr>
            <w:color w:val="1155CC"/>
            <w:u w:val="single"/>
          </w:rPr>
          <w:t>https://www.mdpi.com/1422-0067/25/1/271</w:t>
        </w:r>
      </w:hyperlink>
    </w:p>
    <w:p w14:paraId="746ACA9D" w14:textId="77777777" w:rsidR="00B06F53" w:rsidRPr="005A7AA0" w:rsidRDefault="00B06F53" w:rsidP="00B06F53">
      <w:pPr>
        <w:spacing w:before="100" w:after="100"/>
      </w:pPr>
      <w:r w:rsidRPr="005A7AA0">
        <w:t xml:space="preserve">Moroz, O.F., Kravchenko, V.I., Kushch, B.O. and Zholos, A.V., (2024). Dementia and neurodegenerative diseases: What is known and what is promising at the cellular and molecular level. Basic &amp; Clinical Pharmacology &amp; Toxicology, 135(5), pp.550-560. </w:t>
      </w:r>
      <w:hyperlink r:id="rId11">
        <w:r w:rsidRPr="005A7AA0">
          <w:rPr>
            <w:color w:val="1155CC"/>
            <w:u w:val="single"/>
          </w:rPr>
          <w:t>https://onlinelibrary.wiley.com/doi/abs/10.1111/bcpt.14087</w:t>
        </w:r>
      </w:hyperlink>
    </w:p>
    <w:p w14:paraId="3FEBD5E8" w14:textId="77777777" w:rsidR="00B06F53" w:rsidRPr="005A7AA0" w:rsidRDefault="00B06F53" w:rsidP="00B06F53">
      <w:pPr>
        <w:spacing w:before="100" w:after="100"/>
      </w:pPr>
      <w:r w:rsidRPr="005A7AA0">
        <w:t xml:space="preserve">Sunjaya, A.M., Schreiber, T., Kantilal, K., Davies, N. and Griffiths, S., (2025). Communication strategies for delivering personalised dementia care and support: a mixed-methods systematic review and narrative synthesis. Age and Ageing, 54(5), p.afaf120. </w:t>
      </w:r>
      <w:hyperlink r:id="rId12">
        <w:r w:rsidRPr="005A7AA0">
          <w:rPr>
            <w:color w:val="1155CC"/>
            <w:u w:val="single"/>
          </w:rPr>
          <w:t>https://academic.oup.com/ageing/article-pdf/doi/10.1093/ageing/afaf120/63183221/afaf120.pdf</w:t>
        </w:r>
      </w:hyperlink>
    </w:p>
    <w:p w14:paraId="5579FC46" w14:textId="77777777" w:rsidR="00B06F53" w:rsidRPr="005A7AA0" w:rsidRDefault="00B06F53" w:rsidP="00B06F53">
      <w:pPr>
        <w:spacing w:before="100" w:after="100"/>
      </w:pPr>
      <w:r w:rsidRPr="005A7AA0">
        <w:t xml:space="preserve">Yassi, A.H., Hanafiah, W., Sahib, H., Aswad, M., Nurchalis, N.F. and Azizi, Z., (2023). Exploring the effects of Pair-Interaction Model on improving Indonesian adult learners’ English proficiency. Studies in English Language and Education, 10(1), pp.117-136. </w:t>
      </w:r>
      <w:hyperlink r:id="rId13">
        <w:r w:rsidRPr="005A7AA0">
          <w:rPr>
            <w:color w:val="1155CC"/>
            <w:u w:val="single"/>
          </w:rPr>
          <w:t>https://www.academia.edu/download/100347836/17360.pdf</w:t>
        </w:r>
      </w:hyperlink>
    </w:p>
    <w:p w14:paraId="65272F7D" w14:textId="77777777" w:rsidR="008E39E3" w:rsidRPr="005A7AA0" w:rsidRDefault="00E722F4" w:rsidP="00B06F53">
      <w:r w:rsidRPr="005A7AA0">
        <w:t xml:space="preserve">   </w:t>
      </w:r>
    </w:p>
    <w:p w14:paraId="2B55CDB7" w14:textId="77777777" w:rsidR="008E39E3" w:rsidRPr="00B06F53" w:rsidRDefault="008E39E3" w:rsidP="00B06F53">
      <w:pPr>
        <w:jc w:val="center"/>
      </w:pPr>
    </w:p>
    <w:sectPr w:rsidR="008E39E3" w:rsidRPr="00B06F53" w:rsidSect="00B06F53">
      <w:footerReference w:type="default" r:id="rId1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179D80B" w14:textId="77777777" w:rsidR="00382132" w:rsidRPr="005A7AA0" w:rsidRDefault="00382132" w:rsidP="00B06F53">
      <w:pPr>
        <w:spacing w:line="240" w:lineRule="auto"/>
      </w:pPr>
      <w:r w:rsidRPr="005A7AA0">
        <w:separator/>
      </w:r>
    </w:p>
  </w:endnote>
  <w:endnote w:type="continuationSeparator" w:id="0">
    <w:p w14:paraId="76297B11" w14:textId="77777777" w:rsidR="00382132" w:rsidRPr="005A7AA0" w:rsidRDefault="00382132" w:rsidP="00B06F53">
      <w:pPr>
        <w:spacing w:line="240" w:lineRule="auto"/>
      </w:pPr>
      <w:r w:rsidRPr="005A7AA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94EC5D2B-6D49-476F-8BC5-A98637588413}"/>
  </w:font>
  <w:font w:name="Cambria">
    <w:panose1 w:val="02040503050406030204"/>
    <w:charset w:val="00"/>
    <w:family w:val="roman"/>
    <w:pitch w:val="variable"/>
    <w:sig w:usb0="E00006FF" w:usb1="420024FF" w:usb2="02000000" w:usb3="00000000" w:csb0="0000019F" w:csb1="00000000"/>
    <w:embedRegular r:id="rId2" w:fontKey="{51D4644C-7BFF-F14C-841C-63BE53EF16B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089684503"/>
      <w:docPartObj>
        <w:docPartGallery w:val="Page Numbers (Bottom of Page)"/>
        <w:docPartUnique/>
      </w:docPartObj>
    </w:sdtPr>
    <w:sdtEndPr/>
    <w:sdtContent>
      <w:p w14:paraId="584309E4" w14:textId="78B7E42B" w:rsidR="00B06F53" w:rsidRPr="005A7AA0" w:rsidRDefault="00B06F53">
        <w:pPr>
          <w:pStyle w:val="Subsol"/>
          <w:jc w:val="right"/>
        </w:pPr>
        <w:r w:rsidRPr="005A7AA0">
          <w:fldChar w:fldCharType="begin"/>
        </w:r>
        <w:r w:rsidRPr="005A7AA0">
          <w:instrText>PAGE   \* MERGEFORMAT</w:instrText>
        </w:r>
        <w:r w:rsidRPr="005A7AA0">
          <w:fldChar w:fldCharType="separate"/>
        </w:r>
        <w:r w:rsidRPr="005A7AA0">
          <w:t>2</w:t>
        </w:r>
        <w:r w:rsidRPr="005A7AA0">
          <w:fldChar w:fldCharType="end"/>
        </w:r>
      </w:p>
    </w:sdtContent>
  </w:sdt>
  <w:p w14:paraId="6710FC25" w14:textId="77777777" w:rsidR="00B06F53" w:rsidRPr="005A7AA0" w:rsidRDefault="00B06F5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E1C4ACF" w14:textId="77777777" w:rsidR="00382132" w:rsidRPr="005A7AA0" w:rsidRDefault="00382132" w:rsidP="00B06F53">
      <w:pPr>
        <w:spacing w:line="240" w:lineRule="auto"/>
      </w:pPr>
      <w:r w:rsidRPr="005A7AA0">
        <w:separator/>
      </w:r>
    </w:p>
  </w:footnote>
  <w:footnote w:type="continuationSeparator" w:id="0">
    <w:p w14:paraId="47AEA84D" w14:textId="77777777" w:rsidR="00382132" w:rsidRPr="005A7AA0" w:rsidRDefault="00382132" w:rsidP="00B06F53">
      <w:pPr>
        <w:spacing w:line="240" w:lineRule="auto"/>
      </w:pPr>
      <w:r w:rsidRPr="005A7AA0">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embedTrueTypeFonts/>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39E3"/>
    <w:rsid w:val="002B6916"/>
    <w:rsid w:val="00382132"/>
    <w:rsid w:val="003D6665"/>
    <w:rsid w:val="00565E32"/>
    <w:rsid w:val="005A7AA0"/>
    <w:rsid w:val="008E39E3"/>
    <w:rsid w:val="00A51173"/>
    <w:rsid w:val="00B06F53"/>
    <w:rsid w:val="00D046A7"/>
    <w:rsid w:val="00E722F4"/>
    <w:rsid w:val="00E90396"/>
    <w:rsid w:val="00F33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ABC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bCs/>
      <w:color w:val="0E101A"/>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Titlucuprins">
    <w:name w:val="TOC Heading"/>
    <w:basedOn w:val="Titlu1"/>
    <w:next w:val="Normal"/>
    <w:uiPriority w:val="39"/>
    <w:unhideWhenUsed/>
    <w:qFormat/>
    <w:rsid w:val="00B06F53"/>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Cuprins1">
    <w:name w:val="toc 1"/>
    <w:basedOn w:val="Normal"/>
    <w:next w:val="Normal"/>
    <w:autoRedefine/>
    <w:uiPriority w:val="39"/>
    <w:unhideWhenUsed/>
    <w:rsid w:val="00B06F53"/>
    <w:pPr>
      <w:spacing w:after="100"/>
    </w:pPr>
  </w:style>
  <w:style w:type="character" w:styleId="Hyperlink">
    <w:name w:val="Hyperlink"/>
    <w:basedOn w:val="Fontdeparagrafimplicit"/>
    <w:uiPriority w:val="99"/>
    <w:unhideWhenUsed/>
    <w:rsid w:val="00B06F53"/>
    <w:rPr>
      <w:color w:val="0000FF" w:themeColor="hyperlink"/>
      <w:u w:val="single"/>
    </w:rPr>
  </w:style>
  <w:style w:type="paragraph" w:styleId="Antet">
    <w:name w:val="header"/>
    <w:basedOn w:val="Normal"/>
    <w:link w:val="AntetCaracter"/>
    <w:uiPriority w:val="99"/>
    <w:unhideWhenUsed/>
    <w:rsid w:val="00B06F53"/>
    <w:pPr>
      <w:tabs>
        <w:tab w:val="center" w:pos="4513"/>
        <w:tab w:val="right" w:pos="9026"/>
      </w:tabs>
      <w:spacing w:line="240" w:lineRule="auto"/>
    </w:pPr>
  </w:style>
  <w:style w:type="character" w:customStyle="1" w:styleId="AntetCaracter">
    <w:name w:val="Antet Caracter"/>
    <w:basedOn w:val="Fontdeparagrafimplicit"/>
    <w:link w:val="Antet"/>
    <w:uiPriority w:val="99"/>
    <w:rsid w:val="00B06F53"/>
  </w:style>
  <w:style w:type="paragraph" w:styleId="Subsol">
    <w:name w:val="footer"/>
    <w:basedOn w:val="Normal"/>
    <w:link w:val="SubsolCaracter"/>
    <w:uiPriority w:val="99"/>
    <w:unhideWhenUsed/>
    <w:rsid w:val="00B06F53"/>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B06F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845-021-02789-8" TargetMode="External"/><Relationship Id="rId13" Type="http://schemas.openxmlformats.org/officeDocument/2006/relationships/hyperlink" Target="https://www.academia.edu/download/100347836/17360.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academic.oup.com/ageing/article-pdf/doi/10.1093/ageing/afaf120/63183221/afaf120.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nlinelibrary.wiley.com/doi/abs/10.1111/bcpt.1408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mdpi.com/1422-0067/25/1/271" TargetMode="External"/><Relationship Id="rId4" Type="http://schemas.openxmlformats.org/officeDocument/2006/relationships/webSettings" Target="webSettings.xml"/><Relationship Id="rId9" Type="http://schemas.openxmlformats.org/officeDocument/2006/relationships/hyperlink" Target="https://www.researchgate.net/profile/Divakaran-T/publication/404442224_ABDC_Listed_Issue_1_The_Journal_of_African_Development_Year_2026_Volume_72026_Impact_of_Workforce_Skill_Development_on_Cost_Optimization_in_Logistics_Operations_An_Analytical_Study/links/69f9b14eb1dace04f1441963/ABDC-Listed-Issue-1-The-Journal-of-African-Development-Year-2026-Volume-72026-Impact-of-Workforce-Skill-Development-on-Cost-Optimization-in-Logistics-Operations-An-Analytical-Study.pdf"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018135-7F8A-4292-9C8B-0E9314857E6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2015</Words>
  <Characters>11692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2026-09-04T16:58:00Z</dcterms:created>
  <dcterms:modified xsi:type="dcterms:W3CDTF">2026-09-04T16:58:00Z</dcterms:modified>
</cp:coreProperties>
</file>